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16A57F" w14:textId="77777777" w:rsidR="007A15F0" w:rsidRPr="00652167" w:rsidRDefault="301858A8" w:rsidP="301858A8">
      <w:pPr>
        <w:spacing w:before="293" w:line="436" w:lineRule="exact"/>
        <w:jc w:val="center"/>
        <w:rPr>
          <w:rFonts w:eastAsia="Times New Roman Bold"/>
          <w:b/>
          <w:bCs/>
          <w:color w:val="000000" w:themeColor="text1"/>
          <w:sz w:val="28"/>
          <w:szCs w:val="28"/>
        </w:rPr>
      </w:pPr>
      <w:bookmarkStart w:id="0" w:name="_GoBack"/>
      <w:bookmarkEnd w:id="0"/>
      <w:r w:rsidRPr="00652167">
        <w:rPr>
          <w:rFonts w:eastAsia="Times New Roman Bold"/>
          <w:b/>
          <w:bCs/>
          <w:sz w:val="28"/>
          <w:szCs w:val="28"/>
        </w:rPr>
        <w:t xml:space="preserve">Supporting Statement A for </w:t>
      </w:r>
      <w:r w:rsidRPr="00652167">
        <w:rPr>
          <w:rFonts w:eastAsia="Times New Roman Bold"/>
          <w:b/>
          <w:bCs/>
          <w:color w:val="000000" w:themeColor="text1"/>
          <w:sz w:val="28"/>
          <w:szCs w:val="28"/>
        </w:rPr>
        <w:t>the</w:t>
      </w:r>
      <w:r w:rsidR="007A15F0" w:rsidRPr="00652167">
        <w:br/>
      </w:r>
      <w:r w:rsidRPr="00652167">
        <w:rPr>
          <w:rFonts w:eastAsia="Times New Roman Bold"/>
          <w:b/>
          <w:bCs/>
          <w:color w:val="000000" w:themeColor="text1"/>
          <w:sz w:val="28"/>
          <w:szCs w:val="28"/>
        </w:rPr>
        <w:t>Office of the Assistant Secretary for Health</w:t>
      </w:r>
      <w:r w:rsidR="007A15F0" w:rsidRPr="00652167">
        <w:br/>
      </w:r>
      <w:r w:rsidRPr="00652167">
        <w:rPr>
          <w:rFonts w:eastAsia="Times New Roman Bold"/>
          <w:b/>
          <w:bCs/>
          <w:color w:val="000000" w:themeColor="text1"/>
          <w:sz w:val="28"/>
          <w:szCs w:val="28"/>
        </w:rPr>
        <w:t>SMARTool Pilot Replication Project</w:t>
      </w:r>
    </w:p>
    <w:p w14:paraId="21D7A978" w14:textId="77777777" w:rsidR="007A15F0" w:rsidRPr="00652167" w:rsidRDefault="007A15F0" w:rsidP="007A15F0">
      <w:pPr>
        <w:spacing w:line="253" w:lineRule="exact"/>
        <w:jc w:val="center"/>
        <w:rPr>
          <w:b/>
          <w:bCs/>
          <w:color w:val="000000"/>
        </w:rPr>
      </w:pPr>
    </w:p>
    <w:p w14:paraId="698D1A23" w14:textId="77777777" w:rsidR="007A15F0" w:rsidRPr="00652167" w:rsidRDefault="007A15F0" w:rsidP="007A15F0">
      <w:pPr>
        <w:spacing w:line="253" w:lineRule="exact"/>
        <w:jc w:val="center"/>
        <w:rPr>
          <w:b/>
          <w:bCs/>
          <w:color w:val="000000"/>
        </w:rPr>
      </w:pPr>
    </w:p>
    <w:p w14:paraId="65309DBC" w14:textId="77777777" w:rsidR="007A15F0" w:rsidRPr="00652167" w:rsidRDefault="007A15F0" w:rsidP="007A15F0">
      <w:pPr>
        <w:spacing w:line="253" w:lineRule="exact"/>
        <w:jc w:val="center"/>
        <w:rPr>
          <w:b/>
          <w:bCs/>
          <w:color w:val="000000"/>
        </w:rPr>
      </w:pPr>
    </w:p>
    <w:p w14:paraId="15201A27" w14:textId="77777777" w:rsidR="007A15F0" w:rsidRPr="00652167" w:rsidRDefault="007A15F0" w:rsidP="007A15F0">
      <w:pPr>
        <w:spacing w:line="253" w:lineRule="exact"/>
        <w:jc w:val="center"/>
        <w:rPr>
          <w:b/>
          <w:bCs/>
          <w:color w:val="000000"/>
        </w:rPr>
      </w:pPr>
    </w:p>
    <w:p w14:paraId="0B981061" w14:textId="77777777" w:rsidR="007A15F0" w:rsidRPr="00652167" w:rsidRDefault="007A15F0" w:rsidP="007A15F0">
      <w:pPr>
        <w:spacing w:line="253" w:lineRule="exact"/>
        <w:jc w:val="center"/>
        <w:rPr>
          <w:b/>
          <w:bCs/>
          <w:color w:val="000000"/>
        </w:rPr>
      </w:pPr>
    </w:p>
    <w:p w14:paraId="63B91448" w14:textId="77777777" w:rsidR="007A15F0" w:rsidRPr="00652167" w:rsidRDefault="007A15F0" w:rsidP="007A15F0">
      <w:pPr>
        <w:spacing w:line="253" w:lineRule="exact"/>
        <w:jc w:val="center"/>
        <w:rPr>
          <w:b/>
          <w:bCs/>
          <w:color w:val="000000"/>
        </w:rPr>
      </w:pPr>
    </w:p>
    <w:p w14:paraId="4E4BED17" w14:textId="77777777" w:rsidR="007A15F0" w:rsidRPr="00652167" w:rsidRDefault="007A15F0" w:rsidP="007A15F0">
      <w:pPr>
        <w:spacing w:line="253" w:lineRule="exact"/>
        <w:jc w:val="center"/>
        <w:rPr>
          <w:b/>
          <w:bCs/>
          <w:color w:val="000000"/>
        </w:rPr>
      </w:pPr>
    </w:p>
    <w:p w14:paraId="51D36A83" w14:textId="77777777" w:rsidR="007A15F0" w:rsidRPr="00652167" w:rsidRDefault="007A15F0" w:rsidP="007A15F0">
      <w:pPr>
        <w:spacing w:line="253" w:lineRule="exact"/>
        <w:jc w:val="center"/>
        <w:rPr>
          <w:b/>
          <w:bCs/>
          <w:color w:val="000000"/>
        </w:rPr>
      </w:pPr>
    </w:p>
    <w:p w14:paraId="36AA17A8" w14:textId="77777777" w:rsidR="007A15F0" w:rsidRPr="00652167" w:rsidRDefault="007A15F0" w:rsidP="007A15F0">
      <w:pPr>
        <w:spacing w:line="253" w:lineRule="exact"/>
        <w:jc w:val="center"/>
        <w:rPr>
          <w:b/>
          <w:bCs/>
          <w:color w:val="000000"/>
        </w:rPr>
      </w:pPr>
    </w:p>
    <w:p w14:paraId="365A495F" w14:textId="77777777" w:rsidR="007A15F0" w:rsidRPr="00652167" w:rsidRDefault="007A15F0" w:rsidP="007A15F0">
      <w:pPr>
        <w:spacing w:before="120" w:line="280" w:lineRule="atLeast"/>
        <w:jc w:val="center"/>
        <w:rPr>
          <w:b/>
          <w:bCs/>
          <w:color w:val="000000"/>
        </w:rPr>
      </w:pPr>
      <w:r w:rsidRPr="00652167">
        <w:rPr>
          <w:b/>
          <w:bCs/>
          <w:color w:val="000000"/>
        </w:rPr>
        <w:t>Submitted to</w:t>
      </w:r>
    </w:p>
    <w:p w14:paraId="40BD83F9" w14:textId="77777777" w:rsidR="007A15F0" w:rsidRPr="00652167" w:rsidRDefault="007A15F0" w:rsidP="007A15F0">
      <w:pPr>
        <w:spacing w:before="120" w:line="280" w:lineRule="atLeast"/>
        <w:jc w:val="center"/>
        <w:rPr>
          <w:color w:val="000000"/>
        </w:rPr>
      </w:pPr>
      <w:r w:rsidRPr="00652167">
        <w:rPr>
          <w:color w:val="000000"/>
        </w:rPr>
        <w:t>Office of Management and Budget</w:t>
      </w:r>
      <w:r w:rsidRPr="00652167">
        <w:rPr>
          <w:color w:val="000000"/>
        </w:rPr>
        <w:br/>
        <w:t>Office of Information and Regulatory Affairs</w:t>
      </w:r>
    </w:p>
    <w:p w14:paraId="417CC5B8" w14:textId="77777777" w:rsidR="007A15F0" w:rsidRPr="00652167" w:rsidRDefault="007A15F0" w:rsidP="007A15F0">
      <w:pPr>
        <w:spacing w:before="120" w:line="280" w:lineRule="atLeast"/>
        <w:jc w:val="center"/>
        <w:rPr>
          <w:b/>
          <w:bCs/>
          <w:color w:val="000000"/>
        </w:rPr>
      </w:pPr>
    </w:p>
    <w:p w14:paraId="6AB9EAA6" w14:textId="77777777" w:rsidR="007A15F0" w:rsidRPr="00652167" w:rsidRDefault="007A15F0" w:rsidP="007A15F0">
      <w:pPr>
        <w:spacing w:before="120" w:line="280" w:lineRule="atLeast"/>
        <w:rPr>
          <w:color w:val="000000"/>
        </w:rPr>
      </w:pPr>
    </w:p>
    <w:p w14:paraId="796BD517" w14:textId="77777777" w:rsidR="007A15F0" w:rsidRPr="00652167" w:rsidRDefault="007A15F0" w:rsidP="007A15F0">
      <w:pPr>
        <w:spacing w:before="120" w:line="280" w:lineRule="atLeast"/>
        <w:rPr>
          <w:color w:val="000000"/>
        </w:rPr>
      </w:pPr>
    </w:p>
    <w:p w14:paraId="38DADE0C" w14:textId="77777777" w:rsidR="007A15F0" w:rsidRPr="00652167" w:rsidRDefault="007A15F0" w:rsidP="007A15F0">
      <w:pPr>
        <w:spacing w:before="120" w:line="280" w:lineRule="atLeast"/>
        <w:jc w:val="center"/>
        <w:rPr>
          <w:b/>
          <w:bCs/>
          <w:color w:val="000000"/>
        </w:rPr>
      </w:pPr>
      <w:r w:rsidRPr="00652167">
        <w:rPr>
          <w:b/>
          <w:bCs/>
          <w:color w:val="000000"/>
        </w:rPr>
        <w:t>Submitted by</w:t>
      </w:r>
    </w:p>
    <w:p w14:paraId="3F855497" w14:textId="77777777" w:rsidR="007A15F0" w:rsidRPr="00652167" w:rsidRDefault="007A15F0" w:rsidP="007A15F0">
      <w:pPr>
        <w:spacing w:before="120" w:line="280" w:lineRule="atLeast"/>
        <w:jc w:val="center"/>
        <w:rPr>
          <w:color w:val="000000"/>
        </w:rPr>
      </w:pPr>
      <w:r w:rsidRPr="00652167">
        <w:rPr>
          <w:color w:val="000000"/>
        </w:rPr>
        <w:t xml:space="preserve">Department of Health and Human Services </w:t>
      </w:r>
      <w:r w:rsidRPr="00652167">
        <w:rPr>
          <w:color w:val="000000"/>
        </w:rPr>
        <w:br/>
        <w:t xml:space="preserve">Office of the Assistant Secretary for Health </w:t>
      </w:r>
      <w:r w:rsidRPr="00652167">
        <w:rPr>
          <w:color w:val="000000"/>
        </w:rPr>
        <w:br/>
      </w:r>
      <w:r w:rsidRPr="00652167">
        <w:rPr>
          <w:color w:val="000000"/>
        </w:rPr>
        <w:br/>
      </w:r>
    </w:p>
    <w:p w14:paraId="790B03B6" w14:textId="77777777" w:rsidR="007A15F0" w:rsidRPr="00652167" w:rsidRDefault="007A15F0" w:rsidP="007A15F0">
      <w:pPr>
        <w:spacing w:before="120" w:line="280" w:lineRule="atLeast"/>
        <w:rPr>
          <w:color w:val="000000"/>
        </w:rPr>
      </w:pPr>
    </w:p>
    <w:p w14:paraId="369A5BAC" w14:textId="77777777" w:rsidR="007A15F0" w:rsidRPr="00652167" w:rsidRDefault="007A15F0" w:rsidP="007A15F0">
      <w:pPr>
        <w:spacing w:before="120" w:line="280" w:lineRule="atLeast"/>
        <w:rPr>
          <w:color w:val="000000"/>
        </w:rPr>
      </w:pPr>
    </w:p>
    <w:p w14:paraId="5ABBA761" w14:textId="77777777" w:rsidR="007A15F0" w:rsidRPr="00652167" w:rsidRDefault="007A15F0" w:rsidP="007A15F0">
      <w:pPr>
        <w:spacing w:before="120" w:line="280" w:lineRule="atLeast"/>
        <w:rPr>
          <w:color w:val="000000"/>
        </w:rPr>
      </w:pPr>
    </w:p>
    <w:p w14:paraId="6C112288" w14:textId="77777777" w:rsidR="007A15F0" w:rsidRPr="00652167" w:rsidRDefault="007A15F0" w:rsidP="007A15F0">
      <w:pPr>
        <w:spacing w:before="120" w:line="280" w:lineRule="atLeast"/>
        <w:rPr>
          <w:color w:val="000000"/>
        </w:rPr>
      </w:pPr>
    </w:p>
    <w:p w14:paraId="6866A3A1" w14:textId="77777777" w:rsidR="007A15F0" w:rsidRPr="00652167" w:rsidRDefault="00642576" w:rsidP="007A15F0">
      <w:pPr>
        <w:widowControl/>
        <w:autoSpaceDE/>
        <w:autoSpaceDN/>
        <w:adjustRightInd/>
        <w:jc w:val="center"/>
        <w:rPr>
          <w:b/>
          <w:bCs/>
        </w:rPr>
      </w:pPr>
      <w:r w:rsidRPr="00652167">
        <w:rPr>
          <w:color w:val="000000"/>
        </w:rPr>
        <w:t xml:space="preserve"> June</w:t>
      </w:r>
      <w:r w:rsidR="00657E7A" w:rsidRPr="00652167">
        <w:rPr>
          <w:color w:val="000000"/>
        </w:rPr>
        <w:t xml:space="preserve"> 2019</w:t>
      </w:r>
      <w:r w:rsidR="007A15F0" w:rsidRPr="00652167">
        <w:rPr>
          <w:b/>
          <w:bCs/>
          <w:sz w:val="28"/>
          <w:szCs w:val="28"/>
        </w:rPr>
        <w:br/>
      </w:r>
    </w:p>
    <w:p w14:paraId="0CCC2BF7" w14:textId="77777777" w:rsidR="00E16C10" w:rsidRPr="00652167" w:rsidRDefault="00E16C10" w:rsidP="007A15F0">
      <w:pPr>
        <w:widowControl/>
        <w:autoSpaceDE/>
        <w:autoSpaceDN/>
        <w:adjustRightInd/>
        <w:rPr>
          <w:b/>
          <w:bCs/>
        </w:rPr>
        <w:sectPr w:rsidR="00E16C10" w:rsidRPr="00652167" w:rsidSect="00885F25">
          <w:headerReference w:type="default" r:id="rId14"/>
          <w:footerReference w:type="default" r:id="rId15"/>
          <w:pgSz w:w="12240" w:h="15840"/>
          <w:pgMar w:top="1440" w:right="1354" w:bottom="1440" w:left="1440" w:header="720" w:footer="720" w:gutter="0"/>
          <w:pgNumType w:fmt="lowerRoman"/>
          <w:cols w:space="720"/>
          <w:noEndnote/>
        </w:sectPr>
      </w:pPr>
    </w:p>
    <w:p w14:paraId="0FBF4DF8" w14:textId="77777777" w:rsidR="00721ACD" w:rsidRPr="00652167" w:rsidRDefault="00721ACD" w:rsidP="00721ACD">
      <w:pPr>
        <w:widowControl/>
        <w:autoSpaceDE/>
        <w:autoSpaceDN/>
        <w:adjustRightInd/>
        <w:spacing w:after="160" w:line="259" w:lineRule="auto"/>
        <w:jc w:val="center"/>
        <w:rPr>
          <w:b/>
          <w:sz w:val="28"/>
          <w:szCs w:val="28"/>
        </w:rPr>
      </w:pPr>
      <w:r w:rsidRPr="00652167">
        <w:rPr>
          <w:b/>
          <w:sz w:val="28"/>
          <w:szCs w:val="28"/>
        </w:rPr>
        <w:lastRenderedPageBreak/>
        <w:t>Contents</w:t>
      </w:r>
    </w:p>
    <w:p w14:paraId="391ECF27" w14:textId="77777777" w:rsidR="00721ACD" w:rsidRPr="00652167" w:rsidRDefault="00721ACD" w:rsidP="00721ACD">
      <w:pPr>
        <w:widowControl/>
        <w:autoSpaceDE/>
        <w:autoSpaceDN/>
        <w:adjustRightInd/>
        <w:spacing w:after="160" w:line="259" w:lineRule="auto"/>
        <w:rPr>
          <w:b/>
          <w:sz w:val="28"/>
          <w:szCs w:val="28"/>
        </w:rPr>
      </w:pPr>
    </w:p>
    <w:p w14:paraId="301F252B" w14:textId="3F1CBAFC" w:rsidR="009B36DE" w:rsidRDefault="003151CA">
      <w:pPr>
        <w:pStyle w:val="TOC1"/>
        <w:rPr>
          <w:rFonts w:asciiTheme="minorHAnsi" w:eastAsiaTheme="minorEastAsia" w:hAnsiTheme="minorHAnsi" w:cstheme="minorBidi"/>
          <w:noProof/>
          <w:sz w:val="22"/>
          <w:szCs w:val="22"/>
        </w:rPr>
      </w:pPr>
      <w:r w:rsidRPr="00652167">
        <w:rPr>
          <w:b/>
          <w:sz w:val="28"/>
          <w:szCs w:val="28"/>
        </w:rPr>
        <w:fldChar w:fldCharType="begin"/>
      </w:r>
      <w:r w:rsidRPr="00652167">
        <w:rPr>
          <w:b/>
          <w:sz w:val="28"/>
          <w:szCs w:val="28"/>
        </w:rPr>
        <w:instrText xml:space="preserve"> TOC \h \z \t "OMB heading-1,1,OMB Heading-2,2" </w:instrText>
      </w:r>
      <w:r w:rsidRPr="00652167">
        <w:rPr>
          <w:b/>
          <w:sz w:val="28"/>
          <w:szCs w:val="28"/>
        </w:rPr>
        <w:fldChar w:fldCharType="separate"/>
      </w:r>
      <w:hyperlink w:anchor="_Toc11750122" w:history="1">
        <w:r w:rsidR="009B36DE" w:rsidRPr="00C96D29">
          <w:rPr>
            <w:rStyle w:val="Hyperlink"/>
            <w:noProof/>
          </w:rPr>
          <w:t>Exhibits</w:t>
        </w:r>
        <w:r w:rsidR="009B36DE">
          <w:rPr>
            <w:noProof/>
            <w:webHidden/>
          </w:rPr>
          <w:tab/>
        </w:r>
        <w:r w:rsidR="009B36DE">
          <w:rPr>
            <w:noProof/>
            <w:webHidden/>
          </w:rPr>
          <w:fldChar w:fldCharType="begin"/>
        </w:r>
        <w:r w:rsidR="009B36DE">
          <w:rPr>
            <w:noProof/>
            <w:webHidden/>
          </w:rPr>
          <w:instrText xml:space="preserve"> PAGEREF _Toc11750122 \h </w:instrText>
        </w:r>
        <w:r w:rsidR="009B36DE">
          <w:rPr>
            <w:noProof/>
            <w:webHidden/>
          </w:rPr>
        </w:r>
        <w:r w:rsidR="009B36DE">
          <w:rPr>
            <w:noProof/>
            <w:webHidden/>
          </w:rPr>
          <w:fldChar w:fldCharType="separate"/>
        </w:r>
        <w:r w:rsidR="00CB0393">
          <w:rPr>
            <w:noProof/>
            <w:webHidden/>
          </w:rPr>
          <w:t>iii</w:t>
        </w:r>
        <w:r w:rsidR="009B36DE">
          <w:rPr>
            <w:noProof/>
            <w:webHidden/>
          </w:rPr>
          <w:fldChar w:fldCharType="end"/>
        </w:r>
      </w:hyperlink>
    </w:p>
    <w:p w14:paraId="35E1BD49" w14:textId="50DE535B" w:rsidR="009B36DE" w:rsidRDefault="004852F7">
      <w:pPr>
        <w:pStyle w:val="TOC1"/>
        <w:rPr>
          <w:rFonts w:asciiTheme="minorHAnsi" w:eastAsiaTheme="minorEastAsia" w:hAnsiTheme="minorHAnsi" w:cstheme="minorBidi"/>
          <w:noProof/>
          <w:sz w:val="22"/>
          <w:szCs w:val="22"/>
        </w:rPr>
      </w:pPr>
      <w:hyperlink w:anchor="_Toc11750123" w:history="1">
        <w:r w:rsidR="009B36DE" w:rsidRPr="00C96D29">
          <w:rPr>
            <w:rStyle w:val="Hyperlink"/>
            <w:noProof/>
          </w:rPr>
          <w:t>A.</w:t>
        </w:r>
        <w:r w:rsidR="009B36DE">
          <w:rPr>
            <w:rFonts w:asciiTheme="minorHAnsi" w:eastAsiaTheme="minorEastAsia" w:hAnsiTheme="minorHAnsi" w:cstheme="minorBidi"/>
            <w:noProof/>
            <w:sz w:val="22"/>
            <w:szCs w:val="22"/>
          </w:rPr>
          <w:tab/>
        </w:r>
        <w:r w:rsidR="009B36DE" w:rsidRPr="00C96D29">
          <w:rPr>
            <w:rStyle w:val="Hyperlink"/>
            <w:noProof/>
          </w:rPr>
          <w:t>Justification</w:t>
        </w:r>
        <w:r w:rsidR="009B36DE">
          <w:rPr>
            <w:noProof/>
            <w:webHidden/>
          </w:rPr>
          <w:tab/>
        </w:r>
        <w:r w:rsidR="009B36DE">
          <w:rPr>
            <w:noProof/>
            <w:webHidden/>
          </w:rPr>
          <w:fldChar w:fldCharType="begin"/>
        </w:r>
        <w:r w:rsidR="009B36DE">
          <w:rPr>
            <w:noProof/>
            <w:webHidden/>
          </w:rPr>
          <w:instrText xml:space="preserve"> PAGEREF _Toc11750123 \h </w:instrText>
        </w:r>
        <w:r w:rsidR="009B36DE">
          <w:rPr>
            <w:noProof/>
            <w:webHidden/>
          </w:rPr>
        </w:r>
        <w:r w:rsidR="009B36DE">
          <w:rPr>
            <w:noProof/>
            <w:webHidden/>
          </w:rPr>
          <w:fldChar w:fldCharType="separate"/>
        </w:r>
        <w:r w:rsidR="00CB0393">
          <w:rPr>
            <w:noProof/>
            <w:webHidden/>
          </w:rPr>
          <w:t>1</w:t>
        </w:r>
        <w:r w:rsidR="009B36DE">
          <w:rPr>
            <w:noProof/>
            <w:webHidden/>
          </w:rPr>
          <w:fldChar w:fldCharType="end"/>
        </w:r>
      </w:hyperlink>
    </w:p>
    <w:p w14:paraId="30276B1E" w14:textId="73FD9E57" w:rsidR="009B36DE" w:rsidRDefault="004852F7">
      <w:pPr>
        <w:pStyle w:val="TOC2"/>
        <w:tabs>
          <w:tab w:val="left" w:pos="1152"/>
        </w:tabs>
        <w:rPr>
          <w:rFonts w:asciiTheme="minorHAnsi" w:eastAsiaTheme="minorEastAsia" w:hAnsiTheme="minorHAnsi" w:cstheme="minorBidi"/>
          <w:noProof/>
          <w:sz w:val="22"/>
          <w:szCs w:val="22"/>
        </w:rPr>
      </w:pPr>
      <w:hyperlink w:anchor="_Toc11750124" w:history="1">
        <w:r w:rsidR="009B36DE" w:rsidRPr="00C96D29">
          <w:rPr>
            <w:rStyle w:val="Hyperlink"/>
            <w:noProof/>
          </w:rPr>
          <w:t>1.</w:t>
        </w:r>
        <w:r w:rsidR="009B36DE">
          <w:rPr>
            <w:rFonts w:asciiTheme="minorHAnsi" w:eastAsiaTheme="minorEastAsia" w:hAnsiTheme="minorHAnsi" w:cstheme="minorBidi"/>
            <w:noProof/>
            <w:sz w:val="22"/>
            <w:szCs w:val="22"/>
          </w:rPr>
          <w:tab/>
        </w:r>
        <w:r w:rsidR="009B36DE" w:rsidRPr="00C96D29">
          <w:rPr>
            <w:rStyle w:val="Hyperlink"/>
            <w:noProof/>
          </w:rPr>
          <w:t>Circumstances Making the Collection of Information Necessary</w:t>
        </w:r>
        <w:r w:rsidR="009B36DE">
          <w:rPr>
            <w:noProof/>
            <w:webHidden/>
          </w:rPr>
          <w:tab/>
        </w:r>
        <w:r w:rsidR="009B36DE">
          <w:rPr>
            <w:noProof/>
            <w:webHidden/>
          </w:rPr>
          <w:fldChar w:fldCharType="begin"/>
        </w:r>
        <w:r w:rsidR="009B36DE">
          <w:rPr>
            <w:noProof/>
            <w:webHidden/>
          </w:rPr>
          <w:instrText xml:space="preserve"> PAGEREF _Toc11750124 \h </w:instrText>
        </w:r>
        <w:r w:rsidR="009B36DE">
          <w:rPr>
            <w:noProof/>
            <w:webHidden/>
          </w:rPr>
        </w:r>
        <w:r w:rsidR="009B36DE">
          <w:rPr>
            <w:noProof/>
            <w:webHidden/>
          </w:rPr>
          <w:fldChar w:fldCharType="separate"/>
        </w:r>
        <w:r w:rsidR="00CB0393">
          <w:rPr>
            <w:noProof/>
            <w:webHidden/>
          </w:rPr>
          <w:t>1</w:t>
        </w:r>
        <w:r w:rsidR="009B36DE">
          <w:rPr>
            <w:noProof/>
            <w:webHidden/>
          </w:rPr>
          <w:fldChar w:fldCharType="end"/>
        </w:r>
      </w:hyperlink>
    </w:p>
    <w:p w14:paraId="73453051" w14:textId="01D8344C" w:rsidR="009B36DE" w:rsidRDefault="004852F7">
      <w:pPr>
        <w:pStyle w:val="TOC2"/>
        <w:tabs>
          <w:tab w:val="left" w:pos="1152"/>
        </w:tabs>
        <w:rPr>
          <w:rFonts w:asciiTheme="minorHAnsi" w:eastAsiaTheme="minorEastAsia" w:hAnsiTheme="minorHAnsi" w:cstheme="minorBidi"/>
          <w:noProof/>
          <w:sz w:val="22"/>
          <w:szCs w:val="22"/>
        </w:rPr>
      </w:pPr>
      <w:hyperlink w:anchor="_Toc11750125" w:history="1">
        <w:r w:rsidR="009B36DE" w:rsidRPr="00C96D29">
          <w:rPr>
            <w:rStyle w:val="Hyperlink"/>
            <w:noProof/>
          </w:rPr>
          <w:t>2.</w:t>
        </w:r>
        <w:r w:rsidR="009B36DE">
          <w:rPr>
            <w:rFonts w:asciiTheme="minorHAnsi" w:eastAsiaTheme="minorEastAsia" w:hAnsiTheme="minorHAnsi" w:cstheme="minorBidi"/>
            <w:noProof/>
            <w:sz w:val="22"/>
            <w:szCs w:val="22"/>
          </w:rPr>
          <w:tab/>
        </w:r>
        <w:r w:rsidR="009B36DE" w:rsidRPr="00C96D29">
          <w:rPr>
            <w:rStyle w:val="Hyperlink"/>
            <w:noProof/>
          </w:rPr>
          <w:t>Purpose and Use of Information Collection</w:t>
        </w:r>
        <w:r w:rsidR="009B36DE">
          <w:rPr>
            <w:noProof/>
            <w:webHidden/>
          </w:rPr>
          <w:tab/>
        </w:r>
        <w:r w:rsidR="009B36DE">
          <w:rPr>
            <w:noProof/>
            <w:webHidden/>
          </w:rPr>
          <w:fldChar w:fldCharType="begin"/>
        </w:r>
        <w:r w:rsidR="009B36DE">
          <w:rPr>
            <w:noProof/>
            <w:webHidden/>
          </w:rPr>
          <w:instrText xml:space="preserve"> PAGEREF _Toc11750125 \h </w:instrText>
        </w:r>
        <w:r w:rsidR="009B36DE">
          <w:rPr>
            <w:noProof/>
            <w:webHidden/>
          </w:rPr>
        </w:r>
        <w:r w:rsidR="009B36DE">
          <w:rPr>
            <w:noProof/>
            <w:webHidden/>
          </w:rPr>
          <w:fldChar w:fldCharType="separate"/>
        </w:r>
        <w:r w:rsidR="00CB0393">
          <w:rPr>
            <w:noProof/>
            <w:webHidden/>
          </w:rPr>
          <w:t>2</w:t>
        </w:r>
        <w:r w:rsidR="009B36DE">
          <w:rPr>
            <w:noProof/>
            <w:webHidden/>
          </w:rPr>
          <w:fldChar w:fldCharType="end"/>
        </w:r>
      </w:hyperlink>
    </w:p>
    <w:p w14:paraId="405B8C23" w14:textId="62037C50" w:rsidR="009B36DE" w:rsidRDefault="004852F7">
      <w:pPr>
        <w:pStyle w:val="TOC2"/>
        <w:tabs>
          <w:tab w:val="left" w:pos="1152"/>
        </w:tabs>
        <w:rPr>
          <w:rFonts w:asciiTheme="minorHAnsi" w:eastAsiaTheme="minorEastAsia" w:hAnsiTheme="minorHAnsi" w:cstheme="minorBidi"/>
          <w:noProof/>
          <w:sz w:val="22"/>
          <w:szCs w:val="22"/>
        </w:rPr>
      </w:pPr>
      <w:hyperlink w:anchor="_Toc11750126" w:history="1">
        <w:r w:rsidR="009B36DE" w:rsidRPr="00C96D29">
          <w:rPr>
            <w:rStyle w:val="Hyperlink"/>
            <w:noProof/>
          </w:rPr>
          <w:t>3.</w:t>
        </w:r>
        <w:r w:rsidR="009B36DE">
          <w:rPr>
            <w:rFonts w:asciiTheme="minorHAnsi" w:eastAsiaTheme="minorEastAsia" w:hAnsiTheme="minorHAnsi" w:cstheme="minorBidi"/>
            <w:noProof/>
            <w:sz w:val="22"/>
            <w:szCs w:val="22"/>
          </w:rPr>
          <w:tab/>
        </w:r>
        <w:r w:rsidR="009B36DE" w:rsidRPr="00C96D29">
          <w:rPr>
            <w:rStyle w:val="Hyperlink"/>
            <w:noProof/>
          </w:rPr>
          <w:t>Use of Improved Information Technology and Burden Reduction</w:t>
        </w:r>
        <w:r w:rsidR="009B36DE">
          <w:rPr>
            <w:noProof/>
            <w:webHidden/>
          </w:rPr>
          <w:tab/>
        </w:r>
        <w:r w:rsidR="009B36DE">
          <w:rPr>
            <w:noProof/>
            <w:webHidden/>
          </w:rPr>
          <w:fldChar w:fldCharType="begin"/>
        </w:r>
        <w:r w:rsidR="009B36DE">
          <w:rPr>
            <w:noProof/>
            <w:webHidden/>
          </w:rPr>
          <w:instrText xml:space="preserve"> PAGEREF _Toc11750126 \h </w:instrText>
        </w:r>
        <w:r w:rsidR="009B36DE">
          <w:rPr>
            <w:noProof/>
            <w:webHidden/>
          </w:rPr>
        </w:r>
        <w:r w:rsidR="009B36DE">
          <w:rPr>
            <w:noProof/>
            <w:webHidden/>
          </w:rPr>
          <w:fldChar w:fldCharType="separate"/>
        </w:r>
        <w:r w:rsidR="00CB0393">
          <w:rPr>
            <w:noProof/>
            <w:webHidden/>
          </w:rPr>
          <w:t>8</w:t>
        </w:r>
        <w:r w:rsidR="009B36DE">
          <w:rPr>
            <w:noProof/>
            <w:webHidden/>
          </w:rPr>
          <w:fldChar w:fldCharType="end"/>
        </w:r>
      </w:hyperlink>
    </w:p>
    <w:p w14:paraId="131BE62C" w14:textId="319FE2CB" w:rsidR="009B36DE" w:rsidRDefault="004852F7">
      <w:pPr>
        <w:pStyle w:val="TOC2"/>
        <w:tabs>
          <w:tab w:val="left" w:pos="1152"/>
        </w:tabs>
        <w:rPr>
          <w:rFonts w:asciiTheme="minorHAnsi" w:eastAsiaTheme="minorEastAsia" w:hAnsiTheme="minorHAnsi" w:cstheme="minorBidi"/>
          <w:noProof/>
          <w:sz w:val="22"/>
          <w:szCs w:val="22"/>
        </w:rPr>
      </w:pPr>
      <w:hyperlink w:anchor="_Toc11750127" w:history="1">
        <w:r w:rsidR="009B36DE" w:rsidRPr="00C96D29">
          <w:rPr>
            <w:rStyle w:val="Hyperlink"/>
            <w:noProof/>
          </w:rPr>
          <w:t>4.</w:t>
        </w:r>
        <w:r w:rsidR="009B36DE">
          <w:rPr>
            <w:rFonts w:asciiTheme="minorHAnsi" w:eastAsiaTheme="minorEastAsia" w:hAnsiTheme="minorHAnsi" w:cstheme="minorBidi"/>
            <w:noProof/>
            <w:sz w:val="22"/>
            <w:szCs w:val="22"/>
          </w:rPr>
          <w:tab/>
        </w:r>
        <w:r w:rsidR="009B36DE" w:rsidRPr="00C96D29">
          <w:rPr>
            <w:rStyle w:val="Hyperlink"/>
            <w:noProof/>
          </w:rPr>
          <w:t>Efforts to Identify Duplication and Use of Similar Information</w:t>
        </w:r>
        <w:r w:rsidR="009B36DE">
          <w:rPr>
            <w:noProof/>
            <w:webHidden/>
          </w:rPr>
          <w:tab/>
        </w:r>
        <w:r w:rsidR="009B36DE">
          <w:rPr>
            <w:noProof/>
            <w:webHidden/>
          </w:rPr>
          <w:fldChar w:fldCharType="begin"/>
        </w:r>
        <w:r w:rsidR="009B36DE">
          <w:rPr>
            <w:noProof/>
            <w:webHidden/>
          </w:rPr>
          <w:instrText xml:space="preserve"> PAGEREF _Toc11750127 \h </w:instrText>
        </w:r>
        <w:r w:rsidR="009B36DE">
          <w:rPr>
            <w:noProof/>
            <w:webHidden/>
          </w:rPr>
        </w:r>
        <w:r w:rsidR="009B36DE">
          <w:rPr>
            <w:noProof/>
            <w:webHidden/>
          </w:rPr>
          <w:fldChar w:fldCharType="separate"/>
        </w:r>
        <w:r w:rsidR="00CB0393">
          <w:rPr>
            <w:noProof/>
            <w:webHidden/>
          </w:rPr>
          <w:t>8</w:t>
        </w:r>
        <w:r w:rsidR="009B36DE">
          <w:rPr>
            <w:noProof/>
            <w:webHidden/>
          </w:rPr>
          <w:fldChar w:fldCharType="end"/>
        </w:r>
      </w:hyperlink>
    </w:p>
    <w:p w14:paraId="3059D617" w14:textId="031D1EF2" w:rsidR="009B36DE" w:rsidRDefault="004852F7">
      <w:pPr>
        <w:pStyle w:val="TOC2"/>
        <w:tabs>
          <w:tab w:val="left" w:pos="1152"/>
        </w:tabs>
        <w:rPr>
          <w:rFonts w:asciiTheme="minorHAnsi" w:eastAsiaTheme="minorEastAsia" w:hAnsiTheme="minorHAnsi" w:cstheme="minorBidi"/>
          <w:noProof/>
          <w:sz w:val="22"/>
          <w:szCs w:val="22"/>
        </w:rPr>
      </w:pPr>
      <w:hyperlink w:anchor="_Toc11750128" w:history="1">
        <w:r w:rsidR="009B36DE" w:rsidRPr="00C96D29">
          <w:rPr>
            <w:rStyle w:val="Hyperlink"/>
            <w:noProof/>
          </w:rPr>
          <w:t>5.</w:t>
        </w:r>
        <w:r w:rsidR="009B36DE">
          <w:rPr>
            <w:rFonts w:asciiTheme="minorHAnsi" w:eastAsiaTheme="minorEastAsia" w:hAnsiTheme="minorHAnsi" w:cstheme="minorBidi"/>
            <w:noProof/>
            <w:sz w:val="22"/>
            <w:szCs w:val="22"/>
          </w:rPr>
          <w:tab/>
        </w:r>
        <w:r w:rsidR="009B36DE" w:rsidRPr="00C96D29">
          <w:rPr>
            <w:rStyle w:val="Hyperlink"/>
            <w:noProof/>
          </w:rPr>
          <w:t>Impact on Small Businesses or Other Small Entities</w:t>
        </w:r>
        <w:r w:rsidR="009B36DE">
          <w:rPr>
            <w:noProof/>
            <w:webHidden/>
          </w:rPr>
          <w:tab/>
        </w:r>
        <w:r w:rsidR="009B36DE">
          <w:rPr>
            <w:noProof/>
            <w:webHidden/>
          </w:rPr>
          <w:fldChar w:fldCharType="begin"/>
        </w:r>
        <w:r w:rsidR="009B36DE">
          <w:rPr>
            <w:noProof/>
            <w:webHidden/>
          </w:rPr>
          <w:instrText xml:space="preserve"> PAGEREF _Toc11750128 \h </w:instrText>
        </w:r>
        <w:r w:rsidR="009B36DE">
          <w:rPr>
            <w:noProof/>
            <w:webHidden/>
          </w:rPr>
        </w:r>
        <w:r w:rsidR="009B36DE">
          <w:rPr>
            <w:noProof/>
            <w:webHidden/>
          </w:rPr>
          <w:fldChar w:fldCharType="separate"/>
        </w:r>
        <w:r w:rsidR="00CB0393">
          <w:rPr>
            <w:noProof/>
            <w:webHidden/>
          </w:rPr>
          <w:t>8</w:t>
        </w:r>
        <w:r w:rsidR="009B36DE">
          <w:rPr>
            <w:noProof/>
            <w:webHidden/>
          </w:rPr>
          <w:fldChar w:fldCharType="end"/>
        </w:r>
      </w:hyperlink>
    </w:p>
    <w:p w14:paraId="0176FB5D" w14:textId="141C10CC" w:rsidR="009B36DE" w:rsidRDefault="004852F7">
      <w:pPr>
        <w:pStyle w:val="TOC2"/>
        <w:tabs>
          <w:tab w:val="left" w:pos="1152"/>
        </w:tabs>
        <w:rPr>
          <w:rFonts w:asciiTheme="minorHAnsi" w:eastAsiaTheme="minorEastAsia" w:hAnsiTheme="minorHAnsi" w:cstheme="minorBidi"/>
          <w:noProof/>
          <w:sz w:val="22"/>
          <w:szCs w:val="22"/>
        </w:rPr>
      </w:pPr>
      <w:hyperlink w:anchor="_Toc11750129" w:history="1">
        <w:r w:rsidR="009B36DE" w:rsidRPr="00C96D29">
          <w:rPr>
            <w:rStyle w:val="Hyperlink"/>
            <w:noProof/>
          </w:rPr>
          <w:t>6.</w:t>
        </w:r>
        <w:r w:rsidR="009B36DE">
          <w:rPr>
            <w:rFonts w:asciiTheme="minorHAnsi" w:eastAsiaTheme="minorEastAsia" w:hAnsiTheme="minorHAnsi" w:cstheme="minorBidi"/>
            <w:noProof/>
            <w:sz w:val="22"/>
            <w:szCs w:val="22"/>
          </w:rPr>
          <w:tab/>
        </w:r>
        <w:r w:rsidR="009B36DE" w:rsidRPr="00C96D29">
          <w:rPr>
            <w:rStyle w:val="Hyperlink"/>
            <w:noProof/>
          </w:rPr>
          <w:t>Consequences of Not Collecting the Information or of Collecting Less Frequently</w:t>
        </w:r>
        <w:r w:rsidR="009B36DE">
          <w:rPr>
            <w:noProof/>
            <w:webHidden/>
          </w:rPr>
          <w:tab/>
        </w:r>
        <w:r w:rsidR="009B36DE">
          <w:rPr>
            <w:noProof/>
            <w:webHidden/>
          </w:rPr>
          <w:fldChar w:fldCharType="begin"/>
        </w:r>
        <w:r w:rsidR="009B36DE">
          <w:rPr>
            <w:noProof/>
            <w:webHidden/>
          </w:rPr>
          <w:instrText xml:space="preserve"> PAGEREF _Toc11750129 \h </w:instrText>
        </w:r>
        <w:r w:rsidR="009B36DE">
          <w:rPr>
            <w:noProof/>
            <w:webHidden/>
          </w:rPr>
        </w:r>
        <w:r w:rsidR="009B36DE">
          <w:rPr>
            <w:noProof/>
            <w:webHidden/>
          </w:rPr>
          <w:fldChar w:fldCharType="separate"/>
        </w:r>
        <w:r w:rsidR="00CB0393">
          <w:rPr>
            <w:noProof/>
            <w:webHidden/>
          </w:rPr>
          <w:t>9</w:t>
        </w:r>
        <w:r w:rsidR="009B36DE">
          <w:rPr>
            <w:noProof/>
            <w:webHidden/>
          </w:rPr>
          <w:fldChar w:fldCharType="end"/>
        </w:r>
      </w:hyperlink>
    </w:p>
    <w:p w14:paraId="4C95CB71" w14:textId="5A6D3095" w:rsidR="009B36DE" w:rsidRDefault="004852F7">
      <w:pPr>
        <w:pStyle w:val="TOC2"/>
        <w:tabs>
          <w:tab w:val="left" w:pos="1152"/>
        </w:tabs>
        <w:rPr>
          <w:rFonts w:asciiTheme="minorHAnsi" w:eastAsiaTheme="minorEastAsia" w:hAnsiTheme="minorHAnsi" w:cstheme="minorBidi"/>
          <w:noProof/>
          <w:sz w:val="22"/>
          <w:szCs w:val="22"/>
        </w:rPr>
      </w:pPr>
      <w:hyperlink w:anchor="_Toc11750130" w:history="1">
        <w:r w:rsidR="009B36DE" w:rsidRPr="00C96D29">
          <w:rPr>
            <w:rStyle w:val="Hyperlink"/>
            <w:noProof/>
          </w:rPr>
          <w:t>7.</w:t>
        </w:r>
        <w:r w:rsidR="009B36DE">
          <w:rPr>
            <w:rFonts w:asciiTheme="minorHAnsi" w:eastAsiaTheme="minorEastAsia" w:hAnsiTheme="minorHAnsi" w:cstheme="minorBidi"/>
            <w:noProof/>
            <w:sz w:val="22"/>
            <w:szCs w:val="22"/>
          </w:rPr>
          <w:tab/>
        </w:r>
        <w:r w:rsidR="009B36DE" w:rsidRPr="00C96D29">
          <w:rPr>
            <w:rStyle w:val="Hyperlink"/>
            <w:noProof/>
          </w:rPr>
          <w:t>Special Circumstances Relating to the Guidelines of 5 CFR 1320.5</w:t>
        </w:r>
        <w:r w:rsidR="009B36DE">
          <w:rPr>
            <w:noProof/>
            <w:webHidden/>
          </w:rPr>
          <w:tab/>
        </w:r>
        <w:r w:rsidR="009B36DE">
          <w:rPr>
            <w:noProof/>
            <w:webHidden/>
          </w:rPr>
          <w:fldChar w:fldCharType="begin"/>
        </w:r>
        <w:r w:rsidR="009B36DE">
          <w:rPr>
            <w:noProof/>
            <w:webHidden/>
          </w:rPr>
          <w:instrText xml:space="preserve"> PAGEREF _Toc11750130 \h </w:instrText>
        </w:r>
        <w:r w:rsidR="009B36DE">
          <w:rPr>
            <w:noProof/>
            <w:webHidden/>
          </w:rPr>
        </w:r>
        <w:r w:rsidR="009B36DE">
          <w:rPr>
            <w:noProof/>
            <w:webHidden/>
          </w:rPr>
          <w:fldChar w:fldCharType="separate"/>
        </w:r>
        <w:r w:rsidR="00CB0393">
          <w:rPr>
            <w:noProof/>
            <w:webHidden/>
          </w:rPr>
          <w:t>9</w:t>
        </w:r>
        <w:r w:rsidR="009B36DE">
          <w:rPr>
            <w:noProof/>
            <w:webHidden/>
          </w:rPr>
          <w:fldChar w:fldCharType="end"/>
        </w:r>
      </w:hyperlink>
    </w:p>
    <w:p w14:paraId="29AA91C8" w14:textId="1D3F1458" w:rsidR="009B36DE" w:rsidRDefault="004852F7">
      <w:pPr>
        <w:pStyle w:val="TOC2"/>
        <w:tabs>
          <w:tab w:val="left" w:pos="1152"/>
        </w:tabs>
        <w:rPr>
          <w:rFonts w:asciiTheme="minorHAnsi" w:eastAsiaTheme="minorEastAsia" w:hAnsiTheme="minorHAnsi" w:cstheme="minorBidi"/>
          <w:noProof/>
          <w:sz w:val="22"/>
          <w:szCs w:val="22"/>
        </w:rPr>
      </w:pPr>
      <w:hyperlink w:anchor="_Toc11750131" w:history="1">
        <w:r w:rsidR="009B36DE" w:rsidRPr="00C96D29">
          <w:rPr>
            <w:rStyle w:val="Hyperlink"/>
            <w:noProof/>
          </w:rPr>
          <w:t>8.</w:t>
        </w:r>
        <w:r w:rsidR="009B36DE">
          <w:rPr>
            <w:rFonts w:asciiTheme="minorHAnsi" w:eastAsiaTheme="minorEastAsia" w:hAnsiTheme="minorHAnsi" w:cstheme="minorBidi"/>
            <w:noProof/>
            <w:sz w:val="22"/>
            <w:szCs w:val="22"/>
          </w:rPr>
          <w:tab/>
        </w:r>
        <w:r w:rsidR="009B36DE" w:rsidRPr="00C96D29">
          <w:rPr>
            <w:rStyle w:val="Hyperlink"/>
            <w:noProof/>
          </w:rPr>
          <w:t>Comments in Response to the Federal Register Notice, and Outside Consultation</w:t>
        </w:r>
        <w:r w:rsidR="009B36DE">
          <w:rPr>
            <w:noProof/>
            <w:webHidden/>
          </w:rPr>
          <w:tab/>
        </w:r>
        <w:r w:rsidR="009B36DE">
          <w:rPr>
            <w:noProof/>
            <w:webHidden/>
          </w:rPr>
          <w:fldChar w:fldCharType="begin"/>
        </w:r>
        <w:r w:rsidR="009B36DE">
          <w:rPr>
            <w:noProof/>
            <w:webHidden/>
          </w:rPr>
          <w:instrText xml:space="preserve"> PAGEREF _Toc11750131 \h </w:instrText>
        </w:r>
        <w:r w:rsidR="009B36DE">
          <w:rPr>
            <w:noProof/>
            <w:webHidden/>
          </w:rPr>
        </w:r>
        <w:r w:rsidR="009B36DE">
          <w:rPr>
            <w:noProof/>
            <w:webHidden/>
          </w:rPr>
          <w:fldChar w:fldCharType="separate"/>
        </w:r>
        <w:r w:rsidR="00CB0393">
          <w:rPr>
            <w:noProof/>
            <w:webHidden/>
          </w:rPr>
          <w:t>9</w:t>
        </w:r>
        <w:r w:rsidR="009B36DE">
          <w:rPr>
            <w:noProof/>
            <w:webHidden/>
          </w:rPr>
          <w:fldChar w:fldCharType="end"/>
        </w:r>
      </w:hyperlink>
    </w:p>
    <w:p w14:paraId="0FA781E5" w14:textId="417EDB32" w:rsidR="009B36DE" w:rsidRDefault="004852F7">
      <w:pPr>
        <w:pStyle w:val="TOC2"/>
        <w:tabs>
          <w:tab w:val="left" w:pos="1152"/>
        </w:tabs>
        <w:rPr>
          <w:rFonts w:asciiTheme="minorHAnsi" w:eastAsiaTheme="minorEastAsia" w:hAnsiTheme="minorHAnsi" w:cstheme="minorBidi"/>
          <w:noProof/>
          <w:sz w:val="22"/>
          <w:szCs w:val="22"/>
        </w:rPr>
      </w:pPr>
      <w:hyperlink w:anchor="_Toc11750132" w:history="1">
        <w:r w:rsidR="009B36DE" w:rsidRPr="00C96D29">
          <w:rPr>
            <w:rStyle w:val="Hyperlink"/>
            <w:noProof/>
          </w:rPr>
          <w:t>9.</w:t>
        </w:r>
        <w:r w:rsidR="009B36DE">
          <w:rPr>
            <w:rFonts w:asciiTheme="minorHAnsi" w:eastAsiaTheme="minorEastAsia" w:hAnsiTheme="minorHAnsi" w:cstheme="minorBidi"/>
            <w:noProof/>
            <w:sz w:val="22"/>
            <w:szCs w:val="22"/>
          </w:rPr>
          <w:tab/>
        </w:r>
        <w:r w:rsidR="009B36DE" w:rsidRPr="00C96D29">
          <w:rPr>
            <w:rStyle w:val="Hyperlink"/>
            <w:noProof/>
          </w:rPr>
          <w:t>Explanation of Any Payment/Gifts to Respondents</w:t>
        </w:r>
        <w:r w:rsidR="009B36DE">
          <w:rPr>
            <w:noProof/>
            <w:webHidden/>
          </w:rPr>
          <w:tab/>
        </w:r>
        <w:r w:rsidR="009B36DE">
          <w:rPr>
            <w:noProof/>
            <w:webHidden/>
          </w:rPr>
          <w:fldChar w:fldCharType="begin"/>
        </w:r>
        <w:r w:rsidR="009B36DE">
          <w:rPr>
            <w:noProof/>
            <w:webHidden/>
          </w:rPr>
          <w:instrText xml:space="preserve"> PAGEREF _Toc11750132 \h </w:instrText>
        </w:r>
        <w:r w:rsidR="009B36DE">
          <w:rPr>
            <w:noProof/>
            <w:webHidden/>
          </w:rPr>
        </w:r>
        <w:r w:rsidR="009B36DE">
          <w:rPr>
            <w:noProof/>
            <w:webHidden/>
          </w:rPr>
          <w:fldChar w:fldCharType="separate"/>
        </w:r>
        <w:r w:rsidR="00CB0393">
          <w:rPr>
            <w:noProof/>
            <w:webHidden/>
          </w:rPr>
          <w:t>10</w:t>
        </w:r>
        <w:r w:rsidR="009B36DE">
          <w:rPr>
            <w:noProof/>
            <w:webHidden/>
          </w:rPr>
          <w:fldChar w:fldCharType="end"/>
        </w:r>
      </w:hyperlink>
    </w:p>
    <w:p w14:paraId="282EF8AC" w14:textId="6FA484B7" w:rsidR="009B36DE" w:rsidRDefault="004852F7">
      <w:pPr>
        <w:pStyle w:val="TOC2"/>
        <w:tabs>
          <w:tab w:val="left" w:pos="1152"/>
        </w:tabs>
        <w:rPr>
          <w:rFonts w:asciiTheme="minorHAnsi" w:eastAsiaTheme="minorEastAsia" w:hAnsiTheme="minorHAnsi" w:cstheme="minorBidi"/>
          <w:noProof/>
          <w:sz w:val="22"/>
          <w:szCs w:val="22"/>
        </w:rPr>
      </w:pPr>
      <w:hyperlink w:anchor="_Toc11750133" w:history="1">
        <w:r w:rsidR="009B36DE" w:rsidRPr="00C96D29">
          <w:rPr>
            <w:rStyle w:val="Hyperlink"/>
            <w:noProof/>
          </w:rPr>
          <w:t>10.</w:t>
        </w:r>
        <w:r w:rsidR="009B36DE">
          <w:rPr>
            <w:rFonts w:asciiTheme="minorHAnsi" w:eastAsiaTheme="minorEastAsia" w:hAnsiTheme="minorHAnsi" w:cstheme="minorBidi"/>
            <w:noProof/>
            <w:sz w:val="22"/>
            <w:szCs w:val="22"/>
          </w:rPr>
          <w:tab/>
        </w:r>
        <w:r w:rsidR="009B36DE" w:rsidRPr="00C96D29">
          <w:rPr>
            <w:rStyle w:val="Hyperlink"/>
            <w:noProof/>
          </w:rPr>
          <w:t>Assurance of Confidentiality Provided to Respondents</w:t>
        </w:r>
        <w:r w:rsidR="009B36DE">
          <w:rPr>
            <w:noProof/>
            <w:webHidden/>
          </w:rPr>
          <w:tab/>
        </w:r>
        <w:r w:rsidR="009B36DE">
          <w:rPr>
            <w:noProof/>
            <w:webHidden/>
          </w:rPr>
          <w:fldChar w:fldCharType="begin"/>
        </w:r>
        <w:r w:rsidR="009B36DE">
          <w:rPr>
            <w:noProof/>
            <w:webHidden/>
          </w:rPr>
          <w:instrText xml:space="preserve"> PAGEREF _Toc11750133 \h </w:instrText>
        </w:r>
        <w:r w:rsidR="009B36DE">
          <w:rPr>
            <w:noProof/>
            <w:webHidden/>
          </w:rPr>
        </w:r>
        <w:r w:rsidR="009B36DE">
          <w:rPr>
            <w:noProof/>
            <w:webHidden/>
          </w:rPr>
          <w:fldChar w:fldCharType="separate"/>
        </w:r>
        <w:r w:rsidR="00CB0393">
          <w:rPr>
            <w:noProof/>
            <w:webHidden/>
          </w:rPr>
          <w:t>11</w:t>
        </w:r>
        <w:r w:rsidR="009B36DE">
          <w:rPr>
            <w:noProof/>
            <w:webHidden/>
          </w:rPr>
          <w:fldChar w:fldCharType="end"/>
        </w:r>
      </w:hyperlink>
    </w:p>
    <w:p w14:paraId="2D06A717" w14:textId="0EF473FD" w:rsidR="009B36DE" w:rsidRDefault="004852F7">
      <w:pPr>
        <w:pStyle w:val="TOC2"/>
        <w:tabs>
          <w:tab w:val="left" w:pos="1152"/>
        </w:tabs>
        <w:rPr>
          <w:rFonts w:asciiTheme="minorHAnsi" w:eastAsiaTheme="minorEastAsia" w:hAnsiTheme="minorHAnsi" w:cstheme="minorBidi"/>
          <w:noProof/>
          <w:sz w:val="22"/>
          <w:szCs w:val="22"/>
        </w:rPr>
      </w:pPr>
      <w:hyperlink w:anchor="_Toc11750134" w:history="1">
        <w:r w:rsidR="009B36DE" w:rsidRPr="00C96D29">
          <w:rPr>
            <w:rStyle w:val="Hyperlink"/>
            <w:noProof/>
          </w:rPr>
          <w:t>11.</w:t>
        </w:r>
        <w:r w:rsidR="009B36DE">
          <w:rPr>
            <w:rFonts w:asciiTheme="minorHAnsi" w:eastAsiaTheme="minorEastAsia" w:hAnsiTheme="minorHAnsi" w:cstheme="minorBidi"/>
            <w:noProof/>
            <w:sz w:val="22"/>
            <w:szCs w:val="22"/>
          </w:rPr>
          <w:tab/>
        </w:r>
        <w:r w:rsidR="009B36DE" w:rsidRPr="00C96D29">
          <w:rPr>
            <w:rStyle w:val="Hyperlink"/>
            <w:noProof/>
          </w:rPr>
          <w:t>Justification for Sensitive Questions</w:t>
        </w:r>
        <w:r w:rsidR="009B36DE">
          <w:rPr>
            <w:noProof/>
            <w:webHidden/>
          </w:rPr>
          <w:tab/>
        </w:r>
        <w:r w:rsidR="009B36DE">
          <w:rPr>
            <w:noProof/>
            <w:webHidden/>
          </w:rPr>
          <w:fldChar w:fldCharType="begin"/>
        </w:r>
        <w:r w:rsidR="009B36DE">
          <w:rPr>
            <w:noProof/>
            <w:webHidden/>
          </w:rPr>
          <w:instrText xml:space="preserve"> PAGEREF _Toc11750134 \h </w:instrText>
        </w:r>
        <w:r w:rsidR="009B36DE">
          <w:rPr>
            <w:noProof/>
            <w:webHidden/>
          </w:rPr>
        </w:r>
        <w:r w:rsidR="009B36DE">
          <w:rPr>
            <w:noProof/>
            <w:webHidden/>
          </w:rPr>
          <w:fldChar w:fldCharType="separate"/>
        </w:r>
        <w:r w:rsidR="00CB0393">
          <w:rPr>
            <w:noProof/>
            <w:webHidden/>
          </w:rPr>
          <w:t>13</w:t>
        </w:r>
        <w:r w:rsidR="009B36DE">
          <w:rPr>
            <w:noProof/>
            <w:webHidden/>
          </w:rPr>
          <w:fldChar w:fldCharType="end"/>
        </w:r>
      </w:hyperlink>
    </w:p>
    <w:p w14:paraId="7344F791" w14:textId="02A22727" w:rsidR="009B36DE" w:rsidRDefault="004852F7">
      <w:pPr>
        <w:pStyle w:val="TOC2"/>
        <w:tabs>
          <w:tab w:val="left" w:pos="1152"/>
        </w:tabs>
        <w:rPr>
          <w:rFonts w:asciiTheme="minorHAnsi" w:eastAsiaTheme="minorEastAsia" w:hAnsiTheme="minorHAnsi" w:cstheme="minorBidi"/>
          <w:noProof/>
          <w:sz w:val="22"/>
          <w:szCs w:val="22"/>
        </w:rPr>
      </w:pPr>
      <w:hyperlink w:anchor="_Toc11750135" w:history="1">
        <w:r w:rsidR="009B36DE" w:rsidRPr="00C96D29">
          <w:rPr>
            <w:rStyle w:val="Hyperlink"/>
            <w:noProof/>
          </w:rPr>
          <w:t>12.</w:t>
        </w:r>
        <w:r w:rsidR="009B36DE">
          <w:rPr>
            <w:rFonts w:asciiTheme="minorHAnsi" w:eastAsiaTheme="minorEastAsia" w:hAnsiTheme="minorHAnsi" w:cstheme="minorBidi"/>
            <w:noProof/>
            <w:sz w:val="22"/>
            <w:szCs w:val="22"/>
          </w:rPr>
          <w:tab/>
        </w:r>
        <w:r w:rsidR="009B36DE" w:rsidRPr="00C96D29">
          <w:rPr>
            <w:rStyle w:val="Hyperlink"/>
            <w:noProof/>
          </w:rPr>
          <w:t>Estimates of Annualized Hour and Cost Burden</w:t>
        </w:r>
        <w:r w:rsidR="009B36DE">
          <w:rPr>
            <w:noProof/>
            <w:webHidden/>
          </w:rPr>
          <w:tab/>
        </w:r>
        <w:r w:rsidR="009B36DE">
          <w:rPr>
            <w:noProof/>
            <w:webHidden/>
          </w:rPr>
          <w:fldChar w:fldCharType="begin"/>
        </w:r>
        <w:r w:rsidR="009B36DE">
          <w:rPr>
            <w:noProof/>
            <w:webHidden/>
          </w:rPr>
          <w:instrText xml:space="preserve"> PAGEREF _Toc11750135 \h </w:instrText>
        </w:r>
        <w:r w:rsidR="009B36DE">
          <w:rPr>
            <w:noProof/>
            <w:webHidden/>
          </w:rPr>
        </w:r>
        <w:r w:rsidR="009B36DE">
          <w:rPr>
            <w:noProof/>
            <w:webHidden/>
          </w:rPr>
          <w:fldChar w:fldCharType="separate"/>
        </w:r>
        <w:r w:rsidR="00CB0393">
          <w:rPr>
            <w:noProof/>
            <w:webHidden/>
          </w:rPr>
          <w:t>13</w:t>
        </w:r>
        <w:r w:rsidR="009B36DE">
          <w:rPr>
            <w:noProof/>
            <w:webHidden/>
          </w:rPr>
          <w:fldChar w:fldCharType="end"/>
        </w:r>
      </w:hyperlink>
    </w:p>
    <w:p w14:paraId="37DA6A31" w14:textId="1007A77E" w:rsidR="009B36DE" w:rsidRDefault="004852F7">
      <w:pPr>
        <w:pStyle w:val="TOC2"/>
        <w:tabs>
          <w:tab w:val="left" w:pos="1152"/>
        </w:tabs>
        <w:rPr>
          <w:rFonts w:asciiTheme="minorHAnsi" w:eastAsiaTheme="minorEastAsia" w:hAnsiTheme="minorHAnsi" w:cstheme="minorBidi"/>
          <w:noProof/>
          <w:sz w:val="22"/>
          <w:szCs w:val="22"/>
        </w:rPr>
      </w:pPr>
      <w:hyperlink w:anchor="_Toc11750136" w:history="1">
        <w:r w:rsidR="009B36DE" w:rsidRPr="00C96D29">
          <w:rPr>
            <w:rStyle w:val="Hyperlink"/>
            <w:noProof/>
          </w:rPr>
          <w:t>13.</w:t>
        </w:r>
        <w:r w:rsidR="009B36DE">
          <w:rPr>
            <w:rFonts w:asciiTheme="minorHAnsi" w:eastAsiaTheme="minorEastAsia" w:hAnsiTheme="minorHAnsi" w:cstheme="minorBidi"/>
            <w:noProof/>
            <w:sz w:val="22"/>
            <w:szCs w:val="22"/>
          </w:rPr>
          <w:tab/>
        </w:r>
        <w:r w:rsidR="009B36DE" w:rsidRPr="00C96D29">
          <w:rPr>
            <w:rStyle w:val="Hyperlink"/>
            <w:noProof/>
          </w:rPr>
          <w:t>Estimate of Other Total Annual Cost Burden to Respondents or Recordkeepers and Estimate of Capital Costs</w:t>
        </w:r>
        <w:r w:rsidR="009B36DE">
          <w:rPr>
            <w:noProof/>
            <w:webHidden/>
          </w:rPr>
          <w:tab/>
        </w:r>
        <w:r w:rsidR="009B36DE">
          <w:rPr>
            <w:noProof/>
            <w:webHidden/>
          </w:rPr>
          <w:fldChar w:fldCharType="begin"/>
        </w:r>
        <w:r w:rsidR="009B36DE">
          <w:rPr>
            <w:noProof/>
            <w:webHidden/>
          </w:rPr>
          <w:instrText xml:space="preserve"> PAGEREF _Toc11750136 \h </w:instrText>
        </w:r>
        <w:r w:rsidR="009B36DE">
          <w:rPr>
            <w:noProof/>
            <w:webHidden/>
          </w:rPr>
        </w:r>
        <w:r w:rsidR="009B36DE">
          <w:rPr>
            <w:noProof/>
            <w:webHidden/>
          </w:rPr>
          <w:fldChar w:fldCharType="separate"/>
        </w:r>
        <w:r w:rsidR="00CB0393">
          <w:rPr>
            <w:noProof/>
            <w:webHidden/>
          </w:rPr>
          <w:t>18</w:t>
        </w:r>
        <w:r w:rsidR="009B36DE">
          <w:rPr>
            <w:noProof/>
            <w:webHidden/>
          </w:rPr>
          <w:fldChar w:fldCharType="end"/>
        </w:r>
      </w:hyperlink>
    </w:p>
    <w:p w14:paraId="51289EA9" w14:textId="7D4ACE47" w:rsidR="009B36DE" w:rsidRDefault="004852F7">
      <w:pPr>
        <w:pStyle w:val="TOC2"/>
        <w:tabs>
          <w:tab w:val="left" w:pos="1152"/>
        </w:tabs>
        <w:rPr>
          <w:rFonts w:asciiTheme="minorHAnsi" w:eastAsiaTheme="minorEastAsia" w:hAnsiTheme="minorHAnsi" w:cstheme="minorBidi"/>
          <w:noProof/>
          <w:sz w:val="22"/>
          <w:szCs w:val="22"/>
        </w:rPr>
      </w:pPr>
      <w:hyperlink w:anchor="_Toc11750137" w:history="1">
        <w:r w:rsidR="009B36DE" w:rsidRPr="00C96D29">
          <w:rPr>
            <w:rStyle w:val="Hyperlink"/>
            <w:noProof/>
          </w:rPr>
          <w:t>14.</w:t>
        </w:r>
        <w:r w:rsidR="009B36DE">
          <w:rPr>
            <w:rFonts w:asciiTheme="minorHAnsi" w:eastAsiaTheme="minorEastAsia" w:hAnsiTheme="minorHAnsi" w:cstheme="minorBidi"/>
            <w:noProof/>
            <w:sz w:val="22"/>
            <w:szCs w:val="22"/>
          </w:rPr>
          <w:tab/>
        </w:r>
        <w:r w:rsidR="009B36DE" w:rsidRPr="00C96D29">
          <w:rPr>
            <w:rStyle w:val="Hyperlink"/>
            <w:noProof/>
          </w:rPr>
          <w:t>Annualized Cost to Federal Government</w:t>
        </w:r>
        <w:r w:rsidR="009B36DE">
          <w:rPr>
            <w:noProof/>
            <w:webHidden/>
          </w:rPr>
          <w:tab/>
        </w:r>
        <w:r w:rsidR="009B36DE">
          <w:rPr>
            <w:noProof/>
            <w:webHidden/>
          </w:rPr>
          <w:fldChar w:fldCharType="begin"/>
        </w:r>
        <w:r w:rsidR="009B36DE">
          <w:rPr>
            <w:noProof/>
            <w:webHidden/>
          </w:rPr>
          <w:instrText xml:space="preserve"> PAGEREF _Toc11750137 \h </w:instrText>
        </w:r>
        <w:r w:rsidR="009B36DE">
          <w:rPr>
            <w:noProof/>
            <w:webHidden/>
          </w:rPr>
        </w:r>
        <w:r w:rsidR="009B36DE">
          <w:rPr>
            <w:noProof/>
            <w:webHidden/>
          </w:rPr>
          <w:fldChar w:fldCharType="separate"/>
        </w:r>
        <w:r w:rsidR="00CB0393">
          <w:rPr>
            <w:noProof/>
            <w:webHidden/>
          </w:rPr>
          <w:t>18</w:t>
        </w:r>
        <w:r w:rsidR="009B36DE">
          <w:rPr>
            <w:noProof/>
            <w:webHidden/>
          </w:rPr>
          <w:fldChar w:fldCharType="end"/>
        </w:r>
      </w:hyperlink>
    </w:p>
    <w:p w14:paraId="1E5B9077" w14:textId="3FFE06B2" w:rsidR="009B36DE" w:rsidRDefault="004852F7">
      <w:pPr>
        <w:pStyle w:val="TOC2"/>
        <w:tabs>
          <w:tab w:val="left" w:pos="1152"/>
        </w:tabs>
        <w:rPr>
          <w:rFonts w:asciiTheme="minorHAnsi" w:eastAsiaTheme="minorEastAsia" w:hAnsiTheme="minorHAnsi" w:cstheme="minorBidi"/>
          <w:noProof/>
          <w:sz w:val="22"/>
          <w:szCs w:val="22"/>
        </w:rPr>
      </w:pPr>
      <w:hyperlink w:anchor="_Toc11750138" w:history="1">
        <w:r w:rsidR="009B36DE" w:rsidRPr="00C96D29">
          <w:rPr>
            <w:rStyle w:val="Hyperlink"/>
            <w:noProof/>
          </w:rPr>
          <w:t>15.</w:t>
        </w:r>
        <w:r w:rsidR="009B36DE">
          <w:rPr>
            <w:rFonts w:asciiTheme="minorHAnsi" w:eastAsiaTheme="minorEastAsia" w:hAnsiTheme="minorHAnsi" w:cstheme="minorBidi"/>
            <w:noProof/>
            <w:sz w:val="22"/>
            <w:szCs w:val="22"/>
          </w:rPr>
          <w:tab/>
        </w:r>
        <w:r w:rsidR="009B36DE" w:rsidRPr="00C96D29">
          <w:rPr>
            <w:rStyle w:val="Hyperlink"/>
            <w:noProof/>
          </w:rPr>
          <w:t>Program Changes or Adjustments</w:t>
        </w:r>
        <w:r w:rsidR="009B36DE">
          <w:rPr>
            <w:noProof/>
            <w:webHidden/>
          </w:rPr>
          <w:tab/>
        </w:r>
        <w:r w:rsidR="009B36DE">
          <w:rPr>
            <w:noProof/>
            <w:webHidden/>
          </w:rPr>
          <w:fldChar w:fldCharType="begin"/>
        </w:r>
        <w:r w:rsidR="009B36DE">
          <w:rPr>
            <w:noProof/>
            <w:webHidden/>
          </w:rPr>
          <w:instrText xml:space="preserve"> PAGEREF _Toc11750138 \h </w:instrText>
        </w:r>
        <w:r w:rsidR="009B36DE">
          <w:rPr>
            <w:noProof/>
            <w:webHidden/>
          </w:rPr>
        </w:r>
        <w:r w:rsidR="009B36DE">
          <w:rPr>
            <w:noProof/>
            <w:webHidden/>
          </w:rPr>
          <w:fldChar w:fldCharType="separate"/>
        </w:r>
        <w:r w:rsidR="00CB0393">
          <w:rPr>
            <w:noProof/>
            <w:webHidden/>
          </w:rPr>
          <w:t>18</w:t>
        </w:r>
        <w:r w:rsidR="009B36DE">
          <w:rPr>
            <w:noProof/>
            <w:webHidden/>
          </w:rPr>
          <w:fldChar w:fldCharType="end"/>
        </w:r>
      </w:hyperlink>
    </w:p>
    <w:p w14:paraId="39C1DB41" w14:textId="18B3B0E0" w:rsidR="009B36DE" w:rsidRDefault="004852F7">
      <w:pPr>
        <w:pStyle w:val="TOC2"/>
        <w:tabs>
          <w:tab w:val="left" w:pos="1152"/>
        </w:tabs>
        <w:rPr>
          <w:rFonts w:asciiTheme="minorHAnsi" w:eastAsiaTheme="minorEastAsia" w:hAnsiTheme="minorHAnsi" w:cstheme="minorBidi"/>
          <w:noProof/>
          <w:sz w:val="22"/>
          <w:szCs w:val="22"/>
        </w:rPr>
      </w:pPr>
      <w:hyperlink w:anchor="_Toc11750139" w:history="1">
        <w:r w:rsidR="009B36DE" w:rsidRPr="00C96D29">
          <w:rPr>
            <w:rStyle w:val="Hyperlink"/>
            <w:noProof/>
          </w:rPr>
          <w:t>16.</w:t>
        </w:r>
        <w:r w:rsidR="009B36DE">
          <w:rPr>
            <w:rFonts w:asciiTheme="minorHAnsi" w:eastAsiaTheme="minorEastAsia" w:hAnsiTheme="minorHAnsi" w:cstheme="minorBidi"/>
            <w:noProof/>
            <w:sz w:val="22"/>
            <w:szCs w:val="22"/>
          </w:rPr>
          <w:tab/>
        </w:r>
        <w:r w:rsidR="009B36DE" w:rsidRPr="00C96D29">
          <w:rPr>
            <w:rStyle w:val="Hyperlink"/>
            <w:noProof/>
          </w:rPr>
          <w:t>Plans for Tabulation and Publication and Project Time Schedule</w:t>
        </w:r>
        <w:r w:rsidR="009B36DE">
          <w:rPr>
            <w:noProof/>
            <w:webHidden/>
          </w:rPr>
          <w:tab/>
        </w:r>
        <w:r w:rsidR="009B36DE">
          <w:rPr>
            <w:noProof/>
            <w:webHidden/>
          </w:rPr>
          <w:fldChar w:fldCharType="begin"/>
        </w:r>
        <w:r w:rsidR="009B36DE">
          <w:rPr>
            <w:noProof/>
            <w:webHidden/>
          </w:rPr>
          <w:instrText xml:space="preserve"> PAGEREF _Toc11750139 \h </w:instrText>
        </w:r>
        <w:r w:rsidR="009B36DE">
          <w:rPr>
            <w:noProof/>
            <w:webHidden/>
          </w:rPr>
        </w:r>
        <w:r w:rsidR="009B36DE">
          <w:rPr>
            <w:noProof/>
            <w:webHidden/>
          </w:rPr>
          <w:fldChar w:fldCharType="separate"/>
        </w:r>
        <w:r w:rsidR="00CB0393">
          <w:rPr>
            <w:noProof/>
            <w:webHidden/>
          </w:rPr>
          <w:t>18</w:t>
        </w:r>
        <w:r w:rsidR="009B36DE">
          <w:rPr>
            <w:noProof/>
            <w:webHidden/>
          </w:rPr>
          <w:fldChar w:fldCharType="end"/>
        </w:r>
      </w:hyperlink>
    </w:p>
    <w:p w14:paraId="5D052507" w14:textId="388C302F" w:rsidR="009B36DE" w:rsidRDefault="004852F7">
      <w:pPr>
        <w:pStyle w:val="TOC2"/>
        <w:tabs>
          <w:tab w:val="left" w:pos="1152"/>
        </w:tabs>
        <w:rPr>
          <w:rFonts w:asciiTheme="minorHAnsi" w:eastAsiaTheme="minorEastAsia" w:hAnsiTheme="minorHAnsi" w:cstheme="minorBidi"/>
          <w:noProof/>
          <w:sz w:val="22"/>
          <w:szCs w:val="22"/>
        </w:rPr>
      </w:pPr>
      <w:hyperlink w:anchor="_Toc11750140" w:history="1">
        <w:r w:rsidR="009B36DE" w:rsidRPr="00C96D29">
          <w:rPr>
            <w:rStyle w:val="Hyperlink"/>
            <w:noProof/>
          </w:rPr>
          <w:t>17.</w:t>
        </w:r>
        <w:r w:rsidR="009B36DE">
          <w:rPr>
            <w:rFonts w:asciiTheme="minorHAnsi" w:eastAsiaTheme="minorEastAsia" w:hAnsiTheme="minorHAnsi" w:cstheme="minorBidi"/>
            <w:noProof/>
            <w:sz w:val="22"/>
            <w:szCs w:val="22"/>
          </w:rPr>
          <w:tab/>
        </w:r>
        <w:r w:rsidR="009B36DE" w:rsidRPr="00C96D29">
          <w:rPr>
            <w:rStyle w:val="Hyperlink"/>
            <w:noProof/>
          </w:rPr>
          <w:t>Display of Expiration Date for OMB Approval</w:t>
        </w:r>
        <w:r w:rsidR="009B36DE">
          <w:rPr>
            <w:noProof/>
            <w:webHidden/>
          </w:rPr>
          <w:tab/>
        </w:r>
        <w:r w:rsidR="009B36DE">
          <w:rPr>
            <w:noProof/>
            <w:webHidden/>
          </w:rPr>
          <w:fldChar w:fldCharType="begin"/>
        </w:r>
        <w:r w:rsidR="009B36DE">
          <w:rPr>
            <w:noProof/>
            <w:webHidden/>
          </w:rPr>
          <w:instrText xml:space="preserve"> PAGEREF _Toc11750140 \h </w:instrText>
        </w:r>
        <w:r w:rsidR="009B36DE">
          <w:rPr>
            <w:noProof/>
            <w:webHidden/>
          </w:rPr>
        </w:r>
        <w:r w:rsidR="009B36DE">
          <w:rPr>
            <w:noProof/>
            <w:webHidden/>
          </w:rPr>
          <w:fldChar w:fldCharType="separate"/>
        </w:r>
        <w:r w:rsidR="00CB0393">
          <w:rPr>
            <w:noProof/>
            <w:webHidden/>
          </w:rPr>
          <w:t>18</w:t>
        </w:r>
        <w:r w:rsidR="009B36DE">
          <w:rPr>
            <w:noProof/>
            <w:webHidden/>
          </w:rPr>
          <w:fldChar w:fldCharType="end"/>
        </w:r>
      </w:hyperlink>
    </w:p>
    <w:p w14:paraId="296A6445" w14:textId="1B83FE04" w:rsidR="009B36DE" w:rsidRDefault="004852F7">
      <w:pPr>
        <w:pStyle w:val="TOC2"/>
        <w:tabs>
          <w:tab w:val="left" w:pos="1152"/>
        </w:tabs>
        <w:rPr>
          <w:rFonts w:asciiTheme="minorHAnsi" w:eastAsiaTheme="minorEastAsia" w:hAnsiTheme="minorHAnsi" w:cstheme="minorBidi"/>
          <w:noProof/>
          <w:sz w:val="22"/>
          <w:szCs w:val="22"/>
        </w:rPr>
      </w:pPr>
      <w:hyperlink w:anchor="_Toc11750141" w:history="1">
        <w:r w:rsidR="009B36DE" w:rsidRPr="00C96D29">
          <w:rPr>
            <w:rStyle w:val="Hyperlink"/>
            <w:noProof/>
          </w:rPr>
          <w:t>18.</w:t>
        </w:r>
        <w:r w:rsidR="009B36DE">
          <w:rPr>
            <w:rFonts w:asciiTheme="minorHAnsi" w:eastAsiaTheme="minorEastAsia" w:hAnsiTheme="minorHAnsi" w:cstheme="minorBidi"/>
            <w:noProof/>
            <w:sz w:val="22"/>
            <w:szCs w:val="22"/>
          </w:rPr>
          <w:tab/>
        </w:r>
        <w:r w:rsidR="009B36DE" w:rsidRPr="00C96D29">
          <w:rPr>
            <w:rStyle w:val="Hyperlink"/>
            <w:noProof/>
          </w:rPr>
          <w:t>Exceptions to Certification Statement.</w:t>
        </w:r>
        <w:r w:rsidR="009B36DE">
          <w:rPr>
            <w:noProof/>
            <w:webHidden/>
          </w:rPr>
          <w:tab/>
        </w:r>
        <w:r w:rsidR="009B36DE">
          <w:rPr>
            <w:noProof/>
            <w:webHidden/>
          </w:rPr>
          <w:fldChar w:fldCharType="begin"/>
        </w:r>
        <w:r w:rsidR="009B36DE">
          <w:rPr>
            <w:noProof/>
            <w:webHidden/>
          </w:rPr>
          <w:instrText xml:space="preserve"> PAGEREF _Toc11750141 \h </w:instrText>
        </w:r>
        <w:r w:rsidR="009B36DE">
          <w:rPr>
            <w:noProof/>
            <w:webHidden/>
          </w:rPr>
        </w:r>
        <w:r w:rsidR="009B36DE">
          <w:rPr>
            <w:noProof/>
            <w:webHidden/>
          </w:rPr>
          <w:fldChar w:fldCharType="separate"/>
        </w:r>
        <w:r w:rsidR="00CB0393">
          <w:rPr>
            <w:noProof/>
            <w:webHidden/>
          </w:rPr>
          <w:t>18</w:t>
        </w:r>
        <w:r w:rsidR="009B36DE">
          <w:rPr>
            <w:noProof/>
            <w:webHidden/>
          </w:rPr>
          <w:fldChar w:fldCharType="end"/>
        </w:r>
      </w:hyperlink>
    </w:p>
    <w:p w14:paraId="71958607" w14:textId="7C0491A0" w:rsidR="009B36DE" w:rsidRDefault="004852F7">
      <w:pPr>
        <w:pStyle w:val="TOC1"/>
        <w:rPr>
          <w:rFonts w:asciiTheme="minorHAnsi" w:eastAsiaTheme="minorEastAsia" w:hAnsiTheme="minorHAnsi" w:cstheme="minorBidi"/>
          <w:noProof/>
          <w:sz w:val="22"/>
          <w:szCs w:val="22"/>
        </w:rPr>
      </w:pPr>
      <w:hyperlink w:anchor="_Toc11750142" w:history="1">
        <w:r w:rsidR="009B36DE" w:rsidRPr="00C96D29">
          <w:rPr>
            <w:rStyle w:val="Hyperlink"/>
            <w:noProof/>
          </w:rPr>
          <w:t>References</w:t>
        </w:r>
        <w:r w:rsidR="009B36DE">
          <w:rPr>
            <w:noProof/>
            <w:webHidden/>
          </w:rPr>
          <w:tab/>
        </w:r>
        <w:r w:rsidR="009B36DE">
          <w:rPr>
            <w:noProof/>
            <w:webHidden/>
          </w:rPr>
          <w:fldChar w:fldCharType="begin"/>
        </w:r>
        <w:r w:rsidR="009B36DE">
          <w:rPr>
            <w:noProof/>
            <w:webHidden/>
          </w:rPr>
          <w:instrText xml:space="preserve"> PAGEREF _Toc11750142 \h </w:instrText>
        </w:r>
        <w:r w:rsidR="009B36DE">
          <w:rPr>
            <w:noProof/>
            <w:webHidden/>
          </w:rPr>
        </w:r>
        <w:r w:rsidR="009B36DE">
          <w:rPr>
            <w:noProof/>
            <w:webHidden/>
          </w:rPr>
          <w:fldChar w:fldCharType="separate"/>
        </w:r>
        <w:r w:rsidR="00CB0393">
          <w:rPr>
            <w:noProof/>
            <w:webHidden/>
          </w:rPr>
          <w:t>19</w:t>
        </w:r>
        <w:r w:rsidR="009B36DE">
          <w:rPr>
            <w:noProof/>
            <w:webHidden/>
          </w:rPr>
          <w:fldChar w:fldCharType="end"/>
        </w:r>
      </w:hyperlink>
    </w:p>
    <w:p w14:paraId="75F872E2" w14:textId="62068B69" w:rsidR="00721ACD" w:rsidRPr="00652167" w:rsidRDefault="003151CA" w:rsidP="00721ACD">
      <w:pPr>
        <w:widowControl/>
        <w:autoSpaceDE/>
        <w:autoSpaceDN/>
        <w:adjustRightInd/>
        <w:spacing w:after="160" w:line="259" w:lineRule="auto"/>
        <w:rPr>
          <w:b/>
          <w:sz w:val="28"/>
          <w:szCs w:val="28"/>
        </w:rPr>
      </w:pPr>
      <w:r w:rsidRPr="00652167">
        <w:rPr>
          <w:b/>
          <w:sz w:val="28"/>
          <w:szCs w:val="28"/>
        </w:rPr>
        <w:fldChar w:fldCharType="end"/>
      </w:r>
    </w:p>
    <w:p w14:paraId="575C4E12" w14:textId="77777777" w:rsidR="00721ACD" w:rsidRPr="00652167" w:rsidRDefault="00721ACD" w:rsidP="00721ACD">
      <w:pPr>
        <w:widowControl/>
        <w:autoSpaceDE/>
        <w:autoSpaceDN/>
        <w:adjustRightInd/>
        <w:spacing w:after="160" w:line="259" w:lineRule="auto"/>
        <w:rPr>
          <w:b/>
          <w:sz w:val="28"/>
          <w:szCs w:val="28"/>
        </w:rPr>
      </w:pPr>
    </w:p>
    <w:p w14:paraId="0B2C000E" w14:textId="77777777" w:rsidR="00721ACD" w:rsidRPr="00652167" w:rsidRDefault="00721ACD">
      <w:pPr>
        <w:widowControl/>
        <w:autoSpaceDE/>
        <w:autoSpaceDN/>
        <w:adjustRightInd/>
        <w:spacing w:after="160" w:line="259" w:lineRule="auto"/>
        <w:rPr>
          <w:b/>
          <w:sz w:val="28"/>
          <w:szCs w:val="28"/>
        </w:rPr>
      </w:pPr>
      <w:r w:rsidRPr="00652167">
        <w:rPr>
          <w:b/>
          <w:sz w:val="28"/>
          <w:szCs w:val="28"/>
        </w:rPr>
        <w:br w:type="page"/>
      </w:r>
    </w:p>
    <w:p w14:paraId="320AC1B3" w14:textId="77777777" w:rsidR="007A15F0" w:rsidRPr="00652167" w:rsidRDefault="007A15F0" w:rsidP="00324586">
      <w:pPr>
        <w:pStyle w:val="OMBheading-1"/>
      </w:pPr>
      <w:bookmarkStart w:id="1" w:name="_Toc521514996"/>
      <w:bookmarkStart w:id="2" w:name="_Toc523154565"/>
      <w:bookmarkStart w:id="3" w:name="_Toc11750122"/>
      <w:bookmarkStart w:id="4" w:name="_Hlk523338961"/>
      <w:r w:rsidRPr="00652167">
        <w:lastRenderedPageBreak/>
        <w:t>Exhibits</w:t>
      </w:r>
      <w:bookmarkEnd w:id="1"/>
      <w:bookmarkEnd w:id="2"/>
      <w:bookmarkEnd w:id="3"/>
    </w:p>
    <w:bookmarkEnd w:id="4"/>
    <w:p w14:paraId="34599124" w14:textId="4D94C314" w:rsidR="009B36DE" w:rsidRDefault="002B79CF">
      <w:pPr>
        <w:pStyle w:val="TableofFigures"/>
        <w:tabs>
          <w:tab w:val="right" w:leader="dot" w:pos="9436"/>
        </w:tabs>
        <w:rPr>
          <w:rFonts w:asciiTheme="minorHAnsi" w:eastAsiaTheme="minorEastAsia" w:hAnsiTheme="minorHAnsi" w:cstheme="minorBidi"/>
          <w:noProof/>
          <w:sz w:val="22"/>
          <w:szCs w:val="22"/>
        </w:rPr>
      </w:pPr>
      <w:r w:rsidRPr="00652167">
        <w:rPr>
          <w:rFonts w:eastAsiaTheme="minorEastAsia"/>
        </w:rPr>
        <w:fldChar w:fldCharType="begin"/>
      </w:r>
      <w:r w:rsidRPr="00652167">
        <w:rPr>
          <w:rFonts w:eastAsiaTheme="minorEastAsia"/>
        </w:rPr>
        <w:instrText xml:space="preserve"> TOC \h \z \t "OMB Exhibit Title" \c </w:instrText>
      </w:r>
      <w:r w:rsidRPr="00652167">
        <w:rPr>
          <w:rFonts w:eastAsiaTheme="minorEastAsia"/>
        </w:rPr>
        <w:fldChar w:fldCharType="separate"/>
      </w:r>
      <w:hyperlink w:anchor="_Toc11750109" w:history="1">
        <w:r w:rsidR="009B36DE" w:rsidRPr="00F7114B">
          <w:rPr>
            <w:rStyle w:val="Hyperlink"/>
            <w:noProof/>
          </w:rPr>
          <w:t xml:space="preserve">Exhibit 1. </w:t>
        </w:r>
        <w:r w:rsidR="009B36DE">
          <w:rPr>
            <w:rFonts w:asciiTheme="minorHAnsi" w:eastAsiaTheme="minorEastAsia" w:hAnsiTheme="minorHAnsi" w:cstheme="minorBidi"/>
            <w:noProof/>
            <w:sz w:val="22"/>
            <w:szCs w:val="22"/>
          </w:rPr>
          <w:tab/>
        </w:r>
        <w:r w:rsidR="009B36DE" w:rsidRPr="00F7114B">
          <w:rPr>
            <w:rStyle w:val="Hyperlink"/>
            <w:noProof/>
          </w:rPr>
          <w:t>Details about Participating Two Implementing Organizations (IOs)</w:t>
        </w:r>
        <w:r w:rsidR="009B36DE">
          <w:rPr>
            <w:noProof/>
            <w:webHidden/>
          </w:rPr>
          <w:tab/>
        </w:r>
        <w:r w:rsidR="009B36DE">
          <w:rPr>
            <w:noProof/>
            <w:webHidden/>
          </w:rPr>
          <w:fldChar w:fldCharType="begin"/>
        </w:r>
        <w:r w:rsidR="009B36DE">
          <w:rPr>
            <w:noProof/>
            <w:webHidden/>
          </w:rPr>
          <w:instrText xml:space="preserve"> PAGEREF _Toc11750109 \h </w:instrText>
        </w:r>
        <w:r w:rsidR="009B36DE">
          <w:rPr>
            <w:noProof/>
            <w:webHidden/>
          </w:rPr>
        </w:r>
        <w:r w:rsidR="009B36DE">
          <w:rPr>
            <w:noProof/>
            <w:webHidden/>
          </w:rPr>
          <w:fldChar w:fldCharType="separate"/>
        </w:r>
        <w:r w:rsidR="00CB0393">
          <w:rPr>
            <w:noProof/>
            <w:webHidden/>
          </w:rPr>
          <w:t>2</w:t>
        </w:r>
        <w:r w:rsidR="009B36DE">
          <w:rPr>
            <w:noProof/>
            <w:webHidden/>
          </w:rPr>
          <w:fldChar w:fldCharType="end"/>
        </w:r>
      </w:hyperlink>
    </w:p>
    <w:p w14:paraId="6B21D7C2" w14:textId="04EF4BEF" w:rsidR="009B36DE" w:rsidRDefault="004852F7">
      <w:pPr>
        <w:pStyle w:val="TableofFigures"/>
        <w:tabs>
          <w:tab w:val="right" w:leader="dot" w:pos="9436"/>
        </w:tabs>
        <w:rPr>
          <w:rFonts w:asciiTheme="minorHAnsi" w:eastAsiaTheme="minorEastAsia" w:hAnsiTheme="minorHAnsi" w:cstheme="minorBidi"/>
          <w:noProof/>
          <w:sz w:val="22"/>
          <w:szCs w:val="22"/>
        </w:rPr>
      </w:pPr>
      <w:hyperlink w:anchor="_Toc11750110" w:history="1">
        <w:r w:rsidR="009B36DE" w:rsidRPr="00F7114B">
          <w:rPr>
            <w:rStyle w:val="Hyperlink"/>
            <w:noProof/>
          </w:rPr>
          <w:t>Exhibit 2.</w:t>
        </w:r>
        <w:r w:rsidR="009B36DE">
          <w:rPr>
            <w:rFonts w:asciiTheme="minorHAnsi" w:eastAsiaTheme="minorEastAsia" w:hAnsiTheme="minorHAnsi" w:cstheme="minorBidi"/>
            <w:noProof/>
            <w:sz w:val="22"/>
            <w:szCs w:val="22"/>
          </w:rPr>
          <w:tab/>
        </w:r>
        <w:r w:rsidR="009B36DE" w:rsidRPr="00F7114B">
          <w:rPr>
            <w:rStyle w:val="Hyperlink"/>
            <w:noProof/>
          </w:rPr>
          <w:t>Overview of the 10 SMARTool Targets</w:t>
        </w:r>
        <w:r w:rsidR="009B36DE">
          <w:rPr>
            <w:noProof/>
            <w:webHidden/>
          </w:rPr>
          <w:tab/>
        </w:r>
        <w:r w:rsidR="009B36DE">
          <w:rPr>
            <w:noProof/>
            <w:webHidden/>
          </w:rPr>
          <w:fldChar w:fldCharType="begin"/>
        </w:r>
        <w:r w:rsidR="009B36DE">
          <w:rPr>
            <w:noProof/>
            <w:webHidden/>
          </w:rPr>
          <w:instrText xml:space="preserve"> PAGEREF _Toc11750110 \h </w:instrText>
        </w:r>
        <w:r w:rsidR="009B36DE">
          <w:rPr>
            <w:noProof/>
            <w:webHidden/>
          </w:rPr>
        </w:r>
        <w:r w:rsidR="009B36DE">
          <w:rPr>
            <w:noProof/>
            <w:webHidden/>
          </w:rPr>
          <w:fldChar w:fldCharType="separate"/>
        </w:r>
        <w:r w:rsidR="00CB0393">
          <w:rPr>
            <w:noProof/>
            <w:webHidden/>
          </w:rPr>
          <w:t>2</w:t>
        </w:r>
        <w:r w:rsidR="009B36DE">
          <w:rPr>
            <w:noProof/>
            <w:webHidden/>
          </w:rPr>
          <w:fldChar w:fldCharType="end"/>
        </w:r>
      </w:hyperlink>
    </w:p>
    <w:p w14:paraId="0C5F2AD6" w14:textId="2CD68690" w:rsidR="009B36DE" w:rsidRDefault="004852F7">
      <w:pPr>
        <w:pStyle w:val="TableofFigures"/>
        <w:tabs>
          <w:tab w:val="right" w:leader="dot" w:pos="9436"/>
        </w:tabs>
        <w:rPr>
          <w:rFonts w:asciiTheme="minorHAnsi" w:eastAsiaTheme="minorEastAsia" w:hAnsiTheme="minorHAnsi" w:cstheme="minorBidi"/>
          <w:noProof/>
          <w:sz w:val="22"/>
          <w:szCs w:val="22"/>
        </w:rPr>
      </w:pPr>
      <w:hyperlink w:anchor="_Toc11750111" w:history="1">
        <w:r w:rsidR="009B36DE" w:rsidRPr="00F7114B">
          <w:rPr>
            <w:rStyle w:val="Hyperlink"/>
            <w:noProof/>
          </w:rPr>
          <w:t>Exhibit 3.</w:t>
        </w:r>
        <w:r w:rsidR="009B36DE">
          <w:rPr>
            <w:rFonts w:asciiTheme="minorHAnsi" w:eastAsiaTheme="minorEastAsia" w:hAnsiTheme="minorHAnsi" w:cstheme="minorBidi"/>
            <w:noProof/>
            <w:sz w:val="22"/>
            <w:szCs w:val="22"/>
          </w:rPr>
          <w:tab/>
        </w:r>
        <w:r w:rsidR="009B36DE" w:rsidRPr="00F7114B">
          <w:rPr>
            <w:rStyle w:val="Hyperlink"/>
            <w:noProof/>
          </w:rPr>
          <w:t>SRA Logic Model</w:t>
        </w:r>
        <w:r w:rsidR="009B36DE">
          <w:rPr>
            <w:noProof/>
            <w:webHidden/>
          </w:rPr>
          <w:tab/>
        </w:r>
        <w:r w:rsidR="009B36DE">
          <w:rPr>
            <w:noProof/>
            <w:webHidden/>
          </w:rPr>
          <w:fldChar w:fldCharType="begin"/>
        </w:r>
        <w:r w:rsidR="009B36DE">
          <w:rPr>
            <w:noProof/>
            <w:webHidden/>
          </w:rPr>
          <w:instrText xml:space="preserve"> PAGEREF _Toc11750111 \h </w:instrText>
        </w:r>
        <w:r w:rsidR="009B36DE">
          <w:rPr>
            <w:noProof/>
            <w:webHidden/>
          </w:rPr>
        </w:r>
        <w:r w:rsidR="009B36DE">
          <w:rPr>
            <w:noProof/>
            <w:webHidden/>
          </w:rPr>
          <w:fldChar w:fldCharType="separate"/>
        </w:r>
        <w:r w:rsidR="00CB0393">
          <w:rPr>
            <w:noProof/>
            <w:webHidden/>
          </w:rPr>
          <w:t>3</w:t>
        </w:r>
        <w:r w:rsidR="009B36DE">
          <w:rPr>
            <w:noProof/>
            <w:webHidden/>
          </w:rPr>
          <w:fldChar w:fldCharType="end"/>
        </w:r>
      </w:hyperlink>
    </w:p>
    <w:p w14:paraId="39FB02DF" w14:textId="1F93F4E1" w:rsidR="009B36DE" w:rsidRDefault="004852F7">
      <w:pPr>
        <w:pStyle w:val="TableofFigures"/>
        <w:tabs>
          <w:tab w:val="right" w:leader="dot" w:pos="9436"/>
        </w:tabs>
        <w:rPr>
          <w:rFonts w:asciiTheme="minorHAnsi" w:eastAsiaTheme="minorEastAsia" w:hAnsiTheme="minorHAnsi" w:cstheme="minorBidi"/>
          <w:noProof/>
          <w:sz w:val="22"/>
          <w:szCs w:val="22"/>
        </w:rPr>
      </w:pPr>
      <w:hyperlink w:anchor="_Toc11750112" w:history="1">
        <w:r w:rsidR="009B36DE" w:rsidRPr="00F7114B">
          <w:rPr>
            <w:rStyle w:val="Hyperlink"/>
            <w:noProof/>
          </w:rPr>
          <w:t xml:space="preserve">Exhibit 4. </w:t>
        </w:r>
        <w:r w:rsidR="009B36DE">
          <w:rPr>
            <w:rFonts w:asciiTheme="minorHAnsi" w:eastAsiaTheme="minorEastAsia" w:hAnsiTheme="minorHAnsi" w:cstheme="minorBidi"/>
            <w:noProof/>
            <w:sz w:val="22"/>
            <w:szCs w:val="22"/>
          </w:rPr>
          <w:tab/>
        </w:r>
        <w:r w:rsidR="009B36DE" w:rsidRPr="00F7114B">
          <w:rPr>
            <w:rStyle w:val="Hyperlink"/>
            <w:noProof/>
          </w:rPr>
          <w:t>SRA Logic Model Factors that Will Be Examined in This Study</w:t>
        </w:r>
        <w:r w:rsidR="009B36DE">
          <w:rPr>
            <w:noProof/>
            <w:webHidden/>
          </w:rPr>
          <w:tab/>
        </w:r>
        <w:r w:rsidR="009B36DE">
          <w:rPr>
            <w:noProof/>
            <w:webHidden/>
          </w:rPr>
          <w:fldChar w:fldCharType="begin"/>
        </w:r>
        <w:r w:rsidR="009B36DE">
          <w:rPr>
            <w:noProof/>
            <w:webHidden/>
          </w:rPr>
          <w:instrText xml:space="preserve"> PAGEREF _Toc11750112 \h </w:instrText>
        </w:r>
        <w:r w:rsidR="009B36DE">
          <w:rPr>
            <w:noProof/>
            <w:webHidden/>
          </w:rPr>
        </w:r>
        <w:r w:rsidR="009B36DE">
          <w:rPr>
            <w:noProof/>
            <w:webHidden/>
          </w:rPr>
          <w:fldChar w:fldCharType="separate"/>
        </w:r>
        <w:r w:rsidR="00CB0393">
          <w:rPr>
            <w:noProof/>
            <w:webHidden/>
          </w:rPr>
          <w:t>3</w:t>
        </w:r>
        <w:r w:rsidR="009B36DE">
          <w:rPr>
            <w:noProof/>
            <w:webHidden/>
          </w:rPr>
          <w:fldChar w:fldCharType="end"/>
        </w:r>
      </w:hyperlink>
    </w:p>
    <w:p w14:paraId="6DAA0884" w14:textId="758F0FB2" w:rsidR="009B36DE" w:rsidRDefault="004852F7">
      <w:pPr>
        <w:pStyle w:val="TableofFigures"/>
        <w:tabs>
          <w:tab w:val="right" w:leader="dot" w:pos="9436"/>
        </w:tabs>
        <w:rPr>
          <w:rFonts w:asciiTheme="minorHAnsi" w:eastAsiaTheme="minorEastAsia" w:hAnsiTheme="minorHAnsi" w:cstheme="minorBidi"/>
          <w:noProof/>
          <w:sz w:val="22"/>
          <w:szCs w:val="22"/>
        </w:rPr>
      </w:pPr>
      <w:hyperlink w:anchor="_Toc11750113" w:history="1">
        <w:r w:rsidR="009B36DE" w:rsidRPr="00F7114B">
          <w:rPr>
            <w:rStyle w:val="Hyperlink"/>
            <w:noProof/>
          </w:rPr>
          <w:t xml:space="preserve">Exhibit 5. </w:t>
        </w:r>
        <w:r w:rsidR="009B36DE">
          <w:rPr>
            <w:rFonts w:asciiTheme="minorHAnsi" w:eastAsiaTheme="minorEastAsia" w:hAnsiTheme="minorHAnsi" w:cstheme="minorBidi"/>
            <w:noProof/>
            <w:sz w:val="22"/>
            <w:szCs w:val="22"/>
          </w:rPr>
          <w:tab/>
        </w:r>
        <w:r w:rsidR="009B36DE" w:rsidRPr="00F7114B">
          <w:rPr>
            <w:rStyle w:val="Hyperlink"/>
            <w:noProof/>
          </w:rPr>
          <w:t>Proximal Outcomes That Will Be Examined in This Study</w:t>
        </w:r>
        <w:r w:rsidR="009B36DE">
          <w:rPr>
            <w:noProof/>
            <w:webHidden/>
          </w:rPr>
          <w:tab/>
        </w:r>
        <w:r w:rsidR="009B36DE">
          <w:rPr>
            <w:noProof/>
            <w:webHidden/>
          </w:rPr>
          <w:fldChar w:fldCharType="begin"/>
        </w:r>
        <w:r w:rsidR="009B36DE">
          <w:rPr>
            <w:noProof/>
            <w:webHidden/>
          </w:rPr>
          <w:instrText xml:space="preserve"> PAGEREF _Toc11750113 \h </w:instrText>
        </w:r>
        <w:r w:rsidR="009B36DE">
          <w:rPr>
            <w:noProof/>
            <w:webHidden/>
          </w:rPr>
        </w:r>
        <w:r w:rsidR="009B36DE">
          <w:rPr>
            <w:noProof/>
            <w:webHidden/>
          </w:rPr>
          <w:fldChar w:fldCharType="separate"/>
        </w:r>
        <w:r w:rsidR="00CB0393">
          <w:rPr>
            <w:noProof/>
            <w:webHidden/>
          </w:rPr>
          <w:t>4</w:t>
        </w:r>
        <w:r w:rsidR="009B36DE">
          <w:rPr>
            <w:noProof/>
            <w:webHidden/>
          </w:rPr>
          <w:fldChar w:fldCharType="end"/>
        </w:r>
      </w:hyperlink>
    </w:p>
    <w:p w14:paraId="2F15922F" w14:textId="7696EFA3" w:rsidR="009B36DE" w:rsidRDefault="004852F7">
      <w:pPr>
        <w:pStyle w:val="TableofFigures"/>
        <w:tabs>
          <w:tab w:val="right" w:leader="dot" w:pos="9436"/>
        </w:tabs>
        <w:rPr>
          <w:rFonts w:asciiTheme="minorHAnsi" w:eastAsiaTheme="minorEastAsia" w:hAnsiTheme="minorHAnsi" w:cstheme="minorBidi"/>
          <w:noProof/>
          <w:sz w:val="22"/>
          <w:szCs w:val="22"/>
        </w:rPr>
      </w:pPr>
      <w:hyperlink w:anchor="_Toc11750114" w:history="1">
        <w:r w:rsidR="009B36DE" w:rsidRPr="00F7114B">
          <w:rPr>
            <w:rStyle w:val="Hyperlink"/>
            <w:noProof/>
          </w:rPr>
          <w:t>Exhibit 6.</w:t>
        </w:r>
        <w:r w:rsidR="009B36DE">
          <w:rPr>
            <w:rFonts w:asciiTheme="minorHAnsi" w:eastAsiaTheme="minorEastAsia" w:hAnsiTheme="minorHAnsi" w:cstheme="minorBidi"/>
            <w:noProof/>
            <w:sz w:val="22"/>
            <w:szCs w:val="22"/>
          </w:rPr>
          <w:tab/>
        </w:r>
        <w:r w:rsidR="009B36DE" w:rsidRPr="00F7114B">
          <w:rPr>
            <w:rStyle w:val="Hyperlink"/>
            <w:noProof/>
          </w:rPr>
          <w:t>Quasi-Experimental Study Design: Within-School Comparison Group</w:t>
        </w:r>
        <w:r w:rsidR="009B36DE">
          <w:rPr>
            <w:noProof/>
            <w:webHidden/>
          </w:rPr>
          <w:tab/>
        </w:r>
        <w:r w:rsidR="009B36DE">
          <w:rPr>
            <w:noProof/>
            <w:webHidden/>
          </w:rPr>
          <w:fldChar w:fldCharType="begin"/>
        </w:r>
        <w:r w:rsidR="009B36DE">
          <w:rPr>
            <w:noProof/>
            <w:webHidden/>
          </w:rPr>
          <w:instrText xml:space="preserve"> PAGEREF _Toc11750114 \h </w:instrText>
        </w:r>
        <w:r w:rsidR="009B36DE">
          <w:rPr>
            <w:noProof/>
            <w:webHidden/>
          </w:rPr>
        </w:r>
        <w:r w:rsidR="009B36DE">
          <w:rPr>
            <w:noProof/>
            <w:webHidden/>
          </w:rPr>
          <w:fldChar w:fldCharType="separate"/>
        </w:r>
        <w:r w:rsidR="00CB0393">
          <w:rPr>
            <w:noProof/>
            <w:webHidden/>
          </w:rPr>
          <w:t>6</w:t>
        </w:r>
        <w:r w:rsidR="009B36DE">
          <w:rPr>
            <w:noProof/>
            <w:webHidden/>
          </w:rPr>
          <w:fldChar w:fldCharType="end"/>
        </w:r>
      </w:hyperlink>
    </w:p>
    <w:p w14:paraId="6995F402" w14:textId="5FCFD219" w:rsidR="009B36DE" w:rsidRDefault="004852F7">
      <w:pPr>
        <w:pStyle w:val="TableofFigures"/>
        <w:tabs>
          <w:tab w:val="right" w:leader="dot" w:pos="9436"/>
        </w:tabs>
        <w:rPr>
          <w:rFonts w:asciiTheme="minorHAnsi" w:eastAsiaTheme="minorEastAsia" w:hAnsiTheme="minorHAnsi" w:cstheme="minorBidi"/>
          <w:noProof/>
          <w:sz w:val="22"/>
          <w:szCs w:val="22"/>
        </w:rPr>
      </w:pPr>
      <w:hyperlink w:anchor="_Toc11750115" w:history="1">
        <w:r w:rsidR="009B36DE" w:rsidRPr="00F7114B">
          <w:rPr>
            <w:rStyle w:val="Hyperlink"/>
            <w:noProof/>
          </w:rPr>
          <w:t xml:space="preserve">Exhibit 7. </w:t>
        </w:r>
        <w:r w:rsidR="009B36DE">
          <w:rPr>
            <w:rFonts w:asciiTheme="minorHAnsi" w:eastAsiaTheme="minorEastAsia" w:hAnsiTheme="minorHAnsi" w:cstheme="minorBidi"/>
            <w:noProof/>
            <w:sz w:val="22"/>
            <w:szCs w:val="22"/>
          </w:rPr>
          <w:tab/>
        </w:r>
        <w:r w:rsidR="009B36DE" w:rsidRPr="00F7114B">
          <w:rPr>
            <w:rStyle w:val="Hyperlink"/>
            <w:noProof/>
          </w:rPr>
          <w:t>Outside Consultation with Technical Experts</w:t>
        </w:r>
        <w:r w:rsidR="009B36DE">
          <w:rPr>
            <w:noProof/>
            <w:webHidden/>
          </w:rPr>
          <w:tab/>
        </w:r>
        <w:r w:rsidR="009B36DE">
          <w:rPr>
            <w:noProof/>
            <w:webHidden/>
          </w:rPr>
          <w:fldChar w:fldCharType="begin"/>
        </w:r>
        <w:r w:rsidR="009B36DE">
          <w:rPr>
            <w:noProof/>
            <w:webHidden/>
          </w:rPr>
          <w:instrText xml:space="preserve"> PAGEREF _Toc11750115 \h </w:instrText>
        </w:r>
        <w:r w:rsidR="009B36DE">
          <w:rPr>
            <w:noProof/>
            <w:webHidden/>
          </w:rPr>
        </w:r>
        <w:r w:rsidR="009B36DE">
          <w:rPr>
            <w:noProof/>
            <w:webHidden/>
          </w:rPr>
          <w:fldChar w:fldCharType="separate"/>
        </w:r>
        <w:r w:rsidR="00CB0393">
          <w:rPr>
            <w:noProof/>
            <w:webHidden/>
          </w:rPr>
          <w:t>9</w:t>
        </w:r>
        <w:r w:rsidR="009B36DE">
          <w:rPr>
            <w:noProof/>
            <w:webHidden/>
          </w:rPr>
          <w:fldChar w:fldCharType="end"/>
        </w:r>
      </w:hyperlink>
    </w:p>
    <w:p w14:paraId="38BECFE3" w14:textId="418F34C5" w:rsidR="009B36DE" w:rsidRDefault="004852F7">
      <w:pPr>
        <w:pStyle w:val="TableofFigures"/>
        <w:tabs>
          <w:tab w:val="right" w:leader="dot" w:pos="9436"/>
        </w:tabs>
        <w:rPr>
          <w:rFonts w:asciiTheme="minorHAnsi" w:eastAsiaTheme="minorEastAsia" w:hAnsiTheme="minorHAnsi" w:cstheme="minorBidi"/>
          <w:noProof/>
          <w:sz w:val="22"/>
          <w:szCs w:val="22"/>
        </w:rPr>
      </w:pPr>
      <w:hyperlink w:anchor="_Toc11750116" w:history="1">
        <w:r w:rsidR="009B36DE" w:rsidRPr="00F7114B">
          <w:rPr>
            <w:rStyle w:val="Hyperlink"/>
            <w:noProof/>
          </w:rPr>
          <w:t xml:space="preserve">Exhibit 8. </w:t>
        </w:r>
        <w:r w:rsidR="009B36DE">
          <w:rPr>
            <w:rFonts w:asciiTheme="minorHAnsi" w:eastAsiaTheme="minorEastAsia" w:hAnsiTheme="minorHAnsi" w:cstheme="minorBidi"/>
            <w:noProof/>
            <w:sz w:val="22"/>
            <w:szCs w:val="22"/>
          </w:rPr>
          <w:tab/>
        </w:r>
        <w:r w:rsidR="009B36DE" w:rsidRPr="00F7114B">
          <w:rPr>
            <w:rStyle w:val="Hyperlink"/>
            <w:noProof/>
          </w:rPr>
          <w:t>RTI Studies Involving Incentives for Class-Level Return of Consent Forms</w:t>
        </w:r>
        <w:r w:rsidR="009B36DE">
          <w:rPr>
            <w:noProof/>
            <w:webHidden/>
          </w:rPr>
          <w:tab/>
        </w:r>
        <w:r w:rsidR="009B36DE">
          <w:rPr>
            <w:noProof/>
            <w:webHidden/>
          </w:rPr>
          <w:fldChar w:fldCharType="begin"/>
        </w:r>
        <w:r w:rsidR="009B36DE">
          <w:rPr>
            <w:noProof/>
            <w:webHidden/>
          </w:rPr>
          <w:instrText xml:space="preserve"> PAGEREF _Toc11750116 \h </w:instrText>
        </w:r>
        <w:r w:rsidR="009B36DE">
          <w:rPr>
            <w:noProof/>
            <w:webHidden/>
          </w:rPr>
        </w:r>
        <w:r w:rsidR="009B36DE">
          <w:rPr>
            <w:noProof/>
            <w:webHidden/>
          </w:rPr>
          <w:fldChar w:fldCharType="separate"/>
        </w:r>
        <w:r w:rsidR="00CB0393">
          <w:rPr>
            <w:noProof/>
            <w:webHidden/>
          </w:rPr>
          <w:t>10</w:t>
        </w:r>
        <w:r w:rsidR="009B36DE">
          <w:rPr>
            <w:noProof/>
            <w:webHidden/>
          </w:rPr>
          <w:fldChar w:fldCharType="end"/>
        </w:r>
      </w:hyperlink>
    </w:p>
    <w:p w14:paraId="0B3A052B" w14:textId="43F88CBC" w:rsidR="009B36DE" w:rsidRDefault="004852F7">
      <w:pPr>
        <w:pStyle w:val="TableofFigures"/>
        <w:tabs>
          <w:tab w:val="right" w:leader="dot" w:pos="9436"/>
        </w:tabs>
        <w:rPr>
          <w:rFonts w:asciiTheme="minorHAnsi" w:eastAsiaTheme="minorEastAsia" w:hAnsiTheme="minorHAnsi" w:cstheme="minorBidi"/>
          <w:noProof/>
          <w:sz w:val="22"/>
          <w:szCs w:val="22"/>
        </w:rPr>
      </w:pPr>
      <w:hyperlink w:anchor="_Toc11750117" w:history="1">
        <w:r w:rsidR="009B36DE" w:rsidRPr="00F7114B">
          <w:rPr>
            <w:rStyle w:val="Hyperlink"/>
            <w:noProof/>
          </w:rPr>
          <w:t xml:space="preserve">Exhibit 9. </w:t>
        </w:r>
        <w:r w:rsidR="009B36DE">
          <w:rPr>
            <w:rFonts w:asciiTheme="minorHAnsi" w:eastAsiaTheme="minorEastAsia" w:hAnsiTheme="minorHAnsi" w:cstheme="minorBidi"/>
            <w:noProof/>
            <w:sz w:val="22"/>
            <w:szCs w:val="22"/>
          </w:rPr>
          <w:tab/>
        </w:r>
        <w:r w:rsidR="009B36DE" w:rsidRPr="00F7114B">
          <w:rPr>
            <w:rStyle w:val="Hyperlink"/>
            <w:noProof/>
          </w:rPr>
          <w:t>RTI Studies Involving Incentives to Youth for Return of Consent Forms</w:t>
        </w:r>
        <w:r w:rsidR="009B36DE">
          <w:rPr>
            <w:noProof/>
            <w:webHidden/>
          </w:rPr>
          <w:tab/>
        </w:r>
        <w:r w:rsidR="009B36DE">
          <w:rPr>
            <w:noProof/>
            <w:webHidden/>
          </w:rPr>
          <w:fldChar w:fldCharType="begin"/>
        </w:r>
        <w:r w:rsidR="009B36DE">
          <w:rPr>
            <w:noProof/>
            <w:webHidden/>
          </w:rPr>
          <w:instrText xml:space="preserve"> PAGEREF _Toc11750117 \h </w:instrText>
        </w:r>
        <w:r w:rsidR="009B36DE">
          <w:rPr>
            <w:noProof/>
            <w:webHidden/>
          </w:rPr>
        </w:r>
        <w:r w:rsidR="009B36DE">
          <w:rPr>
            <w:noProof/>
            <w:webHidden/>
          </w:rPr>
          <w:fldChar w:fldCharType="separate"/>
        </w:r>
        <w:r w:rsidR="00CB0393">
          <w:rPr>
            <w:noProof/>
            <w:webHidden/>
          </w:rPr>
          <w:t>11</w:t>
        </w:r>
        <w:r w:rsidR="009B36DE">
          <w:rPr>
            <w:noProof/>
            <w:webHidden/>
          </w:rPr>
          <w:fldChar w:fldCharType="end"/>
        </w:r>
      </w:hyperlink>
    </w:p>
    <w:p w14:paraId="4BE503F5" w14:textId="62EEB869" w:rsidR="009B36DE" w:rsidRDefault="004852F7">
      <w:pPr>
        <w:pStyle w:val="TableofFigures"/>
        <w:tabs>
          <w:tab w:val="right" w:leader="dot" w:pos="9436"/>
        </w:tabs>
        <w:rPr>
          <w:rFonts w:asciiTheme="minorHAnsi" w:eastAsiaTheme="minorEastAsia" w:hAnsiTheme="minorHAnsi" w:cstheme="minorBidi"/>
          <w:noProof/>
          <w:sz w:val="22"/>
          <w:szCs w:val="22"/>
        </w:rPr>
      </w:pPr>
      <w:hyperlink w:anchor="_Toc11750118" w:history="1">
        <w:r w:rsidR="009B36DE" w:rsidRPr="00F7114B">
          <w:rPr>
            <w:rStyle w:val="Hyperlink"/>
            <w:noProof/>
          </w:rPr>
          <w:t>Exhibit 10.</w:t>
        </w:r>
        <w:r w:rsidR="009B36DE">
          <w:rPr>
            <w:rFonts w:asciiTheme="minorHAnsi" w:eastAsiaTheme="minorEastAsia" w:hAnsiTheme="minorHAnsi" w:cstheme="minorBidi"/>
            <w:noProof/>
            <w:sz w:val="22"/>
            <w:szCs w:val="22"/>
          </w:rPr>
          <w:tab/>
        </w:r>
        <w:r w:rsidR="009B36DE" w:rsidRPr="00F7114B">
          <w:rPr>
            <w:rStyle w:val="Hyperlink"/>
            <w:noProof/>
          </w:rPr>
          <w:t>Estimated Annualized Burden Hours</w:t>
        </w:r>
        <w:r w:rsidR="009B36DE">
          <w:rPr>
            <w:noProof/>
            <w:webHidden/>
          </w:rPr>
          <w:tab/>
        </w:r>
        <w:r w:rsidR="009B36DE">
          <w:rPr>
            <w:noProof/>
            <w:webHidden/>
          </w:rPr>
          <w:fldChar w:fldCharType="begin"/>
        </w:r>
        <w:r w:rsidR="009B36DE">
          <w:rPr>
            <w:noProof/>
            <w:webHidden/>
          </w:rPr>
          <w:instrText xml:space="preserve"> PAGEREF _Toc11750118 \h </w:instrText>
        </w:r>
        <w:r w:rsidR="009B36DE">
          <w:rPr>
            <w:noProof/>
            <w:webHidden/>
          </w:rPr>
        </w:r>
        <w:r w:rsidR="009B36DE">
          <w:rPr>
            <w:noProof/>
            <w:webHidden/>
          </w:rPr>
          <w:fldChar w:fldCharType="separate"/>
        </w:r>
        <w:r w:rsidR="00CB0393">
          <w:rPr>
            <w:noProof/>
            <w:webHidden/>
          </w:rPr>
          <w:t>16</w:t>
        </w:r>
        <w:r w:rsidR="009B36DE">
          <w:rPr>
            <w:noProof/>
            <w:webHidden/>
          </w:rPr>
          <w:fldChar w:fldCharType="end"/>
        </w:r>
      </w:hyperlink>
    </w:p>
    <w:p w14:paraId="2BD5B6D5" w14:textId="664C8A77" w:rsidR="009B36DE" w:rsidRDefault="004852F7">
      <w:pPr>
        <w:pStyle w:val="TableofFigures"/>
        <w:tabs>
          <w:tab w:val="right" w:leader="dot" w:pos="9436"/>
        </w:tabs>
        <w:rPr>
          <w:rFonts w:asciiTheme="minorHAnsi" w:eastAsiaTheme="minorEastAsia" w:hAnsiTheme="minorHAnsi" w:cstheme="minorBidi"/>
          <w:noProof/>
          <w:sz w:val="22"/>
          <w:szCs w:val="22"/>
        </w:rPr>
      </w:pPr>
      <w:hyperlink w:anchor="_Toc11750119" w:history="1">
        <w:r w:rsidR="009B36DE" w:rsidRPr="00F7114B">
          <w:rPr>
            <w:rStyle w:val="Hyperlink"/>
            <w:noProof/>
          </w:rPr>
          <w:t>Exhibit 11.</w:t>
        </w:r>
        <w:r w:rsidR="009B36DE">
          <w:rPr>
            <w:rFonts w:asciiTheme="minorHAnsi" w:eastAsiaTheme="minorEastAsia" w:hAnsiTheme="minorHAnsi" w:cstheme="minorBidi"/>
            <w:noProof/>
            <w:sz w:val="22"/>
            <w:szCs w:val="22"/>
          </w:rPr>
          <w:tab/>
        </w:r>
        <w:r w:rsidR="009B36DE" w:rsidRPr="00F7114B">
          <w:rPr>
            <w:rStyle w:val="Hyperlink"/>
            <w:noProof/>
          </w:rPr>
          <w:t>Estimated Annualized Cost to Respondents</w:t>
        </w:r>
        <w:r w:rsidR="009B36DE">
          <w:rPr>
            <w:noProof/>
            <w:webHidden/>
          </w:rPr>
          <w:tab/>
        </w:r>
        <w:r w:rsidR="009B36DE">
          <w:rPr>
            <w:noProof/>
            <w:webHidden/>
          </w:rPr>
          <w:fldChar w:fldCharType="begin"/>
        </w:r>
        <w:r w:rsidR="009B36DE">
          <w:rPr>
            <w:noProof/>
            <w:webHidden/>
          </w:rPr>
          <w:instrText xml:space="preserve"> PAGEREF _Toc11750119 \h </w:instrText>
        </w:r>
        <w:r w:rsidR="009B36DE">
          <w:rPr>
            <w:noProof/>
            <w:webHidden/>
          </w:rPr>
        </w:r>
        <w:r w:rsidR="009B36DE">
          <w:rPr>
            <w:noProof/>
            <w:webHidden/>
          </w:rPr>
          <w:fldChar w:fldCharType="separate"/>
        </w:r>
        <w:r w:rsidR="00CB0393">
          <w:rPr>
            <w:noProof/>
            <w:webHidden/>
          </w:rPr>
          <w:t>16</w:t>
        </w:r>
        <w:r w:rsidR="009B36DE">
          <w:rPr>
            <w:noProof/>
            <w:webHidden/>
          </w:rPr>
          <w:fldChar w:fldCharType="end"/>
        </w:r>
      </w:hyperlink>
    </w:p>
    <w:p w14:paraId="40D3C147" w14:textId="52313746" w:rsidR="009B36DE" w:rsidRDefault="004852F7">
      <w:pPr>
        <w:pStyle w:val="TableofFigures"/>
        <w:tabs>
          <w:tab w:val="right" w:leader="dot" w:pos="9436"/>
        </w:tabs>
        <w:rPr>
          <w:rFonts w:asciiTheme="minorHAnsi" w:eastAsiaTheme="minorEastAsia" w:hAnsiTheme="minorHAnsi" w:cstheme="minorBidi"/>
          <w:noProof/>
          <w:sz w:val="22"/>
          <w:szCs w:val="22"/>
        </w:rPr>
      </w:pPr>
      <w:hyperlink w:anchor="_Toc11750120" w:history="1">
        <w:r w:rsidR="009B36DE" w:rsidRPr="00F7114B">
          <w:rPr>
            <w:rStyle w:val="Hyperlink"/>
            <w:noProof/>
          </w:rPr>
          <w:t>Exhibit 12.</w:t>
        </w:r>
        <w:r w:rsidR="009B36DE">
          <w:rPr>
            <w:rFonts w:asciiTheme="minorHAnsi" w:eastAsiaTheme="minorEastAsia" w:hAnsiTheme="minorHAnsi" w:cstheme="minorBidi"/>
            <w:noProof/>
            <w:sz w:val="22"/>
            <w:szCs w:val="22"/>
          </w:rPr>
          <w:tab/>
        </w:r>
        <w:r w:rsidR="009B36DE" w:rsidRPr="00F7114B">
          <w:rPr>
            <w:rStyle w:val="Hyperlink"/>
            <w:noProof/>
          </w:rPr>
          <w:t>Adjusted Hourly Wages Used in Burden Estimates</w:t>
        </w:r>
        <w:r w:rsidR="009B36DE">
          <w:rPr>
            <w:noProof/>
            <w:webHidden/>
          </w:rPr>
          <w:tab/>
        </w:r>
        <w:r w:rsidR="009B36DE">
          <w:rPr>
            <w:noProof/>
            <w:webHidden/>
          </w:rPr>
          <w:fldChar w:fldCharType="begin"/>
        </w:r>
        <w:r w:rsidR="009B36DE">
          <w:rPr>
            <w:noProof/>
            <w:webHidden/>
          </w:rPr>
          <w:instrText xml:space="preserve"> PAGEREF _Toc11750120 \h </w:instrText>
        </w:r>
        <w:r w:rsidR="009B36DE">
          <w:rPr>
            <w:noProof/>
            <w:webHidden/>
          </w:rPr>
        </w:r>
        <w:r w:rsidR="009B36DE">
          <w:rPr>
            <w:noProof/>
            <w:webHidden/>
          </w:rPr>
          <w:fldChar w:fldCharType="separate"/>
        </w:r>
        <w:r w:rsidR="00CB0393">
          <w:rPr>
            <w:noProof/>
            <w:webHidden/>
          </w:rPr>
          <w:t>17</w:t>
        </w:r>
        <w:r w:rsidR="009B36DE">
          <w:rPr>
            <w:noProof/>
            <w:webHidden/>
          </w:rPr>
          <w:fldChar w:fldCharType="end"/>
        </w:r>
      </w:hyperlink>
    </w:p>
    <w:p w14:paraId="16AA879A" w14:textId="4FF1BBCA" w:rsidR="009B36DE" w:rsidRDefault="004852F7">
      <w:pPr>
        <w:pStyle w:val="TableofFigures"/>
        <w:tabs>
          <w:tab w:val="right" w:leader="dot" w:pos="9436"/>
        </w:tabs>
        <w:rPr>
          <w:rFonts w:asciiTheme="minorHAnsi" w:eastAsiaTheme="minorEastAsia" w:hAnsiTheme="minorHAnsi" w:cstheme="minorBidi"/>
          <w:noProof/>
          <w:sz w:val="22"/>
          <w:szCs w:val="22"/>
        </w:rPr>
      </w:pPr>
      <w:hyperlink w:anchor="_Toc11750121" w:history="1">
        <w:r w:rsidR="009B36DE" w:rsidRPr="00F7114B">
          <w:rPr>
            <w:rStyle w:val="Hyperlink"/>
            <w:noProof/>
          </w:rPr>
          <w:t xml:space="preserve">Exhibit 13. </w:t>
        </w:r>
        <w:r w:rsidR="009B36DE">
          <w:rPr>
            <w:rFonts w:asciiTheme="minorHAnsi" w:eastAsiaTheme="minorEastAsia" w:hAnsiTheme="minorHAnsi" w:cstheme="minorBidi"/>
            <w:noProof/>
            <w:sz w:val="22"/>
            <w:szCs w:val="22"/>
          </w:rPr>
          <w:tab/>
        </w:r>
        <w:r w:rsidR="009B36DE" w:rsidRPr="00F7114B">
          <w:rPr>
            <w:rStyle w:val="Hyperlink"/>
            <w:noProof/>
          </w:rPr>
          <w:t>Estimated Schedule for the Evaluation</w:t>
        </w:r>
        <w:r w:rsidR="009B36DE">
          <w:rPr>
            <w:noProof/>
            <w:webHidden/>
          </w:rPr>
          <w:tab/>
        </w:r>
        <w:r w:rsidR="009B36DE">
          <w:rPr>
            <w:noProof/>
            <w:webHidden/>
          </w:rPr>
          <w:fldChar w:fldCharType="begin"/>
        </w:r>
        <w:r w:rsidR="009B36DE">
          <w:rPr>
            <w:noProof/>
            <w:webHidden/>
          </w:rPr>
          <w:instrText xml:space="preserve"> PAGEREF _Toc11750121 \h </w:instrText>
        </w:r>
        <w:r w:rsidR="009B36DE">
          <w:rPr>
            <w:noProof/>
            <w:webHidden/>
          </w:rPr>
        </w:r>
        <w:r w:rsidR="009B36DE">
          <w:rPr>
            <w:noProof/>
            <w:webHidden/>
          </w:rPr>
          <w:fldChar w:fldCharType="separate"/>
        </w:r>
        <w:r w:rsidR="00CB0393">
          <w:rPr>
            <w:noProof/>
            <w:webHidden/>
          </w:rPr>
          <w:t>18</w:t>
        </w:r>
        <w:r w:rsidR="009B36DE">
          <w:rPr>
            <w:noProof/>
            <w:webHidden/>
          </w:rPr>
          <w:fldChar w:fldCharType="end"/>
        </w:r>
      </w:hyperlink>
    </w:p>
    <w:p w14:paraId="4192FD58" w14:textId="081F5055" w:rsidR="00AB75A6" w:rsidRPr="00652167" w:rsidRDefault="002B79CF" w:rsidP="002B79CF">
      <w:pPr>
        <w:rPr>
          <w:rFonts w:eastAsiaTheme="minorEastAsia"/>
        </w:rPr>
      </w:pPr>
      <w:r w:rsidRPr="00652167">
        <w:rPr>
          <w:rFonts w:eastAsiaTheme="minorEastAsia"/>
        </w:rPr>
        <w:fldChar w:fldCharType="end"/>
      </w:r>
    </w:p>
    <w:p w14:paraId="3F0DFE0C" w14:textId="77777777" w:rsidR="002B79CF" w:rsidRPr="00652167" w:rsidRDefault="002B79CF" w:rsidP="002B79CF">
      <w:pPr>
        <w:rPr>
          <w:rFonts w:eastAsiaTheme="minorEastAsia"/>
        </w:rPr>
      </w:pPr>
    </w:p>
    <w:p w14:paraId="3A78B00F" w14:textId="77777777" w:rsidR="007A15F0" w:rsidRPr="00652167" w:rsidRDefault="007A15F0" w:rsidP="00A454A7">
      <w:pPr>
        <w:widowControl/>
        <w:autoSpaceDE/>
        <w:autoSpaceDN/>
        <w:adjustRightInd/>
        <w:spacing w:after="160" w:line="259" w:lineRule="auto"/>
        <w:rPr>
          <w:b/>
          <w:bCs/>
          <w:color w:val="5B9BD5" w:themeColor="accent1"/>
          <w:sz w:val="28"/>
          <w:szCs w:val="28"/>
        </w:rPr>
        <w:sectPr w:rsidR="007A15F0" w:rsidRPr="00652167" w:rsidSect="00885F25">
          <w:footerReference w:type="default" r:id="rId16"/>
          <w:pgSz w:w="12240" w:h="15840"/>
          <w:pgMar w:top="1440" w:right="1354" w:bottom="1440" w:left="1440" w:header="720" w:footer="720" w:gutter="0"/>
          <w:pgNumType w:fmt="lowerRoman"/>
          <w:cols w:space="720"/>
          <w:noEndnote/>
        </w:sectPr>
      </w:pPr>
    </w:p>
    <w:p w14:paraId="43070431" w14:textId="77777777" w:rsidR="00E2233E" w:rsidRPr="00652167" w:rsidRDefault="007A15F0" w:rsidP="00E2233E">
      <w:pPr>
        <w:jc w:val="center"/>
        <w:rPr>
          <w:b/>
          <w:bCs/>
          <w:sz w:val="28"/>
          <w:szCs w:val="28"/>
        </w:rPr>
      </w:pPr>
      <w:r w:rsidRPr="00652167">
        <w:rPr>
          <w:b/>
          <w:bCs/>
          <w:sz w:val="28"/>
          <w:szCs w:val="28"/>
        </w:rPr>
        <w:t xml:space="preserve">Supporting Statement for the </w:t>
      </w:r>
      <w:r w:rsidR="00E2233E" w:rsidRPr="00652167">
        <w:rPr>
          <w:b/>
          <w:bCs/>
          <w:sz w:val="28"/>
          <w:szCs w:val="28"/>
        </w:rPr>
        <w:t>Office of the Assistant Secretary for Health</w:t>
      </w:r>
    </w:p>
    <w:p w14:paraId="7F38B658" w14:textId="77777777" w:rsidR="007A15F0" w:rsidRPr="00652167" w:rsidRDefault="00E2233E" w:rsidP="00E2233E">
      <w:pPr>
        <w:jc w:val="center"/>
        <w:rPr>
          <w:b/>
          <w:bCs/>
          <w:color w:val="5B9BD5" w:themeColor="accent1"/>
          <w:sz w:val="28"/>
          <w:szCs w:val="28"/>
        </w:rPr>
      </w:pPr>
      <w:r w:rsidRPr="00652167">
        <w:rPr>
          <w:b/>
          <w:bCs/>
          <w:sz w:val="28"/>
          <w:szCs w:val="28"/>
        </w:rPr>
        <w:t>SMARTool Pilot Replication Project</w:t>
      </w:r>
      <w:r w:rsidR="007A15F0" w:rsidRPr="00652167">
        <w:rPr>
          <w:b/>
          <w:bCs/>
          <w:color w:val="5B9BD5" w:themeColor="accent1"/>
          <w:sz w:val="28"/>
          <w:szCs w:val="28"/>
        </w:rPr>
        <w:br/>
      </w:r>
    </w:p>
    <w:p w14:paraId="3DB85969" w14:textId="77777777" w:rsidR="007A15F0" w:rsidRPr="00652167" w:rsidRDefault="007A15F0" w:rsidP="007A15F0">
      <w:pPr>
        <w:widowControl/>
        <w:spacing w:after="120"/>
        <w:jc w:val="center"/>
      </w:pPr>
    </w:p>
    <w:p w14:paraId="644AEC55" w14:textId="77777777" w:rsidR="007A15F0" w:rsidRPr="00652167" w:rsidRDefault="007A15F0" w:rsidP="007A15F0">
      <w:pPr>
        <w:pStyle w:val="OMBheading-1"/>
      </w:pPr>
      <w:bookmarkStart w:id="5" w:name="_Toc521514998"/>
      <w:bookmarkStart w:id="6" w:name="_Toc523154566"/>
      <w:bookmarkStart w:id="7" w:name="_Toc11750123"/>
      <w:r w:rsidRPr="00652167">
        <w:t>A.</w:t>
      </w:r>
      <w:r w:rsidR="0090193E" w:rsidRPr="00652167">
        <w:tab/>
      </w:r>
      <w:r w:rsidRPr="00652167">
        <w:t>Justification</w:t>
      </w:r>
      <w:bookmarkEnd w:id="5"/>
      <w:bookmarkEnd w:id="6"/>
      <w:bookmarkEnd w:id="7"/>
    </w:p>
    <w:p w14:paraId="295954E4" w14:textId="77777777" w:rsidR="007A15F0" w:rsidRPr="00652167" w:rsidRDefault="007A15F0" w:rsidP="007A15F0">
      <w:pPr>
        <w:pStyle w:val="OMBHeading-2"/>
        <w:outlineLvl w:val="1"/>
        <w:rPr>
          <w:u w:val="single"/>
        </w:rPr>
      </w:pPr>
      <w:bookmarkStart w:id="8" w:name="_Toc521514999"/>
      <w:bookmarkStart w:id="9" w:name="_Toc523154567"/>
      <w:bookmarkStart w:id="10" w:name="_Toc11750124"/>
      <w:r w:rsidRPr="00652167">
        <w:rPr>
          <w:u w:val="single"/>
        </w:rPr>
        <w:t>Circumstances Making the Collection of Information Necessary</w:t>
      </w:r>
      <w:bookmarkEnd w:id="8"/>
      <w:bookmarkEnd w:id="9"/>
      <w:bookmarkEnd w:id="10"/>
    </w:p>
    <w:p w14:paraId="631A8AC3" w14:textId="77777777" w:rsidR="007A15F0" w:rsidRPr="00652167" w:rsidRDefault="007A15F0" w:rsidP="004521C5">
      <w:pPr>
        <w:pStyle w:val="OMBbodytext"/>
      </w:pPr>
      <w:r w:rsidRPr="00652167">
        <w:t xml:space="preserve">This is a request for Office of Management and Budget (OMB) approval for </w:t>
      </w:r>
      <w:r w:rsidR="00E2233E" w:rsidRPr="00652167">
        <w:t xml:space="preserve">new </w:t>
      </w:r>
      <w:r w:rsidR="00FA25ED" w:rsidRPr="00652167">
        <w:t>data collection</w:t>
      </w:r>
      <w:r w:rsidR="00D5429E" w:rsidRPr="00652167">
        <w:t xml:space="preserve"> to evaluat</w:t>
      </w:r>
      <w:r w:rsidR="00295858" w:rsidRPr="00652167">
        <w:t>e</w:t>
      </w:r>
      <w:r w:rsidR="00D5429E" w:rsidRPr="00652167">
        <w:t xml:space="preserve"> </w:t>
      </w:r>
      <w:r w:rsidR="00604C62" w:rsidRPr="00652167">
        <w:t xml:space="preserve">sexual risk avoidance </w:t>
      </w:r>
      <w:r w:rsidR="00D62A03" w:rsidRPr="00652167">
        <w:t xml:space="preserve">(SRA) </w:t>
      </w:r>
      <w:r w:rsidR="00604C62" w:rsidRPr="00652167">
        <w:t xml:space="preserve">curricula that are aligned with the </w:t>
      </w:r>
      <w:r w:rsidR="00D5429E" w:rsidRPr="00652167">
        <w:t>Systematic Method for Assessing Risk</w:t>
      </w:r>
      <w:r w:rsidR="00295858" w:rsidRPr="00652167">
        <w:t xml:space="preserve"> A</w:t>
      </w:r>
      <w:r w:rsidR="00D5429E" w:rsidRPr="00652167">
        <w:t>voidance Tool (SMARTool).</w:t>
      </w:r>
      <w:r w:rsidR="00D5429E" w:rsidRPr="00652167">
        <w:rPr>
          <w:rStyle w:val="FootnoteReference"/>
          <w:vertAlign w:val="superscript"/>
        </w:rPr>
        <w:footnoteReference w:id="2"/>
      </w:r>
      <w:r w:rsidR="00D5429E" w:rsidRPr="00652167">
        <w:t xml:space="preserve"> The SMARTool is a </w:t>
      </w:r>
      <w:r w:rsidR="00693170" w:rsidRPr="00652167">
        <w:t>technical assistance</w:t>
      </w:r>
      <w:r w:rsidR="00D5429E" w:rsidRPr="00652167">
        <w:t xml:space="preserve"> guide for use by schools, youth-serving organizations, and other agencies interested in delivering SRA education to youth.</w:t>
      </w:r>
      <w:r w:rsidR="00E14013" w:rsidRPr="00652167">
        <w:rPr>
          <w:rStyle w:val="FootnoteReference"/>
          <w:vertAlign w:val="superscript"/>
        </w:rPr>
        <w:footnoteReference w:id="3"/>
      </w:r>
      <w:r w:rsidR="00D5429E" w:rsidRPr="00652167">
        <w:t xml:space="preserve"> </w:t>
      </w:r>
      <w:r w:rsidR="006A605F" w:rsidRPr="00652167">
        <w:t>It</w:t>
      </w:r>
      <w:r w:rsidR="00D5429E" w:rsidRPr="00652167">
        <w:t xml:space="preserve"> was developed by the Center for Relationship Education (CRE) as part of a five-year cooperative agreement with the Centers for Disease Control and Prevention and was released in 2008. </w:t>
      </w:r>
      <w:r w:rsidR="0012470C" w:rsidRPr="00652167">
        <w:t>The Office of the Assistant Secretary for Health (</w:t>
      </w:r>
      <w:r w:rsidR="00E2233E" w:rsidRPr="00652167">
        <w:t>OASH</w:t>
      </w:r>
      <w:r w:rsidR="0012470C" w:rsidRPr="00652167">
        <w:t>)</w:t>
      </w:r>
      <w:r w:rsidR="006F1844" w:rsidRPr="00652167">
        <w:t xml:space="preserve"> </w:t>
      </w:r>
      <w:r w:rsidR="00E2233E" w:rsidRPr="00652167">
        <w:t xml:space="preserve">is </w:t>
      </w:r>
      <w:r w:rsidR="006F1844" w:rsidRPr="00652167">
        <w:t xml:space="preserve">sponsoring a project to </w:t>
      </w:r>
      <w:r w:rsidR="00E2233E" w:rsidRPr="00652167">
        <w:t>updat</w:t>
      </w:r>
      <w:r w:rsidR="006F1844" w:rsidRPr="00652167">
        <w:t>e</w:t>
      </w:r>
      <w:r w:rsidR="00E2233E" w:rsidRPr="00652167">
        <w:t xml:space="preserve"> the</w:t>
      </w:r>
      <w:r w:rsidR="006F1844" w:rsidRPr="00652167">
        <w:t xml:space="preserve"> SMARTool</w:t>
      </w:r>
      <w:r w:rsidR="00D5429E" w:rsidRPr="00652167">
        <w:t xml:space="preserve"> </w:t>
      </w:r>
      <w:bookmarkStart w:id="11" w:name="_Hlk523333842"/>
      <w:r w:rsidR="006F1844" w:rsidRPr="00652167">
        <w:t xml:space="preserve">to include emerging themes important to </w:t>
      </w:r>
      <w:r w:rsidR="00AB487F" w:rsidRPr="00652167">
        <w:t xml:space="preserve">achieving </w:t>
      </w:r>
      <w:r w:rsidR="006F1844" w:rsidRPr="00652167">
        <w:t>optimal health outcome</w:t>
      </w:r>
      <w:r w:rsidR="00AB487F" w:rsidRPr="00652167">
        <w:t>s</w:t>
      </w:r>
      <w:r w:rsidR="006F1844" w:rsidRPr="00652167">
        <w:t xml:space="preserve"> within the adolescent SRA approach</w:t>
      </w:r>
      <w:bookmarkEnd w:id="11"/>
      <w:r w:rsidR="006F1844" w:rsidRPr="00652167">
        <w:t>.</w:t>
      </w:r>
      <w:r w:rsidR="00AD16F7" w:rsidRPr="00652167">
        <w:rPr>
          <w:rStyle w:val="FootnoteReference"/>
          <w:vertAlign w:val="superscript"/>
        </w:rPr>
        <w:footnoteReference w:id="4"/>
      </w:r>
      <w:r w:rsidR="006F1844" w:rsidRPr="00652167">
        <w:t xml:space="preserve"> </w:t>
      </w:r>
      <w:r w:rsidR="00D5429E" w:rsidRPr="00652167">
        <w:t xml:space="preserve">OASH </w:t>
      </w:r>
      <w:r w:rsidR="00E421DB" w:rsidRPr="00652167">
        <w:t xml:space="preserve">also </w:t>
      </w:r>
      <w:r w:rsidR="00D5429E" w:rsidRPr="00652167">
        <w:t>plans to conduct</w:t>
      </w:r>
      <w:r w:rsidR="009E05C7" w:rsidRPr="00652167">
        <w:t xml:space="preserve"> a</w:t>
      </w:r>
      <w:r w:rsidR="0096313B" w:rsidRPr="00652167">
        <w:t>n</w:t>
      </w:r>
      <w:r w:rsidR="009E05C7" w:rsidRPr="00652167">
        <w:t xml:space="preserve"> evaluation to </w:t>
      </w:r>
      <w:r w:rsidR="001702A3" w:rsidRPr="00652167">
        <w:t xml:space="preserve">assess the </w:t>
      </w:r>
      <w:r w:rsidR="009E05C7" w:rsidRPr="00652167">
        <w:t>impact of</w:t>
      </w:r>
      <w:r w:rsidR="00651A07" w:rsidRPr="00652167">
        <w:t xml:space="preserve"> two</w:t>
      </w:r>
      <w:r w:rsidR="009E05C7" w:rsidRPr="00652167">
        <w:t xml:space="preserve"> </w:t>
      </w:r>
      <w:r w:rsidR="00D62A03" w:rsidRPr="00652167">
        <w:t xml:space="preserve">SRA curricula that are aligned with </w:t>
      </w:r>
      <w:r w:rsidR="009E05C7" w:rsidRPr="00652167">
        <w:t xml:space="preserve">the </w:t>
      </w:r>
      <w:r w:rsidR="001702A3" w:rsidRPr="00652167">
        <w:t>updated SMARTool</w:t>
      </w:r>
      <w:r w:rsidR="009E05C7" w:rsidRPr="00652167">
        <w:t>. The aims of the evaluation are</w:t>
      </w:r>
      <w:r w:rsidR="001702A3" w:rsidRPr="00652167">
        <w:t xml:space="preserve"> to (1) </w:t>
      </w:r>
      <w:r w:rsidR="00295858" w:rsidRPr="00652167">
        <w:t>produce</w:t>
      </w:r>
      <w:r w:rsidR="001702A3" w:rsidRPr="00652167">
        <w:t xml:space="preserve"> preliminary evidence </w:t>
      </w:r>
      <w:bookmarkStart w:id="12" w:name="_Hlk523333937"/>
      <w:r w:rsidR="00461221" w:rsidRPr="00652167">
        <w:t>regarding</w:t>
      </w:r>
      <w:r w:rsidR="001702A3" w:rsidRPr="00652167">
        <w:t xml:space="preserve"> </w:t>
      </w:r>
      <w:r w:rsidR="00BD7283" w:rsidRPr="00652167">
        <w:t xml:space="preserve">the effects of two SMARTool-aligned SRA curricula on </w:t>
      </w:r>
      <w:r w:rsidR="00607B3F" w:rsidRPr="00652167">
        <w:t xml:space="preserve">proximal </w:t>
      </w:r>
      <w:bookmarkEnd w:id="12"/>
      <w:r w:rsidR="00BD7283" w:rsidRPr="00652167">
        <w:t>youth outcomes</w:t>
      </w:r>
      <w:r w:rsidR="00D1338D" w:rsidRPr="00652167">
        <w:rPr>
          <w:rStyle w:val="FootnoteReference"/>
          <w:vertAlign w:val="superscript"/>
        </w:rPr>
        <w:footnoteReference w:id="5"/>
      </w:r>
      <w:r w:rsidR="001702A3" w:rsidRPr="00652167">
        <w:t>, and (2)</w:t>
      </w:r>
      <w:r w:rsidR="00461221" w:rsidRPr="00652167">
        <w:t> </w:t>
      </w:r>
      <w:r w:rsidR="001702A3" w:rsidRPr="00652167">
        <w:t>derive lessons learned to improve SRA program implementation.</w:t>
      </w:r>
      <w:r w:rsidR="00E2233E" w:rsidRPr="00652167">
        <w:t xml:space="preserve"> The evaluation will use quantitative and qualitative methods.</w:t>
      </w:r>
      <w:r w:rsidR="0002092E" w:rsidRPr="00652167">
        <w:t xml:space="preserve"> </w:t>
      </w:r>
      <w:r w:rsidR="008C7752" w:rsidRPr="00652167">
        <w:t>OASH is authorized to conduct this study by the Public Health Service Act (42 U.S.C.241)</w:t>
      </w:r>
      <w:r w:rsidR="000A2D9B" w:rsidRPr="00652167">
        <w:t xml:space="preserve"> </w:t>
      </w:r>
      <w:r w:rsidR="007A705F" w:rsidRPr="00652167">
        <w:t xml:space="preserve">and the FY2017 Consolidated Appropriations </w:t>
      </w:r>
      <w:r w:rsidR="00DA223A" w:rsidRPr="00652167">
        <w:t xml:space="preserve">for </w:t>
      </w:r>
      <w:r w:rsidR="007A705F" w:rsidRPr="00652167">
        <w:t>General Departmental Management</w:t>
      </w:r>
      <w:r w:rsidR="000A2D9B" w:rsidRPr="00652167">
        <w:t xml:space="preserve"> </w:t>
      </w:r>
      <w:r w:rsidR="007A705F" w:rsidRPr="00652167">
        <w:t xml:space="preserve">to evaluate and refine programs that reduce teen pregnancy, including programs that implement </w:t>
      </w:r>
      <w:r w:rsidR="00F36B01" w:rsidRPr="00652167">
        <w:t xml:space="preserve">SRA </w:t>
      </w:r>
      <w:r w:rsidR="007A705F" w:rsidRPr="00652167">
        <w:t>education</w:t>
      </w:r>
      <w:r w:rsidR="000A2D9B" w:rsidRPr="00652167">
        <w:t>.</w:t>
      </w:r>
      <w:r w:rsidR="00DB6590" w:rsidRPr="00652167">
        <w:t xml:space="preserve"> </w:t>
      </w:r>
    </w:p>
    <w:p w14:paraId="23915546" w14:textId="0BEB54D9" w:rsidR="008C7BD1" w:rsidRPr="004548F0" w:rsidRDefault="00CC14E4" w:rsidP="00AB29C0">
      <w:pPr>
        <w:pStyle w:val="OMBbodytext"/>
      </w:pPr>
      <w:r w:rsidRPr="00652167">
        <w:t xml:space="preserve">To implement this project, </w:t>
      </w:r>
      <w:r w:rsidR="001F4B40" w:rsidRPr="00652167">
        <w:t xml:space="preserve">OASH </w:t>
      </w:r>
      <w:r w:rsidR="004D3E54" w:rsidRPr="00652167">
        <w:t>contracted with the MITRE</w:t>
      </w:r>
      <w:r w:rsidR="003D3773" w:rsidRPr="00652167">
        <w:t xml:space="preserve"> Corporation</w:t>
      </w:r>
      <w:r w:rsidR="004D3E54" w:rsidRPr="00652167">
        <w:t>, the operator of the</w:t>
      </w:r>
      <w:r w:rsidR="001F4B40" w:rsidRPr="00652167">
        <w:t xml:space="preserve"> </w:t>
      </w:r>
      <w:r w:rsidR="004D3E54" w:rsidRPr="00652167">
        <w:t>Health</w:t>
      </w:r>
      <w:r w:rsidR="00D52BE1" w:rsidRPr="00652167">
        <w:t xml:space="preserve"> </w:t>
      </w:r>
      <w:r w:rsidRPr="00652167">
        <w:t>Federally Funded Research and Development Center (FFRDC</w:t>
      </w:r>
      <w:r w:rsidR="0039677A" w:rsidRPr="00652167">
        <w:t xml:space="preserve">). The Health FFRDC team also includes two MITRE </w:t>
      </w:r>
      <w:r w:rsidR="00D52BE1" w:rsidRPr="00652167">
        <w:t>subcontractors</w:t>
      </w:r>
      <w:r w:rsidR="0039677A" w:rsidRPr="00652167">
        <w:t>,</w:t>
      </w:r>
      <w:r w:rsidR="008F2BA4" w:rsidRPr="00652167">
        <w:t xml:space="preserve"> RTI International</w:t>
      </w:r>
      <w:r w:rsidR="00D37B53" w:rsidRPr="00652167">
        <w:t xml:space="preserve"> (RTI</w:t>
      </w:r>
      <w:r w:rsidR="0039677A" w:rsidRPr="00652167">
        <w:t xml:space="preserve">) and </w:t>
      </w:r>
      <w:r w:rsidR="008F2BA4" w:rsidRPr="00652167">
        <w:t>Atlas Research, Inc</w:t>
      </w:r>
      <w:r w:rsidR="007B2AA6" w:rsidRPr="00652167">
        <w:t>.</w:t>
      </w:r>
      <w:r w:rsidR="005C19A5" w:rsidRPr="00652167">
        <w:t xml:space="preserve"> Under t</w:t>
      </w:r>
      <w:r w:rsidR="00D52BE1" w:rsidRPr="00652167">
        <w:t>he auspices of this project</w:t>
      </w:r>
      <w:r w:rsidR="005C19A5" w:rsidRPr="00652167">
        <w:t xml:space="preserve">, MITRE </w:t>
      </w:r>
      <w:r w:rsidR="0039677A" w:rsidRPr="00652167">
        <w:t>has</w:t>
      </w:r>
      <w:r w:rsidR="005C19A5" w:rsidRPr="00652167">
        <w:t xml:space="preserve"> award</w:t>
      </w:r>
      <w:r w:rsidR="0039677A" w:rsidRPr="00652167">
        <w:t>ed</w:t>
      </w:r>
      <w:r w:rsidR="005C19A5" w:rsidRPr="00652167">
        <w:t xml:space="preserve"> subcontracts to </w:t>
      </w:r>
      <w:r w:rsidR="004C421A" w:rsidRPr="00652167">
        <w:t xml:space="preserve">two </w:t>
      </w:r>
      <w:r w:rsidR="00956DDA" w:rsidRPr="00652167">
        <w:t>implementing organizations</w:t>
      </w:r>
      <w:r w:rsidR="005C19A5" w:rsidRPr="00652167">
        <w:t xml:space="preserve"> </w:t>
      </w:r>
      <w:r w:rsidR="001855BF" w:rsidRPr="00652167">
        <w:t xml:space="preserve">(IOs) </w:t>
      </w:r>
      <w:r w:rsidR="005C19A5" w:rsidRPr="00652167">
        <w:t xml:space="preserve">that have established partnerships with </w:t>
      </w:r>
      <w:r w:rsidR="00212DEB" w:rsidRPr="00652167">
        <w:t xml:space="preserve">approximately 14 </w:t>
      </w:r>
      <w:r w:rsidR="005C19A5" w:rsidRPr="00652167">
        <w:t xml:space="preserve">secondary schools </w:t>
      </w:r>
      <w:r w:rsidR="00212DEB" w:rsidRPr="00652167">
        <w:t>in 11</w:t>
      </w:r>
      <w:r w:rsidR="005C19A5" w:rsidRPr="00652167">
        <w:t xml:space="preserve"> school districts </w:t>
      </w:r>
      <w:r w:rsidR="006A605F" w:rsidRPr="00652167">
        <w:t xml:space="preserve">to </w:t>
      </w:r>
      <w:r w:rsidR="005C19A5" w:rsidRPr="00652167">
        <w:t xml:space="preserve">implement SRA </w:t>
      </w:r>
      <w:r w:rsidR="005C7864" w:rsidRPr="00652167">
        <w:t>education programs</w:t>
      </w:r>
      <w:r w:rsidR="005C19A5" w:rsidRPr="00652167">
        <w:t xml:space="preserve">. </w:t>
      </w:r>
      <w:r w:rsidR="00390F2A" w:rsidRPr="00652167">
        <w:t>For the purpose</w:t>
      </w:r>
      <w:r w:rsidR="00FF1BAF" w:rsidRPr="00652167">
        <w:t>s</w:t>
      </w:r>
      <w:r w:rsidR="00390F2A" w:rsidRPr="00652167">
        <w:t xml:space="preserve"> of this project, the FFRDC team defines </w:t>
      </w:r>
      <w:r w:rsidR="00FF1BAF" w:rsidRPr="00652167">
        <w:t>IOs</w:t>
      </w:r>
      <w:r w:rsidR="0096313B" w:rsidRPr="00652167">
        <w:t xml:space="preserve"> to be</w:t>
      </w:r>
      <w:r w:rsidR="00AB29C0" w:rsidRPr="00652167">
        <w:t xml:space="preserve"> </w:t>
      </w:r>
      <w:r w:rsidR="00B330FE" w:rsidRPr="00652167">
        <w:t>organizations focused on health, education, and social services that have experience working with schools or school districts to implement SRA programming.</w:t>
      </w:r>
      <w:r w:rsidR="00B330FE" w:rsidRPr="00652167" w:rsidDel="00B330FE">
        <w:t xml:space="preserve"> </w:t>
      </w:r>
      <w:r w:rsidR="00847006" w:rsidRPr="00652167">
        <w:t>One IO has established partnerships with approximately 4 schools in 1 school district</w:t>
      </w:r>
      <w:r w:rsidR="0083034A" w:rsidRPr="00652167">
        <w:t xml:space="preserve"> for this project</w:t>
      </w:r>
      <w:r w:rsidR="00847006" w:rsidRPr="00652167">
        <w:t>, and the other has established partnerships with 10 schools in 10 different school districts</w:t>
      </w:r>
      <w:r w:rsidR="00AE393A" w:rsidRPr="00652167">
        <w:t xml:space="preserve">. </w:t>
      </w:r>
      <w:r w:rsidR="001719CF" w:rsidRPr="00652167">
        <w:t xml:space="preserve">Each IO will be teaching a different </w:t>
      </w:r>
      <w:r w:rsidR="007700F5" w:rsidRPr="00652167">
        <w:t xml:space="preserve">SMARTool-aligned SRA </w:t>
      </w:r>
      <w:r w:rsidR="001719CF" w:rsidRPr="00652167">
        <w:t>curriculum to youth.</w:t>
      </w:r>
      <w:r w:rsidR="00AF7F1A" w:rsidRPr="00652167">
        <w:t xml:space="preserve"> Accordingly, results for each IO will be analyzed and reported separately, rather than pooled.</w:t>
      </w:r>
      <w:r w:rsidR="004548F0">
        <w:t xml:space="preserve"> </w:t>
      </w:r>
      <w:r w:rsidR="004548F0">
        <w:rPr>
          <w:b/>
          <w:bCs/>
          <w:i/>
          <w:iCs/>
        </w:rPr>
        <w:t>Exhibit 1</w:t>
      </w:r>
      <w:r w:rsidR="004548F0">
        <w:t xml:space="preserve"> displays these details.</w:t>
      </w:r>
    </w:p>
    <w:p w14:paraId="07A7224F" w14:textId="59D5D41E" w:rsidR="009049F6" w:rsidRPr="00652167" w:rsidRDefault="00532D89" w:rsidP="009049F6">
      <w:pPr>
        <w:pStyle w:val="OMBExhibitTitle"/>
      </w:pPr>
      <w:bookmarkStart w:id="13" w:name="_Toc11750109"/>
      <w:r w:rsidRPr="00652167">
        <w:t>Exhibit 1</w:t>
      </w:r>
      <w:r w:rsidR="009B36DE">
        <w:t>.</w:t>
      </w:r>
      <w:r w:rsidR="009B36DE" w:rsidRPr="009B36DE">
        <w:t xml:space="preserve"> </w:t>
      </w:r>
      <w:r w:rsidR="009B36DE" w:rsidRPr="00652167">
        <w:tab/>
      </w:r>
      <w:r w:rsidRPr="00652167">
        <w:t>Details about Participating Two Implementing Organizations (IOs)</w:t>
      </w:r>
      <w:bookmarkEnd w:id="13"/>
      <w:r w:rsidRPr="00652167">
        <w:t xml:space="preserve"> </w:t>
      </w:r>
    </w:p>
    <w:tbl>
      <w:tblPr>
        <w:tblStyle w:val="TableGrid"/>
        <w:tblW w:w="5000" w:type="pct"/>
        <w:tblLook w:val="04A0" w:firstRow="1" w:lastRow="0" w:firstColumn="1" w:lastColumn="0" w:noHBand="0" w:noVBand="1"/>
      </w:tblPr>
      <w:tblGrid>
        <w:gridCol w:w="1896"/>
        <w:gridCol w:w="1376"/>
        <w:gridCol w:w="1529"/>
        <w:gridCol w:w="1530"/>
        <w:gridCol w:w="1709"/>
        <w:gridCol w:w="1626"/>
      </w:tblGrid>
      <w:tr w:rsidR="009049F6" w:rsidRPr="00652167" w14:paraId="1911AE37" w14:textId="77777777" w:rsidTr="00937F01">
        <w:trPr>
          <w:trHeight w:val="845"/>
        </w:trPr>
        <w:tc>
          <w:tcPr>
            <w:tcW w:w="1004" w:type="pct"/>
            <w:shd w:val="clear" w:color="auto" w:fill="808080" w:themeFill="background1" w:themeFillShade="80"/>
          </w:tcPr>
          <w:p w14:paraId="31DBF57C" w14:textId="77777777" w:rsidR="009049F6" w:rsidRPr="00652167" w:rsidRDefault="009049F6" w:rsidP="00792B14">
            <w:pPr>
              <w:pStyle w:val="OMBbodytext"/>
              <w:keepNext/>
              <w:keepLines/>
              <w:ind w:left="0"/>
              <w:rPr>
                <w:b/>
                <w:color w:val="FFFFFF" w:themeColor="background1"/>
              </w:rPr>
            </w:pPr>
            <w:r w:rsidRPr="00652167">
              <w:rPr>
                <w:b/>
                <w:color w:val="FFFFFF" w:themeColor="background1"/>
              </w:rPr>
              <w:t>IO and SRA curriculum</w:t>
            </w:r>
          </w:p>
        </w:tc>
        <w:tc>
          <w:tcPr>
            <w:tcW w:w="596" w:type="pct"/>
            <w:shd w:val="clear" w:color="auto" w:fill="808080" w:themeFill="background1" w:themeFillShade="80"/>
          </w:tcPr>
          <w:p w14:paraId="5E656625" w14:textId="77777777" w:rsidR="009049F6" w:rsidRPr="00652167" w:rsidRDefault="009049F6" w:rsidP="00792B14">
            <w:pPr>
              <w:pStyle w:val="OMBbodytext"/>
              <w:keepNext/>
              <w:keepLines/>
              <w:ind w:left="0"/>
              <w:rPr>
                <w:b/>
                <w:color w:val="FFFFFF" w:themeColor="background1"/>
              </w:rPr>
            </w:pPr>
            <w:r w:rsidRPr="00652167">
              <w:rPr>
                <w:b/>
                <w:color w:val="FFFFFF" w:themeColor="background1"/>
              </w:rPr>
              <w:t>Length of curriculum</w:t>
            </w:r>
          </w:p>
        </w:tc>
        <w:tc>
          <w:tcPr>
            <w:tcW w:w="814" w:type="pct"/>
            <w:shd w:val="clear" w:color="auto" w:fill="808080" w:themeFill="background1" w:themeFillShade="80"/>
          </w:tcPr>
          <w:p w14:paraId="730C79F2" w14:textId="77777777" w:rsidR="009049F6" w:rsidRPr="00652167" w:rsidRDefault="009049F6" w:rsidP="00792B14">
            <w:pPr>
              <w:pStyle w:val="OMBbodytext"/>
              <w:keepNext/>
              <w:keepLines/>
              <w:ind w:left="0"/>
              <w:rPr>
                <w:b/>
                <w:color w:val="FFFFFF" w:themeColor="background1"/>
              </w:rPr>
            </w:pPr>
            <w:r w:rsidRPr="00652167">
              <w:rPr>
                <w:b/>
                <w:color w:val="FFFFFF" w:themeColor="background1"/>
              </w:rPr>
              <w:t>Expected # of districts</w:t>
            </w:r>
          </w:p>
        </w:tc>
        <w:tc>
          <w:tcPr>
            <w:tcW w:w="814" w:type="pct"/>
            <w:shd w:val="clear" w:color="auto" w:fill="808080" w:themeFill="background1" w:themeFillShade="80"/>
          </w:tcPr>
          <w:p w14:paraId="40AF3752" w14:textId="77777777" w:rsidR="009049F6" w:rsidRPr="00652167" w:rsidRDefault="009049F6" w:rsidP="00792B14">
            <w:pPr>
              <w:pStyle w:val="OMBbodytext"/>
              <w:keepNext/>
              <w:keepLines/>
              <w:ind w:left="0"/>
              <w:rPr>
                <w:b/>
                <w:color w:val="FFFFFF" w:themeColor="background1"/>
              </w:rPr>
            </w:pPr>
            <w:r w:rsidRPr="00652167">
              <w:rPr>
                <w:b/>
                <w:color w:val="FFFFFF" w:themeColor="background1"/>
              </w:rPr>
              <w:t>Expected # of schools</w:t>
            </w:r>
          </w:p>
        </w:tc>
        <w:tc>
          <w:tcPr>
            <w:tcW w:w="907" w:type="pct"/>
            <w:shd w:val="clear" w:color="auto" w:fill="808080" w:themeFill="background1" w:themeFillShade="80"/>
          </w:tcPr>
          <w:p w14:paraId="1CEA08C0" w14:textId="77777777" w:rsidR="009049F6" w:rsidRPr="00652167" w:rsidRDefault="009049F6" w:rsidP="00792B14">
            <w:pPr>
              <w:pStyle w:val="OMBbodytext"/>
              <w:keepNext/>
              <w:keepLines/>
              <w:ind w:left="0"/>
              <w:rPr>
                <w:b/>
                <w:color w:val="FFFFFF" w:themeColor="background1"/>
              </w:rPr>
            </w:pPr>
            <w:r w:rsidRPr="00652167">
              <w:rPr>
                <w:b/>
                <w:color w:val="FFFFFF" w:themeColor="background1"/>
              </w:rPr>
              <w:t>Estimated # of classrooms</w:t>
            </w:r>
          </w:p>
        </w:tc>
        <w:tc>
          <w:tcPr>
            <w:tcW w:w="864" w:type="pct"/>
            <w:shd w:val="clear" w:color="auto" w:fill="808080" w:themeFill="background1" w:themeFillShade="80"/>
          </w:tcPr>
          <w:p w14:paraId="595E7DEC" w14:textId="77777777" w:rsidR="009049F6" w:rsidRPr="00652167" w:rsidRDefault="009049F6" w:rsidP="00792B14">
            <w:pPr>
              <w:pStyle w:val="OMBbodytext"/>
              <w:keepNext/>
              <w:keepLines/>
              <w:ind w:left="0"/>
              <w:rPr>
                <w:b/>
                <w:color w:val="FFFFFF" w:themeColor="background1"/>
              </w:rPr>
            </w:pPr>
            <w:r w:rsidRPr="00652167">
              <w:rPr>
                <w:b/>
                <w:color w:val="FFFFFF" w:themeColor="background1"/>
              </w:rPr>
              <w:t>Estimated # of students</w:t>
            </w:r>
          </w:p>
        </w:tc>
      </w:tr>
      <w:tr w:rsidR="009049F6" w:rsidRPr="00652167" w14:paraId="5F2BE3DC" w14:textId="77777777" w:rsidTr="00792B14">
        <w:tc>
          <w:tcPr>
            <w:tcW w:w="1004" w:type="pct"/>
          </w:tcPr>
          <w:p w14:paraId="56552189" w14:textId="77777777" w:rsidR="009049F6" w:rsidRPr="00652167" w:rsidRDefault="009049F6" w:rsidP="00792B14">
            <w:pPr>
              <w:pStyle w:val="OMBbodytext"/>
              <w:keepNext/>
              <w:keepLines/>
              <w:ind w:left="0"/>
            </w:pPr>
            <w:r w:rsidRPr="00652167">
              <w:t xml:space="preserve">IO A </w:t>
            </w:r>
          </w:p>
          <w:p w14:paraId="1AF46F65" w14:textId="77777777" w:rsidR="009049F6" w:rsidRPr="00652167" w:rsidRDefault="009049F6" w:rsidP="00792B14">
            <w:pPr>
              <w:pStyle w:val="OMBbodytext"/>
              <w:keepNext/>
              <w:keepLines/>
              <w:ind w:left="0"/>
            </w:pPr>
            <w:r w:rsidRPr="00652167">
              <w:t xml:space="preserve">(REAL Essentials) </w:t>
            </w:r>
          </w:p>
        </w:tc>
        <w:tc>
          <w:tcPr>
            <w:tcW w:w="596" w:type="pct"/>
          </w:tcPr>
          <w:p w14:paraId="2E623B60" w14:textId="77777777" w:rsidR="009049F6" w:rsidRPr="00652167" w:rsidRDefault="00792B14" w:rsidP="00792B14">
            <w:pPr>
              <w:pStyle w:val="OMBbodytext"/>
              <w:keepNext/>
              <w:keepLines/>
              <w:ind w:left="0"/>
            </w:pPr>
            <w:r w:rsidRPr="00652167">
              <w:t>6</w:t>
            </w:r>
            <w:r w:rsidR="009049F6" w:rsidRPr="00652167">
              <w:t xml:space="preserve"> </w:t>
            </w:r>
            <w:r w:rsidRPr="00652167">
              <w:t>sessions</w:t>
            </w:r>
            <w:r w:rsidR="009049F6" w:rsidRPr="00652167">
              <w:t xml:space="preserve"> (</w:t>
            </w:r>
            <w:r w:rsidRPr="00652167">
              <w:t>7.5</w:t>
            </w:r>
            <w:r w:rsidR="009049F6" w:rsidRPr="00652167">
              <w:t xml:space="preserve"> hours)</w:t>
            </w:r>
          </w:p>
        </w:tc>
        <w:tc>
          <w:tcPr>
            <w:tcW w:w="814" w:type="pct"/>
          </w:tcPr>
          <w:p w14:paraId="098CA8DF" w14:textId="77777777" w:rsidR="009049F6" w:rsidRPr="00652167" w:rsidRDefault="009049F6" w:rsidP="00792B14">
            <w:pPr>
              <w:pStyle w:val="OMBbodytext"/>
              <w:keepNext/>
              <w:keepLines/>
              <w:ind w:left="0"/>
            </w:pPr>
            <w:r w:rsidRPr="00652167">
              <w:t>1</w:t>
            </w:r>
          </w:p>
        </w:tc>
        <w:tc>
          <w:tcPr>
            <w:tcW w:w="814" w:type="pct"/>
          </w:tcPr>
          <w:p w14:paraId="74372210" w14:textId="77777777" w:rsidR="009049F6" w:rsidRPr="00652167" w:rsidRDefault="009049F6" w:rsidP="00792B14">
            <w:pPr>
              <w:pStyle w:val="OMBbodytext"/>
              <w:keepNext/>
              <w:keepLines/>
              <w:ind w:left="0"/>
            </w:pPr>
            <w:r w:rsidRPr="00652167">
              <w:t>4</w:t>
            </w:r>
          </w:p>
        </w:tc>
        <w:tc>
          <w:tcPr>
            <w:tcW w:w="907" w:type="pct"/>
          </w:tcPr>
          <w:p w14:paraId="0222C2B7" w14:textId="77777777" w:rsidR="009049F6" w:rsidRPr="00652167" w:rsidRDefault="009049F6" w:rsidP="00792B14">
            <w:pPr>
              <w:pStyle w:val="OMBbodytext"/>
              <w:keepNext/>
              <w:keepLines/>
              <w:ind w:left="0"/>
            </w:pPr>
            <w:r w:rsidRPr="00652167">
              <w:t xml:space="preserve">17-20 classrooms </w:t>
            </w:r>
            <w:r w:rsidRPr="00652167">
              <w:rPr>
                <w:i/>
                <w:iCs/>
              </w:rPr>
              <w:t>(30-35 students per classroom)</w:t>
            </w:r>
          </w:p>
          <w:p w14:paraId="0A94A68C" w14:textId="77777777" w:rsidR="009049F6" w:rsidRPr="00652167" w:rsidRDefault="009049F6" w:rsidP="00792B14">
            <w:pPr>
              <w:pStyle w:val="OMBbodytext"/>
              <w:keepNext/>
              <w:keepLines/>
            </w:pPr>
          </w:p>
        </w:tc>
        <w:tc>
          <w:tcPr>
            <w:tcW w:w="864" w:type="pct"/>
          </w:tcPr>
          <w:p w14:paraId="03C607F5" w14:textId="77777777" w:rsidR="009049F6" w:rsidRPr="00652167" w:rsidRDefault="009049F6" w:rsidP="00792B14">
            <w:pPr>
              <w:pStyle w:val="OMBbodytext"/>
              <w:keepNext/>
              <w:keepLines/>
              <w:ind w:left="0"/>
            </w:pPr>
            <w:r w:rsidRPr="00652167">
              <w:t>1,200</w:t>
            </w:r>
          </w:p>
        </w:tc>
      </w:tr>
      <w:tr w:rsidR="009049F6" w:rsidRPr="00652167" w14:paraId="72135B50" w14:textId="77777777" w:rsidTr="00792B14">
        <w:trPr>
          <w:trHeight w:val="1223"/>
        </w:trPr>
        <w:tc>
          <w:tcPr>
            <w:tcW w:w="1004" w:type="pct"/>
          </w:tcPr>
          <w:p w14:paraId="31D163C4" w14:textId="77777777" w:rsidR="009049F6" w:rsidRPr="00652167" w:rsidRDefault="009049F6" w:rsidP="00792B14">
            <w:pPr>
              <w:pStyle w:val="OMBbodytext"/>
              <w:keepNext/>
              <w:keepLines/>
              <w:ind w:left="0"/>
            </w:pPr>
            <w:r w:rsidRPr="00652167">
              <w:t xml:space="preserve">IO B (Represent®) </w:t>
            </w:r>
          </w:p>
        </w:tc>
        <w:tc>
          <w:tcPr>
            <w:tcW w:w="596" w:type="pct"/>
          </w:tcPr>
          <w:p w14:paraId="48ED17EA" w14:textId="77777777" w:rsidR="009049F6" w:rsidRPr="00652167" w:rsidRDefault="000E10F9" w:rsidP="00792B14">
            <w:pPr>
              <w:pStyle w:val="OMBbodytext"/>
              <w:keepNext/>
              <w:keepLines/>
              <w:ind w:left="0"/>
            </w:pPr>
            <w:r w:rsidRPr="00652167">
              <w:t>5</w:t>
            </w:r>
            <w:r w:rsidR="009049F6" w:rsidRPr="00652167">
              <w:t xml:space="preserve"> lessons (</w:t>
            </w:r>
            <w:r w:rsidRPr="00652167">
              <w:t>3.75</w:t>
            </w:r>
            <w:r w:rsidR="009049F6" w:rsidRPr="00652167">
              <w:t xml:space="preserve"> hours)</w:t>
            </w:r>
          </w:p>
        </w:tc>
        <w:tc>
          <w:tcPr>
            <w:tcW w:w="814" w:type="pct"/>
          </w:tcPr>
          <w:p w14:paraId="4ABB514F" w14:textId="77777777" w:rsidR="009049F6" w:rsidRPr="00652167" w:rsidRDefault="009049F6" w:rsidP="00792B14">
            <w:pPr>
              <w:pStyle w:val="OMBbodytext"/>
              <w:keepNext/>
              <w:keepLines/>
              <w:ind w:left="0"/>
            </w:pPr>
            <w:r w:rsidRPr="00652167">
              <w:t>10</w:t>
            </w:r>
          </w:p>
        </w:tc>
        <w:tc>
          <w:tcPr>
            <w:tcW w:w="814" w:type="pct"/>
          </w:tcPr>
          <w:p w14:paraId="0F2B33B8" w14:textId="77777777" w:rsidR="009049F6" w:rsidRPr="00652167" w:rsidRDefault="009049F6" w:rsidP="00792B14">
            <w:pPr>
              <w:pStyle w:val="OMBbodytext"/>
              <w:keepNext/>
              <w:keepLines/>
              <w:ind w:left="0"/>
            </w:pPr>
            <w:r w:rsidRPr="00652167">
              <w:t>10</w:t>
            </w:r>
          </w:p>
        </w:tc>
        <w:tc>
          <w:tcPr>
            <w:tcW w:w="907" w:type="pct"/>
          </w:tcPr>
          <w:p w14:paraId="076BE287" w14:textId="77777777" w:rsidR="009049F6" w:rsidRPr="00652167" w:rsidRDefault="009049F6" w:rsidP="00792B14">
            <w:pPr>
              <w:pStyle w:val="OMBbodytext"/>
              <w:keepNext/>
              <w:keepLines/>
              <w:ind w:left="0"/>
            </w:pPr>
            <w:r w:rsidRPr="00652167">
              <w:t>56-60 classrooms</w:t>
            </w:r>
            <w:r w:rsidRPr="00652167">
              <w:br/>
            </w:r>
            <w:r w:rsidRPr="00652167">
              <w:rPr>
                <w:i/>
                <w:iCs/>
              </w:rPr>
              <w:t>(20-25 students per classroom)</w:t>
            </w:r>
          </w:p>
        </w:tc>
        <w:tc>
          <w:tcPr>
            <w:tcW w:w="864" w:type="pct"/>
          </w:tcPr>
          <w:p w14:paraId="50DE0FDC" w14:textId="77777777" w:rsidR="009049F6" w:rsidRPr="00652167" w:rsidRDefault="009049F6" w:rsidP="00792B14">
            <w:pPr>
              <w:pStyle w:val="OMBbodytext"/>
              <w:keepNext/>
              <w:keepLines/>
              <w:ind w:left="0"/>
            </w:pPr>
            <w:r w:rsidRPr="00652167">
              <w:t>1,200</w:t>
            </w:r>
          </w:p>
        </w:tc>
      </w:tr>
    </w:tbl>
    <w:p w14:paraId="6BA2F795" w14:textId="77777777" w:rsidR="00651A07" w:rsidRPr="00652167" w:rsidRDefault="000E10F9" w:rsidP="00AB29C0">
      <w:pPr>
        <w:pStyle w:val="OMBbodytext"/>
        <w:rPr>
          <w:sz w:val="20"/>
        </w:rPr>
      </w:pPr>
      <w:r w:rsidRPr="00652167">
        <w:rPr>
          <w:sz w:val="20"/>
        </w:rPr>
        <w:t>*The REAL Essentials curriculum used in IO A may require 1-3 weeks to complete, depending on school scheduling constraints (e.g., longer class block schedules vs. shorter class period schedules). The represent® curriculum used in IO B</w:t>
      </w:r>
      <w:r w:rsidR="00C21A5B" w:rsidRPr="00652167">
        <w:rPr>
          <w:sz w:val="20"/>
        </w:rPr>
        <w:t xml:space="preserve"> is approximately 1 week long.</w:t>
      </w:r>
    </w:p>
    <w:p w14:paraId="66010224" w14:textId="77777777" w:rsidR="00651A07" w:rsidRPr="00652167" w:rsidRDefault="00651A07" w:rsidP="00AB29C0">
      <w:pPr>
        <w:pStyle w:val="OMBbodytext"/>
      </w:pPr>
    </w:p>
    <w:p w14:paraId="4FBC1863" w14:textId="77777777" w:rsidR="007A15F0" w:rsidRPr="00652167" w:rsidRDefault="007A15F0" w:rsidP="007A15F0">
      <w:pPr>
        <w:pStyle w:val="OMBHeading-2"/>
        <w:outlineLvl w:val="1"/>
        <w:rPr>
          <w:u w:val="single"/>
        </w:rPr>
      </w:pPr>
      <w:bookmarkStart w:id="14" w:name="_Toc521515000"/>
      <w:bookmarkStart w:id="15" w:name="_Toc523154568"/>
      <w:bookmarkStart w:id="16" w:name="_Toc11750125"/>
      <w:r w:rsidRPr="00652167">
        <w:rPr>
          <w:u w:val="single"/>
        </w:rPr>
        <w:t>Purpose and Use of Information Collection</w:t>
      </w:r>
      <w:bookmarkEnd w:id="14"/>
      <w:bookmarkEnd w:id="15"/>
      <w:bookmarkEnd w:id="16"/>
    </w:p>
    <w:p w14:paraId="7E006AB9" w14:textId="77777777" w:rsidR="00191812" w:rsidRPr="00652167" w:rsidRDefault="00003698" w:rsidP="004521C5">
      <w:pPr>
        <w:pStyle w:val="OMBbodytext"/>
      </w:pPr>
      <w:r w:rsidRPr="00652167">
        <w:t xml:space="preserve">The </w:t>
      </w:r>
      <w:r w:rsidR="00C0186C" w:rsidRPr="00652167">
        <w:t xml:space="preserve">proposed formative </w:t>
      </w:r>
      <w:r w:rsidRPr="00652167">
        <w:t xml:space="preserve">evaluation </w:t>
      </w:r>
      <w:r w:rsidR="00E2233E" w:rsidRPr="00652167">
        <w:t xml:space="preserve">will </w:t>
      </w:r>
      <w:r w:rsidR="00C46367" w:rsidRPr="00652167">
        <w:t>seek</w:t>
      </w:r>
      <w:r w:rsidR="00E2233E" w:rsidRPr="00652167">
        <w:t xml:space="preserve"> evidence of the effect of </w:t>
      </w:r>
      <w:r w:rsidR="009B6AE2" w:rsidRPr="00652167">
        <w:t xml:space="preserve">SMARTool-aligned </w:t>
      </w:r>
      <w:r w:rsidR="00E2233E" w:rsidRPr="00652167">
        <w:t xml:space="preserve">SRA </w:t>
      </w:r>
      <w:r w:rsidR="009B6AE2" w:rsidRPr="00652167">
        <w:t>curricula</w:t>
      </w:r>
      <w:r w:rsidR="00E2233E" w:rsidRPr="00652167">
        <w:t xml:space="preserve"> on </w:t>
      </w:r>
      <w:r w:rsidR="00716F2E" w:rsidRPr="00652167">
        <w:rPr>
          <w:i/>
        </w:rPr>
        <w:t>proximal</w:t>
      </w:r>
      <w:r w:rsidR="00716F2E" w:rsidRPr="00652167">
        <w:t xml:space="preserve"> youth outcomes</w:t>
      </w:r>
      <w:r w:rsidR="00E2233E" w:rsidRPr="00652167">
        <w:t xml:space="preserve"> (i.e., SRA-related knowledge, attitudes, intentions, skills, and peer and parental influences) that </w:t>
      </w:r>
      <w:r w:rsidR="008246F8" w:rsidRPr="00652167">
        <w:t>shape</w:t>
      </w:r>
      <w:r w:rsidR="00E2233E" w:rsidRPr="00652167">
        <w:t xml:space="preserve"> short- and longer-term sexual health </w:t>
      </w:r>
      <w:r w:rsidR="00615FCD" w:rsidRPr="00652167">
        <w:t>behaviors</w:t>
      </w:r>
      <w:r w:rsidR="00E2233E" w:rsidRPr="00652167">
        <w:t xml:space="preserve">. </w:t>
      </w:r>
      <w:r w:rsidR="00191812" w:rsidRPr="00652167">
        <w:t xml:space="preserve">These proximal outcomes are aligned with (a) the 10 SMARTool “targets” </w:t>
      </w:r>
      <w:r w:rsidR="00B85D38" w:rsidRPr="00652167">
        <w:t xml:space="preserve">or themes </w:t>
      </w:r>
      <w:r w:rsidR="00191812" w:rsidRPr="00652167">
        <w:t xml:space="preserve">that correspond to protective factors associated with the sexual behaviors of youth, and (b) an SRA logic model developed as part of this project. A list of the 10 SMARTool targets is presented in </w:t>
      </w:r>
      <w:r w:rsidR="00191812" w:rsidRPr="00652167">
        <w:rPr>
          <w:b/>
          <w:i/>
        </w:rPr>
        <w:t xml:space="preserve">Exhibit </w:t>
      </w:r>
      <w:r w:rsidR="003F0C49" w:rsidRPr="00652167">
        <w:rPr>
          <w:b/>
          <w:i/>
        </w:rPr>
        <w:t>2</w:t>
      </w:r>
      <w:r w:rsidR="00191812" w:rsidRPr="00652167">
        <w:t xml:space="preserve">. </w:t>
      </w:r>
    </w:p>
    <w:p w14:paraId="710B3676" w14:textId="77777777" w:rsidR="00191812" w:rsidRPr="00652167" w:rsidRDefault="00191812" w:rsidP="00191812">
      <w:pPr>
        <w:pStyle w:val="OMBExhibitTitle"/>
      </w:pPr>
      <w:bookmarkStart w:id="17" w:name="_Toc11750110"/>
      <w:r w:rsidRPr="00652167">
        <w:t xml:space="preserve">Exhibit </w:t>
      </w:r>
      <w:r w:rsidR="003F0C49" w:rsidRPr="00652167">
        <w:t>2</w:t>
      </w:r>
      <w:r w:rsidRPr="00652167">
        <w:t>.</w:t>
      </w:r>
      <w:r w:rsidRPr="00652167">
        <w:tab/>
      </w:r>
      <w:r w:rsidR="00522C32" w:rsidRPr="00652167">
        <w:t>Overview of t</w:t>
      </w:r>
      <w:r w:rsidR="00EA791E" w:rsidRPr="00652167">
        <w:t xml:space="preserve">he 10 </w:t>
      </w:r>
      <w:r w:rsidR="00E569B8" w:rsidRPr="00652167">
        <w:t>SMARTool Targets</w:t>
      </w:r>
      <w:bookmarkEnd w:id="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5"/>
        <w:gridCol w:w="7735"/>
      </w:tblGrid>
      <w:tr w:rsidR="00191812" w:rsidRPr="00652167" w14:paraId="49F70908" w14:textId="77777777" w:rsidTr="00522C32">
        <w:tc>
          <w:tcPr>
            <w:tcW w:w="1705" w:type="dxa"/>
          </w:tcPr>
          <w:p w14:paraId="5635456D" w14:textId="77777777" w:rsidR="00191812" w:rsidRPr="00652167" w:rsidRDefault="00522C32" w:rsidP="00D213EE">
            <w:pPr>
              <w:pStyle w:val="TableText0"/>
              <w:jc w:val="center"/>
              <w:rPr>
                <w:b/>
              </w:rPr>
            </w:pPr>
            <w:r w:rsidRPr="00652167">
              <w:rPr>
                <w:b/>
              </w:rPr>
              <w:t>Target Number</w:t>
            </w:r>
          </w:p>
        </w:tc>
        <w:tc>
          <w:tcPr>
            <w:tcW w:w="7735" w:type="dxa"/>
          </w:tcPr>
          <w:p w14:paraId="54B54A7A" w14:textId="77777777" w:rsidR="00191812" w:rsidRPr="00652167" w:rsidRDefault="00522C32" w:rsidP="00D213EE">
            <w:pPr>
              <w:pStyle w:val="TableText0"/>
              <w:jc w:val="center"/>
              <w:rPr>
                <w:b/>
              </w:rPr>
            </w:pPr>
            <w:r w:rsidRPr="00652167">
              <w:rPr>
                <w:b/>
              </w:rPr>
              <w:t>Description</w:t>
            </w:r>
          </w:p>
        </w:tc>
      </w:tr>
      <w:tr w:rsidR="00522C32" w:rsidRPr="00652167" w14:paraId="736BB594" w14:textId="77777777" w:rsidTr="00522C32">
        <w:tc>
          <w:tcPr>
            <w:tcW w:w="1705" w:type="dxa"/>
          </w:tcPr>
          <w:p w14:paraId="2522422A" w14:textId="77777777" w:rsidR="00522C32" w:rsidRPr="00652167" w:rsidRDefault="00522C32" w:rsidP="00522C32">
            <w:pPr>
              <w:pStyle w:val="TableText0"/>
              <w:jc w:val="center"/>
              <w:rPr>
                <w:sz w:val="18"/>
                <w:szCs w:val="18"/>
              </w:rPr>
            </w:pPr>
            <w:r w:rsidRPr="00652167">
              <w:rPr>
                <w:sz w:val="18"/>
                <w:szCs w:val="18"/>
              </w:rPr>
              <w:t>1</w:t>
            </w:r>
          </w:p>
        </w:tc>
        <w:tc>
          <w:tcPr>
            <w:tcW w:w="7735" w:type="dxa"/>
          </w:tcPr>
          <w:p w14:paraId="2E50F8F6" w14:textId="77777777" w:rsidR="00522C32" w:rsidRPr="00652167" w:rsidRDefault="00522C32" w:rsidP="00522C32">
            <w:pPr>
              <w:pStyle w:val="TableText0"/>
              <w:widowControl w:val="0"/>
              <w:autoSpaceDE w:val="0"/>
              <w:autoSpaceDN w:val="0"/>
              <w:adjustRightInd w:val="0"/>
              <w:ind w:left="256" w:hanging="256"/>
              <w:rPr>
                <w:sz w:val="18"/>
                <w:szCs w:val="18"/>
              </w:rPr>
            </w:pPr>
            <w:r w:rsidRPr="00652167">
              <w:rPr>
                <w:szCs w:val="18"/>
              </w:rPr>
              <w:t>Enhance knowledge of physical development and sexual risks</w:t>
            </w:r>
          </w:p>
        </w:tc>
      </w:tr>
      <w:tr w:rsidR="00522C32" w:rsidRPr="00652167" w14:paraId="2DE58A4A" w14:textId="77777777" w:rsidTr="00522C32">
        <w:tc>
          <w:tcPr>
            <w:tcW w:w="1705" w:type="dxa"/>
          </w:tcPr>
          <w:p w14:paraId="0621E229" w14:textId="77777777" w:rsidR="00522C32" w:rsidRPr="00652167" w:rsidRDefault="00522C32" w:rsidP="00522C32">
            <w:pPr>
              <w:pStyle w:val="TableText0"/>
              <w:jc w:val="center"/>
              <w:rPr>
                <w:sz w:val="18"/>
                <w:szCs w:val="18"/>
              </w:rPr>
            </w:pPr>
            <w:r w:rsidRPr="00652167">
              <w:rPr>
                <w:sz w:val="18"/>
                <w:szCs w:val="18"/>
              </w:rPr>
              <w:t>2</w:t>
            </w:r>
          </w:p>
        </w:tc>
        <w:tc>
          <w:tcPr>
            <w:tcW w:w="7735" w:type="dxa"/>
          </w:tcPr>
          <w:p w14:paraId="5CEDE7E1" w14:textId="77777777" w:rsidR="00522C32" w:rsidRPr="00652167" w:rsidRDefault="00522C32" w:rsidP="00522C32">
            <w:pPr>
              <w:pStyle w:val="TableText0"/>
              <w:widowControl w:val="0"/>
              <w:autoSpaceDE w:val="0"/>
              <w:autoSpaceDN w:val="0"/>
              <w:adjustRightInd w:val="0"/>
              <w:ind w:left="256" w:hanging="256"/>
              <w:rPr>
                <w:sz w:val="18"/>
                <w:szCs w:val="18"/>
              </w:rPr>
            </w:pPr>
            <w:r w:rsidRPr="00652167">
              <w:t>Healthy relationship development</w:t>
            </w:r>
          </w:p>
        </w:tc>
      </w:tr>
      <w:tr w:rsidR="00522C32" w:rsidRPr="00652167" w14:paraId="7E859F98" w14:textId="77777777" w:rsidTr="00522C32">
        <w:tc>
          <w:tcPr>
            <w:tcW w:w="1705" w:type="dxa"/>
          </w:tcPr>
          <w:p w14:paraId="59F713C5" w14:textId="77777777" w:rsidR="00522C32" w:rsidRPr="00652167" w:rsidRDefault="00522C32" w:rsidP="00522C32">
            <w:pPr>
              <w:pStyle w:val="TableText0"/>
              <w:jc w:val="center"/>
              <w:rPr>
                <w:sz w:val="18"/>
                <w:szCs w:val="18"/>
              </w:rPr>
            </w:pPr>
            <w:r w:rsidRPr="00652167">
              <w:rPr>
                <w:sz w:val="18"/>
                <w:szCs w:val="18"/>
              </w:rPr>
              <w:t>3</w:t>
            </w:r>
          </w:p>
        </w:tc>
        <w:tc>
          <w:tcPr>
            <w:tcW w:w="7735" w:type="dxa"/>
          </w:tcPr>
          <w:p w14:paraId="76BE5311" w14:textId="77777777" w:rsidR="00522C32" w:rsidRPr="00652167" w:rsidRDefault="00522C32" w:rsidP="00522C32">
            <w:pPr>
              <w:pStyle w:val="TableText0"/>
              <w:widowControl w:val="0"/>
              <w:autoSpaceDE w:val="0"/>
              <w:autoSpaceDN w:val="0"/>
              <w:adjustRightInd w:val="0"/>
              <w:ind w:left="256" w:hanging="256"/>
              <w:rPr>
                <w:sz w:val="18"/>
                <w:szCs w:val="18"/>
              </w:rPr>
            </w:pPr>
            <w:r w:rsidRPr="00652167">
              <w:t>Support personal attitudes and beliefs that value sexual risk avoidance</w:t>
            </w:r>
          </w:p>
        </w:tc>
      </w:tr>
      <w:tr w:rsidR="00522C32" w:rsidRPr="00652167" w14:paraId="2F7718BA" w14:textId="77777777" w:rsidTr="00522C32">
        <w:tc>
          <w:tcPr>
            <w:tcW w:w="1705" w:type="dxa"/>
          </w:tcPr>
          <w:p w14:paraId="67488420" w14:textId="77777777" w:rsidR="00522C32" w:rsidRPr="00652167" w:rsidRDefault="00522C32" w:rsidP="00522C32">
            <w:pPr>
              <w:pStyle w:val="TableText0"/>
              <w:jc w:val="center"/>
              <w:rPr>
                <w:sz w:val="18"/>
                <w:szCs w:val="18"/>
              </w:rPr>
            </w:pPr>
            <w:r w:rsidRPr="00652167">
              <w:rPr>
                <w:sz w:val="18"/>
                <w:szCs w:val="18"/>
              </w:rPr>
              <w:t>4</w:t>
            </w:r>
          </w:p>
        </w:tc>
        <w:tc>
          <w:tcPr>
            <w:tcW w:w="7735" w:type="dxa"/>
          </w:tcPr>
          <w:p w14:paraId="6401ADD8" w14:textId="77777777" w:rsidR="00522C32" w:rsidRPr="00652167" w:rsidRDefault="00522C32" w:rsidP="00522C32">
            <w:pPr>
              <w:pStyle w:val="TableText0"/>
              <w:widowControl w:val="0"/>
              <w:autoSpaceDE w:val="0"/>
              <w:autoSpaceDN w:val="0"/>
              <w:adjustRightInd w:val="0"/>
              <w:ind w:left="256" w:hanging="256"/>
              <w:rPr>
                <w:sz w:val="18"/>
                <w:szCs w:val="18"/>
              </w:rPr>
            </w:pPr>
            <w:r w:rsidRPr="00652167">
              <w:t>Acknowledge and address common rationalizations for sexual activity</w:t>
            </w:r>
          </w:p>
        </w:tc>
      </w:tr>
      <w:tr w:rsidR="00522C32" w:rsidRPr="00652167" w14:paraId="07A64E39" w14:textId="77777777" w:rsidTr="00522C32">
        <w:tc>
          <w:tcPr>
            <w:tcW w:w="1705" w:type="dxa"/>
          </w:tcPr>
          <w:p w14:paraId="06FC6892" w14:textId="77777777" w:rsidR="00522C32" w:rsidRPr="00652167" w:rsidRDefault="00522C32" w:rsidP="00522C32">
            <w:pPr>
              <w:pStyle w:val="TableText0"/>
              <w:jc w:val="center"/>
              <w:rPr>
                <w:sz w:val="18"/>
                <w:szCs w:val="18"/>
              </w:rPr>
            </w:pPr>
            <w:r w:rsidRPr="00652167">
              <w:rPr>
                <w:sz w:val="18"/>
                <w:szCs w:val="18"/>
              </w:rPr>
              <w:t>5</w:t>
            </w:r>
          </w:p>
        </w:tc>
        <w:tc>
          <w:tcPr>
            <w:tcW w:w="7735" w:type="dxa"/>
          </w:tcPr>
          <w:p w14:paraId="1C446A14" w14:textId="77777777" w:rsidR="00522C32" w:rsidRPr="00652167" w:rsidRDefault="00522C32" w:rsidP="00522C32">
            <w:pPr>
              <w:pStyle w:val="TableText0"/>
              <w:widowControl w:val="0"/>
              <w:autoSpaceDE w:val="0"/>
              <w:autoSpaceDN w:val="0"/>
              <w:adjustRightInd w:val="0"/>
              <w:ind w:left="256" w:hanging="256"/>
              <w:rPr>
                <w:sz w:val="18"/>
                <w:szCs w:val="18"/>
              </w:rPr>
            </w:pPr>
            <w:r w:rsidRPr="00652167">
              <w:t>Improve perception of and independence from negative peer and social norms</w:t>
            </w:r>
          </w:p>
        </w:tc>
      </w:tr>
      <w:tr w:rsidR="00522C32" w:rsidRPr="00652167" w14:paraId="17953841" w14:textId="77777777" w:rsidTr="00522C32">
        <w:tc>
          <w:tcPr>
            <w:tcW w:w="1705" w:type="dxa"/>
          </w:tcPr>
          <w:p w14:paraId="121382BA" w14:textId="77777777" w:rsidR="00522C32" w:rsidRPr="00652167" w:rsidRDefault="00522C32" w:rsidP="00522C32">
            <w:pPr>
              <w:pStyle w:val="TableText0"/>
              <w:jc w:val="center"/>
              <w:rPr>
                <w:sz w:val="18"/>
                <w:szCs w:val="18"/>
              </w:rPr>
            </w:pPr>
            <w:r w:rsidRPr="00652167">
              <w:rPr>
                <w:sz w:val="18"/>
                <w:szCs w:val="18"/>
              </w:rPr>
              <w:t>6</w:t>
            </w:r>
          </w:p>
        </w:tc>
        <w:tc>
          <w:tcPr>
            <w:tcW w:w="7735" w:type="dxa"/>
          </w:tcPr>
          <w:p w14:paraId="118ADEE2" w14:textId="77777777" w:rsidR="00522C32" w:rsidRPr="00652167" w:rsidRDefault="00522C32" w:rsidP="00522C32">
            <w:pPr>
              <w:pStyle w:val="TableText0"/>
              <w:widowControl w:val="0"/>
              <w:autoSpaceDE w:val="0"/>
              <w:autoSpaceDN w:val="0"/>
              <w:adjustRightInd w:val="0"/>
              <w:ind w:left="256" w:hanging="256"/>
              <w:rPr>
                <w:sz w:val="18"/>
                <w:szCs w:val="18"/>
              </w:rPr>
            </w:pPr>
            <w:r w:rsidRPr="00652167">
              <w:t>Build personal competencies and self-efficacy to avoid sexual activity</w:t>
            </w:r>
          </w:p>
        </w:tc>
      </w:tr>
      <w:tr w:rsidR="00522C32" w:rsidRPr="00652167" w14:paraId="3C2DC351" w14:textId="77777777" w:rsidTr="00522C32">
        <w:tc>
          <w:tcPr>
            <w:tcW w:w="1705" w:type="dxa"/>
          </w:tcPr>
          <w:p w14:paraId="529BD946" w14:textId="77777777" w:rsidR="00522C32" w:rsidRPr="00652167" w:rsidRDefault="00522C32" w:rsidP="00522C32">
            <w:pPr>
              <w:pStyle w:val="TableText0"/>
              <w:jc w:val="center"/>
              <w:rPr>
                <w:sz w:val="18"/>
                <w:szCs w:val="18"/>
              </w:rPr>
            </w:pPr>
            <w:r w:rsidRPr="00652167">
              <w:rPr>
                <w:sz w:val="18"/>
                <w:szCs w:val="18"/>
              </w:rPr>
              <w:t>7</w:t>
            </w:r>
          </w:p>
        </w:tc>
        <w:tc>
          <w:tcPr>
            <w:tcW w:w="7735" w:type="dxa"/>
          </w:tcPr>
          <w:p w14:paraId="3FEB2D18" w14:textId="77777777" w:rsidR="00522C32" w:rsidRPr="00652167" w:rsidRDefault="00522C32" w:rsidP="00522C32">
            <w:pPr>
              <w:pStyle w:val="TableText0"/>
              <w:widowControl w:val="0"/>
              <w:autoSpaceDE w:val="0"/>
              <w:autoSpaceDN w:val="0"/>
              <w:adjustRightInd w:val="0"/>
              <w:ind w:left="256" w:hanging="256"/>
              <w:rPr>
                <w:sz w:val="18"/>
                <w:szCs w:val="18"/>
              </w:rPr>
            </w:pPr>
            <w:r w:rsidRPr="00652167">
              <w:t>Strengthen personal intention and commitment to avoid sexual activity</w:t>
            </w:r>
          </w:p>
        </w:tc>
      </w:tr>
      <w:tr w:rsidR="00522C32" w:rsidRPr="00652167" w14:paraId="5A2C7716" w14:textId="77777777" w:rsidTr="00522C32">
        <w:tc>
          <w:tcPr>
            <w:tcW w:w="1705" w:type="dxa"/>
          </w:tcPr>
          <w:p w14:paraId="42AACCD9" w14:textId="77777777" w:rsidR="00522C32" w:rsidRPr="00652167" w:rsidRDefault="00522C32" w:rsidP="00522C32">
            <w:pPr>
              <w:pStyle w:val="TableText0"/>
              <w:jc w:val="center"/>
              <w:rPr>
                <w:sz w:val="18"/>
                <w:szCs w:val="18"/>
              </w:rPr>
            </w:pPr>
            <w:r w:rsidRPr="00652167">
              <w:rPr>
                <w:sz w:val="18"/>
                <w:szCs w:val="18"/>
              </w:rPr>
              <w:t>8</w:t>
            </w:r>
          </w:p>
        </w:tc>
        <w:tc>
          <w:tcPr>
            <w:tcW w:w="7735" w:type="dxa"/>
          </w:tcPr>
          <w:p w14:paraId="2D81732E" w14:textId="77777777" w:rsidR="00522C32" w:rsidRPr="00652167" w:rsidRDefault="00522C32" w:rsidP="00522C32">
            <w:pPr>
              <w:pStyle w:val="TableText0"/>
              <w:widowControl w:val="0"/>
              <w:autoSpaceDE w:val="0"/>
              <w:autoSpaceDN w:val="0"/>
              <w:adjustRightInd w:val="0"/>
              <w:ind w:left="256" w:hanging="256"/>
              <w:rPr>
                <w:sz w:val="18"/>
                <w:szCs w:val="18"/>
              </w:rPr>
            </w:pPr>
            <w:r w:rsidRPr="00652167">
              <w:t>Identify and reduce the opportunities for sexual activity</w:t>
            </w:r>
          </w:p>
        </w:tc>
      </w:tr>
      <w:tr w:rsidR="00522C32" w:rsidRPr="00652167" w14:paraId="14108839" w14:textId="77777777" w:rsidTr="00522C32">
        <w:tc>
          <w:tcPr>
            <w:tcW w:w="1705" w:type="dxa"/>
          </w:tcPr>
          <w:p w14:paraId="76E17CDA" w14:textId="77777777" w:rsidR="00522C32" w:rsidRPr="00652167" w:rsidRDefault="00522C32" w:rsidP="00522C32">
            <w:pPr>
              <w:pStyle w:val="TableText0"/>
              <w:jc w:val="center"/>
              <w:rPr>
                <w:sz w:val="18"/>
                <w:szCs w:val="18"/>
              </w:rPr>
            </w:pPr>
            <w:r w:rsidRPr="00652167">
              <w:rPr>
                <w:sz w:val="18"/>
                <w:szCs w:val="18"/>
              </w:rPr>
              <w:t>9</w:t>
            </w:r>
          </w:p>
        </w:tc>
        <w:tc>
          <w:tcPr>
            <w:tcW w:w="7735" w:type="dxa"/>
          </w:tcPr>
          <w:p w14:paraId="437FACAF" w14:textId="77777777" w:rsidR="00522C32" w:rsidRPr="00652167" w:rsidRDefault="00522C32" w:rsidP="00522C32">
            <w:pPr>
              <w:pStyle w:val="TableText0"/>
              <w:widowControl w:val="0"/>
              <w:autoSpaceDE w:val="0"/>
              <w:autoSpaceDN w:val="0"/>
              <w:adjustRightInd w:val="0"/>
              <w:ind w:left="256" w:hanging="256"/>
              <w:rPr>
                <w:sz w:val="18"/>
                <w:szCs w:val="18"/>
              </w:rPr>
            </w:pPr>
            <w:r w:rsidRPr="00652167">
              <w:t>Strengthen future goals and opportunities</w:t>
            </w:r>
          </w:p>
        </w:tc>
      </w:tr>
      <w:tr w:rsidR="00522C32" w:rsidRPr="00652167" w14:paraId="1A4AC535" w14:textId="77777777" w:rsidTr="00522C32">
        <w:tc>
          <w:tcPr>
            <w:tcW w:w="1705" w:type="dxa"/>
          </w:tcPr>
          <w:p w14:paraId="5946B398" w14:textId="77777777" w:rsidR="00522C32" w:rsidRPr="00652167" w:rsidRDefault="00522C32" w:rsidP="00522C32">
            <w:pPr>
              <w:pStyle w:val="TableText0"/>
              <w:jc w:val="center"/>
              <w:rPr>
                <w:sz w:val="18"/>
                <w:szCs w:val="18"/>
              </w:rPr>
            </w:pPr>
            <w:r w:rsidRPr="00652167">
              <w:rPr>
                <w:sz w:val="18"/>
                <w:szCs w:val="18"/>
              </w:rPr>
              <w:t>10</w:t>
            </w:r>
          </w:p>
        </w:tc>
        <w:tc>
          <w:tcPr>
            <w:tcW w:w="7735" w:type="dxa"/>
          </w:tcPr>
          <w:p w14:paraId="0864B39A" w14:textId="77777777" w:rsidR="00522C32" w:rsidRPr="00652167" w:rsidRDefault="00522C32" w:rsidP="00522C32">
            <w:pPr>
              <w:pStyle w:val="TableText0"/>
              <w:widowControl w:val="0"/>
              <w:autoSpaceDE w:val="0"/>
              <w:autoSpaceDN w:val="0"/>
              <w:adjustRightInd w:val="0"/>
              <w:ind w:left="256" w:hanging="256"/>
              <w:rPr>
                <w:sz w:val="18"/>
                <w:szCs w:val="18"/>
              </w:rPr>
            </w:pPr>
            <w:r w:rsidRPr="00652167">
              <w:t>Partner with parents</w:t>
            </w:r>
          </w:p>
        </w:tc>
      </w:tr>
    </w:tbl>
    <w:p w14:paraId="417C46D0" w14:textId="77777777" w:rsidR="00191812" w:rsidRPr="00652167" w:rsidRDefault="00191812" w:rsidP="000F4121">
      <w:pPr>
        <w:pStyle w:val="bullets"/>
        <w:numPr>
          <w:ilvl w:val="0"/>
          <w:numId w:val="0"/>
        </w:numPr>
        <w:spacing w:after="0"/>
      </w:pPr>
    </w:p>
    <w:p w14:paraId="57B57B1E" w14:textId="77777777" w:rsidR="00191812" w:rsidRPr="00652167" w:rsidRDefault="00191812" w:rsidP="00191812">
      <w:pPr>
        <w:pStyle w:val="OMBbodytext"/>
      </w:pPr>
      <w:r w:rsidRPr="00652167">
        <w:t xml:space="preserve">The SRA logic model is presented in </w:t>
      </w:r>
      <w:r w:rsidRPr="00652167">
        <w:rPr>
          <w:b/>
          <w:i/>
        </w:rPr>
        <w:t xml:space="preserve">Exhibit </w:t>
      </w:r>
      <w:r w:rsidR="003F0C49" w:rsidRPr="00652167">
        <w:rPr>
          <w:b/>
          <w:i/>
        </w:rPr>
        <w:t>3</w:t>
      </w:r>
      <w:r w:rsidRPr="00652167">
        <w:t xml:space="preserve">, with annotation to indicate which factors will be measured in the evaluation. </w:t>
      </w:r>
    </w:p>
    <w:p w14:paraId="68411AC4" w14:textId="77777777" w:rsidR="00191812" w:rsidRPr="00652167" w:rsidRDefault="00191812" w:rsidP="00191812">
      <w:pPr>
        <w:pStyle w:val="OMBExhibitTitle"/>
      </w:pPr>
      <w:bookmarkStart w:id="18" w:name="_Toc11750111"/>
      <w:r w:rsidRPr="00652167">
        <w:t xml:space="preserve">Exhibit </w:t>
      </w:r>
      <w:r w:rsidR="003F0C49" w:rsidRPr="00652167">
        <w:t>3</w:t>
      </w:r>
      <w:r w:rsidRPr="00652167">
        <w:t>.</w:t>
      </w:r>
      <w:r w:rsidRPr="00652167">
        <w:tab/>
        <w:t>SRA Logic Model</w:t>
      </w:r>
      <w:bookmarkEnd w:id="18"/>
    </w:p>
    <w:p w14:paraId="24ACCE7C" w14:textId="77777777" w:rsidR="00191812" w:rsidRPr="00652167" w:rsidRDefault="00191812" w:rsidP="00F1755B">
      <w:pPr>
        <w:pStyle w:val="OMBbodytext"/>
        <w:ind w:left="0"/>
      </w:pPr>
      <w:r w:rsidRPr="00652167">
        <w:rPr>
          <w:noProof/>
        </w:rPr>
        <w:drawing>
          <wp:inline distT="0" distB="0" distL="0" distR="0" wp14:anchorId="0374E741" wp14:editId="43FAA91F">
            <wp:extent cx="6000750" cy="2846705"/>
            <wp:effectExtent l="0" t="0" r="0" b="0"/>
            <wp:docPr id="4" name="Picture 3">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65B47DB6-1AE8-44FE-8BC3-BAA0C08AC9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65B47DB6-1AE8-44FE-8BC3-BAA0C08AC9B7}"/>
                        </a:ext>
                      </a:extLst>
                    </pic:cNvPr>
                    <pic:cNvPicPr>
                      <a:picLocks noChangeAspect="1"/>
                    </pic:cNvPicPr>
                  </pic:nvPicPr>
                  <pic:blipFill>
                    <a:blip r:embed="rId17"/>
                    <a:stretch>
                      <a:fillRect/>
                    </a:stretch>
                  </pic:blipFill>
                  <pic:spPr>
                    <a:xfrm>
                      <a:off x="0" y="0"/>
                      <a:ext cx="6000750" cy="2846705"/>
                    </a:xfrm>
                    <a:prstGeom prst="rect">
                      <a:avLst/>
                    </a:prstGeom>
                  </pic:spPr>
                </pic:pic>
              </a:graphicData>
            </a:graphic>
          </wp:inline>
        </w:drawing>
      </w:r>
    </w:p>
    <w:p w14:paraId="147A3980" w14:textId="77777777" w:rsidR="000B0E5C" w:rsidRPr="00652167" w:rsidRDefault="00874AB3" w:rsidP="00F1755B">
      <w:pPr>
        <w:pStyle w:val="OMBbodytext"/>
        <w:rPr>
          <w:bCs/>
        </w:rPr>
      </w:pPr>
      <w:r w:rsidRPr="00652167">
        <w:rPr>
          <w:bCs/>
        </w:rPr>
        <w:t>Factors</w:t>
      </w:r>
      <w:r w:rsidR="000B0E5C" w:rsidRPr="00652167">
        <w:rPr>
          <w:bCs/>
        </w:rPr>
        <w:t xml:space="preserve"> from the SRA logic model that </w:t>
      </w:r>
      <w:r w:rsidR="000B0E5C" w:rsidRPr="00652167">
        <w:rPr>
          <w:bCs/>
          <w:i/>
        </w:rPr>
        <w:t>will</w:t>
      </w:r>
      <w:r w:rsidR="000B0E5C" w:rsidRPr="00652167">
        <w:rPr>
          <w:bCs/>
        </w:rPr>
        <w:t xml:space="preserve"> be examined in this study are shown in </w:t>
      </w:r>
      <w:r w:rsidR="000B0E5C" w:rsidRPr="00652167">
        <w:rPr>
          <w:b/>
          <w:bCs/>
          <w:i/>
        </w:rPr>
        <w:t>Exhibit 4</w:t>
      </w:r>
      <w:r w:rsidR="000B0E5C" w:rsidRPr="00652167">
        <w:rPr>
          <w:bCs/>
        </w:rPr>
        <w:t>.</w:t>
      </w:r>
    </w:p>
    <w:p w14:paraId="2FFC9DCC" w14:textId="77777777" w:rsidR="00874AB3" w:rsidRPr="00652167" w:rsidRDefault="00874AB3" w:rsidP="00874AB3">
      <w:pPr>
        <w:pStyle w:val="OMBExhibitTitle"/>
      </w:pPr>
      <w:bookmarkStart w:id="19" w:name="_Toc11750112"/>
      <w:r w:rsidRPr="00652167">
        <w:t xml:space="preserve">Exhibit </w:t>
      </w:r>
      <w:r w:rsidR="001D61AE" w:rsidRPr="00652167">
        <w:t>4</w:t>
      </w:r>
      <w:r w:rsidRPr="00652167">
        <w:t xml:space="preserve">. </w:t>
      </w:r>
      <w:r w:rsidRPr="00652167">
        <w:tab/>
      </w:r>
      <w:r w:rsidR="00B97C50" w:rsidRPr="00652167">
        <w:t>SRA Logic Model Factors that Will Be Examined in This Study</w:t>
      </w:r>
      <w:bookmarkEnd w:id="19"/>
    </w:p>
    <w:tbl>
      <w:tblPr>
        <w:tblW w:w="9360"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1E0" w:firstRow="1" w:lastRow="1" w:firstColumn="1" w:lastColumn="1" w:noHBand="0" w:noVBand="0"/>
      </w:tblPr>
      <w:tblGrid>
        <w:gridCol w:w="4680"/>
        <w:gridCol w:w="4680"/>
      </w:tblGrid>
      <w:tr w:rsidR="00874AB3" w:rsidRPr="00652167" w14:paraId="703E00EF" w14:textId="77777777" w:rsidTr="007F1444">
        <w:tc>
          <w:tcPr>
            <w:tcW w:w="4680" w:type="dxa"/>
            <w:shd w:val="clear" w:color="auto" w:fill="auto"/>
            <w:tcMar>
              <w:top w:w="144" w:type="dxa"/>
              <w:left w:w="144" w:type="dxa"/>
              <w:bottom w:w="144" w:type="dxa"/>
              <w:right w:w="144" w:type="dxa"/>
            </w:tcMar>
          </w:tcPr>
          <w:p w14:paraId="093E5ABA" w14:textId="77777777" w:rsidR="00874AB3" w:rsidRPr="00652167" w:rsidRDefault="001D61AE" w:rsidP="007F1444">
            <w:pPr>
              <w:pStyle w:val="TableText0"/>
              <w:rPr>
                <w:b/>
              </w:rPr>
            </w:pPr>
            <w:r w:rsidRPr="00652167">
              <w:rPr>
                <w:b/>
              </w:rPr>
              <w:t>Background and Control Factors</w:t>
            </w:r>
          </w:p>
        </w:tc>
        <w:tc>
          <w:tcPr>
            <w:tcW w:w="4680" w:type="dxa"/>
            <w:shd w:val="clear" w:color="auto" w:fill="auto"/>
            <w:tcMar>
              <w:top w:w="144" w:type="dxa"/>
              <w:left w:w="144" w:type="dxa"/>
              <w:bottom w:w="144" w:type="dxa"/>
              <w:right w:w="144" w:type="dxa"/>
            </w:tcMar>
          </w:tcPr>
          <w:p w14:paraId="382B4D37" w14:textId="77777777" w:rsidR="00874AB3" w:rsidRPr="00652167" w:rsidRDefault="00B97C50" w:rsidP="007F1444">
            <w:pPr>
              <w:pStyle w:val="TableText0"/>
              <w:rPr>
                <w:b/>
                <w:color w:val="000000" w:themeColor="text1"/>
              </w:rPr>
            </w:pPr>
            <w:r w:rsidRPr="00652167">
              <w:rPr>
                <w:b/>
                <w:color w:val="000000" w:themeColor="text1"/>
              </w:rPr>
              <w:t>Proximal Outcomes (</w:t>
            </w:r>
            <w:r w:rsidR="001D61AE" w:rsidRPr="00652167">
              <w:rPr>
                <w:b/>
                <w:color w:val="000000" w:themeColor="text1"/>
              </w:rPr>
              <w:t>Risk and Protective Factors</w:t>
            </w:r>
            <w:r w:rsidRPr="00652167">
              <w:rPr>
                <w:b/>
                <w:color w:val="000000" w:themeColor="text1"/>
              </w:rPr>
              <w:t>)</w:t>
            </w:r>
          </w:p>
        </w:tc>
      </w:tr>
      <w:tr w:rsidR="00874AB3" w:rsidRPr="00652167" w14:paraId="5B6A304F" w14:textId="77777777" w:rsidTr="007F1444">
        <w:tc>
          <w:tcPr>
            <w:tcW w:w="4680" w:type="dxa"/>
            <w:shd w:val="clear" w:color="auto" w:fill="auto"/>
            <w:tcMar>
              <w:top w:w="144" w:type="dxa"/>
              <w:left w:w="144" w:type="dxa"/>
              <w:bottom w:w="144" w:type="dxa"/>
              <w:right w:w="144" w:type="dxa"/>
            </w:tcMar>
          </w:tcPr>
          <w:p w14:paraId="15B6B562" w14:textId="77777777" w:rsidR="00874AB3" w:rsidRPr="00652167" w:rsidRDefault="001D61AE" w:rsidP="00434739">
            <w:pPr>
              <w:pStyle w:val="TableText0"/>
              <w:numPr>
                <w:ilvl w:val="0"/>
                <w:numId w:val="55"/>
              </w:numPr>
              <w:ind w:left="390"/>
              <w:rPr>
                <w:bCs/>
                <w:color w:val="000000"/>
              </w:rPr>
            </w:pPr>
            <w:r w:rsidRPr="00652167">
              <w:rPr>
                <w:bCs/>
                <w:color w:val="000000"/>
              </w:rPr>
              <w:t>Biological sex</w:t>
            </w:r>
          </w:p>
          <w:p w14:paraId="1D591B17" w14:textId="77777777" w:rsidR="001D61AE" w:rsidRPr="00652167" w:rsidRDefault="001D61AE" w:rsidP="00434739">
            <w:pPr>
              <w:pStyle w:val="TableText0"/>
              <w:numPr>
                <w:ilvl w:val="0"/>
                <w:numId w:val="55"/>
              </w:numPr>
              <w:ind w:left="390"/>
              <w:rPr>
                <w:bCs/>
                <w:color w:val="000000"/>
              </w:rPr>
            </w:pPr>
            <w:r w:rsidRPr="00652167">
              <w:rPr>
                <w:bCs/>
                <w:color w:val="000000"/>
              </w:rPr>
              <w:t>Mother’s education</w:t>
            </w:r>
          </w:p>
          <w:p w14:paraId="7E70F474" w14:textId="77777777" w:rsidR="001D61AE" w:rsidRPr="00652167" w:rsidRDefault="001D61AE" w:rsidP="00434739">
            <w:pPr>
              <w:pStyle w:val="TableText0"/>
              <w:numPr>
                <w:ilvl w:val="0"/>
                <w:numId w:val="55"/>
              </w:numPr>
              <w:ind w:left="390"/>
              <w:rPr>
                <w:bCs/>
                <w:color w:val="000000"/>
              </w:rPr>
            </w:pPr>
            <w:r w:rsidRPr="00652167">
              <w:rPr>
                <w:bCs/>
                <w:color w:val="000000"/>
              </w:rPr>
              <w:t>Father’s education</w:t>
            </w:r>
          </w:p>
          <w:p w14:paraId="4E5F01B2" w14:textId="77777777" w:rsidR="001D61AE" w:rsidRPr="00652167" w:rsidRDefault="001D61AE" w:rsidP="00434739">
            <w:pPr>
              <w:pStyle w:val="TableText0"/>
              <w:numPr>
                <w:ilvl w:val="0"/>
                <w:numId w:val="55"/>
              </w:numPr>
              <w:ind w:left="390"/>
              <w:rPr>
                <w:bCs/>
                <w:color w:val="000000"/>
              </w:rPr>
            </w:pPr>
            <w:r w:rsidRPr="00652167">
              <w:rPr>
                <w:bCs/>
                <w:color w:val="000000"/>
              </w:rPr>
              <w:t>Receipt of school lunch/other welfare</w:t>
            </w:r>
          </w:p>
          <w:p w14:paraId="2DD0F7BC" w14:textId="77777777" w:rsidR="001D61AE" w:rsidRPr="00652167" w:rsidRDefault="001D61AE" w:rsidP="00434739">
            <w:pPr>
              <w:pStyle w:val="TableText0"/>
              <w:numPr>
                <w:ilvl w:val="0"/>
                <w:numId w:val="55"/>
              </w:numPr>
              <w:ind w:left="390"/>
              <w:rPr>
                <w:bCs/>
                <w:color w:val="000000"/>
              </w:rPr>
            </w:pPr>
            <w:r w:rsidRPr="00652167">
              <w:rPr>
                <w:bCs/>
                <w:color w:val="000000"/>
              </w:rPr>
              <w:t>Household composition (e.g., mother, father, older and younger sibs)</w:t>
            </w:r>
          </w:p>
          <w:p w14:paraId="44BCBA9E" w14:textId="77777777" w:rsidR="001D61AE" w:rsidRPr="00652167" w:rsidRDefault="001D61AE" w:rsidP="00434739">
            <w:pPr>
              <w:pStyle w:val="TableText0"/>
              <w:numPr>
                <w:ilvl w:val="0"/>
                <w:numId w:val="55"/>
              </w:numPr>
              <w:ind w:left="390"/>
              <w:rPr>
                <w:bCs/>
                <w:color w:val="000000"/>
              </w:rPr>
            </w:pPr>
            <w:r w:rsidRPr="00652167">
              <w:rPr>
                <w:bCs/>
                <w:color w:val="000000"/>
              </w:rPr>
              <w:t>Religiosity</w:t>
            </w:r>
          </w:p>
          <w:p w14:paraId="175018A4" w14:textId="77777777" w:rsidR="001D61AE" w:rsidRPr="00652167" w:rsidRDefault="001D61AE" w:rsidP="00434739">
            <w:pPr>
              <w:pStyle w:val="TableText0"/>
              <w:numPr>
                <w:ilvl w:val="0"/>
                <w:numId w:val="55"/>
              </w:numPr>
              <w:ind w:left="390"/>
              <w:rPr>
                <w:bCs/>
                <w:color w:val="000000"/>
              </w:rPr>
            </w:pPr>
            <w:r w:rsidRPr="00652167">
              <w:rPr>
                <w:bCs/>
                <w:color w:val="000000"/>
              </w:rPr>
              <w:t>Sexual orientation</w:t>
            </w:r>
          </w:p>
          <w:p w14:paraId="76CE0BDD" w14:textId="77777777" w:rsidR="001D61AE" w:rsidRPr="00652167" w:rsidRDefault="001D61AE" w:rsidP="00434739">
            <w:pPr>
              <w:pStyle w:val="TableText0"/>
              <w:numPr>
                <w:ilvl w:val="0"/>
                <w:numId w:val="55"/>
              </w:numPr>
              <w:ind w:left="390"/>
              <w:rPr>
                <w:bCs/>
                <w:color w:val="000000"/>
              </w:rPr>
            </w:pPr>
            <w:r w:rsidRPr="00652167">
              <w:rPr>
                <w:bCs/>
                <w:color w:val="000000"/>
              </w:rPr>
              <w:t>Receipt of education on relationships, not having sex, birth control or STDs in past</w:t>
            </w:r>
          </w:p>
        </w:tc>
        <w:tc>
          <w:tcPr>
            <w:tcW w:w="4680" w:type="dxa"/>
            <w:shd w:val="clear" w:color="auto" w:fill="auto"/>
            <w:tcMar>
              <w:top w:w="144" w:type="dxa"/>
              <w:left w:w="144" w:type="dxa"/>
              <w:bottom w:w="144" w:type="dxa"/>
              <w:right w:w="144" w:type="dxa"/>
            </w:tcMar>
          </w:tcPr>
          <w:p w14:paraId="59AA17A4" w14:textId="77777777" w:rsidR="00874AB3" w:rsidRPr="00652167" w:rsidRDefault="00434739" w:rsidP="004B1A96">
            <w:pPr>
              <w:pStyle w:val="TableText0"/>
              <w:numPr>
                <w:ilvl w:val="0"/>
                <w:numId w:val="56"/>
              </w:numPr>
              <w:ind w:left="391"/>
              <w:rPr>
                <w:color w:val="000000" w:themeColor="text1"/>
              </w:rPr>
            </w:pPr>
            <w:r w:rsidRPr="00652167">
              <w:rPr>
                <w:color w:val="000000" w:themeColor="text1"/>
              </w:rPr>
              <w:t>Knowledge of physical development, sexual risks, contraception, and healthy relationships</w:t>
            </w:r>
          </w:p>
          <w:p w14:paraId="6D59E03E" w14:textId="77777777" w:rsidR="00434739" w:rsidRPr="00652167" w:rsidRDefault="00434739" w:rsidP="004B1A96">
            <w:pPr>
              <w:pStyle w:val="TableText0"/>
              <w:numPr>
                <w:ilvl w:val="0"/>
                <w:numId w:val="56"/>
              </w:numPr>
              <w:ind w:left="391"/>
              <w:rPr>
                <w:color w:val="000000" w:themeColor="text1"/>
              </w:rPr>
            </w:pPr>
            <w:r w:rsidRPr="00652167">
              <w:rPr>
                <w:color w:val="000000" w:themeColor="text1"/>
              </w:rPr>
              <w:t>Attitudes, beliefs, values regarding not having sex (not starting or refraining from having sex if already non-virgins) and its importance for future goals including relationships and marriage</w:t>
            </w:r>
          </w:p>
          <w:p w14:paraId="2BFC996B" w14:textId="77777777" w:rsidR="00434739" w:rsidRPr="00652167" w:rsidRDefault="00434739" w:rsidP="004B1A96">
            <w:pPr>
              <w:pStyle w:val="TableText0"/>
              <w:numPr>
                <w:ilvl w:val="0"/>
                <w:numId w:val="56"/>
              </w:numPr>
              <w:ind w:left="391"/>
              <w:rPr>
                <w:color w:val="000000" w:themeColor="text1"/>
              </w:rPr>
            </w:pPr>
            <w:r w:rsidRPr="00652167">
              <w:rPr>
                <w:color w:val="000000" w:themeColor="text1"/>
              </w:rPr>
              <w:t>Intentions and commitment to not have sex</w:t>
            </w:r>
          </w:p>
          <w:p w14:paraId="1496711F" w14:textId="77777777" w:rsidR="00434739" w:rsidRPr="00652167" w:rsidRDefault="00434739" w:rsidP="004B1A96">
            <w:pPr>
              <w:pStyle w:val="TableText0"/>
              <w:numPr>
                <w:ilvl w:val="0"/>
                <w:numId w:val="56"/>
              </w:numPr>
              <w:ind w:left="391"/>
              <w:rPr>
                <w:color w:val="000000" w:themeColor="text1"/>
              </w:rPr>
            </w:pPr>
            <w:r w:rsidRPr="00652167">
              <w:rPr>
                <w:color w:val="000000" w:themeColor="text1"/>
              </w:rPr>
              <w:t>Skills to resist peer pressure, refuse sex, and avoid risky situations</w:t>
            </w:r>
          </w:p>
          <w:p w14:paraId="6A7E5E2B" w14:textId="77777777" w:rsidR="00434739" w:rsidRPr="00652167" w:rsidRDefault="00434739" w:rsidP="004B1A96">
            <w:pPr>
              <w:pStyle w:val="TableText0"/>
              <w:numPr>
                <w:ilvl w:val="0"/>
                <w:numId w:val="56"/>
              </w:numPr>
              <w:ind w:left="391"/>
              <w:rPr>
                <w:color w:val="000000" w:themeColor="text1"/>
              </w:rPr>
            </w:pPr>
            <w:r w:rsidRPr="00652167">
              <w:rPr>
                <w:color w:val="000000" w:themeColor="text1"/>
              </w:rPr>
              <w:t>Peer influences: perception of peer attitudes, norms, and behavior regarding sex and other risk behaviors</w:t>
            </w:r>
          </w:p>
          <w:p w14:paraId="0CEF8266" w14:textId="77777777" w:rsidR="00434739" w:rsidRPr="00652167" w:rsidRDefault="00434739" w:rsidP="004B1A96">
            <w:pPr>
              <w:pStyle w:val="TableText0"/>
              <w:numPr>
                <w:ilvl w:val="0"/>
                <w:numId w:val="56"/>
              </w:numPr>
              <w:ind w:left="391"/>
              <w:rPr>
                <w:color w:val="000000" w:themeColor="text1"/>
              </w:rPr>
            </w:pPr>
            <w:r w:rsidRPr="00652167">
              <w:rPr>
                <w:color w:val="000000" w:themeColor="text1"/>
              </w:rPr>
              <w:t>Parental influences: parental connectedness and attitudes, communications, and monitoring regarding sex and other risk behaviors</w:t>
            </w:r>
          </w:p>
        </w:tc>
      </w:tr>
    </w:tbl>
    <w:p w14:paraId="13CC3BD1" w14:textId="77777777" w:rsidR="00874AB3" w:rsidRPr="00652167" w:rsidRDefault="00874AB3" w:rsidP="00874AB3">
      <w:pPr>
        <w:pStyle w:val="OMBExhibitTitle"/>
        <w:rPr>
          <w:rFonts w:ascii="Times New Roman" w:hAnsi="Times New Roman"/>
        </w:rPr>
      </w:pPr>
    </w:p>
    <w:p w14:paraId="1D1F70BC" w14:textId="77777777" w:rsidR="00F1755B" w:rsidRPr="00652167" w:rsidRDefault="00F1755B" w:rsidP="00F1755B">
      <w:pPr>
        <w:pStyle w:val="OMBbodytext"/>
        <w:rPr>
          <w:sz w:val="22"/>
        </w:rPr>
      </w:pPr>
      <w:r w:rsidRPr="00652167">
        <w:rPr>
          <w:bCs/>
        </w:rPr>
        <w:t xml:space="preserve">The </w:t>
      </w:r>
      <w:r w:rsidR="00F53BC0" w:rsidRPr="00652167">
        <w:rPr>
          <w:bCs/>
        </w:rPr>
        <w:t>baseline and follow-up</w:t>
      </w:r>
      <w:r w:rsidRPr="00652167">
        <w:rPr>
          <w:bCs/>
        </w:rPr>
        <w:t xml:space="preserve"> </w:t>
      </w:r>
      <w:r w:rsidR="00E231DA" w:rsidRPr="00652167">
        <w:rPr>
          <w:bCs/>
        </w:rPr>
        <w:t xml:space="preserve">data collection instruments for </w:t>
      </w:r>
      <w:r w:rsidRPr="00652167">
        <w:rPr>
          <w:bCs/>
        </w:rPr>
        <w:t>youth in this evaluation are designed to measure these proximal outcomes</w:t>
      </w:r>
      <w:r w:rsidR="007F1444" w:rsidRPr="00652167">
        <w:rPr>
          <w:bCs/>
        </w:rPr>
        <w:t xml:space="preserve">. The </w:t>
      </w:r>
      <w:r w:rsidR="00E7220D" w:rsidRPr="00652167">
        <w:rPr>
          <w:bCs/>
        </w:rPr>
        <w:t>data collection instruments are also designed to measure</w:t>
      </w:r>
      <w:r w:rsidRPr="00652167">
        <w:rPr>
          <w:bCs/>
        </w:rPr>
        <w:t xml:space="preserve"> background (control or covariate) variables that have been theorized (in the SRA logic model) or </w:t>
      </w:r>
      <w:r w:rsidR="00E7220D" w:rsidRPr="00652167">
        <w:rPr>
          <w:bCs/>
        </w:rPr>
        <w:t xml:space="preserve">empirically </w:t>
      </w:r>
      <w:r w:rsidRPr="00652167">
        <w:rPr>
          <w:bCs/>
        </w:rPr>
        <w:t>shown to account for some variance in youth proximal outcome</w:t>
      </w:r>
      <w:r w:rsidR="00366AA2" w:rsidRPr="00652167">
        <w:rPr>
          <w:bCs/>
        </w:rPr>
        <w:t>s.</w:t>
      </w:r>
      <w:r w:rsidRPr="00652167">
        <w:rPr>
          <w:bCs/>
        </w:rPr>
        <w:t xml:space="preserve"> </w:t>
      </w:r>
      <w:r w:rsidRPr="00652167">
        <w:rPr>
          <w:b/>
          <w:bCs/>
        </w:rPr>
        <w:t>Appendices A-J</w:t>
      </w:r>
      <w:r w:rsidRPr="00652167">
        <w:t xml:space="preserve"> provide copies of the data collection instruments</w:t>
      </w:r>
      <w:r w:rsidR="00AF1D45" w:rsidRPr="00652167">
        <w:t xml:space="preserve">; </w:t>
      </w:r>
      <w:r w:rsidR="00A60CF3" w:rsidRPr="00652167">
        <w:t xml:space="preserve">including </w:t>
      </w:r>
      <w:r w:rsidR="00AF1D45" w:rsidRPr="00652167">
        <w:t>the Baseline and Follow-up outcome surveys (i.e., Youth Outcome Questionnaire)</w:t>
      </w:r>
      <w:r w:rsidR="00F53BC0" w:rsidRPr="00652167">
        <w:t>, which</w:t>
      </w:r>
      <w:r w:rsidR="00AF1D45" w:rsidRPr="00652167">
        <w:t xml:space="preserve"> include measures of the proximal outcome constructs described above</w:t>
      </w:r>
      <w:r w:rsidRPr="00652167">
        <w:t xml:space="preserve">. </w:t>
      </w:r>
    </w:p>
    <w:p w14:paraId="5A348B6D" w14:textId="77777777" w:rsidR="00504258" w:rsidRPr="00652167" w:rsidRDefault="00504258" w:rsidP="00504258">
      <w:pPr>
        <w:pStyle w:val="OMBbodytext"/>
      </w:pPr>
      <w:r w:rsidRPr="00652167">
        <w:t xml:space="preserve">This formative evaluation will focus on examining changes in proximal outcomes, or individual risk and protective factors (e.g., </w:t>
      </w:r>
      <w:r w:rsidR="00607B3F" w:rsidRPr="00652167">
        <w:t xml:space="preserve">short term </w:t>
      </w:r>
      <w:r w:rsidRPr="00652167">
        <w:t xml:space="preserve">SRA-related knowledge, attitudes, </w:t>
      </w:r>
      <w:r w:rsidR="008C568C" w:rsidRPr="00652167">
        <w:t xml:space="preserve">and </w:t>
      </w:r>
      <w:r w:rsidRPr="00652167">
        <w:t>skills that may result from the SMARTool-aligned SRA curricula</w:t>
      </w:r>
      <w:r w:rsidR="008C568C" w:rsidRPr="00652167">
        <w:t>)</w:t>
      </w:r>
      <w:r w:rsidRPr="00652167">
        <w:t xml:space="preserve">. </w:t>
      </w:r>
      <w:r w:rsidR="00932B54" w:rsidRPr="00652167">
        <w:rPr>
          <w:b/>
          <w:i/>
        </w:rPr>
        <w:t>Exhibit 5</w:t>
      </w:r>
      <w:r w:rsidR="00932B54" w:rsidRPr="00652167">
        <w:t xml:space="preserve"> shows the proximal outcome variables we will examine in this study</w:t>
      </w:r>
      <w:r w:rsidR="003A692A" w:rsidRPr="00652167">
        <w:t>, drawn from the 10 SMARTool targets and the SRA logic model</w:t>
      </w:r>
      <w:r w:rsidR="002F381E" w:rsidRPr="00652167">
        <w:t>.</w:t>
      </w:r>
    </w:p>
    <w:p w14:paraId="2CD5B81B" w14:textId="77777777" w:rsidR="00932B54" w:rsidRPr="00652167" w:rsidRDefault="00932B54" w:rsidP="00932B54">
      <w:pPr>
        <w:pStyle w:val="OMBExhibitTitle"/>
      </w:pPr>
      <w:bookmarkStart w:id="20" w:name="_Toc11750113"/>
      <w:r w:rsidRPr="00652167">
        <w:t xml:space="preserve">Exhibit </w:t>
      </w:r>
      <w:r w:rsidR="00416091" w:rsidRPr="00652167">
        <w:t>5</w:t>
      </w:r>
      <w:r w:rsidRPr="00652167">
        <w:t xml:space="preserve">. </w:t>
      </w:r>
      <w:r w:rsidRPr="00652167">
        <w:tab/>
        <w:t>Proximal Outcomes That Will Be Examined in This Study</w:t>
      </w:r>
      <w:bookmarkEnd w:id="20"/>
    </w:p>
    <w:tbl>
      <w:tblPr>
        <w:tblW w:w="9360"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1E0" w:firstRow="1" w:lastRow="1" w:firstColumn="1" w:lastColumn="1" w:noHBand="0" w:noVBand="0"/>
      </w:tblPr>
      <w:tblGrid>
        <w:gridCol w:w="4680"/>
        <w:gridCol w:w="4680"/>
      </w:tblGrid>
      <w:tr w:rsidR="00932B54" w:rsidRPr="00652167" w14:paraId="56658DF2" w14:textId="77777777" w:rsidTr="00F53BC0">
        <w:tc>
          <w:tcPr>
            <w:tcW w:w="4680" w:type="dxa"/>
            <w:shd w:val="clear" w:color="auto" w:fill="auto"/>
            <w:tcMar>
              <w:top w:w="144" w:type="dxa"/>
              <w:left w:w="144" w:type="dxa"/>
              <w:bottom w:w="144" w:type="dxa"/>
              <w:right w:w="144" w:type="dxa"/>
            </w:tcMar>
          </w:tcPr>
          <w:p w14:paraId="1E049FAE" w14:textId="77777777" w:rsidR="00932B54" w:rsidRPr="00652167" w:rsidRDefault="00932B54" w:rsidP="00F53BC0">
            <w:pPr>
              <w:pStyle w:val="TableText0"/>
              <w:rPr>
                <w:b/>
              </w:rPr>
            </w:pPr>
            <w:r w:rsidRPr="00652167">
              <w:rPr>
                <w:b/>
              </w:rPr>
              <w:t>From 10 SMARTool Targets</w:t>
            </w:r>
          </w:p>
        </w:tc>
        <w:tc>
          <w:tcPr>
            <w:tcW w:w="4680" w:type="dxa"/>
            <w:shd w:val="clear" w:color="auto" w:fill="auto"/>
            <w:tcMar>
              <w:top w:w="144" w:type="dxa"/>
              <w:left w:w="144" w:type="dxa"/>
              <w:bottom w:w="144" w:type="dxa"/>
              <w:right w:w="144" w:type="dxa"/>
            </w:tcMar>
          </w:tcPr>
          <w:p w14:paraId="326E8EB5" w14:textId="77777777" w:rsidR="00932B54" w:rsidRPr="00652167" w:rsidRDefault="00932B54" w:rsidP="00F53BC0">
            <w:pPr>
              <w:pStyle w:val="TableText0"/>
              <w:rPr>
                <w:b/>
                <w:color w:val="000000" w:themeColor="text1"/>
              </w:rPr>
            </w:pPr>
            <w:r w:rsidRPr="00652167">
              <w:rPr>
                <w:b/>
                <w:color w:val="000000" w:themeColor="text1"/>
              </w:rPr>
              <w:t>From SRA Logic Model</w:t>
            </w:r>
          </w:p>
        </w:tc>
      </w:tr>
      <w:tr w:rsidR="00932B54" w:rsidRPr="00652167" w14:paraId="05CEF046" w14:textId="77777777" w:rsidTr="00F53BC0">
        <w:tc>
          <w:tcPr>
            <w:tcW w:w="4680" w:type="dxa"/>
            <w:shd w:val="clear" w:color="auto" w:fill="auto"/>
            <w:tcMar>
              <w:top w:w="144" w:type="dxa"/>
              <w:left w:w="144" w:type="dxa"/>
              <w:bottom w:w="144" w:type="dxa"/>
              <w:right w:w="144" w:type="dxa"/>
            </w:tcMar>
          </w:tcPr>
          <w:p w14:paraId="11034EBD" w14:textId="77777777" w:rsidR="007E2D79" w:rsidRPr="00652167" w:rsidRDefault="00F22053" w:rsidP="007E2D79">
            <w:pPr>
              <w:pStyle w:val="TableText0"/>
              <w:numPr>
                <w:ilvl w:val="0"/>
                <w:numId w:val="55"/>
              </w:numPr>
              <w:ind w:left="390"/>
              <w:rPr>
                <w:bCs/>
                <w:color w:val="000000"/>
              </w:rPr>
            </w:pPr>
            <w:r w:rsidRPr="00652167">
              <w:rPr>
                <w:bCs/>
                <w:color w:val="000000"/>
              </w:rPr>
              <w:t>K</w:t>
            </w:r>
            <w:r w:rsidR="007E2D79" w:rsidRPr="00652167">
              <w:rPr>
                <w:bCs/>
                <w:color w:val="000000"/>
              </w:rPr>
              <w:t>nowledge of physical development and sexual risks</w:t>
            </w:r>
          </w:p>
          <w:p w14:paraId="46F0699F" w14:textId="77777777" w:rsidR="007E2D79" w:rsidRPr="00652167" w:rsidRDefault="00CF3CFB" w:rsidP="007E2D79">
            <w:pPr>
              <w:pStyle w:val="TableText0"/>
              <w:numPr>
                <w:ilvl w:val="0"/>
                <w:numId w:val="55"/>
              </w:numPr>
              <w:ind w:left="390"/>
              <w:rPr>
                <w:bCs/>
                <w:color w:val="000000"/>
              </w:rPr>
            </w:pPr>
            <w:r w:rsidRPr="00652167">
              <w:rPr>
                <w:bCs/>
                <w:color w:val="000000"/>
              </w:rPr>
              <w:t>Knowledge of h</w:t>
            </w:r>
            <w:r w:rsidR="007E2D79" w:rsidRPr="00652167">
              <w:rPr>
                <w:bCs/>
                <w:color w:val="000000"/>
              </w:rPr>
              <w:t>ealthy relationship development</w:t>
            </w:r>
          </w:p>
          <w:p w14:paraId="1010E51C" w14:textId="77777777" w:rsidR="007E2D79" w:rsidRPr="00652167" w:rsidRDefault="00CF3CFB" w:rsidP="007E2D79">
            <w:pPr>
              <w:pStyle w:val="TableText0"/>
              <w:numPr>
                <w:ilvl w:val="0"/>
                <w:numId w:val="55"/>
              </w:numPr>
              <w:ind w:left="390"/>
              <w:rPr>
                <w:bCs/>
                <w:color w:val="000000"/>
              </w:rPr>
            </w:pPr>
            <w:r w:rsidRPr="00652167">
              <w:rPr>
                <w:bCs/>
                <w:color w:val="000000"/>
              </w:rPr>
              <w:t>P</w:t>
            </w:r>
            <w:r w:rsidR="007E2D79" w:rsidRPr="00652167">
              <w:rPr>
                <w:bCs/>
                <w:color w:val="000000"/>
              </w:rPr>
              <w:t>ersonal attitudes and beliefs that value sexual risk avoidance</w:t>
            </w:r>
          </w:p>
          <w:p w14:paraId="73322FAC" w14:textId="77777777" w:rsidR="007E2D79" w:rsidRPr="00652167" w:rsidRDefault="00CF3CFB" w:rsidP="007E2D79">
            <w:pPr>
              <w:pStyle w:val="TableText0"/>
              <w:numPr>
                <w:ilvl w:val="0"/>
                <w:numId w:val="55"/>
              </w:numPr>
              <w:ind w:left="390"/>
              <w:rPr>
                <w:bCs/>
                <w:color w:val="000000"/>
              </w:rPr>
            </w:pPr>
            <w:r w:rsidRPr="00652167">
              <w:rPr>
                <w:bCs/>
                <w:color w:val="000000"/>
              </w:rPr>
              <w:t>Attitudes</w:t>
            </w:r>
            <w:r w:rsidR="009258EA" w:rsidRPr="00652167">
              <w:rPr>
                <w:bCs/>
                <w:color w:val="000000"/>
              </w:rPr>
              <w:t>/beliefs</w:t>
            </w:r>
            <w:r w:rsidRPr="00652167">
              <w:rPr>
                <w:bCs/>
                <w:color w:val="000000"/>
              </w:rPr>
              <w:t xml:space="preserve"> </w:t>
            </w:r>
            <w:r w:rsidR="009258EA" w:rsidRPr="00652167">
              <w:rPr>
                <w:bCs/>
                <w:color w:val="000000"/>
              </w:rPr>
              <w:t>about</w:t>
            </w:r>
            <w:r w:rsidR="007E2D79" w:rsidRPr="00652167">
              <w:rPr>
                <w:bCs/>
                <w:color w:val="000000"/>
              </w:rPr>
              <w:t xml:space="preserve"> common rationalizations for sexual activity</w:t>
            </w:r>
          </w:p>
          <w:p w14:paraId="675BC4C8" w14:textId="77777777" w:rsidR="007E2D79" w:rsidRPr="00652167" w:rsidRDefault="008768A7" w:rsidP="007E2D79">
            <w:pPr>
              <w:pStyle w:val="TableText0"/>
              <w:numPr>
                <w:ilvl w:val="0"/>
                <w:numId w:val="55"/>
              </w:numPr>
              <w:ind w:left="390"/>
              <w:rPr>
                <w:bCs/>
                <w:color w:val="000000"/>
              </w:rPr>
            </w:pPr>
            <w:r w:rsidRPr="00652167">
              <w:rPr>
                <w:bCs/>
                <w:color w:val="000000"/>
              </w:rPr>
              <w:t>P</w:t>
            </w:r>
            <w:r w:rsidR="007E2D79" w:rsidRPr="00652167">
              <w:rPr>
                <w:bCs/>
                <w:color w:val="000000"/>
              </w:rPr>
              <w:t>erception of and independence from negative peer and social norms</w:t>
            </w:r>
          </w:p>
          <w:p w14:paraId="46990AB1" w14:textId="77777777" w:rsidR="007E2D79" w:rsidRPr="00652167" w:rsidRDefault="000F1ACD" w:rsidP="007E2D79">
            <w:pPr>
              <w:pStyle w:val="TableText0"/>
              <w:numPr>
                <w:ilvl w:val="0"/>
                <w:numId w:val="55"/>
              </w:numPr>
              <w:ind w:left="390"/>
              <w:rPr>
                <w:bCs/>
                <w:color w:val="000000"/>
              </w:rPr>
            </w:pPr>
            <w:r w:rsidRPr="00652167">
              <w:rPr>
                <w:bCs/>
                <w:color w:val="000000"/>
              </w:rPr>
              <w:t>P</w:t>
            </w:r>
            <w:r w:rsidR="007E2D79" w:rsidRPr="00652167">
              <w:rPr>
                <w:bCs/>
                <w:color w:val="000000"/>
              </w:rPr>
              <w:t>ersonal competencies and self-efficacy to avoid sexual activity</w:t>
            </w:r>
          </w:p>
          <w:p w14:paraId="783C0090" w14:textId="77777777" w:rsidR="007E2D79" w:rsidRPr="00652167" w:rsidRDefault="00A84DC4" w:rsidP="007E2D79">
            <w:pPr>
              <w:pStyle w:val="TableText0"/>
              <w:numPr>
                <w:ilvl w:val="0"/>
                <w:numId w:val="55"/>
              </w:numPr>
              <w:ind w:left="390"/>
              <w:rPr>
                <w:bCs/>
                <w:color w:val="000000"/>
              </w:rPr>
            </w:pPr>
            <w:r w:rsidRPr="00652167">
              <w:rPr>
                <w:bCs/>
                <w:color w:val="000000"/>
              </w:rPr>
              <w:t>P</w:t>
            </w:r>
            <w:r w:rsidR="007E2D79" w:rsidRPr="00652167">
              <w:rPr>
                <w:bCs/>
                <w:color w:val="000000"/>
              </w:rPr>
              <w:t>ersonal intention and commitment to avoid sexual activity</w:t>
            </w:r>
          </w:p>
          <w:p w14:paraId="30EE9378" w14:textId="77777777" w:rsidR="007E2D79" w:rsidRPr="00652167" w:rsidRDefault="00A84DC4" w:rsidP="007E2D79">
            <w:pPr>
              <w:pStyle w:val="TableText0"/>
              <w:numPr>
                <w:ilvl w:val="0"/>
                <w:numId w:val="55"/>
              </w:numPr>
              <w:ind w:left="390"/>
              <w:rPr>
                <w:bCs/>
                <w:color w:val="000000"/>
              </w:rPr>
            </w:pPr>
            <w:r w:rsidRPr="00652167">
              <w:rPr>
                <w:bCs/>
                <w:color w:val="000000"/>
              </w:rPr>
              <w:t>Attitudes/beliefs about reducing</w:t>
            </w:r>
            <w:r w:rsidR="007E2D79" w:rsidRPr="00652167">
              <w:rPr>
                <w:bCs/>
                <w:color w:val="000000"/>
              </w:rPr>
              <w:t xml:space="preserve"> opportunities for sexual activity</w:t>
            </w:r>
          </w:p>
          <w:p w14:paraId="4B9C1F83" w14:textId="77777777" w:rsidR="007E2D79" w:rsidRPr="00652167" w:rsidRDefault="000E05E4" w:rsidP="007E2D79">
            <w:pPr>
              <w:pStyle w:val="TableText0"/>
              <w:numPr>
                <w:ilvl w:val="0"/>
                <w:numId w:val="55"/>
              </w:numPr>
              <w:ind w:left="390"/>
              <w:rPr>
                <w:bCs/>
                <w:color w:val="000000"/>
              </w:rPr>
            </w:pPr>
            <w:r w:rsidRPr="00652167">
              <w:rPr>
                <w:bCs/>
                <w:color w:val="000000"/>
              </w:rPr>
              <w:t>F</w:t>
            </w:r>
            <w:r w:rsidR="007E2D79" w:rsidRPr="00652167">
              <w:rPr>
                <w:bCs/>
                <w:color w:val="000000"/>
              </w:rPr>
              <w:t>uture goals and opportunities</w:t>
            </w:r>
          </w:p>
          <w:p w14:paraId="3F71B1EB" w14:textId="77777777" w:rsidR="00932B54" w:rsidRPr="00652167" w:rsidRDefault="000E05E4" w:rsidP="007E2D79">
            <w:pPr>
              <w:pStyle w:val="TableText0"/>
              <w:numPr>
                <w:ilvl w:val="0"/>
                <w:numId w:val="55"/>
              </w:numPr>
              <w:ind w:left="390"/>
              <w:rPr>
                <w:bCs/>
                <w:color w:val="000000"/>
              </w:rPr>
            </w:pPr>
            <w:r w:rsidRPr="00652167">
              <w:rPr>
                <w:bCs/>
                <w:color w:val="000000"/>
              </w:rPr>
              <w:t>Parent influences and involvement</w:t>
            </w:r>
          </w:p>
        </w:tc>
        <w:tc>
          <w:tcPr>
            <w:tcW w:w="4680" w:type="dxa"/>
            <w:shd w:val="clear" w:color="auto" w:fill="auto"/>
            <w:tcMar>
              <w:top w:w="144" w:type="dxa"/>
              <w:left w:w="144" w:type="dxa"/>
              <w:bottom w:w="144" w:type="dxa"/>
              <w:right w:w="144" w:type="dxa"/>
            </w:tcMar>
          </w:tcPr>
          <w:p w14:paraId="07C3493C" w14:textId="77777777" w:rsidR="00932B54" w:rsidRPr="00652167" w:rsidRDefault="00932B54" w:rsidP="00F53BC0">
            <w:pPr>
              <w:pStyle w:val="TableText0"/>
              <w:numPr>
                <w:ilvl w:val="0"/>
                <w:numId w:val="56"/>
              </w:numPr>
              <w:ind w:left="391"/>
              <w:rPr>
                <w:color w:val="000000" w:themeColor="text1"/>
              </w:rPr>
            </w:pPr>
            <w:r w:rsidRPr="00652167">
              <w:rPr>
                <w:color w:val="000000" w:themeColor="text1"/>
              </w:rPr>
              <w:t>Knowledge of physical development, sexual risks, contraception, and healthy relationships</w:t>
            </w:r>
          </w:p>
          <w:p w14:paraId="69DD337F" w14:textId="77777777" w:rsidR="00932B54" w:rsidRPr="00652167" w:rsidRDefault="00932B54" w:rsidP="00F53BC0">
            <w:pPr>
              <w:pStyle w:val="TableText0"/>
              <w:numPr>
                <w:ilvl w:val="0"/>
                <w:numId w:val="56"/>
              </w:numPr>
              <w:ind w:left="391"/>
              <w:rPr>
                <w:color w:val="000000" w:themeColor="text1"/>
              </w:rPr>
            </w:pPr>
            <w:r w:rsidRPr="00652167">
              <w:rPr>
                <w:color w:val="000000" w:themeColor="text1"/>
              </w:rPr>
              <w:t>Attitudes, beliefs, values regarding not having sex (not starting or refraining from having sex if already non-virgins) and its importance for future goals including relationships and marriage</w:t>
            </w:r>
          </w:p>
          <w:p w14:paraId="660D91E2" w14:textId="77777777" w:rsidR="00932B54" w:rsidRPr="00652167" w:rsidRDefault="00932B54" w:rsidP="00F53BC0">
            <w:pPr>
              <w:pStyle w:val="TableText0"/>
              <w:numPr>
                <w:ilvl w:val="0"/>
                <w:numId w:val="56"/>
              </w:numPr>
              <w:ind w:left="391"/>
              <w:rPr>
                <w:color w:val="000000" w:themeColor="text1"/>
              </w:rPr>
            </w:pPr>
            <w:r w:rsidRPr="00652167">
              <w:rPr>
                <w:color w:val="000000" w:themeColor="text1"/>
              </w:rPr>
              <w:t>Intentions and commitment to not have sex</w:t>
            </w:r>
          </w:p>
          <w:p w14:paraId="31A289E2" w14:textId="77777777" w:rsidR="00932B54" w:rsidRPr="00652167" w:rsidRDefault="00932B54" w:rsidP="00F53BC0">
            <w:pPr>
              <w:pStyle w:val="TableText0"/>
              <w:numPr>
                <w:ilvl w:val="0"/>
                <w:numId w:val="56"/>
              </w:numPr>
              <w:ind w:left="391"/>
              <w:rPr>
                <w:color w:val="000000" w:themeColor="text1"/>
              </w:rPr>
            </w:pPr>
            <w:r w:rsidRPr="00652167">
              <w:rPr>
                <w:color w:val="000000" w:themeColor="text1"/>
              </w:rPr>
              <w:t>Skills to resist peer pressure, refuse sex, and avoid risky situations</w:t>
            </w:r>
          </w:p>
          <w:p w14:paraId="43906377" w14:textId="77777777" w:rsidR="00932B54" w:rsidRPr="00652167" w:rsidRDefault="00932B54" w:rsidP="00F53BC0">
            <w:pPr>
              <w:pStyle w:val="TableText0"/>
              <w:numPr>
                <w:ilvl w:val="0"/>
                <w:numId w:val="56"/>
              </w:numPr>
              <w:ind w:left="391"/>
              <w:rPr>
                <w:color w:val="000000" w:themeColor="text1"/>
              </w:rPr>
            </w:pPr>
            <w:r w:rsidRPr="00652167">
              <w:rPr>
                <w:color w:val="000000" w:themeColor="text1"/>
              </w:rPr>
              <w:t>Peer influences: perception of peer attitudes, norms, and behavior regarding sex and other risk behaviors</w:t>
            </w:r>
          </w:p>
          <w:p w14:paraId="1544A732" w14:textId="77777777" w:rsidR="00932B54" w:rsidRPr="00652167" w:rsidRDefault="00932B54" w:rsidP="00F53BC0">
            <w:pPr>
              <w:pStyle w:val="TableText0"/>
              <w:numPr>
                <w:ilvl w:val="0"/>
                <w:numId w:val="56"/>
              </w:numPr>
              <w:ind w:left="391"/>
              <w:rPr>
                <w:color w:val="000000" w:themeColor="text1"/>
              </w:rPr>
            </w:pPr>
            <w:r w:rsidRPr="00652167">
              <w:rPr>
                <w:color w:val="000000" w:themeColor="text1"/>
              </w:rPr>
              <w:t>Parental influences: parental connectedness and attitudes, communications, and monitoring regarding sex and other risk behaviors</w:t>
            </w:r>
          </w:p>
        </w:tc>
      </w:tr>
    </w:tbl>
    <w:p w14:paraId="6EE46F5D" w14:textId="77777777" w:rsidR="00366AA2" w:rsidRPr="00652167" w:rsidRDefault="00366AA2" w:rsidP="004204AC">
      <w:pPr>
        <w:pStyle w:val="OMBbodytext"/>
        <w:ind w:left="0"/>
      </w:pPr>
    </w:p>
    <w:p w14:paraId="4C913CFE" w14:textId="77777777" w:rsidR="00926417" w:rsidRPr="00652167" w:rsidRDefault="00504258" w:rsidP="006403EC">
      <w:pPr>
        <w:pStyle w:val="OMBbodytext"/>
        <w:ind w:left="0"/>
      </w:pPr>
      <w:r w:rsidRPr="00652167">
        <w:t>I</w:t>
      </w:r>
      <w:r w:rsidR="000A4910" w:rsidRPr="00652167">
        <w:t xml:space="preserve">t is important to note </w:t>
      </w:r>
      <w:r w:rsidRPr="00652167">
        <w:t xml:space="preserve">that given the short </w:t>
      </w:r>
      <w:r w:rsidR="008C568C" w:rsidRPr="00652167">
        <w:t xml:space="preserve">time </w:t>
      </w:r>
      <w:r w:rsidRPr="00652167">
        <w:t xml:space="preserve">frame between the baseline and follow-up youth surveys, we do not anticipate observing changes in </w:t>
      </w:r>
      <w:r w:rsidR="000A4910" w:rsidRPr="00652167">
        <w:t xml:space="preserve">longer-term outcomes such as youth sexual behavior, </w:t>
      </w:r>
      <w:r w:rsidR="008C568C" w:rsidRPr="00652167">
        <w:t xml:space="preserve">so </w:t>
      </w:r>
      <w:r w:rsidR="000A4910" w:rsidRPr="00652167">
        <w:t>this formative evaluation</w:t>
      </w:r>
      <w:r w:rsidR="004C421A" w:rsidRPr="00652167">
        <w:t xml:space="preserve"> does not include research questions related to the impact of the SRA curricula on youth sexual behavior</w:t>
      </w:r>
      <w:r w:rsidR="000A4910" w:rsidRPr="00652167">
        <w:t xml:space="preserve">. The major driver of this decision is the available funding and period of performance of </w:t>
      </w:r>
      <w:r w:rsidR="00E82E89" w:rsidRPr="00652167">
        <w:t xml:space="preserve">MITRE’s </w:t>
      </w:r>
      <w:r w:rsidR="000A4910" w:rsidRPr="00652167">
        <w:t>contract for this project. Given the timeline for data collection and analysis for this study, it will not be feasible to conduct a second, longer-term follow</w:t>
      </w:r>
      <w:r w:rsidR="00B25FC5" w:rsidRPr="00652167">
        <w:t>-</w:t>
      </w:r>
      <w:r w:rsidR="000A4910" w:rsidRPr="00652167">
        <w:t xml:space="preserve">up data collection to assess </w:t>
      </w:r>
      <w:r w:rsidR="006A28D1" w:rsidRPr="00652167">
        <w:t xml:space="preserve">longer-term outcomes such as behavior change. </w:t>
      </w:r>
      <w:r w:rsidR="00D213EE" w:rsidRPr="00652167">
        <w:t xml:space="preserve">Limitations associated with </w:t>
      </w:r>
      <w:r w:rsidR="00E82E89" w:rsidRPr="00652167">
        <w:t>conducting an impact analysis that focuses on youth attitude</w:t>
      </w:r>
      <w:r w:rsidR="00826D00" w:rsidRPr="00652167">
        <w:t>s</w:t>
      </w:r>
      <w:r w:rsidR="00E82E89" w:rsidRPr="00652167">
        <w:t xml:space="preserve"> and beliefs, but not behavior</w:t>
      </w:r>
      <w:r w:rsidR="00826D00" w:rsidRPr="00652167">
        <w:t>s</w:t>
      </w:r>
      <w:r w:rsidR="00E82E89" w:rsidRPr="00652167">
        <w:t xml:space="preserve"> </w:t>
      </w:r>
      <w:r w:rsidR="00F16F0C" w:rsidRPr="00652167">
        <w:t xml:space="preserve">will be discussed in the final </w:t>
      </w:r>
      <w:r w:rsidR="006A28D1" w:rsidRPr="00652167">
        <w:t>report.</w:t>
      </w:r>
    </w:p>
    <w:p w14:paraId="7ADDC000" w14:textId="77777777" w:rsidR="006403EC" w:rsidRPr="00652167" w:rsidRDefault="006403EC" w:rsidP="006403EC">
      <w:pPr>
        <w:pStyle w:val="OMBbodytext"/>
        <w:ind w:left="0"/>
        <w:rPr>
          <w:b/>
        </w:rPr>
      </w:pPr>
      <w:r w:rsidRPr="00652167">
        <w:rPr>
          <w:b/>
        </w:rPr>
        <w:t xml:space="preserve">Overview of </w:t>
      </w:r>
      <w:r w:rsidR="00366AA2" w:rsidRPr="00652167">
        <w:rPr>
          <w:b/>
        </w:rPr>
        <w:t xml:space="preserve">Study </w:t>
      </w:r>
      <w:r w:rsidRPr="00652167">
        <w:rPr>
          <w:b/>
        </w:rPr>
        <w:t xml:space="preserve">Design </w:t>
      </w:r>
    </w:p>
    <w:p w14:paraId="281BB723" w14:textId="77777777" w:rsidR="002C5A52" w:rsidRPr="00652167" w:rsidRDefault="002C5A52" w:rsidP="00DF6150">
      <w:pPr>
        <w:pStyle w:val="OMBbodytext"/>
        <w:ind w:left="0"/>
      </w:pPr>
      <w:r w:rsidRPr="00652167">
        <w:t xml:space="preserve">The study design to assess whether such changes have occurred is depicted in </w:t>
      </w:r>
      <w:r w:rsidRPr="00652167">
        <w:rPr>
          <w:b/>
          <w:i/>
        </w:rPr>
        <w:t xml:space="preserve">Exhibit </w:t>
      </w:r>
      <w:r w:rsidR="00B657F4" w:rsidRPr="00652167">
        <w:rPr>
          <w:b/>
          <w:i/>
        </w:rPr>
        <w:t>6</w:t>
      </w:r>
      <w:r w:rsidRPr="00652167">
        <w:t>.</w:t>
      </w:r>
    </w:p>
    <w:p w14:paraId="4A4D8C5C" w14:textId="77777777" w:rsidR="00504258" w:rsidRPr="00652167" w:rsidRDefault="00504258">
      <w:pPr>
        <w:widowControl/>
        <w:autoSpaceDE/>
        <w:autoSpaceDN/>
        <w:adjustRightInd/>
        <w:spacing w:after="160" w:line="259" w:lineRule="auto"/>
        <w:rPr>
          <w:rFonts w:ascii="Arial" w:hAnsi="Arial"/>
          <w:b/>
          <w:snapToGrid w:val="0"/>
          <w:sz w:val="20"/>
          <w:szCs w:val="20"/>
        </w:rPr>
      </w:pPr>
      <w:r w:rsidRPr="00652167">
        <w:br w:type="page"/>
      </w:r>
    </w:p>
    <w:p w14:paraId="1C0E8CAD" w14:textId="77777777" w:rsidR="004A6A0C" w:rsidRPr="00652167" w:rsidRDefault="004A6A0C" w:rsidP="004A6A0C">
      <w:pPr>
        <w:pStyle w:val="OMBExhibitTitle"/>
      </w:pPr>
      <w:bookmarkStart w:id="21" w:name="_Toc11750114"/>
      <w:r w:rsidRPr="00652167">
        <w:t xml:space="preserve">Exhibit </w:t>
      </w:r>
      <w:r w:rsidR="00B657F4" w:rsidRPr="00652167">
        <w:t>6</w:t>
      </w:r>
      <w:r w:rsidRPr="00652167">
        <w:t>.</w:t>
      </w:r>
      <w:r w:rsidRPr="00652167">
        <w:tab/>
      </w:r>
      <w:r w:rsidR="00504258" w:rsidRPr="00652167">
        <w:t>Quasi-Experimental Study Design: Within-School Comparison Group</w:t>
      </w:r>
      <w:bookmarkEnd w:id="21"/>
      <w:r w:rsidR="00504258" w:rsidRPr="00652167">
        <w:t xml:space="preserve"> </w:t>
      </w:r>
    </w:p>
    <w:p w14:paraId="753787DC" w14:textId="77777777" w:rsidR="004A6A0C" w:rsidRPr="00652167" w:rsidRDefault="004A6A0C" w:rsidP="004176D9">
      <w:pPr>
        <w:pStyle w:val="OMBbodytext"/>
        <w:ind w:left="0"/>
      </w:pPr>
    </w:p>
    <w:p w14:paraId="6E63F9E8" w14:textId="77777777" w:rsidR="002C5A52" w:rsidRPr="00652167" w:rsidRDefault="004A6A0C" w:rsidP="004521C5">
      <w:pPr>
        <w:pStyle w:val="OMBbodytext"/>
      </w:pPr>
      <w:r w:rsidRPr="00652167">
        <w:rPr>
          <w:noProof/>
        </w:rPr>
        <w:drawing>
          <wp:inline distT="0" distB="0" distL="0" distR="0" wp14:anchorId="667F12D7" wp14:editId="053C204B">
            <wp:extent cx="4257675" cy="3126105"/>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r="24770"/>
                    <a:stretch/>
                  </pic:blipFill>
                  <pic:spPr bwMode="auto">
                    <a:xfrm>
                      <a:off x="0" y="0"/>
                      <a:ext cx="4264366" cy="3131018"/>
                    </a:xfrm>
                    <a:prstGeom prst="rect">
                      <a:avLst/>
                    </a:prstGeom>
                    <a:noFill/>
                    <a:ln>
                      <a:noFill/>
                    </a:ln>
                    <a:extLst>
                      <a:ext uri="{53640926-AAD7-44D8-BBD7-CCE9431645EC}">
                        <a14:shadowObscured xmlns:a14="http://schemas.microsoft.com/office/drawing/2010/main"/>
                      </a:ext>
                    </a:extLst>
                  </pic:spPr>
                </pic:pic>
              </a:graphicData>
            </a:graphic>
          </wp:inline>
        </w:drawing>
      </w:r>
    </w:p>
    <w:p w14:paraId="0C772435" w14:textId="77777777" w:rsidR="00BE2F98" w:rsidRPr="00652167" w:rsidRDefault="0004027C" w:rsidP="00CC659B">
      <w:pPr>
        <w:pStyle w:val="OMBbodytext"/>
      </w:pPr>
      <w:r w:rsidRPr="00652167">
        <w:t xml:space="preserve">This study design is known as a quasi-experimental design with a within-school comparison group. </w:t>
      </w:r>
      <w:r w:rsidR="00767D83" w:rsidRPr="00652167">
        <w:t xml:space="preserve">Classes of students at each school will be assigned to either the intervention or comparison </w:t>
      </w:r>
      <w:r w:rsidR="003A4B18" w:rsidRPr="00652167">
        <w:t xml:space="preserve">(i.e., non-intervention) </w:t>
      </w:r>
      <w:r w:rsidR="00767D83" w:rsidRPr="00652167">
        <w:t>group. The intervention group classes will receive the curriculum in Fall 2019</w:t>
      </w:r>
      <w:r w:rsidR="003A4B18" w:rsidRPr="00652167">
        <w:t>, and the comparison group classes will not</w:t>
      </w:r>
      <w:r w:rsidR="00767D83" w:rsidRPr="00652167">
        <w:t xml:space="preserve">. The project team will collect data on proximal outcomes and background characteristics from youth </w:t>
      </w:r>
      <w:r w:rsidR="00D61FB6" w:rsidRPr="00652167">
        <w:t xml:space="preserve">in </w:t>
      </w:r>
      <w:r w:rsidR="00D61FB6" w:rsidRPr="00652167">
        <w:rPr>
          <w:i/>
        </w:rPr>
        <w:t>both</w:t>
      </w:r>
      <w:r w:rsidR="00D61FB6" w:rsidRPr="00652167">
        <w:t xml:space="preserve"> groups (intervention and comparison group) </w:t>
      </w:r>
      <w:r w:rsidR="00767D83" w:rsidRPr="00652167">
        <w:t xml:space="preserve">at two time points: (a) Baseline: immediately before the intervention group receives the curriculum, and (b) Follow-up: immediately after the intervention group receives the curriculum. </w:t>
      </w:r>
    </w:p>
    <w:p w14:paraId="51B4C085" w14:textId="77777777" w:rsidR="00BE2F98" w:rsidRPr="00652167" w:rsidRDefault="00BE2F98" w:rsidP="00CC659B">
      <w:pPr>
        <w:pStyle w:val="OMBbodytext"/>
      </w:pPr>
      <w:r w:rsidRPr="00652167">
        <w:t xml:space="preserve">The curriculum will be provided to the comparison group </w:t>
      </w:r>
      <w:r w:rsidRPr="00652167">
        <w:rPr>
          <w:i/>
        </w:rPr>
        <w:t>after</w:t>
      </w:r>
      <w:r w:rsidRPr="00652167">
        <w:t xml:space="preserve"> follow-up data collection</w:t>
      </w:r>
      <w:r w:rsidR="00392DEC" w:rsidRPr="00652167">
        <w:t xml:space="preserve"> is complete</w:t>
      </w:r>
      <w:r w:rsidRPr="00652167">
        <w:t>, but this curriculum delivery is not part of the study design.</w:t>
      </w:r>
    </w:p>
    <w:p w14:paraId="1E4AA228" w14:textId="77777777" w:rsidR="000A0F21" w:rsidRPr="00652167" w:rsidRDefault="000A0F21" w:rsidP="004521C5">
      <w:pPr>
        <w:pStyle w:val="OMBbodytext"/>
      </w:pPr>
      <w:r w:rsidRPr="00652167">
        <w:t>The primary research question being tested in this design is as follows:</w:t>
      </w:r>
    </w:p>
    <w:p w14:paraId="303BAB54" w14:textId="77777777" w:rsidR="000A0F21" w:rsidRPr="00652167" w:rsidRDefault="000A0F21" w:rsidP="004521C5">
      <w:pPr>
        <w:pStyle w:val="OMBbodytext"/>
        <w:rPr>
          <w:b/>
          <w:i/>
        </w:rPr>
      </w:pPr>
      <w:r w:rsidRPr="00652167">
        <w:rPr>
          <w:b/>
          <w:i/>
        </w:rPr>
        <w:t>What are the effects of SRA curricula on participants’ SRA-related proximal outcomes (e.g., knowledge, attitudes, intentions, skills, and perceptions or experiences of peer and parental influences)?</w:t>
      </w:r>
    </w:p>
    <w:p w14:paraId="7C288456" w14:textId="77777777" w:rsidR="00B41135" w:rsidRPr="00652167" w:rsidRDefault="00B41135" w:rsidP="004521C5">
      <w:pPr>
        <w:pStyle w:val="OMBbodytext"/>
      </w:pPr>
      <w:r w:rsidRPr="00652167">
        <w:t xml:space="preserve">As noted above, our study design examines the effects of SRA curricula on SRA participants’ proximal outcomes relative to a comparison group that did not receive the SRA curricula during the field period of data collection. </w:t>
      </w:r>
    </w:p>
    <w:p w14:paraId="3969DABE" w14:textId="77777777" w:rsidR="000A0F21" w:rsidRPr="00652167" w:rsidRDefault="000A0F21" w:rsidP="004521C5">
      <w:pPr>
        <w:pStyle w:val="OMBbodytext"/>
      </w:pPr>
      <w:r w:rsidRPr="00652167">
        <w:t xml:space="preserve">The analytic approach to answer this question </w:t>
      </w:r>
      <w:r w:rsidR="000E67FF" w:rsidRPr="00652167">
        <w:t xml:space="preserve">will involve a multilevel </w:t>
      </w:r>
      <w:r w:rsidR="003F1CA4" w:rsidRPr="00652167">
        <w:t>analysis to account for clustering (nesting) of students within classrooms as the level of assignment to intervention vs. comparison groups.</w:t>
      </w:r>
      <w:r w:rsidR="000E67FF" w:rsidRPr="00652167">
        <w:t xml:space="preserve"> The </w:t>
      </w:r>
      <w:r w:rsidR="00013C89" w:rsidRPr="00652167">
        <w:t>analysis</w:t>
      </w:r>
      <w:r w:rsidR="000E67FF" w:rsidRPr="00652167">
        <w:t xml:space="preserve"> will compare the change in youth outcomes in the </w:t>
      </w:r>
      <w:r w:rsidR="000E67FF" w:rsidRPr="00652167">
        <w:rPr>
          <w:i/>
        </w:rPr>
        <w:t>intervention group</w:t>
      </w:r>
      <w:r w:rsidR="000E67FF" w:rsidRPr="00652167">
        <w:t xml:space="preserve"> over time to the change in youth outcomes in the </w:t>
      </w:r>
      <w:r w:rsidR="000E67FF" w:rsidRPr="00652167">
        <w:rPr>
          <w:i/>
        </w:rPr>
        <w:t>comparison group</w:t>
      </w:r>
      <w:r w:rsidR="000E67FF" w:rsidRPr="00652167">
        <w:t xml:space="preserve"> over time. If the change in the intervention group is larger than the change in the comparison group, controlling for key covariates (e.g., baseline sexual experience, demographics), then the study can be said to support the hypothesis that SRA curricula have some effect on the </w:t>
      </w:r>
      <w:r w:rsidR="00DD435A" w:rsidRPr="00652167">
        <w:t xml:space="preserve">proximal </w:t>
      </w:r>
      <w:r w:rsidR="000E67FF" w:rsidRPr="00652167">
        <w:t xml:space="preserve">youth outcomes measured in this study. </w:t>
      </w:r>
    </w:p>
    <w:p w14:paraId="2CF97C79" w14:textId="77777777" w:rsidR="00880345" w:rsidRPr="00652167" w:rsidRDefault="006F47E1" w:rsidP="00AE78C1">
      <w:pPr>
        <w:pStyle w:val="OMBbodytext"/>
      </w:pPr>
      <w:r w:rsidRPr="00652167">
        <w:t>In addition to this research question, t</w:t>
      </w:r>
      <w:r w:rsidR="00880345" w:rsidRPr="00652167">
        <w:t xml:space="preserve">he process evaluation will seek evidence of potential explanations for </w:t>
      </w:r>
      <w:r w:rsidR="00AE520F" w:rsidRPr="00652167">
        <w:t>youth proximal outcome</w:t>
      </w:r>
      <w:r w:rsidR="00880345" w:rsidRPr="00652167">
        <w:t xml:space="preserve"> findings and generate descriptive data and qualitative insights on </w:t>
      </w:r>
      <w:r w:rsidR="00155661" w:rsidRPr="00652167">
        <w:t>promising</w:t>
      </w:r>
      <w:r w:rsidR="00880345" w:rsidRPr="00652167">
        <w:t xml:space="preserve"> practices for IOs in delivering SRA programs. Process evaluation data will be collected on adherence (what is being taught), quality (how the content is taught), and implementation (logistics responsible for a conducive learning environment, such as context, dosage, and participant responsiveness).</w:t>
      </w:r>
      <w:r w:rsidR="00880345" w:rsidRPr="00652167">
        <w:rPr>
          <w:rStyle w:val="FootnoteReference"/>
          <w:vertAlign w:val="superscript"/>
        </w:rPr>
        <w:footnoteReference w:id="6"/>
      </w:r>
      <w:r w:rsidR="00FF7CDB" w:rsidRPr="00652167">
        <w:t xml:space="preserve"> Descriptive and qualitative data will also be collected on IOs and their implementation to inform collection and dissemination of good practices for SRA program providers</w:t>
      </w:r>
      <w:r w:rsidR="00E90F51" w:rsidRPr="00652167">
        <w:t xml:space="preserve"> and the broader field of adolescent pregnancy prevention</w:t>
      </w:r>
      <w:r w:rsidR="00FF7CDB" w:rsidRPr="00652167">
        <w:t>.</w:t>
      </w:r>
      <w:r w:rsidR="00BC5704" w:rsidRPr="00652167">
        <w:t xml:space="preserve"> Process evaluation data will be collected from youth participants in the program, facilitators who deliver the curriculum, and observers who monitor the fidelity/quality of program delivery.</w:t>
      </w:r>
    </w:p>
    <w:p w14:paraId="0FE9B3A4" w14:textId="77777777" w:rsidR="00B45DFB" w:rsidRPr="00652167" w:rsidRDefault="00B45DFB" w:rsidP="00CB7B0C">
      <w:pPr>
        <w:pStyle w:val="OMBbodytext"/>
      </w:pPr>
      <w:r w:rsidRPr="00652167">
        <w:t xml:space="preserve">The IOs participating in the evaluation may use the results of the evaluation to improve their SRA curriculum and program implementation. </w:t>
      </w:r>
      <w:bookmarkStart w:id="22" w:name="_Hlk516239079"/>
      <w:r w:rsidRPr="00652167">
        <w:t xml:space="preserve">The results of the evaluation will also inform </w:t>
      </w:r>
      <w:bookmarkEnd w:id="22"/>
      <w:r w:rsidR="0097665B" w:rsidRPr="00652167">
        <w:t xml:space="preserve">HHS </w:t>
      </w:r>
      <w:r w:rsidR="00265059" w:rsidRPr="00652167">
        <w:t>on the extent to which two curricula affect youth proximal outcomes that are aligned with the SMARTool</w:t>
      </w:r>
      <w:r w:rsidR="00EA4D3C" w:rsidRPr="00652167">
        <w:t xml:space="preserve"> Targets</w:t>
      </w:r>
      <w:r w:rsidRPr="00652167">
        <w:t xml:space="preserve">. </w:t>
      </w:r>
    </w:p>
    <w:p w14:paraId="139D6549" w14:textId="77777777" w:rsidR="00B45DFB" w:rsidRPr="00652167" w:rsidRDefault="00B45DFB" w:rsidP="00B45DFB">
      <w:pPr>
        <w:pStyle w:val="OMBbodytext"/>
      </w:pPr>
      <w:r w:rsidRPr="00652167">
        <w:t xml:space="preserve">The data collection instruments may be shared with program providers or researchers </w:t>
      </w:r>
      <w:r w:rsidR="00CE348A" w:rsidRPr="00652167">
        <w:t>who</w:t>
      </w:r>
      <w:r w:rsidRPr="00652167">
        <w:t xml:space="preserve"> want to evaluate the impact of SRA curricula on the SMARTool targets. </w:t>
      </w:r>
      <w:r w:rsidR="000A4DAD" w:rsidRPr="00652167">
        <w:t xml:space="preserve">If resources permit, the project team will also conduct psychometric analysis </w:t>
      </w:r>
      <w:r w:rsidR="006B53A8" w:rsidRPr="00652167">
        <w:t xml:space="preserve">(e.g., Cronbach’s alpha, factor analysis) </w:t>
      </w:r>
      <w:r w:rsidR="00014136" w:rsidRPr="00652167">
        <w:t>and</w:t>
      </w:r>
      <w:r w:rsidR="000A4DAD" w:rsidRPr="00652167">
        <w:t xml:space="preserve"> report basic psychometrics on the </w:t>
      </w:r>
      <w:r w:rsidR="00447A09" w:rsidRPr="00652167">
        <w:t xml:space="preserve">youth </w:t>
      </w:r>
      <w:r w:rsidR="000A4DAD" w:rsidRPr="00652167">
        <w:t xml:space="preserve">data collection instruments to inform </w:t>
      </w:r>
      <w:r w:rsidR="006F22D4" w:rsidRPr="00652167">
        <w:t>HHS</w:t>
      </w:r>
      <w:r w:rsidR="000A4DAD" w:rsidRPr="00652167">
        <w:t>.</w:t>
      </w:r>
    </w:p>
    <w:p w14:paraId="184358AB" w14:textId="77777777" w:rsidR="0086480B" w:rsidRPr="00652167" w:rsidRDefault="0086480B" w:rsidP="0086480B">
      <w:pPr>
        <w:pStyle w:val="OMBbodytext"/>
        <w:rPr>
          <w:b/>
        </w:rPr>
      </w:pPr>
      <w:r w:rsidRPr="00652167">
        <w:rPr>
          <w:b/>
        </w:rPr>
        <w:t xml:space="preserve">Limitations of the study design. </w:t>
      </w:r>
    </w:p>
    <w:p w14:paraId="6AAD65F8" w14:textId="77777777" w:rsidR="0086480B" w:rsidRPr="00652167" w:rsidRDefault="0086480B" w:rsidP="0086480B">
      <w:pPr>
        <w:pStyle w:val="OMBbodytext"/>
      </w:pPr>
      <w:r w:rsidRPr="00652167">
        <w:t>The limitations of a within-school comparison group design measuring short-term effects on proximal outcomes are described here and will be described in the final report for the evaluation.</w:t>
      </w:r>
    </w:p>
    <w:p w14:paraId="192DD0BC" w14:textId="77777777" w:rsidR="0086480B" w:rsidRPr="00652167" w:rsidRDefault="0086480B" w:rsidP="008C62FD">
      <w:pPr>
        <w:pStyle w:val="OMBbodytext"/>
      </w:pPr>
      <w:r w:rsidRPr="00652167">
        <w:t xml:space="preserve">One limitation of a within-school comparison group design is the potential for unmeasured spillover or contamination effects, or the possibility that students in the intervention </w:t>
      </w:r>
      <w:r w:rsidR="00C30C3C" w:rsidRPr="00652167">
        <w:t xml:space="preserve">group </w:t>
      </w:r>
      <w:r w:rsidRPr="00652167">
        <w:t xml:space="preserve">classes will communicate with students in the comparison </w:t>
      </w:r>
      <w:r w:rsidR="00C30C3C" w:rsidRPr="00652167">
        <w:t xml:space="preserve">group </w:t>
      </w:r>
      <w:r w:rsidRPr="00652167">
        <w:t>classes in a manner that influences comparison students’ attitudes, beliefs, or intentions before follow-up data are collected.. Spillover and contamination effects result in potentially underestimating the impact of the SRA curricula.</w:t>
      </w:r>
      <w:r w:rsidRPr="00652167">
        <w:rPr>
          <w:rStyle w:val="FootnoteReference"/>
          <w:vertAlign w:val="superscript"/>
        </w:rPr>
        <w:footnoteReference w:id="7"/>
      </w:r>
    </w:p>
    <w:p w14:paraId="52A884F6" w14:textId="77777777" w:rsidR="0086480B" w:rsidRPr="00652167" w:rsidRDefault="0086480B" w:rsidP="0086480B">
      <w:pPr>
        <w:pStyle w:val="OMBbodytext"/>
      </w:pPr>
      <w:r w:rsidRPr="00652167">
        <w:t>The study team explored the possibility of mitigating the potential for spillover or contamination effects by employing a study design that used a between-school comparison group (rather than a within-school comparison group).  However, the power calculations for a design with a between-school comparison group revealed a prohibitively large number of schools (at least 22 intervention and 22 comparison schools) would be required to adequately power this design, given the project constraints (e.g., funding, time).</w:t>
      </w:r>
      <w:r w:rsidRPr="00652167">
        <w:rPr>
          <w:rStyle w:val="FootnoteReference"/>
          <w:vertAlign w:val="superscript"/>
        </w:rPr>
        <w:footnoteReference w:id="8"/>
      </w:r>
      <w:r w:rsidRPr="00652167">
        <w:t xml:space="preserve"> Further, designs with a between-school comparison group typically have their own limitations— “business as usual” in which schools in the comparison group are implementing their own pregnancy prevention curricula.</w:t>
      </w:r>
      <w:r w:rsidRPr="00652167">
        <w:rPr>
          <w:rStyle w:val="FootnoteReference"/>
          <w:vertAlign w:val="superscript"/>
        </w:rPr>
        <w:footnoteReference w:id="9"/>
      </w:r>
      <w:r w:rsidR="00D55767" w:rsidRPr="00652167">
        <w:t xml:space="preserve"> Nonetheless, the limitations of the within-school comparison group design will be discussed in the final report</w:t>
      </w:r>
      <w:r w:rsidR="005E097D" w:rsidRPr="00652167">
        <w:t xml:space="preserve"> for the evaluation</w:t>
      </w:r>
      <w:r w:rsidR="00D55767" w:rsidRPr="00652167">
        <w:t>.</w:t>
      </w:r>
    </w:p>
    <w:p w14:paraId="5330F08E" w14:textId="77777777" w:rsidR="007A15F0" w:rsidRPr="00652167" w:rsidRDefault="007A15F0" w:rsidP="007A15F0">
      <w:pPr>
        <w:pStyle w:val="OMBHeading-2"/>
        <w:outlineLvl w:val="1"/>
        <w:rPr>
          <w:u w:val="single"/>
        </w:rPr>
      </w:pPr>
      <w:bookmarkStart w:id="23" w:name="_Toc521515001"/>
      <w:bookmarkStart w:id="24" w:name="_Toc523154569"/>
      <w:bookmarkStart w:id="25" w:name="_Toc11750126"/>
      <w:r w:rsidRPr="00652167">
        <w:rPr>
          <w:u w:val="single"/>
        </w:rPr>
        <w:t>Use of Improved Information Technology and Burden Reduction</w:t>
      </w:r>
      <w:bookmarkEnd w:id="23"/>
      <w:bookmarkEnd w:id="24"/>
      <w:bookmarkEnd w:id="25"/>
    </w:p>
    <w:p w14:paraId="17895CE4" w14:textId="77777777" w:rsidR="000B1186" w:rsidRPr="00652167" w:rsidRDefault="000B4401" w:rsidP="004521C5">
      <w:pPr>
        <w:pStyle w:val="OMBbodytext"/>
      </w:pPr>
      <w:r w:rsidRPr="00652167">
        <w:t>Where feasible, available technology will be used to reduce burden and improve efficiency and accuracy. For example, student-level school records</w:t>
      </w:r>
      <w:r w:rsidR="007C3236" w:rsidRPr="00652167">
        <w:t xml:space="preserve"> (such as gender, race/ethnicity, free and reduced price meal eligibility, English language learner status)</w:t>
      </w:r>
      <w:r w:rsidRPr="00652167">
        <w:t xml:space="preserve"> will be </w:t>
      </w:r>
      <w:r w:rsidR="00CB7118" w:rsidRPr="00652167">
        <w:t>provided to the study team</w:t>
      </w:r>
      <w:r w:rsidRPr="00652167">
        <w:t xml:space="preserve"> in electronic format via a</w:t>
      </w:r>
      <w:r w:rsidR="00A86961" w:rsidRPr="00652167">
        <w:t xml:space="preserve"> secure</w:t>
      </w:r>
      <w:r w:rsidR="00D64344" w:rsidRPr="00652167">
        <w:rPr>
          <w:sz w:val="20"/>
        </w:rPr>
        <w:t xml:space="preserve"> </w:t>
      </w:r>
      <w:r w:rsidR="00D35A11" w:rsidRPr="00652167">
        <w:t xml:space="preserve">file transfer protocol </w:t>
      </w:r>
      <w:r w:rsidR="00FD1B68" w:rsidRPr="00652167">
        <w:t>(</w:t>
      </w:r>
      <w:r w:rsidR="008800EF" w:rsidRPr="00652167">
        <w:t>S</w:t>
      </w:r>
      <w:r w:rsidRPr="00652167">
        <w:t>FTP</w:t>
      </w:r>
      <w:r w:rsidR="00FD1B68" w:rsidRPr="00652167">
        <w:t>)</w:t>
      </w:r>
      <w:r w:rsidRPr="00652167">
        <w:t xml:space="preserve"> </w:t>
      </w:r>
      <w:r w:rsidR="0096663A" w:rsidRPr="00652167">
        <w:t>environment</w:t>
      </w:r>
      <w:r w:rsidR="008C7FAD" w:rsidRPr="00652167">
        <w:t xml:space="preserve"> that is approved </w:t>
      </w:r>
      <w:r w:rsidR="00BD23BD" w:rsidRPr="00652167">
        <w:t xml:space="preserve">by the MITRE Privacy Office </w:t>
      </w:r>
      <w:r w:rsidR="008C7FAD" w:rsidRPr="00652167">
        <w:t>for PII</w:t>
      </w:r>
      <w:r w:rsidR="00AA6330" w:rsidRPr="00652167">
        <w:t xml:space="preserve"> storage and transfer</w:t>
      </w:r>
      <w:r w:rsidR="00F36A3D" w:rsidRPr="00652167">
        <w:t xml:space="preserve"> and that is only accessible to the project team</w:t>
      </w:r>
      <w:r w:rsidRPr="00652167">
        <w:t xml:space="preserve">. </w:t>
      </w:r>
      <w:r w:rsidR="00C431C2" w:rsidRPr="00652167">
        <w:t>D</w:t>
      </w:r>
      <w:r w:rsidRPr="00652167">
        <w:t xml:space="preserve">ata submitted in hard copy or via fax or </w:t>
      </w:r>
      <w:r w:rsidR="00437930" w:rsidRPr="00652167">
        <w:t>PDF</w:t>
      </w:r>
      <w:r w:rsidR="00A81D71" w:rsidRPr="00652167">
        <w:t xml:space="preserve"> file will</w:t>
      </w:r>
      <w:r w:rsidRPr="00652167">
        <w:t xml:space="preserve"> be manually keyed</w:t>
      </w:r>
      <w:r w:rsidR="00A81D71" w:rsidRPr="00652167">
        <w:t xml:space="preserve"> for storage in t</w:t>
      </w:r>
      <w:r w:rsidR="0096663A" w:rsidRPr="00652167">
        <w:t>his secure environment</w:t>
      </w:r>
      <w:r w:rsidRPr="00652167">
        <w:t xml:space="preserve">. </w:t>
      </w:r>
    </w:p>
    <w:p w14:paraId="0BBD607C" w14:textId="77777777" w:rsidR="00B05618" w:rsidRPr="00652167" w:rsidRDefault="00B05618" w:rsidP="00B05618">
      <w:pPr>
        <w:pStyle w:val="OMBbodytext"/>
        <w:rPr>
          <w:b/>
        </w:rPr>
      </w:pPr>
      <w:r w:rsidRPr="00652167">
        <w:t xml:space="preserve">Because of variable access to computers and the Internet in school settings, all surveys will be administered with paper-and-pencil questionnaires. </w:t>
      </w:r>
    </w:p>
    <w:p w14:paraId="7B2B3DB9" w14:textId="77777777" w:rsidR="007A15F0" w:rsidRPr="00652167" w:rsidRDefault="007A15F0" w:rsidP="007A15F0">
      <w:pPr>
        <w:pStyle w:val="OMBHeading-2"/>
        <w:outlineLvl w:val="1"/>
        <w:rPr>
          <w:u w:val="single"/>
        </w:rPr>
      </w:pPr>
      <w:bookmarkStart w:id="26" w:name="_Toc521515002"/>
      <w:bookmarkStart w:id="27" w:name="_Toc523154570"/>
      <w:bookmarkStart w:id="28" w:name="_Toc11750127"/>
      <w:bookmarkStart w:id="29" w:name="_Hlk515026382"/>
      <w:r w:rsidRPr="00652167">
        <w:rPr>
          <w:u w:val="single"/>
        </w:rPr>
        <w:t>Efforts to Identify Duplication and Use of Similar Information</w:t>
      </w:r>
      <w:bookmarkEnd w:id="26"/>
      <w:bookmarkEnd w:id="27"/>
      <w:bookmarkEnd w:id="28"/>
    </w:p>
    <w:bookmarkEnd w:id="29"/>
    <w:p w14:paraId="44EBE9C1" w14:textId="77777777" w:rsidR="00856EFB" w:rsidRPr="00652167" w:rsidRDefault="00564EDA" w:rsidP="004521C5">
      <w:pPr>
        <w:pStyle w:val="OMBbodytext"/>
      </w:pPr>
      <w:r w:rsidRPr="00652167">
        <w:t xml:space="preserve">The evaluation </w:t>
      </w:r>
      <w:r w:rsidR="00E85C6E" w:rsidRPr="00652167">
        <w:t>does</w:t>
      </w:r>
      <w:r w:rsidRPr="00652167">
        <w:t xml:space="preserve"> not duplicat</w:t>
      </w:r>
      <w:r w:rsidR="00E85C6E" w:rsidRPr="00652167">
        <w:t>e</w:t>
      </w:r>
      <w:r w:rsidRPr="00652167">
        <w:t xml:space="preserve"> other studies. </w:t>
      </w:r>
      <w:r w:rsidR="0011646A" w:rsidRPr="00652167">
        <w:t>S</w:t>
      </w:r>
      <w:r w:rsidRPr="00652167">
        <w:t>everal studies have evaluated SRA curricula,</w:t>
      </w:r>
      <w:r w:rsidR="0011646A" w:rsidRPr="00652167">
        <w:t xml:space="preserve"> including evaluation of curricula such as “Big Decisions” (Realini et al., 2010), “Choosing the Best” (Lieberman &amp; Su, 2012), “Yes You Can!” (Donnelly et al., 2016), and others (Borawski et al., 2005; Jemmott</w:t>
      </w:r>
      <w:r w:rsidR="00695FAB" w:rsidRPr="00652167">
        <w:t xml:space="preserve"> et al.</w:t>
      </w:r>
      <w:r w:rsidR="0011646A" w:rsidRPr="00652167">
        <w:t xml:space="preserve">, 2010; Kirby, 2008; </w:t>
      </w:r>
      <w:bookmarkStart w:id="30" w:name="_Hlk521508650"/>
      <w:r w:rsidR="0011646A" w:rsidRPr="00652167">
        <w:t xml:space="preserve">Markham et al., 2012; </w:t>
      </w:r>
      <w:bookmarkEnd w:id="30"/>
      <w:r w:rsidR="0011646A" w:rsidRPr="00652167">
        <w:t xml:space="preserve">Piotrowski &amp; Hedeker, 2016; </w:t>
      </w:r>
      <w:bookmarkStart w:id="31" w:name="_Hlk521508695"/>
      <w:r w:rsidR="0011646A" w:rsidRPr="00652167">
        <w:t>Weed et al., 2008</w:t>
      </w:r>
      <w:bookmarkEnd w:id="31"/>
      <w:r w:rsidR="0011646A" w:rsidRPr="00652167">
        <w:t xml:space="preserve">). However, </w:t>
      </w:r>
      <w:r w:rsidRPr="00652167">
        <w:t xml:space="preserve">no </w:t>
      </w:r>
      <w:r w:rsidR="00C0186C" w:rsidRPr="00652167">
        <w:t xml:space="preserve">studies </w:t>
      </w:r>
      <w:r w:rsidRPr="00652167">
        <w:t>have specifically evaluate</w:t>
      </w:r>
      <w:r w:rsidR="00E85C6E" w:rsidRPr="00652167">
        <w:t>d the</w:t>
      </w:r>
      <w:r w:rsidRPr="00652167">
        <w:t xml:space="preserve"> </w:t>
      </w:r>
      <w:r w:rsidR="00337C92" w:rsidRPr="00652167">
        <w:t>impact</w:t>
      </w:r>
      <w:r w:rsidR="00E85C6E" w:rsidRPr="00652167">
        <w:t xml:space="preserve"> of the </w:t>
      </w:r>
      <w:r w:rsidRPr="00652167">
        <w:t xml:space="preserve">SRA curricula </w:t>
      </w:r>
      <w:r w:rsidR="00337C92" w:rsidRPr="00652167">
        <w:t>on</w:t>
      </w:r>
      <w:r w:rsidR="00015C6E" w:rsidRPr="00652167">
        <w:t xml:space="preserve"> youth outcomes that are aligned with the </w:t>
      </w:r>
      <w:r w:rsidRPr="00652167">
        <w:t xml:space="preserve">SMARTool targets. </w:t>
      </w:r>
    </w:p>
    <w:p w14:paraId="29735B38" w14:textId="77777777" w:rsidR="007A15F0" w:rsidRPr="00652167" w:rsidRDefault="007A15F0" w:rsidP="00372FD8">
      <w:pPr>
        <w:pStyle w:val="OMBHeading-2"/>
        <w:rPr>
          <w:u w:val="single"/>
        </w:rPr>
      </w:pPr>
      <w:bookmarkStart w:id="32" w:name="_Toc523154571"/>
      <w:bookmarkStart w:id="33" w:name="_Toc11750128"/>
      <w:r w:rsidRPr="00652167">
        <w:rPr>
          <w:u w:val="single"/>
        </w:rPr>
        <w:t>Impact on Small Businesses or Other Small Entities</w:t>
      </w:r>
      <w:bookmarkEnd w:id="32"/>
      <w:bookmarkEnd w:id="33"/>
    </w:p>
    <w:p w14:paraId="497F3F78" w14:textId="77777777" w:rsidR="007A15F0" w:rsidRPr="00652167" w:rsidRDefault="00D12F58" w:rsidP="00926633">
      <w:pPr>
        <w:pStyle w:val="OMBbodytext"/>
      </w:pPr>
      <w:r w:rsidRPr="00652167">
        <w:t>Schools included in this study may be part of s</w:t>
      </w:r>
      <w:r w:rsidR="00047434" w:rsidRPr="00652167">
        <w:t xml:space="preserve">mall </w:t>
      </w:r>
      <w:r w:rsidR="008D6949" w:rsidRPr="00652167">
        <w:t>school districts. B</w:t>
      </w:r>
      <w:r w:rsidR="00047434" w:rsidRPr="00652167">
        <w:t xml:space="preserve">urden will be minimized wherever possible. </w:t>
      </w:r>
      <w:r w:rsidR="002C185D" w:rsidRPr="00652167">
        <w:t>C</w:t>
      </w:r>
      <w:r w:rsidR="00047434" w:rsidRPr="00652167">
        <w:t xml:space="preserve">ontractor staff will conduct all </w:t>
      </w:r>
      <w:r w:rsidR="002C185D" w:rsidRPr="00652167">
        <w:t xml:space="preserve">data collection activities </w:t>
      </w:r>
      <w:r w:rsidR="00047434" w:rsidRPr="00652167">
        <w:t>and will assist with parental consent and other study tasks as much as possible within each school</w:t>
      </w:r>
      <w:r w:rsidR="002C185D" w:rsidRPr="00652167">
        <w:t xml:space="preserve">. </w:t>
      </w:r>
      <w:r w:rsidR="00DF6B68" w:rsidRPr="00652167">
        <w:t xml:space="preserve">Schools </w:t>
      </w:r>
      <w:r w:rsidR="002C185D" w:rsidRPr="00652167">
        <w:t>will be able to provide student data (</w:t>
      </w:r>
      <w:r w:rsidR="00A86961" w:rsidRPr="00652167">
        <w:t>e.g.,</w:t>
      </w:r>
      <w:r w:rsidR="002C185D" w:rsidRPr="00652167">
        <w:t xml:space="preserve"> </w:t>
      </w:r>
      <w:bookmarkStart w:id="34" w:name="_Hlk523402823"/>
      <w:r w:rsidR="00C142DC" w:rsidRPr="00652167">
        <w:t>attendance data</w:t>
      </w:r>
      <w:bookmarkEnd w:id="34"/>
      <w:r w:rsidR="00C142DC" w:rsidRPr="00652167">
        <w:t xml:space="preserve">) in </w:t>
      </w:r>
      <w:r w:rsidR="003516BC" w:rsidRPr="00652167">
        <w:t>the format that is most efficient for them.</w:t>
      </w:r>
    </w:p>
    <w:p w14:paraId="31B2CD6A" w14:textId="77777777" w:rsidR="003607A7" w:rsidRPr="00652167" w:rsidRDefault="003607A7" w:rsidP="00926633">
      <w:pPr>
        <w:pStyle w:val="OMBbodytext"/>
      </w:pPr>
      <w:r w:rsidRPr="00652167">
        <w:t>For the purposes of this information collection request, we make the conservative assumption that 100 percent of the school</w:t>
      </w:r>
      <w:r w:rsidR="00180E81" w:rsidRPr="00652167">
        <w:t>s providing student rosters and administrative data are part of</w:t>
      </w:r>
      <w:r w:rsidRPr="00652167">
        <w:t xml:space="preserve"> districts </w:t>
      </w:r>
      <w:r w:rsidR="00180E81" w:rsidRPr="00652167">
        <w:t xml:space="preserve">that </w:t>
      </w:r>
      <w:r w:rsidRPr="00652167">
        <w:t xml:space="preserve">will meet OMB’s definition of small entities: </w:t>
      </w:r>
      <w:r w:rsidRPr="00652167">
        <w:rPr>
          <w:rFonts w:eastAsiaTheme="minorHAnsi"/>
        </w:rPr>
        <w:t>a small government jurisdiction which is a government of a city, county, town, township, school district, or special district with a population of less than 50,000.</w:t>
      </w:r>
    </w:p>
    <w:p w14:paraId="337F27C9" w14:textId="77777777" w:rsidR="007A15F0" w:rsidRPr="00652167" w:rsidRDefault="007A15F0" w:rsidP="007A15F0">
      <w:pPr>
        <w:pStyle w:val="OMBHeading-2"/>
        <w:outlineLvl w:val="1"/>
        <w:rPr>
          <w:u w:val="single"/>
        </w:rPr>
      </w:pPr>
      <w:bookmarkStart w:id="35" w:name="_Toc521515003"/>
      <w:bookmarkStart w:id="36" w:name="_Toc523154572"/>
      <w:bookmarkStart w:id="37" w:name="_Toc11750129"/>
      <w:r w:rsidRPr="00652167">
        <w:rPr>
          <w:u w:val="single"/>
        </w:rPr>
        <w:t>Consequences of Not Collecting the Information</w:t>
      </w:r>
      <w:r w:rsidR="00695FAB" w:rsidRPr="00652167">
        <w:rPr>
          <w:u w:val="single"/>
        </w:rPr>
        <w:t xml:space="preserve"> or of </w:t>
      </w:r>
      <w:r w:rsidRPr="00652167">
        <w:rPr>
          <w:u w:val="single"/>
        </w:rPr>
        <w:t>Collecting Less Frequently</w:t>
      </w:r>
      <w:bookmarkEnd w:id="35"/>
      <w:bookmarkEnd w:id="36"/>
      <w:bookmarkEnd w:id="37"/>
    </w:p>
    <w:p w14:paraId="3026206A" w14:textId="77777777" w:rsidR="0053233B" w:rsidRPr="00652167" w:rsidRDefault="0053233B" w:rsidP="00970F7A">
      <w:pPr>
        <w:pStyle w:val="OMBbodytext"/>
        <w:rPr>
          <w:strike/>
        </w:rPr>
      </w:pPr>
      <w:r w:rsidRPr="00652167">
        <w:t>If the youth surveys were not conducted, it would not be possible to assess changes in</w:t>
      </w:r>
      <w:r w:rsidRPr="00652167">
        <w:rPr>
          <w:strike/>
        </w:rPr>
        <w:t xml:space="preserve"> </w:t>
      </w:r>
      <w:r w:rsidRPr="00652167">
        <w:t>program participants’ proximal outcomes.</w:t>
      </w:r>
    </w:p>
    <w:p w14:paraId="41B6468B" w14:textId="77777777" w:rsidR="007A15F0" w:rsidRPr="00652167" w:rsidRDefault="007A15F0" w:rsidP="001A1214">
      <w:pPr>
        <w:pStyle w:val="OMBHeading-2"/>
        <w:outlineLvl w:val="1"/>
        <w:rPr>
          <w:u w:val="single"/>
        </w:rPr>
      </w:pPr>
      <w:bookmarkStart w:id="38" w:name="_Toc521515004"/>
      <w:bookmarkStart w:id="39" w:name="_Toc523154573"/>
      <w:bookmarkStart w:id="40" w:name="_Toc11750130"/>
      <w:r w:rsidRPr="00652167">
        <w:rPr>
          <w:u w:val="single"/>
        </w:rPr>
        <w:t>Special Circumstances Relating to the Guidelines of 5 CFR 1320.5</w:t>
      </w:r>
      <w:bookmarkEnd w:id="38"/>
      <w:bookmarkEnd w:id="39"/>
      <w:bookmarkEnd w:id="40"/>
    </w:p>
    <w:p w14:paraId="08BD19A4" w14:textId="77777777" w:rsidR="00A9573E" w:rsidRPr="00652167" w:rsidRDefault="007A15F0" w:rsidP="004521C5">
      <w:pPr>
        <w:pStyle w:val="OMBbodytext"/>
      </w:pPr>
      <w:r w:rsidRPr="00652167">
        <w:t xml:space="preserve">The proposed data collection is consistent with guidelines set forth in 5 CFR 1320.5. </w:t>
      </w:r>
    </w:p>
    <w:p w14:paraId="598D6592" w14:textId="77777777" w:rsidR="007A15F0" w:rsidRPr="00652167" w:rsidRDefault="007A15F0" w:rsidP="007A15F0">
      <w:pPr>
        <w:pStyle w:val="OMBHeading-2"/>
        <w:outlineLvl w:val="1"/>
        <w:rPr>
          <w:u w:val="single"/>
        </w:rPr>
      </w:pPr>
      <w:bookmarkStart w:id="41" w:name="_Toc521515005"/>
      <w:bookmarkStart w:id="42" w:name="_Toc523154574"/>
      <w:bookmarkStart w:id="43" w:name="_Toc11750131"/>
      <w:r w:rsidRPr="00652167">
        <w:rPr>
          <w:u w:val="single"/>
        </w:rPr>
        <w:t>Comments in Response to the Federal Register Notice</w:t>
      </w:r>
      <w:r w:rsidR="00695FAB" w:rsidRPr="00652167">
        <w:rPr>
          <w:u w:val="single"/>
        </w:rPr>
        <w:t xml:space="preserve">, and </w:t>
      </w:r>
      <w:r w:rsidRPr="00652167">
        <w:rPr>
          <w:u w:val="single"/>
        </w:rPr>
        <w:t>Outside Consultation</w:t>
      </w:r>
      <w:bookmarkEnd w:id="41"/>
      <w:bookmarkEnd w:id="42"/>
      <w:bookmarkEnd w:id="43"/>
    </w:p>
    <w:p w14:paraId="207E6656" w14:textId="77777777" w:rsidR="00475A04" w:rsidRPr="00652167" w:rsidRDefault="007A15F0" w:rsidP="003677BA">
      <w:pPr>
        <w:pStyle w:val="OMBbodytext"/>
      </w:pPr>
      <w:r w:rsidRPr="00652167">
        <w:rPr>
          <w:b/>
          <w:bCs/>
        </w:rPr>
        <w:t xml:space="preserve">Federal Register Notice Comments. </w:t>
      </w:r>
      <w:r w:rsidRPr="00652167">
        <w:t>A 60-</w:t>
      </w:r>
      <w:r w:rsidR="0069283C" w:rsidRPr="00652167">
        <w:t xml:space="preserve">Day </w:t>
      </w:r>
      <w:r w:rsidRPr="00652167">
        <w:t xml:space="preserve">Federal Register Notice was published in the Federal Register on </w:t>
      </w:r>
      <w:r w:rsidR="0069283C" w:rsidRPr="00652167">
        <w:t xml:space="preserve">July 2, </w:t>
      </w:r>
      <w:r w:rsidR="00B34997" w:rsidRPr="00652167">
        <w:t>2018</w:t>
      </w:r>
      <w:r w:rsidR="009676AE" w:rsidRPr="00652167">
        <w:t xml:space="preserve">, in Volume </w:t>
      </w:r>
      <w:r w:rsidR="00F253FD" w:rsidRPr="00652167">
        <w:t>83</w:t>
      </w:r>
      <w:r w:rsidR="009676AE" w:rsidRPr="00652167">
        <w:t xml:space="preserve">, Number </w:t>
      </w:r>
      <w:r w:rsidR="00F253FD" w:rsidRPr="00652167">
        <w:t>127</w:t>
      </w:r>
      <w:r w:rsidR="009676AE" w:rsidRPr="00652167">
        <w:t>, page</w:t>
      </w:r>
      <w:r w:rsidR="00574587" w:rsidRPr="00652167">
        <w:t>s</w:t>
      </w:r>
      <w:r w:rsidR="009676AE" w:rsidRPr="00652167">
        <w:t xml:space="preserve"> </w:t>
      </w:r>
      <w:r w:rsidR="00F253FD" w:rsidRPr="00652167">
        <w:t>30942</w:t>
      </w:r>
      <w:r w:rsidR="0069283C" w:rsidRPr="00652167">
        <w:t>–</w:t>
      </w:r>
      <w:r w:rsidR="00F253FD" w:rsidRPr="00652167">
        <w:t xml:space="preserve">30943 </w:t>
      </w:r>
      <w:r w:rsidR="009676AE" w:rsidRPr="00652167">
        <w:t xml:space="preserve">(see </w:t>
      </w:r>
      <w:r w:rsidR="00343CD9" w:rsidRPr="00652167">
        <w:rPr>
          <w:b/>
        </w:rPr>
        <w:t xml:space="preserve">Appendix </w:t>
      </w:r>
      <w:r w:rsidR="003B6BE8" w:rsidRPr="00652167">
        <w:rPr>
          <w:b/>
        </w:rPr>
        <w:t>N</w:t>
      </w:r>
      <w:r w:rsidR="009676AE" w:rsidRPr="00652167">
        <w:t xml:space="preserve">). </w:t>
      </w:r>
      <w:r w:rsidR="000A2D9B" w:rsidRPr="00652167">
        <w:t xml:space="preserve">There </w:t>
      </w:r>
      <w:r w:rsidR="005D6E44" w:rsidRPr="00652167">
        <w:t>were three</w:t>
      </w:r>
      <w:r w:rsidR="007E4D92" w:rsidRPr="00652167">
        <w:t xml:space="preserve"> </w:t>
      </w:r>
      <w:r w:rsidR="000A2D9B" w:rsidRPr="00652167">
        <w:t>public comment</w:t>
      </w:r>
      <w:r w:rsidR="005D6E44" w:rsidRPr="00652167">
        <w:t>s</w:t>
      </w:r>
      <w:r w:rsidR="000A2D9B" w:rsidRPr="00652167">
        <w:t>. A summary of public comments received in response to the 60-Day Federal Register Notice and a response to these comments</w:t>
      </w:r>
      <w:r w:rsidR="00DB6590" w:rsidRPr="00652167">
        <w:t xml:space="preserve"> are in </w:t>
      </w:r>
      <w:r w:rsidR="00DB6590" w:rsidRPr="00652167">
        <w:rPr>
          <w:b/>
        </w:rPr>
        <w:t xml:space="preserve">Appendix </w:t>
      </w:r>
      <w:r w:rsidR="003B6BE8" w:rsidRPr="00652167">
        <w:rPr>
          <w:b/>
        </w:rPr>
        <w:t>R</w:t>
      </w:r>
      <w:r w:rsidR="000A2D9B" w:rsidRPr="00652167">
        <w:t>.</w:t>
      </w:r>
      <w:r w:rsidR="00D4232B" w:rsidRPr="00652167">
        <w:t xml:space="preserve"> </w:t>
      </w:r>
      <w:r w:rsidR="00C27A43" w:rsidRPr="00652167">
        <w:t xml:space="preserve"> </w:t>
      </w:r>
      <w:r w:rsidR="008F15DF" w:rsidRPr="00652167">
        <w:t xml:space="preserve">No changes to this information collection request were made as a result of the public comments. </w:t>
      </w:r>
    </w:p>
    <w:p w14:paraId="2C28B1FB" w14:textId="77777777" w:rsidR="00311AC9" w:rsidRPr="00652167" w:rsidRDefault="00311AC9" w:rsidP="003677BA">
      <w:pPr>
        <w:pStyle w:val="OMBbodytext"/>
      </w:pPr>
      <w:r w:rsidRPr="00652167">
        <w:t xml:space="preserve">A 30-Day Federal Register Notice was published in the Federal Register on February 8, 2019, in Volume 84, Number 27, pages 2884-2885 (see </w:t>
      </w:r>
      <w:r w:rsidRPr="00652167">
        <w:rPr>
          <w:b/>
        </w:rPr>
        <w:t xml:space="preserve">Appendix </w:t>
      </w:r>
      <w:r w:rsidR="00DD77C2" w:rsidRPr="00652167">
        <w:rPr>
          <w:b/>
        </w:rPr>
        <w:t>L</w:t>
      </w:r>
      <w:r w:rsidRPr="00652167">
        <w:t xml:space="preserve">). There </w:t>
      </w:r>
      <w:r w:rsidR="005E3883" w:rsidRPr="00652167">
        <w:t xml:space="preserve">was </w:t>
      </w:r>
      <w:r w:rsidR="00D84A9B" w:rsidRPr="00652167">
        <w:t xml:space="preserve">only </w:t>
      </w:r>
      <w:r w:rsidR="005E3883" w:rsidRPr="00652167">
        <w:t>one</w:t>
      </w:r>
      <w:r w:rsidRPr="00652167">
        <w:t xml:space="preserve"> public comment</w:t>
      </w:r>
      <w:r w:rsidR="00D84A9B" w:rsidRPr="00652167">
        <w:t xml:space="preserve"> requesting copies of the data collection instruments, which were provided to the requestor</w:t>
      </w:r>
      <w:r w:rsidRPr="00652167">
        <w:t>. No changes to this information collection request were made as a result of the public comments.</w:t>
      </w:r>
    </w:p>
    <w:p w14:paraId="3040C1A0" w14:textId="77777777" w:rsidR="007E4D92" w:rsidRPr="00652167" w:rsidRDefault="002D0A93" w:rsidP="003677BA">
      <w:pPr>
        <w:pStyle w:val="OMBbodytext"/>
      </w:pPr>
      <w:r w:rsidRPr="00652167">
        <w:t xml:space="preserve">Changes were made to this information collection after the publication of the 30-day </w:t>
      </w:r>
      <w:r w:rsidRPr="00652167">
        <w:rPr>
          <w:i/>
        </w:rPr>
        <w:t xml:space="preserve">Federal Register Notice </w:t>
      </w:r>
      <w:r w:rsidRPr="00652167">
        <w:t>due to consultation with IOs on community standards for sensitive questions and follow-on expert review to minimize youth burden in completing the updated versions of the instruments. IOs provided guidance regarding acceptable language in their communities for youth surveys on sensitive topics such as sexual and pre-coital behaviors. This guidance was solicited to help to increase parental consent and youth response rates in communities where the study will be conducted. After IOs provided guidance, the youth surveys were updated to reflect community standards, and the updated survey versions were provided an expert review to minimize youth burden (e.g., clarifying instructions and question wording).</w:t>
      </w:r>
    </w:p>
    <w:p w14:paraId="3F50EFFE" w14:textId="77777777" w:rsidR="003C0B4E" w:rsidRPr="00652167" w:rsidRDefault="004521C5" w:rsidP="004521C5">
      <w:pPr>
        <w:pStyle w:val="OMBbodytext"/>
      </w:pPr>
      <w:bookmarkStart w:id="44" w:name="_Toc521515006"/>
      <w:r w:rsidRPr="00652167">
        <w:rPr>
          <w:b/>
        </w:rPr>
        <w:t>Outside Consultation</w:t>
      </w:r>
      <w:bookmarkEnd w:id="44"/>
      <w:r w:rsidR="003677BA" w:rsidRPr="00652167">
        <w:rPr>
          <w:b/>
        </w:rPr>
        <w:t xml:space="preserve">. </w:t>
      </w:r>
      <w:r w:rsidR="301858A8" w:rsidRPr="00652167">
        <w:t xml:space="preserve">To inform the design of the data collection, OASH consulted with </w:t>
      </w:r>
      <w:r w:rsidR="00A9573E" w:rsidRPr="00652167">
        <w:t>a panel of technical experts on SRA education</w:t>
      </w:r>
      <w:r w:rsidR="0069283C" w:rsidRPr="00652167">
        <w:t>;</w:t>
      </w:r>
      <w:r w:rsidR="00A9573E" w:rsidRPr="00652167">
        <w:t xml:space="preserve"> the organization responsible for conducting the data collection, the </w:t>
      </w:r>
      <w:r w:rsidR="301858A8" w:rsidRPr="00652167">
        <w:t>MITRE Corporation</w:t>
      </w:r>
      <w:r w:rsidR="0069283C" w:rsidRPr="00652167">
        <w:t>;</w:t>
      </w:r>
      <w:r w:rsidR="301858A8" w:rsidRPr="00652167">
        <w:t xml:space="preserve"> </w:t>
      </w:r>
      <w:r w:rsidR="00A9573E" w:rsidRPr="00652167">
        <w:t xml:space="preserve">and its subcontractors, </w:t>
      </w:r>
      <w:r w:rsidR="301858A8" w:rsidRPr="00652167">
        <w:t>RTI, and Atlas Research</w:t>
      </w:r>
      <w:r w:rsidR="00695FAB" w:rsidRPr="00652167">
        <w:t>.</w:t>
      </w:r>
      <w:r w:rsidR="301858A8" w:rsidRPr="00652167">
        <w:t xml:space="preserve"> </w:t>
      </w:r>
      <w:r w:rsidR="301858A8" w:rsidRPr="00652167">
        <w:rPr>
          <w:b/>
          <w:bCs/>
          <w:i/>
          <w:iCs/>
        </w:rPr>
        <w:t xml:space="preserve">Exhibit </w:t>
      </w:r>
      <w:r w:rsidR="00B657F4" w:rsidRPr="00652167">
        <w:rPr>
          <w:b/>
          <w:bCs/>
          <w:i/>
          <w:iCs/>
        </w:rPr>
        <w:t>7</w:t>
      </w:r>
      <w:r w:rsidR="00942AFA" w:rsidRPr="00652167">
        <w:rPr>
          <w:b/>
          <w:bCs/>
        </w:rPr>
        <w:t xml:space="preserve"> </w:t>
      </w:r>
      <w:r w:rsidR="301858A8" w:rsidRPr="00652167">
        <w:t xml:space="preserve">presents the name, affiliation, and contact information of members of the technical expert panel. </w:t>
      </w:r>
    </w:p>
    <w:p w14:paraId="1F13A716" w14:textId="77777777" w:rsidR="003C0B4E" w:rsidRPr="00652167" w:rsidRDefault="003C0B4E" w:rsidP="00AB20FC">
      <w:pPr>
        <w:pStyle w:val="OMBExhibitTitle"/>
      </w:pPr>
      <w:bookmarkStart w:id="45" w:name="_Toc349046173"/>
      <w:bookmarkStart w:id="46" w:name="_Toc521501857"/>
      <w:bookmarkStart w:id="47" w:name="_Toc534379996"/>
      <w:bookmarkStart w:id="48" w:name="_Toc531630035"/>
      <w:bookmarkStart w:id="49" w:name="_Toc11750115"/>
      <w:r w:rsidRPr="00652167">
        <w:t xml:space="preserve">Exhibit </w:t>
      </w:r>
      <w:r w:rsidR="00B657F4" w:rsidRPr="00652167">
        <w:t>7</w:t>
      </w:r>
      <w:r w:rsidR="00655872" w:rsidRPr="00652167">
        <w:t xml:space="preserve">. </w:t>
      </w:r>
      <w:r w:rsidR="00655872" w:rsidRPr="00652167">
        <w:tab/>
      </w:r>
      <w:r w:rsidRPr="00652167">
        <w:t>Outside Consultation</w:t>
      </w:r>
      <w:bookmarkEnd w:id="45"/>
      <w:r w:rsidR="00E95167" w:rsidRPr="00652167">
        <w:t xml:space="preserve"> with Technical Experts</w:t>
      </w:r>
      <w:bookmarkEnd w:id="46"/>
      <w:bookmarkEnd w:id="47"/>
      <w:bookmarkEnd w:id="48"/>
      <w:bookmarkEnd w:id="49"/>
    </w:p>
    <w:tbl>
      <w:tblPr>
        <w:tblW w:w="9360"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1E0" w:firstRow="1" w:lastRow="1" w:firstColumn="1" w:lastColumn="1" w:noHBand="0" w:noVBand="0"/>
      </w:tblPr>
      <w:tblGrid>
        <w:gridCol w:w="4680"/>
        <w:gridCol w:w="4680"/>
      </w:tblGrid>
      <w:tr w:rsidR="006A3FCC" w:rsidRPr="00652167" w14:paraId="4F9D1024" w14:textId="77777777" w:rsidTr="006179E2">
        <w:tc>
          <w:tcPr>
            <w:tcW w:w="4680" w:type="dxa"/>
            <w:shd w:val="clear" w:color="auto" w:fill="auto"/>
            <w:tcMar>
              <w:top w:w="144" w:type="dxa"/>
              <w:left w:w="144" w:type="dxa"/>
              <w:bottom w:w="144" w:type="dxa"/>
              <w:right w:w="144" w:type="dxa"/>
            </w:tcMar>
          </w:tcPr>
          <w:p w14:paraId="4FFDB93A" w14:textId="77777777" w:rsidR="0011646A" w:rsidRPr="00652167" w:rsidRDefault="0011646A" w:rsidP="006179E2">
            <w:pPr>
              <w:pStyle w:val="TableText0"/>
            </w:pPr>
            <w:r w:rsidRPr="00652167">
              <w:t>Nanci Coppola, D.P.M., M.S.</w:t>
            </w:r>
          </w:p>
          <w:p w14:paraId="53B7D5CA" w14:textId="77777777" w:rsidR="0011646A" w:rsidRPr="00652167" w:rsidRDefault="0011646A" w:rsidP="006179E2">
            <w:pPr>
              <w:pStyle w:val="TableText0"/>
            </w:pPr>
            <w:r w:rsidRPr="00652167">
              <w:t>Principal</w:t>
            </w:r>
          </w:p>
          <w:p w14:paraId="4E91798D" w14:textId="77777777" w:rsidR="0011646A" w:rsidRPr="00652167" w:rsidRDefault="0011646A" w:rsidP="006179E2">
            <w:pPr>
              <w:pStyle w:val="TableText0"/>
            </w:pPr>
            <w:r w:rsidRPr="00652167">
              <w:t>Coppola and Company</w:t>
            </w:r>
          </w:p>
          <w:p w14:paraId="3DF107E4" w14:textId="77777777" w:rsidR="006A3FCC" w:rsidRPr="00652167" w:rsidRDefault="0011646A" w:rsidP="006179E2">
            <w:pPr>
              <w:pStyle w:val="TableText0"/>
            </w:pPr>
            <w:r w:rsidRPr="00652167">
              <w:t>ncoppola@coppolaandcompany.com</w:t>
            </w:r>
          </w:p>
        </w:tc>
        <w:tc>
          <w:tcPr>
            <w:tcW w:w="4680" w:type="dxa"/>
            <w:shd w:val="clear" w:color="auto" w:fill="auto"/>
            <w:tcMar>
              <w:top w:w="144" w:type="dxa"/>
              <w:left w:w="144" w:type="dxa"/>
              <w:bottom w:w="144" w:type="dxa"/>
              <w:right w:w="144" w:type="dxa"/>
            </w:tcMar>
          </w:tcPr>
          <w:p w14:paraId="62C87E5B" w14:textId="77777777" w:rsidR="0011646A" w:rsidRPr="00652167" w:rsidRDefault="0011646A" w:rsidP="006179E2">
            <w:pPr>
              <w:pStyle w:val="TableText0"/>
              <w:rPr>
                <w:color w:val="000000" w:themeColor="text1"/>
              </w:rPr>
            </w:pPr>
            <w:r w:rsidRPr="00652167">
              <w:rPr>
                <w:color w:val="000000" w:themeColor="text1"/>
              </w:rPr>
              <w:t>William Jeynes, Ph.D.</w:t>
            </w:r>
          </w:p>
          <w:p w14:paraId="40A462AB" w14:textId="77777777" w:rsidR="0011646A" w:rsidRPr="00652167" w:rsidRDefault="0011646A" w:rsidP="006179E2">
            <w:pPr>
              <w:pStyle w:val="TableText0"/>
              <w:rPr>
                <w:color w:val="000000" w:themeColor="text1"/>
              </w:rPr>
            </w:pPr>
            <w:r w:rsidRPr="00652167">
              <w:rPr>
                <w:color w:val="000000" w:themeColor="text1"/>
              </w:rPr>
              <w:t>Professor, California State University, Long Beach</w:t>
            </w:r>
          </w:p>
          <w:p w14:paraId="7D6A0C64" w14:textId="77777777" w:rsidR="005F25C4" w:rsidRPr="00652167" w:rsidRDefault="0011646A" w:rsidP="006179E2">
            <w:pPr>
              <w:pStyle w:val="TableText0"/>
              <w:rPr>
                <w:color w:val="000000" w:themeColor="text1"/>
              </w:rPr>
            </w:pPr>
            <w:r w:rsidRPr="00652167">
              <w:rPr>
                <w:color w:val="000000" w:themeColor="text1"/>
              </w:rPr>
              <w:t>Senior Fellow, Witherspoon Institute</w:t>
            </w:r>
          </w:p>
          <w:p w14:paraId="686A4319" w14:textId="77777777" w:rsidR="0011646A" w:rsidRPr="00652167" w:rsidRDefault="0011646A" w:rsidP="006179E2">
            <w:pPr>
              <w:pStyle w:val="TableText0"/>
              <w:rPr>
                <w:color w:val="000000" w:themeColor="text1"/>
              </w:rPr>
            </w:pPr>
            <w:r w:rsidRPr="00652167">
              <w:rPr>
                <w:color w:val="000000" w:themeColor="text1"/>
              </w:rPr>
              <w:t>William.jeynes@csulb.edu</w:t>
            </w:r>
          </w:p>
        </w:tc>
      </w:tr>
      <w:tr w:rsidR="006A3FCC" w:rsidRPr="00652167" w14:paraId="31CF793B" w14:textId="77777777" w:rsidTr="006179E2">
        <w:tc>
          <w:tcPr>
            <w:tcW w:w="4680" w:type="dxa"/>
            <w:shd w:val="clear" w:color="auto" w:fill="auto"/>
            <w:tcMar>
              <w:top w:w="144" w:type="dxa"/>
              <w:left w:w="144" w:type="dxa"/>
              <w:bottom w:w="144" w:type="dxa"/>
              <w:right w:w="144" w:type="dxa"/>
            </w:tcMar>
          </w:tcPr>
          <w:p w14:paraId="57810ACC" w14:textId="77777777" w:rsidR="0011646A" w:rsidRPr="00652167" w:rsidRDefault="0011646A" w:rsidP="006179E2">
            <w:pPr>
              <w:pStyle w:val="TableText0"/>
              <w:rPr>
                <w:bCs/>
                <w:color w:val="000000"/>
              </w:rPr>
            </w:pPr>
            <w:bookmarkStart w:id="50" w:name="_Hlk521509811"/>
            <w:r w:rsidRPr="00652167">
              <w:rPr>
                <w:bCs/>
                <w:color w:val="000000"/>
              </w:rPr>
              <w:t>Alma Golden, M.D.</w:t>
            </w:r>
          </w:p>
          <w:p w14:paraId="0C880629" w14:textId="77777777" w:rsidR="0011646A" w:rsidRPr="00652167" w:rsidRDefault="0011646A" w:rsidP="006179E2">
            <w:pPr>
              <w:pStyle w:val="TableText0"/>
              <w:rPr>
                <w:bCs/>
                <w:color w:val="000000"/>
              </w:rPr>
            </w:pPr>
            <w:r w:rsidRPr="00652167">
              <w:rPr>
                <w:bCs/>
                <w:color w:val="000000"/>
              </w:rPr>
              <w:t>Deputy Assistant Administrator</w:t>
            </w:r>
          </w:p>
          <w:p w14:paraId="59610266" w14:textId="77777777" w:rsidR="006A3FCC" w:rsidRPr="00652167" w:rsidRDefault="0011646A" w:rsidP="006179E2">
            <w:pPr>
              <w:pStyle w:val="TableText0"/>
              <w:rPr>
                <w:bCs/>
                <w:color w:val="000000"/>
              </w:rPr>
            </w:pPr>
            <w:r w:rsidRPr="00652167">
              <w:rPr>
                <w:bCs/>
                <w:color w:val="000000"/>
              </w:rPr>
              <w:t>Bureau for Global Health, U</w:t>
            </w:r>
            <w:r w:rsidR="006179E2" w:rsidRPr="00652167">
              <w:rPr>
                <w:bCs/>
                <w:color w:val="000000"/>
              </w:rPr>
              <w:t xml:space="preserve">nited </w:t>
            </w:r>
            <w:r w:rsidRPr="00652167">
              <w:rPr>
                <w:bCs/>
                <w:color w:val="000000"/>
              </w:rPr>
              <w:t>S</w:t>
            </w:r>
            <w:r w:rsidR="006179E2" w:rsidRPr="00652167">
              <w:rPr>
                <w:bCs/>
                <w:color w:val="000000"/>
              </w:rPr>
              <w:t>tates</w:t>
            </w:r>
            <w:r w:rsidRPr="00652167">
              <w:rPr>
                <w:bCs/>
                <w:color w:val="000000"/>
              </w:rPr>
              <w:t xml:space="preserve"> Agency for International Development</w:t>
            </w:r>
          </w:p>
          <w:p w14:paraId="79A5E309" w14:textId="77777777" w:rsidR="0011646A" w:rsidRPr="00652167" w:rsidRDefault="0011646A" w:rsidP="006179E2">
            <w:pPr>
              <w:pStyle w:val="TableText0"/>
              <w:rPr>
                <w:bCs/>
                <w:color w:val="000000"/>
              </w:rPr>
            </w:pPr>
            <w:r w:rsidRPr="00652167">
              <w:rPr>
                <w:bCs/>
                <w:color w:val="000000"/>
              </w:rPr>
              <w:t>Agolden@usaid.gov</w:t>
            </w:r>
          </w:p>
        </w:tc>
        <w:tc>
          <w:tcPr>
            <w:tcW w:w="4680" w:type="dxa"/>
            <w:shd w:val="clear" w:color="auto" w:fill="auto"/>
            <w:tcMar>
              <w:top w:w="144" w:type="dxa"/>
              <w:left w:w="144" w:type="dxa"/>
              <w:bottom w:w="144" w:type="dxa"/>
              <w:right w:w="144" w:type="dxa"/>
            </w:tcMar>
          </w:tcPr>
          <w:p w14:paraId="6C03C442" w14:textId="77777777" w:rsidR="0011646A" w:rsidRPr="00652167" w:rsidRDefault="0011646A" w:rsidP="006179E2">
            <w:pPr>
              <w:pStyle w:val="TableText0"/>
              <w:rPr>
                <w:color w:val="000000" w:themeColor="text1"/>
              </w:rPr>
            </w:pPr>
            <w:r w:rsidRPr="00652167">
              <w:rPr>
                <w:color w:val="000000" w:themeColor="text1"/>
              </w:rPr>
              <w:t>Peggy Pecchio</w:t>
            </w:r>
          </w:p>
          <w:p w14:paraId="678CF8B5" w14:textId="77777777" w:rsidR="0011646A" w:rsidRPr="00652167" w:rsidRDefault="0011646A" w:rsidP="006179E2">
            <w:pPr>
              <w:pStyle w:val="TableText0"/>
              <w:rPr>
                <w:color w:val="000000" w:themeColor="text1"/>
              </w:rPr>
            </w:pPr>
            <w:r w:rsidRPr="00652167">
              <w:rPr>
                <w:color w:val="000000" w:themeColor="text1"/>
              </w:rPr>
              <w:t>Executive Director</w:t>
            </w:r>
          </w:p>
          <w:p w14:paraId="262E24C7" w14:textId="77777777" w:rsidR="006A3FCC" w:rsidRPr="00652167" w:rsidRDefault="0011646A" w:rsidP="006179E2">
            <w:pPr>
              <w:pStyle w:val="TableText0"/>
              <w:rPr>
                <w:color w:val="000000" w:themeColor="text1"/>
              </w:rPr>
            </w:pPr>
            <w:bookmarkStart w:id="51" w:name="_Hlk521509821"/>
            <w:r w:rsidRPr="00652167">
              <w:rPr>
                <w:color w:val="000000" w:themeColor="text1"/>
              </w:rPr>
              <w:t>Operation Keepsake, Inc.</w:t>
            </w:r>
            <w:bookmarkEnd w:id="51"/>
          </w:p>
          <w:p w14:paraId="5345A4C8" w14:textId="77777777" w:rsidR="0011646A" w:rsidRPr="00652167" w:rsidRDefault="0011646A" w:rsidP="006179E2">
            <w:pPr>
              <w:pStyle w:val="TableText0"/>
              <w:rPr>
                <w:color w:val="000000" w:themeColor="text1"/>
              </w:rPr>
            </w:pPr>
            <w:r w:rsidRPr="00652167">
              <w:rPr>
                <w:color w:val="000000" w:themeColor="text1"/>
              </w:rPr>
              <w:t>PPecchio@operationkeepsake.com</w:t>
            </w:r>
          </w:p>
        </w:tc>
      </w:tr>
      <w:bookmarkEnd w:id="50"/>
      <w:tr w:rsidR="006A3FCC" w:rsidRPr="00652167" w14:paraId="3FEFE66F" w14:textId="77777777" w:rsidTr="006179E2">
        <w:tc>
          <w:tcPr>
            <w:tcW w:w="4680" w:type="dxa"/>
            <w:shd w:val="clear" w:color="auto" w:fill="auto"/>
            <w:tcMar>
              <w:top w:w="144" w:type="dxa"/>
              <w:left w:w="144" w:type="dxa"/>
              <w:bottom w:w="144" w:type="dxa"/>
              <w:right w:w="144" w:type="dxa"/>
            </w:tcMar>
          </w:tcPr>
          <w:p w14:paraId="7F6A8779" w14:textId="77777777" w:rsidR="0011646A" w:rsidRPr="00652167" w:rsidRDefault="0011646A" w:rsidP="006179E2">
            <w:pPr>
              <w:pStyle w:val="TableText0"/>
            </w:pPr>
            <w:r w:rsidRPr="00652167">
              <w:t>Wade F. Horn, Ph.D.</w:t>
            </w:r>
          </w:p>
          <w:p w14:paraId="34DC3241" w14:textId="77777777" w:rsidR="0011646A" w:rsidRPr="00652167" w:rsidRDefault="0011646A" w:rsidP="006179E2">
            <w:pPr>
              <w:pStyle w:val="TableText0"/>
            </w:pPr>
            <w:r w:rsidRPr="00652167">
              <w:t>Managing Director</w:t>
            </w:r>
          </w:p>
          <w:p w14:paraId="7E80C6D8" w14:textId="77777777" w:rsidR="006A3FCC" w:rsidRPr="00652167" w:rsidRDefault="0011646A" w:rsidP="006179E2">
            <w:pPr>
              <w:pStyle w:val="TableText0"/>
            </w:pPr>
            <w:r w:rsidRPr="00652167">
              <w:t>Deloitte Consulting</w:t>
            </w:r>
          </w:p>
          <w:p w14:paraId="2D594781" w14:textId="77777777" w:rsidR="0011646A" w:rsidRPr="00652167" w:rsidRDefault="000F2DA5" w:rsidP="006179E2">
            <w:pPr>
              <w:pStyle w:val="TableText0"/>
            </w:pPr>
            <w:r w:rsidRPr="00652167">
              <w:rPr>
                <w:rStyle w:val="Hyperlink"/>
                <w:color w:val="000000" w:themeColor="text1"/>
                <w:u w:val="none"/>
              </w:rPr>
              <w:t>whorn@deloitte.com</w:t>
            </w:r>
            <w:r w:rsidR="0011646A" w:rsidRPr="00652167">
              <w:rPr>
                <w:color w:val="000000" w:themeColor="text1"/>
              </w:rPr>
              <w:t xml:space="preserve"> </w:t>
            </w:r>
          </w:p>
        </w:tc>
        <w:tc>
          <w:tcPr>
            <w:tcW w:w="4680" w:type="dxa"/>
            <w:shd w:val="clear" w:color="auto" w:fill="auto"/>
            <w:tcMar>
              <w:top w:w="144" w:type="dxa"/>
              <w:left w:w="144" w:type="dxa"/>
              <w:bottom w:w="144" w:type="dxa"/>
              <w:right w:w="144" w:type="dxa"/>
            </w:tcMar>
          </w:tcPr>
          <w:p w14:paraId="5518DD3B" w14:textId="77777777" w:rsidR="0011646A" w:rsidRPr="00652167" w:rsidRDefault="0011646A" w:rsidP="006179E2">
            <w:pPr>
              <w:pStyle w:val="TableText0"/>
              <w:rPr>
                <w:color w:val="000000"/>
              </w:rPr>
            </w:pPr>
            <w:r w:rsidRPr="00652167">
              <w:rPr>
                <w:color w:val="000000"/>
              </w:rPr>
              <w:t>Lisa Rue, Ph.D.</w:t>
            </w:r>
          </w:p>
          <w:p w14:paraId="35EBF135" w14:textId="77777777" w:rsidR="0011646A" w:rsidRPr="00652167" w:rsidRDefault="0011646A" w:rsidP="006179E2">
            <w:pPr>
              <w:pStyle w:val="TableText0"/>
              <w:rPr>
                <w:color w:val="000000"/>
              </w:rPr>
            </w:pPr>
            <w:r w:rsidRPr="00652167">
              <w:rPr>
                <w:color w:val="000000"/>
              </w:rPr>
              <w:t>Vice President, Marketing and Strategic Partnerships</w:t>
            </w:r>
          </w:p>
          <w:p w14:paraId="379150C0" w14:textId="77777777" w:rsidR="006A3FCC" w:rsidRPr="00652167" w:rsidRDefault="0011646A" w:rsidP="006179E2">
            <w:pPr>
              <w:pStyle w:val="TableText0"/>
              <w:rPr>
                <w:color w:val="000000"/>
              </w:rPr>
            </w:pPr>
            <w:r w:rsidRPr="00652167">
              <w:rPr>
                <w:color w:val="000000"/>
              </w:rPr>
              <w:t>Preventative Technology Solutions</w:t>
            </w:r>
          </w:p>
          <w:p w14:paraId="5CD3AF10" w14:textId="77777777" w:rsidR="0011646A" w:rsidRPr="00652167" w:rsidRDefault="0011646A" w:rsidP="006179E2">
            <w:pPr>
              <w:pStyle w:val="TableText0"/>
              <w:rPr>
                <w:color w:val="000000"/>
              </w:rPr>
            </w:pPr>
            <w:r w:rsidRPr="00652167">
              <w:rPr>
                <w:color w:val="000000"/>
              </w:rPr>
              <w:t>lisa@mypreventtech.com</w:t>
            </w:r>
          </w:p>
        </w:tc>
      </w:tr>
    </w:tbl>
    <w:p w14:paraId="71680032" w14:textId="77777777" w:rsidR="006A3FCC" w:rsidRPr="00652167" w:rsidRDefault="006A3FCC" w:rsidP="00274CE3">
      <w:pPr>
        <w:pStyle w:val="OMBExhibitTitle"/>
        <w:rPr>
          <w:rFonts w:ascii="Times New Roman" w:hAnsi="Times New Roman"/>
        </w:rPr>
      </w:pPr>
    </w:p>
    <w:p w14:paraId="3DDC7021" w14:textId="77777777" w:rsidR="007A15F0" w:rsidRPr="00652167" w:rsidRDefault="301858A8" w:rsidP="007A15F0">
      <w:pPr>
        <w:pStyle w:val="OMBHeading-2"/>
        <w:outlineLvl w:val="1"/>
        <w:rPr>
          <w:u w:val="single"/>
        </w:rPr>
      </w:pPr>
      <w:bookmarkStart w:id="52" w:name="_Toc521515007"/>
      <w:bookmarkStart w:id="53" w:name="_Toc523154575"/>
      <w:bookmarkStart w:id="54" w:name="_Toc11750132"/>
      <w:r w:rsidRPr="00652167">
        <w:rPr>
          <w:u w:val="single"/>
        </w:rPr>
        <w:t>Explanation of Any Payment/Gifts to Respondents</w:t>
      </w:r>
      <w:bookmarkEnd w:id="52"/>
      <w:bookmarkEnd w:id="53"/>
      <w:bookmarkEnd w:id="54"/>
    </w:p>
    <w:p w14:paraId="4CC68677" w14:textId="77777777" w:rsidR="00E27123" w:rsidRPr="00652167" w:rsidRDefault="301858A8" w:rsidP="00C94A94">
      <w:pPr>
        <w:pStyle w:val="OMBbodytext"/>
      </w:pPr>
      <w:r w:rsidRPr="00652167">
        <w:t xml:space="preserve">A particular challenge to conducting research </w:t>
      </w:r>
      <w:r w:rsidR="00DC1088" w:rsidRPr="00652167">
        <w:t>about youth</w:t>
      </w:r>
      <w:r w:rsidRPr="00652167">
        <w:t xml:space="preserve"> is obtaining parental </w:t>
      </w:r>
      <w:r w:rsidR="007E2F7F" w:rsidRPr="00652167">
        <w:t xml:space="preserve">consent </w:t>
      </w:r>
      <w:r w:rsidRPr="00652167">
        <w:t>to participate</w:t>
      </w:r>
      <w:r w:rsidR="00E95167" w:rsidRPr="00652167">
        <w:t xml:space="preserve"> in the data collection activities</w:t>
      </w:r>
      <w:r w:rsidRPr="00652167">
        <w:t xml:space="preserve">. To increase </w:t>
      </w:r>
      <w:r w:rsidR="00155661" w:rsidRPr="00652167">
        <w:t xml:space="preserve">response </w:t>
      </w:r>
      <w:r w:rsidRPr="00652167">
        <w:t>ra</w:t>
      </w:r>
      <w:r w:rsidR="001C507E" w:rsidRPr="00652167">
        <w:t xml:space="preserve">tes, we will </w:t>
      </w:r>
      <w:r w:rsidR="00E42788" w:rsidRPr="00652167">
        <w:t xml:space="preserve">offer small incentives to individual students, </w:t>
      </w:r>
      <w:r w:rsidR="00E27123" w:rsidRPr="00652167">
        <w:t xml:space="preserve">classes or groups of students, and/or </w:t>
      </w:r>
      <w:r w:rsidR="007E4D92" w:rsidRPr="00652167">
        <w:t xml:space="preserve">public school </w:t>
      </w:r>
      <w:r w:rsidR="00E27123" w:rsidRPr="00652167">
        <w:t xml:space="preserve">teachers for the return of signed consent forms (regardless of whether the parents provide consent to participate). Which </w:t>
      </w:r>
      <w:r w:rsidR="00990D95" w:rsidRPr="00652167">
        <w:t>type</w:t>
      </w:r>
      <w:r w:rsidR="00E27123" w:rsidRPr="00652167">
        <w:t xml:space="preserve"> of incentive may be most appropriate for each </w:t>
      </w:r>
      <w:r w:rsidR="00766DE2" w:rsidRPr="00652167">
        <w:t xml:space="preserve">school </w:t>
      </w:r>
      <w:r w:rsidR="00E27123" w:rsidRPr="00652167">
        <w:t xml:space="preserve">will be determined in collaboration with the </w:t>
      </w:r>
      <w:r w:rsidR="00766DE2" w:rsidRPr="00652167">
        <w:t xml:space="preserve">schools </w:t>
      </w:r>
      <w:r w:rsidR="00E27123" w:rsidRPr="00652167">
        <w:t xml:space="preserve">and the IOs. Options include: </w:t>
      </w:r>
    </w:p>
    <w:p w14:paraId="77217352" w14:textId="77777777" w:rsidR="001C0903" w:rsidRPr="00652167" w:rsidRDefault="00E27123" w:rsidP="00E8542E">
      <w:pPr>
        <w:pStyle w:val="OMBbodytext"/>
        <w:numPr>
          <w:ilvl w:val="0"/>
          <w:numId w:val="24"/>
        </w:numPr>
        <w:spacing w:after="120"/>
        <w:ind w:left="1138"/>
      </w:pPr>
      <w:r w:rsidRPr="00652167">
        <w:t>A</w:t>
      </w:r>
      <w:r w:rsidR="008610F9" w:rsidRPr="00652167">
        <w:t xml:space="preserve"> $25</w:t>
      </w:r>
      <w:r w:rsidR="001C0903" w:rsidRPr="00652167">
        <w:t xml:space="preserve"> gift card to each</w:t>
      </w:r>
      <w:r w:rsidR="00766DE2" w:rsidRPr="00652167">
        <w:t xml:space="preserve"> </w:t>
      </w:r>
      <w:r w:rsidR="007E4D92" w:rsidRPr="00652167">
        <w:t xml:space="preserve">public school </w:t>
      </w:r>
      <w:r w:rsidR="001C0903" w:rsidRPr="00652167">
        <w:t>teacher for each classroom in which at least 90</w:t>
      </w:r>
      <w:r w:rsidR="00711076" w:rsidRPr="00652167">
        <w:t>%</w:t>
      </w:r>
      <w:r w:rsidR="001C0903" w:rsidRPr="00652167">
        <w:t xml:space="preserve"> of the parental consent forms are returned. Gift cards may be used to purchase classroom supplies or </w:t>
      </w:r>
      <w:r w:rsidR="00990D95" w:rsidRPr="00652167">
        <w:t xml:space="preserve">to </w:t>
      </w:r>
      <w:r w:rsidR="001C0903" w:rsidRPr="00652167">
        <w:t>pay for a class party.</w:t>
      </w:r>
      <w:r w:rsidR="0012622B" w:rsidRPr="00652167">
        <w:t xml:space="preserve"> </w:t>
      </w:r>
      <w:r w:rsidR="00766DE2" w:rsidRPr="00652167">
        <w:t>(These gift cards will go to school employees, not employees of the IO administering the curriculum.)</w:t>
      </w:r>
    </w:p>
    <w:p w14:paraId="595206CD" w14:textId="77777777" w:rsidR="00E27123" w:rsidRPr="00652167" w:rsidRDefault="00E27123" w:rsidP="00E8542E">
      <w:pPr>
        <w:pStyle w:val="OMBbodytext"/>
        <w:numPr>
          <w:ilvl w:val="0"/>
          <w:numId w:val="24"/>
        </w:numPr>
        <w:spacing w:after="120"/>
        <w:ind w:left="1138"/>
      </w:pPr>
      <w:r w:rsidRPr="00652167">
        <w:t>E</w:t>
      </w:r>
      <w:r w:rsidR="0012622B" w:rsidRPr="00652167">
        <w:t>ligib</w:t>
      </w:r>
      <w:r w:rsidRPr="00652167">
        <w:t>ility</w:t>
      </w:r>
      <w:r w:rsidR="0012622B" w:rsidRPr="00652167">
        <w:t xml:space="preserve"> to participate in two $25 gift card drawings</w:t>
      </w:r>
      <w:r w:rsidRPr="00652167">
        <w:t xml:space="preserve"> for all youth who return a signed parental consent form</w:t>
      </w:r>
      <w:r w:rsidR="0012622B" w:rsidRPr="00652167">
        <w:t xml:space="preserve">. </w:t>
      </w:r>
    </w:p>
    <w:p w14:paraId="3ADBC39C" w14:textId="77777777" w:rsidR="00766DE2" w:rsidRPr="00652167" w:rsidRDefault="00766DE2" w:rsidP="00E8542E">
      <w:pPr>
        <w:pStyle w:val="bullets2nd-level"/>
        <w:numPr>
          <w:ilvl w:val="0"/>
          <w:numId w:val="24"/>
        </w:numPr>
      </w:pPr>
      <w:r w:rsidRPr="00652167">
        <w:rPr>
          <w:rFonts w:ascii="Times New Roman" w:hAnsi="Times New Roman"/>
          <w:sz w:val="24"/>
        </w:rPr>
        <w:t xml:space="preserve">A </w:t>
      </w:r>
      <w:r w:rsidRPr="00652167">
        <w:rPr>
          <w:rFonts w:ascii="Times New Roman" w:eastAsia="Times New Roman" w:hAnsi="Times New Roman"/>
          <w:sz w:val="24"/>
          <w:szCs w:val="20"/>
          <w:lang w:eastAsia="en-US"/>
        </w:rPr>
        <w:t>small</w:t>
      </w:r>
      <w:r w:rsidRPr="00652167">
        <w:rPr>
          <w:rFonts w:ascii="Times New Roman" w:hAnsi="Times New Roman"/>
          <w:sz w:val="24"/>
        </w:rPr>
        <w:t xml:space="preserve"> incentive</w:t>
      </w:r>
      <w:r w:rsidRPr="00652167">
        <w:rPr>
          <w:rFonts w:ascii="Times New Roman" w:eastAsia="Times New Roman" w:hAnsi="Times New Roman"/>
          <w:sz w:val="24"/>
          <w:szCs w:val="20"/>
          <w:lang w:eastAsia="en-US"/>
        </w:rPr>
        <w:t xml:space="preserve">, equivalent to $1 </w:t>
      </w:r>
      <w:r w:rsidR="00F62281" w:rsidRPr="00652167">
        <w:rPr>
          <w:rFonts w:ascii="Times New Roman" w:eastAsia="Times New Roman" w:hAnsi="Times New Roman"/>
          <w:sz w:val="24"/>
          <w:szCs w:val="20"/>
          <w:lang w:eastAsia="en-US"/>
        </w:rPr>
        <w:t xml:space="preserve">or less </w:t>
      </w:r>
      <w:r w:rsidRPr="00652167">
        <w:rPr>
          <w:rFonts w:ascii="Times New Roman" w:eastAsia="Times New Roman" w:hAnsi="Times New Roman"/>
          <w:sz w:val="24"/>
          <w:szCs w:val="20"/>
          <w:lang w:eastAsia="en-US"/>
        </w:rPr>
        <w:t xml:space="preserve">in value (e.g., </w:t>
      </w:r>
      <w:r w:rsidR="00B37A08" w:rsidRPr="00652167">
        <w:rPr>
          <w:rFonts w:ascii="Times New Roman" w:eastAsia="Times New Roman" w:hAnsi="Times New Roman"/>
          <w:sz w:val="24"/>
          <w:szCs w:val="20"/>
          <w:lang w:eastAsia="en-US"/>
        </w:rPr>
        <w:t>pen</w:t>
      </w:r>
      <w:r w:rsidRPr="00652167">
        <w:rPr>
          <w:rFonts w:ascii="Times New Roman" w:eastAsia="Times New Roman" w:hAnsi="Times New Roman"/>
          <w:sz w:val="24"/>
          <w:szCs w:val="20"/>
          <w:lang w:eastAsia="en-US"/>
        </w:rPr>
        <w:t>, notepad),</w:t>
      </w:r>
      <w:r w:rsidRPr="00652167">
        <w:rPr>
          <w:rFonts w:ascii="Times New Roman" w:hAnsi="Times New Roman"/>
          <w:sz w:val="24"/>
        </w:rPr>
        <w:t xml:space="preserve"> for each youth who returns a signed form. </w:t>
      </w:r>
    </w:p>
    <w:p w14:paraId="1BEC090C" w14:textId="77777777" w:rsidR="00E27123" w:rsidRPr="00652167" w:rsidRDefault="00E27123" w:rsidP="00911F26">
      <w:pPr>
        <w:pStyle w:val="OMBbodytext"/>
        <w:numPr>
          <w:ilvl w:val="0"/>
          <w:numId w:val="24"/>
        </w:numPr>
      </w:pPr>
      <w:r w:rsidRPr="00652167">
        <w:t xml:space="preserve">$50 for a </w:t>
      </w:r>
      <w:r w:rsidR="00362103" w:rsidRPr="00652167">
        <w:t xml:space="preserve">party </w:t>
      </w:r>
      <w:r w:rsidRPr="00652167">
        <w:t>for t</w:t>
      </w:r>
      <w:r w:rsidR="0012622B" w:rsidRPr="00652167">
        <w:t>he class from each grade at the school with the highest return rate</w:t>
      </w:r>
      <w:r w:rsidRPr="00652167">
        <w:t>.</w:t>
      </w:r>
    </w:p>
    <w:p w14:paraId="4923CEE0" w14:textId="77777777" w:rsidR="005E51C6" w:rsidRPr="00652167" w:rsidRDefault="005E51C6" w:rsidP="004521C5">
      <w:pPr>
        <w:pStyle w:val="OMBbodytext"/>
      </w:pPr>
      <w:r w:rsidRPr="00652167">
        <w:rPr>
          <w:b/>
          <w:i/>
        </w:rPr>
        <w:t>Exhibit</w:t>
      </w:r>
      <w:r w:rsidR="00BA37FD" w:rsidRPr="00652167">
        <w:rPr>
          <w:b/>
          <w:i/>
        </w:rPr>
        <w:t>s</w:t>
      </w:r>
      <w:r w:rsidR="00B25350" w:rsidRPr="00652167">
        <w:rPr>
          <w:b/>
          <w:i/>
        </w:rPr>
        <w:t xml:space="preserve"> </w:t>
      </w:r>
      <w:r w:rsidR="00B657F4" w:rsidRPr="00652167">
        <w:rPr>
          <w:b/>
          <w:i/>
        </w:rPr>
        <w:t>8</w:t>
      </w:r>
      <w:r w:rsidR="00942AFA" w:rsidRPr="00652167">
        <w:t xml:space="preserve"> </w:t>
      </w:r>
      <w:r w:rsidR="00BA37FD" w:rsidRPr="00652167">
        <w:t xml:space="preserve">and </w:t>
      </w:r>
      <w:r w:rsidR="00B657F4" w:rsidRPr="00652167">
        <w:rPr>
          <w:b/>
          <w:i/>
        </w:rPr>
        <w:t>9</w:t>
      </w:r>
      <w:r w:rsidR="00942AFA" w:rsidRPr="00652167">
        <w:t xml:space="preserve"> </w:t>
      </w:r>
      <w:r w:rsidR="00BA37FD" w:rsidRPr="00652167">
        <w:t>list</w:t>
      </w:r>
      <w:r w:rsidRPr="00652167">
        <w:t xml:space="preserve"> studies that have employed </w:t>
      </w:r>
      <w:r w:rsidR="00D33A43" w:rsidRPr="00652167">
        <w:t xml:space="preserve">similar </w:t>
      </w:r>
      <w:r w:rsidRPr="00652167">
        <w:t>individ</w:t>
      </w:r>
      <w:r w:rsidR="00D66301" w:rsidRPr="00652167">
        <w:t>ual and school-level incentives</w:t>
      </w:r>
      <w:r w:rsidRPr="00652167">
        <w:t>.</w:t>
      </w:r>
    </w:p>
    <w:p w14:paraId="7DC44615" w14:textId="77777777" w:rsidR="002350DF" w:rsidRPr="00652167" w:rsidRDefault="00B25350" w:rsidP="00A454A7">
      <w:pPr>
        <w:pStyle w:val="OMBExhibitTitle"/>
      </w:pPr>
      <w:bookmarkStart w:id="55" w:name="_Toc152657946"/>
      <w:bookmarkStart w:id="56" w:name="_Toc152658128"/>
      <w:bookmarkStart w:id="57" w:name="_Toc521501858"/>
      <w:bookmarkStart w:id="58" w:name="_Toc534379997"/>
      <w:bookmarkStart w:id="59" w:name="_Toc531630036"/>
      <w:bookmarkStart w:id="60" w:name="_Toc11750116"/>
      <w:r w:rsidRPr="00652167">
        <w:t xml:space="preserve">Exhibit </w:t>
      </w:r>
      <w:r w:rsidR="00B657F4" w:rsidRPr="00652167">
        <w:t>8</w:t>
      </w:r>
      <w:r w:rsidR="002350DF" w:rsidRPr="00652167">
        <w:t xml:space="preserve">. </w:t>
      </w:r>
      <w:r w:rsidR="002350DF" w:rsidRPr="00652167">
        <w:tab/>
        <w:t xml:space="preserve">RTI Studies Involving </w:t>
      </w:r>
      <w:r w:rsidR="00990D95" w:rsidRPr="00652167">
        <w:t xml:space="preserve">Incentives for </w:t>
      </w:r>
      <w:r w:rsidR="002350DF" w:rsidRPr="00652167">
        <w:t>C</w:t>
      </w:r>
      <w:r w:rsidR="00D21970" w:rsidRPr="00652167">
        <w:t>lass-</w:t>
      </w:r>
      <w:r w:rsidR="00990D95" w:rsidRPr="00652167">
        <w:t xml:space="preserve">Level Return of </w:t>
      </w:r>
      <w:r w:rsidR="00D33A43" w:rsidRPr="00652167">
        <w:t xml:space="preserve">Consent </w:t>
      </w:r>
      <w:r w:rsidR="00990D95" w:rsidRPr="00652167">
        <w:t>Forms</w:t>
      </w:r>
      <w:bookmarkEnd w:id="55"/>
      <w:bookmarkEnd w:id="56"/>
      <w:bookmarkEnd w:id="57"/>
      <w:bookmarkEnd w:id="58"/>
      <w:bookmarkEnd w:id="59"/>
      <w:bookmarkEnd w:id="6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0"/>
        <w:gridCol w:w="5156"/>
      </w:tblGrid>
      <w:tr w:rsidR="00D21970" w:rsidRPr="00652167" w14:paraId="48ADB6CD" w14:textId="77777777" w:rsidTr="00E8542E">
        <w:tc>
          <w:tcPr>
            <w:tcW w:w="2333" w:type="pct"/>
            <w:shd w:val="clear" w:color="auto" w:fill="auto"/>
            <w:vAlign w:val="bottom"/>
          </w:tcPr>
          <w:p w14:paraId="6DC1843E" w14:textId="77777777" w:rsidR="00D21970" w:rsidRPr="00652167" w:rsidRDefault="00D21970" w:rsidP="00A454A7">
            <w:pPr>
              <w:pStyle w:val="TableHeaders"/>
              <w:keepNext/>
            </w:pPr>
            <w:r w:rsidRPr="00652167">
              <w:t xml:space="preserve">RTI </w:t>
            </w:r>
            <w:r w:rsidR="006179E2" w:rsidRPr="00652167">
              <w:t>s</w:t>
            </w:r>
            <w:r w:rsidRPr="00652167">
              <w:t>tudy</w:t>
            </w:r>
          </w:p>
        </w:tc>
        <w:tc>
          <w:tcPr>
            <w:tcW w:w="2667" w:type="pct"/>
            <w:shd w:val="clear" w:color="auto" w:fill="auto"/>
            <w:vAlign w:val="bottom"/>
          </w:tcPr>
          <w:p w14:paraId="33FB3F07" w14:textId="77777777" w:rsidR="00D21970" w:rsidRPr="00652167" w:rsidRDefault="00D21970" w:rsidP="00A454A7">
            <w:pPr>
              <w:pStyle w:val="TableHeaders"/>
              <w:keepNext/>
            </w:pPr>
            <w:r w:rsidRPr="00652167">
              <w:t xml:space="preserve">Incentive </w:t>
            </w:r>
            <w:r w:rsidR="006179E2" w:rsidRPr="00652167">
              <w:t>p</w:t>
            </w:r>
            <w:r w:rsidRPr="00652167">
              <w:t>rovided</w:t>
            </w:r>
          </w:p>
        </w:tc>
      </w:tr>
      <w:tr w:rsidR="00D21970" w:rsidRPr="00652167" w14:paraId="68BF083A" w14:textId="77777777" w:rsidTr="00E8542E">
        <w:trPr>
          <w:trHeight w:val="610"/>
        </w:trPr>
        <w:tc>
          <w:tcPr>
            <w:tcW w:w="2333" w:type="pct"/>
            <w:shd w:val="clear" w:color="auto" w:fill="auto"/>
            <w:vAlign w:val="bottom"/>
          </w:tcPr>
          <w:p w14:paraId="4B4AA659" w14:textId="77777777" w:rsidR="00D21970" w:rsidRPr="00652167" w:rsidRDefault="00D21970" w:rsidP="00773A48">
            <w:pPr>
              <w:pStyle w:val="TableText0"/>
            </w:pPr>
            <w:r w:rsidRPr="00652167">
              <w:t>Safe Schools/Healthy Students Initiative (1999–2004)</w:t>
            </w:r>
          </w:p>
        </w:tc>
        <w:tc>
          <w:tcPr>
            <w:tcW w:w="2667" w:type="pct"/>
            <w:shd w:val="clear" w:color="auto" w:fill="auto"/>
            <w:vAlign w:val="bottom"/>
          </w:tcPr>
          <w:p w14:paraId="09DC6FF0" w14:textId="77777777" w:rsidR="00D21970" w:rsidRPr="00652167" w:rsidRDefault="00D21970" w:rsidP="00773A48">
            <w:pPr>
              <w:pStyle w:val="TableText0"/>
            </w:pPr>
            <w:r w:rsidRPr="00652167">
              <w:t>$25 per classroom achieving a minimum of 70% active parental consent forms signed and returned</w:t>
            </w:r>
          </w:p>
        </w:tc>
      </w:tr>
      <w:tr w:rsidR="00D21970" w:rsidRPr="00652167" w14:paraId="743B2C82" w14:textId="77777777" w:rsidTr="00E8542E">
        <w:trPr>
          <w:trHeight w:val="610"/>
        </w:trPr>
        <w:tc>
          <w:tcPr>
            <w:tcW w:w="2333" w:type="pct"/>
            <w:shd w:val="clear" w:color="auto" w:fill="auto"/>
            <w:vAlign w:val="center"/>
          </w:tcPr>
          <w:p w14:paraId="03AB8233" w14:textId="77777777" w:rsidR="00D21970" w:rsidRPr="00652167" w:rsidRDefault="00D21970" w:rsidP="00773A48">
            <w:pPr>
              <w:pStyle w:val="TableText0"/>
            </w:pPr>
            <w:r w:rsidRPr="00652167">
              <w:t>Middle School Coordinator Initiative (1999–2004)</w:t>
            </w:r>
          </w:p>
        </w:tc>
        <w:tc>
          <w:tcPr>
            <w:tcW w:w="2667" w:type="pct"/>
            <w:shd w:val="clear" w:color="auto" w:fill="auto"/>
            <w:vAlign w:val="center"/>
          </w:tcPr>
          <w:p w14:paraId="65AE8BEF" w14:textId="77777777" w:rsidR="00D21970" w:rsidRPr="00652167" w:rsidRDefault="00D21970" w:rsidP="00773A48">
            <w:pPr>
              <w:pStyle w:val="TableText0"/>
            </w:pPr>
            <w:r w:rsidRPr="00652167">
              <w:t>$25 per classroom achieving a minimum of 70% active parental consent forms signed and returned</w:t>
            </w:r>
          </w:p>
        </w:tc>
      </w:tr>
      <w:tr w:rsidR="00D21970" w:rsidRPr="00652167" w14:paraId="2053C3A1" w14:textId="77777777" w:rsidTr="00E8542E">
        <w:trPr>
          <w:trHeight w:val="610"/>
        </w:trPr>
        <w:tc>
          <w:tcPr>
            <w:tcW w:w="2333" w:type="pct"/>
            <w:shd w:val="clear" w:color="auto" w:fill="auto"/>
            <w:vAlign w:val="bottom"/>
          </w:tcPr>
          <w:p w14:paraId="1D276B85" w14:textId="77777777" w:rsidR="00D21970" w:rsidRPr="00652167" w:rsidRDefault="00D21970" w:rsidP="00773A48">
            <w:pPr>
              <w:pStyle w:val="TableText0"/>
            </w:pPr>
            <w:r w:rsidRPr="00652167">
              <w:t>Impact Evaluation of a School-</w:t>
            </w:r>
            <w:r w:rsidR="00990D95" w:rsidRPr="00652167">
              <w:t xml:space="preserve">Based </w:t>
            </w:r>
            <w:r w:rsidRPr="00652167">
              <w:t>Violence Prevention Program (2004–2009)</w:t>
            </w:r>
          </w:p>
        </w:tc>
        <w:tc>
          <w:tcPr>
            <w:tcW w:w="2667" w:type="pct"/>
            <w:shd w:val="clear" w:color="auto" w:fill="auto"/>
            <w:vAlign w:val="center"/>
          </w:tcPr>
          <w:p w14:paraId="0C547D33" w14:textId="77777777" w:rsidR="00D21970" w:rsidRPr="00652167" w:rsidRDefault="00D21970" w:rsidP="00773A48">
            <w:pPr>
              <w:pStyle w:val="TableText0"/>
            </w:pPr>
            <w:r w:rsidRPr="00652167">
              <w:t>$25 per classroom achieving a minimum of 90% active parental consent forms signed and returned</w:t>
            </w:r>
          </w:p>
        </w:tc>
      </w:tr>
    </w:tbl>
    <w:p w14:paraId="4884B082" w14:textId="77777777" w:rsidR="002350DF" w:rsidRPr="00652167" w:rsidRDefault="002350DF" w:rsidP="002350DF">
      <w:pPr>
        <w:pStyle w:val="BodyText"/>
      </w:pPr>
    </w:p>
    <w:p w14:paraId="25744DD6" w14:textId="77777777" w:rsidR="002350DF" w:rsidRPr="00652167" w:rsidRDefault="00B25350" w:rsidP="00AB20FC">
      <w:pPr>
        <w:pStyle w:val="OMBExhibitTitle"/>
      </w:pPr>
      <w:bookmarkStart w:id="61" w:name="_Toc521501859"/>
      <w:bookmarkStart w:id="62" w:name="_Toc534379998"/>
      <w:bookmarkStart w:id="63" w:name="_Toc531630037"/>
      <w:bookmarkStart w:id="64" w:name="_Toc11750117"/>
      <w:r w:rsidRPr="00652167">
        <w:t xml:space="preserve">Exhibit </w:t>
      </w:r>
      <w:r w:rsidR="00B657F4" w:rsidRPr="00652167">
        <w:t>9</w:t>
      </w:r>
      <w:r w:rsidR="002350DF" w:rsidRPr="00652167">
        <w:t xml:space="preserve">. </w:t>
      </w:r>
      <w:r w:rsidR="002350DF" w:rsidRPr="00652167">
        <w:tab/>
        <w:t xml:space="preserve">RTI Studies Involving </w:t>
      </w:r>
      <w:r w:rsidR="00990D95" w:rsidRPr="00652167">
        <w:t xml:space="preserve">Incentives to </w:t>
      </w:r>
      <w:r w:rsidR="001A3676" w:rsidRPr="00652167">
        <w:t>Youth</w:t>
      </w:r>
      <w:r w:rsidR="002350DF" w:rsidRPr="00652167">
        <w:t xml:space="preserve"> </w:t>
      </w:r>
      <w:r w:rsidR="00990D95" w:rsidRPr="00652167">
        <w:t xml:space="preserve">for </w:t>
      </w:r>
      <w:r w:rsidR="002350DF" w:rsidRPr="00652167">
        <w:t xml:space="preserve">Return </w:t>
      </w:r>
      <w:r w:rsidR="00990D95" w:rsidRPr="00652167">
        <w:t>of Consent Forms</w:t>
      </w:r>
      <w:bookmarkEnd w:id="61"/>
      <w:bookmarkEnd w:id="62"/>
      <w:bookmarkEnd w:id="63"/>
      <w:bookmarkEnd w:id="6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75"/>
        <w:gridCol w:w="3865"/>
      </w:tblGrid>
      <w:tr w:rsidR="00D21970" w:rsidRPr="00652167" w14:paraId="224B84CF" w14:textId="77777777" w:rsidTr="00E8542E">
        <w:tc>
          <w:tcPr>
            <w:tcW w:w="5575" w:type="dxa"/>
            <w:shd w:val="clear" w:color="auto" w:fill="auto"/>
            <w:vAlign w:val="bottom"/>
          </w:tcPr>
          <w:p w14:paraId="79DABFB7" w14:textId="77777777" w:rsidR="00D21970" w:rsidRPr="00652167" w:rsidRDefault="00D21970" w:rsidP="00773A48">
            <w:pPr>
              <w:pStyle w:val="TableHeaders"/>
            </w:pPr>
            <w:r w:rsidRPr="00652167">
              <w:t xml:space="preserve">RTI </w:t>
            </w:r>
            <w:r w:rsidR="006179E2" w:rsidRPr="00652167">
              <w:t>s</w:t>
            </w:r>
            <w:r w:rsidRPr="00652167">
              <w:t>tudy</w:t>
            </w:r>
          </w:p>
        </w:tc>
        <w:tc>
          <w:tcPr>
            <w:tcW w:w="3865" w:type="dxa"/>
            <w:shd w:val="clear" w:color="auto" w:fill="auto"/>
            <w:vAlign w:val="bottom"/>
          </w:tcPr>
          <w:p w14:paraId="57F9B96E" w14:textId="77777777" w:rsidR="00D21970" w:rsidRPr="00652167" w:rsidRDefault="00D21970" w:rsidP="00773A48">
            <w:pPr>
              <w:pStyle w:val="TableHeaders"/>
            </w:pPr>
            <w:r w:rsidRPr="00652167">
              <w:t xml:space="preserve">Incentive </w:t>
            </w:r>
            <w:r w:rsidR="006179E2" w:rsidRPr="00652167">
              <w:t>p</w:t>
            </w:r>
            <w:r w:rsidRPr="00652167">
              <w:t>rovided</w:t>
            </w:r>
          </w:p>
        </w:tc>
      </w:tr>
      <w:tr w:rsidR="00D21970" w:rsidRPr="00652167" w14:paraId="01350963" w14:textId="77777777" w:rsidTr="00E8542E">
        <w:tc>
          <w:tcPr>
            <w:tcW w:w="5575" w:type="dxa"/>
            <w:vAlign w:val="center"/>
          </w:tcPr>
          <w:p w14:paraId="4632B67E" w14:textId="77777777" w:rsidR="00D21970" w:rsidRPr="00652167" w:rsidRDefault="00D21970" w:rsidP="00773A48">
            <w:pPr>
              <w:pStyle w:val="TableText0"/>
              <w:rPr>
                <w:sz w:val="22"/>
                <w:szCs w:val="22"/>
              </w:rPr>
            </w:pPr>
            <w:r w:rsidRPr="00652167">
              <w:t>Evaluating the Prevention Effects of Men of Strength (MOST) Clubs on Sexual Violence and Teen Dating Violence Perpetration</w:t>
            </w:r>
          </w:p>
        </w:tc>
        <w:tc>
          <w:tcPr>
            <w:tcW w:w="3865" w:type="dxa"/>
            <w:vAlign w:val="center"/>
          </w:tcPr>
          <w:p w14:paraId="228FC994" w14:textId="77777777" w:rsidR="00D21970" w:rsidRPr="00652167" w:rsidRDefault="00D21970" w:rsidP="00773A48">
            <w:pPr>
              <w:pStyle w:val="TableText0"/>
              <w:rPr>
                <w:sz w:val="22"/>
                <w:szCs w:val="22"/>
              </w:rPr>
            </w:pPr>
            <w:r w:rsidRPr="00652167">
              <w:t>$1 token incentive for signed permission form</w:t>
            </w:r>
          </w:p>
        </w:tc>
      </w:tr>
      <w:tr w:rsidR="00D21970" w:rsidRPr="00652167" w14:paraId="67FF255F" w14:textId="77777777" w:rsidTr="00652167">
        <w:tc>
          <w:tcPr>
            <w:tcW w:w="5575" w:type="dxa"/>
            <w:vAlign w:val="center"/>
          </w:tcPr>
          <w:p w14:paraId="6AB5CD8A" w14:textId="77777777" w:rsidR="00D21970" w:rsidRPr="00652167" w:rsidRDefault="00D21970" w:rsidP="00773A48">
            <w:pPr>
              <w:pStyle w:val="TableText0"/>
              <w:rPr>
                <w:sz w:val="22"/>
                <w:szCs w:val="22"/>
              </w:rPr>
            </w:pPr>
            <w:r w:rsidRPr="00652167">
              <w:t xml:space="preserve">The </w:t>
            </w:r>
            <w:bookmarkStart w:id="65" w:name="_Hlk521509760"/>
            <w:r w:rsidRPr="00652167">
              <w:t>Comprehension of Emergency Operations Protocols Study</w:t>
            </w:r>
            <w:bookmarkEnd w:id="65"/>
            <w:r w:rsidRPr="00652167">
              <w:t xml:space="preserve"> (CEOP)</w:t>
            </w:r>
          </w:p>
        </w:tc>
        <w:tc>
          <w:tcPr>
            <w:tcW w:w="3865" w:type="dxa"/>
            <w:vAlign w:val="center"/>
          </w:tcPr>
          <w:p w14:paraId="5B9B1846" w14:textId="77777777" w:rsidR="00D21970" w:rsidRPr="00652167" w:rsidRDefault="00D21970" w:rsidP="00773A48">
            <w:pPr>
              <w:pStyle w:val="TableText0"/>
            </w:pPr>
            <w:r w:rsidRPr="00652167">
              <w:t>$1 token incentive for signed permission form</w:t>
            </w:r>
          </w:p>
        </w:tc>
      </w:tr>
      <w:tr w:rsidR="00D21970" w:rsidRPr="00652167" w14:paraId="40E5DBC4" w14:textId="77777777" w:rsidTr="00652167">
        <w:tc>
          <w:tcPr>
            <w:tcW w:w="5575" w:type="dxa"/>
            <w:vAlign w:val="center"/>
          </w:tcPr>
          <w:p w14:paraId="42499596" w14:textId="77777777" w:rsidR="00D21970" w:rsidRPr="00652167" w:rsidRDefault="00D21970" w:rsidP="00773A48">
            <w:pPr>
              <w:pStyle w:val="TableText0"/>
            </w:pPr>
            <w:r w:rsidRPr="00652167">
              <w:t xml:space="preserve">Redesigned High Schools for </w:t>
            </w:r>
            <w:bookmarkStart w:id="66" w:name="_Hlk521509864"/>
            <w:r w:rsidRPr="00652167">
              <w:t xml:space="preserve">Transformed STEM Learning Study </w:t>
            </w:r>
            <w:bookmarkEnd w:id="66"/>
            <w:r w:rsidRPr="00652167">
              <w:t>(TSL)</w:t>
            </w:r>
          </w:p>
        </w:tc>
        <w:tc>
          <w:tcPr>
            <w:tcW w:w="3865" w:type="dxa"/>
            <w:vAlign w:val="center"/>
          </w:tcPr>
          <w:p w14:paraId="1BFC80CC" w14:textId="77777777" w:rsidR="00D21970" w:rsidRPr="00652167" w:rsidRDefault="00D21970" w:rsidP="00773A48">
            <w:pPr>
              <w:pStyle w:val="TableText0"/>
            </w:pPr>
            <w:r w:rsidRPr="00652167">
              <w:t>$1 token incentive for signed permission form</w:t>
            </w:r>
          </w:p>
        </w:tc>
      </w:tr>
    </w:tbl>
    <w:p w14:paraId="4D2CB6E2" w14:textId="77777777" w:rsidR="002350DF" w:rsidRPr="00652167" w:rsidRDefault="002350DF" w:rsidP="002350DF">
      <w:pPr>
        <w:spacing w:after="120"/>
        <w:rPr>
          <w:b/>
          <w:u w:val="single"/>
        </w:rPr>
      </w:pPr>
    </w:p>
    <w:p w14:paraId="4770DD49" w14:textId="77777777" w:rsidR="007A15F0" w:rsidRPr="00652167" w:rsidRDefault="301858A8" w:rsidP="007A15F0">
      <w:pPr>
        <w:pStyle w:val="OMBHeading-2"/>
        <w:outlineLvl w:val="1"/>
        <w:rPr>
          <w:u w:val="single"/>
        </w:rPr>
      </w:pPr>
      <w:bookmarkStart w:id="67" w:name="_Hlk515866424"/>
      <w:bookmarkStart w:id="68" w:name="_Toc521515008"/>
      <w:bookmarkStart w:id="69" w:name="_Toc523154576"/>
      <w:bookmarkStart w:id="70" w:name="_Toc11750133"/>
      <w:r w:rsidRPr="00652167">
        <w:rPr>
          <w:u w:val="single"/>
        </w:rPr>
        <w:t>Assurance of Confidentiality Provided to Respondents</w:t>
      </w:r>
      <w:bookmarkEnd w:id="67"/>
      <w:bookmarkEnd w:id="68"/>
      <w:bookmarkEnd w:id="69"/>
      <w:bookmarkEnd w:id="70"/>
    </w:p>
    <w:p w14:paraId="4FE6038C" w14:textId="77777777" w:rsidR="00A70003" w:rsidRPr="00652167" w:rsidRDefault="00A70003" w:rsidP="00BE7550">
      <w:pPr>
        <w:pStyle w:val="OMBbodytext"/>
      </w:pPr>
      <w:bookmarkStart w:id="71" w:name="_Hlk531243848"/>
      <w:r w:rsidRPr="00652167">
        <w:t xml:space="preserve">Parental consent and youth assent forms are provided in </w:t>
      </w:r>
      <w:r w:rsidRPr="00652167">
        <w:rPr>
          <w:b/>
        </w:rPr>
        <w:t>Appendices A and B</w:t>
      </w:r>
      <w:r w:rsidRPr="00652167">
        <w:t>, respectively. These forms discuss participants’ rights and privacy protections.</w:t>
      </w:r>
    </w:p>
    <w:p w14:paraId="4622FD62" w14:textId="77777777" w:rsidR="005D4B68" w:rsidRPr="00652167" w:rsidRDefault="00A512FD" w:rsidP="00BE7550">
      <w:pPr>
        <w:pStyle w:val="OMBbodytext"/>
      </w:pPr>
      <w:r w:rsidRPr="00652167">
        <w:t xml:space="preserve">Personally identifiable information (PII) about participating </w:t>
      </w:r>
      <w:r w:rsidR="00851041" w:rsidRPr="00652167">
        <w:t>youth</w:t>
      </w:r>
      <w:r w:rsidR="009D1B91" w:rsidRPr="00652167">
        <w:t>—</w:t>
      </w:r>
      <w:r w:rsidRPr="00652167">
        <w:t xml:space="preserve">including name, date of birth, and </w:t>
      </w:r>
      <w:r w:rsidR="00CF0268" w:rsidRPr="00652167">
        <w:t xml:space="preserve">student </w:t>
      </w:r>
      <w:r w:rsidRPr="00652167">
        <w:t>identification number</w:t>
      </w:r>
      <w:r w:rsidR="009D1B91" w:rsidRPr="00652167">
        <w:t>—</w:t>
      </w:r>
      <w:r w:rsidRPr="00652167">
        <w:t>will be collected from the</w:t>
      </w:r>
      <w:r w:rsidR="00851041" w:rsidRPr="00652167">
        <w:t>ir</w:t>
      </w:r>
      <w:r w:rsidRPr="00652167">
        <w:t xml:space="preserve"> school or school district office along with school records data (e.g., gender, race/ethnicity, </w:t>
      </w:r>
      <w:r w:rsidR="00CF0268" w:rsidRPr="00652167">
        <w:t xml:space="preserve">grade, homeroom teacher, </w:t>
      </w:r>
      <w:r w:rsidRPr="00652167">
        <w:t>eligibility for free and/or reduced-price lunches</w:t>
      </w:r>
      <w:r w:rsidR="00CF0268" w:rsidRPr="00652167">
        <w:t>, and English as a Second Language (ESL) designation</w:t>
      </w:r>
      <w:r w:rsidRPr="00652167">
        <w:t xml:space="preserve">). PII will be used to construct </w:t>
      </w:r>
      <w:r w:rsidR="001E603D" w:rsidRPr="00652167">
        <w:t>youth</w:t>
      </w:r>
      <w:r w:rsidRPr="00652167">
        <w:t xml:space="preserve"> rosters for the purpose of tracking parental consent forms for the </w:t>
      </w:r>
      <w:r w:rsidR="001E603D" w:rsidRPr="00652167">
        <w:t>youth</w:t>
      </w:r>
      <w:r w:rsidRPr="00652167">
        <w:t xml:space="preserve"> survey</w:t>
      </w:r>
      <w:r w:rsidR="003A0D42" w:rsidRPr="00652167">
        <w:t>s</w:t>
      </w:r>
      <w:r w:rsidR="002547D0" w:rsidRPr="00652167">
        <w:t>,</w:t>
      </w:r>
      <w:r w:rsidRPr="00652167">
        <w:t xml:space="preserve"> distributing survey booklets to </w:t>
      </w:r>
      <w:r w:rsidR="001E603D" w:rsidRPr="00652167">
        <w:t>youth</w:t>
      </w:r>
      <w:r w:rsidR="002547D0" w:rsidRPr="00652167">
        <w:t>, and tracking attrition</w:t>
      </w:r>
      <w:r w:rsidRPr="00652167">
        <w:t xml:space="preserve">. </w:t>
      </w:r>
      <w:r w:rsidR="00962CF2" w:rsidRPr="00652167">
        <w:t xml:space="preserve">This latter issue of tracking attrition is particularly important in program evaluation, so that researchers and other stakeholders can understand any </w:t>
      </w:r>
      <w:r w:rsidR="00DA69DE" w:rsidRPr="00652167">
        <w:t>differences between</w:t>
      </w:r>
      <w:r w:rsidR="00962CF2" w:rsidRPr="00652167">
        <w:t xml:space="preserve"> </w:t>
      </w:r>
      <w:r w:rsidR="009E1732" w:rsidRPr="00652167">
        <w:t xml:space="preserve">youth </w:t>
      </w:r>
      <w:r w:rsidR="00962CF2" w:rsidRPr="00652167">
        <w:t xml:space="preserve">who participated in the study versus those who did not. </w:t>
      </w:r>
      <w:r w:rsidR="00361520" w:rsidRPr="00652167">
        <w:t>Without receiving rosters</w:t>
      </w:r>
      <w:r w:rsidR="001B4C65" w:rsidRPr="00652167">
        <w:t xml:space="preserve"> of all eligible students in the school</w:t>
      </w:r>
      <w:r w:rsidR="00361520" w:rsidRPr="00652167">
        <w:t>, researchers would only have demographic data from the youth who</w:t>
      </w:r>
      <w:r w:rsidR="00EC5A71" w:rsidRPr="00652167">
        <w:t xml:space="preserve"> </w:t>
      </w:r>
      <w:r w:rsidR="00EC5A71" w:rsidRPr="00652167">
        <w:rPr>
          <w:i/>
        </w:rPr>
        <w:t>did</w:t>
      </w:r>
      <w:r w:rsidR="00361520" w:rsidRPr="00652167">
        <w:t xml:space="preserve"> participate in the study and would be unable to determine whether these youth differed from those who did </w:t>
      </w:r>
      <w:r w:rsidR="00361520" w:rsidRPr="00652167">
        <w:rPr>
          <w:i/>
        </w:rPr>
        <w:t>not</w:t>
      </w:r>
      <w:r w:rsidR="00361520" w:rsidRPr="00652167">
        <w:t xml:space="preserve"> participate in the study.</w:t>
      </w:r>
      <w:r w:rsidR="006B7892" w:rsidRPr="00652167">
        <w:rPr>
          <w:rStyle w:val="FootnoteReference"/>
          <w:vertAlign w:val="superscript"/>
        </w:rPr>
        <w:footnoteReference w:id="10"/>
      </w:r>
      <w:r w:rsidR="0053233B" w:rsidRPr="00652167">
        <w:t xml:space="preserve"> </w:t>
      </w:r>
      <w:r w:rsidR="005F5F05" w:rsidRPr="00652167">
        <w:t xml:space="preserve">Some PII (e.g., demographics) </w:t>
      </w:r>
      <w:r w:rsidR="00965F44" w:rsidRPr="00652167">
        <w:t xml:space="preserve">from the rosters </w:t>
      </w:r>
      <w:r w:rsidR="005F5F05" w:rsidRPr="00652167">
        <w:t>will also be used as covariates or control variables for the analysis</w:t>
      </w:r>
      <w:r w:rsidR="0053233B" w:rsidRPr="00652167">
        <w:t xml:space="preserve">. </w:t>
      </w:r>
    </w:p>
    <w:p w14:paraId="31B9619D" w14:textId="77777777" w:rsidR="00BE7550" w:rsidRPr="00652167" w:rsidRDefault="00BE7550" w:rsidP="00BE7550">
      <w:pPr>
        <w:pStyle w:val="OMBbodytext"/>
      </w:pPr>
      <w:r w:rsidRPr="00652167">
        <w:t xml:space="preserve">This PII </w:t>
      </w:r>
      <w:r w:rsidR="00851521" w:rsidRPr="00652167">
        <w:t xml:space="preserve">data </w:t>
      </w:r>
      <w:r w:rsidRPr="00652167">
        <w:t xml:space="preserve">will be shared with the project team </w:t>
      </w:r>
      <w:r w:rsidR="005D4B68" w:rsidRPr="00652167">
        <w:t xml:space="preserve">by schools </w:t>
      </w:r>
      <w:r w:rsidRPr="00652167">
        <w:t>via a secure</w:t>
      </w:r>
      <w:r w:rsidRPr="00652167">
        <w:rPr>
          <w:sz w:val="20"/>
        </w:rPr>
        <w:t xml:space="preserve"> </w:t>
      </w:r>
      <w:r w:rsidRPr="00652167">
        <w:t>file transfer protocol (SFTP) environment that is approved by the MITRE Privacy Office for PII storage and transfer and that is only accessible to the project team.</w:t>
      </w:r>
      <w:r w:rsidR="00FB0730" w:rsidRPr="00652167">
        <w:t xml:space="preserve"> </w:t>
      </w:r>
      <w:r w:rsidR="00746B75" w:rsidRPr="00652167">
        <w:t xml:space="preserve">Privacy training </w:t>
      </w:r>
      <w:r w:rsidR="001623FC" w:rsidRPr="00652167">
        <w:t>and controlled administrative access approvals will be</w:t>
      </w:r>
      <w:r w:rsidR="00746B75" w:rsidRPr="00652167">
        <w:t xml:space="preserve"> required</w:t>
      </w:r>
      <w:r w:rsidR="001623FC" w:rsidRPr="00652167">
        <w:t xml:space="preserve"> for project team members</w:t>
      </w:r>
      <w:r w:rsidR="00746B75" w:rsidRPr="00652167">
        <w:t xml:space="preserve"> to access this environment.</w:t>
      </w:r>
      <w:r w:rsidR="0053233B" w:rsidRPr="00652167">
        <w:t xml:space="preserve"> </w:t>
      </w:r>
    </w:p>
    <w:p w14:paraId="2FE29DF3" w14:textId="77777777" w:rsidR="00F72C4F" w:rsidRPr="00652167" w:rsidRDefault="00BB4F20" w:rsidP="004521C5">
      <w:pPr>
        <w:pStyle w:val="OMBbodytext"/>
      </w:pPr>
      <w:r w:rsidRPr="00652167">
        <w:t>To better protect youth identities, e</w:t>
      </w:r>
      <w:r w:rsidR="00A512FD" w:rsidRPr="00652167">
        <w:t xml:space="preserve">ach </w:t>
      </w:r>
      <w:r w:rsidR="001E603D" w:rsidRPr="00652167">
        <w:t>youth</w:t>
      </w:r>
      <w:r w:rsidR="00A512FD" w:rsidRPr="00652167">
        <w:t xml:space="preserve"> will be assigned a unique study identification number that corresponds with information they provide in the survey</w:t>
      </w:r>
      <w:r w:rsidR="003A0D42" w:rsidRPr="00652167">
        <w:t>s</w:t>
      </w:r>
      <w:r w:rsidR="00A512FD" w:rsidRPr="00652167">
        <w:t xml:space="preserve"> and data from school records. </w:t>
      </w:r>
      <w:r w:rsidR="005D4B68" w:rsidRPr="00652167">
        <w:t xml:space="preserve">Before the roster data is merged with the </w:t>
      </w:r>
      <w:r w:rsidR="00027686" w:rsidRPr="00652167">
        <w:t>survey</w:t>
      </w:r>
      <w:r w:rsidR="005D4B68" w:rsidRPr="00652167">
        <w:t xml:space="preserve"> data, analysts will assign this unique study identification number to each student</w:t>
      </w:r>
      <w:r w:rsidR="00062D7F" w:rsidRPr="00652167">
        <w:t xml:space="preserve">. They </w:t>
      </w:r>
      <w:r w:rsidR="005D4B68" w:rsidRPr="00652167">
        <w:t xml:space="preserve">will then delete student names </w:t>
      </w:r>
      <w:r w:rsidR="00C86307" w:rsidRPr="00652167">
        <w:t xml:space="preserve">and other identifiers (e.g., </w:t>
      </w:r>
      <w:r w:rsidR="00AC1FDA" w:rsidRPr="00652167">
        <w:t>student ID</w:t>
      </w:r>
      <w:r w:rsidR="00DA69DE" w:rsidRPr="00652167">
        <w:t xml:space="preserve"> assigned by school</w:t>
      </w:r>
      <w:r w:rsidR="00C86307" w:rsidRPr="00652167">
        <w:t xml:space="preserve">) </w:t>
      </w:r>
      <w:r w:rsidR="005D4B68" w:rsidRPr="00652167">
        <w:t xml:space="preserve">from the </w:t>
      </w:r>
      <w:r w:rsidR="00822298" w:rsidRPr="00652167">
        <w:t>roster and survey data files</w:t>
      </w:r>
      <w:r w:rsidR="005D4B68" w:rsidRPr="00652167">
        <w:t>.</w:t>
      </w:r>
      <w:r w:rsidR="00960138" w:rsidRPr="00652167">
        <w:t xml:space="preserve"> Date of birth will also be transformed into a simple “age” variable (e.g., 14, 15) and then date of birth will be deleted from the roster file.</w:t>
      </w:r>
      <w:r w:rsidR="005D4B68" w:rsidRPr="00652167">
        <w:t xml:space="preserve"> </w:t>
      </w:r>
      <w:r w:rsidR="00DA69DE" w:rsidRPr="00652167">
        <w:t xml:space="preserve">After the student names, student ID from the </w:t>
      </w:r>
      <w:r w:rsidR="009A4BAE" w:rsidRPr="00652167">
        <w:t>school</w:t>
      </w:r>
      <w:r w:rsidR="00DA69DE" w:rsidRPr="00652167">
        <w:t>, and date of birth are deleted from the roster file,</w:t>
      </w:r>
      <w:r w:rsidR="005D4B68" w:rsidRPr="00652167">
        <w:t xml:space="preserve"> the roster data </w:t>
      </w:r>
      <w:r w:rsidR="009A4BAE" w:rsidRPr="00652167">
        <w:t xml:space="preserve">will </w:t>
      </w:r>
      <w:r w:rsidR="005D4B68" w:rsidRPr="00652167">
        <w:t xml:space="preserve">be merged with the </w:t>
      </w:r>
      <w:r w:rsidR="00E46816" w:rsidRPr="00652167">
        <w:t>survey</w:t>
      </w:r>
      <w:r w:rsidR="005D4B68" w:rsidRPr="00652167">
        <w:t xml:space="preserve"> data. </w:t>
      </w:r>
      <w:r w:rsidR="00A233FB" w:rsidRPr="00652167">
        <w:t>Personal identifiers such as name, date of birth, and student ID number will be stripped from the datasets and destroyed.</w:t>
      </w:r>
    </w:p>
    <w:p w14:paraId="23D24BEB" w14:textId="77777777" w:rsidR="00AE5021" w:rsidRPr="00652167" w:rsidRDefault="00AE5021" w:rsidP="004521C5">
      <w:pPr>
        <w:pStyle w:val="OMBbodytext"/>
      </w:pPr>
      <w:r w:rsidRPr="00652167">
        <w:t xml:space="preserve">All other data will be collected in paper form. </w:t>
      </w:r>
    </w:p>
    <w:p w14:paraId="55B74BA3" w14:textId="77777777" w:rsidR="00DA1457" w:rsidRPr="00652167" w:rsidRDefault="00A512FD" w:rsidP="004521C5">
      <w:pPr>
        <w:pStyle w:val="OMBbodytext"/>
      </w:pPr>
      <w:r w:rsidRPr="00652167">
        <w:t xml:space="preserve">To protect </w:t>
      </w:r>
      <w:r w:rsidR="001E603D" w:rsidRPr="00652167">
        <w:t>youth</w:t>
      </w:r>
      <w:r w:rsidR="008C4EE5" w:rsidRPr="00652167">
        <w:t>’</w:t>
      </w:r>
      <w:r w:rsidR="001E603D" w:rsidRPr="00652167">
        <w:t>s</w:t>
      </w:r>
      <w:r w:rsidRPr="00652167">
        <w:t xml:space="preserve"> privacy and data, </w:t>
      </w:r>
      <w:r w:rsidR="00592654" w:rsidRPr="00652167">
        <w:t xml:space="preserve">for </w:t>
      </w:r>
      <w:r w:rsidR="00FA5C32" w:rsidRPr="00652167">
        <w:t xml:space="preserve">each of </w:t>
      </w:r>
      <w:r w:rsidR="00592654" w:rsidRPr="00652167">
        <w:t>the youth surveys (</w:t>
      </w:r>
      <w:r w:rsidR="00FA5C32" w:rsidRPr="00652167">
        <w:t>baseline</w:t>
      </w:r>
      <w:r w:rsidR="00766DE2" w:rsidRPr="00652167">
        <w:t xml:space="preserve"> and</w:t>
      </w:r>
      <w:r w:rsidR="00942AFA" w:rsidRPr="00652167">
        <w:t xml:space="preserve"> </w:t>
      </w:r>
      <w:r w:rsidR="00FA5C32" w:rsidRPr="00652167">
        <w:t>follow-up</w:t>
      </w:r>
      <w:r w:rsidR="00F90171" w:rsidRPr="00652167">
        <w:t>, and process evaluation participant survey</w:t>
      </w:r>
      <w:r w:rsidR="00FA5C32" w:rsidRPr="00652167">
        <w:t xml:space="preserve">) </w:t>
      </w:r>
      <w:r w:rsidRPr="00652167">
        <w:t xml:space="preserve">a </w:t>
      </w:r>
      <w:r w:rsidR="00F66E7F" w:rsidRPr="00652167">
        <w:t xml:space="preserve">barcode </w:t>
      </w:r>
      <w:r w:rsidRPr="00652167">
        <w:t>label will be affixed to the cover of the survey booklet</w:t>
      </w:r>
      <w:r w:rsidR="00F66E7F" w:rsidRPr="00652167">
        <w:t>, on which students will either write their name or have their name pre-assigned to that specific barcode</w:t>
      </w:r>
      <w:r w:rsidRPr="00652167">
        <w:t xml:space="preserve">. </w:t>
      </w:r>
      <w:r w:rsidR="008B2983" w:rsidRPr="00652167">
        <w:t>After</w:t>
      </w:r>
      <w:r w:rsidRPr="00652167">
        <w:t xml:space="preserve"> the survey booklets are distributed to the </w:t>
      </w:r>
      <w:r w:rsidR="001E603D" w:rsidRPr="00652167">
        <w:t>youth</w:t>
      </w:r>
      <w:r w:rsidRPr="00652167">
        <w:t xml:space="preserve">, the </w:t>
      </w:r>
      <w:r w:rsidR="001E603D" w:rsidRPr="00652167">
        <w:t>youth</w:t>
      </w:r>
      <w:r w:rsidRPr="00652167">
        <w:t xml:space="preserve"> will be instructed to remove the </w:t>
      </w:r>
      <w:r w:rsidR="00F66E7F" w:rsidRPr="00652167">
        <w:t>entire cover sheet</w:t>
      </w:r>
      <w:r w:rsidR="009D79BF" w:rsidRPr="00652167">
        <w:t xml:space="preserve"> </w:t>
      </w:r>
      <w:r w:rsidR="00CD4884" w:rsidRPr="00652167">
        <w:t>containing</w:t>
      </w:r>
      <w:r w:rsidR="009D79BF" w:rsidRPr="00652167">
        <w:t xml:space="preserve"> their name</w:t>
      </w:r>
      <w:r w:rsidR="00F66E7F" w:rsidRPr="00652167">
        <w:t xml:space="preserve"> or the </w:t>
      </w:r>
      <w:r w:rsidRPr="00652167">
        <w:t>part of the label containing their name, leaving only the ID and barcode</w:t>
      </w:r>
      <w:r w:rsidR="00C7715B" w:rsidRPr="00652167">
        <w:t xml:space="preserve"> on the cover sheet and/or on all subsequent pages of the survey booklet</w:t>
      </w:r>
      <w:r w:rsidRPr="00652167">
        <w:t xml:space="preserve">. </w:t>
      </w:r>
      <w:r w:rsidR="00CD26E6" w:rsidRPr="00652167">
        <w:t>This enables the study team to link youth’s baseline and follow-up data for analysis, but without using PII to do so.</w:t>
      </w:r>
    </w:p>
    <w:p w14:paraId="73DDA12D" w14:textId="77777777" w:rsidR="00D021DF" w:rsidRPr="00652167" w:rsidRDefault="00A512FD" w:rsidP="00D021DF">
      <w:pPr>
        <w:pStyle w:val="OMBbodytext"/>
      </w:pPr>
      <w:r w:rsidRPr="00652167">
        <w:t xml:space="preserve">No PII will be stored with the data collected from the </w:t>
      </w:r>
      <w:r w:rsidR="001E603D" w:rsidRPr="00652167">
        <w:t>youth</w:t>
      </w:r>
      <w:r w:rsidRPr="00652167">
        <w:t xml:space="preserve"> surveys or associated with the school records data. Only the study identification number will be stored with the data. Only </w:t>
      </w:r>
      <w:r w:rsidR="000A2539" w:rsidRPr="00652167">
        <w:t xml:space="preserve">members of the </w:t>
      </w:r>
      <w:r w:rsidR="00F159F9" w:rsidRPr="00652167">
        <w:t xml:space="preserve">project team </w:t>
      </w:r>
      <w:r w:rsidRPr="00652167">
        <w:t xml:space="preserve">conducting the </w:t>
      </w:r>
      <w:r w:rsidR="00766DE2" w:rsidRPr="00652167">
        <w:t xml:space="preserve">data collection </w:t>
      </w:r>
      <w:r w:rsidRPr="00652167">
        <w:t xml:space="preserve">will have a crosswalk that links study IDs to </w:t>
      </w:r>
      <w:r w:rsidR="001E603D" w:rsidRPr="00652167">
        <w:t>youth</w:t>
      </w:r>
      <w:r w:rsidRPr="00652167">
        <w:t xml:space="preserve"> names. Once data collection has been completed</w:t>
      </w:r>
      <w:r w:rsidR="00CB330B" w:rsidRPr="00652167">
        <w:t xml:space="preserve"> and the final analytic datasets produced</w:t>
      </w:r>
      <w:r w:rsidRPr="00652167">
        <w:t>, the crosswalk will be destroyed. No study participant names or other identifying information will be included in any reports or data</w:t>
      </w:r>
      <w:r w:rsidR="009D1B91" w:rsidRPr="00652167">
        <w:t xml:space="preserve"> </w:t>
      </w:r>
      <w:r w:rsidRPr="00652167">
        <w:t>sets.</w:t>
      </w:r>
    </w:p>
    <w:p w14:paraId="187D29F2" w14:textId="77777777" w:rsidR="00D021DF" w:rsidRPr="00652167" w:rsidRDefault="00D021DF" w:rsidP="00D021DF">
      <w:pPr>
        <w:pStyle w:val="OMBbodytext"/>
      </w:pPr>
      <w:r w:rsidRPr="00652167">
        <w:t>The RTI Research Operations Center (ROC) will process data from all paper forms. The SFTP environment will be used to store and analyze all data. The ROC complies with the confidentiality and data security guidelines set forth by the National Institute of Standards and Technology (NIST) in Recommended Security Controls for Federal Information Systems and Organizations. The ROC can accommodate both low- and moderate-risk projects, as defined by NIST’s Federal Information Processing Standards Publication 199, Standards for Security Categorization of Federal Information and Information Systems.</w:t>
      </w:r>
      <w:r w:rsidR="004B2FBC" w:rsidRPr="00652167">
        <w:t xml:space="preserve"> After ROC processing is complete</w:t>
      </w:r>
      <w:r w:rsidR="009D4635" w:rsidRPr="00652167">
        <w:t xml:space="preserve">, the ROC will produce final datasets that are stripped of identifiers (e.g., name, DOB) and include only the study identification number. </w:t>
      </w:r>
      <w:r w:rsidR="00746B75" w:rsidRPr="00652167">
        <w:t>The ROC will then transfer these datasets to MITRE using the SFTP environment.</w:t>
      </w:r>
      <w:r w:rsidR="00D92439" w:rsidRPr="00652167">
        <w:t xml:space="preserve"> All data will be stored and analyzed within this secure environment at MITRE.</w:t>
      </w:r>
      <w:r w:rsidR="00EA708A" w:rsidRPr="00652167">
        <w:t xml:space="preserve"> For paper forms, access to the keys to locked cabinets where paper data is stored will be formally controlled to ensure that only authorized individuals are allowed access to the paper data</w:t>
      </w:r>
      <w:r w:rsidR="00043EDE" w:rsidRPr="00652167">
        <w:t>.</w:t>
      </w:r>
    </w:p>
    <w:p w14:paraId="14BEE04A" w14:textId="77777777" w:rsidR="00D9715D" w:rsidRPr="00652167" w:rsidRDefault="00D9715D" w:rsidP="004521C5">
      <w:pPr>
        <w:pStyle w:val="OMBbodytext"/>
      </w:pPr>
      <w:r w:rsidRPr="00652167">
        <w:t>To further protect student and school identities, school names and locations will not be shared with the Agency sponsoring the study (OASH) or with anyone other than the Contractors performing the research. The data will be aggregated and reported for each of the two organizations delivering the two different curricula. The aggregated results may be shared with the organizations delivering the curricula for program improvement purposes.</w:t>
      </w:r>
    </w:p>
    <w:p w14:paraId="79AF3346" w14:textId="77777777" w:rsidR="00A512FD" w:rsidRPr="00652167" w:rsidRDefault="006118C2" w:rsidP="004521C5">
      <w:pPr>
        <w:pStyle w:val="OMBbodytext"/>
      </w:pPr>
      <w:r w:rsidRPr="00652167">
        <w:t>P</w:t>
      </w:r>
      <w:r w:rsidR="00A512FD" w:rsidRPr="00652167">
        <w:t xml:space="preserve">rocedures for maintaining </w:t>
      </w:r>
      <w:r w:rsidR="00270444" w:rsidRPr="00652167">
        <w:t xml:space="preserve">privacy </w:t>
      </w:r>
      <w:r w:rsidR="009D1B91" w:rsidRPr="00652167">
        <w:t xml:space="preserve">will </w:t>
      </w:r>
      <w:r w:rsidR="00A512FD" w:rsidRPr="00652167">
        <w:t xml:space="preserve">include: notarized nondisclosure affidavits obtained from all study personnel who will have access to individual identifiers; personnel training regarding the meaning of </w:t>
      </w:r>
      <w:r w:rsidR="00270444" w:rsidRPr="00652167">
        <w:t>privacy</w:t>
      </w:r>
      <w:r w:rsidR="00A512FD" w:rsidRPr="00652167">
        <w:t>; controlled and protected access to computer files; built-in safeguards concerning status monitoring and receipt control systems; and a secure, staffed, in-house computing facility.</w:t>
      </w:r>
    </w:p>
    <w:bookmarkEnd w:id="71"/>
    <w:p w14:paraId="514EEDB4" w14:textId="77777777" w:rsidR="00DA1457" w:rsidRPr="00652167" w:rsidRDefault="00DA1457" w:rsidP="00DA1457">
      <w:pPr>
        <w:pStyle w:val="OMBbodytext"/>
      </w:pPr>
      <w:r w:rsidRPr="00652167">
        <w:rPr>
          <w:bCs/>
        </w:rPr>
        <w:t>Per the Protection of Pupil Rights Amendment (PPRA) (</w:t>
      </w:r>
      <w:hyperlink r:id="rId19" w:history="1">
        <w:r w:rsidRPr="00652167">
          <w:rPr>
            <w:rStyle w:val="Hyperlink"/>
            <w:bCs/>
          </w:rPr>
          <w:t>https://studentprivacy.ed.gov/topic/protection-pupil-rights-amendment-ppra</w:t>
        </w:r>
      </w:hyperlink>
      <w:r w:rsidRPr="00652167">
        <w:rPr>
          <w:bCs/>
        </w:rPr>
        <w:t>)</w:t>
      </w:r>
      <w:r w:rsidR="009D1B91" w:rsidRPr="00652167">
        <w:rPr>
          <w:bCs/>
        </w:rPr>
        <w:t>,</w:t>
      </w:r>
      <w:r w:rsidRPr="00652167">
        <w:rPr>
          <w:bCs/>
        </w:rPr>
        <w:t xml:space="preserve"> copies of the surveys will be made available in the school </w:t>
      </w:r>
      <w:r w:rsidR="00675519" w:rsidRPr="00652167">
        <w:rPr>
          <w:bCs/>
        </w:rPr>
        <w:t xml:space="preserve">(or site) </w:t>
      </w:r>
      <w:r w:rsidRPr="00652167">
        <w:rPr>
          <w:bCs/>
        </w:rPr>
        <w:t>office for parents to review</w:t>
      </w:r>
      <w:r w:rsidR="009D1B91" w:rsidRPr="00652167">
        <w:rPr>
          <w:bCs/>
        </w:rPr>
        <w:t xml:space="preserve"> before they</w:t>
      </w:r>
      <w:r w:rsidRPr="00652167">
        <w:rPr>
          <w:bCs/>
        </w:rPr>
        <w:t xml:space="preserve"> sign the consent form.</w:t>
      </w:r>
      <w:r w:rsidRPr="00652167">
        <w:t xml:space="preserve"> </w:t>
      </w:r>
    </w:p>
    <w:p w14:paraId="5C01F42C" w14:textId="77777777" w:rsidR="00A512FD" w:rsidRPr="00652167" w:rsidRDefault="006118C2" w:rsidP="004521C5">
      <w:pPr>
        <w:pStyle w:val="OMBbodytext"/>
        <w:rPr>
          <w:bCs/>
        </w:rPr>
      </w:pPr>
      <w:r w:rsidRPr="00652167">
        <w:rPr>
          <w:iCs/>
        </w:rPr>
        <w:t>Data will be kept private to the extent allowed by law.</w:t>
      </w:r>
      <w:r w:rsidRPr="00652167">
        <w:rPr>
          <w:i/>
        </w:rPr>
        <w:t xml:space="preserve"> </w:t>
      </w:r>
      <w:r w:rsidR="00A512FD" w:rsidRPr="00652167">
        <w:rPr>
          <w:bCs/>
        </w:rPr>
        <w:t xml:space="preserve">Student-level records for participating </w:t>
      </w:r>
      <w:r w:rsidR="001E603D" w:rsidRPr="00652167">
        <w:rPr>
          <w:bCs/>
        </w:rPr>
        <w:t>youth</w:t>
      </w:r>
      <w:r w:rsidR="00A512FD" w:rsidRPr="00652167">
        <w:rPr>
          <w:bCs/>
        </w:rPr>
        <w:t xml:space="preserve"> will be requested from school districts and/or schools under the </w:t>
      </w:r>
      <w:r w:rsidR="00A512FD" w:rsidRPr="00652167">
        <w:t xml:space="preserve">Family Educational and Privacy Act (FERPA) of 1974 </w:t>
      </w:r>
      <w:r w:rsidR="00A512FD" w:rsidRPr="00652167">
        <w:rPr>
          <w:bCs/>
        </w:rPr>
        <w:t>(34 CFR Part 99) exception to the general consent requirement that permits disclosures to “organizations conducting studies for, or on behalf of, educational agencies or institutions” (34 CFR §§</w:t>
      </w:r>
      <w:r w:rsidR="00950A66" w:rsidRPr="00652167">
        <w:rPr>
          <w:bCs/>
        </w:rPr>
        <w:t> </w:t>
      </w:r>
      <w:r w:rsidR="00A512FD" w:rsidRPr="00652167">
        <w:rPr>
          <w:bCs/>
        </w:rPr>
        <w:t xml:space="preserve">99.31(a) and 99.35). This information will be securely destroyed when no longer needed for the purposes specified in 34 CFR §99.35. </w:t>
      </w:r>
    </w:p>
    <w:p w14:paraId="52011765" w14:textId="77777777" w:rsidR="00543E98" w:rsidRPr="00652167" w:rsidRDefault="00543E98" w:rsidP="00543E98">
      <w:pPr>
        <w:pStyle w:val="OMBbodytext"/>
      </w:pPr>
      <w:bookmarkStart w:id="72" w:name="_Toc522542199"/>
      <w:bookmarkStart w:id="73" w:name="_Toc522542244"/>
      <w:r w:rsidRPr="00652167">
        <w:t xml:space="preserve">Data from key informant interviews and facilitator surveys will be provided to IOs and </w:t>
      </w:r>
      <w:r w:rsidR="008018F7" w:rsidRPr="00652167">
        <w:t>schools</w:t>
      </w:r>
      <w:r w:rsidRPr="00652167">
        <w:t xml:space="preserve"> only at the aggregate level to protect respondents’ privacy. Because the facilitator Session Logs are part of the IOs’ ongoing program monitoring efforts, the IOs will have access to the data from the Session Logs at the individual level, but the </w:t>
      </w:r>
      <w:r w:rsidR="008018F7" w:rsidRPr="00652167">
        <w:t>schools</w:t>
      </w:r>
      <w:r w:rsidRPr="00652167">
        <w:t xml:space="preserve"> will not. </w:t>
      </w:r>
    </w:p>
    <w:p w14:paraId="0EEB6E9D" w14:textId="77777777" w:rsidR="005810EC" w:rsidRPr="00652167" w:rsidRDefault="005810EC" w:rsidP="005810EC">
      <w:pPr>
        <w:pStyle w:val="OMBbodytext"/>
      </w:pPr>
      <w:r w:rsidRPr="00652167">
        <w:t xml:space="preserve">Per HHS 45 CFR 46, all data will be retained for 3 years after MITRE submits its final expenditure report. Then it will be destroyed. A de-identified dataset </w:t>
      </w:r>
      <w:r w:rsidRPr="00652167">
        <w:rPr>
          <w:i/>
        </w:rPr>
        <w:t>may</w:t>
      </w:r>
      <w:r w:rsidRPr="00652167">
        <w:t xml:space="preserve"> be provided to OASH upon completion of the study. Before delivery of any de-identified datasets to the OASH, the project team will conduct a privacy analysis and will aggregate reporting categories for demographic variables to ensure that no fewer than 5 individuals are in any combination of key demographic categories (e.g., Black female 15-year-olds), to mitigate the risk of re-identification.</w:t>
      </w:r>
    </w:p>
    <w:p w14:paraId="78FF263E" w14:textId="77777777" w:rsidR="00655D4B" w:rsidRPr="00652167" w:rsidRDefault="009F0611" w:rsidP="00655D4B">
      <w:pPr>
        <w:pStyle w:val="OMBbodytext"/>
      </w:pPr>
      <w:r w:rsidRPr="00652167">
        <w:t xml:space="preserve">RTI IRB has determined that the evaluation is not </w:t>
      </w:r>
      <w:r w:rsidR="006A5BF9" w:rsidRPr="00652167">
        <w:t>research</w:t>
      </w:r>
      <w:r w:rsidR="00EF22EA" w:rsidRPr="00652167">
        <w:t xml:space="preserve"> </w:t>
      </w:r>
      <w:r w:rsidR="00FB699B" w:rsidRPr="00652167">
        <w:t>involving human subjects as defined by DHHS regulations</w:t>
      </w:r>
      <w:r w:rsidR="0082404B" w:rsidRPr="00652167">
        <w:t>.</w:t>
      </w:r>
      <w:r w:rsidR="00FB699B" w:rsidRPr="00652167">
        <w:t xml:space="preserve"> </w:t>
      </w:r>
      <w:bookmarkStart w:id="74" w:name="_Toc521515009"/>
      <w:bookmarkEnd w:id="72"/>
      <w:bookmarkEnd w:id="73"/>
      <w:r w:rsidR="005810EC" w:rsidRPr="00652167">
        <w:t xml:space="preserve">We </w:t>
      </w:r>
      <w:r w:rsidR="00A0753D" w:rsidRPr="00652167">
        <w:t>have also submitted</w:t>
      </w:r>
      <w:r w:rsidR="005810EC" w:rsidRPr="00652167">
        <w:t xml:space="preserve"> the study to the</w:t>
      </w:r>
      <w:r w:rsidR="00A0753D" w:rsidRPr="00652167">
        <w:t xml:space="preserve"> MITRE Privacy Office and</w:t>
      </w:r>
      <w:r w:rsidR="005810EC" w:rsidRPr="00652167">
        <w:t xml:space="preserve"> MITRE IRB for review</w:t>
      </w:r>
      <w:r w:rsidR="00E462CF" w:rsidRPr="00652167">
        <w:t>, and we plan to submit an application for a Certificate of Confidentiality after receiving the MITRE IRB’s determination</w:t>
      </w:r>
      <w:r w:rsidR="005810EC" w:rsidRPr="00652167">
        <w:t>.</w:t>
      </w:r>
      <w:r w:rsidR="00E462CF" w:rsidRPr="00652167">
        <w:t xml:space="preserve"> As required by school districts, we will also submit the study to individual school district IRBs for review.</w:t>
      </w:r>
    </w:p>
    <w:p w14:paraId="6F6B14FA" w14:textId="77777777" w:rsidR="007A15F0" w:rsidRPr="00652167" w:rsidRDefault="301858A8" w:rsidP="009F0611">
      <w:pPr>
        <w:pStyle w:val="OMBHeading-2"/>
        <w:outlineLvl w:val="1"/>
        <w:rPr>
          <w:u w:val="single"/>
        </w:rPr>
      </w:pPr>
      <w:bookmarkStart w:id="75" w:name="_Toc523154577"/>
      <w:bookmarkStart w:id="76" w:name="_Toc11750134"/>
      <w:r w:rsidRPr="00652167">
        <w:rPr>
          <w:u w:val="single"/>
        </w:rPr>
        <w:t>Justification for Sensitive Questions</w:t>
      </w:r>
      <w:bookmarkEnd w:id="74"/>
      <w:bookmarkEnd w:id="75"/>
      <w:bookmarkEnd w:id="76"/>
    </w:p>
    <w:p w14:paraId="7A10AFC8" w14:textId="77777777" w:rsidR="007A15F0" w:rsidRPr="00652167" w:rsidRDefault="301858A8" w:rsidP="009F0611">
      <w:pPr>
        <w:pStyle w:val="OMBbodytext"/>
      </w:pPr>
      <w:r w:rsidRPr="00652167">
        <w:t>The primary purpose of SRA curricula is to reduce adolescent sexual risk behaviors</w:t>
      </w:r>
      <w:r w:rsidR="002003C4" w:rsidRPr="00652167">
        <w:t xml:space="preserve"> and related outcomes such as pregnancy and sexually transmitted diseases</w:t>
      </w:r>
      <w:r w:rsidRPr="00652167">
        <w:t xml:space="preserve">. </w:t>
      </w:r>
      <w:r w:rsidR="001A342E" w:rsidRPr="00652167">
        <w:t xml:space="preserve">Although this study is not assessing behavioral outcomes due to timeline constraints, </w:t>
      </w:r>
      <w:r w:rsidRPr="00652167">
        <w:t xml:space="preserve">it is necessary to ask sensitive questions about </w:t>
      </w:r>
      <w:r w:rsidR="002003C4" w:rsidRPr="00652167">
        <w:t>these</w:t>
      </w:r>
      <w:r w:rsidR="001A342E" w:rsidRPr="00652167">
        <w:t xml:space="preserve"> behavioral</w:t>
      </w:r>
      <w:r w:rsidR="002003C4" w:rsidRPr="00652167">
        <w:t xml:space="preserve"> constructs</w:t>
      </w:r>
      <w:r w:rsidR="001A342E" w:rsidRPr="00652167">
        <w:t xml:space="preserve"> to contextualize the findings and include as covariates, or control variables, for the study</w:t>
      </w:r>
      <w:r w:rsidRPr="00652167">
        <w:t>.</w:t>
      </w:r>
      <w:r w:rsidR="009F43BA" w:rsidRPr="00652167">
        <w:t xml:space="preserve"> Questions </w:t>
      </w:r>
      <w:r w:rsidR="008E473B" w:rsidRPr="00652167">
        <w:t xml:space="preserve">in the </w:t>
      </w:r>
      <w:r w:rsidR="00347E87" w:rsidRPr="00652167">
        <w:t>youth</w:t>
      </w:r>
      <w:r w:rsidR="008E473B" w:rsidRPr="00652167">
        <w:t xml:space="preserve"> baseline and follow-up surveys</w:t>
      </w:r>
      <w:r w:rsidR="00D43CAD" w:rsidRPr="00652167">
        <w:t xml:space="preserve"> will</w:t>
      </w:r>
      <w:r w:rsidR="008E473B" w:rsidRPr="00652167">
        <w:t xml:space="preserve"> </w:t>
      </w:r>
      <w:r w:rsidR="009F43BA" w:rsidRPr="00652167">
        <w:t xml:space="preserve">include whether </w:t>
      </w:r>
      <w:r w:rsidR="001E603D" w:rsidRPr="00652167">
        <w:t>youth</w:t>
      </w:r>
      <w:r w:rsidR="009F43BA" w:rsidRPr="00652167">
        <w:t xml:space="preserve"> have </w:t>
      </w:r>
      <w:r w:rsidR="00D10F52" w:rsidRPr="00652167">
        <w:t xml:space="preserve">ever </w:t>
      </w:r>
      <w:r w:rsidR="009F43BA" w:rsidRPr="00652167">
        <w:t>engaged in voluntary</w:t>
      </w:r>
      <w:r w:rsidR="00DA1C28" w:rsidRPr="00652167">
        <w:t xml:space="preserve"> sexual intercourse.</w:t>
      </w:r>
      <w:r w:rsidR="009F43BA" w:rsidRPr="00652167">
        <w:t xml:space="preserve"> The questionnaire </w:t>
      </w:r>
      <w:r w:rsidR="00D43CAD" w:rsidRPr="00652167">
        <w:t>will</w:t>
      </w:r>
      <w:r w:rsidR="009F43BA" w:rsidRPr="00652167">
        <w:t xml:space="preserve"> not ask about any non-voluntary sexual experiences they may have had. Youth who respond that they have never engaged in </w:t>
      </w:r>
      <w:r w:rsidR="00DA1C28" w:rsidRPr="00652167">
        <w:t xml:space="preserve">sexual intercourse </w:t>
      </w:r>
      <w:r w:rsidR="00D43CAD" w:rsidRPr="00652167">
        <w:t>will be</w:t>
      </w:r>
      <w:r w:rsidR="009F43BA" w:rsidRPr="00652167">
        <w:t xml:space="preserve"> skipped out of all further questions about sexual activity; </w:t>
      </w:r>
      <w:r w:rsidR="009D5C07" w:rsidRPr="00652167">
        <w:t>youth</w:t>
      </w:r>
      <w:r w:rsidR="009F43BA" w:rsidRPr="00652167">
        <w:t xml:space="preserve"> who </w:t>
      </w:r>
      <w:r w:rsidR="009D5C07" w:rsidRPr="00652167">
        <w:t xml:space="preserve">respond that they have engaged in sexual activity </w:t>
      </w:r>
      <w:r w:rsidR="00D43CAD" w:rsidRPr="00652167">
        <w:t>will be</w:t>
      </w:r>
      <w:r w:rsidR="009D5C07" w:rsidRPr="00652167">
        <w:t xml:space="preserve"> asked additional questions </w:t>
      </w:r>
      <w:r w:rsidR="00DA1C28" w:rsidRPr="00652167">
        <w:t xml:space="preserve">about age of first sexual intercourse and number </w:t>
      </w:r>
      <w:r w:rsidR="00BC5339" w:rsidRPr="00652167">
        <w:t xml:space="preserve">and sex </w:t>
      </w:r>
      <w:r w:rsidR="00DA1C28" w:rsidRPr="00652167">
        <w:t>of partners.</w:t>
      </w:r>
      <w:r w:rsidR="009D5C07" w:rsidRPr="00652167">
        <w:t xml:space="preserve"> Questions about sexual activity are necessary to assess </w:t>
      </w:r>
      <w:r w:rsidR="00DA1C28" w:rsidRPr="00652167">
        <w:t>risk factors for sexually transmitted diseases and pregnancy.</w:t>
      </w:r>
    </w:p>
    <w:p w14:paraId="6D347A53" w14:textId="77777777" w:rsidR="007A15F0" w:rsidRPr="00652167" w:rsidRDefault="301858A8" w:rsidP="00A25121">
      <w:pPr>
        <w:pStyle w:val="OMBHeading-2"/>
        <w:rPr>
          <w:u w:val="single"/>
        </w:rPr>
      </w:pPr>
      <w:bookmarkStart w:id="77" w:name="_Toc66688720"/>
      <w:bookmarkStart w:id="78" w:name="_Toc239751741"/>
      <w:bookmarkStart w:id="79" w:name="_Toc521515010"/>
      <w:bookmarkStart w:id="80" w:name="_Toc523154578"/>
      <w:bookmarkStart w:id="81" w:name="_Toc11750135"/>
      <w:bookmarkStart w:id="82" w:name="_Hlk522538577"/>
      <w:r w:rsidRPr="00652167">
        <w:rPr>
          <w:u w:val="single"/>
        </w:rPr>
        <w:t>Estimates of Annualized Hour and Cost Burden</w:t>
      </w:r>
      <w:bookmarkEnd w:id="77"/>
      <w:bookmarkEnd w:id="78"/>
      <w:bookmarkEnd w:id="79"/>
      <w:bookmarkEnd w:id="80"/>
      <w:bookmarkEnd w:id="81"/>
    </w:p>
    <w:p w14:paraId="0653D137" w14:textId="77777777" w:rsidR="00826B1E" w:rsidRPr="00652167" w:rsidRDefault="00826B1E" w:rsidP="00826B1E">
      <w:pPr>
        <w:pStyle w:val="OMBExhibitTitle"/>
        <w:keepLines w:val="0"/>
        <w:sectPr w:rsidR="00826B1E" w:rsidRPr="00652167" w:rsidSect="00655872">
          <w:footerReference w:type="default" r:id="rId20"/>
          <w:pgSz w:w="12240" w:h="15840"/>
          <w:pgMar w:top="1440" w:right="1350" w:bottom="1440" w:left="1440" w:header="720" w:footer="720" w:gutter="0"/>
          <w:pgNumType w:start="1"/>
          <w:cols w:space="720"/>
          <w:noEndnote/>
          <w:docGrid w:linePitch="326"/>
        </w:sectPr>
      </w:pPr>
      <w:bookmarkStart w:id="83" w:name="_Hlk523401944"/>
      <w:bookmarkStart w:id="84" w:name="_Toc216149454"/>
      <w:bookmarkStart w:id="85" w:name="OLE_LINK1"/>
    </w:p>
    <w:bookmarkEnd w:id="83"/>
    <w:p w14:paraId="588DDF0E" w14:textId="5ABD270D" w:rsidR="001E05EC" w:rsidRPr="00652167" w:rsidRDefault="00906848" w:rsidP="004521C5">
      <w:pPr>
        <w:pStyle w:val="OMBbodytext"/>
        <w:rPr>
          <w:color w:val="000000"/>
        </w:rPr>
      </w:pPr>
      <w:r w:rsidRPr="00652167">
        <w:t xml:space="preserve">Calculation of the estimated annualized hour burden of responding to this information collection is presented in </w:t>
      </w:r>
      <w:r w:rsidRPr="009B36DE">
        <w:rPr>
          <w:b/>
          <w:i/>
        </w:rPr>
        <w:t xml:space="preserve">Exhibit </w:t>
      </w:r>
      <w:r w:rsidR="009B36DE" w:rsidRPr="009B36DE">
        <w:rPr>
          <w:b/>
          <w:i/>
        </w:rPr>
        <w:t>10</w:t>
      </w:r>
      <w:r w:rsidR="00942AFA" w:rsidRPr="009B36DE">
        <w:rPr>
          <w:b/>
          <w:i/>
        </w:rPr>
        <w:t xml:space="preserve"> </w:t>
      </w:r>
      <w:r w:rsidRPr="009B36DE">
        <w:t xml:space="preserve">and the estimated annualized cost to participants is presented in </w:t>
      </w:r>
      <w:r w:rsidRPr="009B36DE">
        <w:rPr>
          <w:b/>
          <w:i/>
        </w:rPr>
        <w:t xml:space="preserve">Exhibit </w:t>
      </w:r>
      <w:r w:rsidR="009B36DE" w:rsidRPr="009B36DE">
        <w:rPr>
          <w:b/>
          <w:i/>
        </w:rPr>
        <w:t>11</w:t>
      </w:r>
      <w:r w:rsidRPr="009B36DE">
        <w:rPr>
          <w:b/>
          <w:i/>
        </w:rPr>
        <w:t>.</w:t>
      </w:r>
      <w:r w:rsidRPr="009B36DE">
        <w:rPr>
          <w:b/>
        </w:rPr>
        <w:t xml:space="preserve"> </w:t>
      </w:r>
      <w:r w:rsidR="009E56F7" w:rsidRPr="009B36DE">
        <w:t>E</w:t>
      </w:r>
      <w:r w:rsidRPr="009B36DE">
        <w:t xml:space="preserve">valuation </w:t>
      </w:r>
      <w:r w:rsidR="009E56F7" w:rsidRPr="009B36DE">
        <w:t>da</w:t>
      </w:r>
      <w:r w:rsidR="009E56F7" w:rsidRPr="00652167">
        <w:t xml:space="preserve">ta collection </w:t>
      </w:r>
      <w:r w:rsidRPr="00652167">
        <w:t>will be conducted in one year (</w:t>
      </w:r>
      <w:r w:rsidR="00423AF5" w:rsidRPr="00652167">
        <w:t>May</w:t>
      </w:r>
      <w:r w:rsidR="009E56F7" w:rsidRPr="00652167">
        <w:t xml:space="preserve"> 2019</w:t>
      </w:r>
      <w:r w:rsidRPr="00652167">
        <w:t>–</w:t>
      </w:r>
      <w:r w:rsidR="009E56F7" w:rsidRPr="00652167">
        <w:t>January 2020</w:t>
      </w:r>
      <w:r w:rsidRPr="00652167">
        <w:t>), so the total burden and costs are the same as the annualized burden and costs.</w:t>
      </w:r>
      <w:r w:rsidR="00A71296" w:rsidRPr="00652167">
        <w:t xml:space="preserve"> </w:t>
      </w:r>
      <w:r w:rsidR="00170D57" w:rsidRPr="00652167">
        <w:t xml:space="preserve">The total estimated annualized burden hours are </w:t>
      </w:r>
      <w:r w:rsidR="008A5560" w:rsidRPr="00652167">
        <w:t>2,243</w:t>
      </w:r>
      <w:r w:rsidR="00A71296" w:rsidRPr="00652167">
        <w:t xml:space="preserve">, and the total estimated cost is </w:t>
      </w:r>
      <w:r w:rsidR="008A5560" w:rsidRPr="00652167">
        <w:rPr>
          <w:color w:val="000000"/>
        </w:rPr>
        <w:t>$30,983.30</w:t>
      </w:r>
      <w:r w:rsidR="00A71296" w:rsidRPr="00652167">
        <w:rPr>
          <w:color w:val="000000"/>
        </w:rPr>
        <w:t>.</w:t>
      </w:r>
      <w:r w:rsidR="001E05EC" w:rsidRPr="00652167">
        <w:rPr>
          <w:color w:val="000000"/>
        </w:rPr>
        <w:t xml:space="preserve"> </w:t>
      </w:r>
    </w:p>
    <w:p w14:paraId="578F7D82" w14:textId="77777777" w:rsidR="00170D57" w:rsidRPr="00652167" w:rsidRDefault="001E05EC" w:rsidP="004521C5">
      <w:pPr>
        <w:pStyle w:val="OMBbodytext"/>
      </w:pPr>
      <w:r w:rsidRPr="00652167">
        <w:rPr>
          <w:color w:val="000000"/>
        </w:rPr>
        <w:t xml:space="preserve">The </w:t>
      </w:r>
      <w:r w:rsidR="004762AC" w:rsidRPr="00652167">
        <w:t>2,243</w:t>
      </w:r>
      <w:r w:rsidR="004F5E5A" w:rsidRPr="00652167">
        <w:rPr>
          <w:color w:val="000000"/>
        </w:rPr>
        <w:t xml:space="preserve"> </w:t>
      </w:r>
      <w:r w:rsidRPr="00652167">
        <w:rPr>
          <w:color w:val="000000"/>
        </w:rPr>
        <w:t xml:space="preserve">burden hours are </w:t>
      </w:r>
      <w:r w:rsidR="004762AC" w:rsidRPr="00652167">
        <w:rPr>
          <w:color w:val="000000"/>
        </w:rPr>
        <w:t>lower</w:t>
      </w:r>
      <w:r w:rsidR="00423AF5" w:rsidRPr="00652167">
        <w:rPr>
          <w:color w:val="000000"/>
        </w:rPr>
        <w:t xml:space="preserve"> </w:t>
      </w:r>
      <w:r w:rsidRPr="00652167">
        <w:rPr>
          <w:color w:val="000000"/>
        </w:rPr>
        <w:t xml:space="preserve">than the 3,135 estimated in the </w:t>
      </w:r>
      <w:r w:rsidR="00FA22E4" w:rsidRPr="00652167">
        <w:rPr>
          <w:color w:val="000000"/>
        </w:rPr>
        <w:t>3</w:t>
      </w:r>
      <w:r w:rsidRPr="00652167">
        <w:rPr>
          <w:color w:val="000000"/>
        </w:rPr>
        <w:t xml:space="preserve">0-day FRN. </w:t>
      </w:r>
      <w:r w:rsidR="00CC02FD" w:rsidRPr="00652167">
        <w:rPr>
          <w:color w:val="000000"/>
        </w:rPr>
        <w:t>This is because</w:t>
      </w:r>
      <w:r w:rsidR="00845CC5" w:rsidRPr="00652167">
        <w:rPr>
          <w:color w:val="000000"/>
        </w:rPr>
        <w:t xml:space="preserve"> we finalized the number of IOs (2 rather than the 4 previously assumed)</w:t>
      </w:r>
      <w:r w:rsidR="008F511E" w:rsidRPr="00652167">
        <w:rPr>
          <w:color w:val="000000"/>
        </w:rPr>
        <w:t xml:space="preserve"> and provided an updated estimate of the number of </w:t>
      </w:r>
      <w:r w:rsidR="002D5265" w:rsidRPr="00652167">
        <w:rPr>
          <w:color w:val="000000"/>
        </w:rPr>
        <w:t xml:space="preserve">participating </w:t>
      </w:r>
      <w:r w:rsidR="008F511E" w:rsidRPr="00652167">
        <w:rPr>
          <w:color w:val="000000"/>
        </w:rPr>
        <w:t xml:space="preserve">schools that </w:t>
      </w:r>
      <w:r w:rsidR="002D5265" w:rsidRPr="00652167">
        <w:rPr>
          <w:color w:val="000000"/>
        </w:rPr>
        <w:t>would</w:t>
      </w:r>
      <w:r w:rsidR="008F511E" w:rsidRPr="00652167">
        <w:rPr>
          <w:color w:val="000000"/>
        </w:rPr>
        <w:t xml:space="preserve"> provide </w:t>
      </w:r>
      <w:r w:rsidR="00100FF2" w:rsidRPr="00652167">
        <w:rPr>
          <w:color w:val="000000"/>
        </w:rPr>
        <w:t xml:space="preserve">class </w:t>
      </w:r>
      <w:r w:rsidR="008F511E" w:rsidRPr="00652167">
        <w:rPr>
          <w:color w:val="000000"/>
        </w:rPr>
        <w:t>rosters and administrative data</w:t>
      </w:r>
      <w:r w:rsidR="00100FF2" w:rsidRPr="00652167">
        <w:rPr>
          <w:color w:val="000000"/>
        </w:rPr>
        <w:t xml:space="preserve"> (14)</w:t>
      </w:r>
      <w:r w:rsidR="008904EB" w:rsidRPr="00652167">
        <w:rPr>
          <w:color w:val="000000"/>
        </w:rPr>
        <w:t>.</w:t>
      </w:r>
      <w:r w:rsidR="003E18EA" w:rsidRPr="00652167">
        <w:rPr>
          <w:color w:val="000000"/>
        </w:rPr>
        <w:t xml:space="preserve"> We also updated the number of teachers, facilitators, and sessions</w:t>
      </w:r>
      <w:r w:rsidR="008258CD" w:rsidRPr="00652167">
        <w:rPr>
          <w:color w:val="000000"/>
        </w:rPr>
        <w:t xml:space="preserve"> based on these final numbers of IOs and schools.</w:t>
      </w:r>
    </w:p>
    <w:bookmarkEnd w:id="82"/>
    <w:p w14:paraId="36CEBA2C" w14:textId="5EC368F8" w:rsidR="007F342C" w:rsidRPr="00652167" w:rsidRDefault="00C623D7" w:rsidP="00C623D7">
      <w:pPr>
        <w:pStyle w:val="OMBbodytext"/>
      </w:pPr>
      <w:r w:rsidRPr="00652167">
        <w:t xml:space="preserve">For the </w:t>
      </w:r>
      <w:r w:rsidR="00AE520F" w:rsidRPr="00652167">
        <w:t xml:space="preserve">youth proximal </w:t>
      </w:r>
      <w:r w:rsidRPr="00652167">
        <w:t>outcome evaluation, p</w:t>
      </w:r>
      <w:r w:rsidR="00C71662" w:rsidRPr="00652167">
        <w:t xml:space="preserve">arents </w:t>
      </w:r>
      <w:r w:rsidR="000167B3" w:rsidRPr="00652167">
        <w:t>will be asked to sign a parent</w:t>
      </w:r>
      <w:r w:rsidR="00FA22E4" w:rsidRPr="00652167">
        <w:t>al</w:t>
      </w:r>
      <w:r w:rsidR="000167B3" w:rsidRPr="00652167">
        <w:t xml:space="preserve"> </w:t>
      </w:r>
      <w:r w:rsidR="00FA22E4" w:rsidRPr="00652167">
        <w:t>consent</w:t>
      </w:r>
      <w:r w:rsidR="000167B3" w:rsidRPr="00652167">
        <w:t xml:space="preserve"> form, youth will </w:t>
      </w:r>
      <w:r w:rsidR="00FA22E4" w:rsidRPr="00652167">
        <w:t xml:space="preserve">be asked to </w:t>
      </w:r>
      <w:r w:rsidR="000167B3" w:rsidRPr="00652167">
        <w:t xml:space="preserve">review </w:t>
      </w:r>
      <w:r w:rsidR="00FA22E4" w:rsidRPr="00652167">
        <w:t xml:space="preserve">and sign </w:t>
      </w:r>
      <w:r w:rsidR="000167B3" w:rsidRPr="00652167">
        <w:t xml:space="preserve">a youth assent form, and youth will complete a baseline and follow-up survey. We will also collect class rosters and administrative data from sites. </w:t>
      </w:r>
      <w:r w:rsidR="007F342C" w:rsidRPr="00652167">
        <w:t>The numbers in the estimated annualized burden hours table (</w:t>
      </w:r>
      <w:r w:rsidR="007F342C" w:rsidRPr="00652167">
        <w:rPr>
          <w:b/>
          <w:i/>
        </w:rPr>
        <w:t xml:space="preserve">Exhibit </w:t>
      </w:r>
      <w:r w:rsidR="00A47DE2" w:rsidRPr="00652167">
        <w:rPr>
          <w:b/>
          <w:i/>
        </w:rPr>
        <w:t>1</w:t>
      </w:r>
      <w:r w:rsidR="009B36DE">
        <w:rPr>
          <w:b/>
          <w:i/>
        </w:rPr>
        <w:t>0</w:t>
      </w:r>
      <w:r w:rsidR="007F342C" w:rsidRPr="00652167">
        <w:t xml:space="preserve">) represent the burden hours </w:t>
      </w:r>
      <w:r w:rsidR="00423AF5" w:rsidRPr="00652167">
        <w:t>for intervention and comparison groups for both</w:t>
      </w:r>
      <w:r w:rsidR="007F342C" w:rsidRPr="00652167">
        <w:t xml:space="preserve"> IOs</w:t>
      </w:r>
      <w:r w:rsidR="00423AF5" w:rsidRPr="00652167">
        <w:t>.</w:t>
      </w:r>
      <w:r w:rsidR="00850F2A" w:rsidRPr="00652167">
        <w:t xml:space="preserve"> </w:t>
      </w:r>
      <w:r w:rsidR="00850F2A" w:rsidRPr="00652167">
        <w:rPr>
          <w:b/>
          <w:i/>
        </w:rPr>
        <w:t xml:space="preserve">Exhibit </w:t>
      </w:r>
      <w:r w:rsidR="003F0C49" w:rsidRPr="00652167">
        <w:rPr>
          <w:b/>
          <w:i/>
        </w:rPr>
        <w:t>1</w:t>
      </w:r>
      <w:r w:rsidR="009B36DE">
        <w:rPr>
          <w:b/>
          <w:i/>
        </w:rPr>
        <w:t>1</w:t>
      </w:r>
      <w:r w:rsidR="00850F2A" w:rsidRPr="00652167">
        <w:t xml:space="preserve"> provides the estimated annualized cost to respondents.</w:t>
      </w:r>
    </w:p>
    <w:p w14:paraId="33C8EA93" w14:textId="77777777" w:rsidR="00C75762" w:rsidRPr="00652167" w:rsidRDefault="000167B3" w:rsidP="00911F26">
      <w:pPr>
        <w:pStyle w:val="OMBbodytext"/>
        <w:numPr>
          <w:ilvl w:val="0"/>
          <w:numId w:val="25"/>
        </w:numPr>
      </w:pPr>
      <w:bookmarkStart w:id="86" w:name="_Hlk523341229"/>
      <w:r w:rsidRPr="00652167">
        <w:rPr>
          <w:b/>
        </w:rPr>
        <w:t>Parental consent.</w:t>
      </w:r>
      <w:r w:rsidRPr="00652167">
        <w:t xml:space="preserve"> </w:t>
      </w:r>
      <w:r w:rsidR="00510C9E" w:rsidRPr="00652167">
        <w:t xml:space="preserve">An anticipated </w:t>
      </w:r>
      <w:r w:rsidR="00344BF6" w:rsidRPr="00652167">
        <w:t>1,680</w:t>
      </w:r>
      <w:r w:rsidR="004F5E5A" w:rsidRPr="00652167">
        <w:t xml:space="preserve"> </w:t>
      </w:r>
      <w:r w:rsidR="007F342C" w:rsidRPr="00652167">
        <w:t xml:space="preserve">parents will </w:t>
      </w:r>
      <w:r w:rsidR="00510C9E" w:rsidRPr="00652167">
        <w:t>complete a</w:t>
      </w:r>
      <w:r w:rsidR="007F342C" w:rsidRPr="00652167">
        <w:t xml:space="preserve"> </w:t>
      </w:r>
      <w:r w:rsidR="009853BB" w:rsidRPr="00652167">
        <w:t xml:space="preserve">5-minute </w:t>
      </w:r>
      <w:r w:rsidR="007F342C" w:rsidRPr="00652167">
        <w:t>parental consent form</w:t>
      </w:r>
      <w:r w:rsidR="00510C9E" w:rsidRPr="00652167">
        <w:t xml:space="preserve">, for a total burden of </w:t>
      </w:r>
      <w:r w:rsidR="008F027A" w:rsidRPr="00652167">
        <w:t>140</w:t>
      </w:r>
      <w:r w:rsidR="008610EA" w:rsidRPr="00652167">
        <w:t xml:space="preserve"> </w:t>
      </w:r>
      <w:r w:rsidR="00510C9E" w:rsidRPr="00652167">
        <w:t>hours. Using the U.S. Department of Labor’s Bureau of Labor Statistics’ 2017 estimate of an average hourly wage</w:t>
      </w:r>
      <w:r w:rsidR="005F41DA" w:rsidRPr="00652167">
        <w:t xml:space="preserve"> of $24.</w:t>
      </w:r>
      <w:r w:rsidR="00207E5C" w:rsidRPr="00652167">
        <w:t>34</w:t>
      </w:r>
      <w:r w:rsidR="00510C9E" w:rsidRPr="00652167">
        <w:t xml:space="preserve">, the total cost will be </w:t>
      </w:r>
      <w:r w:rsidR="008F027A" w:rsidRPr="00652167">
        <w:rPr>
          <w:rFonts w:cs="Arial"/>
        </w:rPr>
        <w:t>$3,407.60</w:t>
      </w:r>
      <w:r w:rsidR="00510C9E" w:rsidRPr="00652167">
        <w:rPr>
          <w:rFonts w:cs="Arial"/>
        </w:rPr>
        <w:t>.</w:t>
      </w:r>
    </w:p>
    <w:p w14:paraId="3DDBD2E8" w14:textId="77777777" w:rsidR="00620C61" w:rsidRPr="00652167" w:rsidRDefault="00620C61" w:rsidP="00620C61">
      <w:pPr>
        <w:pStyle w:val="OMBbodytext"/>
        <w:numPr>
          <w:ilvl w:val="0"/>
          <w:numId w:val="25"/>
        </w:numPr>
      </w:pPr>
      <w:r w:rsidRPr="00652167">
        <w:rPr>
          <w:b/>
        </w:rPr>
        <w:t>Youth assent.</w:t>
      </w:r>
      <w:r w:rsidRPr="00652167">
        <w:t xml:space="preserve"> An anticipated </w:t>
      </w:r>
      <w:r w:rsidR="00AF068F" w:rsidRPr="00652167">
        <w:t>1,680</w:t>
      </w:r>
      <w:r w:rsidR="004F5E5A" w:rsidRPr="00652167">
        <w:t xml:space="preserve"> </w:t>
      </w:r>
      <w:r w:rsidRPr="00652167">
        <w:t xml:space="preserve">youth will complete a 5-minute assent, for a total burden of </w:t>
      </w:r>
      <w:r w:rsidR="00AF068F" w:rsidRPr="00652167">
        <w:t>140</w:t>
      </w:r>
      <w:r w:rsidR="00392CC7" w:rsidRPr="00652167">
        <w:t xml:space="preserve"> </w:t>
      </w:r>
      <w:r w:rsidRPr="00652167">
        <w:t xml:space="preserve">hours </w:t>
      </w:r>
      <w:r w:rsidRPr="00652167">
        <w:rPr>
          <w:iCs/>
        </w:rPr>
        <w:t xml:space="preserve">and a cost of </w:t>
      </w:r>
      <w:r w:rsidR="00AF068F" w:rsidRPr="00652167">
        <w:t>$1,015.00</w:t>
      </w:r>
      <w:r w:rsidRPr="00652167">
        <w:t>. The figure of $7.25 per hour (an approximation of the hourly wage that students could earn) is used to value the time cost of participation. However, because the assent and surveys will be administered during the school day, the real cost to students is the opportunity cost of filling out the survey instruments in lieu of formal classroom instruction.</w:t>
      </w:r>
    </w:p>
    <w:p w14:paraId="3536EF64" w14:textId="77777777" w:rsidR="00423AF5" w:rsidRPr="00652167" w:rsidRDefault="00510C9E" w:rsidP="00423AF5">
      <w:pPr>
        <w:pStyle w:val="OMBbodytext"/>
        <w:numPr>
          <w:ilvl w:val="0"/>
          <w:numId w:val="25"/>
        </w:numPr>
      </w:pPr>
      <w:r w:rsidRPr="00652167">
        <w:rPr>
          <w:b/>
        </w:rPr>
        <w:t xml:space="preserve">Baseline </w:t>
      </w:r>
      <w:r w:rsidR="002F2EDC" w:rsidRPr="00652167">
        <w:rPr>
          <w:b/>
        </w:rPr>
        <w:t xml:space="preserve">youth </w:t>
      </w:r>
      <w:r w:rsidRPr="00652167">
        <w:rPr>
          <w:b/>
        </w:rPr>
        <w:t xml:space="preserve">survey. </w:t>
      </w:r>
      <w:r w:rsidR="00DF2608" w:rsidRPr="00652167">
        <w:t xml:space="preserve">The baseline survey will use Teleform scannable questionnaires and will take 30 minutes on average to complete. An anticipated </w:t>
      </w:r>
      <w:r w:rsidR="00AF068F" w:rsidRPr="00652167">
        <w:t>1,596</w:t>
      </w:r>
      <w:r w:rsidR="004F5E5A" w:rsidRPr="00652167">
        <w:t xml:space="preserve"> </w:t>
      </w:r>
      <w:r w:rsidR="00DF2608" w:rsidRPr="00652167">
        <w:t xml:space="preserve">youth will complete the survey, for a burden of </w:t>
      </w:r>
      <w:r w:rsidR="00AF068F" w:rsidRPr="00652167">
        <w:t>798</w:t>
      </w:r>
      <w:r w:rsidR="004F5E5A" w:rsidRPr="00652167">
        <w:t xml:space="preserve"> </w:t>
      </w:r>
      <w:r w:rsidR="00DF2608" w:rsidRPr="00652167">
        <w:t xml:space="preserve">hours.  Based on the figure of $7.25 per hour, the estimated annual cost to students for </w:t>
      </w:r>
      <w:r w:rsidR="00DF2608" w:rsidRPr="00652167">
        <w:rPr>
          <w:rFonts w:cs="Arial"/>
          <w:color w:val="000000"/>
        </w:rPr>
        <w:t>the baseline survey</w:t>
      </w:r>
      <w:r w:rsidR="00DF2608" w:rsidRPr="00652167">
        <w:t xml:space="preserve"> is </w:t>
      </w:r>
      <w:r w:rsidR="00DF2608" w:rsidRPr="00652167">
        <w:rPr>
          <w:rFonts w:cs="Arial"/>
          <w:color w:val="000000"/>
        </w:rPr>
        <w:t>$</w:t>
      </w:r>
      <w:r w:rsidR="00AF068F" w:rsidRPr="00652167">
        <w:t>5,785.50</w:t>
      </w:r>
      <w:r w:rsidR="00DF2608" w:rsidRPr="00652167">
        <w:rPr>
          <w:rFonts w:cs="Arial"/>
          <w:color w:val="000000"/>
        </w:rPr>
        <w:t>.</w:t>
      </w:r>
    </w:p>
    <w:p w14:paraId="178A9264" w14:textId="77777777" w:rsidR="00DF2608" w:rsidRPr="00652167" w:rsidRDefault="00DF2608" w:rsidP="00423AF5">
      <w:pPr>
        <w:pStyle w:val="OMBbodytext"/>
        <w:numPr>
          <w:ilvl w:val="0"/>
          <w:numId w:val="25"/>
        </w:numPr>
      </w:pPr>
      <w:r w:rsidRPr="00652167">
        <w:rPr>
          <w:b/>
        </w:rPr>
        <w:t xml:space="preserve">Follow-up </w:t>
      </w:r>
      <w:r w:rsidR="002F2EDC" w:rsidRPr="00652167">
        <w:rPr>
          <w:b/>
        </w:rPr>
        <w:t xml:space="preserve">youth </w:t>
      </w:r>
      <w:r w:rsidRPr="00652167">
        <w:rPr>
          <w:b/>
        </w:rPr>
        <w:t xml:space="preserve">survey. </w:t>
      </w:r>
      <w:r w:rsidRPr="00652167">
        <w:t xml:space="preserve">The </w:t>
      </w:r>
      <w:r w:rsidR="00FE51C1" w:rsidRPr="00652167">
        <w:t>intervention group follow-up</w:t>
      </w:r>
      <w:r w:rsidRPr="00652167">
        <w:t xml:space="preserve"> survey will use Teleform scannable questionnaires and will take </w:t>
      </w:r>
      <w:r w:rsidR="00A76893" w:rsidRPr="00652167">
        <w:t>1</w:t>
      </w:r>
      <w:r w:rsidRPr="00652167">
        <w:t xml:space="preserve">0 minutes on average to complete. </w:t>
      </w:r>
      <w:r w:rsidR="006C2B48" w:rsidRPr="00652167">
        <w:t xml:space="preserve">After consulting with IOs, we estimate that </w:t>
      </w:r>
      <w:r w:rsidR="00FF65B7" w:rsidRPr="00652167">
        <w:t>5</w:t>
      </w:r>
      <w:r w:rsidR="006C2B48" w:rsidRPr="00652167">
        <w:t>% of youth who complete the baseline survey will not complete the follow-up survey (</w:t>
      </w:r>
      <w:r w:rsidR="0090642A" w:rsidRPr="00652167">
        <w:t>attrition</w:t>
      </w:r>
      <w:r w:rsidR="006C2B48" w:rsidRPr="00652167">
        <w:t xml:space="preserve">). </w:t>
      </w:r>
      <w:r w:rsidRPr="00652167">
        <w:t xml:space="preserve">An anticipated </w:t>
      </w:r>
      <w:r w:rsidR="00AF068F" w:rsidRPr="00652167">
        <w:t>1,596</w:t>
      </w:r>
      <w:r w:rsidR="004F5E5A" w:rsidRPr="00652167">
        <w:t xml:space="preserve"> </w:t>
      </w:r>
      <w:r w:rsidRPr="00652167">
        <w:t xml:space="preserve">youth will complete </w:t>
      </w:r>
      <w:r w:rsidR="00FE51C1" w:rsidRPr="00652167">
        <w:t>the</w:t>
      </w:r>
      <w:r w:rsidRPr="00652167">
        <w:t xml:space="preserve"> survey, for a burden of </w:t>
      </w:r>
      <w:r w:rsidR="00AF068F" w:rsidRPr="00652167">
        <w:t>798</w:t>
      </w:r>
      <w:r w:rsidR="004F5E5A" w:rsidRPr="00652167">
        <w:t xml:space="preserve"> </w:t>
      </w:r>
      <w:r w:rsidRPr="00652167">
        <w:t xml:space="preserve">hours.  The estimated annual cost to intervention students for the follow-up outcome survey is </w:t>
      </w:r>
      <w:r w:rsidRPr="00652167">
        <w:rPr>
          <w:rFonts w:cs="Arial"/>
          <w:color w:val="000000"/>
        </w:rPr>
        <w:t>$</w:t>
      </w:r>
      <w:r w:rsidR="00AF068F" w:rsidRPr="00652167">
        <w:t>5,785.50</w:t>
      </w:r>
      <w:r w:rsidRPr="00652167">
        <w:rPr>
          <w:rFonts w:cs="Arial"/>
          <w:color w:val="000000"/>
        </w:rPr>
        <w:t>.</w:t>
      </w:r>
    </w:p>
    <w:p w14:paraId="3A1ECF9C" w14:textId="77777777" w:rsidR="00C75762" w:rsidRPr="00652167" w:rsidRDefault="00365EEA" w:rsidP="00911F26">
      <w:pPr>
        <w:pStyle w:val="OMBbodytext"/>
        <w:numPr>
          <w:ilvl w:val="0"/>
          <w:numId w:val="25"/>
        </w:numPr>
      </w:pPr>
      <w:r w:rsidRPr="00652167">
        <w:rPr>
          <w:b/>
        </w:rPr>
        <w:t>Classroom roster report</w:t>
      </w:r>
      <w:r w:rsidR="00CF6D13" w:rsidRPr="00652167">
        <w:rPr>
          <w:b/>
        </w:rPr>
        <w:t xml:space="preserve">. </w:t>
      </w:r>
      <w:r w:rsidR="00CF6D13" w:rsidRPr="00652167">
        <w:t xml:space="preserve">An anticipated </w:t>
      </w:r>
      <w:r w:rsidR="009F2602" w:rsidRPr="00652167">
        <w:t>14 schools</w:t>
      </w:r>
      <w:r w:rsidR="00CF6D13" w:rsidRPr="00652167">
        <w:t xml:space="preserve"> will provide </w:t>
      </w:r>
      <w:r w:rsidR="006D6A15" w:rsidRPr="00652167">
        <w:t xml:space="preserve">administrative data and </w:t>
      </w:r>
      <w:r w:rsidR="00CF6D13" w:rsidRPr="00652167">
        <w:t>rosters</w:t>
      </w:r>
      <w:r w:rsidR="00C75762" w:rsidRPr="00652167">
        <w:t xml:space="preserve"> of youth in the </w:t>
      </w:r>
      <w:r w:rsidR="009F2602" w:rsidRPr="00652167">
        <w:t>school</w:t>
      </w:r>
      <w:r w:rsidR="00CF6D13" w:rsidRPr="00652167">
        <w:t xml:space="preserve"> </w:t>
      </w:r>
      <w:r w:rsidR="00C75762" w:rsidRPr="00652167">
        <w:t xml:space="preserve">who are eligible for the SRA program. We estimate that producing </w:t>
      </w:r>
      <w:r w:rsidR="006D6A15" w:rsidRPr="00652167">
        <w:t xml:space="preserve">administrative data and </w:t>
      </w:r>
      <w:r w:rsidR="00C75762" w:rsidRPr="00652167">
        <w:t>roster</w:t>
      </w:r>
      <w:r w:rsidR="00CF6D13" w:rsidRPr="00652167">
        <w:t>s</w:t>
      </w:r>
      <w:r w:rsidR="00C75762" w:rsidRPr="00652167">
        <w:t xml:space="preserve"> will take an average of two hours per </w:t>
      </w:r>
      <w:r w:rsidR="00DF2608" w:rsidRPr="00652167">
        <w:t xml:space="preserve">school </w:t>
      </w:r>
      <w:r w:rsidR="00CF6D13" w:rsidRPr="00652167">
        <w:t xml:space="preserve">for a total burden of </w:t>
      </w:r>
      <w:r w:rsidR="009F2602" w:rsidRPr="00652167">
        <w:t>28</w:t>
      </w:r>
      <w:r w:rsidR="00FE51C1" w:rsidRPr="00652167">
        <w:t xml:space="preserve"> </w:t>
      </w:r>
      <w:r w:rsidR="00CF6D13" w:rsidRPr="00652167">
        <w:t>hours</w:t>
      </w:r>
      <w:r w:rsidR="00C75762" w:rsidRPr="00652167">
        <w:t xml:space="preserve">. </w:t>
      </w:r>
      <w:r w:rsidR="00CF6D13" w:rsidRPr="00652167">
        <w:t>Based on a</w:t>
      </w:r>
      <w:r w:rsidR="005F41DA" w:rsidRPr="00652167">
        <w:t xml:space="preserve">n </w:t>
      </w:r>
      <w:r w:rsidR="00207E5C" w:rsidRPr="00652167">
        <w:t xml:space="preserve">adjusted </w:t>
      </w:r>
      <w:r w:rsidR="005F41DA" w:rsidRPr="00652167">
        <w:t xml:space="preserve">hourly wage </w:t>
      </w:r>
      <w:r w:rsidR="00CF6D13" w:rsidRPr="00652167">
        <w:t>of $</w:t>
      </w:r>
      <w:r w:rsidR="00207E5C" w:rsidRPr="00652167">
        <w:t>45.38</w:t>
      </w:r>
      <w:r w:rsidR="00CF6D13" w:rsidRPr="00652167">
        <w:t xml:space="preserve"> for school administrative staff, the total cost for the rosters would be </w:t>
      </w:r>
      <w:r w:rsidR="00CF6D13" w:rsidRPr="00652167">
        <w:rPr>
          <w:rFonts w:cs="Arial"/>
        </w:rPr>
        <w:t>$</w:t>
      </w:r>
      <w:r w:rsidR="005B5008" w:rsidRPr="00652167">
        <w:rPr>
          <w:rFonts w:cs="Arial"/>
        </w:rPr>
        <w:t>1,270.64</w:t>
      </w:r>
      <w:r w:rsidR="00CF6D13" w:rsidRPr="00652167">
        <w:rPr>
          <w:rFonts w:cs="Arial"/>
        </w:rPr>
        <w:t>.</w:t>
      </w:r>
    </w:p>
    <w:p w14:paraId="4B0F5FE0" w14:textId="77777777" w:rsidR="00C623D7" w:rsidRPr="00652167" w:rsidRDefault="00C623D7" w:rsidP="00FF55B7">
      <w:pPr>
        <w:pStyle w:val="OMBbodytext"/>
      </w:pPr>
      <w:r w:rsidRPr="00652167">
        <w:t>For the process evaluation, data will be collected through youth and facilitator surveys, key informant interviews, a Session Log completed by program facilitators, and an attendance form.</w:t>
      </w:r>
    </w:p>
    <w:p w14:paraId="27DDE3CD" w14:textId="77777777" w:rsidR="009055B7" w:rsidRPr="00652167" w:rsidRDefault="009055B7" w:rsidP="00652167">
      <w:pPr>
        <w:pStyle w:val="ListParagraph"/>
        <w:numPr>
          <w:ilvl w:val="0"/>
          <w:numId w:val="25"/>
        </w:numPr>
        <w:spacing w:after="240"/>
        <w:rPr>
          <w:iCs/>
        </w:rPr>
      </w:pPr>
      <w:r w:rsidRPr="00652167">
        <w:rPr>
          <w:b/>
          <w:color w:val="000000"/>
        </w:rPr>
        <w:t>Facilitator Session Logs.</w:t>
      </w:r>
      <w:r w:rsidRPr="00652167">
        <w:rPr>
          <w:color w:val="000000"/>
        </w:rPr>
        <w:t xml:space="preserve"> </w:t>
      </w:r>
      <w:r w:rsidRPr="00652167">
        <w:rPr>
          <w:iCs/>
        </w:rPr>
        <w:t xml:space="preserve">To obtain information about the fidelity with which the curriculum is administered, and to document the level of youth engagement, facilitators (employed by the IOs) will complete a Session Log for the sessions they facilitate. We anticipate that each of the 8 facilitators will complete approximately </w:t>
      </w:r>
      <w:r w:rsidRPr="00652167">
        <w:t>75</w:t>
      </w:r>
      <w:r w:rsidRPr="00652167">
        <w:rPr>
          <w:iCs/>
        </w:rPr>
        <w:t xml:space="preserve"> Session Logs (assuming </w:t>
      </w:r>
      <w:r w:rsidRPr="00652167">
        <w:t>120</w:t>
      </w:r>
      <w:r w:rsidRPr="00652167">
        <w:rPr>
          <w:iCs/>
        </w:rPr>
        <w:t xml:space="preserve"> classes of </w:t>
      </w:r>
      <w:r w:rsidRPr="00652167">
        <w:t>20</w:t>
      </w:r>
      <w:r w:rsidRPr="00652167">
        <w:rPr>
          <w:iCs/>
        </w:rPr>
        <w:t xml:space="preserve"> students each at 5 sessions per class), and that each Session Log will take approximately 15 minutes to complete. The total burden will be </w:t>
      </w:r>
      <w:r w:rsidRPr="00652167">
        <w:t>150</w:t>
      </w:r>
      <w:r w:rsidRPr="00652167">
        <w:rPr>
          <w:iCs/>
        </w:rPr>
        <w:t xml:space="preserve"> hours. Using the adjusted hourly wage for high school teachers of $60.12, the total cost will be </w:t>
      </w:r>
      <w:r w:rsidRPr="00652167">
        <w:t>$9,018.00.</w:t>
      </w:r>
    </w:p>
    <w:p w14:paraId="0678F7A2" w14:textId="77777777" w:rsidR="009055B7" w:rsidRPr="00652167" w:rsidRDefault="009055B7" w:rsidP="009055B7">
      <w:pPr>
        <w:pStyle w:val="ListParagraph"/>
        <w:numPr>
          <w:ilvl w:val="0"/>
          <w:numId w:val="25"/>
        </w:numPr>
        <w:spacing w:after="240"/>
        <w:rPr>
          <w:iCs/>
        </w:rPr>
      </w:pPr>
      <w:r w:rsidRPr="00652167">
        <w:rPr>
          <w:b/>
          <w:iCs/>
        </w:rPr>
        <w:t xml:space="preserve">Facilitator surveys. </w:t>
      </w:r>
      <w:r w:rsidRPr="00652167">
        <w:rPr>
          <w:iCs/>
        </w:rPr>
        <w:t xml:space="preserve">An anticipated 8 facilitators will complete a 25-minute survey about their SRA knowledge and attitudes and their experiences implementing the SRA program. The total burden is expected to be 3 hours. Using the adjusted hourly wage for high school teachers of $60.12, the total cost will be </w:t>
      </w:r>
      <w:r w:rsidRPr="00652167">
        <w:t>$180.36.</w:t>
      </w:r>
    </w:p>
    <w:p w14:paraId="69C0B241" w14:textId="77777777" w:rsidR="00584B78" w:rsidRPr="00652167" w:rsidRDefault="00584B78" w:rsidP="00584B78">
      <w:pPr>
        <w:pStyle w:val="ListParagraph"/>
        <w:numPr>
          <w:ilvl w:val="0"/>
          <w:numId w:val="25"/>
        </w:numPr>
        <w:spacing w:after="240"/>
        <w:rPr>
          <w:iCs/>
        </w:rPr>
      </w:pPr>
      <w:r w:rsidRPr="00652167">
        <w:rPr>
          <w:b/>
          <w:iCs/>
        </w:rPr>
        <w:t xml:space="preserve">Process evaluation participant surveys. </w:t>
      </w:r>
      <w:r w:rsidRPr="00652167">
        <w:rPr>
          <w:iCs/>
        </w:rPr>
        <w:t xml:space="preserve">An anticipated </w:t>
      </w:r>
      <w:r w:rsidR="00792B20" w:rsidRPr="00652167">
        <w:t>756</w:t>
      </w:r>
      <w:r w:rsidR="004F5E5A" w:rsidRPr="00652167">
        <w:rPr>
          <w:iCs/>
        </w:rPr>
        <w:t xml:space="preserve"> </w:t>
      </w:r>
      <w:r w:rsidRPr="00652167">
        <w:rPr>
          <w:iCs/>
        </w:rPr>
        <w:t xml:space="preserve">youth (half of the total follow-up survey youth </w:t>
      </w:r>
      <w:r w:rsidR="008B330C" w:rsidRPr="00652167">
        <w:rPr>
          <w:iCs/>
        </w:rPr>
        <w:t>– i.e.,</w:t>
      </w:r>
      <w:r w:rsidRPr="00652167">
        <w:rPr>
          <w:iCs/>
        </w:rPr>
        <w:t xml:space="preserve"> those in the intervention group) will complete a 10-minute survey about their experience with the SRA course and facilitator. The total burden is expected to be </w:t>
      </w:r>
      <w:r w:rsidR="00792B20" w:rsidRPr="00652167">
        <w:t>126</w:t>
      </w:r>
      <w:r w:rsidR="004F5E5A" w:rsidRPr="00652167">
        <w:rPr>
          <w:iCs/>
        </w:rPr>
        <w:t xml:space="preserve"> </w:t>
      </w:r>
      <w:r w:rsidRPr="00652167">
        <w:rPr>
          <w:iCs/>
        </w:rPr>
        <w:t xml:space="preserve">hours. </w:t>
      </w:r>
      <w:r w:rsidRPr="00652167">
        <w:t xml:space="preserve">Based on the figure of $7.25 per hour, the estimated annual cost to students for </w:t>
      </w:r>
      <w:r w:rsidRPr="00652167">
        <w:rPr>
          <w:rFonts w:cs="Arial"/>
          <w:color w:val="000000"/>
        </w:rPr>
        <w:t>the participant surveys</w:t>
      </w:r>
      <w:r w:rsidRPr="00652167">
        <w:t xml:space="preserve"> is </w:t>
      </w:r>
      <w:r w:rsidRPr="00652167">
        <w:rPr>
          <w:rFonts w:cs="Arial"/>
          <w:color w:val="000000"/>
        </w:rPr>
        <w:t>$</w:t>
      </w:r>
      <w:r w:rsidR="00792B20" w:rsidRPr="00652167">
        <w:t>913.50</w:t>
      </w:r>
      <w:r w:rsidRPr="00652167">
        <w:rPr>
          <w:rFonts w:cs="Arial"/>
          <w:color w:val="000000"/>
        </w:rPr>
        <w:t>.</w:t>
      </w:r>
    </w:p>
    <w:p w14:paraId="20834E7E" w14:textId="77777777" w:rsidR="008904EB" w:rsidRPr="00652167" w:rsidRDefault="008904EB" w:rsidP="008904EB">
      <w:pPr>
        <w:pStyle w:val="ListParagraph"/>
        <w:numPr>
          <w:ilvl w:val="0"/>
          <w:numId w:val="25"/>
        </w:numPr>
        <w:spacing w:after="240"/>
        <w:rPr>
          <w:iCs/>
        </w:rPr>
      </w:pPr>
      <w:r w:rsidRPr="00652167">
        <w:rPr>
          <w:b/>
          <w:iCs/>
        </w:rPr>
        <w:t xml:space="preserve">Key informant interviews. </w:t>
      </w:r>
      <w:r w:rsidRPr="00652167">
        <w:rPr>
          <w:iCs/>
        </w:rPr>
        <w:t xml:space="preserve">To obtain a more in-depth understanding of the implementation process, the contractor will conduct in-person key informant interviews with facilitators as well as representatives of the study sites. For each </w:t>
      </w:r>
      <w:r w:rsidR="007C3C52" w:rsidRPr="00652167">
        <w:rPr>
          <w:iCs/>
        </w:rPr>
        <w:t xml:space="preserve">of the two </w:t>
      </w:r>
      <w:r w:rsidRPr="00652167">
        <w:rPr>
          <w:iCs/>
        </w:rPr>
        <w:t>IO</w:t>
      </w:r>
      <w:r w:rsidR="007C3C52" w:rsidRPr="00652167">
        <w:rPr>
          <w:iCs/>
        </w:rPr>
        <w:t>s</w:t>
      </w:r>
      <w:r w:rsidRPr="00652167">
        <w:rPr>
          <w:iCs/>
        </w:rPr>
        <w:t xml:space="preserve">, </w:t>
      </w:r>
      <w:r w:rsidR="00914525" w:rsidRPr="00652167">
        <w:rPr>
          <w:iCs/>
        </w:rPr>
        <w:t>two</w:t>
      </w:r>
      <w:r w:rsidRPr="00652167">
        <w:rPr>
          <w:iCs/>
        </w:rPr>
        <w:t xml:space="preserve"> representatives of the sites and </w:t>
      </w:r>
      <w:r w:rsidR="0023685A" w:rsidRPr="00652167">
        <w:rPr>
          <w:iCs/>
        </w:rPr>
        <w:t>three</w:t>
      </w:r>
      <w:r w:rsidRPr="00652167">
        <w:rPr>
          <w:iCs/>
        </w:rPr>
        <w:t xml:space="preserve"> program facilitators</w:t>
      </w:r>
      <w:r w:rsidR="0023685A" w:rsidRPr="00652167">
        <w:rPr>
          <w:iCs/>
        </w:rPr>
        <w:t>/staff</w:t>
      </w:r>
      <w:r w:rsidRPr="00652167">
        <w:rPr>
          <w:iCs/>
        </w:rPr>
        <w:t xml:space="preserve"> will be interviewed, for a total of </w:t>
      </w:r>
      <w:r w:rsidR="00F66CBB" w:rsidRPr="00652167">
        <w:rPr>
          <w:iCs/>
        </w:rPr>
        <w:t>10</w:t>
      </w:r>
      <w:r w:rsidRPr="00652167">
        <w:rPr>
          <w:iCs/>
        </w:rPr>
        <w:t xml:space="preserve"> key informant interviews across </w:t>
      </w:r>
      <w:r w:rsidR="000E3745" w:rsidRPr="00652167">
        <w:rPr>
          <w:iCs/>
        </w:rPr>
        <w:t>both</w:t>
      </w:r>
      <w:r w:rsidRPr="00652167">
        <w:rPr>
          <w:iCs/>
        </w:rPr>
        <w:t xml:space="preserve"> IOs. Each interview is anticipated to last one hour, so the total burden is </w:t>
      </w:r>
      <w:r w:rsidR="009D737A" w:rsidRPr="00652167">
        <w:rPr>
          <w:iCs/>
        </w:rPr>
        <w:t>10</w:t>
      </w:r>
      <w:r w:rsidRPr="00652167">
        <w:rPr>
          <w:iCs/>
        </w:rPr>
        <w:t xml:space="preserve"> hours. Using the adjusted hourly wage for high school teachers of $60.12, the total cost will be </w:t>
      </w:r>
      <w:r w:rsidRPr="00652167">
        <w:t>$</w:t>
      </w:r>
      <w:r w:rsidR="004F6EC1" w:rsidRPr="00652167">
        <w:t>601.20</w:t>
      </w:r>
      <w:r w:rsidRPr="00652167">
        <w:t>.</w:t>
      </w:r>
    </w:p>
    <w:p w14:paraId="6866FA4F" w14:textId="77777777" w:rsidR="008904EB" w:rsidRPr="00652167" w:rsidRDefault="008904EB" w:rsidP="00652167">
      <w:pPr>
        <w:pStyle w:val="ListParagraph"/>
        <w:numPr>
          <w:ilvl w:val="0"/>
          <w:numId w:val="25"/>
        </w:numPr>
        <w:spacing w:after="240"/>
        <w:rPr>
          <w:iCs/>
        </w:rPr>
      </w:pPr>
      <w:r w:rsidRPr="00652167">
        <w:rPr>
          <w:b/>
          <w:iCs/>
        </w:rPr>
        <w:t xml:space="preserve">Attendance forms. </w:t>
      </w:r>
      <w:r w:rsidRPr="00652167">
        <w:rPr>
          <w:iCs/>
        </w:rPr>
        <w:t xml:space="preserve">We anticipate that </w:t>
      </w:r>
      <w:r w:rsidR="006278EC" w:rsidRPr="00652167">
        <w:t>120</w:t>
      </w:r>
      <w:r w:rsidR="004F5E5A" w:rsidRPr="00652167">
        <w:rPr>
          <w:iCs/>
        </w:rPr>
        <w:t xml:space="preserve"> </w:t>
      </w:r>
      <w:r w:rsidRPr="00652167">
        <w:rPr>
          <w:iCs/>
        </w:rPr>
        <w:t xml:space="preserve">teachers will provide attendance data on </w:t>
      </w:r>
      <w:r w:rsidR="001D4A43" w:rsidRPr="00652167">
        <w:rPr>
          <w:iCs/>
        </w:rPr>
        <w:t>5</w:t>
      </w:r>
      <w:r w:rsidRPr="00652167">
        <w:rPr>
          <w:iCs/>
        </w:rPr>
        <w:t xml:space="preserve"> class sessions each, and that each attendance form will take 5 minutes to complete. </w:t>
      </w:r>
      <w:r w:rsidR="004032E8" w:rsidRPr="00652167">
        <w:rPr>
          <w:iCs/>
        </w:rPr>
        <w:t>Using the adjusted hourly wage for high school teachers of $60.12, t</w:t>
      </w:r>
      <w:r w:rsidRPr="00652167">
        <w:rPr>
          <w:iCs/>
        </w:rPr>
        <w:t xml:space="preserve">he total burden is </w:t>
      </w:r>
      <w:r w:rsidR="006172D6" w:rsidRPr="00652167">
        <w:t>50</w:t>
      </w:r>
      <w:r w:rsidR="004F5E5A" w:rsidRPr="00652167">
        <w:rPr>
          <w:iCs/>
        </w:rPr>
        <w:t xml:space="preserve"> </w:t>
      </w:r>
      <w:r w:rsidRPr="00652167">
        <w:rPr>
          <w:iCs/>
        </w:rPr>
        <w:t xml:space="preserve">hours, and the cost is </w:t>
      </w:r>
      <w:r w:rsidRPr="00652167">
        <w:t>$</w:t>
      </w:r>
      <w:r w:rsidR="006172D6" w:rsidRPr="00652167">
        <w:t>3,006.00</w:t>
      </w:r>
      <w:r w:rsidRPr="00652167">
        <w:t>.</w:t>
      </w:r>
    </w:p>
    <w:p w14:paraId="519D8DED" w14:textId="36C121CA" w:rsidR="007A755B" w:rsidRPr="00652167" w:rsidRDefault="007A755B" w:rsidP="006179E2">
      <w:pPr>
        <w:pStyle w:val="OMBExhibitTitle"/>
      </w:pPr>
      <w:bookmarkStart w:id="87" w:name="_Toc521501861"/>
      <w:bookmarkStart w:id="88" w:name="_Toc534380000"/>
      <w:bookmarkStart w:id="89" w:name="_Toc531630039"/>
      <w:bookmarkStart w:id="90" w:name="_Toc11750118"/>
      <w:bookmarkStart w:id="91" w:name="_Hlk522626304"/>
      <w:bookmarkEnd w:id="86"/>
      <w:r w:rsidRPr="00652167">
        <w:t xml:space="preserve">Exhibit </w:t>
      </w:r>
      <w:r w:rsidR="00A47DE2" w:rsidRPr="00652167">
        <w:t>1</w:t>
      </w:r>
      <w:r w:rsidR="009B36DE">
        <w:t>0</w:t>
      </w:r>
      <w:r w:rsidR="00274CE3" w:rsidRPr="00652167">
        <w:t>.</w:t>
      </w:r>
      <w:r w:rsidR="00274CE3" w:rsidRPr="00652167">
        <w:tab/>
      </w:r>
      <w:r w:rsidRPr="00652167">
        <w:t>Estimated Annualized Burden Hours</w:t>
      </w:r>
      <w:bookmarkEnd w:id="87"/>
      <w:bookmarkEnd w:id="88"/>
      <w:bookmarkEnd w:id="89"/>
      <w:bookmarkEnd w:id="9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1E0" w:firstRow="1" w:lastRow="1" w:firstColumn="1" w:lastColumn="1" w:noHBand="0" w:noVBand="0"/>
      </w:tblPr>
      <w:tblGrid>
        <w:gridCol w:w="2063"/>
        <w:gridCol w:w="2663"/>
        <w:gridCol w:w="1366"/>
        <w:gridCol w:w="1255"/>
        <w:gridCol w:w="1078"/>
        <w:gridCol w:w="1169"/>
      </w:tblGrid>
      <w:tr w:rsidR="003F2095" w:rsidRPr="00652167" w14:paraId="569AACA2" w14:textId="77777777" w:rsidTr="00B34BE9">
        <w:trPr>
          <w:trHeight w:val="809"/>
          <w:tblHeader/>
          <w:jc w:val="center"/>
        </w:trPr>
        <w:tc>
          <w:tcPr>
            <w:tcW w:w="107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4A4CC9B" w14:textId="77777777" w:rsidR="000A6D7A" w:rsidRPr="00652167" w:rsidRDefault="000A6D7A" w:rsidP="006179E2">
            <w:pPr>
              <w:pStyle w:val="TableHeaders"/>
              <w:keepNext/>
            </w:pPr>
            <w:bookmarkStart w:id="92" w:name="_Hlk516493473"/>
            <w:r w:rsidRPr="00652167">
              <w:t>Respondents</w:t>
            </w:r>
          </w:p>
        </w:tc>
        <w:tc>
          <w:tcPr>
            <w:tcW w:w="138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14A371F" w14:textId="77777777" w:rsidR="000A6D7A" w:rsidRPr="00652167" w:rsidRDefault="006179E2" w:rsidP="006179E2">
            <w:pPr>
              <w:pStyle w:val="TableHeaders"/>
              <w:keepNext/>
            </w:pPr>
            <w:r w:rsidRPr="00652167">
              <w:t>Form name</w:t>
            </w:r>
          </w:p>
        </w:tc>
        <w:tc>
          <w:tcPr>
            <w:tcW w:w="71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7314774" w14:textId="77777777" w:rsidR="000A6D7A" w:rsidRPr="00652167" w:rsidRDefault="006179E2" w:rsidP="006179E2">
            <w:pPr>
              <w:pStyle w:val="TableHeaders"/>
              <w:keepNext/>
            </w:pPr>
            <w:r w:rsidRPr="00652167">
              <w:t>No. of respondents</w:t>
            </w:r>
          </w:p>
        </w:tc>
        <w:tc>
          <w:tcPr>
            <w:tcW w:w="65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88EE08B" w14:textId="77777777" w:rsidR="000A6D7A" w:rsidRPr="00652167" w:rsidRDefault="006179E2" w:rsidP="006179E2">
            <w:pPr>
              <w:pStyle w:val="TableHeaders"/>
              <w:keepNext/>
            </w:pPr>
            <w:r w:rsidRPr="00652167">
              <w:t>No. of responses per respondent</w:t>
            </w:r>
          </w:p>
        </w:tc>
        <w:tc>
          <w:tcPr>
            <w:tcW w:w="56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C490AB3" w14:textId="77777777" w:rsidR="000A6D7A" w:rsidRPr="00652167" w:rsidRDefault="006179E2" w:rsidP="006179E2">
            <w:pPr>
              <w:pStyle w:val="TableHeaders"/>
              <w:keepNext/>
            </w:pPr>
            <w:r w:rsidRPr="00652167">
              <w:t>Average burden per response (in hours)</w:t>
            </w:r>
          </w:p>
        </w:tc>
        <w:tc>
          <w:tcPr>
            <w:tcW w:w="609" w:type="pct"/>
            <w:tcBorders>
              <w:top w:val="single" w:sz="4" w:space="0" w:color="auto"/>
              <w:left w:val="single" w:sz="4" w:space="0" w:color="auto"/>
              <w:bottom w:val="single" w:sz="4" w:space="0" w:color="auto"/>
              <w:right w:val="single" w:sz="4" w:space="0" w:color="auto"/>
            </w:tcBorders>
            <w:shd w:val="clear" w:color="auto" w:fill="auto"/>
            <w:vAlign w:val="bottom"/>
          </w:tcPr>
          <w:p w14:paraId="192C613A" w14:textId="77777777" w:rsidR="000A6D7A" w:rsidRPr="00652167" w:rsidRDefault="000A6D7A" w:rsidP="006179E2">
            <w:pPr>
              <w:pStyle w:val="TableHeaders"/>
              <w:keepNext/>
            </w:pPr>
            <w:r w:rsidRPr="00652167">
              <w:t>Total burden (hours)</w:t>
            </w:r>
          </w:p>
        </w:tc>
      </w:tr>
      <w:tr w:rsidR="00753C9D" w:rsidRPr="00652167" w14:paraId="01FD76D1" w14:textId="77777777" w:rsidTr="00652167">
        <w:trPr>
          <w:jc w:val="center"/>
        </w:trPr>
        <w:tc>
          <w:tcPr>
            <w:tcW w:w="1075" w:type="pct"/>
            <w:tcBorders>
              <w:top w:val="single" w:sz="4" w:space="0" w:color="auto"/>
              <w:left w:val="single" w:sz="4" w:space="0" w:color="auto"/>
              <w:bottom w:val="single" w:sz="4" w:space="0" w:color="auto"/>
              <w:right w:val="single" w:sz="4" w:space="0" w:color="auto"/>
            </w:tcBorders>
          </w:tcPr>
          <w:p w14:paraId="06DDB665" w14:textId="77777777" w:rsidR="00753C9D" w:rsidRPr="00652167" w:rsidRDefault="00753C9D" w:rsidP="0044392A">
            <w:pPr>
              <w:pStyle w:val="TableText0"/>
            </w:pPr>
            <w:r w:rsidRPr="00652167">
              <w:t>Parents</w:t>
            </w:r>
          </w:p>
        </w:tc>
        <w:tc>
          <w:tcPr>
            <w:tcW w:w="1388" w:type="pct"/>
            <w:tcBorders>
              <w:top w:val="single" w:sz="4" w:space="0" w:color="auto"/>
              <w:left w:val="single" w:sz="4" w:space="0" w:color="auto"/>
              <w:bottom w:val="single" w:sz="4" w:space="0" w:color="auto"/>
              <w:right w:val="single" w:sz="4" w:space="0" w:color="auto"/>
            </w:tcBorders>
          </w:tcPr>
          <w:p w14:paraId="02AAF79E" w14:textId="77777777" w:rsidR="00753C9D" w:rsidRPr="00652167" w:rsidRDefault="00753C9D" w:rsidP="0044392A">
            <w:pPr>
              <w:pStyle w:val="TableText0"/>
            </w:pPr>
            <w:r w:rsidRPr="00652167">
              <w:t>Parental consent</w:t>
            </w:r>
          </w:p>
        </w:tc>
        <w:tc>
          <w:tcPr>
            <w:tcW w:w="712" w:type="pct"/>
            <w:tcBorders>
              <w:top w:val="single" w:sz="4" w:space="0" w:color="auto"/>
              <w:left w:val="single" w:sz="4" w:space="0" w:color="auto"/>
              <w:bottom w:val="single" w:sz="4" w:space="0" w:color="auto"/>
              <w:right w:val="single" w:sz="4" w:space="0" w:color="auto"/>
            </w:tcBorders>
          </w:tcPr>
          <w:p w14:paraId="73EA2157" w14:textId="77777777" w:rsidR="00753C9D" w:rsidRPr="00652167" w:rsidRDefault="00A0072C" w:rsidP="0044392A">
            <w:pPr>
              <w:pStyle w:val="TableText0"/>
              <w:jc w:val="center"/>
            </w:pPr>
            <w:r w:rsidRPr="00652167">
              <w:t>1,680</w:t>
            </w:r>
          </w:p>
        </w:tc>
        <w:tc>
          <w:tcPr>
            <w:tcW w:w="654" w:type="pct"/>
            <w:tcBorders>
              <w:top w:val="single" w:sz="4" w:space="0" w:color="auto"/>
              <w:left w:val="single" w:sz="4" w:space="0" w:color="auto"/>
              <w:bottom w:val="single" w:sz="4" w:space="0" w:color="auto"/>
              <w:right w:val="single" w:sz="4" w:space="0" w:color="auto"/>
            </w:tcBorders>
          </w:tcPr>
          <w:p w14:paraId="780E089B" w14:textId="77777777" w:rsidR="00753C9D" w:rsidRPr="00652167" w:rsidRDefault="00753C9D" w:rsidP="0044392A">
            <w:pPr>
              <w:pStyle w:val="TableText0"/>
              <w:jc w:val="center"/>
            </w:pPr>
            <w:r w:rsidRPr="00652167">
              <w:t>1</w:t>
            </w:r>
          </w:p>
        </w:tc>
        <w:tc>
          <w:tcPr>
            <w:tcW w:w="562" w:type="pct"/>
            <w:tcBorders>
              <w:top w:val="single" w:sz="4" w:space="0" w:color="auto"/>
              <w:left w:val="single" w:sz="4" w:space="0" w:color="auto"/>
              <w:bottom w:val="single" w:sz="4" w:space="0" w:color="auto"/>
              <w:right w:val="single" w:sz="4" w:space="0" w:color="auto"/>
            </w:tcBorders>
          </w:tcPr>
          <w:p w14:paraId="4D6D18C5" w14:textId="77777777" w:rsidR="00753C9D" w:rsidRPr="00652167" w:rsidRDefault="00753C9D" w:rsidP="0044392A">
            <w:pPr>
              <w:pStyle w:val="TableText0"/>
              <w:jc w:val="center"/>
            </w:pPr>
            <w:r w:rsidRPr="00652167">
              <w:t>5/60</w:t>
            </w:r>
          </w:p>
        </w:tc>
        <w:tc>
          <w:tcPr>
            <w:tcW w:w="609" w:type="pct"/>
            <w:tcBorders>
              <w:top w:val="single" w:sz="4" w:space="0" w:color="auto"/>
              <w:left w:val="single" w:sz="4" w:space="0" w:color="auto"/>
              <w:bottom w:val="single" w:sz="4" w:space="0" w:color="auto"/>
              <w:right w:val="single" w:sz="4" w:space="0" w:color="auto"/>
            </w:tcBorders>
          </w:tcPr>
          <w:p w14:paraId="6D5C1E26" w14:textId="77777777" w:rsidR="00753C9D" w:rsidRPr="00652167" w:rsidRDefault="00B2383C" w:rsidP="006479B8">
            <w:pPr>
              <w:pStyle w:val="TableText0"/>
              <w:tabs>
                <w:tab w:val="decimal" w:pos="636"/>
              </w:tabs>
            </w:pPr>
            <w:r w:rsidRPr="00652167">
              <w:t>140</w:t>
            </w:r>
          </w:p>
        </w:tc>
      </w:tr>
      <w:tr w:rsidR="003F2095" w:rsidRPr="00652167" w14:paraId="2E09244A" w14:textId="77777777" w:rsidTr="00B34BE9">
        <w:trPr>
          <w:jc w:val="center"/>
        </w:trPr>
        <w:tc>
          <w:tcPr>
            <w:tcW w:w="1075" w:type="pct"/>
            <w:vMerge w:val="restart"/>
            <w:tcBorders>
              <w:top w:val="single" w:sz="4" w:space="0" w:color="auto"/>
              <w:left w:val="single" w:sz="4" w:space="0" w:color="auto"/>
              <w:right w:val="single" w:sz="4" w:space="0" w:color="auto"/>
            </w:tcBorders>
          </w:tcPr>
          <w:p w14:paraId="73C3EFB0" w14:textId="77777777" w:rsidR="004F5E5A" w:rsidRPr="00652167" w:rsidRDefault="004F5E5A" w:rsidP="004F5E5A">
            <w:pPr>
              <w:pStyle w:val="TableText0"/>
            </w:pPr>
            <w:r w:rsidRPr="00652167">
              <w:t>High school students</w:t>
            </w:r>
          </w:p>
        </w:tc>
        <w:tc>
          <w:tcPr>
            <w:tcW w:w="1388" w:type="pct"/>
            <w:tcBorders>
              <w:top w:val="single" w:sz="4" w:space="0" w:color="auto"/>
              <w:left w:val="single" w:sz="4" w:space="0" w:color="auto"/>
              <w:bottom w:val="single" w:sz="4" w:space="0" w:color="auto"/>
              <w:right w:val="single" w:sz="4" w:space="0" w:color="auto"/>
            </w:tcBorders>
          </w:tcPr>
          <w:p w14:paraId="3ECF22E2" w14:textId="77777777" w:rsidR="004F5E5A" w:rsidRPr="00652167" w:rsidRDefault="004F5E5A" w:rsidP="004F5E5A">
            <w:pPr>
              <w:pStyle w:val="TableText0"/>
            </w:pPr>
            <w:r w:rsidRPr="00652167">
              <w:t>Youth assent</w:t>
            </w:r>
          </w:p>
        </w:tc>
        <w:tc>
          <w:tcPr>
            <w:tcW w:w="712" w:type="pct"/>
            <w:tcBorders>
              <w:top w:val="single" w:sz="4" w:space="0" w:color="auto"/>
              <w:left w:val="single" w:sz="4" w:space="0" w:color="auto"/>
              <w:bottom w:val="single" w:sz="4" w:space="0" w:color="auto"/>
              <w:right w:val="single" w:sz="4" w:space="0" w:color="auto"/>
            </w:tcBorders>
          </w:tcPr>
          <w:p w14:paraId="2B7A10E5" w14:textId="77777777" w:rsidR="004F5E5A" w:rsidRPr="00652167" w:rsidRDefault="00004B4D" w:rsidP="004F5E5A">
            <w:pPr>
              <w:pStyle w:val="TableText0"/>
              <w:jc w:val="center"/>
            </w:pPr>
            <w:r w:rsidRPr="00652167">
              <w:t>1,680</w:t>
            </w:r>
          </w:p>
        </w:tc>
        <w:tc>
          <w:tcPr>
            <w:tcW w:w="654" w:type="pct"/>
            <w:tcBorders>
              <w:top w:val="single" w:sz="4" w:space="0" w:color="auto"/>
              <w:left w:val="single" w:sz="4" w:space="0" w:color="auto"/>
              <w:bottom w:val="single" w:sz="4" w:space="0" w:color="auto"/>
              <w:right w:val="single" w:sz="4" w:space="0" w:color="auto"/>
            </w:tcBorders>
          </w:tcPr>
          <w:p w14:paraId="04E6DE0A" w14:textId="77777777" w:rsidR="004F5E5A" w:rsidRPr="00652167" w:rsidRDefault="004F5E5A" w:rsidP="004F5E5A">
            <w:pPr>
              <w:pStyle w:val="TableText0"/>
              <w:jc w:val="center"/>
            </w:pPr>
            <w:r w:rsidRPr="00652167">
              <w:t>1</w:t>
            </w:r>
          </w:p>
        </w:tc>
        <w:tc>
          <w:tcPr>
            <w:tcW w:w="562" w:type="pct"/>
            <w:tcBorders>
              <w:top w:val="single" w:sz="4" w:space="0" w:color="auto"/>
              <w:left w:val="single" w:sz="4" w:space="0" w:color="auto"/>
              <w:bottom w:val="single" w:sz="4" w:space="0" w:color="auto"/>
              <w:right w:val="single" w:sz="4" w:space="0" w:color="auto"/>
            </w:tcBorders>
          </w:tcPr>
          <w:p w14:paraId="27E0C5A1" w14:textId="77777777" w:rsidR="004F5E5A" w:rsidRPr="00652167" w:rsidRDefault="004F5E5A" w:rsidP="004F5E5A">
            <w:pPr>
              <w:pStyle w:val="TableText0"/>
              <w:jc w:val="center"/>
            </w:pPr>
            <w:r w:rsidRPr="00652167">
              <w:t>5/60</w:t>
            </w:r>
          </w:p>
        </w:tc>
        <w:tc>
          <w:tcPr>
            <w:tcW w:w="609" w:type="pct"/>
            <w:tcBorders>
              <w:top w:val="single" w:sz="4" w:space="0" w:color="auto"/>
              <w:left w:val="single" w:sz="4" w:space="0" w:color="auto"/>
              <w:bottom w:val="single" w:sz="4" w:space="0" w:color="auto"/>
              <w:right w:val="single" w:sz="4" w:space="0" w:color="auto"/>
            </w:tcBorders>
          </w:tcPr>
          <w:p w14:paraId="750A7A77" w14:textId="77777777" w:rsidR="004F5E5A" w:rsidRPr="00652167" w:rsidRDefault="00B2383C" w:rsidP="004F5E5A">
            <w:pPr>
              <w:pStyle w:val="TableText0"/>
              <w:tabs>
                <w:tab w:val="decimal" w:pos="636"/>
              </w:tabs>
            </w:pPr>
            <w:r w:rsidRPr="00652167">
              <w:t>140</w:t>
            </w:r>
          </w:p>
        </w:tc>
      </w:tr>
      <w:tr w:rsidR="003F2095" w:rsidRPr="00652167" w14:paraId="796ADFAC" w14:textId="77777777" w:rsidTr="00B34BE9">
        <w:trPr>
          <w:jc w:val="center"/>
        </w:trPr>
        <w:tc>
          <w:tcPr>
            <w:tcW w:w="1075" w:type="pct"/>
            <w:vMerge/>
            <w:tcBorders>
              <w:left w:val="single" w:sz="4" w:space="0" w:color="auto"/>
              <w:right w:val="single" w:sz="4" w:space="0" w:color="auto"/>
            </w:tcBorders>
          </w:tcPr>
          <w:p w14:paraId="2FC1E481" w14:textId="77777777" w:rsidR="004F5E5A" w:rsidRPr="00652167" w:rsidRDefault="004F5E5A" w:rsidP="004F5E5A">
            <w:pPr>
              <w:pStyle w:val="TableText0"/>
            </w:pPr>
          </w:p>
        </w:tc>
        <w:tc>
          <w:tcPr>
            <w:tcW w:w="1388" w:type="pct"/>
            <w:tcBorders>
              <w:top w:val="single" w:sz="4" w:space="0" w:color="auto"/>
              <w:left w:val="single" w:sz="4" w:space="0" w:color="auto"/>
              <w:bottom w:val="single" w:sz="4" w:space="0" w:color="auto"/>
              <w:right w:val="single" w:sz="4" w:space="0" w:color="auto"/>
            </w:tcBorders>
            <w:hideMark/>
          </w:tcPr>
          <w:p w14:paraId="3C67F67D" w14:textId="77777777" w:rsidR="004F5E5A" w:rsidRPr="00652167" w:rsidRDefault="004F5E5A" w:rsidP="004F5E5A">
            <w:pPr>
              <w:pStyle w:val="TableText0"/>
            </w:pPr>
            <w:r w:rsidRPr="00652167">
              <w:t>Baseline survey</w:t>
            </w:r>
          </w:p>
        </w:tc>
        <w:tc>
          <w:tcPr>
            <w:tcW w:w="712" w:type="pct"/>
            <w:tcBorders>
              <w:top w:val="single" w:sz="4" w:space="0" w:color="auto"/>
              <w:left w:val="single" w:sz="4" w:space="0" w:color="auto"/>
              <w:bottom w:val="single" w:sz="4" w:space="0" w:color="auto"/>
              <w:right w:val="single" w:sz="4" w:space="0" w:color="auto"/>
            </w:tcBorders>
            <w:hideMark/>
          </w:tcPr>
          <w:p w14:paraId="7B67FA24" w14:textId="77777777" w:rsidR="004F5E5A" w:rsidRPr="00652167" w:rsidRDefault="006031DA" w:rsidP="004F5E5A">
            <w:pPr>
              <w:pStyle w:val="TableText0"/>
              <w:jc w:val="center"/>
            </w:pPr>
            <w:r w:rsidRPr="00652167">
              <w:t>1,596</w:t>
            </w:r>
          </w:p>
        </w:tc>
        <w:tc>
          <w:tcPr>
            <w:tcW w:w="654" w:type="pct"/>
            <w:tcBorders>
              <w:top w:val="single" w:sz="4" w:space="0" w:color="auto"/>
              <w:left w:val="single" w:sz="4" w:space="0" w:color="auto"/>
              <w:bottom w:val="single" w:sz="4" w:space="0" w:color="auto"/>
              <w:right w:val="single" w:sz="4" w:space="0" w:color="auto"/>
            </w:tcBorders>
            <w:hideMark/>
          </w:tcPr>
          <w:p w14:paraId="5EF42406" w14:textId="77777777" w:rsidR="004F5E5A" w:rsidRPr="00652167" w:rsidRDefault="004F5E5A" w:rsidP="004F5E5A">
            <w:pPr>
              <w:pStyle w:val="TableText0"/>
              <w:jc w:val="center"/>
            </w:pPr>
            <w:r w:rsidRPr="00652167">
              <w:t>1</w:t>
            </w:r>
          </w:p>
        </w:tc>
        <w:tc>
          <w:tcPr>
            <w:tcW w:w="562" w:type="pct"/>
            <w:tcBorders>
              <w:top w:val="single" w:sz="4" w:space="0" w:color="auto"/>
              <w:left w:val="single" w:sz="4" w:space="0" w:color="auto"/>
              <w:bottom w:val="single" w:sz="4" w:space="0" w:color="auto"/>
              <w:right w:val="single" w:sz="4" w:space="0" w:color="auto"/>
            </w:tcBorders>
            <w:hideMark/>
          </w:tcPr>
          <w:p w14:paraId="5716D837" w14:textId="77777777" w:rsidR="004F5E5A" w:rsidRPr="00652167" w:rsidRDefault="004F5E5A" w:rsidP="004F5E5A">
            <w:pPr>
              <w:pStyle w:val="TableText0"/>
              <w:jc w:val="center"/>
            </w:pPr>
            <w:r w:rsidRPr="00652167">
              <w:t>30/60</w:t>
            </w:r>
          </w:p>
        </w:tc>
        <w:tc>
          <w:tcPr>
            <w:tcW w:w="609" w:type="pct"/>
            <w:tcBorders>
              <w:top w:val="single" w:sz="4" w:space="0" w:color="auto"/>
              <w:left w:val="single" w:sz="4" w:space="0" w:color="auto"/>
              <w:bottom w:val="single" w:sz="4" w:space="0" w:color="auto"/>
              <w:right w:val="single" w:sz="4" w:space="0" w:color="auto"/>
            </w:tcBorders>
          </w:tcPr>
          <w:p w14:paraId="22718E40" w14:textId="77777777" w:rsidR="004F5E5A" w:rsidRPr="00652167" w:rsidRDefault="00B2383C" w:rsidP="004F5E5A">
            <w:pPr>
              <w:pStyle w:val="TableText0"/>
              <w:tabs>
                <w:tab w:val="decimal" w:pos="636"/>
              </w:tabs>
            </w:pPr>
            <w:r w:rsidRPr="00652167">
              <w:t>798</w:t>
            </w:r>
          </w:p>
        </w:tc>
      </w:tr>
      <w:tr w:rsidR="003F2095" w:rsidRPr="00652167" w14:paraId="4578F7A1" w14:textId="77777777" w:rsidTr="00B34BE9">
        <w:trPr>
          <w:jc w:val="center"/>
        </w:trPr>
        <w:tc>
          <w:tcPr>
            <w:tcW w:w="1075" w:type="pct"/>
            <w:vMerge/>
            <w:tcBorders>
              <w:left w:val="single" w:sz="4" w:space="0" w:color="auto"/>
              <w:right w:val="single" w:sz="4" w:space="0" w:color="auto"/>
            </w:tcBorders>
          </w:tcPr>
          <w:p w14:paraId="1413D30E" w14:textId="77777777" w:rsidR="004F5E5A" w:rsidRPr="00652167" w:rsidRDefault="004F5E5A" w:rsidP="004F5E5A">
            <w:pPr>
              <w:pStyle w:val="TableText0"/>
            </w:pPr>
          </w:p>
        </w:tc>
        <w:tc>
          <w:tcPr>
            <w:tcW w:w="1388" w:type="pct"/>
            <w:tcBorders>
              <w:top w:val="single" w:sz="4" w:space="0" w:color="auto"/>
              <w:left w:val="single" w:sz="4" w:space="0" w:color="auto"/>
              <w:bottom w:val="single" w:sz="4" w:space="0" w:color="auto"/>
              <w:right w:val="single" w:sz="4" w:space="0" w:color="auto"/>
            </w:tcBorders>
          </w:tcPr>
          <w:p w14:paraId="57948671" w14:textId="77777777" w:rsidR="004F5E5A" w:rsidRPr="00652167" w:rsidRDefault="004F5E5A" w:rsidP="004F5E5A">
            <w:pPr>
              <w:pStyle w:val="TableText0"/>
            </w:pPr>
            <w:r w:rsidRPr="00652167">
              <w:t>Follow-up survey</w:t>
            </w:r>
          </w:p>
        </w:tc>
        <w:tc>
          <w:tcPr>
            <w:tcW w:w="712" w:type="pct"/>
            <w:tcBorders>
              <w:top w:val="single" w:sz="4" w:space="0" w:color="auto"/>
              <w:left w:val="single" w:sz="4" w:space="0" w:color="auto"/>
              <w:bottom w:val="single" w:sz="4" w:space="0" w:color="auto"/>
              <w:right w:val="single" w:sz="4" w:space="0" w:color="auto"/>
            </w:tcBorders>
          </w:tcPr>
          <w:p w14:paraId="77F68C64" w14:textId="77777777" w:rsidR="004F5E5A" w:rsidRPr="00652167" w:rsidRDefault="006031DA" w:rsidP="004F5E5A">
            <w:pPr>
              <w:pStyle w:val="TableText0"/>
              <w:jc w:val="center"/>
            </w:pPr>
            <w:r w:rsidRPr="00652167">
              <w:t>1,596</w:t>
            </w:r>
          </w:p>
        </w:tc>
        <w:tc>
          <w:tcPr>
            <w:tcW w:w="654" w:type="pct"/>
            <w:tcBorders>
              <w:top w:val="single" w:sz="4" w:space="0" w:color="auto"/>
              <w:left w:val="single" w:sz="4" w:space="0" w:color="auto"/>
              <w:bottom w:val="single" w:sz="4" w:space="0" w:color="auto"/>
              <w:right w:val="single" w:sz="4" w:space="0" w:color="auto"/>
            </w:tcBorders>
          </w:tcPr>
          <w:p w14:paraId="4874D562" w14:textId="77777777" w:rsidR="004F5E5A" w:rsidRPr="00652167" w:rsidRDefault="004F5E5A" w:rsidP="004F5E5A">
            <w:pPr>
              <w:pStyle w:val="TableText0"/>
              <w:jc w:val="center"/>
            </w:pPr>
            <w:r w:rsidRPr="00652167">
              <w:t>1</w:t>
            </w:r>
          </w:p>
        </w:tc>
        <w:tc>
          <w:tcPr>
            <w:tcW w:w="562" w:type="pct"/>
            <w:tcBorders>
              <w:top w:val="single" w:sz="4" w:space="0" w:color="auto"/>
              <w:left w:val="single" w:sz="4" w:space="0" w:color="auto"/>
              <w:bottom w:val="single" w:sz="4" w:space="0" w:color="auto"/>
              <w:right w:val="single" w:sz="4" w:space="0" w:color="auto"/>
            </w:tcBorders>
          </w:tcPr>
          <w:p w14:paraId="452AF096" w14:textId="77777777" w:rsidR="004F5E5A" w:rsidRPr="00652167" w:rsidRDefault="004F5E5A" w:rsidP="004F5E5A">
            <w:pPr>
              <w:pStyle w:val="TableText0"/>
              <w:jc w:val="center"/>
            </w:pPr>
            <w:r w:rsidRPr="00652167">
              <w:t>30/60</w:t>
            </w:r>
          </w:p>
        </w:tc>
        <w:tc>
          <w:tcPr>
            <w:tcW w:w="609" w:type="pct"/>
            <w:tcBorders>
              <w:top w:val="single" w:sz="4" w:space="0" w:color="auto"/>
              <w:left w:val="single" w:sz="4" w:space="0" w:color="auto"/>
              <w:bottom w:val="single" w:sz="4" w:space="0" w:color="auto"/>
              <w:right w:val="single" w:sz="4" w:space="0" w:color="auto"/>
            </w:tcBorders>
          </w:tcPr>
          <w:p w14:paraId="1B5C781F" w14:textId="77777777" w:rsidR="004F5E5A" w:rsidRPr="00652167" w:rsidRDefault="00B2383C" w:rsidP="004F5E5A">
            <w:pPr>
              <w:pStyle w:val="TableText0"/>
              <w:tabs>
                <w:tab w:val="decimal" w:pos="636"/>
              </w:tabs>
              <w:rPr>
                <w:color w:val="000000"/>
              </w:rPr>
            </w:pPr>
            <w:r w:rsidRPr="00652167">
              <w:rPr>
                <w:color w:val="000000"/>
              </w:rPr>
              <w:t>798</w:t>
            </w:r>
          </w:p>
        </w:tc>
      </w:tr>
      <w:tr w:rsidR="00753C9D" w:rsidRPr="00652167" w14:paraId="7C4864D5" w14:textId="77777777" w:rsidTr="00652167">
        <w:trPr>
          <w:trHeight w:val="809"/>
          <w:jc w:val="center"/>
        </w:trPr>
        <w:tc>
          <w:tcPr>
            <w:tcW w:w="1075" w:type="pct"/>
            <w:tcBorders>
              <w:top w:val="single" w:sz="4" w:space="0" w:color="auto"/>
              <w:left w:val="single" w:sz="4" w:space="0" w:color="auto"/>
              <w:bottom w:val="single" w:sz="4" w:space="0" w:color="auto"/>
              <w:right w:val="single" w:sz="4" w:space="0" w:color="auto"/>
            </w:tcBorders>
            <w:vAlign w:val="bottom"/>
          </w:tcPr>
          <w:p w14:paraId="4CC0C86F" w14:textId="77777777" w:rsidR="00753C9D" w:rsidRPr="00652167" w:rsidRDefault="00753C9D" w:rsidP="0044392A">
            <w:pPr>
              <w:pStyle w:val="TableText0"/>
            </w:pPr>
            <w:r w:rsidRPr="00652167">
              <w:t>School or school district administrative staf</w:t>
            </w:r>
            <w:r w:rsidR="00E975A8" w:rsidRPr="00652167">
              <w:t>f</w:t>
            </w:r>
          </w:p>
        </w:tc>
        <w:tc>
          <w:tcPr>
            <w:tcW w:w="1388" w:type="pct"/>
            <w:tcBorders>
              <w:top w:val="single" w:sz="4" w:space="0" w:color="auto"/>
              <w:left w:val="single" w:sz="4" w:space="0" w:color="auto"/>
              <w:bottom w:val="single" w:sz="4" w:space="0" w:color="auto"/>
              <w:right w:val="single" w:sz="4" w:space="0" w:color="auto"/>
            </w:tcBorders>
          </w:tcPr>
          <w:p w14:paraId="1AD62836" w14:textId="77777777" w:rsidR="00753C9D" w:rsidRPr="00652167" w:rsidRDefault="00BF00C5" w:rsidP="0044392A">
            <w:pPr>
              <w:pStyle w:val="TableText0"/>
            </w:pPr>
            <w:r w:rsidRPr="00652167">
              <w:t>Classroom roster report</w:t>
            </w:r>
          </w:p>
        </w:tc>
        <w:tc>
          <w:tcPr>
            <w:tcW w:w="712" w:type="pct"/>
            <w:tcBorders>
              <w:top w:val="single" w:sz="4" w:space="0" w:color="auto"/>
              <w:left w:val="single" w:sz="4" w:space="0" w:color="auto"/>
              <w:bottom w:val="single" w:sz="4" w:space="0" w:color="auto"/>
              <w:right w:val="single" w:sz="4" w:space="0" w:color="auto"/>
            </w:tcBorders>
          </w:tcPr>
          <w:p w14:paraId="24D169F3" w14:textId="77777777" w:rsidR="00753C9D" w:rsidRPr="00652167" w:rsidRDefault="00B4179D" w:rsidP="0044392A">
            <w:pPr>
              <w:pStyle w:val="TableText0"/>
              <w:jc w:val="center"/>
            </w:pPr>
            <w:r w:rsidRPr="00652167">
              <w:t>1</w:t>
            </w:r>
            <w:r w:rsidR="00BF00C5" w:rsidRPr="00652167">
              <w:t>4</w:t>
            </w:r>
          </w:p>
        </w:tc>
        <w:tc>
          <w:tcPr>
            <w:tcW w:w="654" w:type="pct"/>
            <w:tcBorders>
              <w:top w:val="single" w:sz="4" w:space="0" w:color="auto"/>
              <w:left w:val="single" w:sz="4" w:space="0" w:color="auto"/>
              <w:bottom w:val="single" w:sz="4" w:space="0" w:color="auto"/>
              <w:right w:val="single" w:sz="4" w:space="0" w:color="auto"/>
            </w:tcBorders>
          </w:tcPr>
          <w:p w14:paraId="10DA49F3" w14:textId="77777777" w:rsidR="00753C9D" w:rsidRPr="00652167" w:rsidRDefault="00753C9D" w:rsidP="0044392A">
            <w:pPr>
              <w:pStyle w:val="TableText0"/>
              <w:jc w:val="center"/>
            </w:pPr>
            <w:r w:rsidRPr="00652167">
              <w:t>1</w:t>
            </w:r>
          </w:p>
        </w:tc>
        <w:tc>
          <w:tcPr>
            <w:tcW w:w="562" w:type="pct"/>
            <w:tcBorders>
              <w:top w:val="single" w:sz="4" w:space="0" w:color="auto"/>
              <w:left w:val="single" w:sz="4" w:space="0" w:color="auto"/>
              <w:bottom w:val="single" w:sz="4" w:space="0" w:color="auto"/>
              <w:right w:val="single" w:sz="4" w:space="0" w:color="auto"/>
            </w:tcBorders>
          </w:tcPr>
          <w:p w14:paraId="2153AB5F" w14:textId="77777777" w:rsidR="00753C9D" w:rsidRPr="00652167" w:rsidRDefault="00BF00C5" w:rsidP="0044392A">
            <w:pPr>
              <w:pStyle w:val="TableText0"/>
              <w:jc w:val="center"/>
            </w:pPr>
            <w:r w:rsidRPr="00652167">
              <w:t>120/60</w:t>
            </w:r>
          </w:p>
        </w:tc>
        <w:tc>
          <w:tcPr>
            <w:tcW w:w="609" w:type="pct"/>
            <w:tcBorders>
              <w:top w:val="single" w:sz="4" w:space="0" w:color="auto"/>
              <w:left w:val="single" w:sz="4" w:space="0" w:color="auto"/>
              <w:bottom w:val="single" w:sz="4" w:space="0" w:color="auto"/>
              <w:right w:val="single" w:sz="4" w:space="0" w:color="auto"/>
            </w:tcBorders>
          </w:tcPr>
          <w:p w14:paraId="21E228EA" w14:textId="77777777" w:rsidR="00753C9D" w:rsidRPr="00652167" w:rsidRDefault="00B2383C" w:rsidP="006479B8">
            <w:pPr>
              <w:pStyle w:val="TableText0"/>
              <w:tabs>
                <w:tab w:val="decimal" w:pos="636"/>
              </w:tabs>
            </w:pPr>
            <w:r w:rsidRPr="00652167">
              <w:t>28</w:t>
            </w:r>
          </w:p>
        </w:tc>
      </w:tr>
      <w:tr w:rsidR="00967D65" w:rsidRPr="00652167" w14:paraId="0201A981" w14:textId="77777777" w:rsidTr="00652167">
        <w:trPr>
          <w:jc w:val="center"/>
        </w:trPr>
        <w:tc>
          <w:tcPr>
            <w:tcW w:w="1075" w:type="pct"/>
            <w:tcBorders>
              <w:top w:val="single" w:sz="4" w:space="0" w:color="auto"/>
              <w:left w:val="single" w:sz="4" w:space="0" w:color="auto"/>
              <w:bottom w:val="single" w:sz="4" w:space="0" w:color="auto"/>
              <w:right w:val="single" w:sz="4" w:space="0" w:color="auto"/>
            </w:tcBorders>
          </w:tcPr>
          <w:p w14:paraId="005138B1" w14:textId="77777777" w:rsidR="00967D65" w:rsidRPr="00652167" w:rsidRDefault="00967D65" w:rsidP="00CF68A6">
            <w:pPr>
              <w:pStyle w:val="TableText0"/>
            </w:pPr>
            <w:r w:rsidRPr="00652167">
              <w:t xml:space="preserve">Program facilitators </w:t>
            </w:r>
          </w:p>
        </w:tc>
        <w:tc>
          <w:tcPr>
            <w:tcW w:w="1388" w:type="pct"/>
            <w:tcBorders>
              <w:top w:val="single" w:sz="4" w:space="0" w:color="auto"/>
              <w:left w:val="single" w:sz="4" w:space="0" w:color="auto"/>
              <w:bottom w:val="single" w:sz="4" w:space="0" w:color="auto"/>
              <w:right w:val="single" w:sz="4" w:space="0" w:color="auto"/>
            </w:tcBorders>
          </w:tcPr>
          <w:p w14:paraId="46F894C6" w14:textId="77777777" w:rsidR="00967D65" w:rsidRPr="00652167" w:rsidRDefault="00967D65" w:rsidP="00CF68A6">
            <w:pPr>
              <w:pStyle w:val="TableText0"/>
            </w:pPr>
            <w:r w:rsidRPr="00652167">
              <w:t>Process evaluation facilitator Session Log</w:t>
            </w:r>
          </w:p>
        </w:tc>
        <w:tc>
          <w:tcPr>
            <w:tcW w:w="712" w:type="pct"/>
            <w:tcBorders>
              <w:top w:val="single" w:sz="4" w:space="0" w:color="auto"/>
              <w:left w:val="single" w:sz="4" w:space="0" w:color="auto"/>
              <w:bottom w:val="single" w:sz="4" w:space="0" w:color="auto"/>
              <w:right w:val="single" w:sz="4" w:space="0" w:color="auto"/>
            </w:tcBorders>
          </w:tcPr>
          <w:p w14:paraId="49704BCB" w14:textId="77777777" w:rsidR="00967D65" w:rsidRPr="00652167" w:rsidRDefault="00967D65" w:rsidP="00CF68A6">
            <w:pPr>
              <w:pStyle w:val="TableText0"/>
              <w:jc w:val="center"/>
            </w:pPr>
            <w:r w:rsidRPr="00652167">
              <w:t>8</w:t>
            </w:r>
          </w:p>
        </w:tc>
        <w:tc>
          <w:tcPr>
            <w:tcW w:w="654" w:type="pct"/>
            <w:tcBorders>
              <w:top w:val="single" w:sz="4" w:space="0" w:color="auto"/>
              <w:left w:val="single" w:sz="4" w:space="0" w:color="auto"/>
              <w:bottom w:val="single" w:sz="4" w:space="0" w:color="auto"/>
              <w:right w:val="single" w:sz="4" w:space="0" w:color="auto"/>
            </w:tcBorders>
          </w:tcPr>
          <w:p w14:paraId="74188721" w14:textId="77777777" w:rsidR="00967D65" w:rsidRPr="00652167" w:rsidRDefault="00967D65" w:rsidP="00CF68A6">
            <w:pPr>
              <w:pStyle w:val="TableText0"/>
              <w:tabs>
                <w:tab w:val="left" w:pos="420"/>
                <w:tab w:val="center" w:pos="544"/>
              </w:tabs>
            </w:pPr>
            <w:r w:rsidRPr="00652167">
              <w:tab/>
            </w:r>
            <w:r w:rsidRPr="00652167">
              <w:tab/>
            </w:r>
            <w:r w:rsidR="001C3CFB" w:rsidRPr="00652167">
              <w:t>75</w:t>
            </w:r>
          </w:p>
        </w:tc>
        <w:tc>
          <w:tcPr>
            <w:tcW w:w="562" w:type="pct"/>
            <w:tcBorders>
              <w:top w:val="single" w:sz="4" w:space="0" w:color="auto"/>
              <w:left w:val="single" w:sz="4" w:space="0" w:color="auto"/>
              <w:bottom w:val="single" w:sz="4" w:space="0" w:color="auto"/>
              <w:right w:val="single" w:sz="4" w:space="0" w:color="auto"/>
            </w:tcBorders>
          </w:tcPr>
          <w:p w14:paraId="6C04FBC4" w14:textId="77777777" w:rsidR="00967D65" w:rsidRPr="00652167" w:rsidRDefault="00967D65" w:rsidP="00CF68A6">
            <w:pPr>
              <w:pStyle w:val="TableText0"/>
              <w:jc w:val="center"/>
            </w:pPr>
            <w:r w:rsidRPr="00652167">
              <w:t>15/60</w:t>
            </w:r>
          </w:p>
        </w:tc>
        <w:tc>
          <w:tcPr>
            <w:tcW w:w="609" w:type="pct"/>
            <w:tcBorders>
              <w:top w:val="single" w:sz="4" w:space="0" w:color="auto"/>
              <w:left w:val="single" w:sz="4" w:space="0" w:color="auto"/>
              <w:bottom w:val="single" w:sz="4" w:space="0" w:color="auto"/>
              <w:right w:val="single" w:sz="4" w:space="0" w:color="auto"/>
            </w:tcBorders>
          </w:tcPr>
          <w:p w14:paraId="163B74EF" w14:textId="77777777" w:rsidR="00967D65" w:rsidRPr="00652167" w:rsidRDefault="001C3CFB" w:rsidP="00CF68A6">
            <w:pPr>
              <w:pStyle w:val="TableText0"/>
              <w:tabs>
                <w:tab w:val="decimal" w:pos="636"/>
              </w:tabs>
            </w:pPr>
            <w:r w:rsidRPr="00652167">
              <w:rPr>
                <w:color w:val="000000"/>
              </w:rPr>
              <w:t>150</w:t>
            </w:r>
          </w:p>
        </w:tc>
      </w:tr>
      <w:tr w:rsidR="00967D65" w:rsidRPr="00652167" w14:paraId="265FD3C7" w14:textId="77777777" w:rsidTr="00652167">
        <w:trPr>
          <w:jc w:val="center"/>
        </w:trPr>
        <w:tc>
          <w:tcPr>
            <w:tcW w:w="1075" w:type="pct"/>
            <w:tcBorders>
              <w:top w:val="single" w:sz="4" w:space="0" w:color="auto"/>
              <w:left w:val="single" w:sz="4" w:space="0" w:color="auto"/>
              <w:bottom w:val="single" w:sz="4" w:space="0" w:color="auto"/>
              <w:right w:val="single" w:sz="4" w:space="0" w:color="auto"/>
            </w:tcBorders>
          </w:tcPr>
          <w:p w14:paraId="14D06194" w14:textId="77777777" w:rsidR="00967D65" w:rsidRPr="00652167" w:rsidRDefault="00967D65" w:rsidP="00CF68A6">
            <w:pPr>
              <w:pStyle w:val="TableText0"/>
            </w:pPr>
            <w:r w:rsidRPr="00652167">
              <w:t xml:space="preserve">Program facilitators </w:t>
            </w:r>
          </w:p>
        </w:tc>
        <w:tc>
          <w:tcPr>
            <w:tcW w:w="1388" w:type="pct"/>
            <w:tcBorders>
              <w:top w:val="single" w:sz="4" w:space="0" w:color="auto"/>
              <w:left w:val="single" w:sz="4" w:space="0" w:color="auto"/>
              <w:bottom w:val="single" w:sz="4" w:space="0" w:color="auto"/>
              <w:right w:val="single" w:sz="4" w:space="0" w:color="auto"/>
            </w:tcBorders>
          </w:tcPr>
          <w:p w14:paraId="193C2896" w14:textId="77777777" w:rsidR="00967D65" w:rsidRPr="00652167" w:rsidRDefault="00001D84" w:rsidP="00CF68A6">
            <w:pPr>
              <w:pStyle w:val="TableText0"/>
            </w:pPr>
            <w:r w:rsidRPr="00652167">
              <w:t xml:space="preserve">Process evaluation </w:t>
            </w:r>
            <w:r w:rsidR="00967D65" w:rsidRPr="00652167">
              <w:t>Facilitator survey</w:t>
            </w:r>
          </w:p>
        </w:tc>
        <w:tc>
          <w:tcPr>
            <w:tcW w:w="712" w:type="pct"/>
            <w:tcBorders>
              <w:top w:val="single" w:sz="4" w:space="0" w:color="auto"/>
              <w:left w:val="single" w:sz="4" w:space="0" w:color="auto"/>
              <w:bottom w:val="single" w:sz="4" w:space="0" w:color="auto"/>
              <w:right w:val="single" w:sz="4" w:space="0" w:color="auto"/>
            </w:tcBorders>
          </w:tcPr>
          <w:p w14:paraId="33EDC75A" w14:textId="77777777" w:rsidR="00967D65" w:rsidRPr="00652167" w:rsidRDefault="00FE3BBB" w:rsidP="00CF68A6">
            <w:pPr>
              <w:pStyle w:val="TableText0"/>
              <w:jc w:val="center"/>
            </w:pPr>
            <w:r w:rsidRPr="00652167">
              <w:t>8</w:t>
            </w:r>
          </w:p>
        </w:tc>
        <w:tc>
          <w:tcPr>
            <w:tcW w:w="654" w:type="pct"/>
            <w:tcBorders>
              <w:top w:val="single" w:sz="4" w:space="0" w:color="auto"/>
              <w:left w:val="single" w:sz="4" w:space="0" w:color="auto"/>
              <w:bottom w:val="single" w:sz="4" w:space="0" w:color="auto"/>
              <w:right w:val="single" w:sz="4" w:space="0" w:color="auto"/>
            </w:tcBorders>
          </w:tcPr>
          <w:p w14:paraId="44059EC3" w14:textId="77777777" w:rsidR="00967D65" w:rsidRPr="00652167" w:rsidRDefault="00967D65" w:rsidP="00CF68A6">
            <w:pPr>
              <w:pStyle w:val="TableText0"/>
              <w:jc w:val="center"/>
            </w:pPr>
            <w:r w:rsidRPr="00652167">
              <w:t>1</w:t>
            </w:r>
          </w:p>
        </w:tc>
        <w:tc>
          <w:tcPr>
            <w:tcW w:w="562" w:type="pct"/>
            <w:tcBorders>
              <w:top w:val="single" w:sz="4" w:space="0" w:color="auto"/>
              <w:left w:val="single" w:sz="4" w:space="0" w:color="auto"/>
              <w:bottom w:val="single" w:sz="4" w:space="0" w:color="auto"/>
              <w:right w:val="single" w:sz="4" w:space="0" w:color="auto"/>
            </w:tcBorders>
          </w:tcPr>
          <w:p w14:paraId="26A87B3A" w14:textId="77777777" w:rsidR="00967D65" w:rsidRPr="00652167" w:rsidRDefault="00967D65" w:rsidP="00CF68A6">
            <w:pPr>
              <w:pStyle w:val="TableText0"/>
              <w:jc w:val="center"/>
            </w:pPr>
            <w:r w:rsidRPr="00652167">
              <w:t>25/60</w:t>
            </w:r>
          </w:p>
        </w:tc>
        <w:tc>
          <w:tcPr>
            <w:tcW w:w="609" w:type="pct"/>
            <w:tcBorders>
              <w:top w:val="single" w:sz="4" w:space="0" w:color="auto"/>
              <w:left w:val="single" w:sz="4" w:space="0" w:color="auto"/>
              <w:bottom w:val="single" w:sz="4" w:space="0" w:color="auto"/>
              <w:right w:val="single" w:sz="4" w:space="0" w:color="auto"/>
            </w:tcBorders>
          </w:tcPr>
          <w:p w14:paraId="288C387D" w14:textId="77777777" w:rsidR="00967D65" w:rsidRPr="00652167" w:rsidRDefault="006E7637" w:rsidP="00CF68A6">
            <w:pPr>
              <w:pStyle w:val="TableText0"/>
              <w:tabs>
                <w:tab w:val="decimal" w:pos="636"/>
              </w:tabs>
            </w:pPr>
            <w:r w:rsidRPr="00652167">
              <w:t>3</w:t>
            </w:r>
          </w:p>
        </w:tc>
      </w:tr>
      <w:tr w:rsidR="003F2095" w:rsidRPr="00652167" w14:paraId="4933B9CD" w14:textId="77777777" w:rsidTr="00B34BE9">
        <w:trPr>
          <w:jc w:val="center"/>
        </w:trPr>
        <w:tc>
          <w:tcPr>
            <w:tcW w:w="1075" w:type="pct"/>
            <w:tcBorders>
              <w:left w:val="single" w:sz="4" w:space="0" w:color="auto"/>
              <w:right w:val="single" w:sz="4" w:space="0" w:color="auto"/>
            </w:tcBorders>
          </w:tcPr>
          <w:p w14:paraId="454C2DE5" w14:textId="77777777" w:rsidR="00967D65" w:rsidRPr="00652167" w:rsidRDefault="005141CB" w:rsidP="00CF68A6">
            <w:pPr>
              <w:pStyle w:val="TableText0"/>
            </w:pPr>
            <w:r w:rsidRPr="00652167">
              <w:t>High school students</w:t>
            </w:r>
          </w:p>
        </w:tc>
        <w:tc>
          <w:tcPr>
            <w:tcW w:w="1388" w:type="pct"/>
            <w:tcBorders>
              <w:top w:val="single" w:sz="4" w:space="0" w:color="auto"/>
              <w:left w:val="single" w:sz="4" w:space="0" w:color="auto"/>
              <w:bottom w:val="single" w:sz="4" w:space="0" w:color="auto"/>
              <w:right w:val="single" w:sz="4" w:space="0" w:color="auto"/>
            </w:tcBorders>
          </w:tcPr>
          <w:p w14:paraId="1689714D" w14:textId="77777777" w:rsidR="00967D65" w:rsidRPr="00652167" w:rsidRDefault="00967D65" w:rsidP="00CF68A6">
            <w:pPr>
              <w:pStyle w:val="TableText0"/>
            </w:pPr>
            <w:r w:rsidRPr="00652167">
              <w:t>Process evaluation participant survey</w:t>
            </w:r>
          </w:p>
        </w:tc>
        <w:tc>
          <w:tcPr>
            <w:tcW w:w="712" w:type="pct"/>
            <w:tcBorders>
              <w:top w:val="single" w:sz="4" w:space="0" w:color="auto"/>
              <w:left w:val="single" w:sz="4" w:space="0" w:color="auto"/>
              <w:bottom w:val="single" w:sz="4" w:space="0" w:color="auto"/>
              <w:right w:val="single" w:sz="4" w:space="0" w:color="auto"/>
            </w:tcBorders>
          </w:tcPr>
          <w:p w14:paraId="31CC58E9" w14:textId="77777777" w:rsidR="00967D65" w:rsidRPr="00652167" w:rsidRDefault="00C36AED" w:rsidP="00CF68A6">
            <w:pPr>
              <w:pStyle w:val="TableText0"/>
              <w:jc w:val="center"/>
            </w:pPr>
            <w:r w:rsidRPr="00652167">
              <w:t>756</w:t>
            </w:r>
          </w:p>
        </w:tc>
        <w:tc>
          <w:tcPr>
            <w:tcW w:w="654" w:type="pct"/>
            <w:tcBorders>
              <w:top w:val="single" w:sz="4" w:space="0" w:color="auto"/>
              <w:left w:val="single" w:sz="4" w:space="0" w:color="auto"/>
              <w:bottom w:val="single" w:sz="4" w:space="0" w:color="auto"/>
              <w:right w:val="single" w:sz="4" w:space="0" w:color="auto"/>
            </w:tcBorders>
          </w:tcPr>
          <w:p w14:paraId="077BB67E" w14:textId="77777777" w:rsidR="00967D65" w:rsidRPr="00652167" w:rsidRDefault="00967D65" w:rsidP="00CF68A6">
            <w:pPr>
              <w:pStyle w:val="TableText0"/>
              <w:jc w:val="center"/>
            </w:pPr>
            <w:r w:rsidRPr="00652167">
              <w:t>1</w:t>
            </w:r>
          </w:p>
        </w:tc>
        <w:tc>
          <w:tcPr>
            <w:tcW w:w="562" w:type="pct"/>
            <w:tcBorders>
              <w:top w:val="single" w:sz="4" w:space="0" w:color="auto"/>
              <w:left w:val="single" w:sz="4" w:space="0" w:color="auto"/>
              <w:bottom w:val="single" w:sz="4" w:space="0" w:color="auto"/>
              <w:right w:val="single" w:sz="4" w:space="0" w:color="auto"/>
            </w:tcBorders>
          </w:tcPr>
          <w:p w14:paraId="3014BD11" w14:textId="77777777" w:rsidR="00967D65" w:rsidRPr="00652167" w:rsidRDefault="00967D65" w:rsidP="00CF68A6">
            <w:pPr>
              <w:pStyle w:val="TableText0"/>
              <w:jc w:val="center"/>
            </w:pPr>
            <w:r w:rsidRPr="00652167">
              <w:t>10/60</w:t>
            </w:r>
          </w:p>
        </w:tc>
        <w:tc>
          <w:tcPr>
            <w:tcW w:w="609" w:type="pct"/>
            <w:tcBorders>
              <w:top w:val="single" w:sz="4" w:space="0" w:color="auto"/>
              <w:left w:val="single" w:sz="4" w:space="0" w:color="auto"/>
              <w:bottom w:val="single" w:sz="4" w:space="0" w:color="auto"/>
              <w:right w:val="single" w:sz="4" w:space="0" w:color="auto"/>
            </w:tcBorders>
          </w:tcPr>
          <w:p w14:paraId="26A5FEFB" w14:textId="77777777" w:rsidR="00967D65" w:rsidRPr="00652167" w:rsidRDefault="00B2383C" w:rsidP="00CF68A6">
            <w:pPr>
              <w:pStyle w:val="TableText0"/>
              <w:tabs>
                <w:tab w:val="decimal" w:pos="636"/>
              </w:tabs>
            </w:pPr>
            <w:r w:rsidRPr="00652167">
              <w:t>126</w:t>
            </w:r>
          </w:p>
        </w:tc>
      </w:tr>
      <w:tr w:rsidR="00967D65" w:rsidRPr="00652167" w14:paraId="2FE17D5B" w14:textId="77777777" w:rsidTr="00652167">
        <w:trPr>
          <w:jc w:val="center"/>
        </w:trPr>
        <w:tc>
          <w:tcPr>
            <w:tcW w:w="1075" w:type="pct"/>
            <w:tcBorders>
              <w:top w:val="single" w:sz="4" w:space="0" w:color="auto"/>
              <w:left w:val="single" w:sz="4" w:space="0" w:color="auto"/>
              <w:bottom w:val="single" w:sz="4" w:space="0" w:color="auto"/>
              <w:right w:val="single" w:sz="4" w:space="0" w:color="auto"/>
            </w:tcBorders>
          </w:tcPr>
          <w:p w14:paraId="606BC669" w14:textId="77777777" w:rsidR="00967D65" w:rsidRPr="00652167" w:rsidRDefault="00967D65" w:rsidP="00CF68A6">
            <w:pPr>
              <w:pStyle w:val="TableText0"/>
            </w:pPr>
            <w:r w:rsidRPr="00652167">
              <w:t xml:space="preserve">Program facilitators, site representatives </w:t>
            </w:r>
          </w:p>
        </w:tc>
        <w:tc>
          <w:tcPr>
            <w:tcW w:w="1388" w:type="pct"/>
            <w:tcBorders>
              <w:top w:val="single" w:sz="4" w:space="0" w:color="auto"/>
              <w:left w:val="single" w:sz="4" w:space="0" w:color="auto"/>
              <w:bottom w:val="single" w:sz="4" w:space="0" w:color="auto"/>
              <w:right w:val="single" w:sz="4" w:space="0" w:color="auto"/>
            </w:tcBorders>
          </w:tcPr>
          <w:p w14:paraId="21A79B4A" w14:textId="77777777" w:rsidR="00967D65" w:rsidRPr="00652167" w:rsidRDefault="00967D65" w:rsidP="00CF68A6">
            <w:pPr>
              <w:pStyle w:val="TableText0"/>
            </w:pPr>
            <w:r w:rsidRPr="00652167">
              <w:t>Key informant interviews</w:t>
            </w:r>
          </w:p>
        </w:tc>
        <w:tc>
          <w:tcPr>
            <w:tcW w:w="712" w:type="pct"/>
            <w:tcBorders>
              <w:top w:val="single" w:sz="4" w:space="0" w:color="auto"/>
              <w:left w:val="single" w:sz="4" w:space="0" w:color="auto"/>
              <w:bottom w:val="single" w:sz="4" w:space="0" w:color="auto"/>
              <w:right w:val="single" w:sz="4" w:space="0" w:color="auto"/>
            </w:tcBorders>
          </w:tcPr>
          <w:p w14:paraId="35FD2400" w14:textId="77777777" w:rsidR="00967D65" w:rsidRPr="00652167" w:rsidRDefault="007F385D" w:rsidP="00CF68A6">
            <w:pPr>
              <w:pStyle w:val="TableText0"/>
              <w:jc w:val="center"/>
            </w:pPr>
            <w:r w:rsidRPr="00652167">
              <w:t>10</w:t>
            </w:r>
          </w:p>
        </w:tc>
        <w:tc>
          <w:tcPr>
            <w:tcW w:w="654" w:type="pct"/>
            <w:tcBorders>
              <w:top w:val="single" w:sz="4" w:space="0" w:color="auto"/>
              <w:left w:val="single" w:sz="4" w:space="0" w:color="auto"/>
              <w:bottom w:val="single" w:sz="4" w:space="0" w:color="auto"/>
              <w:right w:val="single" w:sz="4" w:space="0" w:color="auto"/>
            </w:tcBorders>
          </w:tcPr>
          <w:p w14:paraId="4B5ADDBB" w14:textId="77777777" w:rsidR="00967D65" w:rsidRPr="00652167" w:rsidRDefault="00967D65" w:rsidP="00CF68A6">
            <w:pPr>
              <w:pStyle w:val="TableText0"/>
              <w:jc w:val="center"/>
            </w:pPr>
            <w:r w:rsidRPr="00652167">
              <w:t>1</w:t>
            </w:r>
          </w:p>
        </w:tc>
        <w:tc>
          <w:tcPr>
            <w:tcW w:w="562" w:type="pct"/>
            <w:tcBorders>
              <w:top w:val="single" w:sz="4" w:space="0" w:color="auto"/>
              <w:left w:val="single" w:sz="4" w:space="0" w:color="auto"/>
              <w:bottom w:val="single" w:sz="4" w:space="0" w:color="auto"/>
              <w:right w:val="single" w:sz="4" w:space="0" w:color="auto"/>
            </w:tcBorders>
          </w:tcPr>
          <w:p w14:paraId="77F91E94" w14:textId="77777777" w:rsidR="00967D65" w:rsidRPr="00652167" w:rsidRDefault="00381C74" w:rsidP="00CF68A6">
            <w:pPr>
              <w:pStyle w:val="TableText0"/>
              <w:jc w:val="center"/>
            </w:pPr>
            <w:r w:rsidRPr="00652167">
              <w:t>60/60</w:t>
            </w:r>
          </w:p>
        </w:tc>
        <w:tc>
          <w:tcPr>
            <w:tcW w:w="609" w:type="pct"/>
            <w:tcBorders>
              <w:top w:val="single" w:sz="4" w:space="0" w:color="auto"/>
              <w:left w:val="single" w:sz="4" w:space="0" w:color="auto"/>
              <w:bottom w:val="single" w:sz="4" w:space="0" w:color="auto"/>
              <w:right w:val="single" w:sz="4" w:space="0" w:color="auto"/>
            </w:tcBorders>
          </w:tcPr>
          <w:p w14:paraId="2B171731" w14:textId="77777777" w:rsidR="00967D65" w:rsidRPr="00652167" w:rsidRDefault="007F385D" w:rsidP="00CF68A6">
            <w:pPr>
              <w:pStyle w:val="TableText0"/>
              <w:tabs>
                <w:tab w:val="decimal" w:pos="636"/>
              </w:tabs>
            </w:pPr>
            <w:r w:rsidRPr="00652167">
              <w:rPr>
                <w:color w:val="000000"/>
              </w:rPr>
              <w:t>10</w:t>
            </w:r>
          </w:p>
        </w:tc>
      </w:tr>
      <w:tr w:rsidR="00967D65" w:rsidRPr="00652167" w14:paraId="2DFD3DC9" w14:textId="77777777" w:rsidTr="00652167">
        <w:trPr>
          <w:jc w:val="center"/>
        </w:trPr>
        <w:tc>
          <w:tcPr>
            <w:tcW w:w="1075" w:type="pct"/>
            <w:tcBorders>
              <w:top w:val="single" w:sz="4" w:space="0" w:color="auto"/>
              <w:left w:val="single" w:sz="4" w:space="0" w:color="auto"/>
              <w:bottom w:val="single" w:sz="4" w:space="0" w:color="auto"/>
              <w:right w:val="single" w:sz="4" w:space="0" w:color="auto"/>
            </w:tcBorders>
          </w:tcPr>
          <w:p w14:paraId="7892DBA1" w14:textId="77777777" w:rsidR="00967D65" w:rsidRPr="00652167" w:rsidRDefault="00967D65" w:rsidP="00CF68A6">
            <w:pPr>
              <w:pStyle w:val="TableText0"/>
            </w:pPr>
            <w:r w:rsidRPr="00652167">
              <w:t>Teachers</w:t>
            </w:r>
          </w:p>
        </w:tc>
        <w:tc>
          <w:tcPr>
            <w:tcW w:w="1388" w:type="pct"/>
            <w:tcBorders>
              <w:top w:val="single" w:sz="4" w:space="0" w:color="auto"/>
              <w:left w:val="single" w:sz="4" w:space="0" w:color="auto"/>
              <w:bottom w:val="single" w:sz="4" w:space="0" w:color="auto"/>
              <w:right w:val="single" w:sz="4" w:space="0" w:color="auto"/>
            </w:tcBorders>
          </w:tcPr>
          <w:p w14:paraId="3500ABF2" w14:textId="77777777" w:rsidR="00967D65" w:rsidRPr="00652167" w:rsidRDefault="00967D65" w:rsidP="00CF68A6">
            <w:pPr>
              <w:pStyle w:val="TableText0"/>
            </w:pPr>
            <w:r w:rsidRPr="00652167">
              <w:t>Attendance form</w:t>
            </w:r>
          </w:p>
        </w:tc>
        <w:tc>
          <w:tcPr>
            <w:tcW w:w="712" w:type="pct"/>
            <w:tcBorders>
              <w:top w:val="single" w:sz="4" w:space="0" w:color="auto"/>
              <w:left w:val="single" w:sz="4" w:space="0" w:color="auto"/>
              <w:bottom w:val="single" w:sz="4" w:space="0" w:color="auto"/>
              <w:right w:val="single" w:sz="4" w:space="0" w:color="auto"/>
            </w:tcBorders>
          </w:tcPr>
          <w:p w14:paraId="75D13183" w14:textId="77777777" w:rsidR="00967D65" w:rsidRPr="00652167" w:rsidRDefault="0067781E" w:rsidP="00CF68A6">
            <w:pPr>
              <w:pStyle w:val="TableText0"/>
              <w:jc w:val="center"/>
            </w:pPr>
            <w:r w:rsidRPr="00652167">
              <w:t>120</w:t>
            </w:r>
          </w:p>
        </w:tc>
        <w:tc>
          <w:tcPr>
            <w:tcW w:w="654" w:type="pct"/>
            <w:tcBorders>
              <w:top w:val="single" w:sz="4" w:space="0" w:color="auto"/>
              <w:left w:val="single" w:sz="4" w:space="0" w:color="auto"/>
              <w:bottom w:val="single" w:sz="4" w:space="0" w:color="auto"/>
              <w:right w:val="single" w:sz="4" w:space="0" w:color="auto"/>
            </w:tcBorders>
          </w:tcPr>
          <w:p w14:paraId="75655D2E" w14:textId="77777777" w:rsidR="00967D65" w:rsidRPr="00652167" w:rsidRDefault="001E0744" w:rsidP="00CF68A6">
            <w:pPr>
              <w:pStyle w:val="TableText0"/>
              <w:jc w:val="center"/>
            </w:pPr>
            <w:r w:rsidRPr="00652167">
              <w:t>5</w:t>
            </w:r>
          </w:p>
        </w:tc>
        <w:tc>
          <w:tcPr>
            <w:tcW w:w="562" w:type="pct"/>
            <w:tcBorders>
              <w:top w:val="single" w:sz="4" w:space="0" w:color="auto"/>
              <w:left w:val="single" w:sz="4" w:space="0" w:color="auto"/>
              <w:bottom w:val="single" w:sz="4" w:space="0" w:color="auto"/>
              <w:right w:val="single" w:sz="4" w:space="0" w:color="auto"/>
            </w:tcBorders>
          </w:tcPr>
          <w:p w14:paraId="4CB4B1CF" w14:textId="77777777" w:rsidR="00967D65" w:rsidRPr="00652167" w:rsidRDefault="00967D65" w:rsidP="00CF68A6">
            <w:pPr>
              <w:pStyle w:val="TableText0"/>
              <w:jc w:val="center"/>
            </w:pPr>
            <w:r w:rsidRPr="00652167">
              <w:t>5/60</w:t>
            </w:r>
          </w:p>
        </w:tc>
        <w:tc>
          <w:tcPr>
            <w:tcW w:w="609" w:type="pct"/>
            <w:tcBorders>
              <w:top w:val="single" w:sz="4" w:space="0" w:color="auto"/>
              <w:left w:val="single" w:sz="4" w:space="0" w:color="auto"/>
              <w:bottom w:val="single" w:sz="4" w:space="0" w:color="auto"/>
              <w:right w:val="single" w:sz="4" w:space="0" w:color="auto"/>
            </w:tcBorders>
          </w:tcPr>
          <w:p w14:paraId="4B163507" w14:textId="77777777" w:rsidR="00967D65" w:rsidRPr="00652167" w:rsidRDefault="00B2383C" w:rsidP="00CF68A6">
            <w:pPr>
              <w:pStyle w:val="TableText0"/>
              <w:tabs>
                <w:tab w:val="decimal" w:pos="636"/>
              </w:tabs>
              <w:rPr>
                <w:color w:val="000000"/>
              </w:rPr>
            </w:pPr>
            <w:r w:rsidRPr="00652167">
              <w:rPr>
                <w:color w:val="000000"/>
              </w:rPr>
              <w:t>50</w:t>
            </w:r>
          </w:p>
        </w:tc>
      </w:tr>
      <w:tr w:rsidR="007C3D34" w:rsidRPr="00652167" w14:paraId="3EBD588C" w14:textId="77777777" w:rsidTr="00652167">
        <w:trPr>
          <w:jc w:val="center"/>
        </w:trPr>
        <w:tc>
          <w:tcPr>
            <w:tcW w:w="1075" w:type="pct"/>
            <w:tcBorders>
              <w:top w:val="single" w:sz="4" w:space="0" w:color="auto"/>
              <w:left w:val="single" w:sz="4" w:space="0" w:color="auto"/>
              <w:bottom w:val="single" w:sz="4" w:space="0" w:color="auto"/>
              <w:right w:val="single" w:sz="4" w:space="0" w:color="auto"/>
            </w:tcBorders>
          </w:tcPr>
          <w:p w14:paraId="6738259A" w14:textId="77777777" w:rsidR="007C3D34" w:rsidRPr="00652167" w:rsidRDefault="007C3D34" w:rsidP="0044392A">
            <w:pPr>
              <w:pStyle w:val="TableText0"/>
              <w:rPr>
                <w:b/>
              </w:rPr>
            </w:pPr>
            <w:r w:rsidRPr="00652167">
              <w:rPr>
                <w:b/>
              </w:rPr>
              <w:t>Total burden</w:t>
            </w:r>
          </w:p>
        </w:tc>
        <w:tc>
          <w:tcPr>
            <w:tcW w:w="1388" w:type="pct"/>
            <w:tcBorders>
              <w:top w:val="single" w:sz="4" w:space="0" w:color="auto"/>
              <w:left w:val="single" w:sz="4" w:space="0" w:color="auto"/>
              <w:bottom w:val="single" w:sz="4" w:space="0" w:color="auto"/>
              <w:right w:val="single" w:sz="4" w:space="0" w:color="auto"/>
            </w:tcBorders>
          </w:tcPr>
          <w:p w14:paraId="70078020" w14:textId="77777777" w:rsidR="007C3D34" w:rsidRPr="00652167" w:rsidRDefault="007C3D34" w:rsidP="0044392A">
            <w:pPr>
              <w:pStyle w:val="TableText0"/>
              <w:rPr>
                <w:b/>
              </w:rPr>
            </w:pPr>
          </w:p>
        </w:tc>
        <w:tc>
          <w:tcPr>
            <w:tcW w:w="712" w:type="pct"/>
            <w:tcBorders>
              <w:top w:val="single" w:sz="4" w:space="0" w:color="auto"/>
              <w:left w:val="single" w:sz="4" w:space="0" w:color="auto"/>
              <w:bottom w:val="single" w:sz="4" w:space="0" w:color="auto"/>
              <w:right w:val="single" w:sz="4" w:space="0" w:color="auto"/>
            </w:tcBorders>
          </w:tcPr>
          <w:p w14:paraId="6ACB3D24" w14:textId="77777777" w:rsidR="007C3D34" w:rsidRPr="00652167" w:rsidRDefault="007C3D34" w:rsidP="0044392A">
            <w:pPr>
              <w:pStyle w:val="TableText0"/>
              <w:jc w:val="center"/>
              <w:rPr>
                <w:b/>
              </w:rPr>
            </w:pPr>
          </w:p>
        </w:tc>
        <w:tc>
          <w:tcPr>
            <w:tcW w:w="654" w:type="pct"/>
            <w:tcBorders>
              <w:top w:val="single" w:sz="4" w:space="0" w:color="auto"/>
              <w:left w:val="single" w:sz="4" w:space="0" w:color="auto"/>
              <w:bottom w:val="single" w:sz="4" w:space="0" w:color="auto"/>
              <w:right w:val="single" w:sz="4" w:space="0" w:color="auto"/>
            </w:tcBorders>
          </w:tcPr>
          <w:p w14:paraId="11F56F1D" w14:textId="77777777" w:rsidR="007C3D34" w:rsidRPr="00652167" w:rsidRDefault="007C3D34" w:rsidP="0044392A">
            <w:pPr>
              <w:pStyle w:val="TableText0"/>
              <w:jc w:val="center"/>
              <w:rPr>
                <w:b/>
              </w:rPr>
            </w:pPr>
          </w:p>
        </w:tc>
        <w:tc>
          <w:tcPr>
            <w:tcW w:w="562" w:type="pct"/>
            <w:tcBorders>
              <w:top w:val="single" w:sz="4" w:space="0" w:color="auto"/>
              <w:left w:val="single" w:sz="4" w:space="0" w:color="auto"/>
              <w:bottom w:val="single" w:sz="4" w:space="0" w:color="auto"/>
              <w:right w:val="single" w:sz="4" w:space="0" w:color="auto"/>
            </w:tcBorders>
          </w:tcPr>
          <w:p w14:paraId="0FB467B5" w14:textId="77777777" w:rsidR="007C3D34" w:rsidRPr="00652167" w:rsidRDefault="007C3D34" w:rsidP="0044392A">
            <w:pPr>
              <w:pStyle w:val="TableText0"/>
              <w:jc w:val="center"/>
              <w:rPr>
                <w:b/>
              </w:rPr>
            </w:pPr>
          </w:p>
        </w:tc>
        <w:tc>
          <w:tcPr>
            <w:tcW w:w="609" w:type="pct"/>
            <w:tcBorders>
              <w:top w:val="single" w:sz="4" w:space="0" w:color="auto"/>
              <w:left w:val="single" w:sz="4" w:space="0" w:color="auto"/>
              <w:bottom w:val="single" w:sz="4" w:space="0" w:color="auto"/>
              <w:right w:val="single" w:sz="4" w:space="0" w:color="auto"/>
            </w:tcBorders>
          </w:tcPr>
          <w:p w14:paraId="16FB38C3" w14:textId="77777777" w:rsidR="007C3D34" w:rsidRPr="00652167" w:rsidRDefault="007B714B" w:rsidP="006479B8">
            <w:pPr>
              <w:pStyle w:val="TableText0"/>
              <w:tabs>
                <w:tab w:val="decimal" w:pos="636"/>
              </w:tabs>
              <w:rPr>
                <w:b/>
                <w:color w:val="000000"/>
              </w:rPr>
            </w:pPr>
            <w:r w:rsidRPr="00652167">
              <w:rPr>
                <w:b/>
              </w:rPr>
              <w:t>2243</w:t>
            </w:r>
          </w:p>
        </w:tc>
      </w:tr>
      <w:bookmarkEnd w:id="92"/>
    </w:tbl>
    <w:p w14:paraId="00FAC62F" w14:textId="77777777" w:rsidR="00170D57" w:rsidRPr="00652167" w:rsidRDefault="00170D57" w:rsidP="00655872">
      <w:pPr>
        <w:pStyle w:val="exhibitsource"/>
        <w:rPr>
          <w:sz w:val="24"/>
          <w:szCs w:val="24"/>
        </w:rPr>
      </w:pPr>
    </w:p>
    <w:p w14:paraId="2F91ABF4" w14:textId="43941D52" w:rsidR="00000A36" w:rsidRPr="00652167" w:rsidRDefault="00000A36" w:rsidP="00AB20FC">
      <w:pPr>
        <w:pStyle w:val="OMBExhibitTitle"/>
      </w:pPr>
      <w:bookmarkStart w:id="93" w:name="_Toc521501862"/>
      <w:bookmarkStart w:id="94" w:name="_Toc534380001"/>
      <w:bookmarkStart w:id="95" w:name="_Toc531630040"/>
      <w:bookmarkStart w:id="96" w:name="_Toc11750119"/>
      <w:r w:rsidRPr="00652167">
        <w:t xml:space="preserve">Exhibit </w:t>
      </w:r>
      <w:r w:rsidR="003F0C49" w:rsidRPr="00652167">
        <w:t>1</w:t>
      </w:r>
      <w:r w:rsidR="009B36DE">
        <w:t>1</w:t>
      </w:r>
      <w:r w:rsidRPr="00652167">
        <w:t>.</w:t>
      </w:r>
      <w:r w:rsidRPr="00652167">
        <w:tab/>
        <w:t>Estimated Annualized Cost to Respondents</w:t>
      </w:r>
      <w:bookmarkEnd w:id="93"/>
      <w:bookmarkEnd w:id="94"/>
      <w:bookmarkEnd w:id="95"/>
      <w:bookmarkEnd w:id="9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1E0" w:firstRow="1" w:lastRow="1" w:firstColumn="1" w:lastColumn="1" w:noHBand="0" w:noVBand="0"/>
      </w:tblPr>
      <w:tblGrid>
        <w:gridCol w:w="2628"/>
        <w:gridCol w:w="2196"/>
        <w:gridCol w:w="1407"/>
        <w:gridCol w:w="1553"/>
        <w:gridCol w:w="1810"/>
      </w:tblGrid>
      <w:tr w:rsidR="003F2095" w:rsidRPr="00652167" w14:paraId="56995B68" w14:textId="77777777" w:rsidTr="00E02DAD">
        <w:trPr>
          <w:trHeight w:val="809"/>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027E6FEF" w14:textId="77777777" w:rsidR="00370913" w:rsidRPr="00652167" w:rsidRDefault="00370913" w:rsidP="006179E2">
            <w:pPr>
              <w:pStyle w:val="TableHeaders"/>
            </w:pPr>
            <w:bookmarkStart w:id="97" w:name="_Hlk522540613"/>
            <w:r w:rsidRPr="00652167">
              <w:t>Respondents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4798DCF5" w14:textId="77777777" w:rsidR="00370913" w:rsidRPr="00652167" w:rsidRDefault="00370913" w:rsidP="006179E2">
            <w:pPr>
              <w:pStyle w:val="TableHeaders"/>
            </w:pPr>
            <w:r w:rsidRPr="00652167">
              <w:t>Form name</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E617CE2" w14:textId="77777777" w:rsidR="00370913" w:rsidRPr="00652167" w:rsidRDefault="00370913" w:rsidP="006179E2">
            <w:pPr>
              <w:pStyle w:val="TableHeaders"/>
            </w:pPr>
            <w:r w:rsidRPr="00652167">
              <w:t>Total burden (hours)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D00C30B" w14:textId="77777777" w:rsidR="00370913" w:rsidRPr="00652167" w:rsidRDefault="003A0538" w:rsidP="006179E2">
            <w:pPr>
              <w:pStyle w:val="TableHeaders"/>
            </w:pPr>
            <w:r w:rsidRPr="00652167">
              <w:t xml:space="preserve">Adjusted </w:t>
            </w:r>
            <w:r w:rsidR="00921FF3" w:rsidRPr="00652167">
              <w:t>h</w:t>
            </w:r>
            <w:r w:rsidR="00370913" w:rsidRPr="00652167">
              <w:t>ourly wage</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14747C6" w14:textId="77777777" w:rsidR="00370913" w:rsidRPr="00652167" w:rsidRDefault="00370913" w:rsidP="006179E2">
            <w:pPr>
              <w:pStyle w:val="TableHeaders"/>
            </w:pPr>
            <w:r w:rsidRPr="00652167">
              <w:t>Total respondent costs</w:t>
            </w:r>
          </w:p>
        </w:tc>
      </w:tr>
      <w:tr w:rsidR="00B20060" w:rsidRPr="00652167" w14:paraId="32ADD453" w14:textId="77777777" w:rsidTr="00652167">
        <w:trPr>
          <w:jc w:val="center"/>
        </w:trPr>
        <w:tc>
          <w:tcPr>
            <w:tcW w:w="0" w:type="auto"/>
            <w:tcBorders>
              <w:top w:val="single" w:sz="4" w:space="0" w:color="auto"/>
              <w:left w:val="single" w:sz="4" w:space="0" w:color="auto"/>
              <w:bottom w:val="single" w:sz="4" w:space="0" w:color="auto"/>
              <w:right w:val="single" w:sz="4" w:space="0" w:color="auto"/>
            </w:tcBorders>
          </w:tcPr>
          <w:p w14:paraId="545494F3" w14:textId="77777777" w:rsidR="00B20060" w:rsidRPr="00652167" w:rsidRDefault="00B20060" w:rsidP="00B20060">
            <w:pPr>
              <w:pStyle w:val="TableText0"/>
            </w:pPr>
            <w:r w:rsidRPr="00652167">
              <w:t>Parents</w:t>
            </w:r>
          </w:p>
        </w:tc>
        <w:tc>
          <w:tcPr>
            <w:tcW w:w="0" w:type="auto"/>
            <w:tcBorders>
              <w:top w:val="single" w:sz="4" w:space="0" w:color="auto"/>
              <w:left w:val="single" w:sz="4" w:space="0" w:color="auto"/>
              <w:bottom w:val="single" w:sz="4" w:space="0" w:color="auto"/>
              <w:right w:val="single" w:sz="4" w:space="0" w:color="auto"/>
            </w:tcBorders>
          </w:tcPr>
          <w:p w14:paraId="4BE304E5" w14:textId="77777777" w:rsidR="00B20060" w:rsidRPr="00652167" w:rsidRDefault="00B20060" w:rsidP="00B20060">
            <w:pPr>
              <w:pStyle w:val="TableText0"/>
            </w:pPr>
            <w:r w:rsidRPr="00652167">
              <w:t>Parental consent</w:t>
            </w:r>
          </w:p>
        </w:tc>
        <w:tc>
          <w:tcPr>
            <w:tcW w:w="0" w:type="auto"/>
            <w:tcBorders>
              <w:top w:val="single" w:sz="4" w:space="0" w:color="auto"/>
              <w:left w:val="single" w:sz="4" w:space="0" w:color="auto"/>
              <w:bottom w:val="single" w:sz="4" w:space="0" w:color="auto"/>
              <w:right w:val="single" w:sz="4" w:space="0" w:color="auto"/>
            </w:tcBorders>
          </w:tcPr>
          <w:p w14:paraId="5F3F9E21" w14:textId="77777777" w:rsidR="00B20060" w:rsidRPr="00652167" w:rsidRDefault="009A7E0C" w:rsidP="00B20060">
            <w:pPr>
              <w:pStyle w:val="TableText0"/>
              <w:tabs>
                <w:tab w:val="decimal" w:pos="691"/>
              </w:tabs>
              <w:rPr>
                <w:color w:val="000000"/>
              </w:rPr>
            </w:pPr>
            <w:r w:rsidRPr="00652167">
              <w:rPr>
                <w:color w:val="000000"/>
              </w:rPr>
              <w:t>140</w:t>
            </w:r>
          </w:p>
        </w:tc>
        <w:tc>
          <w:tcPr>
            <w:tcW w:w="0" w:type="auto"/>
            <w:tcBorders>
              <w:top w:val="single" w:sz="4" w:space="0" w:color="auto"/>
              <w:left w:val="single" w:sz="4" w:space="0" w:color="auto"/>
              <w:bottom w:val="single" w:sz="4" w:space="0" w:color="auto"/>
              <w:right w:val="single" w:sz="4" w:space="0" w:color="auto"/>
            </w:tcBorders>
          </w:tcPr>
          <w:p w14:paraId="26A24922" w14:textId="77777777" w:rsidR="00B20060" w:rsidRPr="00652167" w:rsidRDefault="00B20060" w:rsidP="00B20060">
            <w:pPr>
              <w:pStyle w:val="TableText0"/>
              <w:tabs>
                <w:tab w:val="decimal" w:pos="558"/>
              </w:tabs>
              <w:rPr>
                <w:color w:val="000000"/>
              </w:rPr>
            </w:pPr>
            <w:r w:rsidRPr="00652167">
              <w:t>$24.34</w:t>
            </w:r>
          </w:p>
        </w:tc>
        <w:tc>
          <w:tcPr>
            <w:tcW w:w="0" w:type="auto"/>
            <w:tcBorders>
              <w:top w:val="single" w:sz="4" w:space="0" w:color="auto"/>
              <w:left w:val="single" w:sz="4" w:space="0" w:color="auto"/>
              <w:bottom w:val="single" w:sz="4" w:space="0" w:color="auto"/>
              <w:right w:val="single" w:sz="4" w:space="0" w:color="auto"/>
            </w:tcBorders>
          </w:tcPr>
          <w:p w14:paraId="3ADC5B78" w14:textId="77777777" w:rsidR="00B20060" w:rsidRPr="00652167" w:rsidRDefault="00B20060" w:rsidP="007262FE">
            <w:pPr>
              <w:pStyle w:val="TableText0"/>
              <w:tabs>
                <w:tab w:val="decimal" w:pos="946"/>
              </w:tabs>
              <w:jc w:val="center"/>
            </w:pPr>
            <w:r w:rsidRPr="00652167">
              <w:t xml:space="preserve"> $</w:t>
            </w:r>
            <w:r w:rsidR="00734D02" w:rsidRPr="00652167">
              <w:t>3,407.60</w:t>
            </w:r>
          </w:p>
        </w:tc>
      </w:tr>
      <w:tr w:rsidR="003F2095" w:rsidRPr="00652167" w14:paraId="19EC8FC5" w14:textId="77777777" w:rsidTr="00E02DAD">
        <w:trPr>
          <w:jc w:val="center"/>
        </w:trPr>
        <w:tc>
          <w:tcPr>
            <w:tcW w:w="0" w:type="auto"/>
            <w:vMerge w:val="restart"/>
            <w:tcBorders>
              <w:top w:val="single" w:sz="4" w:space="0" w:color="auto"/>
              <w:left w:val="single" w:sz="4" w:space="0" w:color="auto"/>
              <w:right w:val="single" w:sz="4" w:space="0" w:color="auto"/>
            </w:tcBorders>
          </w:tcPr>
          <w:p w14:paraId="51B743CD" w14:textId="77777777" w:rsidR="004F5E5A" w:rsidRPr="00652167" w:rsidRDefault="004F5E5A" w:rsidP="004F5E5A">
            <w:pPr>
              <w:pStyle w:val="TableText0"/>
            </w:pPr>
            <w:r w:rsidRPr="00652167">
              <w:t>High school students</w:t>
            </w:r>
          </w:p>
        </w:tc>
        <w:tc>
          <w:tcPr>
            <w:tcW w:w="0" w:type="auto"/>
            <w:tcBorders>
              <w:top w:val="single" w:sz="4" w:space="0" w:color="auto"/>
              <w:left w:val="single" w:sz="4" w:space="0" w:color="auto"/>
              <w:bottom w:val="single" w:sz="4" w:space="0" w:color="auto"/>
              <w:right w:val="single" w:sz="4" w:space="0" w:color="auto"/>
            </w:tcBorders>
          </w:tcPr>
          <w:p w14:paraId="7EB0EC88" w14:textId="77777777" w:rsidR="004F5E5A" w:rsidRPr="00652167" w:rsidRDefault="004F5E5A" w:rsidP="004F5E5A">
            <w:pPr>
              <w:pStyle w:val="TableText0"/>
            </w:pPr>
            <w:r w:rsidRPr="00652167">
              <w:t>Youth assent</w:t>
            </w:r>
          </w:p>
        </w:tc>
        <w:tc>
          <w:tcPr>
            <w:tcW w:w="0" w:type="auto"/>
            <w:tcBorders>
              <w:top w:val="single" w:sz="4" w:space="0" w:color="auto"/>
              <w:left w:val="single" w:sz="4" w:space="0" w:color="auto"/>
              <w:bottom w:val="single" w:sz="4" w:space="0" w:color="auto"/>
              <w:right w:val="single" w:sz="4" w:space="0" w:color="auto"/>
            </w:tcBorders>
          </w:tcPr>
          <w:p w14:paraId="646F0E2C" w14:textId="77777777" w:rsidR="004F5E5A" w:rsidRPr="00652167" w:rsidRDefault="009A7E0C" w:rsidP="004F5E5A">
            <w:pPr>
              <w:pStyle w:val="TableText0"/>
              <w:tabs>
                <w:tab w:val="decimal" w:pos="691"/>
              </w:tabs>
            </w:pPr>
            <w:r w:rsidRPr="00652167">
              <w:t>140</w:t>
            </w:r>
          </w:p>
        </w:tc>
        <w:tc>
          <w:tcPr>
            <w:tcW w:w="0" w:type="auto"/>
            <w:tcBorders>
              <w:top w:val="single" w:sz="4" w:space="0" w:color="auto"/>
              <w:left w:val="single" w:sz="4" w:space="0" w:color="auto"/>
              <w:bottom w:val="single" w:sz="4" w:space="0" w:color="auto"/>
              <w:right w:val="single" w:sz="4" w:space="0" w:color="auto"/>
            </w:tcBorders>
          </w:tcPr>
          <w:p w14:paraId="137F9610" w14:textId="77777777" w:rsidR="004F5E5A" w:rsidRPr="00652167" w:rsidRDefault="004F5E5A" w:rsidP="004F5E5A">
            <w:pPr>
              <w:pStyle w:val="TableText0"/>
              <w:tabs>
                <w:tab w:val="decimal" w:pos="558"/>
              </w:tabs>
              <w:rPr>
                <w:color w:val="000000"/>
              </w:rPr>
            </w:pPr>
            <w:r w:rsidRPr="00652167">
              <w:t>$7.25</w:t>
            </w:r>
          </w:p>
        </w:tc>
        <w:tc>
          <w:tcPr>
            <w:tcW w:w="0" w:type="auto"/>
            <w:tcBorders>
              <w:top w:val="single" w:sz="4" w:space="0" w:color="auto"/>
              <w:left w:val="single" w:sz="4" w:space="0" w:color="auto"/>
              <w:bottom w:val="single" w:sz="4" w:space="0" w:color="auto"/>
              <w:right w:val="single" w:sz="4" w:space="0" w:color="auto"/>
            </w:tcBorders>
          </w:tcPr>
          <w:p w14:paraId="20ACA2C1" w14:textId="77777777" w:rsidR="004F5E5A" w:rsidRPr="00652167" w:rsidRDefault="004F5E5A" w:rsidP="004F5E5A">
            <w:pPr>
              <w:pStyle w:val="TableText0"/>
              <w:tabs>
                <w:tab w:val="decimal" w:pos="946"/>
              </w:tabs>
              <w:jc w:val="center"/>
            </w:pPr>
            <w:r w:rsidRPr="00652167">
              <w:t xml:space="preserve"> $</w:t>
            </w:r>
            <w:r w:rsidR="00734D02" w:rsidRPr="00652167">
              <w:t>1,015.00</w:t>
            </w:r>
          </w:p>
        </w:tc>
      </w:tr>
      <w:tr w:rsidR="004F5E5A" w:rsidRPr="00652167" w14:paraId="2626C5B6" w14:textId="77777777" w:rsidTr="00652167">
        <w:trPr>
          <w:jc w:val="center"/>
        </w:trPr>
        <w:tc>
          <w:tcPr>
            <w:tcW w:w="0" w:type="auto"/>
            <w:vMerge/>
            <w:tcBorders>
              <w:left w:val="single" w:sz="4" w:space="0" w:color="auto"/>
              <w:right w:val="single" w:sz="4" w:space="0" w:color="auto"/>
            </w:tcBorders>
          </w:tcPr>
          <w:p w14:paraId="23544140" w14:textId="77777777" w:rsidR="004F5E5A" w:rsidRPr="00652167" w:rsidRDefault="004F5E5A" w:rsidP="004F5E5A">
            <w:pPr>
              <w:pStyle w:val="TableText0"/>
            </w:pPr>
          </w:p>
        </w:tc>
        <w:tc>
          <w:tcPr>
            <w:tcW w:w="0" w:type="auto"/>
            <w:tcBorders>
              <w:top w:val="single" w:sz="4" w:space="0" w:color="auto"/>
              <w:left w:val="single" w:sz="4" w:space="0" w:color="auto"/>
              <w:bottom w:val="single" w:sz="4" w:space="0" w:color="auto"/>
              <w:right w:val="single" w:sz="4" w:space="0" w:color="auto"/>
            </w:tcBorders>
            <w:hideMark/>
          </w:tcPr>
          <w:p w14:paraId="7257EF11" w14:textId="77777777" w:rsidR="004F5E5A" w:rsidRPr="00652167" w:rsidRDefault="004F5E5A" w:rsidP="004F5E5A">
            <w:pPr>
              <w:pStyle w:val="TableText0"/>
            </w:pPr>
            <w:r w:rsidRPr="00652167">
              <w:t>Baseline survey</w:t>
            </w:r>
          </w:p>
        </w:tc>
        <w:tc>
          <w:tcPr>
            <w:tcW w:w="0" w:type="auto"/>
            <w:tcBorders>
              <w:top w:val="single" w:sz="4" w:space="0" w:color="auto"/>
              <w:left w:val="single" w:sz="4" w:space="0" w:color="auto"/>
              <w:bottom w:val="single" w:sz="4" w:space="0" w:color="auto"/>
              <w:right w:val="single" w:sz="4" w:space="0" w:color="auto"/>
            </w:tcBorders>
          </w:tcPr>
          <w:p w14:paraId="327B4F92" w14:textId="77777777" w:rsidR="004F5E5A" w:rsidRPr="00652167" w:rsidRDefault="009A7E0C" w:rsidP="004F5E5A">
            <w:pPr>
              <w:pStyle w:val="TableText0"/>
              <w:tabs>
                <w:tab w:val="decimal" w:pos="691"/>
              </w:tabs>
            </w:pPr>
            <w:r w:rsidRPr="00652167">
              <w:t>798</w:t>
            </w:r>
          </w:p>
        </w:tc>
        <w:tc>
          <w:tcPr>
            <w:tcW w:w="0" w:type="auto"/>
            <w:tcBorders>
              <w:top w:val="single" w:sz="4" w:space="0" w:color="auto"/>
              <w:left w:val="single" w:sz="4" w:space="0" w:color="auto"/>
              <w:bottom w:val="single" w:sz="4" w:space="0" w:color="auto"/>
              <w:right w:val="single" w:sz="4" w:space="0" w:color="auto"/>
            </w:tcBorders>
          </w:tcPr>
          <w:p w14:paraId="3FA85933" w14:textId="77777777" w:rsidR="004F5E5A" w:rsidRPr="00652167" w:rsidRDefault="004F5E5A" w:rsidP="004F5E5A">
            <w:pPr>
              <w:pStyle w:val="TableText0"/>
              <w:tabs>
                <w:tab w:val="decimal" w:pos="558"/>
              </w:tabs>
              <w:rPr>
                <w:color w:val="000000"/>
              </w:rPr>
            </w:pPr>
            <w:r w:rsidRPr="00652167">
              <w:t>$7.25</w:t>
            </w:r>
          </w:p>
        </w:tc>
        <w:tc>
          <w:tcPr>
            <w:tcW w:w="0" w:type="auto"/>
            <w:tcBorders>
              <w:top w:val="single" w:sz="4" w:space="0" w:color="auto"/>
              <w:left w:val="single" w:sz="4" w:space="0" w:color="auto"/>
              <w:bottom w:val="single" w:sz="4" w:space="0" w:color="auto"/>
              <w:right w:val="single" w:sz="4" w:space="0" w:color="auto"/>
            </w:tcBorders>
          </w:tcPr>
          <w:p w14:paraId="3872C61B" w14:textId="77777777" w:rsidR="004F5E5A" w:rsidRPr="00652167" w:rsidRDefault="004F5E5A" w:rsidP="004F5E5A">
            <w:pPr>
              <w:pStyle w:val="TableText0"/>
              <w:tabs>
                <w:tab w:val="decimal" w:pos="946"/>
              </w:tabs>
              <w:jc w:val="center"/>
            </w:pPr>
            <w:r w:rsidRPr="00652167">
              <w:t xml:space="preserve"> </w:t>
            </w:r>
            <w:r w:rsidR="00734D02" w:rsidRPr="00652167">
              <w:t>$5,785.50</w:t>
            </w:r>
          </w:p>
        </w:tc>
      </w:tr>
      <w:tr w:rsidR="004F5E5A" w:rsidRPr="00652167" w14:paraId="1E4BCAA9" w14:textId="77777777" w:rsidTr="00652167">
        <w:trPr>
          <w:jc w:val="center"/>
        </w:trPr>
        <w:tc>
          <w:tcPr>
            <w:tcW w:w="0" w:type="auto"/>
            <w:vMerge/>
            <w:tcBorders>
              <w:left w:val="single" w:sz="4" w:space="0" w:color="auto"/>
              <w:right w:val="single" w:sz="4" w:space="0" w:color="auto"/>
            </w:tcBorders>
          </w:tcPr>
          <w:p w14:paraId="387BB108" w14:textId="77777777" w:rsidR="004F5E5A" w:rsidRPr="00652167" w:rsidRDefault="004F5E5A" w:rsidP="004F5E5A">
            <w:pPr>
              <w:pStyle w:val="TableText0"/>
            </w:pPr>
          </w:p>
        </w:tc>
        <w:tc>
          <w:tcPr>
            <w:tcW w:w="0" w:type="auto"/>
            <w:tcBorders>
              <w:top w:val="single" w:sz="4" w:space="0" w:color="auto"/>
              <w:left w:val="single" w:sz="4" w:space="0" w:color="auto"/>
              <w:bottom w:val="single" w:sz="4" w:space="0" w:color="auto"/>
              <w:right w:val="single" w:sz="4" w:space="0" w:color="auto"/>
            </w:tcBorders>
          </w:tcPr>
          <w:p w14:paraId="7C43588B" w14:textId="77777777" w:rsidR="004F5E5A" w:rsidRPr="00652167" w:rsidRDefault="004F5E5A" w:rsidP="004F5E5A">
            <w:pPr>
              <w:pStyle w:val="TableText0"/>
            </w:pPr>
            <w:r w:rsidRPr="00652167">
              <w:t>Follow-up survey</w:t>
            </w:r>
          </w:p>
        </w:tc>
        <w:tc>
          <w:tcPr>
            <w:tcW w:w="0" w:type="auto"/>
            <w:tcBorders>
              <w:top w:val="single" w:sz="4" w:space="0" w:color="auto"/>
              <w:left w:val="single" w:sz="4" w:space="0" w:color="auto"/>
              <w:bottom w:val="single" w:sz="4" w:space="0" w:color="auto"/>
              <w:right w:val="single" w:sz="4" w:space="0" w:color="auto"/>
            </w:tcBorders>
          </w:tcPr>
          <w:p w14:paraId="3EA8C821" w14:textId="77777777" w:rsidR="004F5E5A" w:rsidRPr="00652167" w:rsidRDefault="009A7E0C" w:rsidP="004F5E5A">
            <w:pPr>
              <w:pStyle w:val="TableText0"/>
              <w:tabs>
                <w:tab w:val="decimal" w:pos="691"/>
              </w:tabs>
              <w:rPr>
                <w:color w:val="000000"/>
              </w:rPr>
            </w:pPr>
            <w:r w:rsidRPr="00652167">
              <w:rPr>
                <w:color w:val="000000"/>
              </w:rPr>
              <w:t>798</w:t>
            </w:r>
          </w:p>
        </w:tc>
        <w:tc>
          <w:tcPr>
            <w:tcW w:w="0" w:type="auto"/>
            <w:tcBorders>
              <w:top w:val="single" w:sz="4" w:space="0" w:color="auto"/>
              <w:left w:val="single" w:sz="4" w:space="0" w:color="auto"/>
              <w:bottom w:val="single" w:sz="4" w:space="0" w:color="auto"/>
              <w:right w:val="single" w:sz="4" w:space="0" w:color="auto"/>
            </w:tcBorders>
          </w:tcPr>
          <w:p w14:paraId="6C1268BC" w14:textId="77777777" w:rsidR="004F5E5A" w:rsidRPr="00652167" w:rsidRDefault="004F5E5A" w:rsidP="004F5E5A">
            <w:pPr>
              <w:pStyle w:val="TableText0"/>
              <w:tabs>
                <w:tab w:val="decimal" w:pos="558"/>
              </w:tabs>
            </w:pPr>
            <w:r w:rsidRPr="00652167">
              <w:t>$7.25</w:t>
            </w:r>
          </w:p>
        </w:tc>
        <w:tc>
          <w:tcPr>
            <w:tcW w:w="0" w:type="auto"/>
            <w:tcBorders>
              <w:top w:val="single" w:sz="4" w:space="0" w:color="auto"/>
              <w:left w:val="single" w:sz="4" w:space="0" w:color="auto"/>
              <w:bottom w:val="single" w:sz="4" w:space="0" w:color="auto"/>
              <w:right w:val="single" w:sz="4" w:space="0" w:color="auto"/>
            </w:tcBorders>
          </w:tcPr>
          <w:p w14:paraId="1948F0D5" w14:textId="77777777" w:rsidR="004F5E5A" w:rsidRPr="00652167" w:rsidRDefault="004F5E5A" w:rsidP="004F5E5A">
            <w:pPr>
              <w:pStyle w:val="TableText0"/>
              <w:tabs>
                <w:tab w:val="decimal" w:pos="946"/>
              </w:tabs>
              <w:jc w:val="center"/>
            </w:pPr>
            <w:r w:rsidRPr="00652167">
              <w:t xml:space="preserve"> $</w:t>
            </w:r>
            <w:r w:rsidR="00734D02" w:rsidRPr="00652167">
              <w:t>5,785.50</w:t>
            </w:r>
          </w:p>
        </w:tc>
      </w:tr>
      <w:tr w:rsidR="00B20060" w:rsidRPr="00652167" w14:paraId="488922FC" w14:textId="77777777" w:rsidTr="00652167">
        <w:trPr>
          <w:trHeight w:val="746"/>
          <w:jc w:val="center"/>
        </w:trPr>
        <w:tc>
          <w:tcPr>
            <w:tcW w:w="0" w:type="auto"/>
            <w:tcBorders>
              <w:top w:val="single" w:sz="4" w:space="0" w:color="auto"/>
              <w:left w:val="single" w:sz="4" w:space="0" w:color="auto"/>
              <w:bottom w:val="single" w:sz="4" w:space="0" w:color="auto"/>
              <w:right w:val="single" w:sz="4" w:space="0" w:color="auto"/>
            </w:tcBorders>
          </w:tcPr>
          <w:p w14:paraId="5CAA8079" w14:textId="77777777" w:rsidR="00FF240F" w:rsidRPr="00652167" w:rsidRDefault="00FF240F" w:rsidP="003A41DF">
            <w:pPr>
              <w:pStyle w:val="TableText0"/>
              <w:rPr>
                <w:b/>
              </w:rPr>
            </w:pPr>
            <w:r w:rsidRPr="00652167">
              <w:t xml:space="preserve">School or school district administrative staff </w:t>
            </w:r>
          </w:p>
        </w:tc>
        <w:tc>
          <w:tcPr>
            <w:tcW w:w="0" w:type="auto"/>
            <w:tcBorders>
              <w:top w:val="single" w:sz="4" w:space="0" w:color="auto"/>
              <w:left w:val="single" w:sz="4" w:space="0" w:color="auto"/>
              <w:bottom w:val="single" w:sz="4" w:space="0" w:color="auto"/>
              <w:right w:val="single" w:sz="4" w:space="0" w:color="auto"/>
            </w:tcBorders>
          </w:tcPr>
          <w:p w14:paraId="140F7BF3" w14:textId="77777777" w:rsidR="00FF240F" w:rsidRPr="00652167" w:rsidRDefault="00351388" w:rsidP="00FF240F">
            <w:pPr>
              <w:pStyle w:val="TableText0"/>
            </w:pPr>
            <w:r w:rsidRPr="00652167">
              <w:t>Classroom roster report</w:t>
            </w:r>
          </w:p>
        </w:tc>
        <w:tc>
          <w:tcPr>
            <w:tcW w:w="0" w:type="auto"/>
            <w:tcBorders>
              <w:top w:val="single" w:sz="4" w:space="0" w:color="auto"/>
              <w:left w:val="single" w:sz="4" w:space="0" w:color="auto"/>
              <w:bottom w:val="single" w:sz="4" w:space="0" w:color="auto"/>
              <w:right w:val="single" w:sz="4" w:space="0" w:color="auto"/>
            </w:tcBorders>
          </w:tcPr>
          <w:p w14:paraId="3112D286" w14:textId="77777777" w:rsidR="00FF240F" w:rsidRPr="00652167" w:rsidRDefault="00F87F3F" w:rsidP="00FF240F">
            <w:pPr>
              <w:pStyle w:val="TableText0"/>
              <w:tabs>
                <w:tab w:val="decimal" w:pos="691"/>
              </w:tabs>
            </w:pPr>
            <w:r w:rsidRPr="00652167">
              <w:t>28</w:t>
            </w:r>
          </w:p>
        </w:tc>
        <w:tc>
          <w:tcPr>
            <w:tcW w:w="0" w:type="auto"/>
            <w:tcBorders>
              <w:top w:val="single" w:sz="4" w:space="0" w:color="auto"/>
              <w:left w:val="single" w:sz="4" w:space="0" w:color="auto"/>
              <w:bottom w:val="single" w:sz="4" w:space="0" w:color="auto"/>
              <w:right w:val="single" w:sz="4" w:space="0" w:color="auto"/>
            </w:tcBorders>
          </w:tcPr>
          <w:p w14:paraId="3A232FD4" w14:textId="77777777" w:rsidR="00FF240F" w:rsidRPr="00652167" w:rsidRDefault="00FF240F" w:rsidP="00FF240F">
            <w:pPr>
              <w:pStyle w:val="TableText0"/>
              <w:tabs>
                <w:tab w:val="decimal" w:pos="558"/>
              </w:tabs>
              <w:rPr>
                <w:color w:val="000000"/>
              </w:rPr>
            </w:pPr>
            <w:r w:rsidRPr="00652167">
              <w:t xml:space="preserve">$45.38 </w:t>
            </w:r>
          </w:p>
        </w:tc>
        <w:tc>
          <w:tcPr>
            <w:tcW w:w="0" w:type="auto"/>
            <w:tcBorders>
              <w:top w:val="single" w:sz="4" w:space="0" w:color="auto"/>
              <w:left w:val="single" w:sz="4" w:space="0" w:color="auto"/>
              <w:bottom w:val="single" w:sz="4" w:space="0" w:color="auto"/>
              <w:right w:val="single" w:sz="4" w:space="0" w:color="auto"/>
            </w:tcBorders>
          </w:tcPr>
          <w:p w14:paraId="72EEA6FD" w14:textId="77777777" w:rsidR="00FF240F" w:rsidRPr="00652167" w:rsidRDefault="00FF240F" w:rsidP="007262FE">
            <w:pPr>
              <w:pStyle w:val="TableText0"/>
              <w:tabs>
                <w:tab w:val="decimal" w:pos="946"/>
              </w:tabs>
              <w:jc w:val="center"/>
            </w:pPr>
            <w:r w:rsidRPr="00652167">
              <w:t>$</w:t>
            </w:r>
            <w:r w:rsidR="00734D02" w:rsidRPr="00652167">
              <w:t>1,270.64</w:t>
            </w:r>
            <w:r w:rsidRPr="00652167">
              <w:t xml:space="preserve"> </w:t>
            </w:r>
          </w:p>
        </w:tc>
      </w:tr>
      <w:tr w:rsidR="00223207" w:rsidRPr="00652167" w14:paraId="356CAA6E" w14:textId="77777777" w:rsidTr="00652167">
        <w:trPr>
          <w:jc w:val="center"/>
        </w:trPr>
        <w:tc>
          <w:tcPr>
            <w:tcW w:w="0" w:type="auto"/>
            <w:tcBorders>
              <w:top w:val="single" w:sz="4" w:space="0" w:color="auto"/>
              <w:left w:val="single" w:sz="4" w:space="0" w:color="auto"/>
              <w:bottom w:val="single" w:sz="4" w:space="0" w:color="auto"/>
              <w:right w:val="single" w:sz="4" w:space="0" w:color="auto"/>
            </w:tcBorders>
          </w:tcPr>
          <w:p w14:paraId="500FE6C0" w14:textId="77777777" w:rsidR="00223207" w:rsidRPr="00652167" w:rsidRDefault="00223207" w:rsidP="00CF68A6">
            <w:pPr>
              <w:pStyle w:val="TableText0"/>
            </w:pPr>
            <w:r w:rsidRPr="00652167">
              <w:t xml:space="preserve">Program facilitators </w:t>
            </w:r>
          </w:p>
        </w:tc>
        <w:tc>
          <w:tcPr>
            <w:tcW w:w="0" w:type="auto"/>
            <w:tcBorders>
              <w:top w:val="single" w:sz="4" w:space="0" w:color="auto"/>
              <w:left w:val="single" w:sz="4" w:space="0" w:color="auto"/>
              <w:bottom w:val="single" w:sz="4" w:space="0" w:color="auto"/>
              <w:right w:val="single" w:sz="4" w:space="0" w:color="auto"/>
            </w:tcBorders>
          </w:tcPr>
          <w:p w14:paraId="0D143F5A" w14:textId="77777777" w:rsidR="00223207" w:rsidRPr="00652167" w:rsidRDefault="00223207" w:rsidP="00CF68A6">
            <w:pPr>
              <w:pStyle w:val="TableText0"/>
            </w:pPr>
            <w:r w:rsidRPr="00652167">
              <w:t>Facilitator Session Log</w:t>
            </w:r>
          </w:p>
        </w:tc>
        <w:tc>
          <w:tcPr>
            <w:tcW w:w="0" w:type="auto"/>
            <w:tcBorders>
              <w:top w:val="single" w:sz="4" w:space="0" w:color="auto"/>
              <w:left w:val="single" w:sz="4" w:space="0" w:color="auto"/>
              <w:bottom w:val="single" w:sz="4" w:space="0" w:color="auto"/>
              <w:right w:val="single" w:sz="4" w:space="0" w:color="auto"/>
            </w:tcBorders>
          </w:tcPr>
          <w:p w14:paraId="5CCF0CE0" w14:textId="77777777" w:rsidR="00223207" w:rsidRPr="00652167" w:rsidRDefault="00006702" w:rsidP="00CF68A6">
            <w:pPr>
              <w:pStyle w:val="TableText0"/>
              <w:tabs>
                <w:tab w:val="decimal" w:pos="691"/>
              </w:tabs>
            </w:pPr>
            <w:r w:rsidRPr="00652167">
              <w:rPr>
                <w:color w:val="000000"/>
              </w:rPr>
              <w:t>150</w:t>
            </w:r>
          </w:p>
        </w:tc>
        <w:tc>
          <w:tcPr>
            <w:tcW w:w="0" w:type="auto"/>
            <w:tcBorders>
              <w:top w:val="single" w:sz="4" w:space="0" w:color="auto"/>
              <w:left w:val="single" w:sz="4" w:space="0" w:color="auto"/>
              <w:bottom w:val="single" w:sz="4" w:space="0" w:color="auto"/>
              <w:right w:val="single" w:sz="4" w:space="0" w:color="auto"/>
            </w:tcBorders>
          </w:tcPr>
          <w:p w14:paraId="0E2DDB86" w14:textId="77777777" w:rsidR="00223207" w:rsidRPr="00652167" w:rsidRDefault="00223207" w:rsidP="00CF68A6">
            <w:pPr>
              <w:pStyle w:val="TableText0"/>
              <w:tabs>
                <w:tab w:val="decimal" w:pos="558"/>
              </w:tabs>
              <w:rPr>
                <w:color w:val="000000"/>
              </w:rPr>
            </w:pPr>
            <w:r w:rsidRPr="00652167">
              <w:t>$60.12</w:t>
            </w:r>
          </w:p>
        </w:tc>
        <w:tc>
          <w:tcPr>
            <w:tcW w:w="0" w:type="auto"/>
            <w:tcBorders>
              <w:top w:val="single" w:sz="4" w:space="0" w:color="auto"/>
              <w:left w:val="single" w:sz="4" w:space="0" w:color="auto"/>
              <w:bottom w:val="single" w:sz="4" w:space="0" w:color="auto"/>
              <w:right w:val="single" w:sz="4" w:space="0" w:color="auto"/>
            </w:tcBorders>
          </w:tcPr>
          <w:p w14:paraId="104B579C" w14:textId="77777777" w:rsidR="00223207" w:rsidRPr="00652167" w:rsidRDefault="00223207" w:rsidP="00CF68A6">
            <w:pPr>
              <w:pStyle w:val="TableText0"/>
              <w:tabs>
                <w:tab w:val="decimal" w:pos="946"/>
              </w:tabs>
              <w:jc w:val="center"/>
            </w:pPr>
            <w:r w:rsidRPr="00652167">
              <w:t>$</w:t>
            </w:r>
            <w:r w:rsidR="00006702" w:rsidRPr="00652167">
              <w:t>9,018</w:t>
            </w:r>
            <w:r w:rsidR="00E25445" w:rsidRPr="00652167">
              <w:t>.</w:t>
            </w:r>
            <w:r w:rsidR="00734D02" w:rsidRPr="00652167">
              <w:t>00</w:t>
            </w:r>
          </w:p>
        </w:tc>
      </w:tr>
      <w:tr w:rsidR="00223207" w:rsidRPr="00652167" w14:paraId="2E61B93A" w14:textId="77777777" w:rsidTr="00652167">
        <w:trPr>
          <w:jc w:val="center"/>
        </w:trPr>
        <w:tc>
          <w:tcPr>
            <w:tcW w:w="0" w:type="auto"/>
            <w:tcBorders>
              <w:top w:val="single" w:sz="4" w:space="0" w:color="auto"/>
              <w:left w:val="single" w:sz="4" w:space="0" w:color="auto"/>
              <w:bottom w:val="single" w:sz="4" w:space="0" w:color="auto"/>
              <w:right w:val="single" w:sz="4" w:space="0" w:color="auto"/>
            </w:tcBorders>
          </w:tcPr>
          <w:p w14:paraId="24D2FEA0" w14:textId="77777777" w:rsidR="00223207" w:rsidRPr="00652167" w:rsidRDefault="00223207" w:rsidP="00CF68A6">
            <w:pPr>
              <w:pStyle w:val="TableText0"/>
            </w:pPr>
            <w:r w:rsidRPr="00652167">
              <w:t xml:space="preserve">Program facilitators </w:t>
            </w:r>
          </w:p>
        </w:tc>
        <w:tc>
          <w:tcPr>
            <w:tcW w:w="0" w:type="auto"/>
            <w:tcBorders>
              <w:top w:val="single" w:sz="4" w:space="0" w:color="auto"/>
              <w:left w:val="single" w:sz="4" w:space="0" w:color="auto"/>
              <w:bottom w:val="single" w:sz="4" w:space="0" w:color="auto"/>
              <w:right w:val="single" w:sz="4" w:space="0" w:color="auto"/>
            </w:tcBorders>
          </w:tcPr>
          <w:p w14:paraId="4D7F1099" w14:textId="77777777" w:rsidR="00223207" w:rsidRPr="00652167" w:rsidRDefault="00223207" w:rsidP="00CF68A6">
            <w:pPr>
              <w:pStyle w:val="TableText0"/>
            </w:pPr>
            <w:r w:rsidRPr="00652167">
              <w:t>Facilitator survey</w:t>
            </w:r>
          </w:p>
        </w:tc>
        <w:tc>
          <w:tcPr>
            <w:tcW w:w="0" w:type="auto"/>
            <w:tcBorders>
              <w:top w:val="single" w:sz="4" w:space="0" w:color="auto"/>
              <w:left w:val="single" w:sz="4" w:space="0" w:color="auto"/>
              <w:bottom w:val="single" w:sz="4" w:space="0" w:color="auto"/>
              <w:right w:val="single" w:sz="4" w:space="0" w:color="auto"/>
            </w:tcBorders>
          </w:tcPr>
          <w:p w14:paraId="1EAC9A92" w14:textId="77777777" w:rsidR="00223207" w:rsidRPr="00652167" w:rsidRDefault="00006702" w:rsidP="00CF68A6">
            <w:pPr>
              <w:pStyle w:val="TableText0"/>
              <w:tabs>
                <w:tab w:val="decimal" w:pos="691"/>
              </w:tabs>
            </w:pPr>
            <w:r w:rsidRPr="00652167">
              <w:t>3</w:t>
            </w:r>
          </w:p>
        </w:tc>
        <w:tc>
          <w:tcPr>
            <w:tcW w:w="0" w:type="auto"/>
            <w:tcBorders>
              <w:top w:val="single" w:sz="4" w:space="0" w:color="auto"/>
              <w:left w:val="single" w:sz="4" w:space="0" w:color="auto"/>
              <w:bottom w:val="single" w:sz="4" w:space="0" w:color="auto"/>
              <w:right w:val="single" w:sz="4" w:space="0" w:color="auto"/>
            </w:tcBorders>
          </w:tcPr>
          <w:p w14:paraId="5EB29679" w14:textId="77777777" w:rsidR="00223207" w:rsidRPr="00652167" w:rsidRDefault="00223207" w:rsidP="00CF68A6">
            <w:pPr>
              <w:pStyle w:val="TableText0"/>
              <w:tabs>
                <w:tab w:val="decimal" w:pos="558"/>
              </w:tabs>
              <w:rPr>
                <w:color w:val="000000"/>
              </w:rPr>
            </w:pPr>
            <w:r w:rsidRPr="00652167">
              <w:t>$60.12</w:t>
            </w:r>
          </w:p>
        </w:tc>
        <w:tc>
          <w:tcPr>
            <w:tcW w:w="0" w:type="auto"/>
            <w:tcBorders>
              <w:top w:val="single" w:sz="4" w:space="0" w:color="auto"/>
              <w:left w:val="single" w:sz="4" w:space="0" w:color="auto"/>
              <w:bottom w:val="single" w:sz="4" w:space="0" w:color="auto"/>
              <w:right w:val="single" w:sz="4" w:space="0" w:color="auto"/>
            </w:tcBorders>
          </w:tcPr>
          <w:p w14:paraId="04438C15" w14:textId="77777777" w:rsidR="00223207" w:rsidRPr="00652167" w:rsidRDefault="00223207" w:rsidP="00CF68A6">
            <w:pPr>
              <w:pStyle w:val="TableText0"/>
              <w:tabs>
                <w:tab w:val="decimal" w:pos="946"/>
              </w:tabs>
              <w:jc w:val="center"/>
            </w:pPr>
            <w:r w:rsidRPr="00652167">
              <w:t>$</w:t>
            </w:r>
            <w:r w:rsidR="00006702" w:rsidRPr="00652167">
              <w:t>180.36</w:t>
            </w:r>
          </w:p>
        </w:tc>
      </w:tr>
      <w:tr w:rsidR="00223207" w:rsidRPr="00652167" w14:paraId="22FFF074" w14:textId="77777777" w:rsidTr="00652167">
        <w:trPr>
          <w:jc w:val="center"/>
        </w:trPr>
        <w:tc>
          <w:tcPr>
            <w:tcW w:w="0" w:type="auto"/>
            <w:tcBorders>
              <w:left w:val="single" w:sz="4" w:space="0" w:color="auto"/>
              <w:right w:val="single" w:sz="4" w:space="0" w:color="auto"/>
            </w:tcBorders>
          </w:tcPr>
          <w:p w14:paraId="760BB75D" w14:textId="77777777" w:rsidR="00223207" w:rsidRPr="00652167" w:rsidRDefault="004873F5" w:rsidP="00CF68A6">
            <w:pPr>
              <w:pStyle w:val="TableText0"/>
            </w:pPr>
            <w:r w:rsidRPr="00652167">
              <w:t>High school students</w:t>
            </w:r>
          </w:p>
        </w:tc>
        <w:tc>
          <w:tcPr>
            <w:tcW w:w="0" w:type="auto"/>
            <w:tcBorders>
              <w:top w:val="single" w:sz="4" w:space="0" w:color="auto"/>
              <w:left w:val="single" w:sz="4" w:space="0" w:color="auto"/>
              <w:bottom w:val="single" w:sz="4" w:space="0" w:color="auto"/>
              <w:right w:val="single" w:sz="4" w:space="0" w:color="auto"/>
            </w:tcBorders>
          </w:tcPr>
          <w:p w14:paraId="3A866E0F" w14:textId="77777777" w:rsidR="00223207" w:rsidRPr="00652167" w:rsidRDefault="00223207" w:rsidP="00CF68A6">
            <w:pPr>
              <w:pStyle w:val="TableText0"/>
            </w:pPr>
            <w:r w:rsidRPr="00652167">
              <w:t>Process evaluation participant survey</w:t>
            </w:r>
          </w:p>
        </w:tc>
        <w:tc>
          <w:tcPr>
            <w:tcW w:w="0" w:type="auto"/>
            <w:tcBorders>
              <w:top w:val="single" w:sz="4" w:space="0" w:color="auto"/>
              <w:left w:val="single" w:sz="4" w:space="0" w:color="auto"/>
              <w:bottom w:val="single" w:sz="4" w:space="0" w:color="auto"/>
              <w:right w:val="single" w:sz="4" w:space="0" w:color="auto"/>
            </w:tcBorders>
          </w:tcPr>
          <w:p w14:paraId="52391847" w14:textId="77777777" w:rsidR="00223207" w:rsidRPr="00652167" w:rsidRDefault="009A7E0C" w:rsidP="00CF68A6">
            <w:pPr>
              <w:pStyle w:val="TableText0"/>
              <w:tabs>
                <w:tab w:val="decimal" w:pos="691"/>
              </w:tabs>
            </w:pPr>
            <w:r w:rsidRPr="00652167">
              <w:t>126</w:t>
            </w:r>
          </w:p>
        </w:tc>
        <w:tc>
          <w:tcPr>
            <w:tcW w:w="0" w:type="auto"/>
            <w:tcBorders>
              <w:top w:val="single" w:sz="4" w:space="0" w:color="auto"/>
              <w:left w:val="single" w:sz="4" w:space="0" w:color="auto"/>
              <w:bottom w:val="single" w:sz="4" w:space="0" w:color="auto"/>
              <w:right w:val="single" w:sz="4" w:space="0" w:color="auto"/>
            </w:tcBorders>
          </w:tcPr>
          <w:p w14:paraId="73654C08" w14:textId="77777777" w:rsidR="00223207" w:rsidRPr="00652167" w:rsidRDefault="00223207" w:rsidP="00CF68A6">
            <w:pPr>
              <w:pStyle w:val="TableText0"/>
              <w:tabs>
                <w:tab w:val="decimal" w:pos="558"/>
              </w:tabs>
              <w:rPr>
                <w:color w:val="000000"/>
              </w:rPr>
            </w:pPr>
            <w:r w:rsidRPr="00652167">
              <w:t>$7.25</w:t>
            </w:r>
          </w:p>
        </w:tc>
        <w:tc>
          <w:tcPr>
            <w:tcW w:w="0" w:type="auto"/>
            <w:tcBorders>
              <w:top w:val="single" w:sz="4" w:space="0" w:color="auto"/>
              <w:left w:val="single" w:sz="4" w:space="0" w:color="auto"/>
              <w:bottom w:val="single" w:sz="4" w:space="0" w:color="auto"/>
              <w:right w:val="single" w:sz="4" w:space="0" w:color="auto"/>
            </w:tcBorders>
          </w:tcPr>
          <w:p w14:paraId="1022D2DC" w14:textId="77777777" w:rsidR="00223207" w:rsidRPr="00652167" w:rsidRDefault="00223207" w:rsidP="00CF68A6">
            <w:pPr>
              <w:pStyle w:val="TableText0"/>
              <w:tabs>
                <w:tab w:val="decimal" w:pos="946"/>
              </w:tabs>
              <w:jc w:val="center"/>
            </w:pPr>
            <w:r w:rsidRPr="00652167">
              <w:t>$</w:t>
            </w:r>
            <w:r w:rsidR="00734D02" w:rsidRPr="00652167">
              <w:t>913.50</w:t>
            </w:r>
          </w:p>
        </w:tc>
      </w:tr>
      <w:tr w:rsidR="00223207" w:rsidRPr="00652167" w14:paraId="756628CA" w14:textId="77777777" w:rsidTr="00652167">
        <w:trPr>
          <w:jc w:val="center"/>
        </w:trPr>
        <w:tc>
          <w:tcPr>
            <w:tcW w:w="0" w:type="auto"/>
            <w:tcBorders>
              <w:top w:val="single" w:sz="4" w:space="0" w:color="auto"/>
              <w:left w:val="single" w:sz="4" w:space="0" w:color="auto"/>
              <w:bottom w:val="single" w:sz="4" w:space="0" w:color="auto"/>
              <w:right w:val="single" w:sz="4" w:space="0" w:color="auto"/>
            </w:tcBorders>
          </w:tcPr>
          <w:p w14:paraId="4FB86443" w14:textId="77777777" w:rsidR="00223207" w:rsidRPr="00652167" w:rsidRDefault="00223207" w:rsidP="00CF68A6">
            <w:pPr>
              <w:pStyle w:val="TableText0"/>
            </w:pPr>
            <w:r w:rsidRPr="00652167">
              <w:t xml:space="preserve">Program facilitators, site representatives </w:t>
            </w:r>
          </w:p>
        </w:tc>
        <w:tc>
          <w:tcPr>
            <w:tcW w:w="0" w:type="auto"/>
            <w:tcBorders>
              <w:top w:val="single" w:sz="4" w:space="0" w:color="auto"/>
              <w:left w:val="single" w:sz="4" w:space="0" w:color="auto"/>
              <w:bottom w:val="single" w:sz="4" w:space="0" w:color="auto"/>
              <w:right w:val="single" w:sz="4" w:space="0" w:color="auto"/>
            </w:tcBorders>
          </w:tcPr>
          <w:p w14:paraId="6FEB3B2C" w14:textId="77777777" w:rsidR="00223207" w:rsidRPr="00652167" w:rsidRDefault="00223207" w:rsidP="00CF68A6">
            <w:pPr>
              <w:pStyle w:val="TableText0"/>
            </w:pPr>
            <w:r w:rsidRPr="00652167">
              <w:t>Key informant interviews</w:t>
            </w:r>
          </w:p>
        </w:tc>
        <w:tc>
          <w:tcPr>
            <w:tcW w:w="0" w:type="auto"/>
            <w:tcBorders>
              <w:top w:val="single" w:sz="4" w:space="0" w:color="auto"/>
              <w:left w:val="single" w:sz="4" w:space="0" w:color="auto"/>
              <w:bottom w:val="single" w:sz="4" w:space="0" w:color="auto"/>
              <w:right w:val="single" w:sz="4" w:space="0" w:color="auto"/>
            </w:tcBorders>
          </w:tcPr>
          <w:p w14:paraId="2E4A0936" w14:textId="77777777" w:rsidR="00223207" w:rsidRPr="00652167" w:rsidRDefault="00A80389" w:rsidP="00CF68A6">
            <w:pPr>
              <w:pStyle w:val="TableText0"/>
              <w:tabs>
                <w:tab w:val="decimal" w:pos="691"/>
              </w:tabs>
            </w:pPr>
            <w:r w:rsidRPr="00652167">
              <w:rPr>
                <w:color w:val="000000"/>
              </w:rPr>
              <w:t>10</w:t>
            </w:r>
          </w:p>
        </w:tc>
        <w:tc>
          <w:tcPr>
            <w:tcW w:w="0" w:type="auto"/>
            <w:tcBorders>
              <w:top w:val="single" w:sz="4" w:space="0" w:color="auto"/>
              <w:left w:val="single" w:sz="4" w:space="0" w:color="auto"/>
              <w:bottom w:val="single" w:sz="4" w:space="0" w:color="auto"/>
              <w:right w:val="single" w:sz="4" w:space="0" w:color="auto"/>
            </w:tcBorders>
          </w:tcPr>
          <w:p w14:paraId="69502AC4" w14:textId="77777777" w:rsidR="00223207" w:rsidRPr="00652167" w:rsidRDefault="00223207" w:rsidP="00CF68A6">
            <w:pPr>
              <w:pStyle w:val="TableText0"/>
              <w:tabs>
                <w:tab w:val="decimal" w:pos="558"/>
              </w:tabs>
              <w:rPr>
                <w:color w:val="000000"/>
              </w:rPr>
            </w:pPr>
            <w:r w:rsidRPr="00652167">
              <w:t>$60.12</w:t>
            </w:r>
          </w:p>
        </w:tc>
        <w:tc>
          <w:tcPr>
            <w:tcW w:w="0" w:type="auto"/>
            <w:tcBorders>
              <w:top w:val="single" w:sz="4" w:space="0" w:color="auto"/>
              <w:left w:val="single" w:sz="4" w:space="0" w:color="auto"/>
              <w:bottom w:val="single" w:sz="4" w:space="0" w:color="auto"/>
              <w:right w:val="single" w:sz="4" w:space="0" w:color="auto"/>
            </w:tcBorders>
          </w:tcPr>
          <w:p w14:paraId="43858C5A" w14:textId="77777777" w:rsidR="00223207" w:rsidRPr="00652167" w:rsidRDefault="00223207" w:rsidP="00CF68A6">
            <w:pPr>
              <w:pStyle w:val="TableText0"/>
              <w:tabs>
                <w:tab w:val="decimal" w:pos="946"/>
              </w:tabs>
              <w:jc w:val="center"/>
            </w:pPr>
            <w:r w:rsidRPr="00652167">
              <w:t>$</w:t>
            </w:r>
            <w:r w:rsidR="00A80389" w:rsidRPr="00652167">
              <w:t>6</w:t>
            </w:r>
            <w:r w:rsidR="00734D02" w:rsidRPr="00652167">
              <w:t>01.20</w:t>
            </w:r>
          </w:p>
        </w:tc>
      </w:tr>
      <w:tr w:rsidR="00223207" w:rsidRPr="00652167" w14:paraId="1BCD03C0" w14:textId="77777777" w:rsidTr="00652167">
        <w:trPr>
          <w:trHeight w:val="50"/>
          <w:jc w:val="center"/>
        </w:trPr>
        <w:tc>
          <w:tcPr>
            <w:tcW w:w="0" w:type="auto"/>
            <w:tcBorders>
              <w:top w:val="single" w:sz="4" w:space="0" w:color="auto"/>
              <w:left w:val="single" w:sz="4" w:space="0" w:color="auto"/>
              <w:bottom w:val="single" w:sz="4" w:space="0" w:color="auto"/>
              <w:right w:val="single" w:sz="4" w:space="0" w:color="auto"/>
            </w:tcBorders>
          </w:tcPr>
          <w:p w14:paraId="6B37D440" w14:textId="77777777" w:rsidR="00223207" w:rsidRPr="00652167" w:rsidRDefault="00223207" w:rsidP="00CF68A6">
            <w:pPr>
              <w:pStyle w:val="TableText0"/>
            </w:pPr>
            <w:r w:rsidRPr="00652167">
              <w:t>Teachers</w:t>
            </w:r>
          </w:p>
        </w:tc>
        <w:tc>
          <w:tcPr>
            <w:tcW w:w="0" w:type="auto"/>
            <w:tcBorders>
              <w:top w:val="single" w:sz="4" w:space="0" w:color="auto"/>
              <w:left w:val="single" w:sz="4" w:space="0" w:color="auto"/>
              <w:bottom w:val="single" w:sz="4" w:space="0" w:color="auto"/>
              <w:right w:val="single" w:sz="4" w:space="0" w:color="auto"/>
            </w:tcBorders>
          </w:tcPr>
          <w:p w14:paraId="57D699A7" w14:textId="77777777" w:rsidR="00223207" w:rsidRPr="00652167" w:rsidRDefault="00223207" w:rsidP="00CF68A6">
            <w:pPr>
              <w:pStyle w:val="TableText0"/>
            </w:pPr>
            <w:r w:rsidRPr="00652167">
              <w:t>Attendance form</w:t>
            </w:r>
          </w:p>
        </w:tc>
        <w:tc>
          <w:tcPr>
            <w:tcW w:w="0" w:type="auto"/>
            <w:tcBorders>
              <w:top w:val="single" w:sz="4" w:space="0" w:color="auto"/>
              <w:left w:val="single" w:sz="4" w:space="0" w:color="auto"/>
              <w:bottom w:val="single" w:sz="4" w:space="0" w:color="auto"/>
              <w:right w:val="single" w:sz="4" w:space="0" w:color="auto"/>
            </w:tcBorders>
          </w:tcPr>
          <w:p w14:paraId="5ED185FD" w14:textId="77777777" w:rsidR="00223207" w:rsidRPr="00652167" w:rsidRDefault="009A7E0C" w:rsidP="00CF68A6">
            <w:pPr>
              <w:pStyle w:val="TableText0"/>
              <w:tabs>
                <w:tab w:val="decimal" w:pos="691"/>
              </w:tabs>
              <w:rPr>
                <w:color w:val="000000"/>
              </w:rPr>
            </w:pPr>
            <w:r w:rsidRPr="00652167">
              <w:rPr>
                <w:color w:val="000000"/>
              </w:rPr>
              <w:t>50</w:t>
            </w:r>
          </w:p>
        </w:tc>
        <w:tc>
          <w:tcPr>
            <w:tcW w:w="0" w:type="auto"/>
            <w:tcBorders>
              <w:top w:val="single" w:sz="4" w:space="0" w:color="auto"/>
              <w:left w:val="single" w:sz="4" w:space="0" w:color="auto"/>
              <w:bottom w:val="single" w:sz="4" w:space="0" w:color="auto"/>
              <w:right w:val="single" w:sz="4" w:space="0" w:color="auto"/>
            </w:tcBorders>
          </w:tcPr>
          <w:p w14:paraId="270E3173" w14:textId="77777777" w:rsidR="00223207" w:rsidRPr="00652167" w:rsidRDefault="00223207" w:rsidP="00CF68A6">
            <w:pPr>
              <w:pStyle w:val="TableText0"/>
              <w:tabs>
                <w:tab w:val="decimal" w:pos="558"/>
              </w:tabs>
            </w:pPr>
            <w:r w:rsidRPr="00652167">
              <w:t>$60.12</w:t>
            </w:r>
          </w:p>
        </w:tc>
        <w:tc>
          <w:tcPr>
            <w:tcW w:w="0" w:type="auto"/>
            <w:tcBorders>
              <w:top w:val="single" w:sz="4" w:space="0" w:color="auto"/>
              <w:left w:val="single" w:sz="4" w:space="0" w:color="auto"/>
              <w:bottom w:val="single" w:sz="4" w:space="0" w:color="auto"/>
              <w:right w:val="single" w:sz="4" w:space="0" w:color="auto"/>
            </w:tcBorders>
          </w:tcPr>
          <w:p w14:paraId="668BC9E3" w14:textId="77777777" w:rsidR="00223207" w:rsidRPr="00652167" w:rsidRDefault="00223207" w:rsidP="00CF68A6">
            <w:pPr>
              <w:pStyle w:val="TableText0"/>
              <w:tabs>
                <w:tab w:val="decimal" w:pos="946"/>
              </w:tabs>
              <w:jc w:val="center"/>
            </w:pPr>
            <w:r w:rsidRPr="00652167">
              <w:t>$</w:t>
            </w:r>
            <w:r w:rsidR="00734D02" w:rsidRPr="00652167">
              <w:t>3,006.00</w:t>
            </w:r>
          </w:p>
        </w:tc>
      </w:tr>
      <w:tr w:rsidR="00B20060" w:rsidRPr="00652167" w14:paraId="49239DBE" w14:textId="77777777" w:rsidTr="00652167">
        <w:trPr>
          <w:jc w:val="center"/>
        </w:trPr>
        <w:tc>
          <w:tcPr>
            <w:tcW w:w="0" w:type="auto"/>
            <w:tcBorders>
              <w:top w:val="single" w:sz="4" w:space="0" w:color="auto"/>
              <w:left w:val="single" w:sz="4" w:space="0" w:color="auto"/>
              <w:bottom w:val="single" w:sz="4" w:space="0" w:color="auto"/>
              <w:right w:val="single" w:sz="4" w:space="0" w:color="auto"/>
            </w:tcBorders>
          </w:tcPr>
          <w:p w14:paraId="2315A103" w14:textId="77777777" w:rsidR="00FF240F" w:rsidRPr="00652167" w:rsidRDefault="00FF240F" w:rsidP="00FF240F">
            <w:pPr>
              <w:pStyle w:val="TableText0"/>
              <w:rPr>
                <w:b/>
              </w:rPr>
            </w:pPr>
            <w:r w:rsidRPr="00652167">
              <w:rPr>
                <w:b/>
              </w:rPr>
              <w:t>Total cost</w:t>
            </w:r>
          </w:p>
        </w:tc>
        <w:tc>
          <w:tcPr>
            <w:tcW w:w="0" w:type="auto"/>
            <w:tcBorders>
              <w:top w:val="single" w:sz="4" w:space="0" w:color="auto"/>
              <w:left w:val="single" w:sz="4" w:space="0" w:color="auto"/>
              <w:bottom w:val="single" w:sz="4" w:space="0" w:color="auto"/>
              <w:right w:val="single" w:sz="4" w:space="0" w:color="auto"/>
            </w:tcBorders>
          </w:tcPr>
          <w:p w14:paraId="0FCEB5C7" w14:textId="77777777" w:rsidR="00FF240F" w:rsidRPr="00652167" w:rsidRDefault="00FF240F" w:rsidP="00FF240F">
            <w:pPr>
              <w:pStyle w:val="TableText0"/>
            </w:pPr>
          </w:p>
        </w:tc>
        <w:tc>
          <w:tcPr>
            <w:tcW w:w="0" w:type="auto"/>
            <w:tcBorders>
              <w:top w:val="single" w:sz="4" w:space="0" w:color="auto"/>
              <w:left w:val="single" w:sz="4" w:space="0" w:color="auto"/>
              <w:bottom w:val="single" w:sz="4" w:space="0" w:color="auto"/>
              <w:right w:val="single" w:sz="4" w:space="0" w:color="auto"/>
            </w:tcBorders>
          </w:tcPr>
          <w:p w14:paraId="082043ED" w14:textId="77777777" w:rsidR="00FF240F" w:rsidRPr="00652167" w:rsidRDefault="00FF240F" w:rsidP="00FF240F">
            <w:pPr>
              <w:pStyle w:val="TableText0"/>
              <w:tabs>
                <w:tab w:val="decimal" w:pos="609"/>
              </w:tabs>
              <w:rPr>
                <w:color w:val="000000"/>
              </w:rPr>
            </w:pPr>
          </w:p>
        </w:tc>
        <w:tc>
          <w:tcPr>
            <w:tcW w:w="0" w:type="auto"/>
            <w:tcBorders>
              <w:top w:val="single" w:sz="4" w:space="0" w:color="auto"/>
              <w:left w:val="single" w:sz="4" w:space="0" w:color="auto"/>
              <w:bottom w:val="single" w:sz="4" w:space="0" w:color="auto"/>
              <w:right w:val="single" w:sz="4" w:space="0" w:color="auto"/>
            </w:tcBorders>
          </w:tcPr>
          <w:p w14:paraId="58DA8A27" w14:textId="77777777" w:rsidR="00FF240F" w:rsidRPr="00652167" w:rsidRDefault="00FF240F" w:rsidP="00FF240F">
            <w:pPr>
              <w:pStyle w:val="TableText0"/>
            </w:pPr>
          </w:p>
        </w:tc>
        <w:tc>
          <w:tcPr>
            <w:tcW w:w="0" w:type="auto"/>
            <w:tcBorders>
              <w:top w:val="single" w:sz="4" w:space="0" w:color="auto"/>
              <w:left w:val="single" w:sz="4" w:space="0" w:color="auto"/>
              <w:bottom w:val="single" w:sz="4" w:space="0" w:color="auto"/>
              <w:right w:val="single" w:sz="4" w:space="0" w:color="auto"/>
            </w:tcBorders>
          </w:tcPr>
          <w:p w14:paraId="52F2D6B4" w14:textId="77777777" w:rsidR="00FF240F" w:rsidRPr="00652167" w:rsidRDefault="00FF240F" w:rsidP="003171D6">
            <w:pPr>
              <w:pStyle w:val="TableText0"/>
              <w:tabs>
                <w:tab w:val="decimal" w:pos="946"/>
              </w:tabs>
              <w:jc w:val="center"/>
              <w:rPr>
                <w:b/>
              </w:rPr>
            </w:pPr>
            <w:r w:rsidRPr="00652167">
              <w:rPr>
                <w:b/>
              </w:rPr>
              <w:t>$</w:t>
            </w:r>
            <w:r w:rsidR="00734D02" w:rsidRPr="00652167">
              <w:rPr>
                <w:b/>
              </w:rPr>
              <w:t>30,983.30</w:t>
            </w:r>
          </w:p>
        </w:tc>
      </w:tr>
      <w:bookmarkEnd w:id="97"/>
    </w:tbl>
    <w:p w14:paraId="76676081" w14:textId="77777777" w:rsidR="009E55FE" w:rsidRDefault="009E55FE" w:rsidP="009E55FE">
      <w:pPr>
        <w:pStyle w:val="OMBbodytext"/>
        <w:rPr>
          <w:color w:val="000000" w:themeColor="text1"/>
          <w:kern w:val="36"/>
          <w:sz w:val="22"/>
        </w:rPr>
      </w:pPr>
    </w:p>
    <w:p w14:paraId="76EE36F0" w14:textId="77777777" w:rsidR="009E55FE" w:rsidRPr="00652167" w:rsidRDefault="009E55FE" w:rsidP="009E55FE">
      <w:pPr>
        <w:pStyle w:val="OMBbodytext"/>
      </w:pPr>
      <w:r w:rsidRPr="00652167">
        <w:t>Respondents will include youth participants in each of the IOs’ SRA programs (9th- or 10th-grade students), their parent(s), and samples of the program facilitators and of representatives from participating sites (e.g., teachers, school principals, administrative staff)</w:t>
      </w:r>
      <w:r w:rsidRPr="00652167">
        <w:rPr>
          <w:iCs/>
          <w:szCs w:val="24"/>
        </w:rPr>
        <w:t>.</w:t>
      </w:r>
      <w:r w:rsidRPr="00652167" w:rsidDel="00423AF5">
        <w:t xml:space="preserve"> </w:t>
      </w:r>
      <w:r w:rsidRPr="00652167">
        <w:t xml:space="preserve">There will be no cost to participants other than their time. </w:t>
      </w:r>
    </w:p>
    <w:p w14:paraId="2BBE7B9E" w14:textId="2EC581AF" w:rsidR="009E55FE" w:rsidRPr="00652167" w:rsidRDefault="009E55FE" w:rsidP="009E55FE">
      <w:pPr>
        <w:pStyle w:val="OMBHeading-3"/>
        <w:spacing w:after="240"/>
        <w:ind w:left="360" w:firstLine="0"/>
        <w:rPr>
          <w:b w:val="0"/>
          <w:lang w:val="en-US"/>
        </w:rPr>
      </w:pPr>
      <w:r w:rsidRPr="00652167">
        <w:rPr>
          <w:lang w:val="en-US"/>
        </w:rPr>
        <w:t>Wage Estimates.</w:t>
      </w:r>
      <w:r w:rsidRPr="00652167">
        <w:rPr>
          <w:b w:val="0"/>
          <w:lang w:val="en-US"/>
        </w:rPr>
        <w:t xml:space="preserve"> To derive wage estimates, we used data from the U.S. Bureau of Labor Statistics’ (BLS) May 2017 National Occupational Employment and Wage Estimates. We have adjusted the school employee hourly wage estimates by a factor of 100 percent to reflect current HHS department-wide guidance on estimating the cost of fringe benefits and overhead (see </w:t>
      </w:r>
      <w:r w:rsidRPr="00652167">
        <w:rPr>
          <w:i/>
          <w:lang w:val="en-US"/>
        </w:rPr>
        <w:t>Exhibit 1</w:t>
      </w:r>
      <w:r w:rsidR="009B36DE">
        <w:rPr>
          <w:i/>
          <w:lang w:val="en-US"/>
        </w:rPr>
        <w:t>2</w:t>
      </w:r>
      <w:r w:rsidRPr="00652167">
        <w:rPr>
          <w:b w:val="0"/>
          <w:lang w:val="en-US"/>
        </w:rPr>
        <w:t xml:space="preserve">). For school employees, we use the adjusted hourly wages from one BLS occupation title, Education, Training, and Library Workers, All Other. </w:t>
      </w:r>
    </w:p>
    <w:p w14:paraId="45991B90" w14:textId="77777777" w:rsidR="009E55FE" w:rsidRPr="00652167" w:rsidRDefault="009E55FE" w:rsidP="009E55FE">
      <w:pPr>
        <w:pStyle w:val="OMBHeading-3"/>
        <w:spacing w:after="240"/>
        <w:ind w:left="360" w:firstLine="0"/>
        <w:rPr>
          <w:b w:val="0"/>
          <w:lang w:val="en-US"/>
        </w:rPr>
      </w:pPr>
      <w:r w:rsidRPr="00652167">
        <w:rPr>
          <w:b w:val="0"/>
          <w:lang w:val="en-US"/>
        </w:rPr>
        <w:t>In addition, to calculate parent time costs, we have used wage estimates for all occupations, using the same BLS data discussed above. To calculate youth time costs, we have used the federal minimum wage. We have not adjusted these costs for fringe benefits and overhead because direct wage costs represent the “opportunity cost” to parents and youth for time spent on form completion.</w:t>
      </w:r>
    </w:p>
    <w:p w14:paraId="1DC341E0" w14:textId="38E4BCE7" w:rsidR="009E55FE" w:rsidRPr="00652167" w:rsidRDefault="009E55FE" w:rsidP="009E55FE">
      <w:pPr>
        <w:pStyle w:val="OMBExhibitTitle"/>
        <w:keepLines w:val="0"/>
      </w:pPr>
      <w:bookmarkStart w:id="98" w:name="_Toc534379999"/>
      <w:bookmarkStart w:id="99" w:name="_Toc531630038"/>
      <w:r>
        <w:t xml:space="preserve"> </w:t>
      </w:r>
      <w:bookmarkStart w:id="100" w:name="_Toc11750120"/>
      <w:r w:rsidRPr="009B36DE">
        <w:t>Exhibit 1</w:t>
      </w:r>
      <w:r w:rsidR="009B36DE" w:rsidRPr="009B36DE">
        <w:t>2</w:t>
      </w:r>
      <w:r w:rsidRPr="009B36DE">
        <w:t>.</w:t>
      </w:r>
      <w:r w:rsidRPr="009B36DE">
        <w:tab/>
        <w:t>Adjusted Hourly Wages Used in Burden Estimates</w:t>
      </w:r>
      <w:bookmarkEnd w:id="98"/>
      <w:bookmarkEnd w:id="99"/>
      <w:bookmarkEnd w:id="100"/>
      <w:r>
        <w:t xml:space="preserve">  </w:t>
      </w:r>
    </w:p>
    <w:tbl>
      <w:tblPr>
        <w:tblW w:w="937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1732"/>
        <w:gridCol w:w="1733"/>
        <w:gridCol w:w="1732"/>
        <w:gridCol w:w="1733"/>
      </w:tblGrid>
      <w:tr w:rsidR="009E55FE" w:rsidRPr="00652167" w14:paraId="32BE7C6A" w14:textId="77777777" w:rsidTr="009E55FE">
        <w:trPr>
          <w:trHeight w:val="566"/>
          <w:tblHeader/>
        </w:trPr>
        <w:tc>
          <w:tcPr>
            <w:tcW w:w="2448" w:type="dxa"/>
            <w:shd w:val="clear" w:color="auto" w:fill="auto"/>
            <w:vAlign w:val="center"/>
          </w:tcPr>
          <w:p w14:paraId="5EB26A9B" w14:textId="77777777" w:rsidR="009E55FE" w:rsidRPr="00652167" w:rsidRDefault="009E55FE" w:rsidP="009E55FE">
            <w:pPr>
              <w:keepNext/>
              <w:keepLines/>
              <w:jc w:val="center"/>
              <w:rPr>
                <w:rFonts w:ascii="Arial" w:hAnsi="Arial" w:cs="Arial"/>
                <w:b/>
                <w:sz w:val="20"/>
                <w:szCs w:val="20"/>
              </w:rPr>
            </w:pPr>
            <w:r w:rsidRPr="00652167">
              <w:rPr>
                <w:rFonts w:ascii="Arial" w:hAnsi="Arial" w:cs="Arial"/>
                <w:b/>
                <w:sz w:val="20"/>
                <w:szCs w:val="20"/>
              </w:rPr>
              <w:t>Occupation Title</w:t>
            </w:r>
          </w:p>
        </w:tc>
        <w:tc>
          <w:tcPr>
            <w:tcW w:w="1732" w:type="dxa"/>
            <w:vAlign w:val="center"/>
          </w:tcPr>
          <w:p w14:paraId="7DB0A222" w14:textId="77777777" w:rsidR="009E55FE" w:rsidRPr="00652167" w:rsidRDefault="009E55FE" w:rsidP="009E55FE">
            <w:pPr>
              <w:keepNext/>
              <w:keepLines/>
              <w:jc w:val="center"/>
              <w:rPr>
                <w:rFonts w:ascii="Arial" w:hAnsi="Arial" w:cs="Arial"/>
                <w:b/>
                <w:sz w:val="20"/>
                <w:szCs w:val="20"/>
              </w:rPr>
            </w:pPr>
            <w:r w:rsidRPr="00652167">
              <w:rPr>
                <w:rFonts w:ascii="Arial" w:hAnsi="Arial" w:cs="Arial"/>
                <w:b/>
                <w:sz w:val="20"/>
                <w:szCs w:val="20"/>
              </w:rPr>
              <w:t>Occupational Code</w:t>
            </w:r>
          </w:p>
        </w:tc>
        <w:tc>
          <w:tcPr>
            <w:tcW w:w="1733" w:type="dxa"/>
            <w:shd w:val="clear" w:color="auto" w:fill="auto"/>
            <w:vAlign w:val="center"/>
          </w:tcPr>
          <w:p w14:paraId="7C48ECC8" w14:textId="77777777" w:rsidR="009E55FE" w:rsidRPr="00652167" w:rsidRDefault="009E55FE" w:rsidP="009E55FE">
            <w:pPr>
              <w:keepNext/>
              <w:keepLines/>
              <w:jc w:val="center"/>
              <w:rPr>
                <w:rFonts w:ascii="Arial" w:hAnsi="Arial" w:cs="Arial"/>
                <w:b/>
                <w:sz w:val="20"/>
                <w:szCs w:val="20"/>
              </w:rPr>
            </w:pPr>
            <w:r w:rsidRPr="00652167">
              <w:rPr>
                <w:rFonts w:ascii="Arial" w:hAnsi="Arial" w:cs="Arial"/>
                <w:b/>
                <w:sz w:val="20"/>
                <w:szCs w:val="20"/>
              </w:rPr>
              <w:t>Mean Hourly Wage ($/hr.)</w:t>
            </w:r>
          </w:p>
        </w:tc>
        <w:tc>
          <w:tcPr>
            <w:tcW w:w="1732" w:type="dxa"/>
            <w:shd w:val="clear" w:color="auto" w:fill="auto"/>
          </w:tcPr>
          <w:p w14:paraId="14B0AD5E" w14:textId="77777777" w:rsidR="009E55FE" w:rsidRPr="00652167" w:rsidRDefault="009E55FE" w:rsidP="009E55FE">
            <w:pPr>
              <w:keepNext/>
              <w:keepLines/>
              <w:jc w:val="center"/>
              <w:rPr>
                <w:rFonts w:ascii="Arial" w:hAnsi="Arial" w:cs="Arial"/>
                <w:b/>
                <w:sz w:val="20"/>
                <w:szCs w:val="20"/>
              </w:rPr>
            </w:pPr>
            <w:r w:rsidRPr="00652167">
              <w:rPr>
                <w:rFonts w:ascii="Arial" w:hAnsi="Arial" w:cs="Arial"/>
                <w:b/>
                <w:sz w:val="20"/>
                <w:szCs w:val="20"/>
              </w:rPr>
              <w:t>Fringe Benefits and Overhead ($/hr.)</w:t>
            </w:r>
          </w:p>
        </w:tc>
        <w:tc>
          <w:tcPr>
            <w:tcW w:w="1733" w:type="dxa"/>
            <w:shd w:val="clear" w:color="auto" w:fill="auto"/>
          </w:tcPr>
          <w:p w14:paraId="58F7BA9A" w14:textId="77777777" w:rsidR="009E55FE" w:rsidRPr="00652167" w:rsidRDefault="009E55FE" w:rsidP="009E55FE">
            <w:pPr>
              <w:keepNext/>
              <w:keepLines/>
              <w:jc w:val="center"/>
              <w:rPr>
                <w:rFonts w:ascii="Arial" w:hAnsi="Arial" w:cs="Arial"/>
                <w:b/>
                <w:sz w:val="20"/>
                <w:szCs w:val="20"/>
              </w:rPr>
            </w:pPr>
            <w:r w:rsidRPr="00652167">
              <w:rPr>
                <w:rFonts w:ascii="Arial" w:hAnsi="Arial" w:cs="Arial"/>
                <w:b/>
                <w:sz w:val="20"/>
                <w:szCs w:val="20"/>
              </w:rPr>
              <w:t>Adjusted Hourly Wage ($/hr.)</w:t>
            </w:r>
          </w:p>
        </w:tc>
      </w:tr>
      <w:tr w:rsidR="009E55FE" w:rsidRPr="00652167" w14:paraId="55080BEC" w14:textId="77777777" w:rsidTr="009E55FE">
        <w:tc>
          <w:tcPr>
            <w:tcW w:w="2448" w:type="dxa"/>
            <w:shd w:val="clear" w:color="auto" w:fill="auto"/>
          </w:tcPr>
          <w:p w14:paraId="50B7B983" w14:textId="77777777" w:rsidR="009E55FE" w:rsidRPr="00652167" w:rsidRDefault="009E55FE" w:rsidP="009E55FE">
            <w:pPr>
              <w:keepNext/>
              <w:keepLines/>
              <w:rPr>
                <w:rFonts w:ascii="Arial" w:hAnsi="Arial" w:cs="Arial"/>
                <w:sz w:val="20"/>
                <w:szCs w:val="20"/>
              </w:rPr>
            </w:pPr>
            <w:r w:rsidRPr="00652167">
              <w:rPr>
                <w:rFonts w:ascii="Arial" w:hAnsi="Arial" w:cs="Arial"/>
                <w:sz w:val="20"/>
                <w:szCs w:val="20"/>
              </w:rPr>
              <w:t>Education, Training, and Library Workers, All Other</w:t>
            </w:r>
          </w:p>
        </w:tc>
        <w:tc>
          <w:tcPr>
            <w:tcW w:w="1732" w:type="dxa"/>
            <w:vAlign w:val="center"/>
          </w:tcPr>
          <w:p w14:paraId="3354A99D" w14:textId="77777777" w:rsidR="009E55FE" w:rsidRPr="00652167" w:rsidRDefault="009E55FE" w:rsidP="009E55FE">
            <w:pPr>
              <w:keepNext/>
              <w:keepLines/>
              <w:rPr>
                <w:rFonts w:ascii="Arial" w:hAnsi="Arial" w:cs="Arial"/>
                <w:sz w:val="20"/>
                <w:szCs w:val="20"/>
              </w:rPr>
            </w:pPr>
            <w:r w:rsidRPr="00652167">
              <w:rPr>
                <w:rFonts w:ascii="Arial" w:hAnsi="Arial" w:cs="Arial"/>
                <w:sz w:val="20"/>
                <w:szCs w:val="20"/>
              </w:rPr>
              <w:t>25-9099</w:t>
            </w:r>
          </w:p>
        </w:tc>
        <w:tc>
          <w:tcPr>
            <w:tcW w:w="1733" w:type="dxa"/>
            <w:shd w:val="clear" w:color="auto" w:fill="auto"/>
            <w:vAlign w:val="center"/>
          </w:tcPr>
          <w:p w14:paraId="51FBA967" w14:textId="77777777" w:rsidR="009E55FE" w:rsidRPr="00652167" w:rsidRDefault="009E55FE" w:rsidP="009E55FE">
            <w:pPr>
              <w:keepNext/>
              <w:keepLines/>
              <w:rPr>
                <w:rFonts w:ascii="Arial" w:hAnsi="Arial" w:cs="Arial"/>
                <w:sz w:val="20"/>
                <w:szCs w:val="20"/>
              </w:rPr>
            </w:pPr>
            <w:r w:rsidRPr="00652167">
              <w:rPr>
                <w:rFonts w:ascii="Arial" w:hAnsi="Arial" w:cs="Arial"/>
                <w:sz w:val="20"/>
                <w:szCs w:val="20"/>
              </w:rPr>
              <w:t>$22.69</w:t>
            </w:r>
          </w:p>
        </w:tc>
        <w:tc>
          <w:tcPr>
            <w:tcW w:w="1732" w:type="dxa"/>
            <w:shd w:val="clear" w:color="auto" w:fill="auto"/>
            <w:vAlign w:val="center"/>
          </w:tcPr>
          <w:p w14:paraId="3E9EA531" w14:textId="77777777" w:rsidR="009E55FE" w:rsidRPr="00652167" w:rsidRDefault="009E55FE" w:rsidP="009E55FE">
            <w:pPr>
              <w:keepNext/>
              <w:keepLines/>
              <w:rPr>
                <w:rFonts w:ascii="Arial" w:hAnsi="Arial" w:cs="Arial"/>
                <w:sz w:val="20"/>
                <w:szCs w:val="20"/>
              </w:rPr>
            </w:pPr>
            <w:r w:rsidRPr="00652167">
              <w:rPr>
                <w:rFonts w:ascii="Arial" w:hAnsi="Arial" w:cs="Arial"/>
                <w:sz w:val="20"/>
                <w:szCs w:val="20"/>
              </w:rPr>
              <w:t>$22.69</w:t>
            </w:r>
          </w:p>
        </w:tc>
        <w:tc>
          <w:tcPr>
            <w:tcW w:w="1733" w:type="dxa"/>
            <w:shd w:val="clear" w:color="auto" w:fill="auto"/>
            <w:vAlign w:val="center"/>
          </w:tcPr>
          <w:p w14:paraId="67341B4B" w14:textId="77777777" w:rsidR="009E55FE" w:rsidRPr="00652167" w:rsidRDefault="009E55FE" w:rsidP="009E55FE">
            <w:pPr>
              <w:keepNext/>
              <w:keepLines/>
              <w:rPr>
                <w:rFonts w:ascii="Arial" w:hAnsi="Arial" w:cs="Arial"/>
                <w:sz w:val="20"/>
                <w:szCs w:val="20"/>
              </w:rPr>
            </w:pPr>
            <w:r w:rsidRPr="00652167">
              <w:rPr>
                <w:rFonts w:ascii="Arial" w:hAnsi="Arial" w:cs="Arial"/>
                <w:sz w:val="20"/>
                <w:szCs w:val="20"/>
              </w:rPr>
              <w:t>$45.38</w:t>
            </w:r>
          </w:p>
        </w:tc>
      </w:tr>
      <w:tr w:rsidR="009E55FE" w:rsidRPr="00652167" w14:paraId="41E76E65" w14:textId="77777777" w:rsidTr="009E55FE">
        <w:tc>
          <w:tcPr>
            <w:tcW w:w="2448" w:type="dxa"/>
            <w:shd w:val="clear" w:color="auto" w:fill="auto"/>
          </w:tcPr>
          <w:p w14:paraId="30BE4A5B" w14:textId="77777777" w:rsidR="009E55FE" w:rsidRPr="00652167" w:rsidRDefault="009E55FE" w:rsidP="009E55FE">
            <w:pPr>
              <w:keepNext/>
              <w:keepLines/>
              <w:rPr>
                <w:rFonts w:ascii="Arial" w:hAnsi="Arial" w:cs="Arial"/>
                <w:sz w:val="20"/>
                <w:szCs w:val="20"/>
              </w:rPr>
            </w:pPr>
            <w:r w:rsidRPr="00652167">
              <w:rPr>
                <w:rFonts w:ascii="Arial" w:hAnsi="Arial" w:cs="Arial"/>
                <w:sz w:val="20"/>
                <w:szCs w:val="20"/>
              </w:rPr>
              <w:t>Secondary School Teachers</w:t>
            </w:r>
          </w:p>
        </w:tc>
        <w:tc>
          <w:tcPr>
            <w:tcW w:w="1732" w:type="dxa"/>
            <w:vAlign w:val="center"/>
          </w:tcPr>
          <w:p w14:paraId="0F3754EF" w14:textId="77777777" w:rsidR="009E55FE" w:rsidRPr="00652167" w:rsidRDefault="009E55FE" w:rsidP="009E55FE">
            <w:pPr>
              <w:keepNext/>
              <w:keepLines/>
              <w:rPr>
                <w:rFonts w:ascii="Arial" w:hAnsi="Arial" w:cs="Arial"/>
                <w:sz w:val="20"/>
                <w:szCs w:val="20"/>
              </w:rPr>
            </w:pPr>
            <w:r w:rsidRPr="00652167">
              <w:rPr>
                <w:rFonts w:ascii="Arial" w:hAnsi="Arial" w:cs="Arial"/>
                <w:color w:val="000000"/>
                <w:sz w:val="20"/>
                <w:szCs w:val="20"/>
              </w:rPr>
              <w:t>25-2030</w:t>
            </w:r>
          </w:p>
        </w:tc>
        <w:tc>
          <w:tcPr>
            <w:tcW w:w="1733" w:type="dxa"/>
            <w:shd w:val="clear" w:color="auto" w:fill="auto"/>
            <w:vAlign w:val="center"/>
          </w:tcPr>
          <w:p w14:paraId="58C2206D" w14:textId="77777777" w:rsidR="009E55FE" w:rsidRPr="00652167" w:rsidRDefault="009E55FE" w:rsidP="009E55FE">
            <w:pPr>
              <w:keepNext/>
              <w:keepLines/>
              <w:rPr>
                <w:rFonts w:ascii="Arial" w:hAnsi="Arial" w:cs="Arial"/>
                <w:sz w:val="20"/>
                <w:szCs w:val="20"/>
              </w:rPr>
            </w:pPr>
            <w:r w:rsidRPr="00652167">
              <w:rPr>
                <w:rFonts w:ascii="Arial" w:hAnsi="Arial" w:cs="Arial"/>
                <w:sz w:val="20"/>
                <w:szCs w:val="20"/>
              </w:rPr>
              <w:t>$30.06*</w:t>
            </w:r>
          </w:p>
        </w:tc>
        <w:tc>
          <w:tcPr>
            <w:tcW w:w="1732" w:type="dxa"/>
            <w:shd w:val="clear" w:color="auto" w:fill="auto"/>
            <w:vAlign w:val="center"/>
          </w:tcPr>
          <w:p w14:paraId="2A62DA01" w14:textId="77777777" w:rsidR="009E55FE" w:rsidRPr="00652167" w:rsidRDefault="009E55FE" w:rsidP="009E55FE">
            <w:pPr>
              <w:keepNext/>
              <w:keepLines/>
              <w:rPr>
                <w:rFonts w:ascii="Arial" w:hAnsi="Arial" w:cs="Arial"/>
                <w:sz w:val="20"/>
                <w:szCs w:val="20"/>
              </w:rPr>
            </w:pPr>
            <w:r w:rsidRPr="00652167">
              <w:rPr>
                <w:rFonts w:ascii="Arial" w:hAnsi="Arial" w:cs="Arial"/>
                <w:sz w:val="20"/>
                <w:szCs w:val="20"/>
              </w:rPr>
              <w:t>$30.06</w:t>
            </w:r>
          </w:p>
        </w:tc>
        <w:tc>
          <w:tcPr>
            <w:tcW w:w="1733" w:type="dxa"/>
            <w:shd w:val="clear" w:color="auto" w:fill="auto"/>
            <w:vAlign w:val="center"/>
          </w:tcPr>
          <w:p w14:paraId="2D521B20" w14:textId="77777777" w:rsidR="009E55FE" w:rsidRPr="00652167" w:rsidRDefault="009E55FE" w:rsidP="009E55FE">
            <w:pPr>
              <w:keepNext/>
              <w:keepLines/>
              <w:rPr>
                <w:rFonts w:ascii="Arial" w:hAnsi="Arial" w:cs="Arial"/>
                <w:sz w:val="20"/>
                <w:szCs w:val="20"/>
              </w:rPr>
            </w:pPr>
            <w:r w:rsidRPr="00652167">
              <w:rPr>
                <w:rFonts w:ascii="Arial" w:hAnsi="Arial" w:cs="Arial"/>
                <w:sz w:val="20"/>
                <w:szCs w:val="20"/>
              </w:rPr>
              <w:t>$60.12</w:t>
            </w:r>
          </w:p>
        </w:tc>
      </w:tr>
      <w:tr w:rsidR="009E55FE" w:rsidRPr="00652167" w14:paraId="0E560B1A" w14:textId="77777777" w:rsidTr="009E55FE">
        <w:tc>
          <w:tcPr>
            <w:tcW w:w="2448" w:type="dxa"/>
            <w:tcBorders>
              <w:top w:val="single" w:sz="4" w:space="0" w:color="auto"/>
              <w:left w:val="single" w:sz="4" w:space="0" w:color="auto"/>
              <w:bottom w:val="single" w:sz="4" w:space="0" w:color="auto"/>
              <w:right w:val="single" w:sz="4" w:space="0" w:color="auto"/>
            </w:tcBorders>
            <w:shd w:val="clear" w:color="auto" w:fill="auto"/>
          </w:tcPr>
          <w:p w14:paraId="6682F560" w14:textId="77777777" w:rsidR="009E55FE" w:rsidRPr="00652167" w:rsidRDefault="009E55FE" w:rsidP="009E55FE">
            <w:pPr>
              <w:keepNext/>
              <w:keepLines/>
              <w:rPr>
                <w:rFonts w:ascii="Arial" w:hAnsi="Arial" w:cs="Arial"/>
                <w:sz w:val="20"/>
                <w:szCs w:val="20"/>
              </w:rPr>
            </w:pPr>
            <w:r w:rsidRPr="00652167">
              <w:rPr>
                <w:rFonts w:ascii="Arial" w:hAnsi="Arial" w:cs="Arial"/>
                <w:sz w:val="20"/>
                <w:szCs w:val="20"/>
              </w:rPr>
              <w:t>All Occupations</w:t>
            </w:r>
          </w:p>
        </w:tc>
        <w:tc>
          <w:tcPr>
            <w:tcW w:w="1732" w:type="dxa"/>
            <w:tcBorders>
              <w:top w:val="single" w:sz="4" w:space="0" w:color="auto"/>
              <w:left w:val="single" w:sz="4" w:space="0" w:color="auto"/>
              <w:bottom w:val="single" w:sz="4" w:space="0" w:color="auto"/>
              <w:right w:val="single" w:sz="4" w:space="0" w:color="auto"/>
            </w:tcBorders>
            <w:vAlign w:val="center"/>
          </w:tcPr>
          <w:p w14:paraId="490C582A" w14:textId="77777777" w:rsidR="009E55FE" w:rsidRPr="00652167" w:rsidRDefault="009E55FE" w:rsidP="009E55FE">
            <w:pPr>
              <w:keepNext/>
              <w:keepLines/>
              <w:rPr>
                <w:rFonts w:ascii="Arial" w:hAnsi="Arial" w:cs="Arial"/>
                <w:color w:val="000000"/>
                <w:sz w:val="20"/>
                <w:szCs w:val="20"/>
              </w:rPr>
            </w:pPr>
            <w:r w:rsidRPr="00652167">
              <w:rPr>
                <w:rFonts w:ascii="Arial" w:hAnsi="Arial" w:cs="Arial"/>
                <w:color w:val="000000"/>
                <w:sz w:val="20"/>
                <w:szCs w:val="20"/>
              </w:rPr>
              <w:t>00-0000</w:t>
            </w:r>
          </w:p>
        </w:tc>
        <w:tc>
          <w:tcPr>
            <w:tcW w:w="1733" w:type="dxa"/>
            <w:tcBorders>
              <w:top w:val="single" w:sz="4" w:space="0" w:color="auto"/>
              <w:left w:val="single" w:sz="4" w:space="0" w:color="auto"/>
              <w:bottom w:val="single" w:sz="4" w:space="0" w:color="auto"/>
              <w:right w:val="single" w:sz="4" w:space="0" w:color="auto"/>
            </w:tcBorders>
            <w:shd w:val="clear" w:color="auto" w:fill="auto"/>
            <w:vAlign w:val="center"/>
          </w:tcPr>
          <w:p w14:paraId="799F197F" w14:textId="77777777" w:rsidR="009E55FE" w:rsidRPr="00652167" w:rsidRDefault="009E55FE" w:rsidP="009E55FE">
            <w:pPr>
              <w:keepNext/>
              <w:keepLines/>
              <w:rPr>
                <w:rFonts w:ascii="Arial" w:hAnsi="Arial" w:cs="Arial"/>
                <w:sz w:val="20"/>
                <w:szCs w:val="20"/>
              </w:rPr>
            </w:pPr>
            <w:r w:rsidRPr="00652167">
              <w:rPr>
                <w:rFonts w:ascii="Arial" w:hAnsi="Arial" w:cs="Arial"/>
                <w:sz w:val="20"/>
                <w:szCs w:val="20"/>
              </w:rPr>
              <w:t xml:space="preserve">$24.34 </w:t>
            </w: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tcPr>
          <w:p w14:paraId="67A21FF6" w14:textId="77777777" w:rsidR="009E55FE" w:rsidRPr="00652167" w:rsidRDefault="009E55FE" w:rsidP="009E55FE">
            <w:pPr>
              <w:keepNext/>
              <w:keepLines/>
              <w:rPr>
                <w:rFonts w:ascii="Arial" w:hAnsi="Arial" w:cs="Arial"/>
                <w:sz w:val="20"/>
                <w:szCs w:val="20"/>
              </w:rPr>
            </w:pPr>
            <w:r w:rsidRPr="00652167">
              <w:rPr>
                <w:rFonts w:ascii="Arial" w:hAnsi="Arial" w:cs="Arial"/>
                <w:sz w:val="20"/>
                <w:szCs w:val="20"/>
              </w:rPr>
              <w:t xml:space="preserve">N/A </w:t>
            </w:r>
          </w:p>
        </w:tc>
        <w:tc>
          <w:tcPr>
            <w:tcW w:w="1733" w:type="dxa"/>
            <w:tcBorders>
              <w:top w:val="single" w:sz="4" w:space="0" w:color="auto"/>
              <w:left w:val="single" w:sz="4" w:space="0" w:color="auto"/>
              <w:bottom w:val="single" w:sz="4" w:space="0" w:color="auto"/>
              <w:right w:val="single" w:sz="4" w:space="0" w:color="auto"/>
            </w:tcBorders>
            <w:shd w:val="clear" w:color="auto" w:fill="auto"/>
            <w:vAlign w:val="center"/>
          </w:tcPr>
          <w:p w14:paraId="51B0FFE6" w14:textId="77777777" w:rsidR="009E55FE" w:rsidRPr="00652167" w:rsidRDefault="009E55FE" w:rsidP="009E55FE">
            <w:pPr>
              <w:keepNext/>
              <w:keepLines/>
              <w:rPr>
                <w:rFonts w:ascii="Arial" w:hAnsi="Arial" w:cs="Arial"/>
                <w:sz w:val="20"/>
                <w:szCs w:val="20"/>
              </w:rPr>
            </w:pPr>
            <w:r w:rsidRPr="00652167">
              <w:rPr>
                <w:rFonts w:ascii="Arial" w:hAnsi="Arial" w:cs="Arial"/>
                <w:sz w:val="20"/>
                <w:szCs w:val="20"/>
              </w:rPr>
              <w:t xml:space="preserve"> $24.34</w:t>
            </w:r>
          </w:p>
        </w:tc>
      </w:tr>
      <w:tr w:rsidR="009E55FE" w:rsidRPr="00652167" w14:paraId="0AD264FD" w14:textId="77777777" w:rsidTr="009E55FE">
        <w:tc>
          <w:tcPr>
            <w:tcW w:w="2448" w:type="dxa"/>
            <w:tcBorders>
              <w:top w:val="single" w:sz="4" w:space="0" w:color="auto"/>
              <w:left w:val="single" w:sz="4" w:space="0" w:color="auto"/>
              <w:bottom w:val="single" w:sz="4" w:space="0" w:color="auto"/>
              <w:right w:val="single" w:sz="4" w:space="0" w:color="auto"/>
            </w:tcBorders>
            <w:shd w:val="clear" w:color="auto" w:fill="auto"/>
            <w:vAlign w:val="center"/>
          </w:tcPr>
          <w:p w14:paraId="15F4912E" w14:textId="77777777" w:rsidR="009E55FE" w:rsidRPr="00652167" w:rsidRDefault="009E55FE" w:rsidP="009E55FE">
            <w:pPr>
              <w:keepNext/>
              <w:keepLines/>
              <w:rPr>
                <w:rFonts w:ascii="Arial" w:hAnsi="Arial" w:cs="Arial"/>
                <w:sz w:val="20"/>
                <w:szCs w:val="20"/>
              </w:rPr>
            </w:pPr>
            <w:r w:rsidRPr="00652167">
              <w:rPr>
                <w:rFonts w:ascii="Arial" w:hAnsi="Arial" w:cs="Arial"/>
                <w:color w:val="000000"/>
                <w:sz w:val="20"/>
                <w:szCs w:val="20"/>
              </w:rPr>
              <w:t>Not applicable (youth wage)</w:t>
            </w:r>
          </w:p>
        </w:tc>
        <w:tc>
          <w:tcPr>
            <w:tcW w:w="1732" w:type="dxa"/>
            <w:tcBorders>
              <w:top w:val="single" w:sz="4" w:space="0" w:color="auto"/>
              <w:left w:val="single" w:sz="4" w:space="0" w:color="auto"/>
              <w:bottom w:val="single" w:sz="4" w:space="0" w:color="auto"/>
              <w:right w:val="single" w:sz="4" w:space="0" w:color="auto"/>
            </w:tcBorders>
            <w:vAlign w:val="center"/>
          </w:tcPr>
          <w:p w14:paraId="6272560B" w14:textId="77777777" w:rsidR="009E55FE" w:rsidRPr="00652167" w:rsidRDefault="009E55FE" w:rsidP="009E55FE">
            <w:pPr>
              <w:keepNext/>
              <w:keepLines/>
              <w:rPr>
                <w:rFonts w:ascii="Arial" w:hAnsi="Arial" w:cs="Arial"/>
                <w:color w:val="000000"/>
                <w:sz w:val="20"/>
                <w:szCs w:val="20"/>
              </w:rPr>
            </w:pPr>
            <w:r w:rsidRPr="00652167">
              <w:rPr>
                <w:rFonts w:ascii="Arial" w:hAnsi="Arial" w:cs="Arial"/>
                <w:color w:val="000000"/>
                <w:sz w:val="20"/>
                <w:szCs w:val="20"/>
              </w:rPr>
              <w:t>N/A</w:t>
            </w:r>
          </w:p>
        </w:tc>
        <w:tc>
          <w:tcPr>
            <w:tcW w:w="1733" w:type="dxa"/>
            <w:tcBorders>
              <w:top w:val="single" w:sz="4" w:space="0" w:color="auto"/>
              <w:left w:val="single" w:sz="4" w:space="0" w:color="auto"/>
              <w:bottom w:val="single" w:sz="4" w:space="0" w:color="auto"/>
              <w:right w:val="single" w:sz="4" w:space="0" w:color="auto"/>
            </w:tcBorders>
            <w:shd w:val="clear" w:color="auto" w:fill="auto"/>
            <w:vAlign w:val="center"/>
          </w:tcPr>
          <w:p w14:paraId="575BD703" w14:textId="77777777" w:rsidR="009E55FE" w:rsidRPr="00652167" w:rsidRDefault="009E55FE" w:rsidP="009E55FE">
            <w:pPr>
              <w:keepNext/>
              <w:keepLines/>
              <w:rPr>
                <w:rFonts w:ascii="Arial" w:hAnsi="Arial" w:cs="Arial"/>
                <w:sz w:val="20"/>
                <w:szCs w:val="20"/>
              </w:rPr>
            </w:pPr>
            <w:r w:rsidRPr="00652167">
              <w:rPr>
                <w:rFonts w:ascii="Arial" w:hAnsi="Arial" w:cs="Arial"/>
                <w:sz w:val="20"/>
                <w:szCs w:val="20"/>
              </w:rPr>
              <w:t>$7.25 (federal minimum wage)</w:t>
            </w: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tcPr>
          <w:p w14:paraId="795460F5" w14:textId="77777777" w:rsidR="009E55FE" w:rsidRPr="00652167" w:rsidRDefault="009E55FE" w:rsidP="009E55FE">
            <w:pPr>
              <w:keepNext/>
              <w:keepLines/>
              <w:rPr>
                <w:rFonts w:ascii="Arial" w:hAnsi="Arial" w:cs="Arial"/>
                <w:sz w:val="20"/>
                <w:szCs w:val="20"/>
              </w:rPr>
            </w:pPr>
            <w:r w:rsidRPr="00652167">
              <w:rPr>
                <w:rFonts w:ascii="Arial" w:hAnsi="Arial" w:cs="Arial"/>
                <w:sz w:val="20"/>
                <w:szCs w:val="20"/>
              </w:rPr>
              <w:t>N/A</w:t>
            </w:r>
          </w:p>
        </w:tc>
        <w:tc>
          <w:tcPr>
            <w:tcW w:w="1733" w:type="dxa"/>
            <w:tcBorders>
              <w:top w:val="single" w:sz="4" w:space="0" w:color="auto"/>
              <w:left w:val="single" w:sz="4" w:space="0" w:color="auto"/>
              <w:bottom w:val="single" w:sz="4" w:space="0" w:color="auto"/>
              <w:right w:val="single" w:sz="4" w:space="0" w:color="auto"/>
            </w:tcBorders>
            <w:shd w:val="clear" w:color="auto" w:fill="auto"/>
            <w:vAlign w:val="center"/>
          </w:tcPr>
          <w:p w14:paraId="35189329" w14:textId="77777777" w:rsidR="009E55FE" w:rsidRPr="00652167" w:rsidRDefault="009E55FE" w:rsidP="009E55FE">
            <w:pPr>
              <w:keepNext/>
              <w:keepLines/>
              <w:rPr>
                <w:rFonts w:ascii="Arial" w:hAnsi="Arial" w:cs="Arial"/>
                <w:sz w:val="20"/>
                <w:szCs w:val="20"/>
              </w:rPr>
            </w:pPr>
            <w:r w:rsidRPr="00652167">
              <w:rPr>
                <w:rFonts w:ascii="Arial" w:hAnsi="Arial" w:cs="Arial"/>
                <w:sz w:val="20"/>
                <w:szCs w:val="20"/>
              </w:rPr>
              <w:t>$7.25</w:t>
            </w:r>
          </w:p>
        </w:tc>
      </w:tr>
    </w:tbl>
    <w:p w14:paraId="4478F043" w14:textId="77777777" w:rsidR="009E55FE" w:rsidRPr="00652167" w:rsidRDefault="009E55FE" w:rsidP="009E55FE">
      <w:pPr>
        <w:pStyle w:val="exhibitsource"/>
        <w:keepNext/>
        <w:keepLines/>
        <w:spacing w:before="0" w:after="60"/>
        <w:rPr>
          <w:color w:val="000000" w:themeColor="text1"/>
          <w:sz w:val="22"/>
        </w:rPr>
      </w:pPr>
      <w:r w:rsidRPr="00652167">
        <w:rPr>
          <w:color w:val="000000" w:themeColor="text1"/>
          <w:sz w:val="22"/>
        </w:rPr>
        <w:t xml:space="preserve">Source: “Occupational Employment and Wage Estimates May 2017,” U.S. Department of Labor, Bureau of Labor Statistics. </w:t>
      </w:r>
      <w:hyperlink r:id="rId21" w:history="1">
        <w:r w:rsidRPr="00652167">
          <w:rPr>
            <w:color w:val="000000" w:themeColor="text1"/>
            <w:sz w:val="22"/>
          </w:rPr>
          <w:t>http://www.bls.gov/oes/current/oes_nat.htm</w:t>
        </w:r>
      </w:hyperlink>
    </w:p>
    <w:p w14:paraId="6EA61693" w14:textId="77777777" w:rsidR="009E55FE" w:rsidRPr="00652167" w:rsidRDefault="009E55FE" w:rsidP="009E55FE">
      <w:pPr>
        <w:pStyle w:val="exhibitsource"/>
        <w:keepLines/>
        <w:spacing w:before="0"/>
        <w:rPr>
          <w:color w:val="000000" w:themeColor="text1"/>
          <w:sz w:val="22"/>
        </w:rPr>
      </w:pPr>
      <w:r w:rsidRPr="00652167">
        <w:rPr>
          <w:color w:val="000000" w:themeColor="text1"/>
          <w:sz w:val="22"/>
        </w:rPr>
        <w:t>*</w:t>
      </w:r>
      <w:r w:rsidRPr="00652167">
        <w:rPr>
          <w:color w:val="333333"/>
          <w:sz w:val="22"/>
        </w:rPr>
        <w:t xml:space="preserve"> Wages for some occupations that do not generally work year-round, full time, are reported either as hourly wages or annual salaries depending on how they are typically paid. Annual mean wage for Secondary School Teachers is $62,730. Utilizing the Office of Personnel Management’s 2,087</w:t>
      </w:r>
      <w:r w:rsidRPr="00652167">
        <w:rPr>
          <w:color w:val="000000" w:themeColor="text1"/>
          <w:sz w:val="22"/>
        </w:rPr>
        <w:t xml:space="preserve"> annual standard work hours, mean hourly wage for </w:t>
      </w:r>
      <w:r w:rsidRPr="00652167">
        <w:rPr>
          <w:color w:val="333333"/>
          <w:sz w:val="22"/>
        </w:rPr>
        <w:t xml:space="preserve">Secondary School Teachers </w:t>
      </w:r>
      <w:r w:rsidRPr="00652167">
        <w:rPr>
          <w:color w:val="000000" w:themeColor="text1"/>
          <w:sz w:val="22"/>
        </w:rPr>
        <w:t xml:space="preserve">was calculated to be $30.06.  </w:t>
      </w:r>
    </w:p>
    <w:p w14:paraId="74BCF63E" w14:textId="77777777" w:rsidR="00000A36" w:rsidRPr="00652167" w:rsidRDefault="00000A36" w:rsidP="00000A36">
      <w:pPr>
        <w:pStyle w:val="exhibitsource"/>
        <w:rPr>
          <w:color w:val="000000" w:themeColor="text1"/>
          <w:sz w:val="22"/>
        </w:rPr>
      </w:pPr>
    </w:p>
    <w:p w14:paraId="103F97A5" w14:textId="77777777" w:rsidR="007A15F0" w:rsidRPr="00652167" w:rsidRDefault="301858A8" w:rsidP="301858A8">
      <w:pPr>
        <w:pStyle w:val="OMBHeading-2"/>
        <w:outlineLvl w:val="1"/>
        <w:rPr>
          <w:u w:val="single"/>
        </w:rPr>
      </w:pPr>
      <w:bookmarkStart w:id="101" w:name="_Toc239751744"/>
      <w:bookmarkStart w:id="102" w:name="_Toc521515013"/>
      <w:bookmarkStart w:id="103" w:name="_Toc523154579"/>
      <w:bookmarkStart w:id="104" w:name="_Toc11750136"/>
      <w:bookmarkEnd w:id="84"/>
      <w:bookmarkEnd w:id="85"/>
      <w:bookmarkEnd w:id="91"/>
      <w:r w:rsidRPr="00652167">
        <w:rPr>
          <w:u w:val="single"/>
        </w:rPr>
        <w:t>Estimate of Other Total Annual Cost Burden to Respondents or Recordkeepers</w:t>
      </w:r>
      <w:r w:rsidR="006479B8" w:rsidRPr="00652167">
        <w:rPr>
          <w:u w:val="single"/>
        </w:rPr>
        <w:t xml:space="preserve"> </w:t>
      </w:r>
      <w:r w:rsidR="007E72DD" w:rsidRPr="00652167">
        <w:rPr>
          <w:u w:val="single"/>
        </w:rPr>
        <w:t>and Estimate of</w:t>
      </w:r>
      <w:r w:rsidR="006479B8" w:rsidRPr="00652167">
        <w:rPr>
          <w:u w:val="single"/>
        </w:rPr>
        <w:t xml:space="preserve"> </w:t>
      </w:r>
      <w:r w:rsidRPr="00652167">
        <w:rPr>
          <w:u w:val="single"/>
        </w:rPr>
        <w:t>Capital Costs</w:t>
      </w:r>
      <w:bookmarkEnd w:id="101"/>
      <w:bookmarkEnd w:id="102"/>
      <w:bookmarkEnd w:id="103"/>
      <w:bookmarkEnd w:id="104"/>
    </w:p>
    <w:p w14:paraId="72A956CD" w14:textId="77777777" w:rsidR="301858A8" w:rsidRPr="00652167" w:rsidRDefault="00593EC2" w:rsidP="004521C5">
      <w:pPr>
        <w:pStyle w:val="OMBbodytext"/>
      </w:pPr>
      <w:bookmarkStart w:id="105" w:name="_Toc239751745"/>
      <w:r w:rsidRPr="00652167">
        <w:rPr>
          <w:rFonts w:eastAsia="Cambria"/>
        </w:rPr>
        <w:t xml:space="preserve">This information collection entails </w:t>
      </w:r>
      <w:r w:rsidR="301858A8" w:rsidRPr="00652167">
        <w:rPr>
          <w:rFonts w:eastAsia="Cambria"/>
        </w:rPr>
        <w:t>no respondent costs other than the cost associated with response time burden</w:t>
      </w:r>
      <w:r w:rsidRPr="00652167">
        <w:rPr>
          <w:rFonts w:eastAsia="Cambria"/>
        </w:rPr>
        <w:t xml:space="preserve">, </w:t>
      </w:r>
      <w:r w:rsidRPr="00652167">
        <w:t>and no non</w:t>
      </w:r>
      <w:r w:rsidR="00AB75A6" w:rsidRPr="00652167">
        <w:t>-</w:t>
      </w:r>
      <w:r w:rsidRPr="00652167">
        <w:t>labor costs</w:t>
      </w:r>
      <w:r w:rsidR="006479B8" w:rsidRPr="00652167">
        <w:t xml:space="preserve"> for </w:t>
      </w:r>
      <w:r w:rsidRPr="00652167">
        <w:t>capital</w:t>
      </w:r>
      <w:r w:rsidR="006479B8" w:rsidRPr="00652167">
        <w:t>,</w:t>
      </w:r>
      <w:r w:rsidRPr="00652167">
        <w:t xml:space="preserve"> startup or operation, maintenance, or purchased services.</w:t>
      </w:r>
    </w:p>
    <w:p w14:paraId="6573E9B6" w14:textId="77777777" w:rsidR="007A15F0" w:rsidRPr="00652167" w:rsidRDefault="301858A8" w:rsidP="007A15F0">
      <w:pPr>
        <w:pStyle w:val="OMBHeading-2"/>
        <w:outlineLvl w:val="1"/>
        <w:rPr>
          <w:u w:val="single"/>
        </w:rPr>
      </w:pPr>
      <w:bookmarkStart w:id="106" w:name="_Toc521515014"/>
      <w:bookmarkStart w:id="107" w:name="_Toc523154580"/>
      <w:bookmarkStart w:id="108" w:name="_Toc11750137"/>
      <w:r w:rsidRPr="00652167">
        <w:rPr>
          <w:u w:val="single"/>
        </w:rPr>
        <w:t>Annualized Cost to Federal Government</w:t>
      </w:r>
      <w:bookmarkEnd w:id="105"/>
      <w:bookmarkEnd w:id="106"/>
      <w:bookmarkEnd w:id="107"/>
      <w:bookmarkEnd w:id="108"/>
    </w:p>
    <w:p w14:paraId="2AD9D30B" w14:textId="77777777" w:rsidR="006E360E" w:rsidRPr="00652167" w:rsidRDefault="006E360E" w:rsidP="004521C5">
      <w:pPr>
        <w:pStyle w:val="OMBbodytext"/>
      </w:pPr>
      <w:r w:rsidRPr="00652167">
        <w:t xml:space="preserve">The cost estimate for the </w:t>
      </w:r>
      <w:r w:rsidR="006F728F" w:rsidRPr="00652167">
        <w:t xml:space="preserve">design and conduct of the </w:t>
      </w:r>
      <w:r w:rsidRPr="00652167">
        <w:t>evaluation will be $</w:t>
      </w:r>
      <w:r w:rsidR="00201CDF" w:rsidRPr="00652167">
        <w:t>2.850</w:t>
      </w:r>
      <w:r w:rsidR="006F728F" w:rsidRPr="00652167">
        <w:t xml:space="preserve"> million</w:t>
      </w:r>
      <w:r w:rsidRPr="00652167">
        <w:t xml:space="preserve"> </w:t>
      </w:r>
      <w:r w:rsidR="006118C2" w:rsidRPr="00652167">
        <w:t>annually</w:t>
      </w:r>
      <w:r w:rsidRPr="00652167">
        <w:t>. This total cost covers all evaluation activities</w:t>
      </w:r>
      <w:r w:rsidR="006479B8" w:rsidRPr="00652167">
        <w:t>,</w:t>
      </w:r>
      <w:r w:rsidRPr="00652167">
        <w:t xml:space="preserve"> including the estimated cost of coordination </w:t>
      </w:r>
      <w:r w:rsidR="006479B8" w:rsidRPr="00652167">
        <w:t>among</w:t>
      </w:r>
      <w:r w:rsidR="00D5019E" w:rsidRPr="00652167">
        <w:t xml:space="preserve"> OASH, the contractors, </w:t>
      </w:r>
      <w:r w:rsidR="006479B8" w:rsidRPr="00652167">
        <w:t xml:space="preserve">and </w:t>
      </w:r>
      <w:r w:rsidR="00D5019E" w:rsidRPr="00652167">
        <w:t xml:space="preserve">the </w:t>
      </w:r>
      <w:r w:rsidR="001855BF" w:rsidRPr="00652167">
        <w:t>IOs</w:t>
      </w:r>
      <w:r w:rsidR="006479B8" w:rsidRPr="00652167">
        <w:t>;</w:t>
      </w:r>
      <w:r w:rsidR="00D5019E" w:rsidRPr="00652167">
        <w:t xml:space="preserve"> </w:t>
      </w:r>
      <w:r w:rsidR="009E0462" w:rsidRPr="00652167">
        <w:t xml:space="preserve">compensation to </w:t>
      </w:r>
      <w:r w:rsidR="00D5019E" w:rsidRPr="00652167">
        <w:t>schools</w:t>
      </w:r>
      <w:r w:rsidR="009E0462" w:rsidRPr="00652167">
        <w:t xml:space="preserve"> for school records data</w:t>
      </w:r>
      <w:r w:rsidR="00D5019E" w:rsidRPr="00652167">
        <w:t xml:space="preserve">; </w:t>
      </w:r>
      <w:r w:rsidRPr="00652167">
        <w:t>project plan</w:t>
      </w:r>
      <w:r w:rsidR="006479B8" w:rsidRPr="00652167">
        <w:t>ning</w:t>
      </w:r>
      <w:r w:rsidRPr="00652167">
        <w:t xml:space="preserve"> and schedule development</w:t>
      </w:r>
      <w:r w:rsidR="00D5019E" w:rsidRPr="00652167">
        <w:t>;</w:t>
      </w:r>
      <w:r w:rsidRPr="00652167">
        <w:t xml:space="preserve"> </w:t>
      </w:r>
      <w:r w:rsidR="0019072B" w:rsidRPr="00652167">
        <w:t>Institutional Review Board</w:t>
      </w:r>
      <w:r w:rsidRPr="00652167">
        <w:t xml:space="preserve"> applications</w:t>
      </w:r>
      <w:r w:rsidR="00D5019E" w:rsidRPr="00652167">
        <w:t xml:space="preserve">; </w:t>
      </w:r>
      <w:r w:rsidR="006F728F" w:rsidRPr="00652167">
        <w:t xml:space="preserve">study design; </w:t>
      </w:r>
      <w:r w:rsidR="00D5019E" w:rsidRPr="00652167">
        <w:t xml:space="preserve">technical assistance to </w:t>
      </w:r>
      <w:r w:rsidR="001855BF" w:rsidRPr="00652167">
        <w:t>IOs</w:t>
      </w:r>
      <w:r w:rsidR="00D5019E" w:rsidRPr="00652167">
        <w:t>; d</w:t>
      </w:r>
      <w:r w:rsidRPr="00652167">
        <w:t>ata collection</w:t>
      </w:r>
      <w:r w:rsidR="00D5019E" w:rsidRPr="00652167">
        <w:t>; data analysis and</w:t>
      </w:r>
      <w:r w:rsidRPr="00652167">
        <w:t xml:space="preserve"> reporting</w:t>
      </w:r>
      <w:r w:rsidR="00D5019E" w:rsidRPr="00652167">
        <w:t>;</w:t>
      </w:r>
      <w:r w:rsidRPr="00652167">
        <w:t xml:space="preserve"> and progress reporting. </w:t>
      </w:r>
    </w:p>
    <w:p w14:paraId="0182245E" w14:textId="77777777" w:rsidR="007A15F0" w:rsidRPr="00652167" w:rsidRDefault="301858A8" w:rsidP="301858A8">
      <w:pPr>
        <w:pStyle w:val="OMBHeading-2"/>
        <w:outlineLvl w:val="1"/>
        <w:rPr>
          <w:u w:val="single"/>
        </w:rPr>
      </w:pPr>
      <w:bookmarkStart w:id="109" w:name="_Toc66688723"/>
      <w:bookmarkStart w:id="110" w:name="_Toc239751746"/>
      <w:bookmarkStart w:id="111" w:name="_Toc521515015"/>
      <w:bookmarkStart w:id="112" w:name="_Toc523154581"/>
      <w:bookmarkStart w:id="113" w:name="_Toc11750138"/>
      <w:r w:rsidRPr="00652167">
        <w:rPr>
          <w:u w:val="single"/>
        </w:rPr>
        <w:t>Program Changes or Adjustments</w:t>
      </w:r>
      <w:bookmarkEnd w:id="109"/>
      <w:bookmarkEnd w:id="110"/>
      <w:bookmarkEnd w:id="111"/>
      <w:bookmarkEnd w:id="112"/>
      <w:bookmarkEnd w:id="113"/>
    </w:p>
    <w:p w14:paraId="78B9D5AE" w14:textId="77777777" w:rsidR="007A15F0" w:rsidRPr="00652167" w:rsidRDefault="301858A8" w:rsidP="004521C5">
      <w:pPr>
        <w:pStyle w:val="OMBbodytext"/>
      </w:pPr>
      <w:r w:rsidRPr="00652167">
        <w:t xml:space="preserve">This </w:t>
      </w:r>
      <w:r w:rsidR="007E72DD" w:rsidRPr="00652167">
        <w:t>will be</w:t>
      </w:r>
      <w:r w:rsidRPr="00652167">
        <w:t xml:space="preserve"> a new data collection.</w:t>
      </w:r>
    </w:p>
    <w:p w14:paraId="0C476283" w14:textId="77777777" w:rsidR="007A15F0" w:rsidRPr="00652167" w:rsidRDefault="301858A8" w:rsidP="301858A8">
      <w:pPr>
        <w:pStyle w:val="OMBHeading-2"/>
        <w:outlineLvl w:val="1"/>
        <w:rPr>
          <w:u w:val="single"/>
        </w:rPr>
      </w:pPr>
      <w:bookmarkStart w:id="114" w:name="_Toc521515016"/>
      <w:bookmarkStart w:id="115" w:name="_Toc523154582"/>
      <w:bookmarkStart w:id="116" w:name="_Toc11750139"/>
      <w:bookmarkStart w:id="117" w:name="_Hlk516237738"/>
      <w:bookmarkStart w:id="118" w:name="_Hlk531631676"/>
      <w:r w:rsidRPr="00652167">
        <w:rPr>
          <w:u w:val="single"/>
        </w:rPr>
        <w:t>Plans for Tabulation and Publication and Project Time Schedule</w:t>
      </w:r>
      <w:bookmarkEnd w:id="114"/>
      <w:bookmarkEnd w:id="115"/>
      <w:bookmarkEnd w:id="116"/>
    </w:p>
    <w:bookmarkEnd w:id="117"/>
    <w:p w14:paraId="299AE2A1" w14:textId="77777777" w:rsidR="00FA5942" w:rsidRPr="00652167" w:rsidRDefault="006B6740" w:rsidP="004521C5">
      <w:pPr>
        <w:pStyle w:val="OMBbodytext"/>
      </w:pPr>
      <w:r w:rsidRPr="00652167">
        <w:t xml:space="preserve">Data will be collected between </w:t>
      </w:r>
      <w:r w:rsidR="00423AF5" w:rsidRPr="00652167">
        <w:t>May</w:t>
      </w:r>
      <w:r w:rsidR="00F603E5" w:rsidRPr="00652167">
        <w:t xml:space="preserve"> 2019 </w:t>
      </w:r>
      <w:r w:rsidRPr="00652167">
        <w:t xml:space="preserve">and </w:t>
      </w:r>
      <w:r w:rsidR="00F603E5" w:rsidRPr="00652167">
        <w:t>January</w:t>
      </w:r>
      <w:r w:rsidRPr="00652167">
        <w:t xml:space="preserve"> 20</w:t>
      </w:r>
      <w:r w:rsidR="00F603E5" w:rsidRPr="00652167">
        <w:t>20</w:t>
      </w:r>
      <w:r w:rsidRPr="00652167">
        <w:t xml:space="preserve">. Data will be tabulated and presented to OASH in </w:t>
      </w:r>
      <w:r w:rsidR="00F603E5" w:rsidRPr="00652167">
        <w:t>May 2020</w:t>
      </w:r>
      <w:r w:rsidRPr="00652167">
        <w:t xml:space="preserve">. </w:t>
      </w:r>
      <w:r w:rsidR="009830B7" w:rsidRPr="00652167">
        <w:t xml:space="preserve">See </w:t>
      </w:r>
      <w:r w:rsidR="009830B7" w:rsidRPr="00652167">
        <w:rPr>
          <w:b/>
          <w:i/>
        </w:rPr>
        <w:t xml:space="preserve">Exhibit </w:t>
      </w:r>
      <w:r w:rsidR="003C5EA7" w:rsidRPr="00652167">
        <w:rPr>
          <w:b/>
          <w:i/>
        </w:rPr>
        <w:t>1</w:t>
      </w:r>
      <w:r w:rsidR="00A47DE2" w:rsidRPr="00652167">
        <w:rPr>
          <w:b/>
          <w:i/>
        </w:rPr>
        <w:t>3</w:t>
      </w:r>
      <w:r w:rsidR="009448B4" w:rsidRPr="00652167">
        <w:rPr>
          <w:b/>
          <w:i/>
        </w:rPr>
        <w:t xml:space="preserve"> </w:t>
      </w:r>
      <w:r w:rsidR="006179E2" w:rsidRPr="00652167">
        <w:t>for the anticipated schedule</w:t>
      </w:r>
      <w:r w:rsidR="009830B7" w:rsidRPr="00652167">
        <w:t>.</w:t>
      </w:r>
      <w:r w:rsidR="009830B7" w:rsidRPr="00652167">
        <w:rPr>
          <w:b/>
          <w:i/>
        </w:rPr>
        <w:t xml:space="preserve"> </w:t>
      </w:r>
    </w:p>
    <w:p w14:paraId="35F50651" w14:textId="77777777" w:rsidR="00FA5942" w:rsidRPr="00652167" w:rsidRDefault="009830B7" w:rsidP="00AB20FC">
      <w:pPr>
        <w:pStyle w:val="OMBExhibitTitle"/>
      </w:pPr>
      <w:bookmarkStart w:id="119" w:name="_Toc521501863"/>
      <w:bookmarkStart w:id="120" w:name="_Toc534380002"/>
      <w:bookmarkStart w:id="121" w:name="_Toc531630041"/>
      <w:bookmarkStart w:id="122" w:name="_Toc11750121"/>
      <w:bookmarkStart w:id="123" w:name="_Hlk516237981"/>
      <w:r w:rsidRPr="00652167">
        <w:t xml:space="preserve">Exhibit </w:t>
      </w:r>
      <w:r w:rsidR="003C5EA7" w:rsidRPr="00652167">
        <w:t>1</w:t>
      </w:r>
      <w:r w:rsidR="00A47DE2" w:rsidRPr="00652167">
        <w:t>3</w:t>
      </w:r>
      <w:r w:rsidR="00FA5942" w:rsidRPr="00652167">
        <w:t xml:space="preserve">. </w:t>
      </w:r>
      <w:r w:rsidR="00BE0FE2" w:rsidRPr="00652167">
        <w:tab/>
      </w:r>
      <w:r w:rsidR="004E6287" w:rsidRPr="00652167">
        <w:t xml:space="preserve">Estimated </w:t>
      </w:r>
      <w:r w:rsidR="00302F41" w:rsidRPr="00652167">
        <w:t xml:space="preserve">Schedule </w:t>
      </w:r>
      <w:r w:rsidR="00FA5942" w:rsidRPr="00652167">
        <w:t xml:space="preserve">for the </w:t>
      </w:r>
      <w:r w:rsidR="00302F41" w:rsidRPr="00652167">
        <w:t>Evaluation</w:t>
      </w:r>
      <w:bookmarkEnd w:id="119"/>
      <w:bookmarkEnd w:id="120"/>
      <w:bookmarkEnd w:id="121"/>
      <w:bookmarkEnd w:id="122"/>
    </w:p>
    <w:tbl>
      <w:tblPr>
        <w:tblStyle w:val="TableGrid"/>
        <w:tblW w:w="5000" w:type="pct"/>
        <w:tblLook w:val="04A0" w:firstRow="1" w:lastRow="0" w:firstColumn="1" w:lastColumn="0" w:noHBand="0" w:noVBand="1"/>
      </w:tblPr>
      <w:tblGrid>
        <w:gridCol w:w="5288"/>
        <w:gridCol w:w="2190"/>
        <w:gridCol w:w="2188"/>
      </w:tblGrid>
      <w:tr w:rsidR="00FA5942" w:rsidRPr="00652167" w14:paraId="059A6147" w14:textId="77777777" w:rsidTr="00652167">
        <w:tc>
          <w:tcPr>
            <w:tcW w:w="2735" w:type="pct"/>
          </w:tcPr>
          <w:p w14:paraId="14002460" w14:textId="77777777" w:rsidR="00FA5942" w:rsidRPr="00652167" w:rsidRDefault="00FA5942" w:rsidP="006179E2">
            <w:pPr>
              <w:pStyle w:val="TableHeaders"/>
            </w:pPr>
            <w:r w:rsidRPr="00652167">
              <w:t>Activity</w:t>
            </w:r>
          </w:p>
        </w:tc>
        <w:tc>
          <w:tcPr>
            <w:tcW w:w="1133" w:type="pct"/>
          </w:tcPr>
          <w:p w14:paraId="64802D45" w14:textId="77777777" w:rsidR="00FA5942" w:rsidRPr="00652167" w:rsidRDefault="00FA5942" w:rsidP="006179E2">
            <w:pPr>
              <w:pStyle w:val="TableHeaders"/>
            </w:pPr>
            <w:r w:rsidRPr="00652167">
              <w:t xml:space="preserve">Start date </w:t>
            </w:r>
          </w:p>
        </w:tc>
        <w:tc>
          <w:tcPr>
            <w:tcW w:w="1132" w:type="pct"/>
          </w:tcPr>
          <w:p w14:paraId="2455AB53" w14:textId="77777777" w:rsidR="00FA5942" w:rsidRPr="00652167" w:rsidRDefault="00FA5942" w:rsidP="006179E2">
            <w:pPr>
              <w:pStyle w:val="TableHeaders"/>
            </w:pPr>
            <w:r w:rsidRPr="00652167">
              <w:t>End date</w:t>
            </w:r>
          </w:p>
        </w:tc>
      </w:tr>
      <w:tr w:rsidR="00FA5942" w:rsidRPr="00652167" w14:paraId="17AB9110" w14:textId="77777777" w:rsidTr="00652167">
        <w:tc>
          <w:tcPr>
            <w:tcW w:w="2735" w:type="pct"/>
          </w:tcPr>
          <w:p w14:paraId="0E929745" w14:textId="77777777" w:rsidR="00FA5942" w:rsidRPr="00652167" w:rsidRDefault="00FA5942" w:rsidP="006179E2">
            <w:pPr>
              <w:pStyle w:val="TableText0"/>
            </w:pPr>
            <w:r w:rsidRPr="00652167">
              <w:t>Research approvals from participating schools, as needed</w:t>
            </w:r>
          </w:p>
        </w:tc>
        <w:tc>
          <w:tcPr>
            <w:tcW w:w="1133" w:type="pct"/>
          </w:tcPr>
          <w:p w14:paraId="28C1E791" w14:textId="77777777" w:rsidR="00FA5942" w:rsidRPr="00652167" w:rsidRDefault="00F603E5" w:rsidP="006179E2">
            <w:pPr>
              <w:pStyle w:val="TableText0"/>
            </w:pPr>
            <w:r w:rsidRPr="00652167">
              <w:t xml:space="preserve">December </w:t>
            </w:r>
            <w:r w:rsidR="00FA5942" w:rsidRPr="00652167">
              <w:t>2018</w:t>
            </w:r>
          </w:p>
        </w:tc>
        <w:tc>
          <w:tcPr>
            <w:tcW w:w="1132" w:type="pct"/>
          </w:tcPr>
          <w:p w14:paraId="31DD73AD" w14:textId="77777777" w:rsidR="00FA5942" w:rsidRPr="00652167" w:rsidRDefault="00A300FA" w:rsidP="006179E2">
            <w:pPr>
              <w:pStyle w:val="TableText0"/>
            </w:pPr>
            <w:r w:rsidRPr="00652167">
              <w:t>May</w:t>
            </w:r>
            <w:r w:rsidR="002C4DD6" w:rsidRPr="00652167">
              <w:t xml:space="preserve"> </w:t>
            </w:r>
            <w:r w:rsidR="00F603E5" w:rsidRPr="00652167">
              <w:t>2019</w:t>
            </w:r>
          </w:p>
        </w:tc>
      </w:tr>
      <w:tr w:rsidR="00FA5942" w:rsidRPr="00652167" w14:paraId="31AAA6FE" w14:textId="77777777" w:rsidTr="00652167">
        <w:tc>
          <w:tcPr>
            <w:tcW w:w="2735" w:type="pct"/>
          </w:tcPr>
          <w:p w14:paraId="2BE8C4CB" w14:textId="77777777" w:rsidR="00FA5942" w:rsidRPr="00652167" w:rsidRDefault="00EA205B" w:rsidP="006179E2">
            <w:pPr>
              <w:pStyle w:val="TableText0"/>
            </w:pPr>
            <w:r w:rsidRPr="00652167">
              <w:t>Collection of parental consent</w:t>
            </w:r>
          </w:p>
        </w:tc>
        <w:tc>
          <w:tcPr>
            <w:tcW w:w="1133" w:type="pct"/>
          </w:tcPr>
          <w:p w14:paraId="1BD25925" w14:textId="77777777" w:rsidR="00FA5942" w:rsidRPr="00652167" w:rsidRDefault="00423AF5" w:rsidP="006179E2">
            <w:pPr>
              <w:pStyle w:val="TableText0"/>
            </w:pPr>
            <w:r w:rsidRPr="00652167">
              <w:t xml:space="preserve">May </w:t>
            </w:r>
            <w:r w:rsidR="00EA205B" w:rsidRPr="00652167">
              <w:t>2019</w:t>
            </w:r>
          </w:p>
        </w:tc>
        <w:tc>
          <w:tcPr>
            <w:tcW w:w="1132" w:type="pct"/>
          </w:tcPr>
          <w:p w14:paraId="6FB29929" w14:textId="77777777" w:rsidR="00FA5942" w:rsidRPr="00652167" w:rsidRDefault="00F603E5" w:rsidP="006179E2">
            <w:pPr>
              <w:pStyle w:val="TableText0"/>
            </w:pPr>
            <w:r w:rsidRPr="00652167">
              <w:t xml:space="preserve">September </w:t>
            </w:r>
            <w:r w:rsidR="00EA205B" w:rsidRPr="00652167">
              <w:t>2019</w:t>
            </w:r>
          </w:p>
        </w:tc>
      </w:tr>
      <w:tr w:rsidR="00FA5942" w:rsidRPr="00652167" w14:paraId="6B0584C1" w14:textId="77777777" w:rsidTr="00652167">
        <w:tc>
          <w:tcPr>
            <w:tcW w:w="2735" w:type="pct"/>
          </w:tcPr>
          <w:p w14:paraId="7AD523BB" w14:textId="77777777" w:rsidR="00FA5942" w:rsidRPr="00652167" w:rsidRDefault="009752D4" w:rsidP="006179E2">
            <w:pPr>
              <w:pStyle w:val="TableText0"/>
            </w:pPr>
            <w:r w:rsidRPr="00652167">
              <w:t>Youth d</w:t>
            </w:r>
            <w:r w:rsidR="00EA205B" w:rsidRPr="00652167">
              <w:t xml:space="preserve">ata collection </w:t>
            </w:r>
          </w:p>
        </w:tc>
        <w:tc>
          <w:tcPr>
            <w:tcW w:w="1133" w:type="pct"/>
          </w:tcPr>
          <w:p w14:paraId="5DC8A562" w14:textId="77777777" w:rsidR="00FA5942" w:rsidRPr="00652167" w:rsidRDefault="00F603E5" w:rsidP="006179E2">
            <w:pPr>
              <w:pStyle w:val="TableText0"/>
            </w:pPr>
            <w:r w:rsidRPr="00652167">
              <w:t xml:space="preserve">September </w:t>
            </w:r>
            <w:r w:rsidR="00EA205B" w:rsidRPr="00652167">
              <w:t>2019</w:t>
            </w:r>
          </w:p>
        </w:tc>
        <w:tc>
          <w:tcPr>
            <w:tcW w:w="1132" w:type="pct"/>
          </w:tcPr>
          <w:p w14:paraId="757D8288" w14:textId="77777777" w:rsidR="00FA5942" w:rsidRPr="00652167" w:rsidRDefault="00423AF5" w:rsidP="006179E2">
            <w:pPr>
              <w:pStyle w:val="TableText0"/>
            </w:pPr>
            <w:r w:rsidRPr="00652167">
              <w:t>December</w:t>
            </w:r>
            <w:r w:rsidR="00F603E5" w:rsidRPr="00652167">
              <w:t xml:space="preserve"> </w:t>
            </w:r>
            <w:r w:rsidR="00EA205B" w:rsidRPr="00652167">
              <w:t>2019</w:t>
            </w:r>
          </w:p>
        </w:tc>
      </w:tr>
      <w:tr w:rsidR="00834AE7" w:rsidRPr="00652167" w14:paraId="32428FD0" w14:textId="77777777" w:rsidTr="00652167">
        <w:tc>
          <w:tcPr>
            <w:tcW w:w="2735" w:type="pct"/>
          </w:tcPr>
          <w:p w14:paraId="4DC2C8F0" w14:textId="77777777" w:rsidR="00834AE7" w:rsidRPr="00652167" w:rsidRDefault="00834AE7" w:rsidP="006179E2">
            <w:pPr>
              <w:pStyle w:val="TableText0"/>
            </w:pPr>
            <w:r w:rsidRPr="00652167">
              <w:t>Data analysis</w:t>
            </w:r>
          </w:p>
        </w:tc>
        <w:tc>
          <w:tcPr>
            <w:tcW w:w="1133" w:type="pct"/>
          </w:tcPr>
          <w:p w14:paraId="44A37D86" w14:textId="77777777" w:rsidR="00834AE7" w:rsidRPr="00652167" w:rsidRDefault="008A015D" w:rsidP="006179E2">
            <w:pPr>
              <w:pStyle w:val="TableText0"/>
            </w:pPr>
            <w:r w:rsidRPr="00652167">
              <w:t>October 2019</w:t>
            </w:r>
          </w:p>
        </w:tc>
        <w:tc>
          <w:tcPr>
            <w:tcW w:w="1132" w:type="pct"/>
          </w:tcPr>
          <w:p w14:paraId="4F134B74" w14:textId="77777777" w:rsidR="00834AE7" w:rsidRPr="00652167" w:rsidRDefault="00F603E5" w:rsidP="006179E2">
            <w:pPr>
              <w:pStyle w:val="TableText0"/>
            </w:pPr>
            <w:r w:rsidRPr="00652167">
              <w:t>April 2020</w:t>
            </w:r>
          </w:p>
        </w:tc>
      </w:tr>
      <w:tr w:rsidR="00FA5942" w:rsidRPr="00652167" w14:paraId="7F9F9331" w14:textId="77777777" w:rsidTr="00652167">
        <w:tc>
          <w:tcPr>
            <w:tcW w:w="2735" w:type="pct"/>
          </w:tcPr>
          <w:p w14:paraId="3E93DCE7" w14:textId="77777777" w:rsidR="00FA5942" w:rsidRPr="00652167" w:rsidRDefault="006B6740" w:rsidP="006179E2">
            <w:pPr>
              <w:pStyle w:val="TableText0"/>
            </w:pPr>
            <w:r w:rsidRPr="00652167">
              <w:t>Summary report</w:t>
            </w:r>
          </w:p>
        </w:tc>
        <w:tc>
          <w:tcPr>
            <w:tcW w:w="1133" w:type="pct"/>
          </w:tcPr>
          <w:p w14:paraId="498E688D" w14:textId="77777777" w:rsidR="00FA5942" w:rsidRPr="00652167" w:rsidRDefault="00FA5942" w:rsidP="006179E2">
            <w:pPr>
              <w:pStyle w:val="TableText0"/>
            </w:pPr>
            <w:r w:rsidRPr="00652167">
              <w:t>‒</w:t>
            </w:r>
          </w:p>
        </w:tc>
        <w:tc>
          <w:tcPr>
            <w:tcW w:w="1132" w:type="pct"/>
          </w:tcPr>
          <w:p w14:paraId="774DD2DE" w14:textId="77777777" w:rsidR="00FA5942" w:rsidRPr="00652167" w:rsidRDefault="00F603E5" w:rsidP="006179E2">
            <w:pPr>
              <w:pStyle w:val="TableText0"/>
            </w:pPr>
            <w:r w:rsidRPr="00652167">
              <w:t>May 2020</w:t>
            </w:r>
          </w:p>
        </w:tc>
      </w:tr>
    </w:tbl>
    <w:p w14:paraId="27DECB71" w14:textId="77777777" w:rsidR="007A15F0" w:rsidRPr="00652167" w:rsidRDefault="007A15F0" w:rsidP="301858A8">
      <w:pPr>
        <w:pStyle w:val="OMBbodytext"/>
      </w:pPr>
    </w:p>
    <w:p w14:paraId="292F85A5" w14:textId="77777777" w:rsidR="007A15F0" w:rsidRPr="00652167" w:rsidRDefault="301858A8" w:rsidP="007A15F0">
      <w:pPr>
        <w:pStyle w:val="OMBHeading-2"/>
        <w:outlineLvl w:val="1"/>
        <w:rPr>
          <w:u w:val="single"/>
        </w:rPr>
      </w:pPr>
      <w:bookmarkStart w:id="124" w:name="_Toc521515017"/>
      <w:bookmarkStart w:id="125" w:name="_Toc523154583"/>
      <w:bookmarkStart w:id="126" w:name="_Toc11750140"/>
      <w:bookmarkEnd w:id="118"/>
      <w:bookmarkEnd w:id="123"/>
      <w:r w:rsidRPr="00652167">
        <w:rPr>
          <w:u w:val="single"/>
        </w:rPr>
        <w:t>Display of Expiration Date for OMB Approval</w:t>
      </w:r>
      <w:bookmarkEnd w:id="124"/>
      <w:bookmarkEnd w:id="125"/>
      <w:bookmarkEnd w:id="126"/>
    </w:p>
    <w:p w14:paraId="1F26CB62" w14:textId="77777777" w:rsidR="007A15F0" w:rsidRPr="00652167" w:rsidRDefault="007A15F0" w:rsidP="004521C5">
      <w:pPr>
        <w:pStyle w:val="OMBbodytext"/>
      </w:pPr>
      <w:r w:rsidRPr="00652167">
        <w:t xml:space="preserve">The expiration date for OMB </w:t>
      </w:r>
      <w:r w:rsidR="006179E2" w:rsidRPr="00652167">
        <w:t xml:space="preserve">approval </w:t>
      </w:r>
      <w:r w:rsidRPr="00652167">
        <w:t>will be displayed on all data collection instruments.</w:t>
      </w:r>
    </w:p>
    <w:p w14:paraId="2E552A2C" w14:textId="77777777" w:rsidR="007A15F0" w:rsidRPr="00652167" w:rsidRDefault="301858A8" w:rsidP="007A15F0">
      <w:pPr>
        <w:pStyle w:val="OMBHeading-2"/>
        <w:outlineLvl w:val="1"/>
        <w:rPr>
          <w:u w:val="single"/>
        </w:rPr>
      </w:pPr>
      <w:bookmarkStart w:id="127" w:name="_Toc521515018"/>
      <w:bookmarkStart w:id="128" w:name="_Toc523154584"/>
      <w:bookmarkStart w:id="129" w:name="_Toc11750141"/>
      <w:r w:rsidRPr="00652167">
        <w:rPr>
          <w:u w:val="single"/>
        </w:rPr>
        <w:t>Exceptions to Certification Statement.</w:t>
      </w:r>
      <w:bookmarkEnd w:id="127"/>
      <w:bookmarkEnd w:id="128"/>
      <w:bookmarkEnd w:id="129"/>
    </w:p>
    <w:p w14:paraId="143F9CF9" w14:textId="77777777" w:rsidR="007C5BCB" w:rsidRPr="00652167" w:rsidRDefault="007A15F0" w:rsidP="004521C5">
      <w:pPr>
        <w:pStyle w:val="OMBbodytext"/>
      </w:pPr>
      <w:r w:rsidRPr="00652167">
        <w:t>There are no exceptions to the certification.</w:t>
      </w:r>
    </w:p>
    <w:p w14:paraId="6775BEC4" w14:textId="77777777" w:rsidR="00C24449" w:rsidRPr="00652167" w:rsidRDefault="00C24449" w:rsidP="004521C5">
      <w:pPr>
        <w:pStyle w:val="OMBbodytext"/>
      </w:pPr>
    </w:p>
    <w:p w14:paraId="2B245BE4" w14:textId="77777777" w:rsidR="00C24449" w:rsidRPr="00652167" w:rsidRDefault="00C24449">
      <w:pPr>
        <w:widowControl/>
        <w:autoSpaceDE/>
        <w:autoSpaceDN/>
        <w:adjustRightInd/>
        <w:spacing w:after="160" w:line="259" w:lineRule="auto"/>
        <w:rPr>
          <w:szCs w:val="20"/>
        </w:rPr>
      </w:pPr>
      <w:r w:rsidRPr="00652167">
        <w:br w:type="page"/>
      </w:r>
    </w:p>
    <w:p w14:paraId="2CE608E1" w14:textId="77777777" w:rsidR="00C24449" w:rsidRPr="00652167" w:rsidRDefault="00C24449" w:rsidP="00C24449">
      <w:pPr>
        <w:pStyle w:val="OMBheading-1"/>
      </w:pPr>
      <w:bookmarkStart w:id="130" w:name="_Toc521515019"/>
      <w:bookmarkStart w:id="131" w:name="_Toc523154585"/>
      <w:bookmarkStart w:id="132" w:name="_Toc11750142"/>
      <w:r w:rsidRPr="00652167">
        <w:t>References</w:t>
      </w:r>
      <w:bookmarkEnd w:id="130"/>
      <w:bookmarkEnd w:id="131"/>
      <w:bookmarkEnd w:id="132"/>
    </w:p>
    <w:p w14:paraId="0FEF6B6B" w14:textId="77777777" w:rsidR="00C24449" w:rsidRPr="00652167" w:rsidRDefault="00C24449" w:rsidP="00C24449">
      <w:pPr>
        <w:pStyle w:val="Refs"/>
        <w:rPr>
          <w:lang w:val="en"/>
        </w:rPr>
      </w:pPr>
      <w:r w:rsidRPr="00652167">
        <w:rPr>
          <w:lang w:val="en"/>
        </w:rPr>
        <w:t xml:space="preserve">Borawski, E. A., Trapl, E. S., Lovegreen, L. D., Colabianchi, N., &amp; Block, T. (2005). Effectiveness of abstinence-only intervention in middle school teens. </w:t>
      </w:r>
      <w:r w:rsidRPr="00652167">
        <w:rPr>
          <w:i/>
          <w:lang w:val="en"/>
        </w:rPr>
        <w:t xml:space="preserve">American Journal of Health Behavior, 29, </w:t>
      </w:r>
      <w:r w:rsidRPr="00652167">
        <w:rPr>
          <w:lang w:val="en"/>
        </w:rPr>
        <w:t xml:space="preserve">423–434. </w:t>
      </w:r>
      <w:hyperlink r:id="rId22" w:tgtFrame="_blank" w:history="1">
        <w:r w:rsidRPr="00652167">
          <w:rPr>
            <w:rStyle w:val="Hyperlink"/>
            <w:rFonts w:eastAsiaTheme="majorEastAsia"/>
            <w:lang w:val="en"/>
          </w:rPr>
          <w:t>http://dx.doi.org/10.5993/AJHB.29.5.5</w:t>
        </w:r>
      </w:hyperlink>
    </w:p>
    <w:p w14:paraId="6EF8ACE1" w14:textId="77777777" w:rsidR="00C24449" w:rsidRPr="00652167" w:rsidRDefault="00C24449" w:rsidP="00C24449">
      <w:pPr>
        <w:pStyle w:val="Refs"/>
      </w:pPr>
      <w:r w:rsidRPr="00652167">
        <w:t xml:space="preserve">Coyle, K. K., &amp; Glassman, J. R. (2016). Exploring alternative outcome measures to improve pregnancy prevention programming in younger adolescents. </w:t>
      </w:r>
      <w:r w:rsidRPr="00652167">
        <w:rPr>
          <w:i/>
        </w:rPr>
        <w:t>American Journal of Public Health, 106</w:t>
      </w:r>
      <w:r w:rsidRPr="00652167">
        <w:t xml:space="preserve">(Suppl 1), S20–S22. </w:t>
      </w:r>
      <w:hyperlink r:id="rId23" w:history="1">
        <w:r w:rsidRPr="00652167">
          <w:rPr>
            <w:rStyle w:val="Hyperlink"/>
            <w:rFonts w:eastAsiaTheme="majorEastAsia"/>
          </w:rPr>
          <w:t>https://doi.org/10.2105/AJPH.2016.303383</w:t>
        </w:r>
      </w:hyperlink>
    </w:p>
    <w:p w14:paraId="550D18BE" w14:textId="77777777" w:rsidR="00C24449" w:rsidRPr="00652167" w:rsidRDefault="00C24449" w:rsidP="00C24449">
      <w:pPr>
        <w:pStyle w:val="Refs"/>
      </w:pPr>
      <w:r w:rsidRPr="00652167">
        <w:t xml:space="preserve">Donnelly, J., Horn, R. R., Young, M., &amp; Ivanescu, A. E. (2016). The effects of the Yes You Can! curriculum on the sexual knowledge and intent of middle school students. </w:t>
      </w:r>
      <w:r w:rsidRPr="00652167">
        <w:rPr>
          <w:i/>
        </w:rPr>
        <w:t>Journal of School Health,</w:t>
      </w:r>
      <w:r w:rsidRPr="00652167">
        <w:t xml:space="preserve"> 86(10), 759–765. </w:t>
      </w:r>
      <w:hyperlink r:id="rId24" w:history="1">
        <w:r w:rsidRPr="00652167">
          <w:rPr>
            <w:rStyle w:val="Hyperlink"/>
            <w:rFonts w:eastAsiaTheme="majorEastAsia"/>
          </w:rPr>
          <w:t>https://doi.org/10.1111/josh.12429</w:t>
        </w:r>
      </w:hyperlink>
    </w:p>
    <w:p w14:paraId="727B052A" w14:textId="77777777" w:rsidR="005D48B8" w:rsidRPr="00652167" w:rsidRDefault="005D48B8" w:rsidP="005D48B8">
      <w:pPr>
        <w:pStyle w:val="Refs"/>
      </w:pPr>
      <w:r w:rsidRPr="00652167">
        <w:t xml:space="preserve">Family and Youth Services Bureau. Making Adaptations Tip Sheet. </w:t>
      </w:r>
      <w:hyperlink r:id="rId25" w:history="1">
        <w:r w:rsidRPr="00652167">
          <w:rPr>
            <w:rStyle w:val="Hyperlink"/>
            <w:rFonts w:eastAsiaTheme="majorEastAsia"/>
          </w:rPr>
          <w:t>https://www.acf.hhs.gov/sites/default/files/fysb/prep-making-adaptations-ts.pdf</w:t>
        </w:r>
      </w:hyperlink>
      <w:r w:rsidRPr="00652167">
        <w:rPr>
          <w:rStyle w:val="Hyperlink"/>
          <w:rFonts w:eastAsiaTheme="majorEastAsia"/>
        </w:rPr>
        <w:t>.</w:t>
      </w:r>
    </w:p>
    <w:p w14:paraId="74821BC8" w14:textId="77777777" w:rsidR="005D48B8" w:rsidRPr="00652167" w:rsidRDefault="005D48B8" w:rsidP="005D48B8">
      <w:pPr>
        <w:pStyle w:val="Refs"/>
      </w:pPr>
      <w:r w:rsidRPr="00652167">
        <w:t xml:space="preserve">Francis, K., Woodford, M., Kelsey, M. (2015). Evaluation of the Teen Outreach Program in Hennepin County, MN: Findings from the Replication of an Evidence-Based Teen Pregnancy Prevention Program. </w:t>
      </w:r>
      <w:hyperlink r:id="rId26" w:history="1">
        <w:r w:rsidRPr="00652167">
          <w:rPr>
            <w:rStyle w:val="Hyperlink"/>
            <w:rFonts w:eastAsiaTheme="majorEastAsia"/>
          </w:rPr>
          <w:t>https://www.hhs.gov/ash/oah/sites/default/files/ash/oah/oah-initiatives/evaluation/grantee-led-evaluation/reports/hennepin-final-report.pdf</w:t>
        </w:r>
      </w:hyperlink>
      <w:r w:rsidRPr="00652167">
        <w:t xml:space="preserve">. </w:t>
      </w:r>
    </w:p>
    <w:p w14:paraId="3E70CDDA" w14:textId="77777777" w:rsidR="00C24449" w:rsidRPr="00652167" w:rsidRDefault="00C24449" w:rsidP="00C24449">
      <w:pPr>
        <w:pStyle w:val="Refs"/>
        <w:rPr>
          <w:rFonts w:ascii="FSMePro" w:hAnsi="FSMePro" w:cs="FSMePro"/>
          <w:color w:val="000000"/>
          <w:sz w:val="14"/>
          <w:szCs w:val="14"/>
        </w:rPr>
      </w:pPr>
      <w:r w:rsidRPr="00652167">
        <w:t xml:space="preserve">Jemmott III, J. B., Jemmott, L. S., &amp; Fong, G. T. (2010). Efficacy of a theory-based abstinence-only intervention over 24 months: A randomized controlled trial with young adolescents. </w:t>
      </w:r>
      <w:r w:rsidRPr="00652167">
        <w:rPr>
          <w:i/>
          <w:iCs/>
        </w:rPr>
        <w:t>Archives of Pediatrics and Adolescent Medicine, 164</w:t>
      </w:r>
      <w:r w:rsidRPr="00652167">
        <w:rPr>
          <w:iCs/>
        </w:rPr>
        <w:t>(2)</w:t>
      </w:r>
      <w:r w:rsidRPr="00652167">
        <w:t xml:space="preserve">, 152–159. </w:t>
      </w:r>
      <w:hyperlink r:id="rId27" w:history="1">
        <w:r w:rsidRPr="00652167">
          <w:rPr>
            <w:rStyle w:val="Hyperlink"/>
          </w:rPr>
          <w:t xml:space="preserve">https://doi.org/10.1001/archpediatrics.2009.267 </w:t>
        </w:r>
      </w:hyperlink>
    </w:p>
    <w:p w14:paraId="08960A54" w14:textId="77777777" w:rsidR="00C24449" w:rsidRPr="00652167" w:rsidRDefault="00C24449" w:rsidP="00C24449">
      <w:pPr>
        <w:pStyle w:val="Refs"/>
      </w:pPr>
      <w:r w:rsidRPr="00652167">
        <w:rPr>
          <w:color w:val="000000"/>
        </w:rPr>
        <w:t xml:space="preserve">Kirby, D. B. (2008). </w:t>
      </w:r>
      <w:r w:rsidRPr="00652167">
        <w:t xml:space="preserve">The impact of abstinence and comprehensive sex and STD/HIV education programs on adolescent sexual behavior. </w:t>
      </w:r>
      <w:r w:rsidRPr="00652167">
        <w:rPr>
          <w:bCs/>
          <w:i/>
        </w:rPr>
        <w:t>Sexuality Research and Social Policy,</w:t>
      </w:r>
      <w:r w:rsidRPr="00652167">
        <w:rPr>
          <w:i/>
        </w:rPr>
        <w:t xml:space="preserve"> </w:t>
      </w:r>
      <w:r w:rsidRPr="00652167">
        <w:rPr>
          <w:bCs/>
          <w:i/>
        </w:rPr>
        <w:t>5</w:t>
      </w:r>
      <w:r w:rsidRPr="00652167">
        <w:rPr>
          <w:bCs/>
        </w:rPr>
        <w:t xml:space="preserve">(3), 18–27. </w:t>
      </w:r>
      <w:hyperlink r:id="rId28" w:history="1">
        <w:r w:rsidRPr="00652167">
          <w:rPr>
            <w:rStyle w:val="Hyperlink"/>
            <w:rFonts w:eastAsiaTheme="majorEastAsia"/>
          </w:rPr>
          <w:t xml:space="preserve">https://doi.org/10.1525/srsp.2008.5.3.18 </w:t>
        </w:r>
      </w:hyperlink>
    </w:p>
    <w:p w14:paraId="7F16DBBA" w14:textId="77777777" w:rsidR="00C24449" w:rsidRPr="00652167" w:rsidRDefault="00C24449" w:rsidP="00C24449">
      <w:pPr>
        <w:pStyle w:val="Refs"/>
      </w:pPr>
      <w:r w:rsidRPr="00652167">
        <w:t xml:space="preserve">Lieberman, L., &amp; Su, H. (2012). Impact of the choosing the best program in communities committed to abstinence education. </w:t>
      </w:r>
      <w:r w:rsidRPr="00652167">
        <w:rPr>
          <w:bCs/>
        </w:rPr>
        <w:t>SAGE Open,</w:t>
      </w:r>
      <w:r w:rsidRPr="00652167">
        <w:t xml:space="preserve"> </w:t>
      </w:r>
      <w:r w:rsidRPr="00652167">
        <w:rPr>
          <w:bCs/>
        </w:rPr>
        <w:t xml:space="preserve">2(1), 215824401244293. </w:t>
      </w:r>
      <w:r w:rsidRPr="00652167">
        <w:t xml:space="preserve">  </w:t>
      </w:r>
      <w:hyperlink r:id="rId29" w:history="1">
        <w:r w:rsidRPr="00652167">
          <w:rPr>
            <w:rStyle w:val="Hyperlink"/>
          </w:rPr>
          <w:t xml:space="preserve">https://doi.org/10.1177/2158244012442938 </w:t>
        </w:r>
      </w:hyperlink>
    </w:p>
    <w:p w14:paraId="2AF87D03" w14:textId="77777777" w:rsidR="00C24449" w:rsidRPr="00652167" w:rsidRDefault="00C24449" w:rsidP="00C24449">
      <w:pPr>
        <w:pStyle w:val="Refs"/>
      </w:pPr>
      <w:r w:rsidRPr="00652167">
        <w:rPr>
          <w:lang w:val="en"/>
        </w:rPr>
        <w:t xml:space="preserve">Markham, C. M., Tortolero, S. R., Peskin, M. F., Shegog, R., Thiel, M., Baumler, E. R., &amp; Robin, L. (2012). Sexual risk avoidance and sexual risk reduction interventions for middle school youth: A randomized controlled trial. </w:t>
      </w:r>
      <w:r w:rsidRPr="00652167">
        <w:rPr>
          <w:i/>
          <w:lang w:val="en"/>
        </w:rPr>
        <w:t>Journal of Adolescent Health,</w:t>
      </w:r>
      <w:r w:rsidRPr="00652167">
        <w:rPr>
          <w:lang w:val="en"/>
        </w:rPr>
        <w:t xml:space="preserve"> </w:t>
      </w:r>
      <w:r w:rsidRPr="00652167">
        <w:rPr>
          <w:i/>
          <w:lang w:val="en"/>
        </w:rPr>
        <w:t>50</w:t>
      </w:r>
      <w:r w:rsidRPr="00652167">
        <w:rPr>
          <w:lang w:val="en"/>
        </w:rPr>
        <w:t xml:space="preserve">, 279–288. </w:t>
      </w:r>
      <w:hyperlink r:id="rId30" w:history="1">
        <w:r w:rsidRPr="00652167">
          <w:rPr>
            <w:rStyle w:val="Hyperlink"/>
            <w:rFonts w:eastAsiaTheme="majorEastAsia"/>
            <w:lang w:val="en"/>
          </w:rPr>
          <w:t xml:space="preserve">https://doi.org.10.1016/j.jadohealth.2011.07.010 </w:t>
        </w:r>
      </w:hyperlink>
    </w:p>
    <w:p w14:paraId="19E09B1B" w14:textId="77777777" w:rsidR="005D48B8" w:rsidRPr="00652167" w:rsidRDefault="005D48B8" w:rsidP="005D48B8">
      <w:pPr>
        <w:pStyle w:val="Refs"/>
      </w:pPr>
      <w:r w:rsidRPr="00652167">
        <w:t xml:space="preserve">Office of Adolescent Health, U.S. Department of Health and Human Services. (2017). Should Teen Pregnancy Prevention Studies Randomize Students or Schools? The Power Tradeoffs Between Contamination Bias and Clustering. </w:t>
      </w:r>
      <w:r w:rsidRPr="00652167">
        <w:rPr>
          <w:i/>
        </w:rPr>
        <w:t xml:space="preserve">Evaluation Technical Assistance Brief for OAH Teenage Pregnancy Prevention Grantees. </w:t>
      </w:r>
      <w:hyperlink r:id="rId31" w:history="1">
        <w:r w:rsidRPr="00652167">
          <w:rPr>
            <w:rStyle w:val="Hyperlink"/>
            <w:rFonts w:eastAsiaTheme="majorEastAsia"/>
          </w:rPr>
          <w:t>https://www.hhs.gov/ash/oah/sites/default/files/contamination-bias-and-clustering-brief.pdf</w:t>
        </w:r>
      </w:hyperlink>
      <w:r w:rsidRPr="00652167">
        <w:t xml:space="preserve">. </w:t>
      </w:r>
    </w:p>
    <w:p w14:paraId="58AB2B6E" w14:textId="77777777" w:rsidR="005D48B8" w:rsidRPr="00652167" w:rsidRDefault="005D48B8" w:rsidP="005D48B8">
      <w:pPr>
        <w:pStyle w:val="Refs"/>
        <w:rPr>
          <w:i/>
        </w:rPr>
      </w:pPr>
      <w:r w:rsidRPr="00652167">
        <w:t xml:space="preserve">Office of the Assistant Secretary for Planning and Evaluation, Office of Human Services Policy, U.S. Department of Health and Human Services. (2015). Improving the Rigor of Quasi-Experimental Impact Evaluations. </w:t>
      </w:r>
      <w:r w:rsidRPr="00652167">
        <w:rPr>
          <w:i/>
        </w:rPr>
        <w:t xml:space="preserve">ASPE Research Brief. </w:t>
      </w:r>
      <w:hyperlink r:id="rId32" w:history="1">
        <w:r w:rsidRPr="00652167">
          <w:rPr>
            <w:rStyle w:val="Hyperlink"/>
            <w:rFonts w:eastAsiaTheme="majorEastAsia"/>
          </w:rPr>
          <w:t>https://tppevidencereview.aspe.hhs.gov/pdfs/rb_TPP_QED.pdf</w:t>
        </w:r>
      </w:hyperlink>
      <w:r w:rsidRPr="00652167">
        <w:t xml:space="preserve">. </w:t>
      </w:r>
    </w:p>
    <w:p w14:paraId="39AE05E2" w14:textId="77777777" w:rsidR="00C24449" w:rsidRPr="00652167" w:rsidRDefault="00C24449" w:rsidP="00C24449">
      <w:pPr>
        <w:pStyle w:val="Refs"/>
      </w:pPr>
      <w:r w:rsidRPr="00652167">
        <w:t xml:space="preserve">Piotrowski, Z. H., &amp; Hedeker, D. (2016). Evaluation of the Be the Exception sixth-grade program in rural communities to delay the onset of sexual behavior. </w:t>
      </w:r>
      <w:r w:rsidRPr="00652167">
        <w:rPr>
          <w:bCs/>
          <w:i/>
        </w:rPr>
        <w:t>American Journal of Public Health, 106</w:t>
      </w:r>
      <w:r w:rsidRPr="00652167">
        <w:rPr>
          <w:bCs/>
        </w:rPr>
        <w:t xml:space="preserve">(S1), S132–S139. </w:t>
      </w:r>
      <w:hyperlink r:id="rId33" w:history="1">
        <w:r w:rsidRPr="00652167">
          <w:rPr>
            <w:rStyle w:val="Hyperlink"/>
          </w:rPr>
          <w:t xml:space="preserve">https://doi.org/10.2105/ajph.2016.303438 </w:t>
        </w:r>
      </w:hyperlink>
    </w:p>
    <w:p w14:paraId="642490A8" w14:textId="77777777" w:rsidR="00C24449" w:rsidRPr="00652167" w:rsidRDefault="00C24449" w:rsidP="00C24449">
      <w:pPr>
        <w:pStyle w:val="Refs"/>
      </w:pPr>
      <w:r w:rsidRPr="00652167">
        <w:t xml:space="preserve">Realini, J. P., Buzi, R. S., Smith, P. B., &amp; Martinez, M. (2010). Evaluation of “Big Decisions”: An abstinence-plus sexuality curriculum. </w:t>
      </w:r>
      <w:r w:rsidRPr="00652167">
        <w:rPr>
          <w:bCs/>
          <w:i/>
        </w:rPr>
        <w:t>Journal of Sex and Marital Therapy,</w:t>
      </w:r>
      <w:r w:rsidRPr="00652167">
        <w:rPr>
          <w:i/>
        </w:rPr>
        <w:t xml:space="preserve"> </w:t>
      </w:r>
      <w:r w:rsidRPr="00652167">
        <w:rPr>
          <w:bCs/>
          <w:i/>
        </w:rPr>
        <w:t>36</w:t>
      </w:r>
      <w:r w:rsidRPr="00652167">
        <w:rPr>
          <w:bCs/>
        </w:rPr>
        <w:t>(4), 313–326.</w:t>
      </w:r>
      <w:r w:rsidRPr="00652167">
        <w:t xml:space="preserve"> </w:t>
      </w:r>
      <w:hyperlink r:id="rId34" w:history="1">
        <w:r w:rsidRPr="00652167">
          <w:rPr>
            <w:rStyle w:val="Hyperlink"/>
          </w:rPr>
          <w:t>https://doi.org/10.1080/0092623x.2010.488113</w:t>
        </w:r>
        <w:r w:rsidRPr="00652167">
          <w:rPr>
            <w:color w:val="38A6CB"/>
            <w:u w:val="single"/>
          </w:rPr>
          <w:t xml:space="preserve"> </w:t>
        </w:r>
      </w:hyperlink>
    </w:p>
    <w:p w14:paraId="69CE69E6" w14:textId="77777777" w:rsidR="005D48B8" w:rsidRPr="00652167" w:rsidRDefault="005D48B8" w:rsidP="005D48B8">
      <w:pPr>
        <w:pStyle w:val="Refs"/>
      </w:pPr>
      <w:r w:rsidRPr="00652167">
        <w:t xml:space="preserve">Schochet, </w:t>
      </w:r>
      <w:r w:rsidR="00DF72DA" w:rsidRPr="00652167">
        <w:t>P.</w:t>
      </w:r>
      <w:r w:rsidRPr="00652167">
        <w:t xml:space="preserve"> Z. (2008). Statistical Power for Random Assignment Evaluations of Education Programs. </w:t>
      </w:r>
      <w:r w:rsidRPr="00652167">
        <w:rPr>
          <w:i/>
        </w:rPr>
        <w:t>Journal of Educational and Behavioral Statistics, 33</w:t>
      </w:r>
      <w:r w:rsidRPr="00652167">
        <w:t xml:space="preserve">(1), 62-87. </w:t>
      </w:r>
      <w:hyperlink r:id="rId35" w:history="1">
        <w:r w:rsidRPr="00652167">
          <w:rPr>
            <w:rStyle w:val="Hyperlink"/>
            <w:rFonts w:eastAsiaTheme="majorEastAsia"/>
          </w:rPr>
          <w:t>https://journals.sagepub.com/doi/abs/10.3102/1076998607302714</w:t>
        </w:r>
      </w:hyperlink>
      <w:r w:rsidRPr="00652167">
        <w:t>.</w:t>
      </w:r>
      <w:r w:rsidRPr="00652167">
        <w:rPr>
          <w:i/>
        </w:rPr>
        <w:t xml:space="preserve">  </w:t>
      </w:r>
    </w:p>
    <w:p w14:paraId="2EC199D6" w14:textId="77777777" w:rsidR="005D48B8" w:rsidRPr="00652167" w:rsidRDefault="005D48B8" w:rsidP="005D48B8">
      <w:pPr>
        <w:pStyle w:val="Refs"/>
      </w:pPr>
      <w:r w:rsidRPr="00652167">
        <w:t xml:space="preserve">Schochet, </w:t>
      </w:r>
      <w:r w:rsidR="00DF72DA" w:rsidRPr="00652167">
        <w:t>P.</w:t>
      </w:r>
      <w:r w:rsidRPr="00652167">
        <w:t xml:space="preserve"> Z. (2005). Statistical Power for Random Assignment Evaluations of Education Programs. </w:t>
      </w:r>
      <w:hyperlink r:id="rId36" w:history="1">
        <w:r w:rsidRPr="00652167">
          <w:rPr>
            <w:rStyle w:val="Hyperlink"/>
            <w:rFonts w:eastAsiaTheme="majorEastAsia"/>
          </w:rPr>
          <w:t>https://cire.mathematica-mpr.com/~/media/publications/pdfs/statisticalpower.pdf</w:t>
        </w:r>
      </w:hyperlink>
      <w:r w:rsidRPr="00652167">
        <w:t xml:space="preserve">. </w:t>
      </w:r>
    </w:p>
    <w:p w14:paraId="54377531" w14:textId="77777777" w:rsidR="00C24449" w:rsidRPr="00652167" w:rsidRDefault="00C24449" w:rsidP="00C24449">
      <w:pPr>
        <w:pStyle w:val="Refs"/>
        <w:rPr>
          <w:rStyle w:val="Hyperlink"/>
          <w:rFonts w:eastAsiaTheme="majorEastAsia"/>
        </w:rPr>
      </w:pPr>
      <w:r w:rsidRPr="00652167">
        <w:t xml:space="preserve">Weed S. E., Ericksen, I. E., Lewis, A., Grant, G. E., &amp; Wibberly, K. H. (2008). An abstinence program’s impact on cognitive mediators and sexual initiation. </w:t>
      </w:r>
      <w:r w:rsidRPr="00652167">
        <w:rPr>
          <w:i/>
          <w:iCs/>
        </w:rPr>
        <w:t>American Journal of Health Behavior, 32</w:t>
      </w:r>
      <w:r w:rsidRPr="00652167">
        <w:rPr>
          <w:iCs/>
        </w:rPr>
        <w:t xml:space="preserve">(1), </w:t>
      </w:r>
      <w:r w:rsidRPr="00652167">
        <w:t xml:space="preserve">60–73. </w:t>
      </w:r>
      <w:hyperlink r:id="rId37" w:history="1">
        <w:r w:rsidRPr="00652167">
          <w:rPr>
            <w:rStyle w:val="Hyperlink"/>
            <w:rFonts w:eastAsiaTheme="majorEastAsia"/>
          </w:rPr>
          <w:t>https://doi.org/10.5993/ajhb.32.1.6</w:t>
        </w:r>
      </w:hyperlink>
    </w:p>
    <w:p w14:paraId="6E97B975" w14:textId="77777777" w:rsidR="00461100" w:rsidRPr="00652167" w:rsidRDefault="00461100" w:rsidP="00C24449">
      <w:pPr>
        <w:pStyle w:val="Refs"/>
      </w:pPr>
      <w:r w:rsidRPr="00652167">
        <w:t>What Works Clearinghouse. (2018). What Works Clearinghouse Standards Handbook, Version 4.0. Washington DC: National Center for Education Evaluation and Regional Assistance, Institute of Education Sciences, US Department of Education.</w:t>
      </w:r>
    </w:p>
    <w:sectPr w:rsidR="00461100" w:rsidRPr="00652167" w:rsidSect="009B36DE">
      <w:type w:val="continuous"/>
      <w:pgSz w:w="12240" w:h="15840"/>
      <w:pgMar w:top="1440" w:right="135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7224C9" w14:textId="77777777" w:rsidR="00E429A6" w:rsidRDefault="00E429A6" w:rsidP="007A15F0">
      <w:r>
        <w:separator/>
      </w:r>
    </w:p>
  </w:endnote>
  <w:endnote w:type="continuationSeparator" w:id="0">
    <w:p w14:paraId="14FA1853" w14:textId="77777777" w:rsidR="00E429A6" w:rsidRDefault="00E429A6" w:rsidP="007A15F0">
      <w:r>
        <w:continuationSeparator/>
      </w:r>
    </w:p>
  </w:endnote>
  <w:endnote w:type="continuationNotice" w:id="1">
    <w:p w14:paraId="7B0B4AEB" w14:textId="77777777" w:rsidR="00E429A6" w:rsidRDefault="00E429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Bold">
    <w:altName w:val="Times New Roman"/>
    <w:panose1 w:val="02020803070505020304"/>
    <w:charset w:val="00"/>
    <w:family w:val="auto"/>
    <w:pitch w:val="variable"/>
    <w:sig w:usb0="E0002AEF" w:usb1="C0007841" w:usb2="00000009" w:usb3="00000000" w:csb0="000001FF" w:csb1="00000000"/>
  </w:font>
  <w:font w:name="FSMePro">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E572E" w14:textId="77777777" w:rsidR="009E55FE" w:rsidRDefault="009E55FE" w:rsidP="00475A04">
    <w:pPr>
      <w:pStyle w:val="Footer"/>
      <w:jc w:val="right"/>
    </w:pPr>
  </w:p>
  <w:p w14:paraId="1D1369BD" w14:textId="77777777" w:rsidR="009E55FE" w:rsidRDefault="009E55FE" w:rsidP="00885F25">
    <w:pPr>
      <w:pStyle w:val="Footer"/>
      <w:tabs>
        <w:tab w:val="clear" w:pos="4320"/>
        <w:tab w:val="clear" w:pos="8640"/>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4966337"/>
      <w:docPartObj>
        <w:docPartGallery w:val="Page Numbers (Bottom of Page)"/>
        <w:docPartUnique/>
      </w:docPartObj>
    </w:sdtPr>
    <w:sdtEndPr>
      <w:rPr>
        <w:noProof/>
      </w:rPr>
    </w:sdtEndPr>
    <w:sdtContent>
      <w:p w14:paraId="74BE0FFF" w14:textId="2DFFA677" w:rsidR="009E55FE" w:rsidRDefault="009E55FE" w:rsidP="00885F25">
        <w:pPr>
          <w:pStyle w:val="Footer"/>
          <w:jc w:val="center"/>
        </w:pPr>
        <w:r>
          <w:fldChar w:fldCharType="begin"/>
        </w:r>
        <w:r>
          <w:instrText xml:space="preserve"> PAGE   \* MERGEFORMAT </w:instrText>
        </w:r>
        <w:r>
          <w:fldChar w:fldCharType="separate"/>
        </w:r>
        <w:r w:rsidR="004852F7">
          <w:rPr>
            <w:noProof/>
          </w:rPr>
          <w:t>ii</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6321554"/>
      <w:docPartObj>
        <w:docPartGallery w:val="Page Numbers (Bottom of Page)"/>
        <w:docPartUnique/>
      </w:docPartObj>
    </w:sdtPr>
    <w:sdtEndPr>
      <w:rPr>
        <w:noProof/>
      </w:rPr>
    </w:sdtEndPr>
    <w:sdtContent>
      <w:p w14:paraId="3821DE24" w14:textId="1BE11888" w:rsidR="009E55FE" w:rsidRDefault="009E55FE">
        <w:pPr>
          <w:pStyle w:val="Footer"/>
          <w:jc w:val="center"/>
        </w:pPr>
        <w:r>
          <w:fldChar w:fldCharType="begin"/>
        </w:r>
        <w:r>
          <w:instrText xml:space="preserve"> PAGE   \* MERGEFORMAT </w:instrText>
        </w:r>
        <w:r>
          <w:fldChar w:fldCharType="separate"/>
        </w:r>
        <w:r w:rsidR="00CB0393">
          <w:rPr>
            <w:noProof/>
          </w:rPr>
          <w:t>17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1ADF85" w14:textId="77777777" w:rsidR="00E429A6" w:rsidRDefault="00E429A6" w:rsidP="007A15F0">
      <w:r>
        <w:separator/>
      </w:r>
    </w:p>
  </w:footnote>
  <w:footnote w:type="continuationSeparator" w:id="0">
    <w:p w14:paraId="7FFDDFAF" w14:textId="77777777" w:rsidR="00E429A6" w:rsidRDefault="00E429A6" w:rsidP="007A15F0">
      <w:r>
        <w:continuationSeparator/>
      </w:r>
    </w:p>
  </w:footnote>
  <w:footnote w:type="continuationNotice" w:id="1">
    <w:p w14:paraId="64C894B3" w14:textId="77777777" w:rsidR="00E429A6" w:rsidRDefault="00E429A6"/>
  </w:footnote>
  <w:footnote w:id="2">
    <w:p w14:paraId="7DFD7F8D" w14:textId="77777777" w:rsidR="009E55FE" w:rsidRPr="00652167" w:rsidRDefault="009E55FE" w:rsidP="00D5429E">
      <w:pPr>
        <w:pStyle w:val="FootnoteText"/>
      </w:pPr>
      <w:r w:rsidRPr="00652167">
        <w:rPr>
          <w:rStyle w:val="FootnoteReference"/>
          <w:vertAlign w:val="superscript"/>
        </w:rPr>
        <w:footnoteRef/>
      </w:r>
      <w:r w:rsidRPr="00652167">
        <w:t xml:space="preserve"> The original SMARTool was developed in 2010 by the Center for Relationship Education through a cooperative agreement with the Centers for Disease Control and Prevention, Division of Adolescent School Health: 1-U58-DP000452.</w:t>
      </w:r>
    </w:p>
  </w:footnote>
  <w:footnote w:id="3">
    <w:p w14:paraId="01132CFA" w14:textId="77777777" w:rsidR="009E55FE" w:rsidRPr="00652167" w:rsidRDefault="009E55FE" w:rsidP="00E14013">
      <w:pPr>
        <w:pStyle w:val="FootnoteText"/>
      </w:pPr>
      <w:r w:rsidRPr="00652167">
        <w:rPr>
          <w:rStyle w:val="FootnoteReference"/>
        </w:rPr>
        <w:footnoteRef/>
      </w:r>
      <w:r w:rsidRPr="00652167">
        <w:t xml:space="preserve"> The SMARTool defines SRA education as follows: “Sexual risk avoidance education is defined in legislation and while there is some variance in the language, there are several core elements: (1) SRA education must focus on the benefits of voluntarily refraining from nonmarital sexual activity. Within that context SRA education must, (2) present medically-accurate and age-appropriate information; (3) implement an evidence-based approach; (4) provide skills on healthy relationship development; (5) help students develop personal responsibility, self-regulation, and healthy decision making; (6) include teaching on other health risk behaviors such as substance use; and (7) promote parent involvement and communication.” (p. 6).</w:t>
      </w:r>
    </w:p>
  </w:footnote>
  <w:footnote w:id="4">
    <w:p w14:paraId="57B123E6" w14:textId="77777777" w:rsidR="009E55FE" w:rsidRPr="00652167" w:rsidRDefault="009E55FE">
      <w:pPr>
        <w:pStyle w:val="FootnoteText"/>
      </w:pPr>
      <w:r w:rsidRPr="00652167">
        <w:rPr>
          <w:rStyle w:val="FootnoteReference"/>
        </w:rPr>
        <w:footnoteRef/>
      </w:r>
      <w:r w:rsidRPr="00652167">
        <w:t xml:space="preserve"> The updated SMARTool is available on CRE’s website: </w:t>
      </w:r>
      <w:hyperlink r:id="rId1" w:history="1">
        <w:r w:rsidRPr="00652167">
          <w:rPr>
            <w:rStyle w:val="Hyperlink"/>
          </w:rPr>
          <w:t>https://www.myrelationshipcenter.org/getmedia/dbed93af-9424-4009-8f1f-8495b4aba8b4/SMARTool-Curricula.pdf.aspx</w:t>
        </w:r>
      </w:hyperlink>
    </w:p>
  </w:footnote>
  <w:footnote w:id="5">
    <w:p w14:paraId="41BB076C" w14:textId="77777777" w:rsidR="009E55FE" w:rsidRPr="00652167" w:rsidRDefault="009E55FE">
      <w:pPr>
        <w:pStyle w:val="FootnoteText"/>
      </w:pPr>
      <w:r w:rsidRPr="00652167">
        <w:rPr>
          <w:rStyle w:val="FootnoteReference"/>
        </w:rPr>
        <w:footnoteRef/>
      </w:r>
      <w:r w:rsidRPr="00652167">
        <w:t xml:space="preserve"> Note that this study is </w:t>
      </w:r>
      <w:r w:rsidRPr="00652167">
        <w:rPr>
          <w:i/>
        </w:rPr>
        <w:t>not</w:t>
      </w:r>
      <w:r w:rsidRPr="00652167">
        <w:t xml:space="preserve"> comparing the  SMARTool-aligned SRA curricula vs. curricula that are not aligned with the SMARTool. The comparison of different SRA curricula could potentially be part of a broader research agenda for OASH.</w:t>
      </w:r>
    </w:p>
  </w:footnote>
  <w:footnote w:id="6">
    <w:p w14:paraId="3F188982" w14:textId="77777777" w:rsidR="009E55FE" w:rsidRPr="00652167" w:rsidRDefault="009E55FE">
      <w:pPr>
        <w:pStyle w:val="FootnoteText"/>
      </w:pPr>
      <w:r w:rsidRPr="00652167">
        <w:rPr>
          <w:rStyle w:val="FootnoteReference"/>
        </w:rPr>
        <w:footnoteRef/>
      </w:r>
      <w:r w:rsidRPr="00652167">
        <w:t xml:space="preserve"> </w:t>
      </w:r>
      <w:hyperlink r:id="rId2" w:history="1">
        <w:r w:rsidRPr="00652167">
          <w:rPr>
            <w:rStyle w:val="Hyperlink"/>
          </w:rPr>
          <w:t>https://www.acf.hhs.gov/sites/default/files/fysb/prep-making-adaptations-ts.pdf</w:t>
        </w:r>
      </w:hyperlink>
    </w:p>
  </w:footnote>
  <w:footnote w:id="7">
    <w:p w14:paraId="2B6020D0" w14:textId="77777777" w:rsidR="009E55FE" w:rsidRPr="00652167" w:rsidRDefault="009E55FE" w:rsidP="0086480B">
      <w:pPr>
        <w:pStyle w:val="FootnoteText"/>
      </w:pPr>
      <w:r w:rsidRPr="00652167">
        <w:rPr>
          <w:rStyle w:val="FootnoteReference"/>
          <w:vertAlign w:val="superscript"/>
        </w:rPr>
        <w:footnoteRef/>
      </w:r>
      <w:r w:rsidRPr="00652167">
        <w:rPr>
          <w:vertAlign w:val="superscript"/>
        </w:rPr>
        <w:t xml:space="preserve"> </w:t>
      </w:r>
      <w:r w:rsidRPr="00652167">
        <w:t>https://www.hhs.gov/ash/oah/sites/default/files/contamination-bias-and-clustering-brief.pdf</w:t>
      </w:r>
    </w:p>
  </w:footnote>
  <w:footnote w:id="8">
    <w:p w14:paraId="21D78436" w14:textId="77777777" w:rsidR="009E55FE" w:rsidRPr="00652167" w:rsidRDefault="009E55FE" w:rsidP="0086480B">
      <w:pPr>
        <w:pStyle w:val="FootnoteText"/>
      </w:pPr>
      <w:r w:rsidRPr="00652167">
        <w:rPr>
          <w:rStyle w:val="FootnoteReference"/>
        </w:rPr>
        <w:footnoteRef/>
      </w:r>
      <w:r w:rsidRPr="00652167">
        <w:t xml:space="preserve"> </w:t>
      </w:r>
      <w:hyperlink r:id="rId3" w:history="1">
        <w:r w:rsidRPr="00652167">
          <w:rPr>
            <w:rStyle w:val="Hyperlink"/>
          </w:rPr>
          <w:t>https://cire.mathematica-mpr.com/~/media/publications/pdfs/statisticalpower.pdf</w:t>
        </w:r>
      </w:hyperlink>
      <w:r w:rsidRPr="00652167">
        <w:t xml:space="preserve"> </w:t>
      </w:r>
      <w:hyperlink r:id="rId4" w:history="1">
        <w:r w:rsidRPr="00652167">
          <w:rPr>
            <w:rStyle w:val="Hyperlink"/>
          </w:rPr>
          <w:t>https://journals.sagepub.com/doi/abs/10.3102/1076998607302714</w:t>
        </w:r>
      </w:hyperlink>
      <w:r w:rsidRPr="00652167">
        <w:t xml:space="preserve">.  </w:t>
      </w:r>
    </w:p>
  </w:footnote>
  <w:footnote w:id="9">
    <w:p w14:paraId="63F7CB61" w14:textId="77777777" w:rsidR="009E55FE" w:rsidRPr="00652167" w:rsidRDefault="009E55FE" w:rsidP="0086480B">
      <w:pPr>
        <w:pStyle w:val="FootnoteText"/>
      </w:pPr>
      <w:r w:rsidRPr="00652167">
        <w:rPr>
          <w:rStyle w:val="FootnoteReference"/>
        </w:rPr>
        <w:footnoteRef/>
      </w:r>
      <w:r w:rsidRPr="00652167">
        <w:t xml:space="preserve"> See for example: https://www.hhs.gov/ash/oah/sites/default/files/ash/oah/oah-initiatives/evaluation/grantee-led-evaluation/reports/hennepin-final-report.pdf</w:t>
      </w:r>
    </w:p>
  </w:footnote>
  <w:footnote w:id="10">
    <w:p w14:paraId="3442382F" w14:textId="77777777" w:rsidR="009E55FE" w:rsidRDefault="009E55FE">
      <w:pPr>
        <w:pStyle w:val="FootnoteText"/>
      </w:pPr>
      <w:r w:rsidRPr="00652167">
        <w:rPr>
          <w:rStyle w:val="FootnoteReference"/>
          <w:vertAlign w:val="superscript"/>
        </w:rPr>
        <w:footnoteRef/>
      </w:r>
      <w:r w:rsidRPr="00652167">
        <w:t xml:space="preserve"> What Works Clearinghouse. (2018). What Works Clearinghouse Standards Handbook, Version 4.0. Washington DC: National Center for Education Evaluation and Regional Assistance, Institute of Education Sciences, US Department of Education.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28937" w14:textId="77777777" w:rsidR="009E55FE" w:rsidRDefault="009E55FE" w:rsidP="00475A04">
    <w:pPr>
      <w:pStyle w:val="Header"/>
      <w:tabs>
        <w:tab w:val="clear" w:pos="4320"/>
        <w:tab w:val="clear" w:pos="8640"/>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62889B64"/>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0000001"/>
    <w:multiLevelType w:val="multilevel"/>
    <w:tmpl w:val="00000000"/>
    <w:name w:val="1"/>
    <w:lvl w:ilvl="0">
      <w:start w:val="1"/>
      <w:numFmt w:val="decimal"/>
      <w:pStyle w:val="Outline003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nsid w:val="00000002"/>
    <w:multiLevelType w:val="multilevel"/>
    <w:tmpl w:val="00000000"/>
    <w:name w:val="2"/>
    <w:lvl w:ilvl="0">
      <w:start w:val="1"/>
      <w:numFmt w:val="upperLetter"/>
      <w:pStyle w:val="Outline0021"/>
      <w:lvlText w:val="%1."/>
      <w:lvlJc w:val="left"/>
    </w:lvl>
    <w:lvl w:ilvl="1">
      <w:start w:val="1"/>
      <w:numFmt w:val="decimal"/>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nsid w:val="01013517"/>
    <w:multiLevelType w:val="hybridMultilevel"/>
    <w:tmpl w:val="D820E342"/>
    <w:lvl w:ilvl="0" w:tplc="945C3B1C">
      <w:start w:val="1"/>
      <w:numFmt w:val="decimal"/>
      <w:pStyle w:val="OMBHeading-2"/>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35663B"/>
    <w:multiLevelType w:val="hybridMultilevel"/>
    <w:tmpl w:val="165AEF00"/>
    <w:lvl w:ilvl="0" w:tplc="8F620626">
      <w:start w:val="14"/>
      <w:numFmt w:val="decimal"/>
      <w:lvlText w:val="%1."/>
      <w:lvlJc w:val="left"/>
      <w:pPr>
        <w:ind w:left="360" w:hanging="360"/>
      </w:pPr>
      <w:rPr>
        <w:rFonts w:hint="default"/>
        <w:b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362CE5"/>
    <w:multiLevelType w:val="hybridMultilevel"/>
    <w:tmpl w:val="6DD4C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68D779A"/>
    <w:multiLevelType w:val="hybridMultilevel"/>
    <w:tmpl w:val="1BBEB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89D2FDF"/>
    <w:multiLevelType w:val="hybridMultilevel"/>
    <w:tmpl w:val="78942B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9">
    <w:nsid w:val="0B6845CD"/>
    <w:multiLevelType w:val="hybridMultilevel"/>
    <w:tmpl w:val="745088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C3219BC"/>
    <w:multiLevelType w:val="hybridMultilevel"/>
    <w:tmpl w:val="A5A647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D971236"/>
    <w:multiLevelType w:val="hybridMultilevel"/>
    <w:tmpl w:val="664AA35A"/>
    <w:lvl w:ilvl="0" w:tplc="3AB23018">
      <w:start w:val="1"/>
      <w:numFmt w:val="lowerLetter"/>
      <w:lvlText w:val="%1."/>
      <w:lvlJc w:val="left"/>
      <w:pPr>
        <w:ind w:left="720" w:hanging="360"/>
      </w:pPr>
      <w:rPr>
        <w:rFonts w:ascii="Arial" w:hAnsi="Arial" w:cs="Arial"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0BC2377"/>
    <w:multiLevelType w:val="hybridMultilevel"/>
    <w:tmpl w:val="CD607E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0D97DB1"/>
    <w:multiLevelType w:val="hybridMultilevel"/>
    <w:tmpl w:val="7AE2C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2167E24"/>
    <w:multiLevelType w:val="hybridMultilevel"/>
    <w:tmpl w:val="14D8E52E"/>
    <w:lvl w:ilvl="0" w:tplc="C30A0D2E">
      <w:start w:val="1"/>
      <w:numFmt w:val="upperLetter"/>
      <w:pStyle w:val="table-bulletLM8"/>
      <w:lvlText w:val="%1."/>
      <w:lvlJc w:val="left"/>
      <w:pPr>
        <w:ind w:left="720" w:hanging="360"/>
      </w:pPr>
      <w:rPr>
        <w:rFonts w:eastAsia="Times New Roman"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AEB6A4F"/>
    <w:multiLevelType w:val="hybridMultilevel"/>
    <w:tmpl w:val="8146C38C"/>
    <w:lvl w:ilvl="0" w:tplc="47A642E0">
      <w:start w:val="5"/>
      <w:numFmt w:val="decimal"/>
      <w:lvlText w:val="%1."/>
      <w:lvlJc w:val="left"/>
      <w:pPr>
        <w:ind w:left="360" w:hanging="360"/>
      </w:pPr>
      <w:rPr>
        <w:rFonts w:hint="default"/>
        <w:b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FFF4496"/>
    <w:multiLevelType w:val="hybridMultilevel"/>
    <w:tmpl w:val="C6DECECC"/>
    <w:lvl w:ilvl="0" w:tplc="169267F2">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3C44556"/>
    <w:multiLevelType w:val="hybridMultilevel"/>
    <w:tmpl w:val="85CC6206"/>
    <w:lvl w:ilvl="0" w:tplc="04090001">
      <w:start w:val="1"/>
      <w:numFmt w:val="bullet"/>
      <w:lvlText w:val=""/>
      <w:lvlJc w:val="left"/>
      <w:pPr>
        <w:ind w:left="360" w:hanging="360"/>
      </w:pPr>
      <w:rPr>
        <w:rFonts w:ascii="Symbol" w:hAnsi="Symbol" w:hint="default"/>
        <w:b/>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47149BE"/>
    <w:multiLevelType w:val="hybridMultilevel"/>
    <w:tmpl w:val="9D2E97A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28B31C9E"/>
    <w:multiLevelType w:val="hybridMultilevel"/>
    <w:tmpl w:val="B8507BF4"/>
    <w:lvl w:ilvl="0" w:tplc="044E7E2A">
      <w:start w:val="1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28E75301"/>
    <w:multiLevelType w:val="hybridMultilevel"/>
    <w:tmpl w:val="3E409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A6F19B6"/>
    <w:multiLevelType w:val="hybridMultilevel"/>
    <w:tmpl w:val="FA8C8F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C6E2224"/>
    <w:multiLevelType w:val="hybridMultilevel"/>
    <w:tmpl w:val="21947D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C8C3EDD"/>
    <w:multiLevelType w:val="hybridMultilevel"/>
    <w:tmpl w:val="EFE026AC"/>
    <w:lvl w:ilvl="0" w:tplc="EC12FF2A">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2CA85559"/>
    <w:multiLevelType w:val="hybridMultilevel"/>
    <w:tmpl w:val="664AA35A"/>
    <w:lvl w:ilvl="0" w:tplc="3AB23018">
      <w:start w:val="1"/>
      <w:numFmt w:val="lowerLetter"/>
      <w:lvlText w:val="%1."/>
      <w:lvlJc w:val="left"/>
      <w:pPr>
        <w:ind w:left="720" w:hanging="360"/>
      </w:pPr>
      <w:rPr>
        <w:rFonts w:ascii="Arial" w:hAnsi="Arial" w:cs="Arial"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2F941AC"/>
    <w:multiLevelType w:val="hybridMultilevel"/>
    <w:tmpl w:val="E822DC06"/>
    <w:lvl w:ilvl="0" w:tplc="676AD5DE">
      <w:start w:val="1"/>
      <w:numFmt w:val="bullet"/>
      <w:pStyle w:val="bullets2nd-level"/>
      <w:lvlText w:val="–"/>
      <w:lvlJc w:val="left"/>
      <w:pPr>
        <w:ind w:left="108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3852309"/>
    <w:multiLevelType w:val="hybridMultilevel"/>
    <w:tmpl w:val="8026A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418432B"/>
    <w:multiLevelType w:val="hybridMultilevel"/>
    <w:tmpl w:val="0CF8EC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3B8510DC"/>
    <w:multiLevelType w:val="multilevel"/>
    <w:tmpl w:val="D45ECA8A"/>
    <w:lvl w:ilvl="0">
      <w:start w:val="1"/>
      <w:numFmt w:val="bullet"/>
      <w:pStyle w:val="TableBullet"/>
      <w:lvlText w:val=""/>
      <w:lvlJc w:val="left"/>
      <w:pPr>
        <w:tabs>
          <w:tab w:val="num" w:pos="216"/>
        </w:tabs>
        <w:ind w:left="216" w:hanging="216"/>
      </w:pPr>
      <w:rPr>
        <w:rFonts w:ascii="Symbol" w:hAnsi="Symbol" w:hint="default"/>
        <w:b/>
        <w:i w:val="0"/>
        <w:color w:val="auto"/>
        <w:sz w:val="20"/>
      </w:rPr>
    </w:lvl>
    <w:lvl w:ilvl="1">
      <w:start w:val="1"/>
      <w:numFmt w:val="bullet"/>
      <w:lvlText w:val="–"/>
      <w:lvlJc w:val="left"/>
      <w:pPr>
        <w:tabs>
          <w:tab w:val="num" w:pos="720"/>
        </w:tabs>
        <w:ind w:left="720" w:hanging="360"/>
      </w:pPr>
      <w:rPr>
        <w:rFonts w:ascii="Times New Roman" w:hAnsi="Times New Roman" w:hint="default"/>
        <w:b/>
        <w:i w:val="0"/>
        <w:sz w:val="22"/>
      </w:rPr>
    </w:lvl>
    <w:lvl w:ilvl="2">
      <w:start w:val="1"/>
      <w:numFmt w:val="bullet"/>
      <w:lvlText w:val=""/>
      <w:lvlJc w:val="left"/>
      <w:pPr>
        <w:tabs>
          <w:tab w:val="num" w:pos="1080"/>
        </w:tabs>
        <w:ind w:left="1080" w:hanging="360"/>
      </w:pPr>
      <w:rPr>
        <w:rFonts w:ascii="Symbol" w:hAnsi="Symbol" w:hint="default"/>
        <w:b w:val="0"/>
        <w:i w:val="0"/>
        <w:sz w:val="16"/>
      </w:rPr>
    </w:lvl>
    <w:lvl w:ilvl="3">
      <w:start w:val="1"/>
      <w:numFmt w:val="decimal"/>
      <w:lvlText w:val="%1.%2.%3.%4."/>
      <w:lvlJc w:val="left"/>
      <w:pPr>
        <w:tabs>
          <w:tab w:val="num" w:pos="2088"/>
        </w:tabs>
        <w:ind w:left="2088" w:hanging="1008"/>
      </w:pPr>
      <w:rPr>
        <w:rFonts w:ascii="Arial Narrow" w:hAnsi="Arial Narrow" w:hint="default"/>
        <w:b w:val="0"/>
        <w:i w:val="0"/>
        <w:sz w:val="22"/>
      </w:rPr>
    </w:lvl>
    <w:lvl w:ilvl="4">
      <w:start w:val="1"/>
      <w:numFmt w:val="decimal"/>
      <w:lvlText w:val="%1.%2.%3.%4.%5."/>
      <w:lvlJc w:val="left"/>
      <w:pPr>
        <w:tabs>
          <w:tab w:val="num" w:pos="1872"/>
        </w:tabs>
        <w:ind w:left="1872" w:hanging="792"/>
      </w:pPr>
      <w:rPr>
        <w:rFonts w:ascii="Arial Narrow" w:hAnsi="Arial Narrow" w:hint="default"/>
        <w:b w:val="0"/>
        <w:i w:val="0"/>
        <w:sz w:val="20"/>
      </w:rPr>
    </w:lvl>
    <w:lvl w:ilvl="5">
      <w:start w:val="1"/>
      <w:numFmt w:val="decimal"/>
      <w:lvlText w:val="%1.%2.%3.%4.%5.%6."/>
      <w:lvlJc w:val="left"/>
      <w:pPr>
        <w:tabs>
          <w:tab w:val="num" w:pos="2376"/>
        </w:tabs>
        <w:ind w:left="2376" w:hanging="936"/>
      </w:pPr>
      <w:rPr>
        <w:rFonts w:ascii="Arial Narrow" w:hAnsi="Arial Narrow" w:hint="default"/>
        <w:b w:val="0"/>
        <w:i/>
        <w:sz w:val="20"/>
      </w:rPr>
    </w:lvl>
    <w:lvl w:ilvl="6">
      <w:start w:val="1"/>
      <w:numFmt w:val="decimal"/>
      <w:lvlText w:val="%1.%2.%3.%4.%5.%6.%7."/>
      <w:lvlJc w:val="left"/>
      <w:pPr>
        <w:tabs>
          <w:tab w:val="num" w:pos="2880"/>
        </w:tabs>
        <w:ind w:left="2880" w:hanging="1080"/>
      </w:pPr>
      <w:rPr>
        <w:rFonts w:ascii="Arial Narrow" w:hAnsi="Arial Narrow" w:hint="default"/>
        <w:b w:val="0"/>
        <w:i/>
        <w:sz w:val="20"/>
      </w:rPr>
    </w:lvl>
    <w:lvl w:ilvl="7">
      <w:start w:val="1"/>
      <w:numFmt w:val="decimal"/>
      <w:lvlText w:val="%1.%2.%3.%4.%5.%6.%7.%8."/>
      <w:lvlJc w:val="left"/>
      <w:pPr>
        <w:tabs>
          <w:tab w:val="num" w:pos="3384"/>
        </w:tabs>
        <w:ind w:left="3384" w:hanging="1224"/>
      </w:pPr>
      <w:rPr>
        <w:rFonts w:ascii="Arial Narrow" w:hAnsi="Arial Narrow" w:hint="default"/>
        <w:b w:val="0"/>
        <w:i w:val="0"/>
        <w:sz w:val="18"/>
      </w:rPr>
    </w:lvl>
    <w:lvl w:ilvl="8">
      <w:start w:val="1"/>
      <w:numFmt w:val="decimal"/>
      <w:lvlText w:val="%1.%2.%3.%4.%5.%6.%7.%8.%9."/>
      <w:lvlJc w:val="left"/>
      <w:pPr>
        <w:tabs>
          <w:tab w:val="num" w:pos="3960"/>
        </w:tabs>
        <w:ind w:left="3960" w:hanging="1440"/>
      </w:pPr>
      <w:rPr>
        <w:rFonts w:ascii="Arial Narrow" w:hAnsi="Arial Narrow" w:hint="default"/>
        <w:b w:val="0"/>
        <w:i w:val="0"/>
        <w:sz w:val="18"/>
      </w:rPr>
    </w:lvl>
  </w:abstractNum>
  <w:abstractNum w:abstractNumId="29">
    <w:nsid w:val="40CC0E49"/>
    <w:multiLevelType w:val="hybridMultilevel"/>
    <w:tmpl w:val="7C4846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1814082"/>
    <w:multiLevelType w:val="hybridMultilevel"/>
    <w:tmpl w:val="A37A18D2"/>
    <w:lvl w:ilvl="0" w:tplc="6F1CE7A2">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4584274D"/>
    <w:multiLevelType w:val="hybridMultilevel"/>
    <w:tmpl w:val="BE068C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4AFF5AE7"/>
    <w:multiLevelType w:val="hybridMultilevel"/>
    <w:tmpl w:val="52B8D9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nsid w:val="4BB3544C"/>
    <w:multiLevelType w:val="hybridMultilevel"/>
    <w:tmpl w:val="BE068C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4C9C3C46"/>
    <w:multiLevelType w:val="hybridMultilevel"/>
    <w:tmpl w:val="DD5A74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E9203FA"/>
    <w:multiLevelType w:val="hybridMultilevel"/>
    <w:tmpl w:val="745088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FF11BB6"/>
    <w:multiLevelType w:val="hybridMultilevel"/>
    <w:tmpl w:val="909A10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0476C67"/>
    <w:multiLevelType w:val="hybridMultilevel"/>
    <w:tmpl w:val="F69A3836"/>
    <w:lvl w:ilvl="0" w:tplc="04090001">
      <w:start w:val="1"/>
      <w:numFmt w:val="bullet"/>
      <w:pStyle w:val="NumberedLis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1375E6E"/>
    <w:multiLevelType w:val="hybridMultilevel"/>
    <w:tmpl w:val="D95E7A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5EEC58D3"/>
    <w:multiLevelType w:val="hybridMultilevel"/>
    <w:tmpl w:val="8AF2F1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5F1E562A"/>
    <w:multiLevelType w:val="hybridMultilevel"/>
    <w:tmpl w:val="11A68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F2972F1"/>
    <w:multiLevelType w:val="hybridMultilevel"/>
    <w:tmpl w:val="664AA35A"/>
    <w:lvl w:ilvl="0" w:tplc="3AB23018">
      <w:start w:val="1"/>
      <w:numFmt w:val="lowerLetter"/>
      <w:lvlText w:val="%1."/>
      <w:lvlJc w:val="left"/>
      <w:pPr>
        <w:ind w:left="720" w:hanging="360"/>
      </w:pPr>
      <w:rPr>
        <w:rFonts w:ascii="Arial" w:hAnsi="Arial" w:cs="Arial"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F49437A"/>
    <w:multiLevelType w:val="hybridMultilevel"/>
    <w:tmpl w:val="4732B3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0851599"/>
    <w:multiLevelType w:val="hybridMultilevel"/>
    <w:tmpl w:val="827420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61A36FB6"/>
    <w:multiLevelType w:val="hybridMultilevel"/>
    <w:tmpl w:val="1D3033CE"/>
    <w:lvl w:ilvl="0" w:tplc="D044692E">
      <w:start w:val="1"/>
      <w:numFmt w:val="bullet"/>
      <w:pStyle w:val="bullets"/>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6383639F"/>
    <w:multiLevelType w:val="hybridMultilevel"/>
    <w:tmpl w:val="5F72212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6">
    <w:nsid w:val="65D97EE5"/>
    <w:multiLevelType w:val="hybridMultilevel"/>
    <w:tmpl w:val="C852A3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6614590E"/>
    <w:multiLevelType w:val="hybridMultilevel"/>
    <w:tmpl w:val="152222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6482AFB"/>
    <w:multiLevelType w:val="hybridMultilevel"/>
    <w:tmpl w:val="4DE492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7FC0CF8"/>
    <w:multiLevelType w:val="hybridMultilevel"/>
    <w:tmpl w:val="A482834E"/>
    <w:lvl w:ilvl="0" w:tplc="B406DB7E">
      <w:start w:val="1"/>
      <w:numFmt w:val="decimal"/>
      <w:pStyle w:val="NumberedList"/>
      <w:lvlText w:val="%1."/>
      <w:lvlJc w:val="left"/>
      <w:pPr>
        <w:ind w:left="810" w:hanging="360"/>
      </w:pPr>
      <w:rPr>
        <w:b w:val="0"/>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0">
    <w:nsid w:val="6AE805D1"/>
    <w:multiLevelType w:val="hybridMultilevel"/>
    <w:tmpl w:val="664AA35A"/>
    <w:lvl w:ilvl="0" w:tplc="3AB23018">
      <w:start w:val="1"/>
      <w:numFmt w:val="lowerLetter"/>
      <w:lvlText w:val="%1."/>
      <w:lvlJc w:val="left"/>
      <w:pPr>
        <w:ind w:left="720" w:hanging="360"/>
      </w:pPr>
      <w:rPr>
        <w:rFonts w:ascii="Arial" w:hAnsi="Arial" w:cs="Arial"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BAF761B"/>
    <w:multiLevelType w:val="hybridMultilevel"/>
    <w:tmpl w:val="4DE492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F125AD0"/>
    <w:multiLevelType w:val="hybridMultilevel"/>
    <w:tmpl w:val="D2A220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70942418"/>
    <w:multiLevelType w:val="hybridMultilevel"/>
    <w:tmpl w:val="BE068C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nsid w:val="719F239D"/>
    <w:multiLevelType w:val="hybridMultilevel"/>
    <w:tmpl w:val="F90E2D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nsid w:val="725320E7"/>
    <w:multiLevelType w:val="hybridMultilevel"/>
    <w:tmpl w:val="4A54C712"/>
    <w:lvl w:ilvl="0" w:tplc="943C3E0C">
      <w:start w:val="15"/>
      <w:numFmt w:val="decimal"/>
      <w:lvlText w:val="%1."/>
      <w:lvlJc w:val="left"/>
      <w:pPr>
        <w:ind w:left="360" w:hanging="360"/>
      </w:pPr>
      <w:rPr>
        <w:rFonts w:hint="default"/>
        <w:b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2B71E14"/>
    <w:multiLevelType w:val="multilevel"/>
    <w:tmpl w:val="F6D03BFC"/>
    <w:lvl w:ilvl="0">
      <w:start w:val="1"/>
      <w:numFmt w:val="bullet"/>
      <w:pStyle w:val="table-bulletLM"/>
      <w:lvlText w:val="▪"/>
      <w:lvlJc w:val="left"/>
      <w:pPr>
        <w:ind w:left="288" w:hanging="288"/>
      </w:pPr>
      <w:rPr>
        <w:rFonts w:ascii="Verdana" w:hAnsi="Verdana" w:hint="default"/>
        <w:sz w:val="20"/>
      </w:rPr>
    </w:lvl>
    <w:lvl w:ilvl="1">
      <w:start w:val="1"/>
      <w:numFmt w:val="bullet"/>
      <w:lvlText w:val="–"/>
      <w:lvlJc w:val="left"/>
      <w:pPr>
        <w:ind w:left="576" w:hanging="288"/>
      </w:pPr>
      <w:rPr>
        <w:rFonts w:ascii="Verdana" w:hAnsi="Verdana"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nsid w:val="77DA2AD0"/>
    <w:multiLevelType w:val="hybridMultilevel"/>
    <w:tmpl w:val="0CB02D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9F16F3C"/>
    <w:multiLevelType w:val="hybridMultilevel"/>
    <w:tmpl w:val="3DA2FD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B1651F4"/>
    <w:multiLevelType w:val="hybridMultilevel"/>
    <w:tmpl w:val="8ECCC1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nsid w:val="7F495747"/>
    <w:multiLevelType w:val="hybridMultilevel"/>
    <w:tmpl w:val="FB14C6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lvlOverride w:ilvl="0">
      <w:startOverride w:val="1"/>
      <w:lvl w:ilvl="0">
        <w:start w:val="1"/>
        <w:numFmt w:val="upperLetter"/>
        <w:pStyle w:val="Outline0021"/>
        <w:lvlText w:val="%1."/>
        <w:lvlJc w:val="left"/>
      </w:lvl>
    </w:lvlOverride>
    <w:lvlOverride w:ilvl="1">
      <w:startOverride w:val="1"/>
      <w:lvl w:ilvl="1">
        <w:start w:val="1"/>
        <w:numFmt w:val="decimal"/>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1"/>
    <w:lvlOverride w:ilvl="0">
      <w:startOverride w:val="13"/>
      <w:lvl w:ilvl="0">
        <w:start w:val="13"/>
        <w:numFmt w:val="decimal"/>
        <w:pStyle w:val="Outline003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3">
    <w:abstractNumId w:val="3"/>
  </w:num>
  <w:num w:numId="4">
    <w:abstractNumId w:val="44"/>
  </w:num>
  <w:num w:numId="5">
    <w:abstractNumId w:val="37"/>
  </w:num>
  <w:num w:numId="6">
    <w:abstractNumId w:val="26"/>
  </w:num>
  <w:num w:numId="7">
    <w:abstractNumId w:val="14"/>
  </w:num>
  <w:num w:numId="8">
    <w:abstractNumId w:val="28"/>
  </w:num>
  <w:num w:numId="9">
    <w:abstractNumId w:val="49"/>
  </w:num>
  <w:num w:numId="10">
    <w:abstractNumId w:val="16"/>
  </w:num>
  <w:num w:numId="11">
    <w:abstractNumId w:val="42"/>
  </w:num>
  <w:num w:numId="12">
    <w:abstractNumId w:val="10"/>
  </w:num>
  <w:num w:numId="13">
    <w:abstractNumId w:val="57"/>
  </w:num>
  <w:num w:numId="14">
    <w:abstractNumId w:val="12"/>
  </w:num>
  <w:num w:numId="15">
    <w:abstractNumId w:val="22"/>
  </w:num>
  <w:num w:numId="16">
    <w:abstractNumId w:val="58"/>
  </w:num>
  <w:num w:numId="17">
    <w:abstractNumId w:val="21"/>
  </w:num>
  <w:num w:numId="18">
    <w:abstractNumId w:val="48"/>
  </w:num>
  <w:num w:numId="19">
    <w:abstractNumId w:val="34"/>
  </w:num>
  <w:num w:numId="20">
    <w:abstractNumId w:val="35"/>
  </w:num>
  <w:num w:numId="21">
    <w:abstractNumId w:val="19"/>
  </w:num>
  <w:num w:numId="22">
    <w:abstractNumId w:val="0"/>
  </w:num>
  <w:num w:numId="23">
    <w:abstractNumId w:val="30"/>
  </w:num>
  <w:num w:numId="24">
    <w:abstractNumId w:val="45"/>
  </w:num>
  <w:num w:numId="25">
    <w:abstractNumId w:val="59"/>
  </w:num>
  <w:num w:numId="26">
    <w:abstractNumId w:val="9"/>
  </w:num>
  <w:num w:numId="27">
    <w:abstractNumId w:val="56"/>
  </w:num>
  <w:num w:numId="28">
    <w:abstractNumId w:val="51"/>
  </w:num>
  <w:num w:numId="29">
    <w:abstractNumId w:val="25"/>
  </w:num>
  <w:num w:numId="30">
    <w:abstractNumId w:val="40"/>
  </w:num>
  <w:num w:numId="31">
    <w:abstractNumId w:val="23"/>
  </w:num>
  <w:num w:numId="32">
    <w:abstractNumId w:val="24"/>
  </w:num>
  <w:num w:numId="33">
    <w:abstractNumId w:val="41"/>
  </w:num>
  <w:num w:numId="34">
    <w:abstractNumId w:val="50"/>
  </w:num>
  <w:num w:numId="35">
    <w:abstractNumId w:val="53"/>
  </w:num>
  <w:num w:numId="36">
    <w:abstractNumId w:val="33"/>
  </w:num>
  <w:num w:numId="37">
    <w:abstractNumId w:val="31"/>
  </w:num>
  <w:num w:numId="38">
    <w:abstractNumId w:val="11"/>
  </w:num>
  <w:num w:numId="39">
    <w:abstractNumId w:val="15"/>
  </w:num>
  <w:num w:numId="40">
    <w:abstractNumId w:val="4"/>
  </w:num>
  <w:num w:numId="41">
    <w:abstractNumId w:val="55"/>
  </w:num>
  <w:num w:numId="42">
    <w:abstractNumId w:val="7"/>
  </w:num>
  <w:num w:numId="43">
    <w:abstractNumId w:val="17"/>
  </w:num>
  <w:num w:numId="44">
    <w:abstractNumId w:val="27"/>
  </w:num>
  <w:num w:numId="45">
    <w:abstractNumId w:val="29"/>
  </w:num>
  <w:num w:numId="46">
    <w:abstractNumId w:val="36"/>
  </w:num>
  <w:num w:numId="47">
    <w:abstractNumId w:val="47"/>
  </w:num>
  <w:num w:numId="48">
    <w:abstractNumId w:val="52"/>
  </w:num>
  <w:num w:numId="49">
    <w:abstractNumId w:val="38"/>
  </w:num>
  <w:num w:numId="50">
    <w:abstractNumId w:val="43"/>
  </w:num>
  <w:num w:numId="51">
    <w:abstractNumId w:val="60"/>
  </w:num>
  <w:num w:numId="52">
    <w:abstractNumId w:val="18"/>
  </w:num>
  <w:num w:numId="53">
    <w:abstractNumId w:val="32"/>
  </w:num>
  <w:num w:numId="54">
    <w:abstractNumId w:val="8"/>
  </w:num>
  <w:num w:numId="55">
    <w:abstractNumId w:val="6"/>
  </w:num>
  <w:num w:numId="56">
    <w:abstractNumId w:val="20"/>
  </w:num>
  <w:num w:numId="57">
    <w:abstractNumId w:val="5"/>
  </w:num>
  <w:num w:numId="58">
    <w:abstractNumId w:val="39"/>
  </w:num>
  <w:num w:numId="59">
    <w:abstractNumId w:val="46"/>
  </w:num>
  <w:num w:numId="60">
    <w:abstractNumId w:val="54"/>
  </w:num>
  <w:num w:numId="61">
    <w:abstractNumId w:val="1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5F0"/>
    <w:rsid w:val="000000DF"/>
    <w:rsid w:val="00000A36"/>
    <w:rsid w:val="00000CF3"/>
    <w:rsid w:val="0000179B"/>
    <w:rsid w:val="00001D84"/>
    <w:rsid w:val="00002B5F"/>
    <w:rsid w:val="00003698"/>
    <w:rsid w:val="00004B4D"/>
    <w:rsid w:val="00006702"/>
    <w:rsid w:val="0000693E"/>
    <w:rsid w:val="00011476"/>
    <w:rsid w:val="00013225"/>
    <w:rsid w:val="00013C89"/>
    <w:rsid w:val="00014136"/>
    <w:rsid w:val="00014633"/>
    <w:rsid w:val="00014AB6"/>
    <w:rsid w:val="00015C6E"/>
    <w:rsid w:val="00016397"/>
    <w:rsid w:val="000167B3"/>
    <w:rsid w:val="00020184"/>
    <w:rsid w:val="0002092E"/>
    <w:rsid w:val="00022328"/>
    <w:rsid w:val="0002355D"/>
    <w:rsid w:val="00023570"/>
    <w:rsid w:val="00024C18"/>
    <w:rsid w:val="000252B2"/>
    <w:rsid w:val="0002549A"/>
    <w:rsid w:val="00025BC4"/>
    <w:rsid w:val="00025EDF"/>
    <w:rsid w:val="0002663F"/>
    <w:rsid w:val="0002698C"/>
    <w:rsid w:val="000273AA"/>
    <w:rsid w:val="00027686"/>
    <w:rsid w:val="00027AEA"/>
    <w:rsid w:val="000315C6"/>
    <w:rsid w:val="00034C3E"/>
    <w:rsid w:val="0004027C"/>
    <w:rsid w:val="00042F37"/>
    <w:rsid w:val="00043EDE"/>
    <w:rsid w:val="00044F49"/>
    <w:rsid w:val="00047434"/>
    <w:rsid w:val="00051806"/>
    <w:rsid w:val="00051EEA"/>
    <w:rsid w:val="00051F39"/>
    <w:rsid w:val="00052849"/>
    <w:rsid w:val="00053915"/>
    <w:rsid w:val="00053F24"/>
    <w:rsid w:val="00054962"/>
    <w:rsid w:val="00062D7F"/>
    <w:rsid w:val="0006532A"/>
    <w:rsid w:val="00067531"/>
    <w:rsid w:val="000676B8"/>
    <w:rsid w:val="00067876"/>
    <w:rsid w:val="00070DF9"/>
    <w:rsid w:val="000724CB"/>
    <w:rsid w:val="000742EC"/>
    <w:rsid w:val="00077E6B"/>
    <w:rsid w:val="000800B1"/>
    <w:rsid w:val="0008056F"/>
    <w:rsid w:val="0008398F"/>
    <w:rsid w:val="00086591"/>
    <w:rsid w:val="00097C5C"/>
    <w:rsid w:val="000A0F21"/>
    <w:rsid w:val="000A2539"/>
    <w:rsid w:val="000A2D9B"/>
    <w:rsid w:val="000A4910"/>
    <w:rsid w:val="000A4996"/>
    <w:rsid w:val="000A4DAD"/>
    <w:rsid w:val="000A6D7A"/>
    <w:rsid w:val="000A71E5"/>
    <w:rsid w:val="000A73FD"/>
    <w:rsid w:val="000B0A2F"/>
    <w:rsid w:val="000B0E5C"/>
    <w:rsid w:val="000B0F55"/>
    <w:rsid w:val="000B1186"/>
    <w:rsid w:val="000B22BB"/>
    <w:rsid w:val="000B332A"/>
    <w:rsid w:val="000B4401"/>
    <w:rsid w:val="000B5E17"/>
    <w:rsid w:val="000C1762"/>
    <w:rsid w:val="000C19CD"/>
    <w:rsid w:val="000C1E35"/>
    <w:rsid w:val="000C2786"/>
    <w:rsid w:val="000C302A"/>
    <w:rsid w:val="000D0554"/>
    <w:rsid w:val="000D107D"/>
    <w:rsid w:val="000D64A0"/>
    <w:rsid w:val="000E05E4"/>
    <w:rsid w:val="000E07DC"/>
    <w:rsid w:val="000E10F9"/>
    <w:rsid w:val="000E2FCB"/>
    <w:rsid w:val="000E306C"/>
    <w:rsid w:val="000E36C7"/>
    <w:rsid w:val="000E3745"/>
    <w:rsid w:val="000E3762"/>
    <w:rsid w:val="000E4022"/>
    <w:rsid w:val="000E67FF"/>
    <w:rsid w:val="000E6BE6"/>
    <w:rsid w:val="000F1ACD"/>
    <w:rsid w:val="000F2DA5"/>
    <w:rsid w:val="000F4121"/>
    <w:rsid w:val="000F43C9"/>
    <w:rsid w:val="00100162"/>
    <w:rsid w:val="00100FF2"/>
    <w:rsid w:val="0010225D"/>
    <w:rsid w:val="00104741"/>
    <w:rsid w:val="001056B7"/>
    <w:rsid w:val="00106F6E"/>
    <w:rsid w:val="00114D48"/>
    <w:rsid w:val="0011646A"/>
    <w:rsid w:val="00116512"/>
    <w:rsid w:val="00116850"/>
    <w:rsid w:val="00117F86"/>
    <w:rsid w:val="0012331A"/>
    <w:rsid w:val="0012470C"/>
    <w:rsid w:val="0012622B"/>
    <w:rsid w:val="00130584"/>
    <w:rsid w:val="00131377"/>
    <w:rsid w:val="001322B3"/>
    <w:rsid w:val="001349F3"/>
    <w:rsid w:val="00134ABD"/>
    <w:rsid w:val="00134C6C"/>
    <w:rsid w:val="00137023"/>
    <w:rsid w:val="00142504"/>
    <w:rsid w:val="00143E68"/>
    <w:rsid w:val="001444EF"/>
    <w:rsid w:val="001444F7"/>
    <w:rsid w:val="0015092A"/>
    <w:rsid w:val="0015138A"/>
    <w:rsid w:val="00152251"/>
    <w:rsid w:val="00155661"/>
    <w:rsid w:val="0015640C"/>
    <w:rsid w:val="0015702E"/>
    <w:rsid w:val="00157822"/>
    <w:rsid w:val="001623FC"/>
    <w:rsid w:val="00166209"/>
    <w:rsid w:val="001702A3"/>
    <w:rsid w:val="00170D57"/>
    <w:rsid w:val="0017142B"/>
    <w:rsid w:val="001719CF"/>
    <w:rsid w:val="00172437"/>
    <w:rsid w:val="00172C20"/>
    <w:rsid w:val="00174A79"/>
    <w:rsid w:val="00175583"/>
    <w:rsid w:val="00175726"/>
    <w:rsid w:val="00180E81"/>
    <w:rsid w:val="001828DF"/>
    <w:rsid w:val="00183832"/>
    <w:rsid w:val="001853EC"/>
    <w:rsid w:val="001855BF"/>
    <w:rsid w:val="001876C8"/>
    <w:rsid w:val="00187D52"/>
    <w:rsid w:val="0019072B"/>
    <w:rsid w:val="0019075B"/>
    <w:rsid w:val="0019128F"/>
    <w:rsid w:val="00191812"/>
    <w:rsid w:val="00192E65"/>
    <w:rsid w:val="00194A0E"/>
    <w:rsid w:val="001A1214"/>
    <w:rsid w:val="001A342E"/>
    <w:rsid w:val="001A3676"/>
    <w:rsid w:val="001A3DB7"/>
    <w:rsid w:val="001A4F84"/>
    <w:rsid w:val="001A6BAF"/>
    <w:rsid w:val="001A70A1"/>
    <w:rsid w:val="001A767E"/>
    <w:rsid w:val="001A7869"/>
    <w:rsid w:val="001B0C68"/>
    <w:rsid w:val="001B4C65"/>
    <w:rsid w:val="001B5602"/>
    <w:rsid w:val="001B6659"/>
    <w:rsid w:val="001C07EE"/>
    <w:rsid w:val="001C0903"/>
    <w:rsid w:val="001C34A4"/>
    <w:rsid w:val="001C3A1B"/>
    <w:rsid w:val="001C3CFB"/>
    <w:rsid w:val="001C4487"/>
    <w:rsid w:val="001C507E"/>
    <w:rsid w:val="001C645E"/>
    <w:rsid w:val="001D1218"/>
    <w:rsid w:val="001D27B8"/>
    <w:rsid w:val="001D4A43"/>
    <w:rsid w:val="001D5F61"/>
    <w:rsid w:val="001D61AE"/>
    <w:rsid w:val="001D6B67"/>
    <w:rsid w:val="001D7CAA"/>
    <w:rsid w:val="001E05EC"/>
    <w:rsid w:val="001E0744"/>
    <w:rsid w:val="001E107E"/>
    <w:rsid w:val="001E603D"/>
    <w:rsid w:val="001E7B3E"/>
    <w:rsid w:val="001F03C3"/>
    <w:rsid w:val="001F35A0"/>
    <w:rsid w:val="001F4B40"/>
    <w:rsid w:val="001F5BFF"/>
    <w:rsid w:val="00200221"/>
    <w:rsid w:val="002003C4"/>
    <w:rsid w:val="002009CA"/>
    <w:rsid w:val="00201CDF"/>
    <w:rsid w:val="0020396B"/>
    <w:rsid w:val="002054B2"/>
    <w:rsid w:val="00205B44"/>
    <w:rsid w:val="002078C9"/>
    <w:rsid w:val="00207E5C"/>
    <w:rsid w:val="0021192E"/>
    <w:rsid w:val="00212DEB"/>
    <w:rsid w:val="00213231"/>
    <w:rsid w:val="00213F03"/>
    <w:rsid w:val="0021749F"/>
    <w:rsid w:val="0021756D"/>
    <w:rsid w:val="00220281"/>
    <w:rsid w:val="0022077B"/>
    <w:rsid w:val="0022093B"/>
    <w:rsid w:val="0022255F"/>
    <w:rsid w:val="00222607"/>
    <w:rsid w:val="00222CF5"/>
    <w:rsid w:val="00223207"/>
    <w:rsid w:val="00224756"/>
    <w:rsid w:val="00224C5E"/>
    <w:rsid w:val="00232A61"/>
    <w:rsid w:val="00233B3D"/>
    <w:rsid w:val="002350DF"/>
    <w:rsid w:val="0023685A"/>
    <w:rsid w:val="002373A7"/>
    <w:rsid w:val="00240696"/>
    <w:rsid w:val="002441CD"/>
    <w:rsid w:val="002500D5"/>
    <w:rsid w:val="002504F2"/>
    <w:rsid w:val="00250B27"/>
    <w:rsid w:val="002514C0"/>
    <w:rsid w:val="00253986"/>
    <w:rsid w:val="00254706"/>
    <w:rsid w:val="002547D0"/>
    <w:rsid w:val="00254A86"/>
    <w:rsid w:val="00262A23"/>
    <w:rsid w:val="00265059"/>
    <w:rsid w:val="00265B3A"/>
    <w:rsid w:val="00270444"/>
    <w:rsid w:val="00271249"/>
    <w:rsid w:val="002728B9"/>
    <w:rsid w:val="00273A1E"/>
    <w:rsid w:val="00274CE3"/>
    <w:rsid w:val="0027512E"/>
    <w:rsid w:val="0027526D"/>
    <w:rsid w:val="002753A8"/>
    <w:rsid w:val="00275648"/>
    <w:rsid w:val="00275A24"/>
    <w:rsid w:val="00277F4D"/>
    <w:rsid w:val="00280306"/>
    <w:rsid w:val="00282025"/>
    <w:rsid w:val="00284309"/>
    <w:rsid w:val="002903D9"/>
    <w:rsid w:val="0029301F"/>
    <w:rsid w:val="002933B8"/>
    <w:rsid w:val="00295858"/>
    <w:rsid w:val="002962E1"/>
    <w:rsid w:val="002A1DB6"/>
    <w:rsid w:val="002A49B1"/>
    <w:rsid w:val="002A52C8"/>
    <w:rsid w:val="002A613B"/>
    <w:rsid w:val="002B0591"/>
    <w:rsid w:val="002B0672"/>
    <w:rsid w:val="002B2E66"/>
    <w:rsid w:val="002B3C45"/>
    <w:rsid w:val="002B59D6"/>
    <w:rsid w:val="002B79CF"/>
    <w:rsid w:val="002B7C6E"/>
    <w:rsid w:val="002C0BE3"/>
    <w:rsid w:val="002C185D"/>
    <w:rsid w:val="002C4DD6"/>
    <w:rsid w:val="002C5A52"/>
    <w:rsid w:val="002C6504"/>
    <w:rsid w:val="002C6BA3"/>
    <w:rsid w:val="002C721C"/>
    <w:rsid w:val="002D0050"/>
    <w:rsid w:val="002D0A93"/>
    <w:rsid w:val="002D3C12"/>
    <w:rsid w:val="002D43A9"/>
    <w:rsid w:val="002D4D27"/>
    <w:rsid w:val="002D504D"/>
    <w:rsid w:val="002D5265"/>
    <w:rsid w:val="002D72AA"/>
    <w:rsid w:val="002E1F90"/>
    <w:rsid w:val="002E2D4A"/>
    <w:rsid w:val="002E498E"/>
    <w:rsid w:val="002E55A6"/>
    <w:rsid w:val="002E5E70"/>
    <w:rsid w:val="002E779C"/>
    <w:rsid w:val="002E7D3D"/>
    <w:rsid w:val="002F233A"/>
    <w:rsid w:val="002F2EDC"/>
    <w:rsid w:val="002F381E"/>
    <w:rsid w:val="002F459F"/>
    <w:rsid w:val="002F4B55"/>
    <w:rsid w:val="002F605B"/>
    <w:rsid w:val="002F629D"/>
    <w:rsid w:val="002F6C32"/>
    <w:rsid w:val="00300C89"/>
    <w:rsid w:val="003014B2"/>
    <w:rsid w:val="00302F41"/>
    <w:rsid w:val="003031B6"/>
    <w:rsid w:val="0030488C"/>
    <w:rsid w:val="00310915"/>
    <w:rsid w:val="00311AC9"/>
    <w:rsid w:val="00312279"/>
    <w:rsid w:val="0031461C"/>
    <w:rsid w:val="003151CA"/>
    <w:rsid w:val="00316194"/>
    <w:rsid w:val="00316947"/>
    <w:rsid w:val="003171D6"/>
    <w:rsid w:val="00320D46"/>
    <w:rsid w:val="00321437"/>
    <w:rsid w:val="00321B0A"/>
    <w:rsid w:val="00322FEB"/>
    <w:rsid w:val="00324031"/>
    <w:rsid w:val="00324427"/>
    <w:rsid w:val="00324586"/>
    <w:rsid w:val="00324AF6"/>
    <w:rsid w:val="003259BD"/>
    <w:rsid w:val="00331050"/>
    <w:rsid w:val="0033278A"/>
    <w:rsid w:val="003332C5"/>
    <w:rsid w:val="0033407C"/>
    <w:rsid w:val="00337C92"/>
    <w:rsid w:val="00340959"/>
    <w:rsid w:val="00340BE4"/>
    <w:rsid w:val="00342319"/>
    <w:rsid w:val="00342843"/>
    <w:rsid w:val="00343CD9"/>
    <w:rsid w:val="00343F55"/>
    <w:rsid w:val="00344BF6"/>
    <w:rsid w:val="0034770C"/>
    <w:rsid w:val="00347E87"/>
    <w:rsid w:val="00351388"/>
    <w:rsid w:val="003516BC"/>
    <w:rsid w:val="00356B5D"/>
    <w:rsid w:val="003607A7"/>
    <w:rsid w:val="00361520"/>
    <w:rsid w:val="00362103"/>
    <w:rsid w:val="00362BFA"/>
    <w:rsid w:val="00362ED4"/>
    <w:rsid w:val="00362F30"/>
    <w:rsid w:val="00365EEA"/>
    <w:rsid w:val="003660F6"/>
    <w:rsid w:val="00366285"/>
    <w:rsid w:val="00366AA2"/>
    <w:rsid w:val="00367730"/>
    <w:rsid w:val="003677BA"/>
    <w:rsid w:val="00370598"/>
    <w:rsid w:val="00370913"/>
    <w:rsid w:val="00371599"/>
    <w:rsid w:val="00372FD8"/>
    <w:rsid w:val="00376556"/>
    <w:rsid w:val="00377C1C"/>
    <w:rsid w:val="00381C74"/>
    <w:rsid w:val="003825FB"/>
    <w:rsid w:val="00386E44"/>
    <w:rsid w:val="00390F2A"/>
    <w:rsid w:val="00392B6F"/>
    <w:rsid w:val="00392CC7"/>
    <w:rsid w:val="00392DEC"/>
    <w:rsid w:val="0039677A"/>
    <w:rsid w:val="0039690A"/>
    <w:rsid w:val="00397C94"/>
    <w:rsid w:val="003A0538"/>
    <w:rsid w:val="003A0D42"/>
    <w:rsid w:val="003A2F62"/>
    <w:rsid w:val="003A36C0"/>
    <w:rsid w:val="003A41DF"/>
    <w:rsid w:val="003A4B18"/>
    <w:rsid w:val="003A501D"/>
    <w:rsid w:val="003A66ED"/>
    <w:rsid w:val="003A692A"/>
    <w:rsid w:val="003A6C5B"/>
    <w:rsid w:val="003B4CCA"/>
    <w:rsid w:val="003B55AE"/>
    <w:rsid w:val="003B6533"/>
    <w:rsid w:val="003B6BE8"/>
    <w:rsid w:val="003C02A2"/>
    <w:rsid w:val="003C0709"/>
    <w:rsid w:val="003C0B4E"/>
    <w:rsid w:val="003C2E01"/>
    <w:rsid w:val="003C3BFD"/>
    <w:rsid w:val="003C44B1"/>
    <w:rsid w:val="003C597C"/>
    <w:rsid w:val="003C5EA7"/>
    <w:rsid w:val="003C6374"/>
    <w:rsid w:val="003D022B"/>
    <w:rsid w:val="003D3773"/>
    <w:rsid w:val="003D3A77"/>
    <w:rsid w:val="003D54DE"/>
    <w:rsid w:val="003D631F"/>
    <w:rsid w:val="003E0467"/>
    <w:rsid w:val="003E0EC3"/>
    <w:rsid w:val="003E121A"/>
    <w:rsid w:val="003E17F3"/>
    <w:rsid w:val="003E18EA"/>
    <w:rsid w:val="003F0C49"/>
    <w:rsid w:val="003F1CA4"/>
    <w:rsid w:val="003F2095"/>
    <w:rsid w:val="003F2CD9"/>
    <w:rsid w:val="003F3567"/>
    <w:rsid w:val="003F3CA7"/>
    <w:rsid w:val="003F5799"/>
    <w:rsid w:val="003F5F7A"/>
    <w:rsid w:val="00401BCC"/>
    <w:rsid w:val="00402469"/>
    <w:rsid w:val="004032E8"/>
    <w:rsid w:val="00410315"/>
    <w:rsid w:val="00411943"/>
    <w:rsid w:val="0041203A"/>
    <w:rsid w:val="004122E1"/>
    <w:rsid w:val="0041355E"/>
    <w:rsid w:val="00413794"/>
    <w:rsid w:val="00416091"/>
    <w:rsid w:val="004174E0"/>
    <w:rsid w:val="004176D9"/>
    <w:rsid w:val="004204AC"/>
    <w:rsid w:val="00420A95"/>
    <w:rsid w:val="004227DB"/>
    <w:rsid w:val="00422FC8"/>
    <w:rsid w:val="00423099"/>
    <w:rsid w:val="00423AF5"/>
    <w:rsid w:val="00424631"/>
    <w:rsid w:val="00424764"/>
    <w:rsid w:val="00424921"/>
    <w:rsid w:val="00425251"/>
    <w:rsid w:val="00425F2E"/>
    <w:rsid w:val="0042618B"/>
    <w:rsid w:val="004320BA"/>
    <w:rsid w:val="00432765"/>
    <w:rsid w:val="00433276"/>
    <w:rsid w:val="00433392"/>
    <w:rsid w:val="00434739"/>
    <w:rsid w:val="00436373"/>
    <w:rsid w:val="004366E6"/>
    <w:rsid w:val="00437930"/>
    <w:rsid w:val="00442681"/>
    <w:rsid w:val="00442FD0"/>
    <w:rsid w:val="004433F8"/>
    <w:rsid w:val="0044392A"/>
    <w:rsid w:val="0044425B"/>
    <w:rsid w:val="00445CEA"/>
    <w:rsid w:val="004465A9"/>
    <w:rsid w:val="00447868"/>
    <w:rsid w:val="00447A09"/>
    <w:rsid w:val="00451350"/>
    <w:rsid w:val="004521C5"/>
    <w:rsid w:val="004534D9"/>
    <w:rsid w:val="00453918"/>
    <w:rsid w:val="004548F0"/>
    <w:rsid w:val="00454AF9"/>
    <w:rsid w:val="0045648A"/>
    <w:rsid w:val="00457DCE"/>
    <w:rsid w:val="00461100"/>
    <w:rsid w:val="00461221"/>
    <w:rsid w:val="00461CB3"/>
    <w:rsid w:val="00461D33"/>
    <w:rsid w:val="00464F2F"/>
    <w:rsid w:val="00470783"/>
    <w:rsid w:val="00471D79"/>
    <w:rsid w:val="00473628"/>
    <w:rsid w:val="00474B9B"/>
    <w:rsid w:val="00475A04"/>
    <w:rsid w:val="004762AC"/>
    <w:rsid w:val="00477E6E"/>
    <w:rsid w:val="004852F7"/>
    <w:rsid w:val="00485A51"/>
    <w:rsid w:val="004863AF"/>
    <w:rsid w:val="004873F5"/>
    <w:rsid w:val="004879C4"/>
    <w:rsid w:val="0049140C"/>
    <w:rsid w:val="00494A88"/>
    <w:rsid w:val="004957A4"/>
    <w:rsid w:val="00495E9B"/>
    <w:rsid w:val="00496701"/>
    <w:rsid w:val="004975DC"/>
    <w:rsid w:val="00497ADF"/>
    <w:rsid w:val="00497E89"/>
    <w:rsid w:val="004A17A4"/>
    <w:rsid w:val="004A18BF"/>
    <w:rsid w:val="004A27B7"/>
    <w:rsid w:val="004A6A0C"/>
    <w:rsid w:val="004A7662"/>
    <w:rsid w:val="004B020D"/>
    <w:rsid w:val="004B1306"/>
    <w:rsid w:val="004B190D"/>
    <w:rsid w:val="004B19DF"/>
    <w:rsid w:val="004B1A96"/>
    <w:rsid w:val="004B2916"/>
    <w:rsid w:val="004B2FBC"/>
    <w:rsid w:val="004B3158"/>
    <w:rsid w:val="004B4F78"/>
    <w:rsid w:val="004B5885"/>
    <w:rsid w:val="004B6E96"/>
    <w:rsid w:val="004B7945"/>
    <w:rsid w:val="004C1156"/>
    <w:rsid w:val="004C1A3B"/>
    <w:rsid w:val="004C3255"/>
    <w:rsid w:val="004C421A"/>
    <w:rsid w:val="004C5E5D"/>
    <w:rsid w:val="004C70AF"/>
    <w:rsid w:val="004C78BD"/>
    <w:rsid w:val="004D33D1"/>
    <w:rsid w:val="004D3AA7"/>
    <w:rsid w:val="004D3E54"/>
    <w:rsid w:val="004D476C"/>
    <w:rsid w:val="004D4B65"/>
    <w:rsid w:val="004D4DFF"/>
    <w:rsid w:val="004E1777"/>
    <w:rsid w:val="004E6287"/>
    <w:rsid w:val="004E772F"/>
    <w:rsid w:val="004F0109"/>
    <w:rsid w:val="004F0921"/>
    <w:rsid w:val="004F0C3A"/>
    <w:rsid w:val="004F3117"/>
    <w:rsid w:val="004F327F"/>
    <w:rsid w:val="004F521D"/>
    <w:rsid w:val="004F5E5A"/>
    <w:rsid w:val="004F639C"/>
    <w:rsid w:val="004F6EC1"/>
    <w:rsid w:val="005011CC"/>
    <w:rsid w:val="0050198D"/>
    <w:rsid w:val="00501D37"/>
    <w:rsid w:val="00504258"/>
    <w:rsid w:val="00510C9E"/>
    <w:rsid w:val="00510D49"/>
    <w:rsid w:val="005141CB"/>
    <w:rsid w:val="00514E72"/>
    <w:rsid w:val="00516E08"/>
    <w:rsid w:val="00516FF1"/>
    <w:rsid w:val="0051718B"/>
    <w:rsid w:val="00520175"/>
    <w:rsid w:val="00522C32"/>
    <w:rsid w:val="00522F9B"/>
    <w:rsid w:val="00523306"/>
    <w:rsid w:val="00523578"/>
    <w:rsid w:val="0052405C"/>
    <w:rsid w:val="005242E3"/>
    <w:rsid w:val="00524A51"/>
    <w:rsid w:val="0053062F"/>
    <w:rsid w:val="0053233B"/>
    <w:rsid w:val="00532D89"/>
    <w:rsid w:val="0053338F"/>
    <w:rsid w:val="00533A69"/>
    <w:rsid w:val="00534743"/>
    <w:rsid w:val="00536AFE"/>
    <w:rsid w:val="00536BFC"/>
    <w:rsid w:val="005373E9"/>
    <w:rsid w:val="005379F7"/>
    <w:rsid w:val="00540E52"/>
    <w:rsid w:val="005416D9"/>
    <w:rsid w:val="00543E98"/>
    <w:rsid w:val="00545332"/>
    <w:rsid w:val="00545407"/>
    <w:rsid w:val="00546D99"/>
    <w:rsid w:val="0055160C"/>
    <w:rsid w:val="005537E3"/>
    <w:rsid w:val="005568E9"/>
    <w:rsid w:val="00556F07"/>
    <w:rsid w:val="00557591"/>
    <w:rsid w:val="005609E8"/>
    <w:rsid w:val="00560FE6"/>
    <w:rsid w:val="005630CE"/>
    <w:rsid w:val="00563CAE"/>
    <w:rsid w:val="00564EDA"/>
    <w:rsid w:val="005721EE"/>
    <w:rsid w:val="00572F23"/>
    <w:rsid w:val="00573D6A"/>
    <w:rsid w:val="00574587"/>
    <w:rsid w:val="00575A3C"/>
    <w:rsid w:val="00577842"/>
    <w:rsid w:val="00580883"/>
    <w:rsid w:val="005810EC"/>
    <w:rsid w:val="0058166C"/>
    <w:rsid w:val="005837F5"/>
    <w:rsid w:val="0058426A"/>
    <w:rsid w:val="00584AD4"/>
    <w:rsid w:val="00584B78"/>
    <w:rsid w:val="0058530B"/>
    <w:rsid w:val="00586079"/>
    <w:rsid w:val="005923BF"/>
    <w:rsid w:val="00592654"/>
    <w:rsid w:val="005929FA"/>
    <w:rsid w:val="00593EC2"/>
    <w:rsid w:val="005A077F"/>
    <w:rsid w:val="005A1B3A"/>
    <w:rsid w:val="005A5273"/>
    <w:rsid w:val="005A620B"/>
    <w:rsid w:val="005B03BD"/>
    <w:rsid w:val="005B12CE"/>
    <w:rsid w:val="005B1724"/>
    <w:rsid w:val="005B5008"/>
    <w:rsid w:val="005C19A5"/>
    <w:rsid w:val="005C747C"/>
    <w:rsid w:val="005C7864"/>
    <w:rsid w:val="005C7EDF"/>
    <w:rsid w:val="005D272A"/>
    <w:rsid w:val="005D302D"/>
    <w:rsid w:val="005D48B8"/>
    <w:rsid w:val="005D4B68"/>
    <w:rsid w:val="005D5529"/>
    <w:rsid w:val="005D6E44"/>
    <w:rsid w:val="005D7174"/>
    <w:rsid w:val="005E097D"/>
    <w:rsid w:val="005E16C6"/>
    <w:rsid w:val="005E2EC0"/>
    <w:rsid w:val="005E3883"/>
    <w:rsid w:val="005E49D9"/>
    <w:rsid w:val="005E51C6"/>
    <w:rsid w:val="005F2409"/>
    <w:rsid w:val="005F25C4"/>
    <w:rsid w:val="005F2E5A"/>
    <w:rsid w:val="005F41DA"/>
    <w:rsid w:val="005F517C"/>
    <w:rsid w:val="005F5F05"/>
    <w:rsid w:val="005F74E3"/>
    <w:rsid w:val="006014A9"/>
    <w:rsid w:val="006031DA"/>
    <w:rsid w:val="00604C62"/>
    <w:rsid w:val="00604F46"/>
    <w:rsid w:val="0060613B"/>
    <w:rsid w:val="00607B3F"/>
    <w:rsid w:val="006118C2"/>
    <w:rsid w:val="00614839"/>
    <w:rsid w:val="00614C0E"/>
    <w:rsid w:val="00615FCD"/>
    <w:rsid w:val="006172D6"/>
    <w:rsid w:val="006179E2"/>
    <w:rsid w:val="00620C61"/>
    <w:rsid w:val="00620E71"/>
    <w:rsid w:val="006211C1"/>
    <w:rsid w:val="00626924"/>
    <w:rsid w:val="006278EC"/>
    <w:rsid w:val="006305A4"/>
    <w:rsid w:val="006318D0"/>
    <w:rsid w:val="00631A75"/>
    <w:rsid w:val="0063254F"/>
    <w:rsid w:val="00634AF2"/>
    <w:rsid w:val="0063501B"/>
    <w:rsid w:val="006353C8"/>
    <w:rsid w:val="00635A8B"/>
    <w:rsid w:val="00635C75"/>
    <w:rsid w:val="00635EB3"/>
    <w:rsid w:val="006364C8"/>
    <w:rsid w:val="00636CAF"/>
    <w:rsid w:val="0063728B"/>
    <w:rsid w:val="006403EC"/>
    <w:rsid w:val="00640CEA"/>
    <w:rsid w:val="00641774"/>
    <w:rsid w:val="00642576"/>
    <w:rsid w:val="00643491"/>
    <w:rsid w:val="006436E0"/>
    <w:rsid w:val="00644261"/>
    <w:rsid w:val="00644FFB"/>
    <w:rsid w:val="006451F3"/>
    <w:rsid w:val="00645779"/>
    <w:rsid w:val="00645FA1"/>
    <w:rsid w:val="0064688C"/>
    <w:rsid w:val="006479B8"/>
    <w:rsid w:val="00651791"/>
    <w:rsid w:val="00651A07"/>
    <w:rsid w:val="00652167"/>
    <w:rsid w:val="00652D57"/>
    <w:rsid w:val="00652E36"/>
    <w:rsid w:val="0065363B"/>
    <w:rsid w:val="00655872"/>
    <w:rsid w:val="00655D4B"/>
    <w:rsid w:val="0065753A"/>
    <w:rsid w:val="00657E7A"/>
    <w:rsid w:val="0066029F"/>
    <w:rsid w:val="006604F5"/>
    <w:rsid w:val="006609E7"/>
    <w:rsid w:val="006616CB"/>
    <w:rsid w:val="0066663F"/>
    <w:rsid w:val="00670B29"/>
    <w:rsid w:val="00670C9D"/>
    <w:rsid w:val="006711D8"/>
    <w:rsid w:val="00672A93"/>
    <w:rsid w:val="00675098"/>
    <w:rsid w:val="00675442"/>
    <w:rsid w:val="00675519"/>
    <w:rsid w:val="0067562B"/>
    <w:rsid w:val="00676815"/>
    <w:rsid w:val="006775EE"/>
    <w:rsid w:val="0067781E"/>
    <w:rsid w:val="00682E2A"/>
    <w:rsid w:val="00685ECB"/>
    <w:rsid w:val="00686D74"/>
    <w:rsid w:val="00691743"/>
    <w:rsid w:val="0069283C"/>
    <w:rsid w:val="00692880"/>
    <w:rsid w:val="00692F72"/>
    <w:rsid w:val="00693170"/>
    <w:rsid w:val="00693E18"/>
    <w:rsid w:val="00694A23"/>
    <w:rsid w:val="0069580E"/>
    <w:rsid w:val="00695ECC"/>
    <w:rsid w:val="00695FAB"/>
    <w:rsid w:val="006968C3"/>
    <w:rsid w:val="006A0B99"/>
    <w:rsid w:val="006A28D1"/>
    <w:rsid w:val="006A2E37"/>
    <w:rsid w:val="006A3F93"/>
    <w:rsid w:val="006A3FCC"/>
    <w:rsid w:val="006A40F7"/>
    <w:rsid w:val="006A47D5"/>
    <w:rsid w:val="006A4F33"/>
    <w:rsid w:val="006A5BF9"/>
    <w:rsid w:val="006A605F"/>
    <w:rsid w:val="006B0852"/>
    <w:rsid w:val="006B226A"/>
    <w:rsid w:val="006B2A51"/>
    <w:rsid w:val="006B2B18"/>
    <w:rsid w:val="006B4E51"/>
    <w:rsid w:val="006B53A8"/>
    <w:rsid w:val="006B5519"/>
    <w:rsid w:val="006B5C92"/>
    <w:rsid w:val="006B6740"/>
    <w:rsid w:val="006B6817"/>
    <w:rsid w:val="006B7892"/>
    <w:rsid w:val="006C05B6"/>
    <w:rsid w:val="006C2B48"/>
    <w:rsid w:val="006C332B"/>
    <w:rsid w:val="006C4A17"/>
    <w:rsid w:val="006C4E92"/>
    <w:rsid w:val="006C68A7"/>
    <w:rsid w:val="006C76E5"/>
    <w:rsid w:val="006D2406"/>
    <w:rsid w:val="006D2785"/>
    <w:rsid w:val="006D5C08"/>
    <w:rsid w:val="006D5E2D"/>
    <w:rsid w:val="006D6540"/>
    <w:rsid w:val="006D6A15"/>
    <w:rsid w:val="006D6D17"/>
    <w:rsid w:val="006D7AD1"/>
    <w:rsid w:val="006E0A42"/>
    <w:rsid w:val="006E1226"/>
    <w:rsid w:val="006E1C21"/>
    <w:rsid w:val="006E1FAB"/>
    <w:rsid w:val="006E2466"/>
    <w:rsid w:val="006E2B41"/>
    <w:rsid w:val="006E360E"/>
    <w:rsid w:val="006E6289"/>
    <w:rsid w:val="006E7637"/>
    <w:rsid w:val="006F1844"/>
    <w:rsid w:val="006F22D4"/>
    <w:rsid w:val="006F333B"/>
    <w:rsid w:val="006F47E1"/>
    <w:rsid w:val="006F5CDC"/>
    <w:rsid w:val="006F728F"/>
    <w:rsid w:val="007016CA"/>
    <w:rsid w:val="00701AC5"/>
    <w:rsid w:val="00701C5E"/>
    <w:rsid w:val="00702476"/>
    <w:rsid w:val="007041B1"/>
    <w:rsid w:val="00707321"/>
    <w:rsid w:val="00711076"/>
    <w:rsid w:val="00712BB5"/>
    <w:rsid w:val="00716F2E"/>
    <w:rsid w:val="00717A84"/>
    <w:rsid w:val="0072043D"/>
    <w:rsid w:val="007206CA"/>
    <w:rsid w:val="00720B48"/>
    <w:rsid w:val="00721ACD"/>
    <w:rsid w:val="00724485"/>
    <w:rsid w:val="00725153"/>
    <w:rsid w:val="007262FE"/>
    <w:rsid w:val="0073031C"/>
    <w:rsid w:val="00730D31"/>
    <w:rsid w:val="007311E4"/>
    <w:rsid w:val="007336B2"/>
    <w:rsid w:val="00733864"/>
    <w:rsid w:val="00734657"/>
    <w:rsid w:val="00734D02"/>
    <w:rsid w:val="00735401"/>
    <w:rsid w:val="0073584B"/>
    <w:rsid w:val="00735892"/>
    <w:rsid w:val="00741EC6"/>
    <w:rsid w:val="007425CA"/>
    <w:rsid w:val="00742D0B"/>
    <w:rsid w:val="0074546E"/>
    <w:rsid w:val="00745EB5"/>
    <w:rsid w:val="00746B75"/>
    <w:rsid w:val="00746EC2"/>
    <w:rsid w:val="007471E2"/>
    <w:rsid w:val="0074738B"/>
    <w:rsid w:val="00751A68"/>
    <w:rsid w:val="00751D0E"/>
    <w:rsid w:val="007523B9"/>
    <w:rsid w:val="00753C9D"/>
    <w:rsid w:val="007609F8"/>
    <w:rsid w:val="007613E5"/>
    <w:rsid w:val="00766DE2"/>
    <w:rsid w:val="0076714B"/>
    <w:rsid w:val="00767D83"/>
    <w:rsid w:val="007700F5"/>
    <w:rsid w:val="007707B0"/>
    <w:rsid w:val="00771E81"/>
    <w:rsid w:val="00773A48"/>
    <w:rsid w:val="00773F30"/>
    <w:rsid w:val="007741AC"/>
    <w:rsid w:val="00775D57"/>
    <w:rsid w:val="00776E3B"/>
    <w:rsid w:val="00781183"/>
    <w:rsid w:val="00782778"/>
    <w:rsid w:val="00782918"/>
    <w:rsid w:val="00783C7B"/>
    <w:rsid w:val="00785CFF"/>
    <w:rsid w:val="00785F86"/>
    <w:rsid w:val="007861D8"/>
    <w:rsid w:val="00787E3F"/>
    <w:rsid w:val="0079048B"/>
    <w:rsid w:val="007905B2"/>
    <w:rsid w:val="00790DB7"/>
    <w:rsid w:val="00792B14"/>
    <w:rsid w:val="00792B20"/>
    <w:rsid w:val="00792BD4"/>
    <w:rsid w:val="00792D99"/>
    <w:rsid w:val="007979CC"/>
    <w:rsid w:val="007A15F0"/>
    <w:rsid w:val="007A62BD"/>
    <w:rsid w:val="007A6CA3"/>
    <w:rsid w:val="007A705F"/>
    <w:rsid w:val="007A755B"/>
    <w:rsid w:val="007A7BD3"/>
    <w:rsid w:val="007B2A77"/>
    <w:rsid w:val="007B2AA6"/>
    <w:rsid w:val="007B402F"/>
    <w:rsid w:val="007B576E"/>
    <w:rsid w:val="007B714B"/>
    <w:rsid w:val="007B75B4"/>
    <w:rsid w:val="007C0915"/>
    <w:rsid w:val="007C21BE"/>
    <w:rsid w:val="007C3236"/>
    <w:rsid w:val="007C32B0"/>
    <w:rsid w:val="007C3C52"/>
    <w:rsid w:val="007C3D34"/>
    <w:rsid w:val="007C566F"/>
    <w:rsid w:val="007C5A1F"/>
    <w:rsid w:val="007C5BCB"/>
    <w:rsid w:val="007C6B04"/>
    <w:rsid w:val="007D1FD2"/>
    <w:rsid w:val="007D400E"/>
    <w:rsid w:val="007D447C"/>
    <w:rsid w:val="007D6CDE"/>
    <w:rsid w:val="007D743A"/>
    <w:rsid w:val="007D7C80"/>
    <w:rsid w:val="007E2D79"/>
    <w:rsid w:val="007E2F7F"/>
    <w:rsid w:val="007E3422"/>
    <w:rsid w:val="007E4565"/>
    <w:rsid w:val="007E4D92"/>
    <w:rsid w:val="007E72D1"/>
    <w:rsid w:val="007E72DD"/>
    <w:rsid w:val="007E7F57"/>
    <w:rsid w:val="007F02A9"/>
    <w:rsid w:val="007F1444"/>
    <w:rsid w:val="007F342C"/>
    <w:rsid w:val="007F385D"/>
    <w:rsid w:val="007F4D33"/>
    <w:rsid w:val="007F6089"/>
    <w:rsid w:val="007F7886"/>
    <w:rsid w:val="008018F7"/>
    <w:rsid w:val="00801C8A"/>
    <w:rsid w:val="00802B9D"/>
    <w:rsid w:val="00804262"/>
    <w:rsid w:val="0080575B"/>
    <w:rsid w:val="008063A3"/>
    <w:rsid w:val="008075B5"/>
    <w:rsid w:val="0080781A"/>
    <w:rsid w:val="00812601"/>
    <w:rsid w:val="00812B77"/>
    <w:rsid w:val="00812CAF"/>
    <w:rsid w:val="00813DFE"/>
    <w:rsid w:val="00815257"/>
    <w:rsid w:val="008156BD"/>
    <w:rsid w:val="0082085E"/>
    <w:rsid w:val="008209D2"/>
    <w:rsid w:val="00822298"/>
    <w:rsid w:val="00822D77"/>
    <w:rsid w:val="00822EAD"/>
    <w:rsid w:val="00823A58"/>
    <w:rsid w:val="0082404B"/>
    <w:rsid w:val="0082451E"/>
    <w:rsid w:val="008246F8"/>
    <w:rsid w:val="0082538E"/>
    <w:rsid w:val="008258CD"/>
    <w:rsid w:val="00826726"/>
    <w:rsid w:val="00826B1E"/>
    <w:rsid w:val="00826D00"/>
    <w:rsid w:val="0083033C"/>
    <w:rsid w:val="0083034A"/>
    <w:rsid w:val="00830C70"/>
    <w:rsid w:val="0083222A"/>
    <w:rsid w:val="00834AE7"/>
    <w:rsid w:val="00834B26"/>
    <w:rsid w:val="00835B3C"/>
    <w:rsid w:val="00836C01"/>
    <w:rsid w:val="008401FF"/>
    <w:rsid w:val="0084073C"/>
    <w:rsid w:val="0084388D"/>
    <w:rsid w:val="00844A2B"/>
    <w:rsid w:val="00845CC5"/>
    <w:rsid w:val="008460EA"/>
    <w:rsid w:val="00846FB8"/>
    <w:rsid w:val="00847006"/>
    <w:rsid w:val="00850A2B"/>
    <w:rsid w:val="00850BF8"/>
    <w:rsid w:val="00850F02"/>
    <w:rsid w:val="00850F2A"/>
    <w:rsid w:val="00851041"/>
    <w:rsid w:val="00851521"/>
    <w:rsid w:val="00852065"/>
    <w:rsid w:val="00856EFB"/>
    <w:rsid w:val="008610EA"/>
    <w:rsid w:val="008610F9"/>
    <w:rsid w:val="0086480B"/>
    <w:rsid w:val="00865381"/>
    <w:rsid w:val="008657EF"/>
    <w:rsid w:val="00865F4B"/>
    <w:rsid w:val="00865FE8"/>
    <w:rsid w:val="00866810"/>
    <w:rsid w:val="00871E21"/>
    <w:rsid w:val="00872AD1"/>
    <w:rsid w:val="00873943"/>
    <w:rsid w:val="00873F21"/>
    <w:rsid w:val="00874271"/>
    <w:rsid w:val="00874AB3"/>
    <w:rsid w:val="00874C8C"/>
    <w:rsid w:val="00874CAD"/>
    <w:rsid w:val="008768A7"/>
    <w:rsid w:val="008772D7"/>
    <w:rsid w:val="008800EF"/>
    <w:rsid w:val="00880345"/>
    <w:rsid w:val="00882335"/>
    <w:rsid w:val="008852F2"/>
    <w:rsid w:val="00885BCD"/>
    <w:rsid w:val="00885F25"/>
    <w:rsid w:val="008904EB"/>
    <w:rsid w:val="008936DF"/>
    <w:rsid w:val="00893F51"/>
    <w:rsid w:val="0089404F"/>
    <w:rsid w:val="00894350"/>
    <w:rsid w:val="00894786"/>
    <w:rsid w:val="00894C6A"/>
    <w:rsid w:val="008952D3"/>
    <w:rsid w:val="008955DB"/>
    <w:rsid w:val="00895CD0"/>
    <w:rsid w:val="00895FA0"/>
    <w:rsid w:val="008961CB"/>
    <w:rsid w:val="008A015D"/>
    <w:rsid w:val="008A1740"/>
    <w:rsid w:val="008A41A0"/>
    <w:rsid w:val="008A4BBC"/>
    <w:rsid w:val="008A5560"/>
    <w:rsid w:val="008B0DE1"/>
    <w:rsid w:val="008B2003"/>
    <w:rsid w:val="008B2983"/>
    <w:rsid w:val="008B330C"/>
    <w:rsid w:val="008B5714"/>
    <w:rsid w:val="008C1335"/>
    <w:rsid w:val="008C4197"/>
    <w:rsid w:val="008C4492"/>
    <w:rsid w:val="008C4EE5"/>
    <w:rsid w:val="008C568C"/>
    <w:rsid w:val="008C62FD"/>
    <w:rsid w:val="008C65A1"/>
    <w:rsid w:val="008C7376"/>
    <w:rsid w:val="008C7752"/>
    <w:rsid w:val="008C7BD1"/>
    <w:rsid w:val="008C7E1C"/>
    <w:rsid w:val="008C7FAD"/>
    <w:rsid w:val="008D3667"/>
    <w:rsid w:val="008D6949"/>
    <w:rsid w:val="008E085D"/>
    <w:rsid w:val="008E126C"/>
    <w:rsid w:val="008E29D1"/>
    <w:rsid w:val="008E419A"/>
    <w:rsid w:val="008E473B"/>
    <w:rsid w:val="008E6BE7"/>
    <w:rsid w:val="008E75B5"/>
    <w:rsid w:val="008E7B7C"/>
    <w:rsid w:val="008E7BF8"/>
    <w:rsid w:val="008F027A"/>
    <w:rsid w:val="008F0ADE"/>
    <w:rsid w:val="008F15DF"/>
    <w:rsid w:val="008F2B01"/>
    <w:rsid w:val="008F2BA4"/>
    <w:rsid w:val="008F44DA"/>
    <w:rsid w:val="008F511E"/>
    <w:rsid w:val="008F5A2C"/>
    <w:rsid w:val="008F6BEA"/>
    <w:rsid w:val="0090135B"/>
    <w:rsid w:val="0090168A"/>
    <w:rsid w:val="0090193E"/>
    <w:rsid w:val="009019E1"/>
    <w:rsid w:val="009027A1"/>
    <w:rsid w:val="00902FC6"/>
    <w:rsid w:val="009049F6"/>
    <w:rsid w:val="0090508C"/>
    <w:rsid w:val="009055B7"/>
    <w:rsid w:val="00905E8A"/>
    <w:rsid w:val="0090642A"/>
    <w:rsid w:val="0090657A"/>
    <w:rsid w:val="00906848"/>
    <w:rsid w:val="00911F26"/>
    <w:rsid w:val="00912D20"/>
    <w:rsid w:val="00913E18"/>
    <w:rsid w:val="00914208"/>
    <w:rsid w:val="00914335"/>
    <w:rsid w:val="00914525"/>
    <w:rsid w:val="00914E42"/>
    <w:rsid w:val="00915F3B"/>
    <w:rsid w:val="00917F4E"/>
    <w:rsid w:val="00921FF3"/>
    <w:rsid w:val="00923EC0"/>
    <w:rsid w:val="009258EA"/>
    <w:rsid w:val="00926417"/>
    <w:rsid w:val="00926633"/>
    <w:rsid w:val="00927FA7"/>
    <w:rsid w:val="00932B54"/>
    <w:rsid w:val="00932EDF"/>
    <w:rsid w:val="0093411E"/>
    <w:rsid w:val="00934676"/>
    <w:rsid w:val="00934954"/>
    <w:rsid w:val="00935318"/>
    <w:rsid w:val="00936B59"/>
    <w:rsid w:val="00937F01"/>
    <w:rsid w:val="009408DF"/>
    <w:rsid w:val="00940E05"/>
    <w:rsid w:val="00941E8E"/>
    <w:rsid w:val="00942A80"/>
    <w:rsid w:val="00942AFA"/>
    <w:rsid w:val="009440DA"/>
    <w:rsid w:val="009448B4"/>
    <w:rsid w:val="009472A9"/>
    <w:rsid w:val="00950A66"/>
    <w:rsid w:val="00950B59"/>
    <w:rsid w:val="009511AC"/>
    <w:rsid w:val="00952194"/>
    <w:rsid w:val="00956620"/>
    <w:rsid w:val="00956DDA"/>
    <w:rsid w:val="00960138"/>
    <w:rsid w:val="0096206B"/>
    <w:rsid w:val="00962CF2"/>
    <w:rsid w:val="0096313B"/>
    <w:rsid w:val="00965F44"/>
    <w:rsid w:val="0096663A"/>
    <w:rsid w:val="009669E0"/>
    <w:rsid w:val="009674F5"/>
    <w:rsid w:val="009676AE"/>
    <w:rsid w:val="00967D65"/>
    <w:rsid w:val="00970F7A"/>
    <w:rsid w:val="0097199B"/>
    <w:rsid w:val="009730C8"/>
    <w:rsid w:val="00973C7B"/>
    <w:rsid w:val="009752D4"/>
    <w:rsid w:val="0097665B"/>
    <w:rsid w:val="00980CBF"/>
    <w:rsid w:val="0098155E"/>
    <w:rsid w:val="009826B1"/>
    <w:rsid w:val="00982A34"/>
    <w:rsid w:val="009830B7"/>
    <w:rsid w:val="0098416A"/>
    <w:rsid w:val="009853BB"/>
    <w:rsid w:val="00990D95"/>
    <w:rsid w:val="00992596"/>
    <w:rsid w:val="0099393A"/>
    <w:rsid w:val="00996EAA"/>
    <w:rsid w:val="00997A0A"/>
    <w:rsid w:val="009A2760"/>
    <w:rsid w:val="009A4BAE"/>
    <w:rsid w:val="009A5346"/>
    <w:rsid w:val="009A5F1A"/>
    <w:rsid w:val="009A76D9"/>
    <w:rsid w:val="009A7E0C"/>
    <w:rsid w:val="009B1002"/>
    <w:rsid w:val="009B2F36"/>
    <w:rsid w:val="009B36DE"/>
    <w:rsid w:val="009B55AB"/>
    <w:rsid w:val="009B6AE2"/>
    <w:rsid w:val="009C1444"/>
    <w:rsid w:val="009C2355"/>
    <w:rsid w:val="009C45C7"/>
    <w:rsid w:val="009C4746"/>
    <w:rsid w:val="009C78E0"/>
    <w:rsid w:val="009D10D5"/>
    <w:rsid w:val="009D1B91"/>
    <w:rsid w:val="009D4635"/>
    <w:rsid w:val="009D5C07"/>
    <w:rsid w:val="009D66EC"/>
    <w:rsid w:val="009D6A52"/>
    <w:rsid w:val="009D7005"/>
    <w:rsid w:val="009D737A"/>
    <w:rsid w:val="009D79BF"/>
    <w:rsid w:val="009E0462"/>
    <w:rsid w:val="009E05C7"/>
    <w:rsid w:val="009E0C65"/>
    <w:rsid w:val="009E1732"/>
    <w:rsid w:val="009E48E9"/>
    <w:rsid w:val="009E50DF"/>
    <w:rsid w:val="009E55FE"/>
    <w:rsid w:val="009E56F7"/>
    <w:rsid w:val="009E592A"/>
    <w:rsid w:val="009F0611"/>
    <w:rsid w:val="009F2602"/>
    <w:rsid w:val="009F326A"/>
    <w:rsid w:val="009F43BA"/>
    <w:rsid w:val="009F4B39"/>
    <w:rsid w:val="009F4E07"/>
    <w:rsid w:val="009F7369"/>
    <w:rsid w:val="00A0072C"/>
    <w:rsid w:val="00A016B0"/>
    <w:rsid w:val="00A03667"/>
    <w:rsid w:val="00A04556"/>
    <w:rsid w:val="00A04BBF"/>
    <w:rsid w:val="00A056F6"/>
    <w:rsid w:val="00A06A90"/>
    <w:rsid w:val="00A0753D"/>
    <w:rsid w:val="00A10F49"/>
    <w:rsid w:val="00A110B0"/>
    <w:rsid w:val="00A11222"/>
    <w:rsid w:val="00A12B74"/>
    <w:rsid w:val="00A21000"/>
    <w:rsid w:val="00A227F3"/>
    <w:rsid w:val="00A233FB"/>
    <w:rsid w:val="00A25121"/>
    <w:rsid w:val="00A25601"/>
    <w:rsid w:val="00A300FA"/>
    <w:rsid w:val="00A30274"/>
    <w:rsid w:val="00A31DE6"/>
    <w:rsid w:val="00A321D5"/>
    <w:rsid w:val="00A32E1A"/>
    <w:rsid w:val="00A336C3"/>
    <w:rsid w:val="00A34964"/>
    <w:rsid w:val="00A34B3D"/>
    <w:rsid w:val="00A3705D"/>
    <w:rsid w:val="00A42BF1"/>
    <w:rsid w:val="00A454A7"/>
    <w:rsid w:val="00A457D3"/>
    <w:rsid w:val="00A46A75"/>
    <w:rsid w:val="00A47DE2"/>
    <w:rsid w:val="00A512FD"/>
    <w:rsid w:val="00A519D2"/>
    <w:rsid w:val="00A56ED1"/>
    <w:rsid w:val="00A571D4"/>
    <w:rsid w:val="00A57E5B"/>
    <w:rsid w:val="00A57E6D"/>
    <w:rsid w:val="00A60CF3"/>
    <w:rsid w:val="00A622D5"/>
    <w:rsid w:val="00A655DD"/>
    <w:rsid w:val="00A66E80"/>
    <w:rsid w:val="00A70003"/>
    <w:rsid w:val="00A702DF"/>
    <w:rsid w:val="00A71296"/>
    <w:rsid w:val="00A73A2A"/>
    <w:rsid w:val="00A73AB6"/>
    <w:rsid w:val="00A74AF0"/>
    <w:rsid w:val="00A75240"/>
    <w:rsid w:val="00A762DF"/>
    <w:rsid w:val="00A76893"/>
    <w:rsid w:val="00A76BCF"/>
    <w:rsid w:val="00A7709A"/>
    <w:rsid w:val="00A80389"/>
    <w:rsid w:val="00A81D71"/>
    <w:rsid w:val="00A8320F"/>
    <w:rsid w:val="00A84DC4"/>
    <w:rsid w:val="00A86961"/>
    <w:rsid w:val="00A878DF"/>
    <w:rsid w:val="00A90D4E"/>
    <w:rsid w:val="00A914E5"/>
    <w:rsid w:val="00A94310"/>
    <w:rsid w:val="00A9573E"/>
    <w:rsid w:val="00AA0F2B"/>
    <w:rsid w:val="00AA171B"/>
    <w:rsid w:val="00AA2412"/>
    <w:rsid w:val="00AA32C4"/>
    <w:rsid w:val="00AA5D13"/>
    <w:rsid w:val="00AA6330"/>
    <w:rsid w:val="00AA6560"/>
    <w:rsid w:val="00AB20FC"/>
    <w:rsid w:val="00AB29C0"/>
    <w:rsid w:val="00AB378B"/>
    <w:rsid w:val="00AB40FA"/>
    <w:rsid w:val="00AB487F"/>
    <w:rsid w:val="00AB4AE8"/>
    <w:rsid w:val="00AB75A6"/>
    <w:rsid w:val="00AC00F1"/>
    <w:rsid w:val="00AC1062"/>
    <w:rsid w:val="00AC1FDA"/>
    <w:rsid w:val="00AC4278"/>
    <w:rsid w:val="00AC42FE"/>
    <w:rsid w:val="00AC433D"/>
    <w:rsid w:val="00AC568F"/>
    <w:rsid w:val="00AC56C5"/>
    <w:rsid w:val="00AC573D"/>
    <w:rsid w:val="00AC5D5B"/>
    <w:rsid w:val="00AC5DD2"/>
    <w:rsid w:val="00AC6CA6"/>
    <w:rsid w:val="00AD16F7"/>
    <w:rsid w:val="00AD24B5"/>
    <w:rsid w:val="00AD2B6F"/>
    <w:rsid w:val="00AD4AE5"/>
    <w:rsid w:val="00AD52F8"/>
    <w:rsid w:val="00AD57FD"/>
    <w:rsid w:val="00AD6520"/>
    <w:rsid w:val="00AD7264"/>
    <w:rsid w:val="00AD7515"/>
    <w:rsid w:val="00AE1293"/>
    <w:rsid w:val="00AE1A34"/>
    <w:rsid w:val="00AE393A"/>
    <w:rsid w:val="00AE5021"/>
    <w:rsid w:val="00AE520F"/>
    <w:rsid w:val="00AE6923"/>
    <w:rsid w:val="00AE78C1"/>
    <w:rsid w:val="00AF068F"/>
    <w:rsid w:val="00AF1D45"/>
    <w:rsid w:val="00AF228E"/>
    <w:rsid w:val="00AF2EA6"/>
    <w:rsid w:val="00AF3468"/>
    <w:rsid w:val="00AF3550"/>
    <w:rsid w:val="00AF6970"/>
    <w:rsid w:val="00AF7609"/>
    <w:rsid w:val="00AF7F1A"/>
    <w:rsid w:val="00B0079A"/>
    <w:rsid w:val="00B03A0E"/>
    <w:rsid w:val="00B03A9E"/>
    <w:rsid w:val="00B03E02"/>
    <w:rsid w:val="00B03F5A"/>
    <w:rsid w:val="00B04576"/>
    <w:rsid w:val="00B05618"/>
    <w:rsid w:val="00B07140"/>
    <w:rsid w:val="00B07454"/>
    <w:rsid w:val="00B10316"/>
    <w:rsid w:val="00B1107B"/>
    <w:rsid w:val="00B13911"/>
    <w:rsid w:val="00B1733B"/>
    <w:rsid w:val="00B20060"/>
    <w:rsid w:val="00B20BCC"/>
    <w:rsid w:val="00B212D4"/>
    <w:rsid w:val="00B22814"/>
    <w:rsid w:val="00B2383C"/>
    <w:rsid w:val="00B25350"/>
    <w:rsid w:val="00B25FC5"/>
    <w:rsid w:val="00B26C57"/>
    <w:rsid w:val="00B27021"/>
    <w:rsid w:val="00B32853"/>
    <w:rsid w:val="00B330FE"/>
    <w:rsid w:val="00B34997"/>
    <w:rsid w:val="00B34BE9"/>
    <w:rsid w:val="00B34DC8"/>
    <w:rsid w:val="00B35AEC"/>
    <w:rsid w:val="00B37268"/>
    <w:rsid w:val="00B37A08"/>
    <w:rsid w:val="00B41135"/>
    <w:rsid w:val="00B4179D"/>
    <w:rsid w:val="00B4407E"/>
    <w:rsid w:val="00B451D4"/>
    <w:rsid w:val="00B453A2"/>
    <w:rsid w:val="00B45DFB"/>
    <w:rsid w:val="00B4696D"/>
    <w:rsid w:val="00B50443"/>
    <w:rsid w:val="00B51BFF"/>
    <w:rsid w:val="00B555AB"/>
    <w:rsid w:val="00B5591D"/>
    <w:rsid w:val="00B56A6C"/>
    <w:rsid w:val="00B6155F"/>
    <w:rsid w:val="00B61729"/>
    <w:rsid w:val="00B657F4"/>
    <w:rsid w:val="00B66A41"/>
    <w:rsid w:val="00B66D00"/>
    <w:rsid w:val="00B67B2A"/>
    <w:rsid w:val="00B73207"/>
    <w:rsid w:val="00B7695C"/>
    <w:rsid w:val="00B76D42"/>
    <w:rsid w:val="00B82776"/>
    <w:rsid w:val="00B856B3"/>
    <w:rsid w:val="00B85D38"/>
    <w:rsid w:val="00B86D0C"/>
    <w:rsid w:val="00B91356"/>
    <w:rsid w:val="00B92784"/>
    <w:rsid w:val="00B92A09"/>
    <w:rsid w:val="00B93CD4"/>
    <w:rsid w:val="00B94AB5"/>
    <w:rsid w:val="00B97160"/>
    <w:rsid w:val="00B97C50"/>
    <w:rsid w:val="00BA37FD"/>
    <w:rsid w:val="00BA783E"/>
    <w:rsid w:val="00BB06A5"/>
    <w:rsid w:val="00BB2416"/>
    <w:rsid w:val="00BB2AD2"/>
    <w:rsid w:val="00BB3E13"/>
    <w:rsid w:val="00BB470E"/>
    <w:rsid w:val="00BB4F20"/>
    <w:rsid w:val="00BB71C5"/>
    <w:rsid w:val="00BC2FBD"/>
    <w:rsid w:val="00BC5339"/>
    <w:rsid w:val="00BC5704"/>
    <w:rsid w:val="00BC5D59"/>
    <w:rsid w:val="00BC6893"/>
    <w:rsid w:val="00BD082D"/>
    <w:rsid w:val="00BD1226"/>
    <w:rsid w:val="00BD23BD"/>
    <w:rsid w:val="00BD7283"/>
    <w:rsid w:val="00BE0FE2"/>
    <w:rsid w:val="00BE2F98"/>
    <w:rsid w:val="00BE557B"/>
    <w:rsid w:val="00BE6B23"/>
    <w:rsid w:val="00BE7550"/>
    <w:rsid w:val="00BF00C5"/>
    <w:rsid w:val="00BF14C7"/>
    <w:rsid w:val="00BF1976"/>
    <w:rsid w:val="00BF1BFC"/>
    <w:rsid w:val="00BF2E07"/>
    <w:rsid w:val="00BF5589"/>
    <w:rsid w:val="00BF74BA"/>
    <w:rsid w:val="00C00F17"/>
    <w:rsid w:val="00C01296"/>
    <w:rsid w:val="00C01670"/>
    <w:rsid w:val="00C0186C"/>
    <w:rsid w:val="00C03332"/>
    <w:rsid w:val="00C03CA2"/>
    <w:rsid w:val="00C0619F"/>
    <w:rsid w:val="00C07DDF"/>
    <w:rsid w:val="00C100C1"/>
    <w:rsid w:val="00C101FF"/>
    <w:rsid w:val="00C12A37"/>
    <w:rsid w:val="00C12E30"/>
    <w:rsid w:val="00C142DC"/>
    <w:rsid w:val="00C15071"/>
    <w:rsid w:val="00C1535C"/>
    <w:rsid w:val="00C203CC"/>
    <w:rsid w:val="00C21A5B"/>
    <w:rsid w:val="00C22BF8"/>
    <w:rsid w:val="00C22C2C"/>
    <w:rsid w:val="00C2311E"/>
    <w:rsid w:val="00C24449"/>
    <w:rsid w:val="00C246C5"/>
    <w:rsid w:val="00C2557A"/>
    <w:rsid w:val="00C27A43"/>
    <w:rsid w:val="00C30C3C"/>
    <w:rsid w:val="00C325B2"/>
    <w:rsid w:val="00C3334D"/>
    <w:rsid w:val="00C3478A"/>
    <w:rsid w:val="00C34C73"/>
    <w:rsid w:val="00C35533"/>
    <w:rsid w:val="00C36AED"/>
    <w:rsid w:val="00C42468"/>
    <w:rsid w:val="00C431C2"/>
    <w:rsid w:val="00C442F0"/>
    <w:rsid w:val="00C46367"/>
    <w:rsid w:val="00C47FF0"/>
    <w:rsid w:val="00C51040"/>
    <w:rsid w:val="00C51902"/>
    <w:rsid w:val="00C51DCF"/>
    <w:rsid w:val="00C52277"/>
    <w:rsid w:val="00C539EF"/>
    <w:rsid w:val="00C5429B"/>
    <w:rsid w:val="00C604A6"/>
    <w:rsid w:val="00C62104"/>
    <w:rsid w:val="00C623D7"/>
    <w:rsid w:val="00C62D3D"/>
    <w:rsid w:val="00C63FD9"/>
    <w:rsid w:val="00C64390"/>
    <w:rsid w:val="00C6446E"/>
    <w:rsid w:val="00C659F2"/>
    <w:rsid w:val="00C71662"/>
    <w:rsid w:val="00C75762"/>
    <w:rsid w:val="00C75AFB"/>
    <w:rsid w:val="00C7715B"/>
    <w:rsid w:val="00C83C58"/>
    <w:rsid w:val="00C86307"/>
    <w:rsid w:val="00C909A0"/>
    <w:rsid w:val="00C90E73"/>
    <w:rsid w:val="00C91AA4"/>
    <w:rsid w:val="00C94A94"/>
    <w:rsid w:val="00C956AD"/>
    <w:rsid w:val="00C961A7"/>
    <w:rsid w:val="00C9780A"/>
    <w:rsid w:val="00CA28DF"/>
    <w:rsid w:val="00CA5993"/>
    <w:rsid w:val="00CA646E"/>
    <w:rsid w:val="00CB0393"/>
    <w:rsid w:val="00CB18EE"/>
    <w:rsid w:val="00CB330B"/>
    <w:rsid w:val="00CB6087"/>
    <w:rsid w:val="00CB6571"/>
    <w:rsid w:val="00CB6CEE"/>
    <w:rsid w:val="00CB6FCB"/>
    <w:rsid w:val="00CB7118"/>
    <w:rsid w:val="00CB7B0C"/>
    <w:rsid w:val="00CC02FD"/>
    <w:rsid w:val="00CC14E4"/>
    <w:rsid w:val="00CC1E5A"/>
    <w:rsid w:val="00CC2BFD"/>
    <w:rsid w:val="00CC548A"/>
    <w:rsid w:val="00CC659B"/>
    <w:rsid w:val="00CC6892"/>
    <w:rsid w:val="00CD0888"/>
    <w:rsid w:val="00CD26E6"/>
    <w:rsid w:val="00CD28F9"/>
    <w:rsid w:val="00CD3789"/>
    <w:rsid w:val="00CD4489"/>
    <w:rsid w:val="00CD4884"/>
    <w:rsid w:val="00CE12B9"/>
    <w:rsid w:val="00CE28D0"/>
    <w:rsid w:val="00CE2F7D"/>
    <w:rsid w:val="00CE321A"/>
    <w:rsid w:val="00CE348A"/>
    <w:rsid w:val="00CE4F43"/>
    <w:rsid w:val="00CE57D8"/>
    <w:rsid w:val="00CE60C3"/>
    <w:rsid w:val="00CF0268"/>
    <w:rsid w:val="00CF126F"/>
    <w:rsid w:val="00CF3CFB"/>
    <w:rsid w:val="00CF4AE0"/>
    <w:rsid w:val="00CF68A6"/>
    <w:rsid w:val="00CF6D13"/>
    <w:rsid w:val="00D021DF"/>
    <w:rsid w:val="00D0258D"/>
    <w:rsid w:val="00D057DA"/>
    <w:rsid w:val="00D101DB"/>
    <w:rsid w:val="00D10A83"/>
    <w:rsid w:val="00D10F52"/>
    <w:rsid w:val="00D12F58"/>
    <w:rsid w:val="00D13089"/>
    <w:rsid w:val="00D1338D"/>
    <w:rsid w:val="00D213EE"/>
    <w:rsid w:val="00D21970"/>
    <w:rsid w:val="00D23DBC"/>
    <w:rsid w:val="00D24718"/>
    <w:rsid w:val="00D262C0"/>
    <w:rsid w:val="00D308F9"/>
    <w:rsid w:val="00D317E7"/>
    <w:rsid w:val="00D32BB0"/>
    <w:rsid w:val="00D33A43"/>
    <w:rsid w:val="00D35A11"/>
    <w:rsid w:val="00D37B53"/>
    <w:rsid w:val="00D4232B"/>
    <w:rsid w:val="00D42373"/>
    <w:rsid w:val="00D43983"/>
    <w:rsid w:val="00D43CAD"/>
    <w:rsid w:val="00D456EA"/>
    <w:rsid w:val="00D468CA"/>
    <w:rsid w:val="00D46C5D"/>
    <w:rsid w:val="00D50006"/>
    <w:rsid w:val="00D5019E"/>
    <w:rsid w:val="00D50913"/>
    <w:rsid w:val="00D510F6"/>
    <w:rsid w:val="00D51277"/>
    <w:rsid w:val="00D52BE1"/>
    <w:rsid w:val="00D5416C"/>
    <w:rsid w:val="00D5429E"/>
    <w:rsid w:val="00D550FA"/>
    <w:rsid w:val="00D55767"/>
    <w:rsid w:val="00D57EAE"/>
    <w:rsid w:val="00D61139"/>
    <w:rsid w:val="00D61FB6"/>
    <w:rsid w:val="00D62247"/>
    <w:rsid w:val="00D62A03"/>
    <w:rsid w:val="00D64344"/>
    <w:rsid w:val="00D656D5"/>
    <w:rsid w:val="00D658C2"/>
    <w:rsid w:val="00D660C4"/>
    <w:rsid w:val="00D66301"/>
    <w:rsid w:val="00D71249"/>
    <w:rsid w:val="00D71D9F"/>
    <w:rsid w:val="00D73A35"/>
    <w:rsid w:val="00D762E7"/>
    <w:rsid w:val="00D7778A"/>
    <w:rsid w:val="00D77C8E"/>
    <w:rsid w:val="00D80C25"/>
    <w:rsid w:val="00D8148E"/>
    <w:rsid w:val="00D840E7"/>
    <w:rsid w:val="00D84170"/>
    <w:rsid w:val="00D84A9B"/>
    <w:rsid w:val="00D92439"/>
    <w:rsid w:val="00D955D7"/>
    <w:rsid w:val="00D969D2"/>
    <w:rsid w:val="00D9715D"/>
    <w:rsid w:val="00DA1457"/>
    <w:rsid w:val="00DA1C28"/>
    <w:rsid w:val="00DA223A"/>
    <w:rsid w:val="00DA23DC"/>
    <w:rsid w:val="00DA3536"/>
    <w:rsid w:val="00DA3711"/>
    <w:rsid w:val="00DA3DAE"/>
    <w:rsid w:val="00DA42A4"/>
    <w:rsid w:val="00DA4A30"/>
    <w:rsid w:val="00DA69DE"/>
    <w:rsid w:val="00DB0607"/>
    <w:rsid w:val="00DB1022"/>
    <w:rsid w:val="00DB4B3E"/>
    <w:rsid w:val="00DB505F"/>
    <w:rsid w:val="00DB6590"/>
    <w:rsid w:val="00DB661B"/>
    <w:rsid w:val="00DB66D7"/>
    <w:rsid w:val="00DC1088"/>
    <w:rsid w:val="00DC2AA0"/>
    <w:rsid w:val="00DC5D1C"/>
    <w:rsid w:val="00DC69EC"/>
    <w:rsid w:val="00DD11A6"/>
    <w:rsid w:val="00DD435A"/>
    <w:rsid w:val="00DD5796"/>
    <w:rsid w:val="00DD74D7"/>
    <w:rsid w:val="00DD77C2"/>
    <w:rsid w:val="00DE15D9"/>
    <w:rsid w:val="00DE2980"/>
    <w:rsid w:val="00DE2C59"/>
    <w:rsid w:val="00DE43C0"/>
    <w:rsid w:val="00DE4FE0"/>
    <w:rsid w:val="00DE5930"/>
    <w:rsid w:val="00DF0399"/>
    <w:rsid w:val="00DF1579"/>
    <w:rsid w:val="00DF22C6"/>
    <w:rsid w:val="00DF2608"/>
    <w:rsid w:val="00DF2FB6"/>
    <w:rsid w:val="00DF3B44"/>
    <w:rsid w:val="00DF5485"/>
    <w:rsid w:val="00DF6150"/>
    <w:rsid w:val="00DF6B68"/>
    <w:rsid w:val="00DF72DA"/>
    <w:rsid w:val="00DF75C5"/>
    <w:rsid w:val="00E00957"/>
    <w:rsid w:val="00E02DAD"/>
    <w:rsid w:val="00E07576"/>
    <w:rsid w:val="00E10A1C"/>
    <w:rsid w:val="00E126B0"/>
    <w:rsid w:val="00E12E00"/>
    <w:rsid w:val="00E13BA5"/>
    <w:rsid w:val="00E13FE6"/>
    <w:rsid w:val="00E14013"/>
    <w:rsid w:val="00E15612"/>
    <w:rsid w:val="00E16090"/>
    <w:rsid w:val="00E16C10"/>
    <w:rsid w:val="00E16DCB"/>
    <w:rsid w:val="00E16DDB"/>
    <w:rsid w:val="00E206CF"/>
    <w:rsid w:val="00E2233E"/>
    <w:rsid w:val="00E231DA"/>
    <w:rsid w:val="00E25445"/>
    <w:rsid w:val="00E257A9"/>
    <w:rsid w:val="00E26DE4"/>
    <w:rsid w:val="00E27123"/>
    <w:rsid w:val="00E2759B"/>
    <w:rsid w:val="00E31229"/>
    <w:rsid w:val="00E36D2E"/>
    <w:rsid w:val="00E421DB"/>
    <w:rsid w:val="00E42788"/>
    <w:rsid w:val="00E427F1"/>
    <w:rsid w:val="00E429A6"/>
    <w:rsid w:val="00E462CF"/>
    <w:rsid w:val="00E46816"/>
    <w:rsid w:val="00E46F57"/>
    <w:rsid w:val="00E505F7"/>
    <w:rsid w:val="00E50DF3"/>
    <w:rsid w:val="00E511AB"/>
    <w:rsid w:val="00E51DF9"/>
    <w:rsid w:val="00E52865"/>
    <w:rsid w:val="00E52DF6"/>
    <w:rsid w:val="00E569B8"/>
    <w:rsid w:val="00E5768A"/>
    <w:rsid w:val="00E63389"/>
    <w:rsid w:val="00E63988"/>
    <w:rsid w:val="00E64801"/>
    <w:rsid w:val="00E664FB"/>
    <w:rsid w:val="00E66542"/>
    <w:rsid w:val="00E672E8"/>
    <w:rsid w:val="00E70993"/>
    <w:rsid w:val="00E70BEB"/>
    <w:rsid w:val="00E713A9"/>
    <w:rsid w:val="00E7220D"/>
    <w:rsid w:val="00E7241D"/>
    <w:rsid w:val="00E7250F"/>
    <w:rsid w:val="00E72579"/>
    <w:rsid w:val="00E75F0F"/>
    <w:rsid w:val="00E7662A"/>
    <w:rsid w:val="00E77ED7"/>
    <w:rsid w:val="00E806B5"/>
    <w:rsid w:val="00E80A52"/>
    <w:rsid w:val="00E80A80"/>
    <w:rsid w:val="00E80E6E"/>
    <w:rsid w:val="00E80F32"/>
    <w:rsid w:val="00E8170C"/>
    <w:rsid w:val="00E82E89"/>
    <w:rsid w:val="00E83356"/>
    <w:rsid w:val="00E83D14"/>
    <w:rsid w:val="00E83E7E"/>
    <w:rsid w:val="00E84F11"/>
    <w:rsid w:val="00E8542E"/>
    <w:rsid w:val="00E85C6E"/>
    <w:rsid w:val="00E86216"/>
    <w:rsid w:val="00E87BD2"/>
    <w:rsid w:val="00E87EF4"/>
    <w:rsid w:val="00E90433"/>
    <w:rsid w:val="00E90F51"/>
    <w:rsid w:val="00E92664"/>
    <w:rsid w:val="00E92C0C"/>
    <w:rsid w:val="00E95167"/>
    <w:rsid w:val="00E96AF7"/>
    <w:rsid w:val="00E975A8"/>
    <w:rsid w:val="00E978C5"/>
    <w:rsid w:val="00EA0701"/>
    <w:rsid w:val="00EA205B"/>
    <w:rsid w:val="00EA2E04"/>
    <w:rsid w:val="00EA4D3C"/>
    <w:rsid w:val="00EA61A7"/>
    <w:rsid w:val="00EA708A"/>
    <w:rsid w:val="00EA791E"/>
    <w:rsid w:val="00EB038C"/>
    <w:rsid w:val="00EB34DA"/>
    <w:rsid w:val="00EB6A96"/>
    <w:rsid w:val="00EB74F5"/>
    <w:rsid w:val="00EC0A70"/>
    <w:rsid w:val="00EC5A71"/>
    <w:rsid w:val="00EC5F7C"/>
    <w:rsid w:val="00ED165F"/>
    <w:rsid w:val="00ED244E"/>
    <w:rsid w:val="00ED2875"/>
    <w:rsid w:val="00ED2C01"/>
    <w:rsid w:val="00ED5F81"/>
    <w:rsid w:val="00ED7205"/>
    <w:rsid w:val="00EE6EBB"/>
    <w:rsid w:val="00EF0DA4"/>
    <w:rsid w:val="00EF1606"/>
    <w:rsid w:val="00EF1895"/>
    <w:rsid w:val="00EF1EC7"/>
    <w:rsid w:val="00EF1EF1"/>
    <w:rsid w:val="00EF20D0"/>
    <w:rsid w:val="00EF22EA"/>
    <w:rsid w:val="00EF250B"/>
    <w:rsid w:val="00EF47E4"/>
    <w:rsid w:val="00EF77A3"/>
    <w:rsid w:val="00F025B9"/>
    <w:rsid w:val="00F0535E"/>
    <w:rsid w:val="00F0563A"/>
    <w:rsid w:val="00F06B14"/>
    <w:rsid w:val="00F0721C"/>
    <w:rsid w:val="00F10AD6"/>
    <w:rsid w:val="00F11C33"/>
    <w:rsid w:val="00F1535D"/>
    <w:rsid w:val="00F159F9"/>
    <w:rsid w:val="00F16983"/>
    <w:rsid w:val="00F16F0C"/>
    <w:rsid w:val="00F1755B"/>
    <w:rsid w:val="00F179C5"/>
    <w:rsid w:val="00F20B60"/>
    <w:rsid w:val="00F21B5B"/>
    <w:rsid w:val="00F22053"/>
    <w:rsid w:val="00F2295B"/>
    <w:rsid w:val="00F23187"/>
    <w:rsid w:val="00F24B50"/>
    <w:rsid w:val="00F25079"/>
    <w:rsid w:val="00F253FD"/>
    <w:rsid w:val="00F2584E"/>
    <w:rsid w:val="00F26128"/>
    <w:rsid w:val="00F26DD1"/>
    <w:rsid w:val="00F30FC5"/>
    <w:rsid w:val="00F32066"/>
    <w:rsid w:val="00F3503C"/>
    <w:rsid w:val="00F35A99"/>
    <w:rsid w:val="00F36A3D"/>
    <w:rsid w:val="00F36B01"/>
    <w:rsid w:val="00F37DC1"/>
    <w:rsid w:val="00F37DE6"/>
    <w:rsid w:val="00F40CFB"/>
    <w:rsid w:val="00F4193D"/>
    <w:rsid w:val="00F42BCC"/>
    <w:rsid w:val="00F471AF"/>
    <w:rsid w:val="00F5065C"/>
    <w:rsid w:val="00F51396"/>
    <w:rsid w:val="00F53BC0"/>
    <w:rsid w:val="00F53FC0"/>
    <w:rsid w:val="00F565FF"/>
    <w:rsid w:val="00F57D84"/>
    <w:rsid w:val="00F603E5"/>
    <w:rsid w:val="00F60AFA"/>
    <w:rsid w:val="00F62281"/>
    <w:rsid w:val="00F64363"/>
    <w:rsid w:val="00F64712"/>
    <w:rsid w:val="00F64A63"/>
    <w:rsid w:val="00F66CBB"/>
    <w:rsid w:val="00F66E7F"/>
    <w:rsid w:val="00F71292"/>
    <w:rsid w:val="00F72C4F"/>
    <w:rsid w:val="00F7329F"/>
    <w:rsid w:val="00F73983"/>
    <w:rsid w:val="00F758A2"/>
    <w:rsid w:val="00F75D97"/>
    <w:rsid w:val="00F764E0"/>
    <w:rsid w:val="00F77445"/>
    <w:rsid w:val="00F839B4"/>
    <w:rsid w:val="00F8429E"/>
    <w:rsid w:val="00F85AE9"/>
    <w:rsid w:val="00F87F3F"/>
    <w:rsid w:val="00F90171"/>
    <w:rsid w:val="00F9112E"/>
    <w:rsid w:val="00F9189B"/>
    <w:rsid w:val="00F943BA"/>
    <w:rsid w:val="00F960D7"/>
    <w:rsid w:val="00F961D8"/>
    <w:rsid w:val="00FA165B"/>
    <w:rsid w:val="00FA17CF"/>
    <w:rsid w:val="00FA1BA4"/>
    <w:rsid w:val="00FA22E4"/>
    <w:rsid w:val="00FA25ED"/>
    <w:rsid w:val="00FA44D9"/>
    <w:rsid w:val="00FA52EC"/>
    <w:rsid w:val="00FA5942"/>
    <w:rsid w:val="00FA5C32"/>
    <w:rsid w:val="00FA696E"/>
    <w:rsid w:val="00FB032E"/>
    <w:rsid w:val="00FB0730"/>
    <w:rsid w:val="00FB381C"/>
    <w:rsid w:val="00FB55C6"/>
    <w:rsid w:val="00FB632E"/>
    <w:rsid w:val="00FB699B"/>
    <w:rsid w:val="00FB717E"/>
    <w:rsid w:val="00FC3C49"/>
    <w:rsid w:val="00FC57EB"/>
    <w:rsid w:val="00FC5E65"/>
    <w:rsid w:val="00FC65C2"/>
    <w:rsid w:val="00FC77E6"/>
    <w:rsid w:val="00FC7B76"/>
    <w:rsid w:val="00FD15A9"/>
    <w:rsid w:val="00FD1B68"/>
    <w:rsid w:val="00FD44F5"/>
    <w:rsid w:val="00FD4B65"/>
    <w:rsid w:val="00FD5F71"/>
    <w:rsid w:val="00FE17C8"/>
    <w:rsid w:val="00FE35DB"/>
    <w:rsid w:val="00FE3BBB"/>
    <w:rsid w:val="00FE51C1"/>
    <w:rsid w:val="00FE73A4"/>
    <w:rsid w:val="00FF05BE"/>
    <w:rsid w:val="00FF1BAF"/>
    <w:rsid w:val="00FF240F"/>
    <w:rsid w:val="00FF2D23"/>
    <w:rsid w:val="00FF4F1C"/>
    <w:rsid w:val="00FF55B7"/>
    <w:rsid w:val="00FF5825"/>
    <w:rsid w:val="00FF5922"/>
    <w:rsid w:val="00FF5C96"/>
    <w:rsid w:val="00FF5CBE"/>
    <w:rsid w:val="00FF65B7"/>
    <w:rsid w:val="00FF7644"/>
    <w:rsid w:val="00FF7CDB"/>
    <w:rsid w:val="30185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E66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71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A15F0"/>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qFormat/>
    <w:rsid w:val="007A15F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7A15F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15F0"/>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rsid w:val="007A15F0"/>
    <w:rPr>
      <w:rFonts w:ascii="Arial" w:eastAsia="Times New Roman" w:hAnsi="Arial" w:cs="Arial"/>
      <w:b/>
      <w:bCs/>
      <w:i/>
      <w:iCs/>
      <w:sz w:val="28"/>
      <w:szCs w:val="28"/>
    </w:rPr>
  </w:style>
  <w:style w:type="character" w:customStyle="1" w:styleId="Heading3Char">
    <w:name w:val="Heading 3 Char"/>
    <w:basedOn w:val="DefaultParagraphFont"/>
    <w:link w:val="Heading3"/>
    <w:semiHidden/>
    <w:rsid w:val="007A15F0"/>
    <w:rPr>
      <w:rFonts w:ascii="Cambria" w:eastAsia="Times New Roman" w:hAnsi="Cambria" w:cs="Times New Roman"/>
      <w:b/>
      <w:bCs/>
      <w:sz w:val="26"/>
      <w:szCs w:val="26"/>
    </w:rPr>
  </w:style>
  <w:style w:type="paragraph" w:styleId="BalloonText">
    <w:name w:val="Balloon Text"/>
    <w:basedOn w:val="Normal"/>
    <w:link w:val="BalloonTextChar"/>
    <w:rsid w:val="00DA3711"/>
    <w:pPr>
      <w:widowControl/>
      <w:autoSpaceDE/>
      <w:autoSpaceDN/>
      <w:adjustRightInd/>
    </w:pPr>
    <w:rPr>
      <w:rFonts w:ascii="Calibri" w:hAnsi="Calibri" w:cs="Tahoma"/>
      <w:sz w:val="20"/>
      <w:szCs w:val="16"/>
    </w:rPr>
  </w:style>
  <w:style w:type="character" w:customStyle="1" w:styleId="BalloonTextChar">
    <w:name w:val="Balloon Text Char"/>
    <w:basedOn w:val="DefaultParagraphFont"/>
    <w:link w:val="BalloonText"/>
    <w:rsid w:val="00DA3711"/>
    <w:rPr>
      <w:rFonts w:ascii="Calibri" w:eastAsia="Times New Roman" w:hAnsi="Calibri" w:cs="Tahoma"/>
      <w:sz w:val="20"/>
      <w:szCs w:val="16"/>
    </w:rPr>
  </w:style>
  <w:style w:type="character" w:styleId="FootnoteReference">
    <w:name w:val="footnote reference"/>
    <w:uiPriority w:val="99"/>
    <w:rsid w:val="007A15F0"/>
  </w:style>
  <w:style w:type="paragraph" w:customStyle="1" w:styleId="Outline0021">
    <w:name w:val="Outline002_1"/>
    <w:basedOn w:val="Normal"/>
    <w:rsid w:val="007A15F0"/>
    <w:pPr>
      <w:numPr>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s>
      <w:ind w:left="720" w:hanging="360"/>
      <w:outlineLvl w:val="0"/>
    </w:pPr>
  </w:style>
  <w:style w:type="paragraph" w:customStyle="1" w:styleId="Outline0011">
    <w:name w:val="Outline001_1"/>
    <w:basedOn w:val="Normal"/>
    <w:rsid w:val="007A15F0"/>
    <w:pPr>
      <w:tabs>
        <w:tab w:val="left" w:pos="0"/>
        <w:tab w:val="left" w:pos="720"/>
        <w:tab w:val="left" w:pos="1440"/>
        <w:tab w:val="left" w:pos="2160"/>
        <w:tab w:val="left" w:pos="2880"/>
        <w:tab w:val="left" w:pos="3600"/>
        <w:tab w:val="left" w:pos="4320"/>
        <w:tab w:val="left" w:pos="5040"/>
        <w:tab w:val="left" w:pos="5760"/>
        <w:tab w:val="left" w:pos="6480"/>
        <w:tab w:val="left" w:pos="7200"/>
      </w:tabs>
      <w:ind w:left="720" w:hanging="360"/>
    </w:pPr>
  </w:style>
  <w:style w:type="paragraph" w:customStyle="1" w:styleId="Outline0031">
    <w:name w:val="Outline003_1"/>
    <w:basedOn w:val="Normal"/>
    <w:rsid w:val="007A15F0"/>
    <w:pPr>
      <w:numPr>
        <w:numId w:val="2"/>
      </w:numPr>
      <w:tabs>
        <w:tab w:val="left" w:pos="0"/>
        <w:tab w:val="left" w:pos="660"/>
        <w:tab w:val="left" w:pos="1380"/>
        <w:tab w:val="left" w:pos="2100"/>
        <w:tab w:val="left" w:pos="2820"/>
        <w:tab w:val="left" w:pos="3540"/>
        <w:tab w:val="left" w:pos="4260"/>
        <w:tab w:val="left" w:pos="4980"/>
        <w:tab w:val="left" w:pos="5700"/>
        <w:tab w:val="left" w:pos="6420"/>
        <w:tab w:val="left" w:pos="7140"/>
      </w:tabs>
      <w:ind w:left="450" w:hanging="420"/>
      <w:outlineLvl w:val="0"/>
    </w:pPr>
  </w:style>
  <w:style w:type="paragraph" w:customStyle="1" w:styleId="OMBbodytext">
    <w:name w:val="OMB body text"/>
    <w:basedOn w:val="Normal"/>
    <w:link w:val="OMBbodytextChar"/>
    <w:rsid w:val="00274CE3"/>
    <w:pPr>
      <w:widowControl/>
      <w:autoSpaceDE/>
      <w:autoSpaceDN/>
      <w:adjustRightInd/>
      <w:spacing w:after="240"/>
      <w:ind w:left="360"/>
    </w:pPr>
    <w:rPr>
      <w:szCs w:val="20"/>
    </w:rPr>
  </w:style>
  <w:style w:type="character" w:customStyle="1" w:styleId="OMBbodytextChar">
    <w:name w:val="OMB body text Char"/>
    <w:basedOn w:val="DefaultParagraphFont"/>
    <w:link w:val="OMBbodytext"/>
    <w:rsid w:val="00274CE3"/>
    <w:rPr>
      <w:rFonts w:ascii="Times New Roman" w:eastAsia="Times New Roman" w:hAnsi="Times New Roman" w:cs="Times New Roman"/>
      <w:sz w:val="24"/>
      <w:szCs w:val="20"/>
    </w:rPr>
  </w:style>
  <w:style w:type="paragraph" w:styleId="Footer">
    <w:name w:val="footer"/>
    <w:basedOn w:val="Normal"/>
    <w:link w:val="FooterChar"/>
    <w:uiPriority w:val="99"/>
    <w:rsid w:val="007A15F0"/>
    <w:pPr>
      <w:tabs>
        <w:tab w:val="center" w:pos="4320"/>
        <w:tab w:val="right" w:pos="8640"/>
      </w:tabs>
    </w:pPr>
  </w:style>
  <w:style w:type="character" w:customStyle="1" w:styleId="FooterChar">
    <w:name w:val="Footer Char"/>
    <w:basedOn w:val="DefaultParagraphFont"/>
    <w:link w:val="Footer"/>
    <w:uiPriority w:val="99"/>
    <w:rsid w:val="007A15F0"/>
    <w:rPr>
      <w:rFonts w:ascii="Times New Roman" w:eastAsia="Times New Roman" w:hAnsi="Times New Roman" w:cs="Times New Roman"/>
      <w:sz w:val="24"/>
      <w:szCs w:val="24"/>
    </w:rPr>
  </w:style>
  <w:style w:type="character" w:styleId="PageNumber">
    <w:name w:val="page number"/>
    <w:basedOn w:val="DefaultParagraphFont"/>
    <w:rsid w:val="007A15F0"/>
  </w:style>
  <w:style w:type="paragraph" w:styleId="CommentText">
    <w:name w:val="annotation text"/>
    <w:basedOn w:val="Normal"/>
    <w:link w:val="CommentTextChar"/>
    <w:autoRedefine/>
    <w:rsid w:val="00913E18"/>
    <w:rPr>
      <w:rFonts w:ascii="Calibri" w:hAnsi="Calibri"/>
      <w:sz w:val="20"/>
      <w:szCs w:val="20"/>
    </w:rPr>
  </w:style>
  <w:style w:type="character" w:customStyle="1" w:styleId="CommentTextChar">
    <w:name w:val="Comment Text Char"/>
    <w:basedOn w:val="DefaultParagraphFont"/>
    <w:link w:val="CommentText"/>
    <w:rsid w:val="00913E18"/>
    <w:rPr>
      <w:rFonts w:ascii="Calibri" w:eastAsia="Times New Roman" w:hAnsi="Calibri" w:cs="Times New Roman"/>
      <w:sz w:val="20"/>
      <w:szCs w:val="20"/>
    </w:rPr>
  </w:style>
  <w:style w:type="table" w:styleId="TableGrid">
    <w:name w:val="Table Grid"/>
    <w:basedOn w:val="TableNormal"/>
    <w:uiPriority w:val="39"/>
    <w:rsid w:val="007A15F0"/>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7A15F0"/>
    <w:rPr>
      <w:sz w:val="16"/>
      <w:szCs w:val="16"/>
    </w:rPr>
  </w:style>
  <w:style w:type="paragraph" w:customStyle="1" w:styleId="OMBExhibitTitle">
    <w:name w:val="OMB Exhibit Title"/>
    <w:rsid w:val="0069283C"/>
    <w:pPr>
      <w:keepNext/>
      <w:keepLines/>
      <w:spacing w:before="120" w:after="120" w:line="240" w:lineRule="auto"/>
      <w:ind w:left="1152" w:hanging="1152"/>
    </w:pPr>
    <w:rPr>
      <w:rFonts w:ascii="Arial" w:eastAsia="Times New Roman" w:hAnsi="Arial" w:cs="Times New Roman"/>
      <w:b/>
      <w:snapToGrid w:val="0"/>
      <w:sz w:val="20"/>
      <w:szCs w:val="20"/>
    </w:rPr>
  </w:style>
  <w:style w:type="paragraph" w:customStyle="1" w:styleId="atab1">
    <w:name w:val="atab_1"/>
    <w:basedOn w:val="Normal"/>
    <w:rsid w:val="007A15F0"/>
    <w:pPr>
      <w:widowControl/>
      <w:autoSpaceDE/>
      <w:autoSpaceDN/>
      <w:adjustRightInd/>
      <w:spacing w:before="20"/>
      <w:ind w:left="360" w:hanging="360"/>
    </w:pPr>
    <w:rPr>
      <w:sz w:val="20"/>
      <w:szCs w:val="20"/>
    </w:rPr>
  </w:style>
  <w:style w:type="paragraph" w:styleId="CommentSubject">
    <w:name w:val="annotation subject"/>
    <w:basedOn w:val="CommentText"/>
    <w:next w:val="CommentText"/>
    <w:link w:val="CommentSubjectChar"/>
    <w:semiHidden/>
    <w:rsid w:val="007A15F0"/>
    <w:rPr>
      <w:b/>
      <w:bCs/>
    </w:rPr>
  </w:style>
  <w:style w:type="character" w:customStyle="1" w:styleId="CommentSubjectChar">
    <w:name w:val="Comment Subject Char"/>
    <w:basedOn w:val="CommentTextChar"/>
    <w:link w:val="CommentSubject"/>
    <w:semiHidden/>
    <w:rsid w:val="007A15F0"/>
    <w:rPr>
      <w:rFonts w:ascii="Times New Roman" w:eastAsia="Times New Roman" w:hAnsi="Times New Roman" w:cs="Times New Roman"/>
      <w:b/>
      <w:bCs/>
      <w:i w:val="0"/>
      <w:sz w:val="20"/>
      <w:szCs w:val="20"/>
    </w:rPr>
  </w:style>
  <w:style w:type="character" w:styleId="Hyperlink">
    <w:name w:val="Hyperlink"/>
    <w:basedOn w:val="DefaultParagraphFont"/>
    <w:uiPriority w:val="99"/>
    <w:rsid w:val="007A15F0"/>
    <w:rPr>
      <w:color w:val="0000FF"/>
      <w:u w:val="single"/>
    </w:rPr>
  </w:style>
  <w:style w:type="paragraph" w:customStyle="1" w:styleId="OMBheading-1">
    <w:name w:val="OMB heading-1"/>
    <w:basedOn w:val="Heading2"/>
    <w:rsid w:val="001A70A1"/>
    <w:pPr>
      <w:widowControl/>
      <w:autoSpaceDE/>
      <w:autoSpaceDN/>
      <w:adjustRightInd/>
      <w:spacing w:before="0" w:after="240"/>
      <w:ind w:left="360" w:hanging="360"/>
    </w:pPr>
    <w:rPr>
      <w:rFonts w:ascii="Times New Roman" w:hAnsi="Times New Roman" w:cs="Times New Roman"/>
      <w:bCs w:val="0"/>
      <w:i w:val="0"/>
      <w:iCs w:val="0"/>
    </w:rPr>
  </w:style>
  <w:style w:type="paragraph" w:customStyle="1" w:styleId="OMBHeading-2">
    <w:name w:val="OMB Heading-2"/>
    <w:basedOn w:val="Normal"/>
    <w:rsid w:val="007A15F0"/>
    <w:pPr>
      <w:keepNext/>
      <w:widowControl/>
      <w:numPr>
        <w:numId w:val="3"/>
      </w:numPr>
      <w:autoSpaceDE/>
      <w:autoSpaceDN/>
      <w:adjustRightInd/>
      <w:spacing w:after="200"/>
      <w:ind w:left="720"/>
    </w:pPr>
    <w:rPr>
      <w:b/>
      <w:szCs w:val="20"/>
    </w:rPr>
  </w:style>
  <w:style w:type="paragraph" w:styleId="Header">
    <w:name w:val="header"/>
    <w:basedOn w:val="Normal"/>
    <w:link w:val="HeaderChar"/>
    <w:rsid w:val="007A15F0"/>
    <w:pPr>
      <w:widowControl/>
      <w:tabs>
        <w:tab w:val="center" w:pos="4320"/>
        <w:tab w:val="right" w:pos="8640"/>
      </w:tabs>
      <w:autoSpaceDE/>
      <w:autoSpaceDN/>
      <w:adjustRightInd/>
    </w:pPr>
    <w:rPr>
      <w:szCs w:val="20"/>
    </w:rPr>
  </w:style>
  <w:style w:type="character" w:customStyle="1" w:styleId="HeaderChar">
    <w:name w:val="Header Char"/>
    <w:basedOn w:val="DefaultParagraphFont"/>
    <w:link w:val="Header"/>
    <w:uiPriority w:val="99"/>
    <w:rsid w:val="007A15F0"/>
    <w:rPr>
      <w:rFonts w:ascii="Times New Roman" w:eastAsia="Times New Roman" w:hAnsi="Times New Roman" w:cs="Times New Roman"/>
      <w:sz w:val="24"/>
      <w:szCs w:val="20"/>
    </w:rPr>
  </w:style>
  <w:style w:type="paragraph" w:customStyle="1" w:styleId="biblio">
    <w:name w:val="biblio"/>
    <w:basedOn w:val="Normal"/>
    <w:rsid w:val="007A15F0"/>
    <w:pPr>
      <w:keepLines/>
      <w:widowControl/>
      <w:autoSpaceDE/>
      <w:autoSpaceDN/>
      <w:adjustRightInd/>
      <w:spacing w:after="240"/>
      <w:ind w:left="720" w:hanging="720"/>
    </w:pPr>
    <w:rPr>
      <w:szCs w:val="20"/>
      <w:lang w:val="it-IT"/>
    </w:rPr>
  </w:style>
  <w:style w:type="paragraph" w:customStyle="1" w:styleId="tabfigsource">
    <w:name w:val="tab/fig source"/>
    <w:basedOn w:val="Normal"/>
    <w:rsid w:val="007A15F0"/>
    <w:pPr>
      <w:keepLines/>
      <w:widowControl/>
      <w:autoSpaceDE/>
      <w:autoSpaceDN/>
      <w:adjustRightInd/>
      <w:spacing w:before="120" w:after="240"/>
      <w:ind w:left="187" w:hanging="187"/>
    </w:pPr>
    <w:rPr>
      <w:sz w:val="20"/>
      <w:szCs w:val="20"/>
    </w:rPr>
  </w:style>
  <w:style w:type="paragraph" w:customStyle="1" w:styleId="App-No">
    <w:name w:val="App-No"/>
    <w:basedOn w:val="Normal"/>
    <w:rsid w:val="007A15F0"/>
    <w:pPr>
      <w:widowControl/>
      <w:autoSpaceDE/>
      <w:autoSpaceDN/>
      <w:adjustRightInd/>
      <w:jc w:val="center"/>
    </w:pPr>
    <w:rPr>
      <w:rFonts w:ascii="Arial" w:hAnsi="Arial" w:cs="Arial"/>
      <w:b/>
      <w:sz w:val="28"/>
      <w:szCs w:val="28"/>
      <w:lang w:val="fr-FR"/>
    </w:rPr>
  </w:style>
  <w:style w:type="paragraph" w:styleId="ListParagraph">
    <w:name w:val="List Paragraph"/>
    <w:basedOn w:val="Normal"/>
    <w:link w:val="ListParagraphChar"/>
    <w:uiPriority w:val="34"/>
    <w:qFormat/>
    <w:rsid w:val="007A15F0"/>
    <w:pPr>
      <w:widowControl/>
      <w:autoSpaceDE/>
      <w:autoSpaceDN/>
      <w:adjustRightInd/>
      <w:ind w:left="720"/>
    </w:pPr>
    <w:rPr>
      <w:rFonts w:eastAsia="Calibri"/>
    </w:rPr>
  </w:style>
  <w:style w:type="paragraph" w:customStyle="1" w:styleId="bodytext-gph">
    <w:name w:val="body text-gph"/>
    <w:link w:val="bodytext-gphChar"/>
    <w:rsid w:val="007A15F0"/>
    <w:pPr>
      <w:spacing w:after="120" w:line="260" w:lineRule="atLeast"/>
      <w:ind w:left="360"/>
    </w:pPr>
    <w:rPr>
      <w:rFonts w:ascii="Times New Roman" w:eastAsia="Times New Roman" w:hAnsi="Times New Roman" w:cs="Times New Roman"/>
      <w:sz w:val="23"/>
    </w:rPr>
  </w:style>
  <w:style w:type="character" w:customStyle="1" w:styleId="bodytext-gphChar">
    <w:name w:val="body text-gph Char"/>
    <w:basedOn w:val="DefaultParagraphFont"/>
    <w:link w:val="bodytext-gph"/>
    <w:rsid w:val="007A15F0"/>
    <w:rPr>
      <w:rFonts w:ascii="Times New Roman" w:eastAsia="Times New Roman" w:hAnsi="Times New Roman" w:cs="Times New Roman"/>
      <w:sz w:val="23"/>
    </w:rPr>
  </w:style>
  <w:style w:type="paragraph" w:customStyle="1" w:styleId="Abbrevs">
    <w:name w:val="Abbrevs"/>
    <w:basedOn w:val="Normal"/>
    <w:qFormat/>
    <w:rsid w:val="006179E2"/>
    <w:pPr>
      <w:widowControl/>
      <w:autoSpaceDE/>
      <w:autoSpaceDN/>
      <w:adjustRightInd/>
      <w:spacing w:after="120"/>
      <w:ind w:left="1440" w:hanging="1440"/>
    </w:pPr>
    <w:rPr>
      <w:rFonts w:eastAsiaTheme="minorHAnsi" w:cstheme="minorBidi"/>
      <w:sz w:val="22"/>
      <w:szCs w:val="22"/>
    </w:rPr>
  </w:style>
  <w:style w:type="paragraph" w:customStyle="1" w:styleId="FigureTitle">
    <w:name w:val="Figure Title"/>
    <w:uiPriority w:val="99"/>
    <w:rsid w:val="007A15F0"/>
    <w:pPr>
      <w:keepNext/>
      <w:keepLines/>
      <w:spacing w:before="120" w:after="120" w:line="240" w:lineRule="auto"/>
    </w:pPr>
    <w:rPr>
      <w:rFonts w:ascii="Times New Roman" w:eastAsia="Times New Roman" w:hAnsi="Times New Roman" w:cs="Times New Roman"/>
      <w:b/>
      <w:sz w:val="24"/>
      <w:szCs w:val="20"/>
    </w:rPr>
  </w:style>
  <w:style w:type="paragraph" w:customStyle="1" w:styleId="exhibitsource">
    <w:name w:val="exhibit source"/>
    <w:basedOn w:val="Normal"/>
    <w:uiPriority w:val="99"/>
    <w:rsid w:val="007A15F0"/>
    <w:pPr>
      <w:widowControl/>
      <w:autoSpaceDE/>
      <w:autoSpaceDN/>
      <w:adjustRightInd/>
      <w:spacing w:before="120" w:after="240"/>
    </w:pPr>
    <w:rPr>
      <w:sz w:val="20"/>
      <w:szCs w:val="22"/>
    </w:rPr>
  </w:style>
  <w:style w:type="paragraph" w:customStyle="1" w:styleId="OMBHeading-3">
    <w:name w:val="OMB Heading-3"/>
    <w:basedOn w:val="Heading3"/>
    <w:uiPriority w:val="99"/>
    <w:rsid w:val="007A15F0"/>
    <w:pPr>
      <w:widowControl/>
      <w:autoSpaceDE/>
      <w:autoSpaceDN/>
      <w:adjustRightInd/>
      <w:spacing w:after="120"/>
      <w:ind w:left="1080" w:hanging="720"/>
    </w:pPr>
    <w:rPr>
      <w:rFonts w:ascii="Times New Roman" w:hAnsi="Times New Roman"/>
      <w:bCs w:val="0"/>
      <w:sz w:val="24"/>
      <w:szCs w:val="20"/>
      <w:lang w:val="en-CA"/>
    </w:rPr>
  </w:style>
  <w:style w:type="paragraph" w:customStyle="1" w:styleId="BodyText1">
    <w:name w:val="Body Text1"/>
    <w:aliases w:val="bt,body tx,indent,flush,memo body text,memo body text Char,bt Char,body tx Char,indent Char,flush Char Char Char Char Char Char Char Char Char Char Char Char Char,bt Char1,body tx Char1,indent Char1 Char,flush Char Char,body 4"/>
    <w:basedOn w:val="Normal"/>
    <w:link w:val="bodytextChar1"/>
    <w:uiPriority w:val="99"/>
    <w:rsid w:val="007A15F0"/>
    <w:pPr>
      <w:widowControl/>
      <w:autoSpaceDE/>
      <w:autoSpaceDN/>
      <w:adjustRightInd/>
      <w:ind w:firstLine="720"/>
    </w:pPr>
    <w:rPr>
      <w:szCs w:val="20"/>
    </w:rPr>
  </w:style>
  <w:style w:type="character" w:customStyle="1" w:styleId="bodytextChar1">
    <w:name w:val="body text Char1"/>
    <w:basedOn w:val="DefaultParagraphFont"/>
    <w:link w:val="BodyText1"/>
    <w:uiPriority w:val="99"/>
    <w:locked/>
    <w:rsid w:val="007A15F0"/>
    <w:rPr>
      <w:rFonts w:ascii="Times New Roman" w:eastAsia="Times New Roman" w:hAnsi="Times New Roman" w:cs="Times New Roman"/>
      <w:sz w:val="24"/>
      <w:szCs w:val="20"/>
    </w:rPr>
  </w:style>
  <w:style w:type="paragraph" w:styleId="Revision">
    <w:name w:val="Revision"/>
    <w:hidden/>
    <w:uiPriority w:val="99"/>
    <w:semiHidden/>
    <w:rsid w:val="007A15F0"/>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7A15F0"/>
    <w:rPr>
      <w:sz w:val="20"/>
      <w:szCs w:val="20"/>
    </w:rPr>
  </w:style>
  <w:style w:type="character" w:customStyle="1" w:styleId="FootnoteTextChar">
    <w:name w:val="Footnote Text Char"/>
    <w:basedOn w:val="DefaultParagraphFont"/>
    <w:link w:val="FootnoteText"/>
    <w:uiPriority w:val="99"/>
    <w:rsid w:val="007A15F0"/>
    <w:rPr>
      <w:rFonts w:ascii="Times New Roman" w:eastAsia="Times New Roman" w:hAnsi="Times New Roman" w:cs="Times New Roman"/>
      <w:sz w:val="20"/>
      <w:szCs w:val="20"/>
    </w:rPr>
  </w:style>
  <w:style w:type="paragraph" w:styleId="TOCHeading">
    <w:name w:val="TOC Heading"/>
    <w:basedOn w:val="Heading1"/>
    <w:next w:val="Normal"/>
    <w:uiPriority w:val="39"/>
    <w:semiHidden/>
    <w:unhideWhenUsed/>
    <w:qFormat/>
    <w:rsid w:val="007A15F0"/>
    <w:pPr>
      <w:widowControl/>
      <w:autoSpaceDE/>
      <w:autoSpaceDN/>
      <w:adjustRightInd/>
      <w:spacing w:line="276" w:lineRule="auto"/>
      <w:outlineLvl w:val="9"/>
    </w:pPr>
    <w:rPr>
      <w:lang w:eastAsia="ja-JP"/>
    </w:rPr>
  </w:style>
  <w:style w:type="paragraph" w:styleId="TOC2">
    <w:name w:val="toc 2"/>
    <w:basedOn w:val="Normal"/>
    <w:next w:val="Normal"/>
    <w:autoRedefine/>
    <w:uiPriority w:val="39"/>
    <w:rsid w:val="00721ACD"/>
    <w:pPr>
      <w:tabs>
        <w:tab w:val="right" w:leader="dot" w:pos="9440"/>
      </w:tabs>
      <w:spacing w:after="100"/>
      <w:ind w:left="1152" w:right="720" w:hanging="576"/>
    </w:pPr>
  </w:style>
  <w:style w:type="paragraph" w:styleId="TOC3">
    <w:name w:val="toc 3"/>
    <w:basedOn w:val="Normal"/>
    <w:next w:val="Normal"/>
    <w:autoRedefine/>
    <w:uiPriority w:val="39"/>
    <w:rsid w:val="003677BA"/>
    <w:pPr>
      <w:tabs>
        <w:tab w:val="left" w:pos="1620"/>
        <w:tab w:val="right" w:leader="dot" w:pos="9450"/>
      </w:tabs>
      <w:spacing w:after="100"/>
      <w:ind w:left="1728"/>
    </w:pPr>
  </w:style>
  <w:style w:type="paragraph" w:styleId="TOC1">
    <w:name w:val="toc 1"/>
    <w:basedOn w:val="Normal"/>
    <w:next w:val="Normal"/>
    <w:autoRedefine/>
    <w:uiPriority w:val="39"/>
    <w:rsid w:val="00721ACD"/>
    <w:pPr>
      <w:tabs>
        <w:tab w:val="right" w:leader="dot" w:pos="9440"/>
      </w:tabs>
      <w:spacing w:after="100"/>
      <w:ind w:left="576" w:right="720" w:hanging="576"/>
    </w:pPr>
  </w:style>
  <w:style w:type="paragraph" w:customStyle="1" w:styleId="Stylebodytext-gphBold">
    <w:name w:val="Style body text-gph + Bold"/>
    <w:basedOn w:val="bodytext-gph"/>
    <w:link w:val="Stylebodytext-gphBoldChar"/>
    <w:rsid w:val="007A15F0"/>
    <w:rPr>
      <w:b/>
      <w:bCs/>
    </w:rPr>
  </w:style>
  <w:style w:type="character" w:customStyle="1" w:styleId="Stylebodytext-gphBoldChar">
    <w:name w:val="Style body text-gph + Bold Char"/>
    <w:link w:val="Stylebodytext-gphBold"/>
    <w:rsid w:val="007A15F0"/>
    <w:rPr>
      <w:rFonts w:ascii="Times New Roman" w:eastAsia="Times New Roman" w:hAnsi="Times New Roman" w:cs="Times New Roman"/>
      <w:b/>
      <w:bCs/>
      <w:sz w:val="23"/>
    </w:rPr>
  </w:style>
  <w:style w:type="paragraph" w:styleId="Caption">
    <w:name w:val="caption"/>
    <w:basedOn w:val="Normal"/>
    <w:uiPriority w:val="35"/>
    <w:qFormat/>
    <w:rsid w:val="007A15F0"/>
    <w:pPr>
      <w:widowControl/>
      <w:autoSpaceDE/>
      <w:autoSpaceDN/>
      <w:adjustRightInd/>
    </w:pPr>
    <w:rPr>
      <w:b/>
      <w:bCs/>
      <w:sz w:val="20"/>
      <w:szCs w:val="20"/>
    </w:rPr>
  </w:style>
  <w:style w:type="paragraph" w:styleId="BodyTextIndent">
    <w:name w:val="Body Text Indent"/>
    <w:basedOn w:val="Normal"/>
    <w:link w:val="BodyTextIndentChar"/>
    <w:rsid w:val="007A15F0"/>
    <w:pPr>
      <w:ind w:left="720"/>
    </w:pPr>
    <w:rPr>
      <w:rFonts w:ascii="Baskerville Old Face" w:hAnsi="Baskerville Old Face"/>
    </w:rPr>
  </w:style>
  <w:style w:type="character" w:customStyle="1" w:styleId="BodyTextIndentChar">
    <w:name w:val="Body Text Indent Char"/>
    <w:basedOn w:val="DefaultParagraphFont"/>
    <w:link w:val="BodyTextIndent"/>
    <w:rsid w:val="007A15F0"/>
    <w:rPr>
      <w:rFonts w:ascii="Baskerville Old Face" w:eastAsia="Times New Roman" w:hAnsi="Baskerville Old Face" w:cs="Times New Roman"/>
      <w:sz w:val="24"/>
      <w:szCs w:val="24"/>
    </w:rPr>
  </w:style>
  <w:style w:type="paragraph" w:customStyle="1" w:styleId="bullets">
    <w:name w:val="bullets"/>
    <w:basedOn w:val="OMBbodytext"/>
    <w:uiPriority w:val="99"/>
    <w:rsid w:val="00274CE3"/>
    <w:pPr>
      <w:numPr>
        <w:numId w:val="4"/>
      </w:numPr>
    </w:pPr>
    <w:rPr>
      <w:szCs w:val="24"/>
    </w:rPr>
  </w:style>
  <w:style w:type="paragraph" w:customStyle="1" w:styleId="BodyText2">
    <w:name w:val="Body Text2"/>
    <w:basedOn w:val="Normal"/>
    <w:link w:val="bodytextChar"/>
    <w:rsid w:val="007A15F0"/>
    <w:pPr>
      <w:widowControl/>
      <w:autoSpaceDE/>
      <w:autoSpaceDN/>
      <w:adjustRightInd/>
      <w:spacing w:after="160" w:line="320" w:lineRule="exact"/>
    </w:pPr>
    <w:rPr>
      <w:rFonts w:ascii="Verdana" w:eastAsia="MS Mincho" w:hAnsi="Verdana"/>
      <w:sz w:val="20"/>
      <w:szCs w:val="20"/>
    </w:rPr>
  </w:style>
  <w:style w:type="character" w:customStyle="1" w:styleId="bodytextChar">
    <w:name w:val="body text Char"/>
    <w:aliases w:val="bt Char2,body tx Char2,indent Char1,flush Char,memo body text Char1,memo body text Char Char,bt Char Char,body tx Char Char,indent Char Char,flush Char Char Char Char Char Char Char Char Char Char Char Char Char Char,body text Char1 Char"/>
    <w:basedOn w:val="DefaultParagraphFont"/>
    <w:link w:val="BodyText2"/>
    <w:uiPriority w:val="99"/>
    <w:rsid w:val="007A15F0"/>
    <w:rPr>
      <w:rFonts w:ascii="Verdana" w:eastAsia="MS Mincho" w:hAnsi="Verdana" w:cs="Times New Roman"/>
      <w:sz w:val="20"/>
      <w:szCs w:val="20"/>
    </w:rPr>
  </w:style>
  <w:style w:type="paragraph" w:customStyle="1" w:styleId="bullets-2ndlevel">
    <w:name w:val="bullets-2nd level"/>
    <w:basedOn w:val="Normal"/>
    <w:rsid w:val="007A15F0"/>
    <w:pPr>
      <w:widowControl/>
      <w:autoSpaceDE/>
      <w:autoSpaceDN/>
      <w:adjustRightInd/>
      <w:spacing w:after="120"/>
      <w:ind w:left="1080" w:hanging="360"/>
    </w:pPr>
    <w:rPr>
      <w:rFonts w:ascii="Verdana" w:eastAsia="MS Mincho" w:hAnsi="Verdana"/>
      <w:sz w:val="20"/>
      <w:szCs w:val="20"/>
    </w:rPr>
  </w:style>
  <w:style w:type="paragraph" w:customStyle="1" w:styleId="bullets-3rdlevel">
    <w:name w:val="bullets-3rd level"/>
    <w:basedOn w:val="Normal"/>
    <w:rsid w:val="007A15F0"/>
    <w:pPr>
      <w:widowControl/>
      <w:autoSpaceDE/>
      <w:autoSpaceDN/>
      <w:adjustRightInd/>
      <w:spacing w:after="120"/>
      <w:ind w:left="1440" w:hanging="360"/>
    </w:pPr>
    <w:rPr>
      <w:rFonts w:ascii="Verdana" w:eastAsia="MS Mincho" w:hAnsi="Verdana"/>
      <w:sz w:val="20"/>
      <w:szCs w:val="20"/>
    </w:rPr>
  </w:style>
  <w:style w:type="paragraph" w:styleId="BodyTextIndent2">
    <w:name w:val="Body Text Indent 2"/>
    <w:basedOn w:val="Normal"/>
    <w:link w:val="BodyTextIndent2Char"/>
    <w:rsid w:val="007A15F0"/>
    <w:pPr>
      <w:spacing w:after="120" w:line="480" w:lineRule="auto"/>
      <w:ind w:left="360"/>
    </w:pPr>
  </w:style>
  <w:style w:type="character" w:customStyle="1" w:styleId="BodyTextIndent2Char">
    <w:name w:val="Body Text Indent 2 Char"/>
    <w:basedOn w:val="DefaultParagraphFont"/>
    <w:link w:val="BodyTextIndent2"/>
    <w:rsid w:val="007A15F0"/>
    <w:rPr>
      <w:rFonts w:ascii="Times New Roman" w:eastAsia="Times New Roman" w:hAnsi="Times New Roman" w:cs="Times New Roman"/>
      <w:sz w:val="24"/>
      <w:szCs w:val="24"/>
    </w:rPr>
  </w:style>
  <w:style w:type="paragraph" w:styleId="TableofFigures">
    <w:name w:val="table of figures"/>
    <w:basedOn w:val="Normal"/>
    <w:next w:val="Normal"/>
    <w:uiPriority w:val="99"/>
    <w:rsid w:val="002B79CF"/>
    <w:pPr>
      <w:spacing w:after="120"/>
      <w:ind w:left="1296" w:right="720" w:hanging="1296"/>
    </w:pPr>
  </w:style>
  <w:style w:type="paragraph" w:customStyle="1" w:styleId="TableHeaders">
    <w:name w:val="Table Headers"/>
    <w:basedOn w:val="Normal"/>
    <w:qFormat/>
    <w:rsid w:val="00655872"/>
    <w:pPr>
      <w:spacing w:before="40" w:after="40"/>
      <w:jc w:val="center"/>
    </w:pPr>
    <w:rPr>
      <w:rFonts w:ascii="Arial" w:hAnsi="Arial" w:cs="Arial"/>
      <w:b/>
      <w:bCs/>
      <w:sz w:val="20"/>
      <w:szCs w:val="20"/>
    </w:rPr>
  </w:style>
  <w:style w:type="paragraph" w:customStyle="1" w:styleId="TableTextbold">
    <w:name w:val="Table Text bold"/>
    <w:basedOn w:val="Normal"/>
    <w:qFormat/>
    <w:rsid w:val="00655872"/>
    <w:pPr>
      <w:spacing w:before="40"/>
    </w:pPr>
    <w:rPr>
      <w:rFonts w:ascii="Arial" w:hAnsi="Arial" w:cs="Arial"/>
      <w:b/>
      <w:sz w:val="20"/>
      <w:szCs w:val="20"/>
    </w:rPr>
  </w:style>
  <w:style w:type="paragraph" w:customStyle="1" w:styleId="Tablebullet0">
    <w:name w:val="Table bullet"/>
    <w:basedOn w:val="Normal"/>
    <w:qFormat/>
    <w:rsid w:val="00655872"/>
    <w:pPr>
      <w:spacing w:before="40"/>
      <w:ind w:left="130" w:hanging="130"/>
    </w:pPr>
    <w:rPr>
      <w:rFonts w:ascii="Arial" w:hAnsi="Arial" w:cs="Arial"/>
      <w:sz w:val="20"/>
      <w:szCs w:val="20"/>
    </w:rPr>
  </w:style>
  <w:style w:type="paragraph" w:customStyle="1" w:styleId="OMBExhibitTitlecontinued">
    <w:name w:val="OMB Exhibit Title continued"/>
    <w:basedOn w:val="OMBExhibitTitle"/>
    <w:qFormat/>
    <w:rsid w:val="00655872"/>
  </w:style>
  <w:style w:type="paragraph" w:customStyle="1" w:styleId="Tablecontd">
    <w:name w:val="Table_contd"/>
    <w:basedOn w:val="Normal"/>
    <w:qFormat/>
    <w:rsid w:val="00655872"/>
    <w:pPr>
      <w:jc w:val="right"/>
    </w:pPr>
    <w:rPr>
      <w:rFonts w:ascii="Arial" w:hAnsi="Arial"/>
      <w:sz w:val="20"/>
    </w:rPr>
  </w:style>
  <w:style w:type="paragraph" w:customStyle="1" w:styleId="TableText">
    <w:name w:val="Table Text"/>
    <w:basedOn w:val="TableTextbold"/>
    <w:qFormat/>
    <w:rsid w:val="00274CE3"/>
    <w:rPr>
      <w:b w:val="0"/>
    </w:rPr>
  </w:style>
  <w:style w:type="character" w:styleId="FollowedHyperlink">
    <w:name w:val="FollowedHyperlink"/>
    <w:basedOn w:val="DefaultParagraphFont"/>
    <w:uiPriority w:val="99"/>
    <w:semiHidden/>
    <w:unhideWhenUsed/>
    <w:rsid w:val="0021192E"/>
    <w:rPr>
      <w:color w:val="954F72" w:themeColor="followedHyperlink"/>
      <w:u w:val="single"/>
    </w:rPr>
  </w:style>
  <w:style w:type="paragraph" w:customStyle="1" w:styleId="ExhibitTitle">
    <w:name w:val="Exhibit Title"/>
    <w:rsid w:val="003A66ED"/>
    <w:pPr>
      <w:keepNext/>
      <w:keepLines/>
      <w:spacing w:before="120" w:after="120" w:line="240" w:lineRule="auto"/>
      <w:ind w:left="1440" w:hanging="1440"/>
    </w:pPr>
    <w:rPr>
      <w:rFonts w:ascii="Times New Roman" w:eastAsia="Times New Roman" w:hAnsi="Times New Roman" w:cs="Times New Roman"/>
      <w:b/>
      <w:snapToGrid w:val="0"/>
      <w:sz w:val="24"/>
      <w:szCs w:val="20"/>
    </w:rPr>
  </w:style>
  <w:style w:type="character" w:customStyle="1" w:styleId="UnresolvedMention1">
    <w:name w:val="Unresolved Mention1"/>
    <w:basedOn w:val="DefaultParagraphFont"/>
    <w:uiPriority w:val="99"/>
    <w:semiHidden/>
    <w:unhideWhenUsed/>
    <w:rsid w:val="00923EC0"/>
    <w:rPr>
      <w:color w:val="808080"/>
      <w:shd w:val="clear" w:color="auto" w:fill="E6E6E6"/>
    </w:rPr>
  </w:style>
  <w:style w:type="character" w:customStyle="1" w:styleId="ListParagraphChar">
    <w:name w:val="List Paragraph Char"/>
    <w:link w:val="ListParagraph"/>
    <w:uiPriority w:val="34"/>
    <w:rsid w:val="00923EC0"/>
    <w:rPr>
      <w:rFonts w:ascii="Times New Roman" w:eastAsia="Calibri" w:hAnsi="Times New Roman" w:cs="Times New Roman"/>
      <w:sz w:val="24"/>
      <w:szCs w:val="24"/>
    </w:rPr>
  </w:style>
  <w:style w:type="paragraph" w:customStyle="1" w:styleId="Default">
    <w:name w:val="Default"/>
    <w:rsid w:val="00E96AF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umberedListLast">
    <w:name w:val="Numbered List Last"/>
    <w:basedOn w:val="Normal"/>
    <w:qFormat/>
    <w:rsid w:val="00A73A2A"/>
    <w:pPr>
      <w:widowControl/>
      <w:numPr>
        <w:numId w:val="5"/>
      </w:numPr>
      <w:autoSpaceDE/>
      <w:autoSpaceDN/>
      <w:adjustRightInd/>
      <w:spacing w:before="120" w:after="280"/>
    </w:pPr>
    <w:rPr>
      <w:szCs w:val="20"/>
    </w:rPr>
  </w:style>
  <w:style w:type="character" w:customStyle="1" w:styleId="UnresolvedMention2">
    <w:name w:val="Unresolved Mention2"/>
    <w:basedOn w:val="DefaultParagraphFont"/>
    <w:uiPriority w:val="99"/>
    <w:semiHidden/>
    <w:unhideWhenUsed/>
    <w:rsid w:val="0074546E"/>
    <w:rPr>
      <w:color w:val="808080"/>
      <w:shd w:val="clear" w:color="auto" w:fill="E6E6E6"/>
    </w:rPr>
  </w:style>
  <w:style w:type="character" w:customStyle="1" w:styleId="search-custom-heading1">
    <w:name w:val="search-custom-heading1"/>
    <w:basedOn w:val="DefaultParagraphFont"/>
    <w:rsid w:val="001B6659"/>
    <w:rPr>
      <w:color w:val="000080"/>
    </w:rPr>
  </w:style>
  <w:style w:type="paragraph" w:customStyle="1" w:styleId="Refs">
    <w:name w:val="Refs"/>
    <w:qFormat/>
    <w:rsid w:val="00C24449"/>
    <w:pPr>
      <w:spacing w:after="240" w:line="240" w:lineRule="auto"/>
      <w:ind w:left="720" w:hanging="720"/>
    </w:pPr>
    <w:rPr>
      <w:rFonts w:ascii="Times New Roman" w:eastAsia="Times New Roman" w:hAnsi="Times New Roman" w:cs="Times New Roman"/>
      <w:sz w:val="24"/>
      <w:szCs w:val="24"/>
    </w:rPr>
  </w:style>
  <w:style w:type="paragraph" w:customStyle="1" w:styleId="TableBullet">
    <w:name w:val="TableBullet"/>
    <w:qFormat/>
    <w:rsid w:val="008E085D"/>
    <w:pPr>
      <w:numPr>
        <w:numId w:val="8"/>
      </w:numPr>
      <w:spacing w:before="40" w:after="40" w:line="240" w:lineRule="auto"/>
    </w:pPr>
    <w:rPr>
      <w:rFonts w:ascii="Arial" w:eastAsia="Times New Roman" w:hAnsi="Arial" w:cs="Times New Roman"/>
      <w:sz w:val="20"/>
      <w:szCs w:val="20"/>
    </w:rPr>
  </w:style>
  <w:style w:type="paragraph" w:customStyle="1" w:styleId="TableColumnHeading">
    <w:name w:val="TableColumnHeading"/>
    <w:next w:val="Normal"/>
    <w:qFormat/>
    <w:rsid w:val="008E085D"/>
    <w:pPr>
      <w:keepNext/>
      <w:spacing w:before="60" w:after="60" w:line="240" w:lineRule="auto"/>
      <w:jc w:val="center"/>
    </w:pPr>
    <w:rPr>
      <w:rFonts w:ascii="Arial" w:eastAsia="Times New Roman" w:hAnsi="Arial" w:cs="Times New Roman"/>
      <w:b/>
      <w:sz w:val="20"/>
      <w:szCs w:val="20"/>
    </w:rPr>
  </w:style>
  <w:style w:type="paragraph" w:customStyle="1" w:styleId="TableDivHead2">
    <w:name w:val="TableDivHead2"/>
    <w:next w:val="Normal"/>
    <w:rsid w:val="008E085D"/>
    <w:pPr>
      <w:spacing w:before="40" w:after="40" w:line="240" w:lineRule="auto"/>
    </w:pPr>
    <w:rPr>
      <w:rFonts w:ascii="Arial" w:eastAsia="Times New Roman" w:hAnsi="Arial" w:cs="Times New Roman"/>
      <w:b/>
      <w:sz w:val="20"/>
      <w:szCs w:val="20"/>
    </w:rPr>
  </w:style>
  <w:style w:type="paragraph" w:customStyle="1" w:styleId="TableDivHeading">
    <w:name w:val="TableDivHeading"/>
    <w:qFormat/>
    <w:rsid w:val="008E085D"/>
    <w:pPr>
      <w:keepNext/>
      <w:widowControl w:val="0"/>
      <w:spacing w:before="40" w:after="40" w:line="240" w:lineRule="auto"/>
    </w:pPr>
    <w:rPr>
      <w:rFonts w:ascii="Arial" w:eastAsia="Times New Roman" w:hAnsi="Arial" w:cs="Times New Roman"/>
      <w:b/>
      <w:sz w:val="20"/>
      <w:szCs w:val="20"/>
    </w:rPr>
  </w:style>
  <w:style w:type="paragraph" w:customStyle="1" w:styleId="TableText0">
    <w:name w:val="TableText"/>
    <w:aliases w:val="tt"/>
    <w:link w:val="TableTextChar"/>
    <w:qFormat/>
    <w:rsid w:val="008E085D"/>
    <w:pPr>
      <w:spacing w:before="40" w:after="40" w:line="240" w:lineRule="auto"/>
    </w:pPr>
    <w:rPr>
      <w:rFonts w:ascii="Arial" w:eastAsia="Times New Roman" w:hAnsi="Arial" w:cs="Times New Roman"/>
      <w:sz w:val="20"/>
      <w:szCs w:val="20"/>
    </w:rPr>
  </w:style>
  <w:style w:type="character" w:customStyle="1" w:styleId="TableTextChar">
    <w:name w:val="TableText Char"/>
    <w:aliases w:val="tt Char"/>
    <w:basedOn w:val="DefaultParagraphFont"/>
    <w:link w:val="TableText0"/>
    <w:rsid w:val="008E085D"/>
    <w:rPr>
      <w:rFonts w:ascii="Arial" w:eastAsia="Times New Roman" w:hAnsi="Arial" w:cs="Times New Roman"/>
      <w:sz w:val="20"/>
      <w:szCs w:val="20"/>
    </w:rPr>
  </w:style>
  <w:style w:type="paragraph" w:customStyle="1" w:styleId="NumberedList">
    <w:name w:val="Numbered List"/>
    <w:basedOn w:val="Normal"/>
    <w:qFormat/>
    <w:rsid w:val="008E085D"/>
    <w:pPr>
      <w:widowControl/>
      <w:numPr>
        <w:numId w:val="9"/>
      </w:numPr>
      <w:autoSpaceDE/>
      <w:autoSpaceDN/>
      <w:adjustRightInd/>
      <w:spacing w:before="120" w:after="120"/>
    </w:pPr>
    <w:rPr>
      <w:szCs w:val="20"/>
    </w:rPr>
  </w:style>
  <w:style w:type="paragraph" w:styleId="ListBullet2">
    <w:name w:val="List Bullet 2"/>
    <w:basedOn w:val="Normal"/>
    <w:uiPriority w:val="99"/>
    <w:unhideWhenUsed/>
    <w:rsid w:val="0012622B"/>
    <w:pPr>
      <w:numPr>
        <w:numId w:val="22"/>
      </w:numPr>
      <w:contextualSpacing/>
    </w:pPr>
  </w:style>
  <w:style w:type="paragraph" w:styleId="BodyText">
    <w:name w:val="Body Text"/>
    <w:basedOn w:val="Normal"/>
    <w:link w:val="BodyTextChar0"/>
    <w:uiPriority w:val="99"/>
    <w:semiHidden/>
    <w:unhideWhenUsed/>
    <w:rsid w:val="002350DF"/>
    <w:pPr>
      <w:spacing w:after="120"/>
    </w:pPr>
  </w:style>
  <w:style w:type="character" w:customStyle="1" w:styleId="BodyTextChar0">
    <w:name w:val="Body Text Char"/>
    <w:basedOn w:val="DefaultParagraphFont"/>
    <w:link w:val="BodyText"/>
    <w:uiPriority w:val="99"/>
    <w:semiHidden/>
    <w:rsid w:val="002350DF"/>
    <w:rPr>
      <w:rFonts w:ascii="Times New Roman" w:eastAsia="Times New Roman" w:hAnsi="Times New Roman" w:cs="Times New Roman"/>
      <w:sz w:val="24"/>
      <w:szCs w:val="24"/>
    </w:rPr>
  </w:style>
  <w:style w:type="paragraph" w:customStyle="1" w:styleId="StyletabfigtitlefullpgTimesNewRoman12ptBoldLeft">
    <w:name w:val="Style tab/fig title (full pg) + Times New Roman 12 pt Bold Left:..."/>
    <w:basedOn w:val="Normal"/>
    <w:rsid w:val="002350DF"/>
    <w:pPr>
      <w:keepNext/>
      <w:keepLines/>
      <w:widowControl/>
      <w:autoSpaceDE/>
      <w:autoSpaceDN/>
      <w:adjustRightInd/>
      <w:spacing w:before="120" w:after="120"/>
      <w:ind w:left="1267" w:hanging="1267"/>
    </w:pPr>
    <w:rPr>
      <w:b/>
      <w:bCs/>
      <w:szCs w:val="20"/>
    </w:rPr>
  </w:style>
  <w:style w:type="paragraph" w:styleId="NoSpacing">
    <w:name w:val="No Spacing"/>
    <w:uiPriority w:val="1"/>
    <w:qFormat/>
    <w:rsid w:val="001F03C3"/>
    <w:pPr>
      <w:spacing w:after="0" w:line="240" w:lineRule="auto"/>
    </w:pPr>
  </w:style>
  <w:style w:type="paragraph" w:styleId="NormalWeb">
    <w:name w:val="Normal (Web)"/>
    <w:basedOn w:val="Normal"/>
    <w:uiPriority w:val="99"/>
    <w:semiHidden/>
    <w:unhideWhenUsed/>
    <w:rsid w:val="006118C2"/>
    <w:pPr>
      <w:widowControl/>
      <w:autoSpaceDE/>
      <w:autoSpaceDN/>
      <w:adjustRightInd/>
      <w:spacing w:before="100" w:beforeAutospacing="1" w:after="100" w:afterAutospacing="1"/>
    </w:pPr>
  </w:style>
  <w:style w:type="character" w:customStyle="1" w:styleId="text24590font1">
    <w:name w:val="text24590font1"/>
    <w:basedOn w:val="DefaultParagraphFont"/>
    <w:rsid w:val="006118C2"/>
  </w:style>
  <w:style w:type="paragraph" w:customStyle="1" w:styleId="table-bulletLM">
    <w:name w:val="table-bullet_LM"/>
    <w:basedOn w:val="Normal"/>
    <w:qFormat/>
    <w:rsid w:val="0064688C"/>
    <w:pPr>
      <w:widowControl/>
      <w:numPr>
        <w:numId w:val="27"/>
      </w:numPr>
      <w:autoSpaceDE/>
      <w:autoSpaceDN/>
      <w:adjustRightInd/>
      <w:spacing w:before="60" w:after="60"/>
    </w:pPr>
    <w:rPr>
      <w:rFonts w:ascii="Verdana" w:hAnsi="Verdana"/>
      <w:sz w:val="16"/>
      <w:szCs w:val="22"/>
      <w:lang w:eastAsia="zh-CN"/>
    </w:rPr>
  </w:style>
  <w:style w:type="paragraph" w:customStyle="1" w:styleId="table-bulletLM8">
    <w:name w:val="table-bullet_LM8"/>
    <w:basedOn w:val="table-bulletLM"/>
    <w:rsid w:val="0064688C"/>
    <w:pPr>
      <w:numPr>
        <w:numId w:val="7"/>
      </w:numPr>
      <w:spacing w:before="20" w:after="20"/>
    </w:pPr>
    <w:rPr>
      <w:szCs w:val="16"/>
    </w:rPr>
  </w:style>
  <w:style w:type="paragraph" w:customStyle="1" w:styleId="cover-text">
    <w:name w:val="cover-text"/>
    <w:basedOn w:val="Normal"/>
    <w:link w:val="cover-textChar"/>
    <w:rsid w:val="0064688C"/>
    <w:pPr>
      <w:widowControl/>
      <w:autoSpaceDE/>
      <w:autoSpaceDN/>
      <w:adjustRightInd/>
      <w:spacing w:before="600" w:after="240"/>
      <w:contextualSpacing/>
      <w:jc w:val="right"/>
    </w:pPr>
    <w:rPr>
      <w:rFonts w:ascii="Verdana" w:eastAsia="SimSun" w:hAnsi="Verdana"/>
      <w:sz w:val="22"/>
      <w:szCs w:val="22"/>
      <w:lang w:eastAsia="zh-CN"/>
    </w:rPr>
  </w:style>
  <w:style w:type="character" w:customStyle="1" w:styleId="cover-textChar">
    <w:name w:val="cover-text Char"/>
    <w:link w:val="cover-text"/>
    <w:rsid w:val="0064688C"/>
    <w:rPr>
      <w:rFonts w:ascii="Verdana" w:eastAsia="SimSun" w:hAnsi="Verdana" w:cs="Times New Roman"/>
      <w:lang w:eastAsia="zh-CN"/>
    </w:rPr>
  </w:style>
  <w:style w:type="paragraph" w:customStyle="1" w:styleId="bullets2nd-level">
    <w:name w:val="bullets_2nd-level"/>
    <w:basedOn w:val="Normal"/>
    <w:rsid w:val="00766DE2"/>
    <w:pPr>
      <w:widowControl/>
      <w:numPr>
        <w:numId w:val="29"/>
      </w:numPr>
      <w:autoSpaceDE/>
      <w:autoSpaceDN/>
      <w:adjustRightInd/>
      <w:spacing w:after="120"/>
    </w:pPr>
    <w:rPr>
      <w:rFonts w:ascii="Verdana" w:eastAsia="SimSun" w:hAnsi="Verdana"/>
      <w:sz w:val="20"/>
      <w:szCs w:val="22"/>
      <w:lang w:eastAsia="zh-CN"/>
    </w:rPr>
  </w:style>
  <w:style w:type="character" w:customStyle="1" w:styleId="UnresolvedMention20">
    <w:name w:val="Unresolved Mention2"/>
    <w:basedOn w:val="DefaultParagraphFont"/>
    <w:uiPriority w:val="99"/>
    <w:semiHidden/>
    <w:unhideWhenUsed/>
    <w:rsid w:val="003D54DE"/>
    <w:rPr>
      <w:color w:val="808080"/>
      <w:shd w:val="clear" w:color="auto" w:fill="E6E6E6"/>
    </w:rPr>
  </w:style>
  <w:style w:type="paragraph" w:customStyle="1" w:styleId="Figure">
    <w:name w:val="Figure"/>
    <w:next w:val="Normal"/>
    <w:qFormat/>
    <w:rsid w:val="00962CF2"/>
    <w:pPr>
      <w:keepNext/>
      <w:keepLines/>
      <w:spacing w:before="120" w:after="0" w:line="240" w:lineRule="auto"/>
      <w:jc w:val="center"/>
    </w:pPr>
    <w:rPr>
      <w:rFonts w:ascii="Times New Roman" w:eastAsia="Times New Roman" w:hAnsi="Times New Roman" w:cs="Times New Roman"/>
      <w:sz w:val="24"/>
      <w:szCs w:val="20"/>
    </w:rPr>
  </w:style>
  <w:style w:type="character" w:customStyle="1" w:styleId="UnresolvedMention3">
    <w:name w:val="Unresolved Mention3"/>
    <w:basedOn w:val="DefaultParagraphFont"/>
    <w:uiPriority w:val="99"/>
    <w:semiHidden/>
    <w:unhideWhenUsed/>
    <w:rsid w:val="00DA69D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71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A15F0"/>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qFormat/>
    <w:rsid w:val="007A15F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7A15F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15F0"/>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rsid w:val="007A15F0"/>
    <w:rPr>
      <w:rFonts w:ascii="Arial" w:eastAsia="Times New Roman" w:hAnsi="Arial" w:cs="Arial"/>
      <w:b/>
      <w:bCs/>
      <w:i/>
      <w:iCs/>
      <w:sz w:val="28"/>
      <w:szCs w:val="28"/>
    </w:rPr>
  </w:style>
  <w:style w:type="character" w:customStyle="1" w:styleId="Heading3Char">
    <w:name w:val="Heading 3 Char"/>
    <w:basedOn w:val="DefaultParagraphFont"/>
    <w:link w:val="Heading3"/>
    <w:semiHidden/>
    <w:rsid w:val="007A15F0"/>
    <w:rPr>
      <w:rFonts w:ascii="Cambria" w:eastAsia="Times New Roman" w:hAnsi="Cambria" w:cs="Times New Roman"/>
      <w:b/>
      <w:bCs/>
      <w:sz w:val="26"/>
      <w:szCs w:val="26"/>
    </w:rPr>
  </w:style>
  <w:style w:type="paragraph" w:styleId="BalloonText">
    <w:name w:val="Balloon Text"/>
    <w:basedOn w:val="Normal"/>
    <w:link w:val="BalloonTextChar"/>
    <w:rsid w:val="00DA3711"/>
    <w:pPr>
      <w:widowControl/>
      <w:autoSpaceDE/>
      <w:autoSpaceDN/>
      <w:adjustRightInd/>
    </w:pPr>
    <w:rPr>
      <w:rFonts w:ascii="Calibri" w:hAnsi="Calibri" w:cs="Tahoma"/>
      <w:sz w:val="20"/>
      <w:szCs w:val="16"/>
    </w:rPr>
  </w:style>
  <w:style w:type="character" w:customStyle="1" w:styleId="BalloonTextChar">
    <w:name w:val="Balloon Text Char"/>
    <w:basedOn w:val="DefaultParagraphFont"/>
    <w:link w:val="BalloonText"/>
    <w:rsid w:val="00DA3711"/>
    <w:rPr>
      <w:rFonts w:ascii="Calibri" w:eastAsia="Times New Roman" w:hAnsi="Calibri" w:cs="Tahoma"/>
      <w:sz w:val="20"/>
      <w:szCs w:val="16"/>
    </w:rPr>
  </w:style>
  <w:style w:type="character" w:styleId="FootnoteReference">
    <w:name w:val="footnote reference"/>
    <w:uiPriority w:val="99"/>
    <w:rsid w:val="007A15F0"/>
  </w:style>
  <w:style w:type="paragraph" w:customStyle="1" w:styleId="Outline0021">
    <w:name w:val="Outline002_1"/>
    <w:basedOn w:val="Normal"/>
    <w:rsid w:val="007A15F0"/>
    <w:pPr>
      <w:numPr>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s>
      <w:ind w:left="720" w:hanging="360"/>
      <w:outlineLvl w:val="0"/>
    </w:pPr>
  </w:style>
  <w:style w:type="paragraph" w:customStyle="1" w:styleId="Outline0011">
    <w:name w:val="Outline001_1"/>
    <w:basedOn w:val="Normal"/>
    <w:rsid w:val="007A15F0"/>
    <w:pPr>
      <w:tabs>
        <w:tab w:val="left" w:pos="0"/>
        <w:tab w:val="left" w:pos="720"/>
        <w:tab w:val="left" w:pos="1440"/>
        <w:tab w:val="left" w:pos="2160"/>
        <w:tab w:val="left" w:pos="2880"/>
        <w:tab w:val="left" w:pos="3600"/>
        <w:tab w:val="left" w:pos="4320"/>
        <w:tab w:val="left" w:pos="5040"/>
        <w:tab w:val="left" w:pos="5760"/>
        <w:tab w:val="left" w:pos="6480"/>
        <w:tab w:val="left" w:pos="7200"/>
      </w:tabs>
      <w:ind w:left="720" w:hanging="360"/>
    </w:pPr>
  </w:style>
  <w:style w:type="paragraph" w:customStyle="1" w:styleId="Outline0031">
    <w:name w:val="Outline003_1"/>
    <w:basedOn w:val="Normal"/>
    <w:rsid w:val="007A15F0"/>
    <w:pPr>
      <w:numPr>
        <w:numId w:val="2"/>
      </w:numPr>
      <w:tabs>
        <w:tab w:val="left" w:pos="0"/>
        <w:tab w:val="left" w:pos="660"/>
        <w:tab w:val="left" w:pos="1380"/>
        <w:tab w:val="left" w:pos="2100"/>
        <w:tab w:val="left" w:pos="2820"/>
        <w:tab w:val="left" w:pos="3540"/>
        <w:tab w:val="left" w:pos="4260"/>
        <w:tab w:val="left" w:pos="4980"/>
        <w:tab w:val="left" w:pos="5700"/>
        <w:tab w:val="left" w:pos="6420"/>
        <w:tab w:val="left" w:pos="7140"/>
      </w:tabs>
      <w:ind w:left="450" w:hanging="420"/>
      <w:outlineLvl w:val="0"/>
    </w:pPr>
  </w:style>
  <w:style w:type="paragraph" w:customStyle="1" w:styleId="OMBbodytext">
    <w:name w:val="OMB body text"/>
    <w:basedOn w:val="Normal"/>
    <w:link w:val="OMBbodytextChar"/>
    <w:rsid w:val="00274CE3"/>
    <w:pPr>
      <w:widowControl/>
      <w:autoSpaceDE/>
      <w:autoSpaceDN/>
      <w:adjustRightInd/>
      <w:spacing w:after="240"/>
      <w:ind w:left="360"/>
    </w:pPr>
    <w:rPr>
      <w:szCs w:val="20"/>
    </w:rPr>
  </w:style>
  <w:style w:type="character" w:customStyle="1" w:styleId="OMBbodytextChar">
    <w:name w:val="OMB body text Char"/>
    <w:basedOn w:val="DefaultParagraphFont"/>
    <w:link w:val="OMBbodytext"/>
    <w:rsid w:val="00274CE3"/>
    <w:rPr>
      <w:rFonts w:ascii="Times New Roman" w:eastAsia="Times New Roman" w:hAnsi="Times New Roman" w:cs="Times New Roman"/>
      <w:sz w:val="24"/>
      <w:szCs w:val="20"/>
    </w:rPr>
  </w:style>
  <w:style w:type="paragraph" w:styleId="Footer">
    <w:name w:val="footer"/>
    <w:basedOn w:val="Normal"/>
    <w:link w:val="FooterChar"/>
    <w:uiPriority w:val="99"/>
    <w:rsid w:val="007A15F0"/>
    <w:pPr>
      <w:tabs>
        <w:tab w:val="center" w:pos="4320"/>
        <w:tab w:val="right" w:pos="8640"/>
      </w:tabs>
    </w:pPr>
  </w:style>
  <w:style w:type="character" w:customStyle="1" w:styleId="FooterChar">
    <w:name w:val="Footer Char"/>
    <w:basedOn w:val="DefaultParagraphFont"/>
    <w:link w:val="Footer"/>
    <w:uiPriority w:val="99"/>
    <w:rsid w:val="007A15F0"/>
    <w:rPr>
      <w:rFonts w:ascii="Times New Roman" w:eastAsia="Times New Roman" w:hAnsi="Times New Roman" w:cs="Times New Roman"/>
      <w:sz w:val="24"/>
      <w:szCs w:val="24"/>
    </w:rPr>
  </w:style>
  <w:style w:type="character" w:styleId="PageNumber">
    <w:name w:val="page number"/>
    <w:basedOn w:val="DefaultParagraphFont"/>
    <w:rsid w:val="007A15F0"/>
  </w:style>
  <w:style w:type="paragraph" w:styleId="CommentText">
    <w:name w:val="annotation text"/>
    <w:basedOn w:val="Normal"/>
    <w:link w:val="CommentTextChar"/>
    <w:autoRedefine/>
    <w:rsid w:val="00913E18"/>
    <w:rPr>
      <w:rFonts w:ascii="Calibri" w:hAnsi="Calibri"/>
      <w:sz w:val="20"/>
      <w:szCs w:val="20"/>
    </w:rPr>
  </w:style>
  <w:style w:type="character" w:customStyle="1" w:styleId="CommentTextChar">
    <w:name w:val="Comment Text Char"/>
    <w:basedOn w:val="DefaultParagraphFont"/>
    <w:link w:val="CommentText"/>
    <w:rsid w:val="00913E18"/>
    <w:rPr>
      <w:rFonts w:ascii="Calibri" w:eastAsia="Times New Roman" w:hAnsi="Calibri" w:cs="Times New Roman"/>
      <w:sz w:val="20"/>
      <w:szCs w:val="20"/>
    </w:rPr>
  </w:style>
  <w:style w:type="table" w:styleId="TableGrid">
    <w:name w:val="Table Grid"/>
    <w:basedOn w:val="TableNormal"/>
    <w:uiPriority w:val="39"/>
    <w:rsid w:val="007A15F0"/>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7A15F0"/>
    <w:rPr>
      <w:sz w:val="16"/>
      <w:szCs w:val="16"/>
    </w:rPr>
  </w:style>
  <w:style w:type="paragraph" w:customStyle="1" w:styleId="OMBExhibitTitle">
    <w:name w:val="OMB Exhibit Title"/>
    <w:rsid w:val="0069283C"/>
    <w:pPr>
      <w:keepNext/>
      <w:keepLines/>
      <w:spacing w:before="120" w:after="120" w:line="240" w:lineRule="auto"/>
      <w:ind w:left="1152" w:hanging="1152"/>
    </w:pPr>
    <w:rPr>
      <w:rFonts w:ascii="Arial" w:eastAsia="Times New Roman" w:hAnsi="Arial" w:cs="Times New Roman"/>
      <w:b/>
      <w:snapToGrid w:val="0"/>
      <w:sz w:val="20"/>
      <w:szCs w:val="20"/>
    </w:rPr>
  </w:style>
  <w:style w:type="paragraph" w:customStyle="1" w:styleId="atab1">
    <w:name w:val="atab_1"/>
    <w:basedOn w:val="Normal"/>
    <w:rsid w:val="007A15F0"/>
    <w:pPr>
      <w:widowControl/>
      <w:autoSpaceDE/>
      <w:autoSpaceDN/>
      <w:adjustRightInd/>
      <w:spacing w:before="20"/>
      <w:ind w:left="360" w:hanging="360"/>
    </w:pPr>
    <w:rPr>
      <w:sz w:val="20"/>
      <w:szCs w:val="20"/>
    </w:rPr>
  </w:style>
  <w:style w:type="paragraph" w:styleId="CommentSubject">
    <w:name w:val="annotation subject"/>
    <w:basedOn w:val="CommentText"/>
    <w:next w:val="CommentText"/>
    <w:link w:val="CommentSubjectChar"/>
    <w:semiHidden/>
    <w:rsid w:val="007A15F0"/>
    <w:rPr>
      <w:b/>
      <w:bCs/>
    </w:rPr>
  </w:style>
  <w:style w:type="character" w:customStyle="1" w:styleId="CommentSubjectChar">
    <w:name w:val="Comment Subject Char"/>
    <w:basedOn w:val="CommentTextChar"/>
    <w:link w:val="CommentSubject"/>
    <w:semiHidden/>
    <w:rsid w:val="007A15F0"/>
    <w:rPr>
      <w:rFonts w:ascii="Times New Roman" w:eastAsia="Times New Roman" w:hAnsi="Times New Roman" w:cs="Times New Roman"/>
      <w:b/>
      <w:bCs/>
      <w:i w:val="0"/>
      <w:sz w:val="20"/>
      <w:szCs w:val="20"/>
    </w:rPr>
  </w:style>
  <w:style w:type="character" w:styleId="Hyperlink">
    <w:name w:val="Hyperlink"/>
    <w:basedOn w:val="DefaultParagraphFont"/>
    <w:uiPriority w:val="99"/>
    <w:rsid w:val="007A15F0"/>
    <w:rPr>
      <w:color w:val="0000FF"/>
      <w:u w:val="single"/>
    </w:rPr>
  </w:style>
  <w:style w:type="paragraph" w:customStyle="1" w:styleId="OMBheading-1">
    <w:name w:val="OMB heading-1"/>
    <w:basedOn w:val="Heading2"/>
    <w:rsid w:val="001A70A1"/>
    <w:pPr>
      <w:widowControl/>
      <w:autoSpaceDE/>
      <w:autoSpaceDN/>
      <w:adjustRightInd/>
      <w:spacing w:before="0" w:after="240"/>
      <w:ind w:left="360" w:hanging="360"/>
    </w:pPr>
    <w:rPr>
      <w:rFonts w:ascii="Times New Roman" w:hAnsi="Times New Roman" w:cs="Times New Roman"/>
      <w:bCs w:val="0"/>
      <w:i w:val="0"/>
      <w:iCs w:val="0"/>
    </w:rPr>
  </w:style>
  <w:style w:type="paragraph" w:customStyle="1" w:styleId="OMBHeading-2">
    <w:name w:val="OMB Heading-2"/>
    <w:basedOn w:val="Normal"/>
    <w:rsid w:val="007A15F0"/>
    <w:pPr>
      <w:keepNext/>
      <w:widowControl/>
      <w:numPr>
        <w:numId w:val="3"/>
      </w:numPr>
      <w:autoSpaceDE/>
      <w:autoSpaceDN/>
      <w:adjustRightInd/>
      <w:spacing w:after="200"/>
      <w:ind w:left="720"/>
    </w:pPr>
    <w:rPr>
      <w:b/>
      <w:szCs w:val="20"/>
    </w:rPr>
  </w:style>
  <w:style w:type="paragraph" w:styleId="Header">
    <w:name w:val="header"/>
    <w:basedOn w:val="Normal"/>
    <w:link w:val="HeaderChar"/>
    <w:rsid w:val="007A15F0"/>
    <w:pPr>
      <w:widowControl/>
      <w:tabs>
        <w:tab w:val="center" w:pos="4320"/>
        <w:tab w:val="right" w:pos="8640"/>
      </w:tabs>
      <w:autoSpaceDE/>
      <w:autoSpaceDN/>
      <w:adjustRightInd/>
    </w:pPr>
    <w:rPr>
      <w:szCs w:val="20"/>
    </w:rPr>
  </w:style>
  <w:style w:type="character" w:customStyle="1" w:styleId="HeaderChar">
    <w:name w:val="Header Char"/>
    <w:basedOn w:val="DefaultParagraphFont"/>
    <w:link w:val="Header"/>
    <w:uiPriority w:val="99"/>
    <w:rsid w:val="007A15F0"/>
    <w:rPr>
      <w:rFonts w:ascii="Times New Roman" w:eastAsia="Times New Roman" w:hAnsi="Times New Roman" w:cs="Times New Roman"/>
      <w:sz w:val="24"/>
      <w:szCs w:val="20"/>
    </w:rPr>
  </w:style>
  <w:style w:type="paragraph" w:customStyle="1" w:styleId="biblio">
    <w:name w:val="biblio"/>
    <w:basedOn w:val="Normal"/>
    <w:rsid w:val="007A15F0"/>
    <w:pPr>
      <w:keepLines/>
      <w:widowControl/>
      <w:autoSpaceDE/>
      <w:autoSpaceDN/>
      <w:adjustRightInd/>
      <w:spacing w:after="240"/>
      <w:ind w:left="720" w:hanging="720"/>
    </w:pPr>
    <w:rPr>
      <w:szCs w:val="20"/>
      <w:lang w:val="it-IT"/>
    </w:rPr>
  </w:style>
  <w:style w:type="paragraph" w:customStyle="1" w:styleId="tabfigsource">
    <w:name w:val="tab/fig source"/>
    <w:basedOn w:val="Normal"/>
    <w:rsid w:val="007A15F0"/>
    <w:pPr>
      <w:keepLines/>
      <w:widowControl/>
      <w:autoSpaceDE/>
      <w:autoSpaceDN/>
      <w:adjustRightInd/>
      <w:spacing w:before="120" w:after="240"/>
      <w:ind w:left="187" w:hanging="187"/>
    </w:pPr>
    <w:rPr>
      <w:sz w:val="20"/>
      <w:szCs w:val="20"/>
    </w:rPr>
  </w:style>
  <w:style w:type="paragraph" w:customStyle="1" w:styleId="App-No">
    <w:name w:val="App-No"/>
    <w:basedOn w:val="Normal"/>
    <w:rsid w:val="007A15F0"/>
    <w:pPr>
      <w:widowControl/>
      <w:autoSpaceDE/>
      <w:autoSpaceDN/>
      <w:adjustRightInd/>
      <w:jc w:val="center"/>
    </w:pPr>
    <w:rPr>
      <w:rFonts w:ascii="Arial" w:hAnsi="Arial" w:cs="Arial"/>
      <w:b/>
      <w:sz w:val="28"/>
      <w:szCs w:val="28"/>
      <w:lang w:val="fr-FR"/>
    </w:rPr>
  </w:style>
  <w:style w:type="paragraph" w:styleId="ListParagraph">
    <w:name w:val="List Paragraph"/>
    <w:basedOn w:val="Normal"/>
    <w:link w:val="ListParagraphChar"/>
    <w:uiPriority w:val="34"/>
    <w:qFormat/>
    <w:rsid w:val="007A15F0"/>
    <w:pPr>
      <w:widowControl/>
      <w:autoSpaceDE/>
      <w:autoSpaceDN/>
      <w:adjustRightInd/>
      <w:ind w:left="720"/>
    </w:pPr>
    <w:rPr>
      <w:rFonts w:eastAsia="Calibri"/>
    </w:rPr>
  </w:style>
  <w:style w:type="paragraph" w:customStyle="1" w:styleId="bodytext-gph">
    <w:name w:val="body text-gph"/>
    <w:link w:val="bodytext-gphChar"/>
    <w:rsid w:val="007A15F0"/>
    <w:pPr>
      <w:spacing w:after="120" w:line="260" w:lineRule="atLeast"/>
      <w:ind w:left="360"/>
    </w:pPr>
    <w:rPr>
      <w:rFonts w:ascii="Times New Roman" w:eastAsia="Times New Roman" w:hAnsi="Times New Roman" w:cs="Times New Roman"/>
      <w:sz w:val="23"/>
    </w:rPr>
  </w:style>
  <w:style w:type="character" w:customStyle="1" w:styleId="bodytext-gphChar">
    <w:name w:val="body text-gph Char"/>
    <w:basedOn w:val="DefaultParagraphFont"/>
    <w:link w:val="bodytext-gph"/>
    <w:rsid w:val="007A15F0"/>
    <w:rPr>
      <w:rFonts w:ascii="Times New Roman" w:eastAsia="Times New Roman" w:hAnsi="Times New Roman" w:cs="Times New Roman"/>
      <w:sz w:val="23"/>
    </w:rPr>
  </w:style>
  <w:style w:type="paragraph" w:customStyle="1" w:styleId="Abbrevs">
    <w:name w:val="Abbrevs"/>
    <w:basedOn w:val="Normal"/>
    <w:qFormat/>
    <w:rsid w:val="006179E2"/>
    <w:pPr>
      <w:widowControl/>
      <w:autoSpaceDE/>
      <w:autoSpaceDN/>
      <w:adjustRightInd/>
      <w:spacing w:after="120"/>
      <w:ind w:left="1440" w:hanging="1440"/>
    </w:pPr>
    <w:rPr>
      <w:rFonts w:eastAsiaTheme="minorHAnsi" w:cstheme="minorBidi"/>
      <w:sz w:val="22"/>
      <w:szCs w:val="22"/>
    </w:rPr>
  </w:style>
  <w:style w:type="paragraph" w:customStyle="1" w:styleId="FigureTitle">
    <w:name w:val="Figure Title"/>
    <w:uiPriority w:val="99"/>
    <w:rsid w:val="007A15F0"/>
    <w:pPr>
      <w:keepNext/>
      <w:keepLines/>
      <w:spacing w:before="120" w:after="120" w:line="240" w:lineRule="auto"/>
    </w:pPr>
    <w:rPr>
      <w:rFonts w:ascii="Times New Roman" w:eastAsia="Times New Roman" w:hAnsi="Times New Roman" w:cs="Times New Roman"/>
      <w:b/>
      <w:sz w:val="24"/>
      <w:szCs w:val="20"/>
    </w:rPr>
  </w:style>
  <w:style w:type="paragraph" w:customStyle="1" w:styleId="exhibitsource">
    <w:name w:val="exhibit source"/>
    <w:basedOn w:val="Normal"/>
    <w:uiPriority w:val="99"/>
    <w:rsid w:val="007A15F0"/>
    <w:pPr>
      <w:widowControl/>
      <w:autoSpaceDE/>
      <w:autoSpaceDN/>
      <w:adjustRightInd/>
      <w:spacing w:before="120" w:after="240"/>
    </w:pPr>
    <w:rPr>
      <w:sz w:val="20"/>
      <w:szCs w:val="22"/>
    </w:rPr>
  </w:style>
  <w:style w:type="paragraph" w:customStyle="1" w:styleId="OMBHeading-3">
    <w:name w:val="OMB Heading-3"/>
    <w:basedOn w:val="Heading3"/>
    <w:uiPriority w:val="99"/>
    <w:rsid w:val="007A15F0"/>
    <w:pPr>
      <w:widowControl/>
      <w:autoSpaceDE/>
      <w:autoSpaceDN/>
      <w:adjustRightInd/>
      <w:spacing w:after="120"/>
      <w:ind w:left="1080" w:hanging="720"/>
    </w:pPr>
    <w:rPr>
      <w:rFonts w:ascii="Times New Roman" w:hAnsi="Times New Roman"/>
      <w:bCs w:val="0"/>
      <w:sz w:val="24"/>
      <w:szCs w:val="20"/>
      <w:lang w:val="en-CA"/>
    </w:rPr>
  </w:style>
  <w:style w:type="paragraph" w:customStyle="1" w:styleId="BodyText1">
    <w:name w:val="Body Text1"/>
    <w:aliases w:val="bt,body tx,indent,flush,memo body text,memo body text Char,bt Char,body tx Char,indent Char,flush Char Char Char Char Char Char Char Char Char Char Char Char Char,bt Char1,body tx Char1,indent Char1 Char,flush Char Char,body 4"/>
    <w:basedOn w:val="Normal"/>
    <w:link w:val="bodytextChar1"/>
    <w:uiPriority w:val="99"/>
    <w:rsid w:val="007A15F0"/>
    <w:pPr>
      <w:widowControl/>
      <w:autoSpaceDE/>
      <w:autoSpaceDN/>
      <w:adjustRightInd/>
      <w:ind w:firstLine="720"/>
    </w:pPr>
    <w:rPr>
      <w:szCs w:val="20"/>
    </w:rPr>
  </w:style>
  <w:style w:type="character" w:customStyle="1" w:styleId="bodytextChar1">
    <w:name w:val="body text Char1"/>
    <w:basedOn w:val="DefaultParagraphFont"/>
    <w:link w:val="BodyText1"/>
    <w:uiPriority w:val="99"/>
    <w:locked/>
    <w:rsid w:val="007A15F0"/>
    <w:rPr>
      <w:rFonts w:ascii="Times New Roman" w:eastAsia="Times New Roman" w:hAnsi="Times New Roman" w:cs="Times New Roman"/>
      <w:sz w:val="24"/>
      <w:szCs w:val="20"/>
    </w:rPr>
  </w:style>
  <w:style w:type="paragraph" w:styleId="Revision">
    <w:name w:val="Revision"/>
    <w:hidden/>
    <w:uiPriority w:val="99"/>
    <w:semiHidden/>
    <w:rsid w:val="007A15F0"/>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7A15F0"/>
    <w:rPr>
      <w:sz w:val="20"/>
      <w:szCs w:val="20"/>
    </w:rPr>
  </w:style>
  <w:style w:type="character" w:customStyle="1" w:styleId="FootnoteTextChar">
    <w:name w:val="Footnote Text Char"/>
    <w:basedOn w:val="DefaultParagraphFont"/>
    <w:link w:val="FootnoteText"/>
    <w:uiPriority w:val="99"/>
    <w:rsid w:val="007A15F0"/>
    <w:rPr>
      <w:rFonts w:ascii="Times New Roman" w:eastAsia="Times New Roman" w:hAnsi="Times New Roman" w:cs="Times New Roman"/>
      <w:sz w:val="20"/>
      <w:szCs w:val="20"/>
    </w:rPr>
  </w:style>
  <w:style w:type="paragraph" w:styleId="TOCHeading">
    <w:name w:val="TOC Heading"/>
    <w:basedOn w:val="Heading1"/>
    <w:next w:val="Normal"/>
    <w:uiPriority w:val="39"/>
    <w:semiHidden/>
    <w:unhideWhenUsed/>
    <w:qFormat/>
    <w:rsid w:val="007A15F0"/>
    <w:pPr>
      <w:widowControl/>
      <w:autoSpaceDE/>
      <w:autoSpaceDN/>
      <w:adjustRightInd/>
      <w:spacing w:line="276" w:lineRule="auto"/>
      <w:outlineLvl w:val="9"/>
    </w:pPr>
    <w:rPr>
      <w:lang w:eastAsia="ja-JP"/>
    </w:rPr>
  </w:style>
  <w:style w:type="paragraph" w:styleId="TOC2">
    <w:name w:val="toc 2"/>
    <w:basedOn w:val="Normal"/>
    <w:next w:val="Normal"/>
    <w:autoRedefine/>
    <w:uiPriority w:val="39"/>
    <w:rsid w:val="00721ACD"/>
    <w:pPr>
      <w:tabs>
        <w:tab w:val="right" w:leader="dot" w:pos="9440"/>
      </w:tabs>
      <w:spacing w:after="100"/>
      <w:ind w:left="1152" w:right="720" w:hanging="576"/>
    </w:pPr>
  </w:style>
  <w:style w:type="paragraph" w:styleId="TOC3">
    <w:name w:val="toc 3"/>
    <w:basedOn w:val="Normal"/>
    <w:next w:val="Normal"/>
    <w:autoRedefine/>
    <w:uiPriority w:val="39"/>
    <w:rsid w:val="003677BA"/>
    <w:pPr>
      <w:tabs>
        <w:tab w:val="left" w:pos="1620"/>
        <w:tab w:val="right" w:leader="dot" w:pos="9450"/>
      </w:tabs>
      <w:spacing w:after="100"/>
      <w:ind w:left="1728"/>
    </w:pPr>
  </w:style>
  <w:style w:type="paragraph" w:styleId="TOC1">
    <w:name w:val="toc 1"/>
    <w:basedOn w:val="Normal"/>
    <w:next w:val="Normal"/>
    <w:autoRedefine/>
    <w:uiPriority w:val="39"/>
    <w:rsid w:val="00721ACD"/>
    <w:pPr>
      <w:tabs>
        <w:tab w:val="right" w:leader="dot" w:pos="9440"/>
      </w:tabs>
      <w:spacing w:after="100"/>
      <w:ind w:left="576" w:right="720" w:hanging="576"/>
    </w:pPr>
  </w:style>
  <w:style w:type="paragraph" w:customStyle="1" w:styleId="Stylebodytext-gphBold">
    <w:name w:val="Style body text-gph + Bold"/>
    <w:basedOn w:val="bodytext-gph"/>
    <w:link w:val="Stylebodytext-gphBoldChar"/>
    <w:rsid w:val="007A15F0"/>
    <w:rPr>
      <w:b/>
      <w:bCs/>
    </w:rPr>
  </w:style>
  <w:style w:type="character" w:customStyle="1" w:styleId="Stylebodytext-gphBoldChar">
    <w:name w:val="Style body text-gph + Bold Char"/>
    <w:link w:val="Stylebodytext-gphBold"/>
    <w:rsid w:val="007A15F0"/>
    <w:rPr>
      <w:rFonts w:ascii="Times New Roman" w:eastAsia="Times New Roman" w:hAnsi="Times New Roman" w:cs="Times New Roman"/>
      <w:b/>
      <w:bCs/>
      <w:sz w:val="23"/>
    </w:rPr>
  </w:style>
  <w:style w:type="paragraph" w:styleId="Caption">
    <w:name w:val="caption"/>
    <w:basedOn w:val="Normal"/>
    <w:uiPriority w:val="35"/>
    <w:qFormat/>
    <w:rsid w:val="007A15F0"/>
    <w:pPr>
      <w:widowControl/>
      <w:autoSpaceDE/>
      <w:autoSpaceDN/>
      <w:adjustRightInd/>
    </w:pPr>
    <w:rPr>
      <w:b/>
      <w:bCs/>
      <w:sz w:val="20"/>
      <w:szCs w:val="20"/>
    </w:rPr>
  </w:style>
  <w:style w:type="paragraph" w:styleId="BodyTextIndent">
    <w:name w:val="Body Text Indent"/>
    <w:basedOn w:val="Normal"/>
    <w:link w:val="BodyTextIndentChar"/>
    <w:rsid w:val="007A15F0"/>
    <w:pPr>
      <w:ind w:left="720"/>
    </w:pPr>
    <w:rPr>
      <w:rFonts w:ascii="Baskerville Old Face" w:hAnsi="Baskerville Old Face"/>
    </w:rPr>
  </w:style>
  <w:style w:type="character" w:customStyle="1" w:styleId="BodyTextIndentChar">
    <w:name w:val="Body Text Indent Char"/>
    <w:basedOn w:val="DefaultParagraphFont"/>
    <w:link w:val="BodyTextIndent"/>
    <w:rsid w:val="007A15F0"/>
    <w:rPr>
      <w:rFonts w:ascii="Baskerville Old Face" w:eastAsia="Times New Roman" w:hAnsi="Baskerville Old Face" w:cs="Times New Roman"/>
      <w:sz w:val="24"/>
      <w:szCs w:val="24"/>
    </w:rPr>
  </w:style>
  <w:style w:type="paragraph" w:customStyle="1" w:styleId="bullets">
    <w:name w:val="bullets"/>
    <w:basedOn w:val="OMBbodytext"/>
    <w:uiPriority w:val="99"/>
    <w:rsid w:val="00274CE3"/>
    <w:pPr>
      <w:numPr>
        <w:numId w:val="4"/>
      </w:numPr>
    </w:pPr>
    <w:rPr>
      <w:szCs w:val="24"/>
    </w:rPr>
  </w:style>
  <w:style w:type="paragraph" w:customStyle="1" w:styleId="BodyText2">
    <w:name w:val="Body Text2"/>
    <w:basedOn w:val="Normal"/>
    <w:link w:val="bodytextChar"/>
    <w:rsid w:val="007A15F0"/>
    <w:pPr>
      <w:widowControl/>
      <w:autoSpaceDE/>
      <w:autoSpaceDN/>
      <w:adjustRightInd/>
      <w:spacing w:after="160" w:line="320" w:lineRule="exact"/>
    </w:pPr>
    <w:rPr>
      <w:rFonts w:ascii="Verdana" w:eastAsia="MS Mincho" w:hAnsi="Verdana"/>
      <w:sz w:val="20"/>
      <w:szCs w:val="20"/>
    </w:rPr>
  </w:style>
  <w:style w:type="character" w:customStyle="1" w:styleId="bodytextChar">
    <w:name w:val="body text Char"/>
    <w:aliases w:val="bt Char2,body tx Char2,indent Char1,flush Char,memo body text Char1,memo body text Char Char,bt Char Char,body tx Char Char,indent Char Char,flush Char Char Char Char Char Char Char Char Char Char Char Char Char Char,body text Char1 Char"/>
    <w:basedOn w:val="DefaultParagraphFont"/>
    <w:link w:val="BodyText2"/>
    <w:uiPriority w:val="99"/>
    <w:rsid w:val="007A15F0"/>
    <w:rPr>
      <w:rFonts w:ascii="Verdana" w:eastAsia="MS Mincho" w:hAnsi="Verdana" w:cs="Times New Roman"/>
      <w:sz w:val="20"/>
      <w:szCs w:val="20"/>
    </w:rPr>
  </w:style>
  <w:style w:type="paragraph" w:customStyle="1" w:styleId="bullets-2ndlevel">
    <w:name w:val="bullets-2nd level"/>
    <w:basedOn w:val="Normal"/>
    <w:rsid w:val="007A15F0"/>
    <w:pPr>
      <w:widowControl/>
      <w:autoSpaceDE/>
      <w:autoSpaceDN/>
      <w:adjustRightInd/>
      <w:spacing w:after="120"/>
      <w:ind w:left="1080" w:hanging="360"/>
    </w:pPr>
    <w:rPr>
      <w:rFonts w:ascii="Verdana" w:eastAsia="MS Mincho" w:hAnsi="Verdana"/>
      <w:sz w:val="20"/>
      <w:szCs w:val="20"/>
    </w:rPr>
  </w:style>
  <w:style w:type="paragraph" w:customStyle="1" w:styleId="bullets-3rdlevel">
    <w:name w:val="bullets-3rd level"/>
    <w:basedOn w:val="Normal"/>
    <w:rsid w:val="007A15F0"/>
    <w:pPr>
      <w:widowControl/>
      <w:autoSpaceDE/>
      <w:autoSpaceDN/>
      <w:adjustRightInd/>
      <w:spacing w:after="120"/>
      <w:ind w:left="1440" w:hanging="360"/>
    </w:pPr>
    <w:rPr>
      <w:rFonts w:ascii="Verdana" w:eastAsia="MS Mincho" w:hAnsi="Verdana"/>
      <w:sz w:val="20"/>
      <w:szCs w:val="20"/>
    </w:rPr>
  </w:style>
  <w:style w:type="paragraph" w:styleId="BodyTextIndent2">
    <w:name w:val="Body Text Indent 2"/>
    <w:basedOn w:val="Normal"/>
    <w:link w:val="BodyTextIndent2Char"/>
    <w:rsid w:val="007A15F0"/>
    <w:pPr>
      <w:spacing w:after="120" w:line="480" w:lineRule="auto"/>
      <w:ind w:left="360"/>
    </w:pPr>
  </w:style>
  <w:style w:type="character" w:customStyle="1" w:styleId="BodyTextIndent2Char">
    <w:name w:val="Body Text Indent 2 Char"/>
    <w:basedOn w:val="DefaultParagraphFont"/>
    <w:link w:val="BodyTextIndent2"/>
    <w:rsid w:val="007A15F0"/>
    <w:rPr>
      <w:rFonts w:ascii="Times New Roman" w:eastAsia="Times New Roman" w:hAnsi="Times New Roman" w:cs="Times New Roman"/>
      <w:sz w:val="24"/>
      <w:szCs w:val="24"/>
    </w:rPr>
  </w:style>
  <w:style w:type="paragraph" w:styleId="TableofFigures">
    <w:name w:val="table of figures"/>
    <w:basedOn w:val="Normal"/>
    <w:next w:val="Normal"/>
    <w:uiPriority w:val="99"/>
    <w:rsid w:val="002B79CF"/>
    <w:pPr>
      <w:spacing w:after="120"/>
      <w:ind w:left="1296" w:right="720" w:hanging="1296"/>
    </w:pPr>
  </w:style>
  <w:style w:type="paragraph" w:customStyle="1" w:styleId="TableHeaders">
    <w:name w:val="Table Headers"/>
    <w:basedOn w:val="Normal"/>
    <w:qFormat/>
    <w:rsid w:val="00655872"/>
    <w:pPr>
      <w:spacing w:before="40" w:after="40"/>
      <w:jc w:val="center"/>
    </w:pPr>
    <w:rPr>
      <w:rFonts w:ascii="Arial" w:hAnsi="Arial" w:cs="Arial"/>
      <w:b/>
      <w:bCs/>
      <w:sz w:val="20"/>
      <w:szCs w:val="20"/>
    </w:rPr>
  </w:style>
  <w:style w:type="paragraph" w:customStyle="1" w:styleId="TableTextbold">
    <w:name w:val="Table Text bold"/>
    <w:basedOn w:val="Normal"/>
    <w:qFormat/>
    <w:rsid w:val="00655872"/>
    <w:pPr>
      <w:spacing w:before="40"/>
    </w:pPr>
    <w:rPr>
      <w:rFonts w:ascii="Arial" w:hAnsi="Arial" w:cs="Arial"/>
      <w:b/>
      <w:sz w:val="20"/>
      <w:szCs w:val="20"/>
    </w:rPr>
  </w:style>
  <w:style w:type="paragraph" w:customStyle="1" w:styleId="Tablebullet0">
    <w:name w:val="Table bullet"/>
    <w:basedOn w:val="Normal"/>
    <w:qFormat/>
    <w:rsid w:val="00655872"/>
    <w:pPr>
      <w:spacing w:before="40"/>
      <w:ind w:left="130" w:hanging="130"/>
    </w:pPr>
    <w:rPr>
      <w:rFonts w:ascii="Arial" w:hAnsi="Arial" w:cs="Arial"/>
      <w:sz w:val="20"/>
      <w:szCs w:val="20"/>
    </w:rPr>
  </w:style>
  <w:style w:type="paragraph" w:customStyle="1" w:styleId="OMBExhibitTitlecontinued">
    <w:name w:val="OMB Exhibit Title continued"/>
    <w:basedOn w:val="OMBExhibitTitle"/>
    <w:qFormat/>
    <w:rsid w:val="00655872"/>
  </w:style>
  <w:style w:type="paragraph" w:customStyle="1" w:styleId="Tablecontd">
    <w:name w:val="Table_contd"/>
    <w:basedOn w:val="Normal"/>
    <w:qFormat/>
    <w:rsid w:val="00655872"/>
    <w:pPr>
      <w:jc w:val="right"/>
    </w:pPr>
    <w:rPr>
      <w:rFonts w:ascii="Arial" w:hAnsi="Arial"/>
      <w:sz w:val="20"/>
    </w:rPr>
  </w:style>
  <w:style w:type="paragraph" w:customStyle="1" w:styleId="TableText">
    <w:name w:val="Table Text"/>
    <w:basedOn w:val="TableTextbold"/>
    <w:qFormat/>
    <w:rsid w:val="00274CE3"/>
    <w:rPr>
      <w:b w:val="0"/>
    </w:rPr>
  </w:style>
  <w:style w:type="character" w:styleId="FollowedHyperlink">
    <w:name w:val="FollowedHyperlink"/>
    <w:basedOn w:val="DefaultParagraphFont"/>
    <w:uiPriority w:val="99"/>
    <w:semiHidden/>
    <w:unhideWhenUsed/>
    <w:rsid w:val="0021192E"/>
    <w:rPr>
      <w:color w:val="954F72" w:themeColor="followedHyperlink"/>
      <w:u w:val="single"/>
    </w:rPr>
  </w:style>
  <w:style w:type="paragraph" w:customStyle="1" w:styleId="ExhibitTitle">
    <w:name w:val="Exhibit Title"/>
    <w:rsid w:val="003A66ED"/>
    <w:pPr>
      <w:keepNext/>
      <w:keepLines/>
      <w:spacing w:before="120" w:after="120" w:line="240" w:lineRule="auto"/>
      <w:ind w:left="1440" w:hanging="1440"/>
    </w:pPr>
    <w:rPr>
      <w:rFonts w:ascii="Times New Roman" w:eastAsia="Times New Roman" w:hAnsi="Times New Roman" w:cs="Times New Roman"/>
      <w:b/>
      <w:snapToGrid w:val="0"/>
      <w:sz w:val="24"/>
      <w:szCs w:val="20"/>
    </w:rPr>
  </w:style>
  <w:style w:type="character" w:customStyle="1" w:styleId="UnresolvedMention1">
    <w:name w:val="Unresolved Mention1"/>
    <w:basedOn w:val="DefaultParagraphFont"/>
    <w:uiPriority w:val="99"/>
    <w:semiHidden/>
    <w:unhideWhenUsed/>
    <w:rsid w:val="00923EC0"/>
    <w:rPr>
      <w:color w:val="808080"/>
      <w:shd w:val="clear" w:color="auto" w:fill="E6E6E6"/>
    </w:rPr>
  </w:style>
  <w:style w:type="character" w:customStyle="1" w:styleId="ListParagraphChar">
    <w:name w:val="List Paragraph Char"/>
    <w:link w:val="ListParagraph"/>
    <w:uiPriority w:val="34"/>
    <w:rsid w:val="00923EC0"/>
    <w:rPr>
      <w:rFonts w:ascii="Times New Roman" w:eastAsia="Calibri" w:hAnsi="Times New Roman" w:cs="Times New Roman"/>
      <w:sz w:val="24"/>
      <w:szCs w:val="24"/>
    </w:rPr>
  </w:style>
  <w:style w:type="paragraph" w:customStyle="1" w:styleId="Default">
    <w:name w:val="Default"/>
    <w:rsid w:val="00E96AF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umberedListLast">
    <w:name w:val="Numbered List Last"/>
    <w:basedOn w:val="Normal"/>
    <w:qFormat/>
    <w:rsid w:val="00A73A2A"/>
    <w:pPr>
      <w:widowControl/>
      <w:numPr>
        <w:numId w:val="5"/>
      </w:numPr>
      <w:autoSpaceDE/>
      <w:autoSpaceDN/>
      <w:adjustRightInd/>
      <w:spacing w:before="120" w:after="280"/>
    </w:pPr>
    <w:rPr>
      <w:szCs w:val="20"/>
    </w:rPr>
  </w:style>
  <w:style w:type="character" w:customStyle="1" w:styleId="UnresolvedMention2">
    <w:name w:val="Unresolved Mention2"/>
    <w:basedOn w:val="DefaultParagraphFont"/>
    <w:uiPriority w:val="99"/>
    <w:semiHidden/>
    <w:unhideWhenUsed/>
    <w:rsid w:val="0074546E"/>
    <w:rPr>
      <w:color w:val="808080"/>
      <w:shd w:val="clear" w:color="auto" w:fill="E6E6E6"/>
    </w:rPr>
  </w:style>
  <w:style w:type="character" w:customStyle="1" w:styleId="search-custom-heading1">
    <w:name w:val="search-custom-heading1"/>
    <w:basedOn w:val="DefaultParagraphFont"/>
    <w:rsid w:val="001B6659"/>
    <w:rPr>
      <w:color w:val="000080"/>
    </w:rPr>
  </w:style>
  <w:style w:type="paragraph" w:customStyle="1" w:styleId="Refs">
    <w:name w:val="Refs"/>
    <w:qFormat/>
    <w:rsid w:val="00C24449"/>
    <w:pPr>
      <w:spacing w:after="240" w:line="240" w:lineRule="auto"/>
      <w:ind w:left="720" w:hanging="720"/>
    </w:pPr>
    <w:rPr>
      <w:rFonts w:ascii="Times New Roman" w:eastAsia="Times New Roman" w:hAnsi="Times New Roman" w:cs="Times New Roman"/>
      <w:sz w:val="24"/>
      <w:szCs w:val="24"/>
    </w:rPr>
  </w:style>
  <w:style w:type="paragraph" w:customStyle="1" w:styleId="TableBullet">
    <w:name w:val="TableBullet"/>
    <w:qFormat/>
    <w:rsid w:val="008E085D"/>
    <w:pPr>
      <w:numPr>
        <w:numId w:val="8"/>
      </w:numPr>
      <w:spacing w:before="40" w:after="40" w:line="240" w:lineRule="auto"/>
    </w:pPr>
    <w:rPr>
      <w:rFonts w:ascii="Arial" w:eastAsia="Times New Roman" w:hAnsi="Arial" w:cs="Times New Roman"/>
      <w:sz w:val="20"/>
      <w:szCs w:val="20"/>
    </w:rPr>
  </w:style>
  <w:style w:type="paragraph" w:customStyle="1" w:styleId="TableColumnHeading">
    <w:name w:val="TableColumnHeading"/>
    <w:next w:val="Normal"/>
    <w:qFormat/>
    <w:rsid w:val="008E085D"/>
    <w:pPr>
      <w:keepNext/>
      <w:spacing w:before="60" w:after="60" w:line="240" w:lineRule="auto"/>
      <w:jc w:val="center"/>
    </w:pPr>
    <w:rPr>
      <w:rFonts w:ascii="Arial" w:eastAsia="Times New Roman" w:hAnsi="Arial" w:cs="Times New Roman"/>
      <w:b/>
      <w:sz w:val="20"/>
      <w:szCs w:val="20"/>
    </w:rPr>
  </w:style>
  <w:style w:type="paragraph" w:customStyle="1" w:styleId="TableDivHead2">
    <w:name w:val="TableDivHead2"/>
    <w:next w:val="Normal"/>
    <w:rsid w:val="008E085D"/>
    <w:pPr>
      <w:spacing w:before="40" w:after="40" w:line="240" w:lineRule="auto"/>
    </w:pPr>
    <w:rPr>
      <w:rFonts w:ascii="Arial" w:eastAsia="Times New Roman" w:hAnsi="Arial" w:cs="Times New Roman"/>
      <w:b/>
      <w:sz w:val="20"/>
      <w:szCs w:val="20"/>
    </w:rPr>
  </w:style>
  <w:style w:type="paragraph" w:customStyle="1" w:styleId="TableDivHeading">
    <w:name w:val="TableDivHeading"/>
    <w:qFormat/>
    <w:rsid w:val="008E085D"/>
    <w:pPr>
      <w:keepNext/>
      <w:widowControl w:val="0"/>
      <w:spacing w:before="40" w:after="40" w:line="240" w:lineRule="auto"/>
    </w:pPr>
    <w:rPr>
      <w:rFonts w:ascii="Arial" w:eastAsia="Times New Roman" w:hAnsi="Arial" w:cs="Times New Roman"/>
      <w:b/>
      <w:sz w:val="20"/>
      <w:szCs w:val="20"/>
    </w:rPr>
  </w:style>
  <w:style w:type="paragraph" w:customStyle="1" w:styleId="TableText0">
    <w:name w:val="TableText"/>
    <w:aliases w:val="tt"/>
    <w:link w:val="TableTextChar"/>
    <w:qFormat/>
    <w:rsid w:val="008E085D"/>
    <w:pPr>
      <w:spacing w:before="40" w:after="40" w:line="240" w:lineRule="auto"/>
    </w:pPr>
    <w:rPr>
      <w:rFonts w:ascii="Arial" w:eastAsia="Times New Roman" w:hAnsi="Arial" w:cs="Times New Roman"/>
      <w:sz w:val="20"/>
      <w:szCs w:val="20"/>
    </w:rPr>
  </w:style>
  <w:style w:type="character" w:customStyle="1" w:styleId="TableTextChar">
    <w:name w:val="TableText Char"/>
    <w:aliases w:val="tt Char"/>
    <w:basedOn w:val="DefaultParagraphFont"/>
    <w:link w:val="TableText0"/>
    <w:rsid w:val="008E085D"/>
    <w:rPr>
      <w:rFonts w:ascii="Arial" w:eastAsia="Times New Roman" w:hAnsi="Arial" w:cs="Times New Roman"/>
      <w:sz w:val="20"/>
      <w:szCs w:val="20"/>
    </w:rPr>
  </w:style>
  <w:style w:type="paragraph" w:customStyle="1" w:styleId="NumberedList">
    <w:name w:val="Numbered List"/>
    <w:basedOn w:val="Normal"/>
    <w:qFormat/>
    <w:rsid w:val="008E085D"/>
    <w:pPr>
      <w:widowControl/>
      <w:numPr>
        <w:numId w:val="9"/>
      </w:numPr>
      <w:autoSpaceDE/>
      <w:autoSpaceDN/>
      <w:adjustRightInd/>
      <w:spacing w:before="120" w:after="120"/>
    </w:pPr>
    <w:rPr>
      <w:szCs w:val="20"/>
    </w:rPr>
  </w:style>
  <w:style w:type="paragraph" w:styleId="ListBullet2">
    <w:name w:val="List Bullet 2"/>
    <w:basedOn w:val="Normal"/>
    <w:uiPriority w:val="99"/>
    <w:unhideWhenUsed/>
    <w:rsid w:val="0012622B"/>
    <w:pPr>
      <w:numPr>
        <w:numId w:val="22"/>
      </w:numPr>
      <w:contextualSpacing/>
    </w:pPr>
  </w:style>
  <w:style w:type="paragraph" w:styleId="BodyText">
    <w:name w:val="Body Text"/>
    <w:basedOn w:val="Normal"/>
    <w:link w:val="BodyTextChar0"/>
    <w:uiPriority w:val="99"/>
    <w:semiHidden/>
    <w:unhideWhenUsed/>
    <w:rsid w:val="002350DF"/>
    <w:pPr>
      <w:spacing w:after="120"/>
    </w:pPr>
  </w:style>
  <w:style w:type="character" w:customStyle="1" w:styleId="BodyTextChar0">
    <w:name w:val="Body Text Char"/>
    <w:basedOn w:val="DefaultParagraphFont"/>
    <w:link w:val="BodyText"/>
    <w:uiPriority w:val="99"/>
    <w:semiHidden/>
    <w:rsid w:val="002350DF"/>
    <w:rPr>
      <w:rFonts w:ascii="Times New Roman" w:eastAsia="Times New Roman" w:hAnsi="Times New Roman" w:cs="Times New Roman"/>
      <w:sz w:val="24"/>
      <w:szCs w:val="24"/>
    </w:rPr>
  </w:style>
  <w:style w:type="paragraph" w:customStyle="1" w:styleId="StyletabfigtitlefullpgTimesNewRoman12ptBoldLeft">
    <w:name w:val="Style tab/fig title (full pg) + Times New Roman 12 pt Bold Left:..."/>
    <w:basedOn w:val="Normal"/>
    <w:rsid w:val="002350DF"/>
    <w:pPr>
      <w:keepNext/>
      <w:keepLines/>
      <w:widowControl/>
      <w:autoSpaceDE/>
      <w:autoSpaceDN/>
      <w:adjustRightInd/>
      <w:spacing w:before="120" w:after="120"/>
      <w:ind w:left="1267" w:hanging="1267"/>
    </w:pPr>
    <w:rPr>
      <w:b/>
      <w:bCs/>
      <w:szCs w:val="20"/>
    </w:rPr>
  </w:style>
  <w:style w:type="paragraph" w:styleId="NoSpacing">
    <w:name w:val="No Spacing"/>
    <w:uiPriority w:val="1"/>
    <w:qFormat/>
    <w:rsid w:val="001F03C3"/>
    <w:pPr>
      <w:spacing w:after="0" w:line="240" w:lineRule="auto"/>
    </w:pPr>
  </w:style>
  <w:style w:type="paragraph" w:styleId="NormalWeb">
    <w:name w:val="Normal (Web)"/>
    <w:basedOn w:val="Normal"/>
    <w:uiPriority w:val="99"/>
    <w:semiHidden/>
    <w:unhideWhenUsed/>
    <w:rsid w:val="006118C2"/>
    <w:pPr>
      <w:widowControl/>
      <w:autoSpaceDE/>
      <w:autoSpaceDN/>
      <w:adjustRightInd/>
      <w:spacing w:before="100" w:beforeAutospacing="1" w:after="100" w:afterAutospacing="1"/>
    </w:pPr>
  </w:style>
  <w:style w:type="character" w:customStyle="1" w:styleId="text24590font1">
    <w:name w:val="text24590font1"/>
    <w:basedOn w:val="DefaultParagraphFont"/>
    <w:rsid w:val="006118C2"/>
  </w:style>
  <w:style w:type="paragraph" w:customStyle="1" w:styleId="table-bulletLM">
    <w:name w:val="table-bullet_LM"/>
    <w:basedOn w:val="Normal"/>
    <w:qFormat/>
    <w:rsid w:val="0064688C"/>
    <w:pPr>
      <w:widowControl/>
      <w:numPr>
        <w:numId w:val="27"/>
      </w:numPr>
      <w:autoSpaceDE/>
      <w:autoSpaceDN/>
      <w:adjustRightInd/>
      <w:spacing w:before="60" w:after="60"/>
    </w:pPr>
    <w:rPr>
      <w:rFonts w:ascii="Verdana" w:hAnsi="Verdana"/>
      <w:sz w:val="16"/>
      <w:szCs w:val="22"/>
      <w:lang w:eastAsia="zh-CN"/>
    </w:rPr>
  </w:style>
  <w:style w:type="paragraph" w:customStyle="1" w:styleId="table-bulletLM8">
    <w:name w:val="table-bullet_LM8"/>
    <w:basedOn w:val="table-bulletLM"/>
    <w:rsid w:val="0064688C"/>
    <w:pPr>
      <w:numPr>
        <w:numId w:val="7"/>
      </w:numPr>
      <w:spacing w:before="20" w:after="20"/>
    </w:pPr>
    <w:rPr>
      <w:szCs w:val="16"/>
    </w:rPr>
  </w:style>
  <w:style w:type="paragraph" w:customStyle="1" w:styleId="cover-text">
    <w:name w:val="cover-text"/>
    <w:basedOn w:val="Normal"/>
    <w:link w:val="cover-textChar"/>
    <w:rsid w:val="0064688C"/>
    <w:pPr>
      <w:widowControl/>
      <w:autoSpaceDE/>
      <w:autoSpaceDN/>
      <w:adjustRightInd/>
      <w:spacing w:before="600" w:after="240"/>
      <w:contextualSpacing/>
      <w:jc w:val="right"/>
    </w:pPr>
    <w:rPr>
      <w:rFonts w:ascii="Verdana" w:eastAsia="SimSun" w:hAnsi="Verdana"/>
      <w:sz w:val="22"/>
      <w:szCs w:val="22"/>
      <w:lang w:eastAsia="zh-CN"/>
    </w:rPr>
  </w:style>
  <w:style w:type="character" w:customStyle="1" w:styleId="cover-textChar">
    <w:name w:val="cover-text Char"/>
    <w:link w:val="cover-text"/>
    <w:rsid w:val="0064688C"/>
    <w:rPr>
      <w:rFonts w:ascii="Verdana" w:eastAsia="SimSun" w:hAnsi="Verdana" w:cs="Times New Roman"/>
      <w:lang w:eastAsia="zh-CN"/>
    </w:rPr>
  </w:style>
  <w:style w:type="paragraph" w:customStyle="1" w:styleId="bullets2nd-level">
    <w:name w:val="bullets_2nd-level"/>
    <w:basedOn w:val="Normal"/>
    <w:rsid w:val="00766DE2"/>
    <w:pPr>
      <w:widowControl/>
      <w:numPr>
        <w:numId w:val="29"/>
      </w:numPr>
      <w:autoSpaceDE/>
      <w:autoSpaceDN/>
      <w:adjustRightInd/>
      <w:spacing w:after="120"/>
    </w:pPr>
    <w:rPr>
      <w:rFonts w:ascii="Verdana" w:eastAsia="SimSun" w:hAnsi="Verdana"/>
      <w:sz w:val="20"/>
      <w:szCs w:val="22"/>
      <w:lang w:eastAsia="zh-CN"/>
    </w:rPr>
  </w:style>
  <w:style w:type="character" w:customStyle="1" w:styleId="UnresolvedMention20">
    <w:name w:val="Unresolved Mention2"/>
    <w:basedOn w:val="DefaultParagraphFont"/>
    <w:uiPriority w:val="99"/>
    <w:semiHidden/>
    <w:unhideWhenUsed/>
    <w:rsid w:val="003D54DE"/>
    <w:rPr>
      <w:color w:val="808080"/>
      <w:shd w:val="clear" w:color="auto" w:fill="E6E6E6"/>
    </w:rPr>
  </w:style>
  <w:style w:type="paragraph" w:customStyle="1" w:styleId="Figure">
    <w:name w:val="Figure"/>
    <w:next w:val="Normal"/>
    <w:qFormat/>
    <w:rsid w:val="00962CF2"/>
    <w:pPr>
      <w:keepNext/>
      <w:keepLines/>
      <w:spacing w:before="120" w:after="0" w:line="240" w:lineRule="auto"/>
      <w:jc w:val="center"/>
    </w:pPr>
    <w:rPr>
      <w:rFonts w:ascii="Times New Roman" w:eastAsia="Times New Roman" w:hAnsi="Times New Roman" w:cs="Times New Roman"/>
      <w:sz w:val="24"/>
      <w:szCs w:val="20"/>
    </w:rPr>
  </w:style>
  <w:style w:type="character" w:customStyle="1" w:styleId="UnresolvedMention3">
    <w:name w:val="Unresolved Mention3"/>
    <w:basedOn w:val="DefaultParagraphFont"/>
    <w:uiPriority w:val="99"/>
    <w:semiHidden/>
    <w:unhideWhenUsed/>
    <w:rsid w:val="00DA69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426973">
      <w:bodyDiv w:val="1"/>
      <w:marLeft w:val="0"/>
      <w:marRight w:val="0"/>
      <w:marTop w:val="0"/>
      <w:marBottom w:val="0"/>
      <w:divBdr>
        <w:top w:val="none" w:sz="0" w:space="0" w:color="auto"/>
        <w:left w:val="none" w:sz="0" w:space="0" w:color="auto"/>
        <w:bottom w:val="none" w:sz="0" w:space="0" w:color="auto"/>
        <w:right w:val="none" w:sz="0" w:space="0" w:color="auto"/>
      </w:divBdr>
    </w:div>
    <w:div w:id="500700124">
      <w:bodyDiv w:val="1"/>
      <w:marLeft w:val="0"/>
      <w:marRight w:val="0"/>
      <w:marTop w:val="0"/>
      <w:marBottom w:val="0"/>
      <w:divBdr>
        <w:top w:val="none" w:sz="0" w:space="0" w:color="auto"/>
        <w:left w:val="none" w:sz="0" w:space="0" w:color="auto"/>
        <w:bottom w:val="none" w:sz="0" w:space="0" w:color="auto"/>
        <w:right w:val="none" w:sz="0" w:space="0" w:color="auto"/>
      </w:divBdr>
    </w:div>
    <w:div w:id="504169966">
      <w:bodyDiv w:val="1"/>
      <w:marLeft w:val="0"/>
      <w:marRight w:val="0"/>
      <w:marTop w:val="0"/>
      <w:marBottom w:val="0"/>
      <w:divBdr>
        <w:top w:val="none" w:sz="0" w:space="0" w:color="auto"/>
        <w:left w:val="none" w:sz="0" w:space="0" w:color="auto"/>
        <w:bottom w:val="none" w:sz="0" w:space="0" w:color="auto"/>
        <w:right w:val="none" w:sz="0" w:space="0" w:color="auto"/>
      </w:divBdr>
    </w:div>
    <w:div w:id="513033453">
      <w:bodyDiv w:val="1"/>
      <w:marLeft w:val="0"/>
      <w:marRight w:val="0"/>
      <w:marTop w:val="0"/>
      <w:marBottom w:val="0"/>
      <w:divBdr>
        <w:top w:val="none" w:sz="0" w:space="0" w:color="auto"/>
        <w:left w:val="none" w:sz="0" w:space="0" w:color="auto"/>
        <w:bottom w:val="none" w:sz="0" w:space="0" w:color="auto"/>
        <w:right w:val="none" w:sz="0" w:space="0" w:color="auto"/>
      </w:divBdr>
    </w:div>
    <w:div w:id="524174870">
      <w:bodyDiv w:val="1"/>
      <w:marLeft w:val="0"/>
      <w:marRight w:val="0"/>
      <w:marTop w:val="0"/>
      <w:marBottom w:val="0"/>
      <w:divBdr>
        <w:top w:val="none" w:sz="0" w:space="0" w:color="auto"/>
        <w:left w:val="none" w:sz="0" w:space="0" w:color="auto"/>
        <w:bottom w:val="none" w:sz="0" w:space="0" w:color="auto"/>
        <w:right w:val="none" w:sz="0" w:space="0" w:color="auto"/>
      </w:divBdr>
    </w:div>
    <w:div w:id="654920987">
      <w:bodyDiv w:val="1"/>
      <w:marLeft w:val="0"/>
      <w:marRight w:val="0"/>
      <w:marTop w:val="0"/>
      <w:marBottom w:val="0"/>
      <w:divBdr>
        <w:top w:val="none" w:sz="0" w:space="0" w:color="auto"/>
        <w:left w:val="none" w:sz="0" w:space="0" w:color="auto"/>
        <w:bottom w:val="none" w:sz="0" w:space="0" w:color="auto"/>
        <w:right w:val="none" w:sz="0" w:space="0" w:color="auto"/>
      </w:divBdr>
    </w:div>
    <w:div w:id="804469394">
      <w:bodyDiv w:val="1"/>
      <w:marLeft w:val="0"/>
      <w:marRight w:val="0"/>
      <w:marTop w:val="0"/>
      <w:marBottom w:val="0"/>
      <w:divBdr>
        <w:top w:val="none" w:sz="0" w:space="0" w:color="auto"/>
        <w:left w:val="none" w:sz="0" w:space="0" w:color="auto"/>
        <w:bottom w:val="none" w:sz="0" w:space="0" w:color="auto"/>
        <w:right w:val="none" w:sz="0" w:space="0" w:color="auto"/>
      </w:divBdr>
    </w:div>
    <w:div w:id="922689385">
      <w:bodyDiv w:val="1"/>
      <w:marLeft w:val="0"/>
      <w:marRight w:val="0"/>
      <w:marTop w:val="0"/>
      <w:marBottom w:val="0"/>
      <w:divBdr>
        <w:top w:val="none" w:sz="0" w:space="0" w:color="auto"/>
        <w:left w:val="none" w:sz="0" w:space="0" w:color="auto"/>
        <w:bottom w:val="none" w:sz="0" w:space="0" w:color="auto"/>
        <w:right w:val="none" w:sz="0" w:space="0" w:color="auto"/>
      </w:divBdr>
    </w:div>
    <w:div w:id="1029454455">
      <w:bodyDiv w:val="1"/>
      <w:marLeft w:val="0"/>
      <w:marRight w:val="0"/>
      <w:marTop w:val="0"/>
      <w:marBottom w:val="0"/>
      <w:divBdr>
        <w:top w:val="none" w:sz="0" w:space="0" w:color="auto"/>
        <w:left w:val="none" w:sz="0" w:space="0" w:color="auto"/>
        <w:bottom w:val="none" w:sz="0" w:space="0" w:color="auto"/>
        <w:right w:val="none" w:sz="0" w:space="0" w:color="auto"/>
      </w:divBdr>
    </w:div>
    <w:div w:id="1089429052">
      <w:bodyDiv w:val="1"/>
      <w:marLeft w:val="0"/>
      <w:marRight w:val="0"/>
      <w:marTop w:val="0"/>
      <w:marBottom w:val="0"/>
      <w:divBdr>
        <w:top w:val="none" w:sz="0" w:space="0" w:color="auto"/>
        <w:left w:val="none" w:sz="0" w:space="0" w:color="auto"/>
        <w:bottom w:val="none" w:sz="0" w:space="0" w:color="auto"/>
        <w:right w:val="none" w:sz="0" w:space="0" w:color="auto"/>
      </w:divBdr>
    </w:div>
    <w:div w:id="1292053681">
      <w:bodyDiv w:val="1"/>
      <w:marLeft w:val="0"/>
      <w:marRight w:val="0"/>
      <w:marTop w:val="0"/>
      <w:marBottom w:val="0"/>
      <w:divBdr>
        <w:top w:val="none" w:sz="0" w:space="0" w:color="auto"/>
        <w:left w:val="none" w:sz="0" w:space="0" w:color="auto"/>
        <w:bottom w:val="none" w:sz="0" w:space="0" w:color="auto"/>
        <w:right w:val="none" w:sz="0" w:space="0" w:color="auto"/>
      </w:divBdr>
    </w:div>
    <w:div w:id="1300962108">
      <w:bodyDiv w:val="1"/>
      <w:marLeft w:val="0"/>
      <w:marRight w:val="0"/>
      <w:marTop w:val="0"/>
      <w:marBottom w:val="0"/>
      <w:divBdr>
        <w:top w:val="none" w:sz="0" w:space="0" w:color="auto"/>
        <w:left w:val="none" w:sz="0" w:space="0" w:color="auto"/>
        <w:bottom w:val="none" w:sz="0" w:space="0" w:color="auto"/>
        <w:right w:val="none" w:sz="0" w:space="0" w:color="auto"/>
      </w:divBdr>
    </w:div>
    <w:div w:id="1390809924">
      <w:bodyDiv w:val="1"/>
      <w:marLeft w:val="0"/>
      <w:marRight w:val="0"/>
      <w:marTop w:val="0"/>
      <w:marBottom w:val="0"/>
      <w:divBdr>
        <w:top w:val="none" w:sz="0" w:space="0" w:color="auto"/>
        <w:left w:val="none" w:sz="0" w:space="0" w:color="auto"/>
        <w:bottom w:val="none" w:sz="0" w:space="0" w:color="auto"/>
        <w:right w:val="none" w:sz="0" w:space="0" w:color="auto"/>
      </w:divBdr>
    </w:div>
    <w:div w:id="1403719869">
      <w:bodyDiv w:val="1"/>
      <w:marLeft w:val="0"/>
      <w:marRight w:val="0"/>
      <w:marTop w:val="0"/>
      <w:marBottom w:val="0"/>
      <w:divBdr>
        <w:top w:val="none" w:sz="0" w:space="0" w:color="auto"/>
        <w:left w:val="none" w:sz="0" w:space="0" w:color="auto"/>
        <w:bottom w:val="none" w:sz="0" w:space="0" w:color="auto"/>
        <w:right w:val="none" w:sz="0" w:space="0" w:color="auto"/>
      </w:divBdr>
    </w:div>
    <w:div w:id="1499614705">
      <w:bodyDiv w:val="1"/>
      <w:marLeft w:val="0"/>
      <w:marRight w:val="0"/>
      <w:marTop w:val="0"/>
      <w:marBottom w:val="0"/>
      <w:divBdr>
        <w:top w:val="none" w:sz="0" w:space="0" w:color="auto"/>
        <w:left w:val="none" w:sz="0" w:space="0" w:color="auto"/>
        <w:bottom w:val="none" w:sz="0" w:space="0" w:color="auto"/>
        <w:right w:val="none" w:sz="0" w:space="0" w:color="auto"/>
      </w:divBdr>
    </w:div>
    <w:div w:id="1507555652">
      <w:bodyDiv w:val="1"/>
      <w:marLeft w:val="0"/>
      <w:marRight w:val="0"/>
      <w:marTop w:val="0"/>
      <w:marBottom w:val="0"/>
      <w:divBdr>
        <w:top w:val="none" w:sz="0" w:space="0" w:color="auto"/>
        <w:left w:val="none" w:sz="0" w:space="0" w:color="auto"/>
        <w:bottom w:val="none" w:sz="0" w:space="0" w:color="auto"/>
        <w:right w:val="none" w:sz="0" w:space="0" w:color="auto"/>
      </w:divBdr>
    </w:div>
    <w:div w:id="1533374266">
      <w:bodyDiv w:val="1"/>
      <w:marLeft w:val="0"/>
      <w:marRight w:val="0"/>
      <w:marTop w:val="0"/>
      <w:marBottom w:val="0"/>
      <w:divBdr>
        <w:top w:val="none" w:sz="0" w:space="0" w:color="auto"/>
        <w:left w:val="none" w:sz="0" w:space="0" w:color="auto"/>
        <w:bottom w:val="none" w:sz="0" w:space="0" w:color="auto"/>
        <w:right w:val="none" w:sz="0" w:space="0" w:color="auto"/>
      </w:divBdr>
    </w:div>
    <w:div w:id="1806702963">
      <w:bodyDiv w:val="1"/>
      <w:marLeft w:val="0"/>
      <w:marRight w:val="0"/>
      <w:marTop w:val="0"/>
      <w:marBottom w:val="0"/>
      <w:divBdr>
        <w:top w:val="none" w:sz="0" w:space="0" w:color="auto"/>
        <w:left w:val="none" w:sz="0" w:space="0" w:color="auto"/>
        <w:bottom w:val="none" w:sz="0" w:space="0" w:color="auto"/>
        <w:right w:val="none" w:sz="0" w:space="0" w:color="auto"/>
      </w:divBdr>
    </w:div>
    <w:div w:id="1863393689">
      <w:bodyDiv w:val="1"/>
      <w:marLeft w:val="0"/>
      <w:marRight w:val="0"/>
      <w:marTop w:val="0"/>
      <w:marBottom w:val="0"/>
      <w:divBdr>
        <w:top w:val="none" w:sz="0" w:space="0" w:color="auto"/>
        <w:left w:val="none" w:sz="0" w:space="0" w:color="auto"/>
        <w:bottom w:val="none" w:sz="0" w:space="0" w:color="auto"/>
        <w:right w:val="none" w:sz="0" w:space="0" w:color="auto"/>
      </w:divBdr>
    </w:div>
    <w:div w:id="212888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2.png"/><Relationship Id="rId26" Type="http://schemas.openxmlformats.org/officeDocument/2006/relationships/hyperlink" Target="https://www.hhs.gov/ash/oah/sites/default/files/ash/oah/oah-initiatives/evaluation/grantee-led-evaluation/reports/hennepin-final-report.pdf"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bls.gov/oes/current/oes_nat.htm" TargetMode="External"/><Relationship Id="rId34" Type="http://schemas.openxmlformats.org/officeDocument/2006/relationships/hyperlink" Target="https://doi.org/10.1080/0092623x.2010.488113"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1.png"/><Relationship Id="rId25" Type="http://schemas.openxmlformats.org/officeDocument/2006/relationships/hyperlink" Target="https://www.acf.hhs.gov/sites/default/files/fysb/prep-making-adaptations-ts.pdf" TargetMode="External"/><Relationship Id="rId33" Type="http://schemas.openxmlformats.org/officeDocument/2006/relationships/hyperlink" Target="https://doi.org/10.2105/ajph.2016.303438"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29" Type="http://schemas.openxmlformats.org/officeDocument/2006/relationships/hyperlink" Target="https://doi.org/10.1177/2158244012442938"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doi.org/10.1111/josh.12429" TargetMode="External"/><Relationship Id="rId32" Type="http://schemas.openxmlformats.org/officeDocument/2006/relationships/hyperlink" Target="https://tppevidencereview.aspe.hhs.gov/pdfs/rb_TPP_QED.pdf" TargetMode="External"/><Relationship Id="rId37" Type="http://schemas.openxmlformats.org/officeDocument/2006/relationships/hyperlink" Target="https://doi.org/10.5993/ajhb.32.1.6"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doi.org/10.2105/AJPH.2016.303383" TargetMode="External"/><Relationship Id="rId28" Type="http://schemas.openxmlformats.org/officeDocument/2006/relationships/hyperlink" Target="https://doi.org/10.1525/srsp.2008.5.3.18" TargetMode="External"/><Relationship Id="rId36" Type="http://schemas.openxmlformats.org/officeDocument/2006/relationships/hyperlink" Target="https://cire.mathematica-mpr.com/~/media/publications/pdfs/statisticalpower.pdf" TargetMode="External"/><Relationship Id="rId10" Type="http://schemas.openxmlformats.org/officeDocument/2006/relationships/settings" Target="settings.xml"/><Relationship Id="rId19" Type="http://schemas.openxmlformats.org/officeDocument/2006/relationships/hyperlink" Target="https://studentprivacy.ed.gov/topic/protection-pupil-rights-amendment-ppra" TargetMode="External"/><Relationship Id="rId31" Type="http://schemas.openxmlformats.org/officeDocument/2006/relationships/hyperlink" Target="https://www.hhs.gov/ash/oah/sites/default/files/contamination-bias-and-clustering-brief.pdf"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hyperlink" Target="http://dx.doi.org/10.5993/AJHB.29.5.5" TargetMode="External"/><Relationship Id="rId27" Type="http://schemas.openxmlformats.org/officeDocument/2006/relationships/hyperlink" Target="https://doi.org/10.1001/archpediatrics.2009.267" TargetMode="External"/><Relationship Id="rId30" Type="http://schemas.openxmlformats.org/officeDocument/2006/relationships/hyperlink" Target="https://doi.org.10.1016/j.jadohealth.2011.07.010%20" TargetMode="External"/><Relationship Id="rId35" Type="http://schemas.openxmlformats.org/officeDocument/2006/relationships/hyperlink" Target="https://journals.sagepub.com/doi/abs/10.3102/1076998607302714"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cire.mathematica-mpr.com/~/media/publications/pdfs/statisticalpower.pdf" TargetMode="External"/><Relationship Id="rId2" Type="http://schemas.openxmlformats.org/officeDocument/2006/relationships/hyperlink" Target="https://www.acf.hhs.gov/sites/default/files/fysb/prep-making-adaptations-ts.pdf" TargetMode="External"/><Relationship Id="rId1" Type="http://schemas.openxmlformats.org/officeDocument/2006/relationships/hyperlink" Target="https://www.myrelationshipcenter.org/getmedia/dbed93af-9424-4009-8f1f-8495b4aba8b4/SMARTool-Curricula.pdf.aspx" TargetMode="External"/><Relationship Id="rId4" Type="http://schemas.openxmlformats.org/officeDocument/2006/relationships/hyperlink" Target="https://journals.sagepub.com/doi/abs/10.3102/1076998607302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ITRE Work" ma:contentTypeID="0x010100823A99C636F7423283FB0D200866C613006ED3B74A13063A4B98690C998E03D10D" ma:contentTypeVersion="3" ma:contentTypeDescription="Materials and documents that contain MITRE authored content and other content directly attributable to MITRE and its work" ma:contentTypeScope="" ma:versionID="af2a94c35247a31be376d80ec2141c2d">
  <xsd:schema xmlns:xsd="http://www.w3.org/2001/XMLSchema" xmlns:xs="http://www.w3.org/2001/XMLSchema" xmlns:p="http://schemas.microsoft.com/office/2006/metadata/properties" xmlns:ns1="http://schemas.microsoft.com/sharepoint/v3" xmlns:ns2="http://schemas.microsoft.com/sharepoint/v3/fields" xmlns:ns3="b6497300-a5de-4661-8d1e-9f21fbdf68e3" xmlns:ns4="http://schemas.microsoft.com/sharepoint/v4" targetNamespace="http://schemas.microsoft.com/office/2006/metadata/properties" ma:root="true" ma:fieldsID="81d681f7109cd60cd5e7839a6449d8af" ns1:_="" ns2:_="" ns3:_="" ns4:_="">
    <xsd:import namespace="http://schemas.microsoft.com/sharepoint/v3"/>
    <xsd:import namespace="http://schemas.microsoft.com/sharepoint/v3/fields"/>
    <xsd:import namespace="b6497300-a5de-4661-8d1e-9f21fbdf68e3"/>
    <xsd:import namespace="http://schemas.microsoft.com/sharepoint/v4"/>
    <xsd:element name="properties">
      <xsd:complexType>
        <xsd:sequence>
          <xsd:element name="documentManagement">
            <xsd:complexType>
              <xsd:all>
                <xsd:element ref="ns2:_Contributor" minOccurs="0"/>
                <xsd:element ref="ns1:MITRE_x0020_Sensitivity"/>
                <xsd:element ref="ns1:Release_x0020_Statement"/>
                <xsd:element ref="ns3:SharedWithUser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MITRE_x0020_Sensitivity" ma:index="10" ma:displayName="Sensitivity" ma:default="Internal MITRE Information" ma:internalName="MITRE_x0020_Sensitivity">
      <xsd:simpleType>
        <xsd:restriction base="dms:Choice">
          <xsd:enumeration value="Public Information"/>
          <xsd:enumeration value="Internal MITRE Information"/>
          <xsd:enumeration value="Sensitive Information"/>
          <xsd:enumeration value="Highly Sensitive Information"/>
        </xsd:restriction>
      </xsd:simpleType>
    </xsd:element>
    <xsd:element name="Release_x0020_Statement" ma:index="11" ma:displayName="Release Statement" ma:default="For Internal MITRE Use" ma:internalName="Release_x0020_Statement">
      <xsd:simpleType>
        <xsd:union memberTypes="dms:Text">
          <xsd:simpleType>
            <xsd:restriction base="dms:Choice">
              <xsd:enumeration value="Approved for Public Release"/>
              <xsd:enumeration value="For Internal MITRE Use"/>
              <xsd:enumeration value="For Release to All Sponsors"/>
              <xsd:enumeration value="For Limited Internal MITRE Use"/>
              <xsd:enumeration value="For Limited External Release"/>
              <xsd:enumeration value="Privileged: Sensitive Personal Information"/>
              <xsd:enumeration value="MITRE Proprietary"/>
              <xsd:enumeration value="Source Selection Sensitive"/>
              <xsd:enumeration value="Restricted: Highly Sensitive Personal Inform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9" nillable="true" ma:displayName="Contributor" ma:description="One or more people or organizations that contributed to this resource" ma:internalName="_Contributo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497300-a5de-4661-8d1e-9f21fbdf68e3"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Contributor xmlns="http://schemas.microsoft.com/sharepoint/v3/fields" xsi:nil="true"/>
    <MITRE_x0020_Sensitivity xmlns="http://schemas.microsoft.com/sharepoint/v3">Internal MITRE Information</MITRE_x0020_Sensitivity>
    <IconOverlay xmlns="http://schemas.microsoft.com/sharepoint/v4" xsi:nil="true"/>
    <Release_x0020_Statement xmlns="http://schemas.microsoft.com/sharepoint/v3">For Internal MITRE Use</Release_x0020_Statement>
  </documentManagement>
</p:properties>
</file>

<file path=customXml/item4.xml><?xml version="1.0" encoding="utf-8"?>
<ct:contentTypeSchema xmlns:ct="http://schemas.microsoft.com/office/2006/metadata/contentType" xmlns:ma="http://schemas.microsoft.com/office/2006/metadata/properties/metaAttributes" ct:_="" ma:_="" ma:contentTypeName="MITRE Work" ma:contentTypeID="0x010100823A99C636F7423283FB0D200866C613006ED3B74A13063A4B98690C998E03D10D" ma:contentTypeVersion="3" ma:contentTypeDescription="Materials and documents that contain MITRE authored content and other content directly attributable to MITRE and its work" ma:contentTypeScope="" ma:versionID="af2a94c35247a31be376d80ec2141c2d">
  <xsd:schema xmlns:xsd="http://www.w3.org/2001/XMLSchema" xmlns:xs="http://www.w3.org/2001/XMLSchema" xmlns:p="http://schemas.microsoft.com/office/2006/metadata/properties" xmlns:ns1="http://schemas.microsoft.com/sharepoint/v3" xmlns:ns2="http://schemas.microsoft.com/sharepoint/v3/fields" xmlns:ns3="b6497300-a5de-4661-8d1e-9f21fbdf68e3" xmlns:ns4="http://schemas.microsoft.com/sharepoint/v4" targetNamespace="http://schemas.microsoft.com/office/2006/metadata/properties" ma:root="true" ma:fieldsID="81d681f7109cd60cd5e7839a6449d8af" ns1:_="" ns2:_="" ns3:_="" ns4:_="">
    <xsd:import namespace="http://schemas.microsoft.com/sharepoint/v3"/>
    <xsd:import namespace="http://schemas.microsoft.com/sharepoint/v3/fields"/>
    <xsd:import namespace="b6497300-a5de-4661-8d1e-9f21fbdf68e3"/>
    <xsd:import namespace="http://schemas.microsoft.com/sharepoint/v4"/>
    <xsd:element name="properties">
      <xsd:complexType>
        <xsd:sequence>
          <xsd:element name="documentManagement">
            <xsd:complexType>
              <xsd:all>
                <xsd:element ref="ns2:_Contributor" minOccurs="0"/>
                <xsd:element ref="ns1:MITRE_x0020_Sensitivity"/>
                <xsd:element ref="ns1:Release_x0020_Statement"/>
                <xsd:element ref="ns3:SharedWithUser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MITRE_x0020_Sensitivity" ma:index="10" ma:displayName="Sensitivity" ma:default="Internal MITRE Information" ma:internalName="MITRE_x0020_Sensitivity">
      <xsd:simpleType>
        <xsd:restriction base="dms:Choice">
          <xsd:enumeration value="Public Information"/>
          <xsd:enumeration value="Internal MITRE Information"/>
          <xsd:enumeration value="Sensitive Information"/>
          <xsd:enumeration value="Highly Sensitive Information"/>
        </xsd:restriction>
      </xsd:simpleType>
    </xsd:element>
    <xsd:element name="Release_x0020_Statement" ma:index="11" ma:displayName="Release Statement" ma:default="For Internal MITRE Use" ma:internalName="Release_x0020_Statement">
      <xsd:simpleType>
        <xsd:union memberTypes="dms:Text">
          <xsd:simpleType>
            <xsd:restriction base="dms:Choice">
              <xsd:enumeration value="Approved for Public Release"/>
              <xsd:enumeration value="For Internal MITRE Use"/>
              <xsd:enumeration value="For Release to All Sponsors"/>
              <xsd:enumeration value="For Limited Internal MITRE Use"/>
              <xsd:enumeration value="For Limited External Release"/>
              <xsd:enumeration value="Privileged: Sensitive Personal Information"/>
              <xsd:enumeration value="MITRE Proprietary"/>
              <xsd:enumeration value="Source Selection Sensitive"/>
              <xsd:enumeration value="Restricted: Highly Sensitive Personal Inform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9" nillable="true" ma:displayName="Contributor" ma:description="One or more people or organizations that contributed to this resource" ma:internalName="_Contributo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497300-a5de-4661-8d1e-9f21fbdf68e3"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True</openByDefault>
  <xsnScope/>
</customXsn>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5D12C-9B12-4913-8ADD-A9D7258ED873}">
  <ds:schemaRefs>
    <ds:schemaRef ds:uri="http://schemas.microsoft.com/sharepoint/v3/contenttype/forms"/>
  </ds:schemaRefs>
</ds:datastoreItem>
</file>

<file path=customXml/itemProps2.xml><?xml version="1.0" encoding="utf-8"?>
<ds:datastoreItem xmlns:ds="http://schemas.openxmlformats.org/officeDocument/2006/customXml" ds:itemID="{3E89C3B0-1ECA-4E39-AC47-AB3F7962F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b6497300-a5de-4661-8d1e-9f21fbdf68e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DC7197-DB56-4797-976F-FF2FEC5F5CE5}">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sharepoint/v4"/>
    <ds:schemaRef ds:uri="http://schemas.microsoft.com/sharepoint/v3"/>
    <ds:schemaRef ds:uri="http://schemas.microsoft.com/office/2006/documentManagement/types"/>
    <ds:schemaRef ds:uri="http://purl.org/dc/terms/"/>
    <ds:schemaRef ds:uri="b6497300-a5de-4661-8d1e-9f21fbdf68e3"/>
    <ds:schemaRef ds:uri="http://schemas.microsoft.com/sharepoint/v3/fields"/>
    <ds:schemaRef ds:uri="http://www.w3.org/XML/1998/namespace"/>
  </ds:schemaRefs>
</ds:datastoreItem>
</file>

<file path=customXml/itemProps4.xml><?xml version="1.0" encoding="utf-8"?>
<ds:datastoreItem xmlns:ds="http://schemas.openxmlformats.org/officeDocument/2006/customXml" ds:itemID="{3BC95902-F4FF-4B37-A05A-39E61BAF3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b6497300-a5de-4661-8d1e-9f21fbdf68e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6929EFA-B0A6-4B6F-B287-339CA1BAB1CF}">
  <ds:schemaRefs>
    <ds:schemaRef ds:uri="http://schemas.microsoft.com/office/2006/metadata/customXsn"/>
  </ds:schemaRefs>
</ds:datastoreItem>
</file>

<file path=customXml/itemProps6.xml><?xml version="1.0" encoding="utf-8"?>
<ds:datastoreItem xmlns:ds="http://schemas.openxmlformats.org/officeDocument/2006/customXml" ds:itemID="{42293187-DD98-404A-81C3-B8991F254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7938</Words>
  <Characters>45249</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53081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Bernstein, Shampa</dc:creator>
  <cp:keywords/>
  <dc:description/>
  <cp:lastModifiedBy>SYSTEM</cp:lastModifiedBy>
  <cp:revision>2</cp:revision>
  <cp:lastPrinted>2019-06-18T15:42:00Z</cp:lastPrinted>
  <dcterms:created xsi:type="dcterms:W3CDTF">2019-06-18T16:22:00Z</dcterms:created>
  <dcterms:modified xsi:type="dcterms:W3CDTF">2019-06-18T16:22:00Z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0x010100823A99C636F7423283FB0D200866C613006ED3B74A13063A4B98690C998E03D10D</vt:lpwstr>
  </property>
  <property fmtid="{D5CDD505-2E9C-101B-9397-08002B2CF9AE}" pid="3" name="TaxKeyword">
    <vt:lpwstr/>
  </property>
</Properties>
</file>