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B4B66" w14:textId="2F8FC52E" w:rsidR="00021450" w:rsidRDefault="00021450" w:rsidP="00021450">
      <w:pPr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Request for Nonmaterial/N</w:t>
      </w:r>
      <w:r w:rsidR="00782E0A" w:rsidRPr="000C5EF1">
        <w:rPr>
          <w:b/>
          <w:color w:val="000000"/>
        </w:rPr>
        <w:t xml:space="preserve">on-substantive change  </w:t>
      </w:r>
    </w:p>
    <w:p w14:paraId="28E101F3" w14:textId="77777777" w:rsidR="00AE3638" w:rsidRDefault="00AE3638" w:rsidP="000C6D41">
      <w:pPr>
        <w:jc w:val="center"/>
        <w:rPr>
          <w:b/>
        </w:rPr>
      </w:pPr>
      <w:r w:rsidRPr="00AE3638">
        <w:rPr>
          <w:b/>
        </w:rPr>
        <w:t xml:space="preserve">Survey of Surveillance Records of </w:t>
      </w:r>
      <w:r w:rsidRPr="00AE3638">
        <w:rPr>
          <w:b/>
          <w:i/>
        </w:rPr>
        <w:t>Aedes aegypti</w:t>
      </w:r>
      <w:r w:rsidRPr="00AE3638">
        <w:rPr>
          <w:b/>
        </w:rPr>
        <w:t xml:space="preserve"> and </w:t>
      </w:r>
      <w:r w:rsidRPr="00AE3638">
        <w:rPr>
          <w:b/>
          <w:i/>
        </w:rPr>
        <w:t>Aedes albopictus</w:t>
      </w:r>
      <w:r w:rsidRPr="00AE3638">
        <w:rPr>
          <w:b/>
        </w:rPr>
        <w:t xml:space="preserve"> from 1960 to Present </w:t>
      </w:r>
    </w:p>
    <w:p w14:paraId="17BD49BA" w14:textId="77777777" w:rsidR="00263CEB" w:rsidRDefault="00263CEB" w:rsidP="000C6D41">
      <w:pPr>
        <w:jc w:val="center"/>
        <w:rPr>
          <w:b/>
        </w:rPr>
      </w:pPr>
    </w:p>
    <w:p w14:paraId="68EE35B2" w14:textId="0FCF1DF7" w:rsidR="000C6D41" w:rsidRDefault="00AE3638" w:rsidP="000C6D41">
      <w:pPr>
        <w:jc w:val="center"/>
        <w:rPr>
          <w:b/>
        </w:rPr>
      </w:pPr>
      <w:r>
        <w:rPr>
          <w:b/>
        </w:rPr>
        <w:t>(OMB Control No. 0920-1146</w:t>
      </w:r>
      <w:r w:rsidR="000C6D41" w:rsidRPr="00285FD5">
        <w:rPr>
          <w:b/>
        </w:rPr>
        <w:t>)</w:t>
      </w:r>
    </w:p>
    <w:p w14:paraId="7C1B718C" w14:textId="77777777" w:rsidR="00263CEB" w:rsidRDefault="00263CEB" w:rsidP="000C6D41">
      <w:pPr>
        <w:jc w:val="center"/>
        <w:rPr>
          <w:b/>
        </w:rPr>
      </w:pPr>
    </w:p>
    <w:p w14:paraId="158EEA6C" w14:textId="5719014E" w:rsidR="000C6D41" w:rsidRPr="00285FD5" w:rsidRDefault="000C6D41" w:rsidP="000C6D41">
      <w:pPr>
        <w:jc w:val="center"/>
        <w:rPr>
          <w:b/>
        </w:rPr>
      </w:pPr>
      <w:r>
        <w:rPr>
          <w:b/>
        </w:rPr>
        <w:t xml:space="preserve">Expires </w:t>
      </w:r>
      <w:r w:rsidR="00263CEB">
        <w:rPr>
          <w:b/>
        </w:rPr>
        <w:t>08</w:t>
      </w:r>
      <w:r w:rsidRPr="002A7FA7">
        <w:rPr>
          <w:b/>
        </w:rPr>
        <w:t>/</w:t>
      </w:r>
      <w:r w:rsidR="00263CEB">
        <w:rPr>
          <w:b/>
        </w:rPr>
        <w:t>31</w:t>
      </w:r>
      <w:r w:rsidRPr="002A7FA7">
        <w:rPr>
          <w:b/>
        </w:rPr>
        <w:t>/</w:t>
      </w:r>
      <w:r w:rsidR="00263CEB" w:rsidRPr="002A7FA7">
        <w:rPr>
          <w:b/>
        </w:rPr>
        <w:t>20</w:t>
      </w:r>
      <w:r w:rsidR="00263CEB">
        <w:rPr>
          <w:b/>
        </w:rPr>
        <w:t>20</w:t>
      </w:r>
    </w:p>
    <w:p w14:paraId="2A58DA3B" w14:textId="77777777" w:rsidR="00021450" w:rsidRDefault="00021450" w:rsidP="00021450">
      <w:pPr>
        <w:rPr>
          <w:rFonts w:eastAsiaTheme="minorEastAsia"/>
          <w:b/>
        </w:rPr>
      </w:pPr>
    </w:p>
    <w:p w14:paraId="2DB8D69C" w14:textId="77777777" w:rsidR="00021450" w:rsidRDefault="00021450" w:rsidP="00021450">
      <w:pPr>
        <w:rPr>
          <w:b/>
        </w:rPr>
      </w:pPr>
    </w:p>
    <w:p w14:paraId="6346D96D" w14:textId="77777777" w:rsidR="00987051" w:rsidRPr="000C5EF1" w:rsidRDefault="00987051" w:rsidP="00782E0A">
      <w:pPr>
        <w:rPr>
          <w:b/>
        </w:rPr>
      </w:pPr>
    </w:p>
    <w:p w14:paraId="30102841" w14:textId="77777777" w:rsidR="00782E0A" w:rsidRPr="000C5EF1" w:rsidRDefault="00782E0A" w:rsidP="00782E0A">
      <w:pPr>
        <w:rPr>
          <w:b/>
        </w:rPr>
      </w:pPr>
    </w:p>
    <w:p w14:paraId="76E5108A" w14:textId="77777777" w:rsidR="00782E0A" w:rsidRPr="000C5EF1" w:rsidRDefault="00782E0A" w:rsidP="00782E0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/>
          <w:u w:val="single"/>
        </w:rPr>
      </w:pPr>
      <w:r w:rsidRPr="000C5EF1">
        <w:rPr>
          <w:b/>
          <w:u w:val="single"/>
        </w:rPr>
        <w:t>Program Contact</w:t>
      </w:r>
    </w:p>
    <w:p w14:paraId="4CB8708C" w14:textId="77777777" w:rsidR="00782E0A" w:rsidRPr="000C5EF1" w:rsidRDefault="00782E0A" w:rsidP="00782E0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</w:p>
    <w:p w14:paraId="0B454A9C" w14:textId="77777777" w:rsidR="00FF16CE" w:rsidRDefault="00FF16CE" w:rsidP="00FF16CE">
      <w:pPr>
        <w:pStyle w:val="NoSpacing"/>
      </w:pPr>
      <w:r>
        <w:t>Lee Samuel</w:t>
      </w:r>
    </w:p>
    <w:p w14:paraId="7C4BF5D8" w14:textId="77777777" w:rsidR="00FF16CE" w:rsidRDefault="00FF16CE" w:rsidP="00FF16CE">
      <w:pPr>
        <w:pStyle w:val="NoSpacing"/>
      </w:pPr>
      <w:r>
        <w:t xml:space="preserve">National Center for Emerging and Zoonotic Infectious Diseases </w:t>
      </w:r>
    </w:p>
    <w:p w14:paraId="092361FF" w14:textId="77777777" w:rsidR="00FF16CE" w:rsidRDefault="00FF16CE" w:rsidP="00FF16CE">
      <w:pPr>
        <w:pStyle w:val="NoSpacing"/>
      </w:pPr>
      <w:r>
        <w:t xml:space="preserve">Centers for Disease Control and Prevention </w:t>
      </w:r>
    </w:p>
    <w:p w14:paraId="2D73374C" w14:textId="77777777" w:rsidR="00FF16CE" w:rsidRDefault="00FF16CE" w:rsidP="00FF16CE">
      <w:pPr>
        <w:pStyle w:val="NoSpacing"/>
      </w:pPr>
      <w:r>
        <w:t xml:space="preserve">1600 Clifton Road, NE </w:t>
      </w:r>
    </w:p>
    <w:p w14:paraId="381D3946" w14:textId="5E6BF954" w:rsidR="00FF16CE" w:rsidRDefault="00FF16CE" w:rsidP="00FF16CE">
      <w:pPr>
        <w:pStyle w:val="NoSpacing"/>
      </w:pPr>
      <w:r>
        <w:t>Atlanta, Georgia 303</w:t>
      </w:r>
      <w:r w:rsidR="00676426">
        <w:t>29</w:t>
      </w:r>
      <w:r>
        <w:t xml:space="preserve"> </w:t>
      </w:r>
    </w:p>
    <w:p w14:paraId="542B0407" w14:textId="77777777" w:rsidR="00FF16CE" w:rsidRDefault="00FF16CE" w:rsidP="00FF16CE">
      <w:pPr>
        <w:pStyle w:val="NoSpacing"/>
      </w:pPr>
      <w:r>
        <w:t xml:space="preserve">Phone: (404) 718-1616 </w:t>
      </w:r>
    </w:p>
    <w:p w14:paraId="7D7C2226" w14:textId="114652F8" w:rsidR="00782E0A" w:rsidRPr="000C5EF1" w:rsidRDefault="00FF16CE" w:rsidP="00FF16CE">
      <w:pPr>
        <w:tabs>
          <w:tab w:val="center" w:pos="4680"/>
        </w:tabs>
        <w:autoSpaceDE w:val="0"/>
        <w:autoSpaceDN w:val="0"/>
        <w:adjustRightInd w:val="0"/>
        <w:rPr>
          <w:b/>
          <w:bCs/>
          <w:noProof/>
        </w:rPr>
      </w:pPr>
      <w:r>
        <w:t xml:space="preserve">Email: </w:t>
      </w:r>
      <w:hyperlink r:id="rId8" w:history="1">
        <w:r>
          <w:rPr>
            <w:rStyle w:val="Hyperlink"/>
          </w:rPr>
          <w:t>llj3@cdc.gov</w:t>
        </w:r>
      </w:hyperlink>
    </w:p>
    <w:p w14:paraId="1E3705A4" w14:textId="77777777" w:rsidR="00782E0A" w:rsidRPr="000C5EF1" w:rsidRDefault="00782E0A" w:rsidP="00782E0A">
      <w:pPr>
        <w:tabs>
          <w:tab w:val="center" w:pos="4680"/>
        </w:tabs>
        <w:autoSpaceDE w:val="0"/>
        <w:autoSpaceDN w:val="0"/>
        <w:adjustRightInd w:val="0"/>
        <w:rPr>
          <w:noProof/>
        </w:rPr>
      </w:pPr>
      <w:r w:rsidRPr="000C5EF1">
        <w:rPr>
          <w:noProof/>
        </w:rPr>
        <w:tab/>
      </w:r>
    </w:p>
    <w:p w14:paraId="3FE0258B" w14:textId="77777777" w:rsidR="00782E0A" w:rsidRPr="000C5EF1" w:rsidRDefault="00782E0A" w:rsidP="00782E0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u w:val="single"/>
        </w:rPr>
        <w:t xml:space="preserve"> </w:t>
      </w:r>
    </w:p>
    <w:p w14:paraId="150D0B7B" w14:textId="77777777" w:rsidR="00782E0A" w:rsidRPr="000C5EF1" w:rsidRDefault="00782E0A" w:rsidP="00782E0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14:paraId="307E3A30" w14:textId="6BD845ED" w:rsidR="00782E0A" w:rsidRPr="000C5EF1" w:rsidRDefault="00782E0A" w:rsidP="00782E0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b/>
        </w:rPr>
        <w:t>Submission Date:</w:t>
      </w:r>
      <w:r w:rsidRPr="000C5EF1">
        <w:t xml:space="preserve"> </w:t>
      </w:r>
      <w:r w:rsidR="00AE3638">
        <w:t>09/</w:t>
      </w:r>
      <w:r w:rsidR="00313705">
        <w:t>11</w:t>
      </w:r>
      <w:r w:rsidR="00925CF3">
        <w:t>/2018</w:t>
      </w:r>
    </w:p>
    <w:p w14:paraId="758B085E" w14:textId="77777777" w:rsidR="00DC57CC" w:rsidRPr="000C5EF1" w:rsidRDefault="00DC57CC"/>
    <w:p w14:paraId="71CD028B" w14:textId="77777777" w:rsidR="00782E0A" w:rsidRPr="000C5EF1" w:rsidRDefault="00782E0A"/>
    <w:p w14:paraId="60E78D33" w14:textId="77777777" w:rsidR="00782E0A" w:rsidRPr="000C5EF1" w:rsidRDefault="00782E0A"/>
    <w:p w14:paraId="2E20BD5D" w14:textId="77777777" w:rsidR="00782E0A" w:rsidRPr="000C5EF1" w:rsidRDefault="00782E0A"/>
    <w:p w14:paraId="390D587A" w14:textId="77777777" w:rsidR="00782E0A" w:rsidRPr="000C5EF1" w:rsidRDefault="00782E0A"/>
    <w:p w14:paraId="500802EE" w14:textId="77777777" w:rsidR="00782E0A" w:rsidRPr="000C5EF1" w:rsidRDefault="00782E0A"/>
    <w:p w14:paraId="5E6550A8" w14:textId="77777777" w:rsidR="00782E0A" w:rsidRPr="000C5EF1" w:rsidRDefault="00782E0A"/>
    <w:p w14:paraId="6FD421F5" w14:textId="77777777" w:rsidR="00782E0A" w:rsidRPr="000C5EF1" w:rsidRDefault="00782E0A"/>
    <w:p w14:paraId="3827A78B" w14:textId="77777777" w:rsidR="00782E0A" w:rsidRPr="000C5EF1" w:rsidRDefault="00782E0A"/>
    <w:p w14:paraId="64535CEE" w14:textId="77777777" w:rsidR="00782E0A" w:rsidRPr="000C5EF1" w:rsidRDefault="00782E0A"/>
    <w:p w14:paraId="6D2103B4" w14:textId="77777777" w:rsidR="00782E0A" w:rsidRPr="000C5EF1" w:rsidRDefault="00782E0A"/>
    <w:p w14:paraId="26980A27" w14:textId="77777777" w:rsidR="00782E0A" w:rsidRPr="000C5EF1" w:rsidRDefault="00782E0A"/>
    <w:p w14:paraId="31CA3417" w14:textId="77777777" w:rsidR="00782E0A" w:rsidRPr="000C5EF1" w:rsidRDefault="00782E0A"/>
    <w:p w14:paraId="353D197E" w14:textId="77777777" w:rsidR="00782E0A" w:rsidRPr="000C5EF1" w:rsidRDefault="00782E0A"/>
    <w:p w14:paraId="0407C707" w14:textId="77777777" w:rsidR="00782E0A" w:rsidRPr="000C5EF1" w:rsidRDefault="00782E0A"/>
    <w:p w14:paraId="396AF943" w14:textId="77777777" w:rsidR="00782E0A" w:rsidRPr="000C5EF1" w:rsidRDefault="00782E0A"/>
    <w:p w14:paraId="57E94F23" w14:textId="77777777" w:rsidR="00782E0A" w:rsidRPr="000C5EF1" w:rsidRDefault="00782E0A"/>
    <w:p w14:paraId="2C8DDCB7" w14:textId="77777777" w:rsidR="00782E0A" w:rsidRPr="000C5EF1" w:rsidRDefault="00782E0A"/>
    <w:p w14:paraId="59591AA4" w14:textId="77777777" w:rsidR="00782E0A" w:rsidRPr="000C5EF1" w:rsidRDefault="00782E0A"/>
    <w:p w14:paraId="4A5FEE54" w14:textId="77777777" w:rsidR="00782E0A" w:rsidRPr="000C5EF1" w:rsidRDefault="00782E0A"/>
    <w:p w14:paraId="5D46E3CE" w14:textId="77777777" w:rsidR="00782E0A" w:rsidRPr="000C5EF1" w:rsidRDefault="00782E0A"/>
    <w:p w14:paraId="039E4722" w14:textId="77777777" w:rsidR="00782E0A" w:rsidRDefault="00782E0A"/>
    <w:p w14:paraId="6A1B890A" w14:textId="77777777" w:rsidR="000C5EF1" w:rsidRDefault="000C5EF1"/>
    <w:p w14:paraId="3D652C7C" w14:textId="77777777" w:rsidR="000C5EF1" w:rsidRDefault="000C5EF1"/>
    <w:p w14:paraId="6D686171" w14:textId="77777777" w:rsidR="000C5EF1" w:rsidRPr="000C5EF1" w:rsidRDefault="000C5EF1"/>
    <w:p w14:paraId="3B6EF1E2" w14:textId="0CEFED7E" w:rsidR="00782E0A" w:rsidRPr="000C5EF1" w:rsidRDefault="00782E0A" w:rsidP="00782E0A">
      <w:pPr>
        <w:autoSpaceDE w:val="0"/>
        <w:autoSpaceDN w:val="0"/>
        <w:adjustRightInd w:val="0"/>
        <w:rPr>
          <w:color w:val="000000"/>
        </w:rPr>
      </w:pPr>
      <w:r w:rsidRPr="000C5EF1">
        <w:rPr>
          <w:b/>
          <w:color w:val="000000"/>
          <w:u w:val="single"/>
        </w:rPr>
        <w:lastRenderedPageBreak/>
        <w:t xml:space="preserve">Circumstances of </w:t>
      </w:r>
      <w:r w:rsidR="00B27555">
        <w:rPr>
          <w:b/>
          <w:color w:val="000000"/>
          <w:u w:val="single"/>
        </w:rPr>
        <w:t>C</w:t>
      </w:r>
      <w:r w:rsidR="005A3A7E">
        <w:rPr>
          <w:b/>
          <w:color w:val="000000"/>
          <w:u w:val="single"/>
        </w:rPr>
        <w:t xml:space="preserve">hange Request for OMB </w:t>
      </w:r>
      <w:r w:rsidR="00B91A4E" w:rsidRPr="00B91A4E">
        <w:rPr>
          <w:b/>
          <w:color w:val="000000"/>
          <w:u w:val="single"/>
        </w:rPr>
        <w:t>0920-1146</w:t>
      </w:r>
    </w:p>
    <w:p w14:paraId="2A42307D" w14:textId="77777777" w:rsidR="00782E0A" w:rsidRPr="000C5EF1" w:rsidRDefault="00782E0A"/>
    <w:p w14:paraId="682C2EF4" w14:textId="660C4C1A" w:rsidR="00177C07" w:rsidRDefault="00396256" w:rsidP="00177C07">
      <w:r>
        <w:t xml:space="preserve">The Centers for Disease Control and Prevention (CDC), Division of </w:t>
      </w:r>
      <w:r w:rsidR="00E7302B">
        <w:t xml:space="preserve">Vector-Borne Diseases (DVBD) </w:t>
      </w:r>
      <w:r>
        <w:t xml:space="preserve">requests a </w:t>
      </w:r>
      <w:r w:rsidR="003F17AA" w:rsidRPr="000C5EF1">
        <w:rPr>
          <w:bCs/>
        </w:rPr>
        <w:t>nonmaterial/non-substantive</w:t>
      </w:r>
      <w:r>
        <w:t xml:space="preserve"> </w:t>
      </w:r>
      <w:r w:rsidR="00BC50A3">
        <w:t xml:space="preserve">change to </w:t>
      </w:r>
      <w:r>
        <w:t>the currently approved Information Collection Request</w:t>
      </w:r>
      <w:r w:rsidR="00BC50A3">
        <w:t xml:space="preserve"> (ICR)</w:t>
      </w:r>
      <w:r>
        <w:t>: “</w:t>
      </w:r>
      <w:r w:rsidR="00B91A4E" w:rsidRPr="00B91A4E">
        <w:t xml:space="preserve">Survey of Surveillance Records of </w:t>
      </w:r>
      <w:r w:rsidR="00B91A4E" w:rsidRPr="00B91A4E">
        <w:rPr>
          <w:i/>
        </w:rPr>
        <w:t>Aedes aegypti</w:t>
      </w:r>
      <w:r w:rsidR="00B91A4E" w:rsidRPr="00B91A4E">
        <w:t xml:space="preserve"> and </w:t>
      </w:r>
      <w:r w:rsidR="00B91A4E" w:rsidRPr="00B91A4E">
        <w:rPr>
          <w:i/>
        </w:rPr>
        <w:t>Aedes albopictus</w:t>
      </w:r>
      <w:r w:rsidR="00B91A4E" w:rsidRPr="00B91A4E">
        <w:t xml:space="preserve"> from 1960 to Present</w:t>
      </w:r>
      <w:r w:rsidR="00676426">
        <w:t>”.</w:t>
      </w:r>
    </w:p>
    <w:p w14:paraId="552717CD" w14:textId="77777777" w:rsidR="00177C07" w:rsidRDefault="00177C07" w:rsidP="00177C07"/>
    <w:p w14:paraId="686F48E9" w14:textId="75EEAA6E" w:rsidR="0049047F" w:rsidRDefault="00021450" w:rsidP="00177C07">
      <w:r>
        <w:t xml:space="preserve">CDC </w:t>
      </w:r>
      <w:r w:rsidR="0095115A">
        <w:t>requests</w:t>
      </w:r>
      <w:r w:rsidR="00B91A4E">
        <w:t xml:space="preserve"> minor </w:t>
      </w:r>
      <w:r w:rsidR="00B91A4E" w:rsidRPr="00540CB8">
        <w:t>changes</w:t>
      </w:r>
      <w:r w:rsidR="0095115A" w:rsidRPr="00540CB8">
        <w:t xml:space="preserve"> to our approved </w:t>
      </w:r>
      <w:r w:rsidR="00BC50A3" w:rsidRPr="00540CB8">
        <w:t>ICR</w:t>
      </w:r>
      <w:r w:rsidR="0095115A" w:rsidRPr="00540CB8">
        <w:t xml:space="preserve"> that would increase</w:t>
      </w:r>
      <w:r w:rsidR="00B91A4E" w:rsidRPr="00540CB8">
        <w:t xml:space="preserve"> the number of</w:t>
      </w:r>
      <w:r w:rsidR="00426C9A" w:rsidRPr="00540CB8">
        <w:t xml:space="preserve"> MosquitoNET</w:t>
      </w:r>
      <w:r w:rsidR="00B91A4E" w:rsidRPr="00540CB8">
        <w:t xml:space="preserve"> respondents</w:t>
      </w:r>
      <w:r w:rsidR="0095115A" w:rsidRPr="00540CB8">
        <w:t xml:space="preserve"> from 64 to 94</w:t>
      </w:r>
      <w:r w:rsidR="00540CB8">
        <w:t xml:space="preserve">. </w:t>
      </w:r>
      <w:r w:rsidR="0049047F" w:rsidRPr="00540CB8">
        <w:t>The additional 30 respondents will be drawn from participants in the MosquitoNet focus group held in spring, 2018 (OMB approved 0920-1050). We will invite those participants that have expressed an interest in contributing local surveillance data.</w:t>
      </w:r>
    </w:p>
    <w:p w14:paraId="5E8C07AF" w14:textId="77777777" w:rsidR="0049047F" w:rsidRDefault="0049047F" w:rsidP="00177C07"/>
    <w:p w14:paraId="79053FE7" w14:textId="56679355" w:rsidR="003D10C2" w:rsidRDefault="00B91A4E" w:rsidP="00177C07">
      <w:r>
        <w:t>The current data collection tool</w:t>
      </w:r>
      <w:r w:rsidR="00426C9A">
        <w:t xml:space="preserve"> (MosquitoNET)</w:t>
      </w:r>
      <w:r>
        <w:t xml:space="preserve"> targets </w:t>
      </w:r>
      <w:r w:rsidR="0095115A">
        <w:t>64</w:t>
      </w:r>
      <w:r>
        <w:t xml:space="preserve"> jurisdictions </w:t>
      </w:r>
      <w:r w:rsidR="00426C9A">
        <w:t xml:space="preserve">(states, territories and 4 large cities) </w:t>
      </w:r>
      <w:r>
        <w:t xml:space="preserve">receiving CDC funding under the Epidemiology and Laboratory </w:t>
      </w:r>
      <w:r w:rsidR="0095115A">
        <w:t xml:space="preserve">(ELC) </w:t>
      </w:r>
      <w:r>
        <w:t xml:space="preserve">Cooperative Agreement.  </w:t>
      </w:r>
      <w:r w:rsidR="00426C9A">
        <w:t>By adding 30 additional respondents, CDC intends to pilot a project that targets respondents below the state level including county health departments and mosquito abatement districts</w:t>
      </w:r>
      <w:r w:rsidR="00003A0D">
        <w:t>.</w:t>
      </w:r>
      <w:r w:rsidR="00021450">
        <w:t xml:space="preserve">  </w:t>
      </w:r>
      <w:r w:rsidR="00426C9A">
        <w:t>The pilot evaluation will allow us to assess the feasibility, completeness</w:t>
      </w:r>
      <w:r w:rsidR="00263CEB">
        <w:t>,</w:t>
      </w:r>
      <w:r w:rsidR="00426C9A">
        <w:t xml:space="preserve"> and usefulness of sub-state level data.</w:t>
      </w:r>
      <w:r w:rsidR="00263CEB">
        <w:t xml:space="preserve">  </w:t>
      </w:r>
      <w:r w:rsidR="0095115A">
        <w:t xml:space="preserve">While data collection from recipients of ELC funding is a requirement of the award, collection of data at the sub-jurisdiction level is voluntary.  </w:t>
      </w:r>
    </w:p>
    <w:p w14:paraId="07AAC75B" w14:textId="77777777" w:rsidR="003D10C2" w:rsidRDefault="003D10C2" w:rsidP="00177C07"/>
    <w:p w14:paraId="43D38A04" w14:textId="7FBFB946" w:rsidR="00021450" w:rsidRDefault="00426C9A" w:rsidP="00177C07">
      <w:r w:rsidRPr="00426C9A">
        <w:t>We intend that the results of this pilot evaluation will provide CDC information to support a</w:t>
      </w:r>
      <w:r w:rsidR="003D10C2">
        <w:t xml:space="preserve"> future </w:t>
      </w:r>
      <w:r w:rsidRPr="00426C9A">
        <w:t xml:space="preserve">revision </w:t>
      </w:r>
      <w:r w:rsidR="00BC50A3">
        <w:t>ICR</w:t>
      </w:r>
      <w:r w:rsidR="003D10C2">
        <w:t xml:space="preserve"> that would further</w:t>
      </w:r>
      <w:r w:rsidR="0095115A">
        <w:t xml:space="preserve"> increas</w:t>
      </w:r>
      <w:r w:rsidR="003D10C2">
        <w:t>e</w:t>
      </w:r>
      <w:r w:rsidR="0095115A">
        <w:t xml:space="preserve"> the number of respondents to include </w:t>
      </w:r>
      <w:r w:rsidR="00263CEB">
        <w:t xml:space="preserve">more </w:t>
      </w:r>
      <w:r w:rsidR="0095115A">
        <w:t xml:space="preserve">sub-jurisdiction </w:t>
      </w:r>
      <w:r w:rsidR="00BC50A3">
        <w:t>respondents</w:t>
      </w:r>
      <w:r w:rsidRPr="00426C9A">
        <w:t xml:space="preserve">.  </w:t>
      </w:r>
    </w:p>
    <w:p w14:paraId="0A10837E" w14:textId="77777777" w:rsidR="00F64EB0" w:rsidRDefault="00F64EB0"/>
    <w:p w14:paraId="7B6C78A2" w14:textId="0B5CD6BE" w:rsidR="00F64EB0" w:rsidRPr="00F64EB0" w:rsidRDefault="00F64EB0">
      <w:pPr>
        <w:rPr>
          <w:u w:val="single"/>
        </w:rPr>
      </w:pPr>
      <w:r w:rsidRPr="00F64EB0">
        <w:rPr>
          <w:u w:val="single"/>
        </w:rPr>
        <w:t>Description of the changes</w:t>
      </w:r>
    </w:p>
    <w:p w14:paraId="5D449BE2" w14:textId="16D9FD90" w:rsidR="00177C07" w:rsidRDefault="00177C07" w:rsidP="00177C07">
      <w:pPr>
        <w:rPr>
          <w:color w:val="1F497D"/>
          <w:sz w:val="22"/>
          <w:szCs w:val="22"/>
        </w:rPr>
      </w:pPr>
    </w:p>
    <w:p w14:paraId="4AF90FC0" w14:textId="595D8BF6" w:rsidR="00177C07" w:rsidRDefault="00BC50A3" w:rsidP="00F64EB0">
      <w:r>
        <w:t xml:space="preserve">CDC requests a change only in the number of approved respondents </w:t>
      </w:r>
      <w:r w:rsidR="00183D2D">
        <w:t xml:space="preserve">(from 64 to 94) </w:t>
      </w:r>
      <w:r>
        <w:t xml:space="preserve">to allow us to pilot the usefulness of sub-jurisdiction data.  </w:t>
      </w:r>
      <w:r w:rsidR="005E7697">
        <w:t>The information collection tool</w:t>
      </w:r>
      <w:r w:rsidR="00AE3638">
        <w:t xml:space="preserve"> (MosquitoNET) and burden per response remain unchanged.  </w:t>
      </w:r>
    </w:p>
    <w:p w14:paraId="75A75769" w14:textId="77777777" w:rsidR="00177C07" w:rsidRDefault="00177C07" w:rsidP="00F64EB0"/>
    <w:p w14:paraId="6F95E8A8" w14:textId="307581ED" w:rsidR="00782E0A" w:rsidRPr="0095115A" w:rsidRDefault="00782E0A" w:rsidP="0095115A">
      <w:pPr>
        <w:rPr>
          <w:u w:val="single"/>
        </w:rPr>
      </w:pPr>
      <w:r w:rsidRPr="000C5EF1">
        <w:rPr>
          <w:u w:val="single"/>
        </w:rPr>
        <w:t>Burden</w:t>
      </w:r>
    </w:p>
    <w:p w14:paraId="337C545C" w14:textId="7933BBD8" w:rsidR="00AE3638" w:rsidRPr="00AE3638" w:rsidRDefault="00AE3638" w:rsidP="00AE3638">
      <w:pPr>
        <w:spacing w:before="120" w:after="240" w:line="276" w:lineRule="auto"/>
      </w:pPr>
      <w:r w:rsidRPr="00AE3638">
        <w:t>The revised burden hours to OMB Control No 0920-1146 are</w:t>
      </w:r>
      <w:r w:rsidR="003D10C2">
        <w:t xml:space="preserve"> in the table below. Total burden would increase by 90 hours per year: from 192 to 282. </w:t>
      </w: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1705"/>
        <w:gridCol w:w="1620"/>
        <w:gridCol w:w="1463"/>
        <w:gridCol w:w="1687"/>
        <w:gridCol w:w="1505"/>
        <w:gridCol w:w="1596"/>
      </w:tblGrid>
      <w:tr w:rsidR="00AE3638" w:rsidRPr="00AE3638" w14:paraId="6133F62C" w14:textId="77777777" w:rsidTr="00F65722">
        <w:tc>
          <w:tcPr>
            <w:tcW w:w="1705" w:type="dxa"/>
            <w:vAlign w:val="center"/>
          </w:tcPr>
          <w:p w14:paraId="43BD0FCF" w14:textId="77777777" w:rsidR="00AE3638" w:rsidRPr="00AE3638" w:rsidRDefault="00AE3638" w:rsidP="00AE3638">
            <w:pPr>
              <w:spacing w:before="120" w:line="276" w:lineRule="auto"/>
              <w:rPr>
                <w:b/>
              </w:rPr>
            </w:pPr>
            <w:r w:rsidRPr="00AE3638">
              <w:t>Type of Respondent</w:t>
            </w:r>
          </w:p>
        </w:tc>
        <w:tc>
          <w:tcPr>
            <w:tcW w:w="1620" w:type="dxa"/>
            <w:vAlign w:val="center"/>
          </w:tcPr>
          <w:p w14:paraId="47144F7E" w14:textId="77777777" w:rsidR="00AE3638" w:rsidRPr="00AE3638" w:rsidRDefault="00AE3638" w:rsidP="00AE3638">
            <w:pPr>
              <w:spacing w:before="120" w:line="276" w:lineRule="auto"/>
              <w:rPr>
                <w:rFonts w:eastAsiaTheme="minorHAnsi"/>
              </w:rPr>
            </w:pPr>
            <w:r w:rsidRPr="00AE3638">
              <w:t>Form</w:t>
            </w:r>
          </w:p>
          <w:p w14:paraId="713A5FB3" w14:textId="77777777" w:rsidR="00AE3638" w:rsidRPr="00AE3638" w:rsidRDefault="00AE3638" w:rsidP="00AE3638">
            <w:pPr>
              <w:spacing w:before="120" w:line="276" w:lineRule="auto"/>
              <w:rPr>
                <w:b/>
              </w:rPr>
            </w:pPr>
            <w:r w:rsidRPr="00AE3638">
              <w:t>Name</w:t>
            </w:r>
          </w:p>
        </w:tc>
        <w:tc>
          <w:tcPr>
            <w:tcW w:w="1463" w:type="dxa"/>
            <w:vAlign w:val="center"/>
          </w:tcPr>
          <w:p w14:paraId="67764871" w14:textId="77777777" w:rsidR="00AE3638" w:rsidRPr="00AE3638" w:rsidRDefault="00AE3638" w:rsidP="00AE3638">
            <w:pPr>
              <w:spacing w:before="120" w:line="276" w:lineRule="auto"/>
              <w:rPr>
                <w:b/>
              </w:rPr>
            </w:pPr>
            <w:r w:rsidRPr="00AE3638">
              <w:t>No. of Respondents</w:t>
            </w:r>
          </w:p>
        </w:tc>
        <w:tc>
          <w:tcPr>
            <w:tcW w:w="1687" w:type="dxa"/>
            <w:vAlign w:val="center"/>
          </w:tcPr>
          <w:p w14:paraId="3FC5FEFA" w14:textId="77777777" w:rsidR="00AE3638" w:rsidRPr="00AE3638" w:rsidRDefault="00AE3638" w:rsidP="00AE3638">
            <w:pPr>
              <w:spacing w:before="120" w:line="276" w:lineRule="auto"/>
              <w:rPr>
                <w:b/>
              </w:rPr>
            </w:pPr>
            <w:r w:rsidRPr="00AE3638">
              <w:t>No. of Responses per Respondent</w:t>
            </w:r>
          </w:p>
        </w:tc>
        <w:tc>
          <w:tcPr>
            <w:tcW w:w="1505" w:type="dxa"/>
            <w:vAlign w:val="center"/>
          </w:tcPr>
          <w:p w14:paraId="29D39430" w14:textId="77777777" w:rsidR="00AE3638" w:rsidRPr="00AE3638" w:rsidRDefault="00AE3638" w:rsidP="00AE3638">
            <w:pPr>
              <w:spacing w:before="120" w:line="276" w:lineRule="auto"/>
              <w:rPr>
                <w:b/>
              </w:rPr>
            </w:pPr>
            <w:r w:rsidRPr="00AE3638">
              <w:t>Average Burden per Response (in hours)</w:t>
            </w:r>
          </w:p>
        </w:tc>
        <w:tc>
          <w:tcPr>
            <w:tcW w:w="1596" w:type="dxa"/>
            <w:vAlign w:val="center"/>
          </w:tcPr>
          <w:p w14:paraId="34E8C756" w14:textId="77777777" w:rsidR="00AE3638" w:rsidRPr="00AE3638" w:rsidRDefault="00AE3638" w:rsidP="00AE3638">
            <w:pPr>
              <w:spacing w:before="120" w:line="276" w:lineRule="auto"/>
              <w:rPr>
                <w:b/>
              </w:rPr>
            </w:pPr>
            <w:r w:rsidRPr="00AE3638">
              <w:t>Total Burden Hours</w:t>
            </w:r>
          </w:p>
        </w:tc>
      </w:tr>
      <w:tr w:rsidR="00AE3638" w:rsidRPr="00AE3638" w14:paraId="3590E182" w14:textId="77777777" w:rsidTr="00F65722">
        <w:tc>
          <w:tcPr>
            <w:tcW w:w="1705" w:type="dxa"/>
            <w:vAlign w:val="center"/>
          </w:tcPr>
          <w:p w14:paraId="2177DE36" w14:textId="77777777" w:rsidR="00AE3638" w:rsidRPr="00AE3638" w:rsidRDefault="00AE3638" w:rsidP="00AE3638">
            <w:pPr>
              <w:spacing w:before="120" w:line="276" w:lineRule="auto"/>
            </w:pPr>
            <w:r w:rsidRPr="00AE3638">
              <w:t>Public health professionals</w:t>
            </w:r>
          </w:p>
        </w:tc>
        <w:tc>
          <w:tcPr>
            <w:tcW w:w="1620" w:type="dxa"/>
          </w:tcPr>
          <w:p w14:paraId="0E948A7F" w14:textId="77777777" w:rsidR="00AE3638" w:rsidRPr="00AE3638" w:rsidRDefault="00AE3638" w:rsidP="00AE3638">
            <w:pPr>
              <w:spacing w:before="120" w:line="276" w:lineRule="auto"/>
              <w:rPr>
                <w:color w:val="000000"/>
              </w:rPr>
            </w:pPr>
            <w:r w:rsidRPr="00AE3638">
              <w:rPr>
                <w:color w:val="000000"/>
              </w:rPr>
              <w:t xml:space="preserve">MosquitoNET entry of monthly surveillance records of </w:t>
            </w:r>
            <w:r w:rsidRPr="00AE3638">
              <w:rPr>
                <w:i/>
                <w:color w:val="000000"/>
              </w:rPr>
              <w:t>Aedes aegypti</w:t>
            </w:r>
            <w:r w:rsidRPr="00AE3638">
              <w:rPr>
                <w:color w:val="000000"/>
              </w:rPr>
              <w:t xml:space="preserve"> and </w:t>
            </w:r>
            <w:r w:rsidRPr="00AE3638">
              <w:rPr>
                <w:i/>
                <w:color w:val="000000"/>
              </w:rPr>
              <w:t>Aedes albopictus</w:t>
            </w:r>
          </w:p>
        </w:tc>
        <w:tc>
          <w:tcPr>
            <w:tcW w:w="1463" w:type="dxa"/>
            <w:vAlign w:val="center"/>
          </w:tcPr>
          <w:p w14:paraId="2AD2A313" w14:textId="5630F59A" w:rsidR="003D10C2" w:rsidRPr="00313705" w:rsidRDefault="003D10C2" w:rsidP="00AE3638">
            <w:pPr>
              <w:spacing w:before="120" w:line="276" w:lineRule="auto"/>
              <w:rPr>
                <w:strike/>
              </w:rPr>
            </w:pPr>
            <w:r w:rsidRPr="00313705">
              <w:rPr>
                <w:strike/>
              </w:rPr>
              <w:t>64</w:t>
            </w:r>
          </w:p>
          <w:p w14:paraId="7391EB8C" w14:textId="6D211FEC" w:rsidR="00AE3638" w:rsidRPr="00AE3638" w:rsidRDefault="00AE3638" w:rsidP="00AE3638">
            <w:pPr>
              <w:spacing w:before="120" w:line="276" w:lineRule="auto"/>
            </w:pPr>
            <w:r>
              <w:t>9</w:t>
            </w:r>
            <w:r w:rsidRPr="00AE3638">
              <w:t>4</w:t>
            </w:r>
          </w:p>
        </w:tc>
        <w:tc>
          <w:tcPr>
            <w:tcW w:w="1687" w:type="dxa"/>
            <w:vAlign w:val="center"/>
          </w:tcPr>
          <w:p w14:paraId="400649A7" w14:textId="77777777" w:rsidR="00AE3638" w:rsidRPr="00AE3638" w:rsidRDefault="00AE3638" w:rsidP="00AE3638">
            <w:pPr>
              <w:spacing w:before="120" w:line="276" w:lineRule="auto"/>
            </w:pPr>
            <w:r w:rsidRPr="00AE3638">
              <w:t>12</w:t>
            </w:r>
          </w:p>
        </w:tc>
        <w:tc>
          <w:tcPr>
            <w:tcW w:w="1505" w:type="dxa"/>
            <w:vAlign w:val="center"/>
          </w:tcPr>
          <w:p w14:paraId="4C4465CE" w14:textId="77777777" w:rsidR="00AE3638" w:rsidRPr="00AE3638" w:rsidRDefault="00AE3638" w:rsidP="00AE3638">
            <w:pPr>
              <w:spacing w:before="120" w:line="276" w:lineRule="auto"/>
            </w:pPr>
            <w:r w:rsidRPr="00AE3638">
              <w:t>15/60</w:t>
            </w:r>
          </w:p>
        </w:tc>
        <w:tc>
          <w:tcPr>
            <w:tcW w:w="1596" w:type="dxa"/>
            <w:vAlign w:val="center"/>
          </w:tcPr>
          <w:p w14:paraId="52134F4B" w14:textId="69A2EFAE" w:rsidR="003D10C2" w:rsidRPr="00313705" w:rsidRDefault="003D10C2" w:rsidP="00AE3638">
            <w:pPr>
              <w:spacing w:before="120" w:line="276" w:lineRule="auto"/>
              <w:rPr>
                <w:strike/>
              </w:rPr>
            </w:pPr>
            <w:r w:rsidRPr="00313705">
              <w:rPr>
                <w:strike/>
              </w:rPr>
              <w:t>192</w:t>
            </w:r>
          </w:p>
          <w:p w14:paraId="77027D61" w14:textId="6BD7D500" w:rsidR="00AE3638" w:rsidRPr="00AE3638" w:rsidRDefault="00AE3638" w:rsidP="00AE3638">
            <w:pPr>
              <w:spacing w:before="120" w:line="276" w:lineRule="auto"/>
            </w:pPr>
            <w:r>
              <w:t>28</w:t>
            </w:r>
            <w:r w:rsidRPr="00AE3638">
              <w:t>2</w:t>
            </w:r>
          </w:p>
        </w:tc>
      </w:tr>
      <w:tr w:rsidR="00AE3638" w:rsidRPr="00AE3638" w14:paraId="4374DBDF" w14:textId="77777777" w:rsidTr="00F65722">
        <w:tc>
          <w:tcPr>
            <w:tcW w:w="7980" w:type="dxa"/>
            <w:gridSpan w:val="5"/>
          </w:tcPr>
          <w:p w14:paraId="12280807" w14:textId="77777777" w:rsidR="00AE3638" w:rsidRPr="00AE3638" w:rsidRDefault="00AE3638" w:rsidP="00AE3638">
            <w:pPr>
              <w:spacing w:before="120" w:line="276" w:lineRule="auto"/>
            </w:pPr>
            <w:r w:rsidRPr="00AE3638">
              <w:lastRenderedPageBreak/>
              <w:t>Total</w:t>
            </w:r>
          </w:p>
        </w:tc>
        <w:tc>
          <w:tcPr>
            <w:tcW w:w="1596" w:type="dxa"/>
          </w:tcPr>
          <w:p w14:paraId="24C8B92E" w14:textId="6A6D4999" w:rsidR="00AE3638" w:rsidRPr="00AE3638" w:rsidRDefault="00AE3638" w:rsidP="00AE3638">
            <w:pPr>
              <w:spacing w:before="120" w:line="276" w:lineRule="auto"/>
            </w:pPr>
            <w:r>
              <w:t>28</w:t>
            </w:r>
            <w:r w:rsidRPr="00AE3638">
              <w:t>2</w:t>
            </w:r>
          </w:p>
        </w:tc>
      </w:tr>
    </w:tbl>
    <w:p w14:paraId="39C5DCD3" w14:textId="77777777" w:rsidR="00263CEB" w:rsidRDefault="00263CEB" w:rsidP="00AE3638">
      <w:pPr>
        <w:spacing w:before="120" w:line="276" w:lineRule="auto"/>
      </w:pPr>
    </w:p>
    <w:p w14:paraId="7523E2C2" w14:textId="17060871" w:rsidR="00AE3638" w:rsidRPr="00AE3638" w:rsidRDefault="00AE3638" w:rsidP="00AE3638">
      <w:pPr>
        <w:spacing w:before="120" w:line="276" w:lineRule="auto"/>
      </w:pPr>
      <w:r w:rsidRPr="00AE3638">
        <w:t xml:space="preserve">There </w:t>
      </w:r>
      <w:r w:rsidR="00263CEB">
        <w:t>are</w:t>
      </w:r>
      <w:r w:rsidRPr="00AE3638">
        <w:t xml:space="preserve"> no anticipated costs to respondents other than time. </w:t>
      </w:r>
    </w:p>
    <w:p w14:paraId="34FB34F3" w14:textId="77777777" w:rsidR="00AE3638" w:rsidRDefault="00AE3638" w:rsidP="0095115A">
      <w:pPr>
        <w:spacing w:before="120" w:after="240" w:line="276" w:lineRule="auto"/>
      </w:pPr>
    </w:p>
    <w:p w14:paraId="16D8A4E2" w14:textId="4CCEE753" w:rsidR="004F38B0" w:rsidRPr="000C5EF1" w:rsidRDefault="004F38B0"/>
    <w:sectPr w:rsidR="004F38B0" w:rsidRPr="000C5EF1" w:rsidSect="00D558B5">
      <w:footerReference w:type="default" r:id="rId9"/>
      <w:type w:val="continuous"/>
      <w:pgSz w:w="12240" w:h="15840"/>
      <w:pgMar w:top="1080" w:right="1080" w:bottom="4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93968" w14:textId="77777777" w:rsidR="00677E54" w:rsidRDefault="00677E54" w:rsidP="00620223">
      <w:r>
        <w:separator/>
      </w:r>
    </w:p>
  </w:endnote>
  <w:endnote w:type="continuationSeparator" w:id="0">
    <w:p w14:paraId="369DE0EB" w14:textId="77777777" w:rsidR="00677E54" w:rsidRDefault="00677E54" w:rsidP="0062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78199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7FA717" w14:textId="5FB74D1F" w:rsidR="00620223" w:rsidRDefault="006202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72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39CC8F" w14:textId="77777777" w:rsidR="00620223" w:rsidRDefault="006202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01865" w14:textId="77777777" w:rsidR="00677E54" w:rsidRDefault="00677E54" w:rsidP="00620223">
      <w:r>
        <w:separator/>
      </w:r>
    </w:p>
  </w:footnote>
  <w:footnote w:type="continuationSeparator" w:id="0">
    <w:p w14:paraId="7F401CC4" w14:textId="77777777" w:rsidR="00677E54" w:rsidRDefault="00677E54" w:rsidP="00620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F2488"/>
    <w:multiLevelType w:val="hybridMultilevel"/>
    <w:tmpl w:val="3E3E3E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B82E00"/>
    <w:multiLevelType w:val="hybridMultilevel"/>
    <w:tmpl w:val="EFF8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70DEC"/>
    <w:multiLevelType w:val="hybridMultilevel"/>
    <w:tmpl w:val="6CA0C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14FD9"/>
    <w:multiLevelType w:val="hybridMultilevel"/>
    <w:tmpl w:val="F626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E210B"/>
    <w:multiLevelType w:val="hybridMultilevel"/>
    <w:tmpl w:val="A6886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2E2D8F"/>
    <w:multiLevelType w:val="hybridMultilevel"/>
    <w:tmpl w:val="1968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F2391F"/>
    <w:multiLevelType w:val="hybridMultilevel"/>
    <w:tmpl w:val="7A884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7472AE"/>
    <w:multiLevelType w:val="hybridMultilevel"/>
    <w:tmpl w:val="85C45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6A6AE1"/>
    <w:multiLevelType w:val="hybridMultilevel"/>
    <w:tmpl w:val="3586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8A451D"/>
    <w:multiLevelType w:val="hybridMultilevel"/>
    <w:tmpl w:val="78EC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9"/>
  </w:num>
  <w:num w:numId="5">
    <w:abstractNumId w:val="2"/>
  </w:num>
  <w:num w:numId="6">
    <w:abstractNumId w:val="5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E0A"/>
    <w:rsid w:val="000029A5"/>
    <w:rsid w:val="00003A0D"/>
    <w:rsid w:val="00021450"/>
    <w:rsid w:val="00024E00"/>
    <w:rsid w:val="00054BA0"/>
    <w:rsid w:val="00083D63"/>
    <w:rsid w:val="000C030C"/>
    <w:rsid w:val="000C2875"/>
    <w:rsid w:val="000C5EF1"/>
    <w:rsid w:val="000C6D41"/>
    <w:rsid w:val="00132D2C"/>
    <w:rsid w:val="0015353D"/>
    <w:rsid w:val="001572C2"/>
    <w:rsid w:val="00170D8D"/>
    <w:rsid w:val="0017686F"/>
    <w:rsid w:val="00177C07"/>
    <w:rsid w:val="00181D6C"/>
    <w:rsid w:val="00183D2D"/>
    <w:rsid w:val="001B4FDB"/>
    <w:rsid w:val="001D3846"/>
    <w:rsid w:val="001D5256"/>
    <w:rsid w:val="001D633A"/>
    <w:rsid w:val="001E4973"/>
    <w:rsid w:val="00206F3F"/>
    <w:rsid w:val="0021339B"/>
    <w:rsid w:val="00215DEC"/>
    <w:rsid w:val="00222BBB"/>
    <w:rsid w:val="00225FEC"/>
    <w:rsid w:val="002278CB"/>
    <w:rsid w:val="00237C8D"/>
    <w:rsid w:val="00237EF1"/>
    <w:rsid w:val="00242C5B"/>
    <w:rsid w:val="00244AC4"/>
    <w:rsid w:val="0025246A"/>
    <w:rsid w:val="00263CEB"/>
    <w:rsid w:val="00277D67"/>
    <w:rsid w:val="002A17BA"/>
    <w:rsid w:val="002C1F01"/>
    <w:rsid w:val="002F4297"/>
    <w:rsid w:val="00307ADB"/>
    <w:rsid w:val="00313705"/>
    <w:rsid w:val="00322EFE"/>
    <w:rsid w:val="0036553A"/>
    <w:rsid w:val="00384696"/>
    <w:rsid w:val="00390E3F"/>
    <w:rsid w:val="00394D6D"/>
    <w:rsid w:val="00396256"/>
    <w:rsid w:val="003A52C8"/>
    <w:rsid w:val="003D10C2"/>
    <w:rsid w:val="003E76A1"/>
    <w:rsid w:val="003F17AA"/>
    <w:rsid w:val="003F2449"/>
    <w:rsid w:val="00426C9A"/>
    <w:rsid w:val="00441559"/>
    <w:rsid w:val="00443A75"/>
    <w:rsid w:val="00454EAE"/>
    <w:rsid w:val="0045517E"/>
    <w:rsid w:val="00467691"/>
    <w:rsid w:val="00473430"/>
    <w:rsid w:val="00484EB9"/>
    <w:rsid w:val="0049047F"/>
    <w:rsid w:val="0049339F"/>
    <w:rsid w:val="00493A7B"/>
    <w:rsid w:val="004A05CA"/>
    <w:rsid w:val="004A4980"/>
    <w:rsid w:val="004E6B21"/>
    <w:rsid w:val="004F38B0"/>
    <w:rsid w:val="005029F7"/>
    <w:rsid w:val="005033B2"/>
    <w:rsid w:val="00520A02"/>
    <w:rsid w:val="00523785"/>
    <w:rsid w:val="00540CB8"/>
    <w:rsid w:val="00551BA2"/>
    <w:rsid w:val="005617E2"/>
    <w:rsid w:val="005707CF"/>
    <w:rsid w:val="00582BB5"/>
    <w:rsid w:val="00584F91"/>
    <w:rsid w:val="005A3A7E"/>
    <w:rsid w:val="005B59CF"/>
    <w:rsid w:val="005B7D8B"/>
    <w:rsid w:val="005C2F64"/>
    <w:rsid w:val="005E193F"/>
    <w:rsid w:val="005E23B1"/>
    <w:rsid w:val="005E7697"/>
    <w:rsid w:val="00620223"/>
    <w:rsid w:val="00641974"/>
    <w:rsid w:val="00653102"/>
    <w:rsid w:val="00676426"/>
    <w:rsid w:val="00677E54"/>
    <w:rsid w:val="00694C0B"/>
    <w:rsid w:val="006A0D58"/>
    <w:rsid w:val="006B64E9"/>
    <w:rsid w:val="006C6C0C"/>
    <w:rsid w:val="006D27D3"/>
    <w:rsid w:val="006D542F"/>
    <w:rsid w:val="006F0D92"/>
    <w:rsid w:val="006F539D"/>
    <w:rsid w:val="00735EC5"/>
    <w:rsid w:val="00737E98"/>
    <w:rsid w:val="007529D7"/>
    <w:rsid w:val="00782E0A"/>
    <w:rsid w:val="0078680E"/>
    <w:rsid w:val="007A0147"/>
    <w:rsid w:val="007A095A"/>
    <w:rsid w:val="007B21D6"/>
    <w:rsid w:val="007E5291"/>
    <w:rsid w:val="00811963"/>
    <w:rsid w:val="008132B5"/>
    <w:rsid w:val="0082019D"/>
    <w:rsid w:val="00860912"/>
    <w:rsid w:val="0086301C"/>
    <w:rsid w:val="00864E81"/>
    <w:rsid w:val="008A52F0"/>
    <w:rsid w:val="008C086A"/>
    <w:rsid w:val="008C6E29"/>
    <w:rsid w:val="008F5EEF"/>
    <w:rsid w:val="009176B7"/>
    <w:rsid w:val="009239A9"/>
    <w:rsid w:val="00925CF3"/>
    <w:rsid w:val="00932450"/>
    <w:rsid w:val="0095101E"/>
    <w:rsid w:val="0095115A"/>
    <w:rsid w:val="00952F0D"/>
    <w:rsid w:val="009657DA"/>
    <w:rsid w:val="00987051"/>
    <w:rsid w:val="009B565A"/>
    <w:rsid w:val="009C5D92"/>
    <w:rsid w:val="009F3CD5"/>
    <w:rsid w:val="00A00742"/>
    <w:rsid w:val="00A01572"/>
    <w:rsid w:val="00A1450F"/>
    <w:rsid w:val="00A14D84"/>
    <w:rsid w:val="00A7139F"/>
    <w:rsid w:val="00A90260"/>
    <w:rsid w:val="00A92426"/>
    <w:rsid w:val="00A93B41"/>
    <w:rsid w:val="00AB4445"/>
    <w:rsid w:val="00AD66D6"/>
    <w:rsid w:val="00AE3638"/>
    <w:rsid w:val="00AF0062"/>
    <w:rsid w:val="00AF5F26"/>
    <w:rsid w:val="00AF6B86"/>
    <w:rsid w:val="00B14EDA"/>
    <w:rsid w:val="00B27555"/>
    <w:rsid w:val="00B2757E"/>
    <w:rsid w:val="00B30056"/>
    <w:rsid w:val="00B55735"/>
    <w:rsid w:val="00B91A4E"/>
    <w:rsid w:val="00BB45A1"/>
    <w:rsid w:val="00BC50A3"/>
    <w:rsid w:val="00C101F7"/>
    <w:rsid w:val="00C132E6"/>
    <w:rsid w:val="00C146ED"/>
    <w:rsid w:val="00C82867"/>
    <w:rsid w:val="00CB3C63"/>
    <w:rsid w:val="00D231EB"/>
    <w:rsid w:val="00D333B7"/>
    <w:rsid w:val="00D34C78"/>
    <w:rsid w:val="00D379EE"/>
    <w:rsid w:val="00D477FD"/>
    <w:rsid w:val="00D540AB"/>
    <w:rsid w:val="00D558B5"/>
    <w:rsid w:val="00D70948"/>
    <w:rsid w:val="00D70B67"/>
    <w:rsid w:val="00D909A3"/>
    <w:rsid w:val="00DA1DE5"/>
    <w:rsid w:val="00DB7589"/>
    <w:rsid w:val="00DC57CC"/>
    <w:rsid w:val="00DD06CA"/>
    <w:rsid w:val="00DE00FC"/>
    <w:rsid w:val="00E00873"/>
    <w:rsid w:val="00E06889"/>
    <w:rsid w:val="00E30037"/>
    <w:rsid w:val="00E34CF3"/>
    <w:rsid w:val="00E44857"/>
    <w:rsid w:val="00E6785E"/>
    <w:rsid w:val="00E7302B"/>
    <w:rsid w:val="00E736A3"/>
    <w:rsid w:val="00E93F63"/>
    <w:rsid w:val="00E95DBD"/>
    <w:rsid w:val="00EA14C4"/>
    <w:rsid w:val="00EB1547"/>
    <w:rsid w:val="00EC1019"/>
    <w:rsid w:val="00F33021"/>
    <w:rsid w:val="00F64EB0"/>
    <w:rsid w:val="00F801C2"/>
    <w:rsid w:val="00F92A71"/>
    <w:rsid w:val="00F92D5A"/>
    <w:rsid w:val="00FE68F5"/>
    <w:rsid w:val="00FF0FB9"/>
    <w:rsid w:val="00F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D8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A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2E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BB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520A0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20A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0A0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A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20A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F16CE"/>
    <w:pPr>
      <w:spacing w:after="0"/>
    </w:pPr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79EE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4F38B0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4F38B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A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2E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BB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520A0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20A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0A0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A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20A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F16CE"/>
    <w:pPr>
      <w:spacing w:after="0"/>
    </w:pPr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79EE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4F38B0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4F38B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j3@cdc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JReichard</dc:creator>
  <cp:lastModifiedBy>SYSTEM</cp:lastModifiedBy>
  <cp:revision>2</cp:revision>
  <dcterms:created xsi:type="dcterms:W3CDTF">2018-09-13T18:03:00Z</dcterms:created>
  <dcterms:modified xsi:type="dcterms:W3CDTF">2018-09-13T18:03:00Z</dcterms:modified>
</cp:coreProperties>
</file>