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FBDC" w14:textId="2698FC83" w:rsidR="00CA557D" w:rsidRDefault="00096DAF" w:rsidP="00CA557D">
      <w:pPr>
        <w:spacing w:before="100" w:beforeAutospacing="1" w:after="100" w:afterAutospacing="1"/>
      </w:pPr>
      <w:bookmarkStart w:id="0" w:name="_GoBack"/>
      <w:bookmarkEnd w:id="0"/>
      <w:r w:rsidRPr="00A50B14">
        <w:rPr>
          <w:b/>
        </w:rPr>
        <w:t xml:space="preserve">Part </w:t>
      </w:r>
      <w:r w:rsidR="00CA557D" w:rsidRPr="00A50B14">
        <w:rPr>
          <w:b/>
        </w:rPr>
        <w:t>B.</w:t>
      </w:r>
      <w:r w:rsidR="00A50B14">
        <w:rPr>
          <w:b/>
        </w:rPr>
        <w:t xml:space="preserve">   </w:t>
      </w:r>
      <w:r w:rsidR="00CA557D" w:rsidRPr="000E36BA">
        <w:t>Statistical Methods (used for collection of information employing statistical methods)</w:t>
      </w:r>
    </w:p>
    <w:p w14:paraId="71484DB1" w14:textId="77777777" w:rsidR="003D351D" w:rsidRPr="003D351D" w:rsidRDefault="00CA557D" w:rsidP="003D351D">
      <w:pPr>
        <w:widowControl w:val="0"/>
        <w:numPr>
          <w:ilvl w:val="0"/>
          <w:numId w:val="1"/>
        </w:numPr>
        <w:autoSpaceDE w:val="0"/>
        <w:autoSpaceDN w:val="0"/>
        <w:adjustRightInd w:val="0"/>
        <w:spacing w:before="100" w:beforeAutospacing="1" w:after="100" w:afterAutospacing="1"/>
      </w:pPr>
      <w:r w:rsidRPr="00307250">
        <w:rPr>
          <w:u w:val="single"/>
        </w:rPr>
        <w:t>Respondent Universe and Sampling Methods</w:t>
      </w:r>
    </w:p>
    <w:p w14:paraId="00817CB0" w14:textId="36911063" w:rsidR="003D351D" w:rsidRPr="003D351D" w:rsidRDefault="003D351D" w:rsidP="002F66EE">
      <w:pPr>
        <w:widowControl w:val="0"/>
        <w:autoSpaceDE w:val="0"/>
        <w:autoSpaceDN w:val="0"/>
        <w:adjustRightInd w:val="0"/>
        <w:spacing w:before="100" w:beforeAutospacing="1" w:after="100" w:afterAutospacing="1"/>
        <w:ind w:left="630"/>
      </w:pPr>
      <w:r w:rsidRPr="003D351D">
        <w:rPr>
          <w:rFonts w:eastAsia="MS Mincho"/>
          <w:lang w:eastAsia="ja-JP"/>
        </w:rPr>
        <w:t xml:space="preserve">The selected sample will be drawn from </w:t>
      </w:r>
      <w:r w:rsidRPr="003D351D">
        <w:t>a respondent panel managed by Toluna, a digital market research and technology company that offers targeted access to well-profiled, highly engaged physicians and allied healthcare professionals for global research needs. Toluna’s Healthcare Practice maintains proprietary panels of physicians, nurses, pharmacists, and allied healthcare professional in the United States and the EU5 (France, Germany, Italy, Spain, United Kingdom) who have opted in to receiving invitations to participate in market research.</w:t>
      </w:r>
    </w:p>
    <w:p w14:paraId="02991E98" w14:textId="0E4D3DF2" w:rsidR="003D351D" w:rsidRPr="003D351D" w:rsidRDefault="00470207" w:rsidP="002F66EE">
      <w:pPr>
        <w:pStyle w:val="BodyText"/>
        <w:spacing w:line="240" w:lineRule="auto"/>
        <w:ind w:left="630" w:firstLine="4"/>
        <w:rPr>
          <w:rFonts w:ascii="Times New Roman" w:hAnsi="Times New Roman"/>
          <w:sz w:val="24"/>
          <w:szCs w:val="24"/>
        </w:rPr>
      </w:pPr>
      <w:r w:rsidRPr="004C1969">
        <w:rPr>
          <w:rFonts w:ascii="Times New Roman" w:hAnsi="Times New Roman"/>
          <w:sz w:val="24"/>
          <w:szCs w:val="24"/>
        </w:rPr>
        <w:t>Currently, Toluna has access to 5,500 oncologists and 11,950 primary care physicians (PCPs). We will use Toluna’s healthcare panel called Curizon.  This is a dedicated respondent community used exclusively for healthcare research.  The Curizon panel will be supplemented with</w:t>
      </w:r>
      <w:r>
        <w:rPr>
          <w:rFonts w:ascii="Times New Roman" w:hAnsi="Times New Roman"/>
          <w:sz w:val="24"/>
          <w:szCs w:val="24"/>
        </w:rPr>
        <w:t xml:space="preserve"> </w:t>
      </w:r>
      <w:r w:rsidR="003D351D" w:rsidRPr="003D351D">
        <w:rPr>
          <w:rFonts w:ascii="Times New Roman" w:hAnsi="Times New Roman"/>
          <w:sz w:val="24"/>
          <w:szCs w:val="24"/>
        </w:rPr>
        <w:t xml:space="preserve">partner panels, an email and direct mail campaign to the American Medical Association (AMA) list of healthcare professionals to reach the total required sample size. </w:t>
      </w:r>
    </w:p>
    <w:p w14:paraId="4737589A" w14:textId="77777777" w:rsidR="003D351D" w:rsidRPr="003D351D" w:rsidRDefault="003D351D" w:rsidP="002F66EE">
      <w:pPr>
        <w:pStyle w:val="BodyText"/>
        <w:spacing w:line="240" w:lineRule="auto"/>
        <w:ind w:left="576"/>
        <w:rPr>
          <w:rFonts w:ascii="Times New Roman" w:hAnsi="Times New Roman"/>
          <w:sz w:val="24"/>
          <w:szCs w:val="24"/>
        </w:rPr>
      </w:pPr>
      <w:r w:rsidRPr="003D351D">
        <w:rPr>
          <w:rFonts w:ascii="Times New Roman" w:hAnsi="Times New Roman"/>
          <w:sz w:val="24"/>
          <w:szCs w:val="24"/>
        </w:rPr>
        <w:t>The Toluna Affiliate Network is used to augment their proprietary panels.</w:t>
      </w:r>
      <w:r w:rsidRPr="003D351D">
        <w:rPr>
          <w:rFonts w:ascii="Times New Roman" w:eastAsia="Times New Roman" w:hAnsi="Times New Roman"/>
          <w:color w:val="000000"/>
          <w:sz w:val="24"/>
          <w:szCs w:val="24"/>
        </w:rPr>
        <w:t xml:space="preserve"> </w:t>
      </w:r>
      <w:r w:rsidRPr="003D351D">
        <w:rPr>
          <w:rFonts w:ascii="Times New Roman" w:hAnsi="Times New Roman"/>
          <w:sz w:val="24"/>
          <w:szCs w:val="24"/>
        </w:rPr>
        <w:t xml:space="preserve">Toluna only works with respondent providers who have their own proprietary panels. This means they typically work with local suppliers who are based in the country under study. Suppliers follow all industry guidelines; provide adequate responses to ESOMAR’s 28 Questions; and partners are asked for opt-in policies, privacy policies, legal guidelines, and geographic locations. Once a supplier is onboard, it is automatically and continuously monitored to gauge performance.  </w:t>
      </w:r>
    </w:p>
    <w:p w14:paraId="434ABDE7" w14:textId="314EF7CE" w:rsidR="00DC050F" w:rsidRPr="003D351D" w:rsidRDefault="003D351D" w:rsidP="002F66EE">
      <w:pPr>
        <w:pStyle w:val="BodyText"/>
        <w:spacing w:line="240" w:lineRule="auto"/>
        <w:ind w:left="634"/>
        <w:contextualSpacing/>
        <w:rPr>
          <w:rFonts w:ascii="Times New Roman" w:hAnsi="Times New Roman"/>
          <w:sz w:val="24"/>
          <w:szCs w:val="24"/>
        </w:rPr>
      </w:pPr>
      <w:r w:rsidRPr="003D351D">
        <w:rPr>
          <w:rFonts w:ascii="Times New Roman" w:hAnsi="Times New Roman"/>
          <w:sz w:val="24"/>
          <w:szCs w:val="24"/>
        </w:rPr>
        <w:t xml:space="preserve">For this study, Toluna has designated the following primary partners: WebMD and M3 Global Research. Toluna anticipates being able to obtain approximately 500 oncologists from the three panels combined (as well as the total PCP and advanced practice practitioner [APP] populations). To supplement the remainder of the sample, Toluna is proposing a direct mail and email campaign by renting an AMA list. This list will have access to both email and postal addresses, totaling 15,707 postal addresses and 11,713 email addresses. </w:t>
      </w:r>
      <w:r w:rsidR="00DC050F" w:rsidRPr="003D351D">
        <w:rPr>
          <w:rFonts w:ascii="Times New Roman" w:hAnsi="Times New Roman"/>
          <w:sz w:val="24"/>
          <w:szCs w:val="24"/>
        </w:rPr>
        <w:t xml:space="preserve"> </w:t>
      </w:r>
    </w:p>
    <w:p w14:paraId="5AE1ADF5" w14:textId="77777777" w:rsidR="00CA557D" w:rsidRPr="00E00EA0" w:rsidRDefault="00CA557D" w:rsidP="00CA557D">
      <w:pPr>
        <w:numPr>
          <w:ilvl w:val="0"/>
          <w:numId w:val="1"/>
        </w:numPr>
        <w:spacing w:before="100" w:beforeAutospacing="1" w:after="100" w:afterAutospacing="1"/>
        <w:rPr>
          <w:u w:val="single"/>
        </w:rPr>
      </w:pPr>
      <w:r w:rsidRPr="00E00EA0">
        <w:rPr>
          <w:u w:val="single"/>
        </w:rPr>
        <w:t>Procedures for the Collection of Information</w:t>
      </w:r>
    </w:p>
    <w:p w14:paraId="1EDB7AB4" w14:textId="77777777" w:rsidR="00CA557D" w:rsidRPr="006D7E73" w:rsidRDefault="006D7E73" w:rsidP="002F66EE">
      <w:pPr>
        <w:ind w:firstLine="630"/>
        <w:contextualSpacing/>
      </w:pPr>
      <w:r>
        <w:t xml:space="preserve">Part A of the supporting statement described the rationale for conducting the study. </w:t>
      </w:r>
    </w:p>
    <w:p w14:paraId="64FF180A" w14:textId="77777777" w:rsidR="00CA557D" w:rsidRDefault="00CA557D" w:rsidP="00C749AB">
      <w:pPr>
        <w:contextualSpacing/>
        <w:jc w:val="center"/>
        <w:rPr>
          <w:b/>
        </w:rPr>
      </w:pPr>
    </w:p>
    <w:p w14:paraId="7A28953A" w14:textId="77777777" w:rsidR="00A750F4" w:rsidRDefault="00A750F4" w:rsidP="00A750F4">
      <w:pPr>
        <w:ind w:firstLine="720"/>
        <w:rPr>
          <w:color w:val="000000"/>
        </w:rPr>
      </w:pPr>
      <w:r w:rsidRPr="00A750F4">
        <w:rPr>
          <w:color w:val="000000"/>
        </w:rPr>
        <w:t xml:space="preserve">The proposed study seeks to address the following research questions: </w:t>
      </w:r>
    </w:p>
    <w:p w14:paraId="052B53F2" w14:textId="77777777" w:rsidR="00A750F4" w:rsidRPr="00A750F4" w:rsidRDefault="00A750F4" w:rsidP="00A750F4">
      <w:pPr>
        <w:ind w:firstLine="720"/>
        <w:rPr>
          <w:color w:val="000000"/>
        </w:rPr>
      </w:pPr>
    </w:p>
    <w:p w14:paraId="01F1D041" w14:textId="58223876" w:rsidR="00A750F4" w:rsidRDefault="00A750F4" w:rsidP="00A750F4">
      <w:pPr>
        <w:pStyle w:val="ListParagraph"/>
        <w:numPr>
          <w:ilvl w:val="0"/>
          <w:numId w:val="10"/>
        </w:numPr>
      </w:pPr>
      <w:r w:rsidRPr="00A750F4">
        <w:t xml:space="preserve">Do disclosures mitigate potentially misleading presentations of preliminary </w:t>
      </w:r>
      <w:r w:rsidR="00E6730D">
        <w:t>and/</w:t>
      </w:r>
      <w:r w:rsidRPr="00A750F4">
        <w:t xml:space="preserve">or descriptive data in oncology drug product promotion?  </w:t>
      </w:r>
    </w:p>
    <w:p w14:paraId="6A401BB1" w14:textId="77777777" w:rsidR="00A750F4" w:rsidRPr="00A750F4" w:rsidRDefault="00A750F4" w:rsidP="00A750F4">
      <w:pPr>
        <w:pStyle w:val="ListParagraph"/>
        <w:ind w:left="1080"/>
      </w:pPr>
    </w:p>
    <w:p w14:paraId="34CEFC98" w14:textId="77777777" w:rsidR="00A750F4" w:rsidRDefault="00A750F4" w:rsidP="00A750F4">
      <w:pPr>
        <w:pStyle w:val="ListParagraph"/>
        <w:numPr>
          <w:ilvl w:val="0"/>
          <w:numId w:val="10"/>
        </w:numPr>
      </w:pPr>
      <w:r w:rsidRPr="00A750F4">
        <w:t>Does the language (technical, non-technical) of the disclosure influence the effectiveness of the disclosure?</w:t>
      </w:r>
    </w:p>
    <w:p w14:paraId="387338A8" w14:textId="77777777" w:rsidR="00A750F4" w:rsidRPr="00A750F4" w:rsidRDefault="00A750F4" w:rsidP="00A750F4">
      <w:pPr>
        <w:pStyle w:val="ListParagraph"/>
        <w:ind w:left="1080"/>
      </w:pPr>
    </w:p>
    <w:p w14:paraId="03BD28CB" w14:textId="2C07E52B" w:rsidR="00A750F4" w:rsidRDefault="00A750F4" w:rsidP="00A750F4">
      <w:pPr>
        <w:pStyle w:val="ListParagraph"/>
        <w:numPr>
          <w:ilvl w:val="0"/>
          <w:numId w:val="10"/>
        </w:numPr>
      </w:pPr>
      <w:r w:rsidRPr="00A750F4">
        <w:lastRenderedPageBreak/>
        <w:t>Does the presence of a general statement about the clinical utility of the data in addition to a specific disclosure influence processing of claims and disclosures?</w:t>
      </w:r>
    </w:p>
    <w:p w14:paraId="0B873A95" w14:textId="77777777" w:rsidR="00FE58EC" w:rsidRDefault="00FE58EC" w:rsidP="00FE58EC">
      <w:pPr>
        <w:pStyle w:val="ListParagraph"/>
      </w:pPr>
    </w:p>
    <w:p w14:paraId="0AD2A880" w14:textId="52171010" w:rsidR="00A750F4" w:rsidRDefault="00A750F4" w:rsidP="00A750F4">
      <w:pPr>
        <w:pStyle w:val="ListParagraph"/>
        <w:numPr>
          <w:ilvl w:val="0"/>
          <w:numId w:val="10"/>
        </w:numPr>
      </w:pPr>
      <w:r w:rsidRPr="00A750F4">
        <w:t>Do primary care physicians</w:t>
      </w:r>
      <w:r w:rsidR="00FF4548">
        <w:t xml:space="preserve"> and </w:t>
      </w:r>
      <w:r w:rsidRPr="00A750F4">
        <w:t xml:space="preserve">oncologists differ in their processing of claims and disclosures about preliminary </w:t>
      </w:r>
      <w:r w:rsidR="00AA7F76">
        <w:t>and/</w:t>
      </w:r>
      <w:r w:rsidRPr="00A750F4">
        <w:t>or descriptive data?</w:t>
      </w:r>
      <w:r w:rsidR="00FF4548">
        <w:t xml:space="preserve"> Does oncology experience alter processing of claims and disclosures about preliminary or descriptive data?</w:t>
      </w:r>
    </w:p>
    <w:p w14:paraId="37515954" w14:textId="77777777" w:rsidR="00A750F4" w:rsidRPr="00A750F4" w:rsidRDefault="00A750F4" w:rsidP="00A750F4">
      <w:pPr>
        <w:pStyle w:val="ListParagraph"/>
        <w:ind w:left="1080"/>
      </w:pPr>
    </w:p>
    <w:p w14:paraId="4E96E52E" w14:textId="77777777" w:rsidR="00A750F4" w:rsidRDefault="00A750F4" w:rsidP="00A750F4">
      <w:pPr>
        <w:pStyle w:val="ListParagraph"/>
        <w:numPr>
          <w:ilvl w:val="0"/>
          <w:numId w:val="10"/>
        </w:numPr>
      </w:pPr>
      <w:r w:rsidRPr="00A750F4">
        <w:t>Which disclosures do physicians prefer?</w:t>
      </w:r>
    </w:p>
    <w:p w14:paraId="46DCAC41" w14:textId="77777777" w:rsidR="00A750F4" w:rsidRPr="00A750F4" w:rsidRDefault="00A750F4" w:rsidP="00A750F4">
      <w:pPr>
        <w:pStyle w:val="ListParagraph"/>
        <w:ind w:left="1080"/>
      </w:pPr>
    </w:p>
    <w:p w14:paraId="0DE2F5C6" w14:textId="110F6156" w:rsidR="00A750F4" w:rsidRPr="00A750F4" w:rsidRDefault="00A750F4" w:rsidP="002F66EE">
      <w:pPr>
        <w:autoSpaceDE w:val="0"/>
        <w:autoSpaceDN w:val="0"/>
        <w:adjustRightInd w:val="0"/>
        <w:ind w:left="1080"/>
        <w:rPr>
          <w:color w:val="000000"/>
        </w:rPr>
      </w:pPr>
      <w:r w:rsidRPr="00A750F4">
        <w:rPr>
          <w:color w:val="000000"/>
        </w:rPr>
        <w:t>To address these questions, FDA has designed a study that will be conducted in three independent phases, each phase examining a data display in a promotional piece for a unique oncological product. Independent variables will include a) specific disclosure (technical, non-technical, none), b) general statement (present, absent), and c) specialty (oncologists, primary care physicians). Each phase will have the following design:</w:t>
      </w:r>
    </w:p>
    <w:p w14:paraId="56FB5B29" w14:textId="77777777" w:rsidR="00A750F4" w:rsidRPr="00A750F4" w:rsidRDefault="00A750F4" w:rsidP="00A750F4">
      <w:pPr>
        <w:rPr>
          <w:b/>
        </w:rPr>
      </w:pPr>
    </w:p>
    <w:p w14:paraId="03E51083" w14:textId="77777777" w:rsidR="00A750F4" w:rsidRPr="00A750F4" w:rsidRDefault="00A750F4" w:rsidP="002F66EE">
      <w:pPr>
        <w:ind w:left="1080"/>
      </w:pPr>
    </w:p>
    <w:tbl>
      <w:tblPr>
        <w:tblW w:w="885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853"/>
        <w:gridCol w:w="1834"/>
        <w:gridCol w:w="1796"/>
        <w:gridCol w:w="1451"/>
      </w:tblGrid>
      <w:tr w:rsidR="00A750F4" w:rsidRPr="00A750F4" w14:paraId="2E3B4FFC" w14:textId="77777777" w:rsidTr="002F66EE">
        <w:tc>
          <w:tcPr>
            <w:tcW w:w="1922" w:type="dxa"/>
            <w:vMerge w:val="restart"/>
            <w:shd w:val="clear" w:color="auto" w:fill="auto"/>
          </w:tcPr>
          <w:p w14:paraId="05B71230" w14:textId="77777777" w:rsidR="00A750F4" w:rsidRPr="00A750F4" w:rsidRDefault="00A750F4" w:rsidP="00A750F4">
            <w:pPr>
              <w:jc w:val="center"/>
              <w:rPr>
                <w:b/>
              </w:rPr>
            </w:pPr>
          </w:p>
          <w:p w14:paraId="5B416F70" w14:textId="1615D3A5" w:rsidR="00A750F4" w:rsidRPr="00A750F4" w:rsidRDefault="001B1004" w:rsidP="00A750F4">
            <w:pPr>
              <w:jc w:val="center"/>
              <w:rPr>
                <w:b/>
              </w:rPr>
            </w:pPr>
            <w:r w:rsidRPr="00A750F4">
              <w:rPr>
                <w:b/>
              </w:rPr>
              <w:t>S</w:t>
            </w:r>
            <w:r>
              <w:rPr>
                <w:b/>
              </w:rPr>
              <w:t xml:space="preserve">pecialty </w:t>
            </w:r>
          </w:p>
        </w:tc>
        <w:tc>
          <w:tcPr>
            <w:tcW w:w="1853" w:type="dxa"/>
            <w:vMerge w:val="restart"/>
            <w:shd w:val="clear" w:color="auto" w:fill="auto"/>
          </w:tcPr>
          <w:p w14:paraId="785CF7C5" w14:textId="77777777" w:rsidR="00A750F4" w:rsidRPr="00A750F4" w:rsidRDefault="00A750F4" w:rsidP="00A750F4">
            <w:pPr>
              <w:jc w:val="center"/>
              <w:rPr>
                <w:b/>
              </w:rPr>
            </w:pPr>
          </w:p>
          <w:p w14:paraId="219A49D6" w14:textId="77777777" w:rsidR="00A750F4" w:rsidRPr="00A750F4" w:rsidRDefault="00A750F4" w:rsidP="00A750F4">
            <w:pPr>
              <w:jc w:val="center"/>
              <w:rPr>
                <w:b/>
              </w:rPr>
            </w:pPr>
            <w:r w:rsidRPr="00A750F4">
              <w:rPr>
                <w:b/>
              </w:rPr>
              <w:t>General Statement</w:t>
            </w:r>
          </w:p>
        </w:tc>
        <w:tc>
          <w:tcPr>
            <w:tcW w:w="3630" w:type="dxa"/>
            <w:gridSpan w:val="2"/>
            <w:shd w:val="clear" w:color="auto" w:fill="auto"/>
          </w:tcPr>
          <w:p w14:paraId="370F6797" w14:textId="77777777" w:rsidR="00A750F4" w:rsidRPr="00A750F4" w:rsidRDefault="00A750F4" w:rsidP="00A750F4">
            <w:pPr>
              <w:jc w:val="center"/>
              <w:rPr>
                <w:b/>
              </w:rPr>
            </w:pPr>
            <w:r w:rsidRPr="00A750F4">
              <w:rPr>
                <w:b/>
              </w:rPr>
              <w:t>Specific Disclosure</w:t>
            </w:r>
          </w:p>
        </w:tc>
        <w:tc>
          <w:tcPr>
            <w:tcW w:w="1451" w:type="dxa"/>
          </w:tcPr>
          <w:p w14:paraId="6505E551" w14:textId="77777777" w:rsidR="00A750F4" w:rsidRPr="00A750F4" w:rsidRDefault="00A750F4" w:rsidP="00A750F4">
            <w:pPr>
              <w:jc w:val="center"/>
              <w:rPr>
                <w:b/>
              </w:rPr>
            </w:pPr>
          </w:p>
        </w:tc>
      </w:tr>
      <w:tr w:rsidR="00A750F4" w:rsidRPr="00A750F4" w14:paraId="58FF9264" w14:textId="77777777" w:rsidTr="002F66EE">
        <w:tc>
          <w:tcPr>
            <w:tcW w:w="1922" w:type="dxa"/>
            <w:vMerge/>
            <w:shd w:val="clear" w:color="auto" w:fill="auto"/>
          </w:tcPr>
          <w:p w14:paraId="34783E2E" w14:textId="77777777" w:rsidR="00A750F4" w:rsidRPr="00A750F4" w:rsidRDefault="00A750F4" w:rsidP="00A750F4">
            <w:pPr>
              <w:jc w:val="center"/>
              <w:rPr>
                <w:b/>
              </w:rPr>
            </w:pPr>
          </w:p>
        </w:tc>
        <w:tc>
          <w:tcPr>
            <w:tcW w:w="1853" w:type="dxa"/>
            <w:vMerge/>
            <w:shd w:val="clear" w:color="auto" w:fill="auto"/>
          </w:tcPr>
          <w:p w14:paraId="03F63711" w14:textId="77777777" w:rsidR="00A750F4" w:rsidRPr="00A750F4" w:rsidRDefault="00A750F4" w:rsidP="00A750F4">
            <w:pPr>
              <w:jc w:val="center"/>
              <w:rPr>
                <w:b/>
              </w:rPr>
            </w:pPr>
          </w:p>
        </w:tc>
        <w:tc>
          <w:tcPr>
            <w:tcW w:w="1834" w:type="dxa"/>
            <w:shd w:val="clear" w:color="auto" w:fill="auto"/>
          </w:tcPr>
          <w:p w14:paraId="17AB3E2D" w14:textId="77777777" w:rsidR="00A750F4" w:rsidRPr="00A750F4" w:rsidRDefault="00A750F4" w:rsidP="00A750F4">
            <w:pPr>
              <w:jc w:val="center"/>
              <w:rPr>
                <w:b/>
              </w:rPr>
            </w:pPr>
            <w:r w:rsidRPr="00A750F4">
              <w:rPr>
                <w:b/>
              </w:rPr>
              <w:t>Technical</w:t>
            </w:r>
          </w:p>
        </w:tc>
        <w:tc>
          <w:tcPr>
            <w:tcW w:w="1796" w:type="dxa"/>
            <w:shd w:val="clear" w:color="auto" w:fill="auto"/>
          </w:tcPr>
          <w:p w14:paraId="1F7D0444" w14:textId="77777777" w:rsidR="00A750F4" w:rsidRPr="00A750F4" w:rsidRDefault="00A750F4" w:rsidP="00A750F4">
            <w:pPr>
              <w:jc w:val="center"/>
              <w:rPr>
                <w:b/>
              </w:rPr>
            </w:pPr>
            <w:r w:rsidRPr="00A750F4">
              <w:rPr>
                <w:b/>
              </w:rPr>
              <w:t>Non-technical</w:t>
            </w:r>
          </w:p>
        </w:tc>
        <w:tc>
          <w:tcPr>
            <w:tcW w:w="1451" w:type="dxa"/>
          </w:tcPr>
          <w:p w14:paraId="1A1955DC" w14:textId="5E652BA5" w:rsidR="00A750F4" w:rsidRPr="00A750F4" w:rsidRDefault="00A750F4" w:rsidP="005D47BB">
            <w:pPr>
              <w:jc w:val="center"/>
              <w:rPr>
                <w:b/>
              </w:rPr>
            </w:pPr>
            <w:r w:rsidRPr="00A750F4">
              <w:rPr>
                <w:b/>
              </w:rPr>
              <w:t xml:space="preserve">No </w:t>
            </w:r>
            <w:r w:rsidR="005D47BB">
              <w:rPr>
                <w:b/>
              </w:rPr>
              <w:t>D</w:t>
            </w:r>
            <w:r w:rsidR="005D47BB" w:rsidRPr="00A750F4">
              <w:rPr>
                <w:b/>
              </w:rPr>
              <w:t>isclosure</w:t>
            </w:r>
          </w:p>
        </w:tc>
      </w:tr>
      <w:tr w:rsidR="00A750F4" w:rsidRPr="00A750F4" w14:paraId="2E54AA91" w14:textId="77777777" w:rsidTr="002F66EE">
        <w:tc>
          <w:tcPr>
            <w:tcW w:w="1922" w:type="dxa"/>
            <w:vMerge w:val="restart"/>
            <w:shd w:val="clear" w:color="auto" w:fill="auto"/>
          </w:tcPr>
          <w:p w14:paraId="5F9FEC61" w14:textId="77777777" w:rsidR="00A750F4" w:rsidRPr="00A750F4" w:rsidRDefault="00A750F4" w:rsidP="00A750F4">
            <w:pPr>
              <w:jc w:val="right"/>
              <w:rPr>
                <w:b/>
              </w:rPr>
            </w:pPr>
            <w:r w:rsidRPr="00A750F4">
              <w:rPr>
                <w:b/>
              </w:rPr>
              <w:t>Oncologists</w:t>
            </w:r>
          </w:p>
        </w:tc>
        <w:tc>
          <w:tcPr>
            <w:tcW w:w="1853" w:type="dxa"/>
            <w:shd w:val="clear" w:color="auto" w:fill="auto"/>
          </w:tcPr>
          <w:p w14:paraId="153C2E37" w14:textId="77777777" w:rsidR="00A750F4" w:rsidRPr="00A750F4" w:rsidRDefault="00A750F4" w:rsidP="00A750F4">
            <w:pPr>
              <w:jc w:val="right"/>
            </w:pPr>
            <w:r w:rsidRPr="00A750F4">
              <w:t>Present</w:t>
            </w:r>
          </w:p>
        </w:tc>
        <w:tc>
          <w:tcPr>
            <w:tcW w:w="1834" w:type="dxa"/>
            <w:shd w:val="clear" w:color="auto" w:fill="auto"/>
          </w:tcPr>
          <w:p w14:paraId="40C5B9D0" w14:textId="77777777" w:rsidR="00A750F4" w:rsidRPr="00A750F4" w:rsidRDefault="00A750F4" w:rsidP="00A750F4">
            <w:pPr>
              <w:jc w:val="center"/>
            </w:pPr>
            <w:r w:rsidRPr="00A750F4">
              <w:t>•</w:t>
            </w:r>
          </w:p>
        </w:tc>
        <w:tc>
          <w:tcPr>
            <w:tcW w:w="1796" w:type="dxa"/>
            <w:shd w:val="clear" w:color="auto" w:fill="auto"/>
          </w:tcPr>
          <w:p w14:paraId="7C76457D" w14:textId="77777777" w:rsidR="00A750F4" w:rsidRPr="00A750F4" w:rsidRDefault="00A750F4" w:rsidP="00A750F4">
            <w:pPr>
              <w:jc w:val="center"/>
            </w:pPr>
            <w:r w:rsidRPr="00A750F4">
              <w:t>•</w:t>
            </w:r>
          </w:p>
        </w:tc>
        <w:tc>
          <w:tcPr>
            <w:tcW w:w="1451" w:type="dxa"/>
            <w:vMerge w:val="restart"/>
          </w:tcPr>
          <w:p w14:paraId="6054BFF3" w14:textId="77777777" w:rsidR="00A750F4" w:rsidRPr="00A750F4" w:rsidRDefault="00A750F4" w:rsidP="00A750F4">
            <w:pPr>
              <w:jc w:val="center"/>
            </w:pPr>
            <w:r w:rsidRPr="00A750F4">
              <w:t>Control</w:t>
            </w:r>
          </w:p>
        </w:tc>
      </w:tr>
      <w:tr w:rsidR="00A750F4" w:rsidRPr="00A750F4" w14:paraId="3A458AA1" w14:textId="77777777" w:rsidTr="002F66EE">
        <w:tc>
          <w:tcPr>
            <w:tcW w:w="1922" w:type="dxa"/>
            <w:vMerge/>
            <w:shd w:val="clear" w:color="auto" w:fill="auto"/>
          </w:tcPr>
          <w:p w14:paraId="012035A0" w14:textId="77777777" w:rsidR="00A750F4" w:rsidRPr="00A750F4" w:rsidRDefault="00A750F4" w:rsidP="00A750F4">
            <w:pPr>
              <w:jc w:val="right"/>
              <w:rPr>
                <w:b/>
              </w:rPr>
            </w:pPr>
          </w:p>
        </w:tc>
        <w:tc>
          <w:tcPr>
            <w:tcW w:w="1853" w:type="dxa"/>
            <w:shd w:val="clear" w:color="auto" w:fill="auto"/>
          </w:tcPr>
          <w:p w14:paraId="4BB5F066" w14:textId="77777777" w:rsidR="00A750F4" w:rsidRPr="00A750F4" w:rsidRDefault="00A750F4" w:rsidP="00A750F4">
            <w:pPr>
              <w:jc w:val="right"/>
            </w:pPr>
            <w:r w:rsidRPr="00A750F4">
              <w:t>Absent</w:t>
            </w:r>
          </w:p>
        </w:tc>
        <w:tc>
          <w:tcPr>
            <w:tcW w:w="1834" w:type="dxa"/>
            <w:shd w:val="clear" w:color="auto" w:fill="auto"/>
          </w:tcPr>
          <w:p w14:paraId="1DD45884" w14:textId="77777777" w:rsidR="00A750F4" w:rsidRPr="00A750F4" w:rsidRDefault="00A750F4" w:rsidP="00A750F4">
            <w:pPr>
              <w:jc w:val="center"/>
            </w:pPr>
            <w:r w:rsidRPr="00A750F4">
              <w:t>•</w:t>
            </w:r>
          </w:p>
        </w:tc>
        <w:tc>
          <w:tcPr>
            <w:tcW w:w="1796" w:type="dxa"/>
            <w:shd w:val="clear" w:color="auto" w:fill="auto"/>
          </w:tcPr>
          <w:p w14:paraId="76548EA0" w14:textId="77777777" w:rsidR="00A750F4" w:rsidRPr="00A750F4" w:rsidRDefault="00A750F4" w:rsidP="00A750F4">
            <w:pPr>
              <w:jc w:val="center"/>
            </w:pPr>
            <w:r w:rsidRPr="00A750F4">
              <w:t>•</w:t>
            </w:r>
          </w:p>
        </w:tc>
        <w:tc>
          <w:tcPr>
            <w:tcW w:w="1451" w:type="dxa"/>
            <w:vMerge/>
          </w:tcPr>
          <w:p w14:paraId="24F085B1" w14:textId="77777777" w:rsidR="00A750F4" w:rsidRPr="00A750F4" w:rsidRDefault="00A750F4" w:rsidP="00A750F4">
            <w:pPr>
              <w:jc w:val="center"/>
            </w:pPr>
          </w:p>
        </w:tc>
      </w:tr>
      <w:tr w:rsidR="00A750F4" w:rsidRPr="00A750F4" w14:paraId="149BA53E" w14:textId="77777777" w:rsidTr="002F66EE">
        <w:tc>
          <w:tcPr>
            <w:tcW w:w="1922" w:type="dxa"/>
            <w:vMerge w:val="restart"/>
            <w:shd w:val="clear" w:color="auto" w:fill="auto"/>
          </w:tcPr>
          <w:p w14:paraId="18E4063A" w14:textId="77777777" w:rsidR="00A750F4" w:rsidRPr="00A750F4" w:rsidRDefault="00A750F4" w:rsidP="00A750F4">
            <w:pPr>
              <w:jc w:val="right"/>
              <w:rPr>
                <w:b/>
              </w:rPr>
            </w:pPr>
            <w:r w:rsidRPr="00A750F4">
              <w:rPr>
                <w:b/>
              </w:rPr>
              <w:t>Primary Care Physicians</w:t>
            </w:r>
          </w:p>
        </w:tc>
        <w:tc>
          <w:tcPr>
            <w:tcW w:w="1853" w:type="dxa"/>
            <w:shd w:val="clear" w:color="auto" w:fill="auto"/>
          </w:tcPr>
          <w:p w14:paraId="7ECF9A56" w14:textId="77777777" w:rsidR="00A750F4" w:rsidRPr="00A750F4" w:rsidRDefault="00A750F4" w:rsidP="00A750F4">
            <w:pPr>
              <w:jc w:val="right"/>
            </w:pPr>
            <w:r w:rsidRPr="00A750F4">
              <w:t>Present</w:t>
            </w:r>
          </w:p>
        </w:tc>
        <w:tc>
          <w:tcPr>
            <w:tcW w:w="1834" w:type="dxa"/>
            <w:shd w:val="clear" w:color="auto" w:fill="auto"/>
          </w:tcPr>
          <w:p w14:paraId="7D60C914" w14:textId="77777777" w:rsidR="00A750F4" w:rsidRPr="00A750F4" w:rsidRDefault="00A750F4" w:rsidP="00A750F4">
            <w:pPr>
              <w:jc w:val="center"/>
            </w:pPr>
            <w:r w:rsidRPr="00A750F4">
              <w:t>•</w:t>
            </w:r>
          </w:p>
        </w:tc>
        <w:tc>
          <w:tcPr>
            <w:tcW w:w="1796" w:type="dxa"/>
            <w:shd w:val="clear" w:color="auto" w:fill="auto"/>
          </w:tcPr>
          <w:p w14:paraId="050EFD6E" w14:textId="77777777" w:rsidR="00A750F4" w:rsidRPr="00A750F4" w:rsidRDefault="00A750F4" w:rsidP="00A750F4">
            <w:pPr>
              <w:jc w:val="center"/>
            </w:pPr>
            <w:r w:rsidRPr="00A750F4">
              <w:t>•</w:t>
            </w:r>
          </w:p>
        </w:tc>
        <w:tc>
          <w:tcPr>
            <w:tcW w:w="1451" w:type="dxa"/>
            <w:vMerge w:val="restart"/>
          </w:tcPr>
          <w:p w14:paraId="2B1D0D80" w14:textId="77777777" w:rsidR="00A750F4" w:rsidRPr="00A750F4" w:rsidRDefault="00A750F4" w:rsidP="00A750F4">
            <w:pPr>
              <w:jc w:val="center"/>
            </w:pPr>
            <w:r w:rsidRPr="00A750F4">
              <w:t>Control</w:t>
            </w:r>
          </w:p>
        </w:tc>
      </w:tr>
      <w:tr w:rsidR="00A750F4" w:rsidRPr="00A750F4" w14:paraId="253389B6" w14:textId="77777777" w:rsidTr="002F66EE">
        <w:tc>
          <w:tcPr>
            <w:tcW w:w="1922" w:type="dxa"/>
            <w:vMerge/>
            <w:shd w:val="clear" w:color="auto" w:fill="auto"/>
          </w:tcPr>
          <w:p w14:paraId="321F08C7" w14:textId="77777777" w:rsidR="00A750F4" w:rsidRPr="00A750F4" w:rsidRDefault="00A750F4" w:rsidP="00A750F4"/>
        </w:tc>
        <w:tc>
          <w:tcPr>
            <w:tcW w:w="1853" w:type="dxa"/>
            <w:shd w:val="clear" w:color="auto" w:fill="auto"/>
          </w:tcPr>
          <w:p w14:paraId="6BA0782E" w14:textId="77777777" w:rsidR="00A750F4" w:rsidRPr="00A750F4" w:rsidRDefault="00A750F4" w:rsidP="00A750F4">
            <w:pPr>
              <w:jc w:val="right"/>
            </w:pPr>
            <w:r w:rsidRPr="00A750F4">
              <w:t>Absent</w:t>
            </w:r>
          </w:p>
        </w:tc>
        <w:tc>
          <w:tcPr>
            <w:tcW w:w="1834" w:type="dxa"/>
            <w:shd w:val="clear" w:color="auto" w:fill="auto"/>
          </w:tcPr>
          <w:p w14:paraId="062F7E44" w14:textId="77777777" w:rsidR="00A750F4" w:rsidRPr="00A750F4" w:rsidRDefault="00A750F4" w:rsidP="00A750F4">
            <w:pPr>
              <w:jc w:val="center"/>
            </w:pPr>
            <w:r w:rsidRPr="00A750F4">
              <w:t>•</w:t>
            </w:r>
          </w:p>
        </w:tc>
        <w:tc>
          <w:tcPr>
            <w:tcW w:w="1796" w:type="dxa"/>
            <w:shd w:val="clear" w:color="auto" w:fill="auto"/>
          </w:tcPr>
          <w:p w14:paraId="670BAC6D" w14:textId="77777777" w:rsidR="00A750F4" w:rsidRPr="00A750F4" w:rsidRDefault="00A750F4" w:rsidP="00A750F4">
            <w:pPr>
              <w:jc w:val="center"/>
            </w:pPr>
            <w:r w:rsidRPr="00A750F4">
              <w:t>•</w:t>
            </w:r>
          </w:p>
        </w:tc>
        <w:tc>
          <w:tcPr>
            <w:tcW w:w="1451" w:type="dxa"/>
            <w:vMerge/>
          </w:tcPr>
          <w:p w14:paraId="45E2B481" w14:textId="77777777" w:rsidR="00A750F4" w:rsidRPr="00A750F4" w:rsidRDefault="00A750F4" w:rsidP="00A750F4">
            <w:pPr>
              <w:jc w:val="center"/>
            </w:pPr>
          </w:p>
        </w:tc>
      </w:tr>
    </w:tbl>
    <w:p w14:paraId="2F63D286" w14:textId="77777777" w:rsidR="00A750F4" w:rsidRPr="00A750F4" w:rsidRDefault="00A750F4" w:rsidP="00A750F4"/>
    <w:p w14:paraId="23903BF8" w14:textId="77777777" w:rsidR="00A750F4" w:rsidRPr="00A750F4" w:rsidRDefault="00A750F4" w:rsidP="00A750F4">
      <w:pPr>
        <w:autoSpaceDE w:val="0"/>
        <w:autoSpaceDN w:val="0"/>
        <w:adjustRightInd w:val="0"/>
        <w:rPr>
          <w:color w:val="000000"/>
        </w:rPr>
      </w:pPr>
    </w:p>
    <w:p w14:paraId="6F595209" w14:textId="24474CF1" w:rsidR="00A750F4" w:rsidRDefault="00A750F4" w:rsidP="002F66EE">
      <w:pPr>
        <w:overflowPunct w:val="0"/>
        <w:autoSpaceDE w:val="0"/>
        <w:autoSpaceDN w:val="0"/>
        <w:adjustRightInd w:val="0"/>
        <w:ind w:left="720"/>
        <w:contextualSpacing/>
        <w:textAlignment w:val="baseline"/>
      </w:pPr>
      <w:r w:rsidRPr="00A750F4">
        <w:t>Specific disclosures will include material information specifically related to the particular data display in question.  As such, each specific disclosure may include clinical or statistical information related to the trial design, the statistical analysis plan of the trial, or any other material statistical or clinical information necessary for evaluation or interpretation of the data. The team developing the disclosures includes social science analysts, pharmacists, oncolog</w:t>
      </w:r>
      <w:r w:rsidR="00D2339E">
        <w:t xml:space="preserve">y </w:t>
      </w:r>
      <w:r w:rsidRPr="00A750F4">
        <w:t>medical officers, and an oncology nurse. An example of the general statement is “This presentation includes exploratory information of uncertain clinical utility and should be interpreted cautiously when used to make treatment decisions.”</w:t>
      </w:r>
    </w:p>
    <w:p w14:paraId="1AC9110F" w14:textId="77777777" w:rsidR="00A750F4" w:rsidRPr="00A750F4" w:rsidRDefault="00A750F4" w:rsidP="00A750F4">
      <w:pPr>
        <w:overflowPunct w:val="0"/>
        <w:autoSpaceDE w:val="0"/>
        <w:autoSpaceDN w:val="0"/>
        <w:adjustRightInd w:val="0"/>
        <w:ind w:firstLine="720"/>
        <w:contextualSpacing/>
        <w:textAlignment w:val="baseline"/>
      </w:pPr>
    </w:p>
    <w:p w14:paraId="50AD2545" w14:textId="77777777" w:rsidR="00A750F4" w:rsidRDefault="00A750F4" w:rsidP="002F66EE">
      <w:pPr>
        <w:overflowPunct w:val="0"/>
        <w:autoSpaceDE w:val="0"/>
        <w:autoSpaceDN w:val="0"/>
        <w:adjustRightInd w:val="0"/>
        <w:ind w:left="720"/>
        <w:contextualSpacing/>
        <w:textAlignment w:val="baseline"/>
      </w:pPr>
      <w:r w:rsidRPr="00A750F4">
        <w:t xml:space="preserve">Outcome variables will focus on the assessment of the data display as a whole as well as attention to the disclosure, if present. Specifically, we will examine recognition of the clinical endpoint in the data display, comprehension of the data display, perceptions of the exploratory nature of the data, and the perceived credibility of the promotional piece. We will also look at attention to the specific disclosure and the general statement, prescriber decisions, and prescriber preferences. This latter outcome variable will be determined by a secondary task at the end of the questionnaire that shows each participant all disclosure options and asks them to choose their preferred version. </w:t>
      </w:r>
    </w:p>
    <w:p w14:paraId="2EA01EF4" w14:textId="77777777" w:rsidR="00A750F4" w:rsidRPr="00A750F4" w:rsidRDefault="00A750F4" w:rsidP="00A750F4">
      <w:pPr>
        <w:overflowPunct w:val="0"/>
        <w:autoSpaceDE w:val="0"/>
        <w:autoSpaceDN w:val="0"/>
        <w:adjustRightInd w:val="0"/>
        <w:ind w:firstLine="720"/>
        <w:contextualSpacing/>
        <w:textAlignment w:val="baseline"/>
      </w:pPr>
    </w:p>
    <w:p w14:paraId="497C8329" w14:textId="4B905A3A" w:rsidR="00A175A1" w:rsidRDefault="00A750F4" w:rsidP="002F66EE">
      <w:pPr>
        <w:ind w:left="720"/>
        <w:contextualSpacing/>
      </w:pPr>
      <w:r w:rsidRPr="00A750F4">
        <w:lastRenderedPageBreak/>
        <w:t>Oncologists</w:t>
      </w:r>
      <w:r w:rsidR="00FF4548">
        <w:t xml:space="preserve"> and</w:t>
      </w:r>
      <w:r w:rsidRPr="00A750F4">
        <w:t xml:space="preserve"> primary care physicians</w:t>
      </w:r>
      <w:r w:rsidR="00FD144A">
        <w:t xml:space="preserve"> </w:t>
      </w:r>
      <w:r w:rsidRPr="00A750F4">
        <w:t xml:space="preserve">will be recruited to participate via Internet and the study is expected to take approximately 20 minutes. Participants will view professionally developed promotional pieces that mimic currently available promotion and answer questions.  </w:t>
      </w:r>
    </w:p>
    <w:p w14:paraId="4FD03A73" w14:textId="77777777" w:rsidR="00A750F4" w:rsidRPr="00A750F4" w:rsidRDefault="00A750F4" w:rsidP="00A750F4">
      <w:pPr>
        <w:contextualSpacing/>
      </w:pPr>
    </w:p>
    <w:p w14:paraId="1760BE59" w14:textId="070AA57B" w:rsidR="00C82FAA" w:rsidRPr="00C82FAA" w:rsidRDefault="00C82FAA" w:rsidP="002F66EE">
      <w:pPr>
        <w:spacing w:line="276" w:lineRule="auto"/>
        <w:ind w:firstLine="720"/>
        <w:contextualSpacing/>
        <w:rPr>
          <w:b/>
        </w:rPr>
      </w:pPr>
      <w:r w:rsidRPr="00C82FAA">
        <w:rPr>
          <w:b/>
        </w:rPr>
        <w:t>Specific Hypotheses</w:t>
      </w:r>
      <w:r w:rsidR="00DA51EF">
        <w:rPr>
          <w:b/>
        </w:rPr>
        <w:t xml:space="preserve"> and Research Questions (by Dependent Variable)</w:t>
      </w:r>
      <w:r w:rsidR="00E211B2">
        <w:rPr>
          <w:b/>
        </w:rPr>
        <w:t xml:space="preserve"> </w:t>
      </w:r>
    </w:p>
    <w:p w14:paraId="75732649" w14:textId="0893064F" w:rsidR="00C82FAA" w:rsidRDefault="00C82FAA" w:rsidP="00C82FAA">
      <w:pPr>
        <w:spacing w:line="276" w:lineRule="auto"/>
        <w:contextualSpacing/>
      </w:pPr>
    </w:p>
    <w:p w14:paraId="5CFC6C77" w14:textId="7D60F8FC" w:rsidR="00DA51EF" w:rsidRPr="002376ED" w:rsidRDefault="001574FB" w:rsidP="001574FB">
      <w:pPr>
        <w:numPr>
          <w:ilvl w:val="0"/>
          <w:numId w:val="11"/>
        </w:numPr>
        <w:spacing w:after="120" w:line="276" w:lineRule="auto"/>
        <w:rPr>
          <w:b/>
        </w:rPr>
      </w:pPr>
      <w:r>
        <w:tab/>
      </w:r>
      <w:r w:rsidR="00DA51EF">
        <w:rPr>
          <w:b/>
        </w:rPr>
        <w:t>Recognition</w:t>
      </w:r>
      <w:r w:rsidR="00DA51EF" w:rsidRPr="00913959">
        <w:rPr>
          <w:b/>
        </w:rPr>
        <w:t xml:space="preserve"> of clinical endpoint in data display </w:t>
      </w:r>
    </w:p>
    <w:p w14:paraId="5ADA01B2" w14:textId="59BFC6D7" w:rsidR="00DA51EF" w:rsidRPr="006A51F2" w:rsidRDefault="00DA51EF" w:rsidP="00DA51EF">
      <w:pPr>
        <w:numPr>
          <w:ilvl w:val="1"/>
          <w:numId w:val="11"/>
        </w:numPr>
        <w:spacing w:after="240" w:line="276" w:lineRule="auto"/>
      </w:pPr>
      <w:r w:rsidRPr="00733C9A">
        <w:rPr>
          <w:b/>
        </w:rPr>
        <w:t>RQ</w:t>
      </w:r>
      <w:r>
        <w:rPr>
          <w:b/>
        </w:rPr>
        <w:t>1</w:t>
      </w:r>
      <w:r>
        <w:t xml:space="preserve">: </w:t>
      </w:r>
      <w:bookmarkStart w:id="1" w:name="_Hlk503258535"/>
      <w:r w:rsidRPr="006A51F2">
        <w:t xml:space="preserve">Does </w:t>
      </w:r>
      <w:r w:rsidR="00FF4548">
        <w:t xml:space="preserve">specialty and oncology experience </w:t>
      </w:r>
      <w:r w:rsidRPr="006A51F2">
        <w:t xml:space="preserve">affect </w:t>
      </w:r>
      <w:r>
        <w:t>recognition</w:t>
      </w:r>
      <w:r w:rsidRPr="006A51F2">
        <w:t xml:space="preserve"> of the clinical endpoint in the data display? </w:t>
      </w:r>
      <w:bookmarkEnd w:id="1"/>
    </w:p>
    <w:p w14:paraId="787FFC27" w14:textId="77777777" w:rsidR="00DA51EF" w:rsidRPr="00F86403" w:rsidRDefault="00DA51EF" w:rsidP="00DA51EF">
      <w:pPr>
        <w:numPr>
          <w:ilvl w:val="1"/>
          <w:numId w:val="11"/>
        </w:numPr>
        <w:spacing w:line="276" w:lineRule="auto"/>
        <w:rPr>
          <w:u w:val="single"/>
        </w:rPr>
      </w:pPr>
      <w:r w:rsidRPr="00733C9A">
        <w:rPr>
          <w:b/>
        </w:rPr>
        <w:t>RQ</w:t>
      </w:r>
      <w:r>
        <w:rPr>
          <w:b/>
        </w:rPr>
        <w:t>2</w:t>
      </w:r>
      <w:r>
        <w:t xml:space="preserve">: </w:t>
      </w:r>
      <w:r w:rsidRPr="00F86403">
        <w:t>Will experimental condition (</w:t>
      </w:r>
      <w:r>
        <w:t xml:space="preserve">five </w:t>
      </w:r>
      <w:r w:rsidRPr="00F86403">
        <w:t>levels</w:t>
      </w:r>
      <w:r>
        <w:t>: control vs. general-present plus technical vs. general-absent plus technical vs. general-present plus nontechnical vs. general-absent plus nontechnical</w:t>
      </w:r>
      <w:r w:rsidRPr="00F86403">
        <w:t xml:space="preserve">) </w:t>
      </w:r>
      <w:r>
        <w:t>affect</w:t>
      </w:r>
      <w:r w:rsidRPr="00F86403">
        <w:t xml:space="preserve"> </w:t>
      </w:r>
      <w:r>
        <w:t>recognition</w:t>
      </w:r>
      <w:r w:rsidRPr="00F86403">
        <w:t xml:space="preserve"> of the clinical endpoint in the data display?</w:t>
      </w:r>
    </w:p>
    <w:p w14:paraId="60F952FC" w14:textId="77777777" w:rsidR="00DA51EF" w:rsidRPr="002376ED" w:rsidRDefault="00DA51EF" w:rsidP="00DA51EF">
      <w:pPr>
        <w:numPr>
          <w:ilvl w:val="0"/>
          <w:numId w:val="11"/>
        </w:numPr>
        <w:spacing w:before="240" w:after="120" w:line="276" w:lineRule="auto"/>
        <w:rPr>
          <w:b/>
        </w:rPr>
      </w:pPr>
      <w:r w:rsidRPr="006A51F2">
        <w:rPr>
          <w:b/>
        </w:rPr>
        <w:t>Comprehension of data display</w:t>
      </w:r>
    </w:p>
    <w:p w14:paraId="57F18043" w14:textId="77777777" w:rsidR="00DA51EF" w:rsidRDefault="00DA51EF" w:rsidP="00DA51EF">
      <w:pPr>
        <w:numPr>
          <w:ilvl w:val="1"/>
          <w:numId w:val="11"/>
        </w:numPr>
        <w:spacing w:line="276" w:lineRule="auto"/>
      </w:pPr>
      <w:r w:rsidRPr="00733C9A">
        <w:rPr>
          <w:b/>
        </w:rPr>
        <w:t>H</w:t>
      </w:r>
      <w:r>
        <w:rPr>
          <w:b/>
        </w:rPr>
        <w:t>YP1</w:t>
      </w:r>
      <w:r>
        <w:t xml:space="preserve">: </w:t>
      </w:r>
      <w:r w:rsidRPr="00F86403">
        <w:t>Participants exposed to a specific disclosure (technical or nontechnical) will have greater data display comprehension than participants not exposed to a specific disclosure (control group).</w:t>
      </w:r>
    </w:p>
    <w:p w14:paraId="40BA509D" w14:textId="77777777" w:rsidR="00CB0A88" w:rsidRPr="00F86403" w:rsidRDefault="00CB0A88" w:rsidP="00CB0A88">
      <w:pPr>
        <w:spacing w:line="276" w:lineRule="auto"/>
        <w:ind w:left="1440"/>
      </w:pPr>
    </w:p>
    <w:p w14:paraId="30E1244E" w14:textId="77777777" w:rsidR="00DA51EF" w:rsidRDefault="00DA51EF" w:rsidP="00DA51EF">
      <w:pPr>
        <w:numPr>
          <w:ilvl w:val="1"/>
          <w:numId w:val="11"/>
        </w:numPr>
        <w:spacing w:line="276" w:lineRule="auto"/>
      </w:pPr>
      <w:r w:rsidRPr="00733C9A">
        <w:rPr>
          <w:b/>
        </w:rPr>
        <w:t>H</w:t>
      </w:r>
      <w:r>
        <w:rPr>
          <w:b/>
        </w:rPr>
        <w:t>YP2</w:t>
      </w:r>
      <w:r>
        <w:t>: Participants exposed to a non</w:t>
      </w:r>
      <w:r w:rsidRPr="00F86403">
        <w:t>technical disclosure will have greater data display comprehension than participants exposed to a technical disclosure.</w:t>
      </w:r>
    </w:p>
    <w:p w14:paraId="38411BB0" w14:textId="77777777" w:rsidR="00760C09" w:rsidRDefault="00760C09" w:rsidP="00760C09">
      <w:pPr>
        <w:pStyle w:val="ListParagraph"/>
      </w:pPr>
    </w:p>
    <w:p w14:paraId="61453CFA" w14:textId="206F8331" w:rsidR="00760C09" w:rsidRPr="00F86403" w:rsidRDefault="00760C09" w:rsidP="00DA51EF">
      <w:pPr>
        <w:numPr>
          <w:ilvl w:val="1"/>
          <w:numId w:val="11"/>
        </w:numPr>
        <w:spacing w:line="276" w:lineRule="auto"/>
      </w:pPr>
      <w:r w:rsidRPr="00760C09">
        <w:rPr>
          <w:b/>
        </w:rPr>
        <w:t>HYP2b</w:t>
      </w:r>
      <w:r>
        <w:t xml:space="preserve">: Oncologists exposed to a technical disclosure will have greater data display comprehension whereas PCPs will have greater data display comprehension when exposed to non-technical disclosure (interaction effect). </w:t>
      </w:r>
    </w:p>
    <w:p w14:paraId="0B79DA08" w14:textId="77777777" w:rsidR="00DA51EF" w:rsidRPr="006A51F2" w:rsidRDefault="00DA51EF" w:rsidP="00DA51EF"/>
    <w:p w14:paraId="5CAE2498" w14:textId="77777777" w:rsidR="00DA51EF" w:rsidRPr="00F86403" w:rsidRDefault="00DA51EF" w:rsidP="00DA51EF">
      <w:pPr>
        <w:numPr>
          <w:ilvl w:val="1"/>
          <w:numId w:val="11"/>
        </w:numPr>
        <w:spacing w:line="276" w:lineRule="auto"/>
      </w:pPr>
      <w:r w:rsidRPr="00733C9A">
        <w:rPr>
          <w:b/>
        </w:rPr>
        <w:t>H</w:t>
      </w:r>
      <w:r>
        <w:rPr>
          <w:b/>
        </w:rPr>
        <w:t>YP3</w:t>
      </w:r>
      <w:r>
        <w:t xml:space="preserve">: </w:t>
      </w:r>
      <w:r w:rsidRPr="00F86403">
        <w:t xml:space="preserve">Participants exposed to a general statement and </w:t>
      </w:r>
      <w:r>
        <w:t xml:space="preserve">a </w:t>
      </w:r>
      <w:r w:rsidRPr="00F86403">
        <w:t xml:space="preserve">specific disclosure will have greater data display comprehension than participants exposed to </w:t>
      </w:r>
      <w:r>
        <w:t>a specific disclosure</w:t>
      </w:r>
      <w:r w:rsidRPr="00F86403">
        <w:t xml:space="preserve"> without a general statement.</w:t>
      </w:r>
    </w:p>
    <w:p w14:paraId="747977FF" w14:textId="256EA1EE" w:rsidR="00DA51EF" w:rsidRPr="00F86403" w:rsidRDefault="00DA51EF" w:rsidP="00DA51EF">
      <w:pPr>
        <w:numPr>
          <w:ilvl w:val="1"/>
          <w:numId w:val="11"/>
        </w:numPr>
        <w:spacing w:before="240" w:line="276" w:lineRule="auto"/>
      </w:pPr>
      <w:r w:rsidRPr="000801A9">
        <w:rPr>
          <w:b/>
        </w:rPr>
        <w:t>HYP</w:t>
      </w:r>
      <w:r>
        <w:rPr>
          <w:b/>
        </w:rPr>
        <w:t>4</w:t>
      </w:r>
      <w:r>
        <w:t xml:space="preserve">: </w:t>
      </w:r>
      <w:r w:rsidRPr="00F86403">
        <w:t>Specialists will have greater data display comprehension than PCPs.</w:t>
      </w:r>
    </w:p>
    <w:p w14:paraId="7BEEC5EC" w14:textId="77777777" w:rsidR="00DA51EF" w:rsidRPr="006A51F2" w:rsidRDefault="00DA51EF" w:rsidP="00DA51EF">
      <w:pPr>
        <w:ind w:left="1440"/>
        <w:rPr>
          <w:b/>
        </w:rPr>
      </w:pPr>
    </w:p>
    <w:p w14:paraId="122BF96E" w14:textId="77777777" w:rsidR="00DA51EF" w:rsidRPr="006A51F2" w:rsidRDefault="00DA51EF" w:rsidP="00DA51EF">
      <w:pPr>
        <w:numPr>
          <w:ilvl w:val="0"/>
          <w:numId w:val="11"/>
        </w:numPr>
        <w:spacing w:line="276" w:lineRule="auto"/>
        <w:ind w:right="720"/>
        <w:rPr>
          <w:b/>
        </w:rPr>
      </w:pPr>
      <w:r w:rsidRPr="006A51F2">
        <w:rPr>
          <w:b/>
        </w:rPr>
        <w:t xml:space="preserve">Perceived </w:t>
      </w:r>
      <w:r>
        <w:rPr>
          <w:b/>
        </w:rPr>
        <w:t>e</w:t>
      </w:r>
      <w:r w:rsidRPr="006A51F2">
        <w:rPr>
          <w:b/>
        </w:rPr>
        <w:t xml:space="preserve">xploratory </w:t>
      </w:r>
      <w:r>
        <w:rPr>
          <w:b/>
        </w:rPr>
        <w:t>n</w:t>
      </w:r>
      <w:r w:rsidRPr="006A51F2">
        <w:rPr>
          <w:b/>
        </w:rPr>
        <w:t xml:space="preserve">ature of </w:t>
      </w:r>
      <w:r>
        <w:rPr>
          <w:b/>
        </w:rPr>
        <w:t>da</w:t>
      </w:r>
      <w:r w:rsidRPr="006A51F2">
        <w:rPr>
          <w:b/>
        </w:rPr>
        <w:t xml:space="preserve">ta </w:t>
      </w:r>
    </w:p>
    <w:p w14:paraId="4D4F1FE0" w14:textId="77777777" w:rsidR="00DA51EF" w:rsidRPr="006A51F2" w:rsidRDefault="00DA51EF" w:rsidP="00DA51EF">
      <w:pPr>
        <w:numPr>
          <w:ilvl w:val="1"/>
          <w:numId w:val="11"/>
        </w:numPr>
        <w:spacing w:before="120" w:line="276" w:lineRule="auto"/>
      </w:pPr>
      <w:r w:rsidRPr="002376ED">
        <w:rPr>
          <w:b/>
        </w:rPr>
        <w:t>HYP</w:t>
      </w:r>
      <w:r>
        <w:rPr>
          <w:b/>
        </w:rPr>
        <w:t>5</w:t>
      </w:r>
      <w:r>
        <w:t xml:space="preserve">: </w:t>
      </w:r>
      <w:r w:rsidRPr="006A51F2">
        <w:t xml:space="preserve">Participants exposed to a general disclosure will have greater agreement that the data </w:t>
      </w:r>
      <w:r>
        <w:t>are</w:t>
      </w:r>
      <w:r w:rsidRPr="006A51F2">
        <w:t xml:space="preserve"> exploratory or uncertain than participants not exposed to a general disclosure.</w:t>
      </w:r>
    </w:p>
    <w:p w14:paraId="6F86AC90" w14:textId="77777777" w:rsidR="00DA51EF" w:rsidRPr="006A51F2" w:rsidRDefault="00DA51EF" w:rsidP="00DA51EF">
      <w:pPr>
        <w:numPr>
          <w:ilvl w:val="1"/>
          <w:numId w:val="11"/>
        </w:numPr>
        <w:spacing w:before="240" w:line="276" w:lineRule="auto"/>
      </w:pPr>
      <w:r w:rsidRPr="002376ED">
        <w:rPr>
          <w:b/>
        </w:rPr>
        <w:t>RQ</w:t>
      </w:r>
      <w:r>
        <w:rPr>
          <w:b/>
        </w:rPr>
        <w:t>3</w:t>
      </w:r>
      <w:r>
        <w:t xml:space="preserve">: </w:t>
      </w:r>
      <w:r w:rsidRPr="006A51F2">
        <w:t>Does experimental condition (</w:t>
      </w:r>
      <w:r>
        <w:t xml:space="preserve">five </w:t>
      </w:r>
      <w:r w:rsidRPr="006A51F2">
        <w:t>levels</w:t>
      </w:r>
      <w:r>
        <w:t>: control vs. general-present plus technical vs. general-absent plus technical vs. general-present plus nontechnical vs. general-absent plus nontechnical</w:t>
      </w:r>
      <w:r w:rsidRPr="006A51F2">
        <w:t xml:space="preserve">) affect perceptions of the exploratory/uncertain nature of the data? </w:t>
      </w:r>
    </w:p>
    <w:p w14:paraId="1C970880" w14:textId="5D158F25" w:rsidR="00DA51EF" w:rsidRPr="00733C9A" w:rsidRDefault="00DA51EF" w:rsidP="00DA51EF">
      <w:pPr>
        <w:numPr>
          <w:ilvl w:val="1"/>
          <w:numId w:val="11"/>
        </w:numPr>
        <w:autoSpaceDE w:val="0"/>
        <w:autoSpaceDN w:val="0"/>
        <w:adjustRightInd w:val="0"/>
        <w:spacing w:before="240" w:after="240"/>
      </w:pPr>
      <w:r w:rsidRPr="002376ED">
        <w:rPr>
          <w:b/>
        </w:rPr>
        <w:t>RQ</w:t>
      </w:r>
      <w:r>
        <w:rPr>
          <w:b/>
        </w:rPr>
        <w:t>4</w:t>
      </w:r>
      <w:r>
        <w:t xml:space="preserve">: </w:t>
      </w:r>
      <w:r w:rsidRPr="006A51F2">
        <w:t xml:space="preserve">Does </w:t>
      </w:r>
      <w:r w:rsidR="000A76F6">
        <w:t>specialty and oncology experience</w:t>
      </w:r>
      <w:r w:rsidR="00FF4548">
        <w:t xml:space="preserve"> </w:t>
      </w:r>
      <w:r w:rsidRPr="006A51F2">
        <w:t>affect perceptions of the exploratory/uncertain nature of the data?</w:t>
      </w:r>
    </w:p>
    <w:p w14:paraId="692DD776" w14:textId="77777777" w:rsidR="00DA51EF" w:rsidRPr="00A563F6" w:rsidRDefault="00DA51EF" w:rsidP="00DA51EF">
      <w:pPr>
        <w:numPr>
          <w:ilvl w:val="0"/>
          <w:numId w:val="11"/>
        </w:numPr>
        <w:spacing w:after="120" w:line="276" w:lineRule="auto"/>
        <w:rPr>
          <w:b/>
        </w:rPr>
      </w:pPr>
      <w:r w:rsidRPr="00A563F6">
        <w:rPr>
          <w:b/>
        </w:rPr>
        <w:t xml:space="preserve">Perceived </w:t>
      </w:r>
      <w:r>
        <w:rPr>
          <w:b/>
        </w:rPr>
        <w:t>c</w:t>
      </w:r>
      <w:r w:rsidRPr="00A563F6">
        <w:rPr>
          <w:b/>
        </w:rPr>
        <w:t xml:space="preserve">redibility of </w:t>
      </w:r>
      <w:r>
        <w:rPr>
          <w:b/>
        </w:rPr>
        <w:t>p</w:t>
      </w:r>
      <w:r w:rsidRPr="00A563F6">
        <w:rPr>
          <w:b/>
        </w:rPr>
        <w:t xml:space="preserve">romotional </w:t>
      </w:r>
      <w:r>
        <w:rPr>
          <w:b/>
        </w:rPr>
        <w:t>p</w:t>
      </w:r>
      <w:r w:rsidRPr="00A563F6">
        <w:rPr>
          <w:b/>
        </w:rPr>
        <w:t xml:space="preserve">iece </w:t>
      </w:r>
    </w:p>
    <w:p w14:paraId="1EAFB637" w14:textId="77777777" w:rsidR="00DA51EF" w:rsidRPr="00F86403" w:rsidRDefault="00DA51EF" w:rsidP="00DA51EF">
      <w:pPr>
        <w:numPr>
          <w:ilvl w:val="1"/>
          <w:numId w:val="11"/>
        </w:numPr>
        <w:spacing w:before="120" w:line="276" w:lineRule="auto"/>
      </w:pPr>
      <w:r w:rsidRPr="002376ED">
        <w:rPr>
          <w:b/>
        </w:rPr>
        <w:t>HYP</w:t>
      </w:r>
      <w:r>
        <w:rPr>
          <w:b/>
        </w:rPr>
        <w:t>6</w:t>
      </w:r>
      <w:r>
        <w:t xml:space="preserve">: </w:t>
      </w:r>
      <w:r w:rsidRPr="00F86403">
        <w:t>Participants exposed to a technical disclosure will perceive the stimuli as more credible and scientific tha</w:t>
      </w:r>
      <w:r>
        <w:t>n participants exposed to a non</w:t>
      </w:r>
      <w:r w:rsidRPr="00F86403">
        <w:t>technical disclosure.</w:t>
      </w:r>
    </w:p>
    <w:p w14:paraId="2C93E1FB" w14:textId="77777777" w:rsidR="00DA51EF" w:rsidRPr="006A51F2" w:rsidRDefault="00DA51EF" w:rsidP="00DA51EF">
      <w:pPr>
        <w:numPr>
          <w:ilvl w:val="1"/>
          <w:numId w:val="11"/>
        </w:numPr>
        <w:spacing w:before="120" w:line="276" w:lineRule="auto"/>
      </w:pPr>
      <w:r w:rsidRPr="002376ED">
        <w:rPr>
          <w:b/>
        </w:rPr>
        <w:t>RQ</w:t>
      </w:r>
      <w:r>
        <w:rPr>
          <w:b/>
        </w:rPr>
        <w:t>5</w:t>
      </w:r>
      <w:r>
        <w:t xml:space="preserve">: </w:t>
      </w:r>
      <w:r w:rsidRPr="006A51F2">
        <w:t xml:space="preserve">Will sales aids with no general or specific disclosures (control group) have the lowest perceived credibility compared to all other groups combined? </w:t>
      </w:r>
    </w:p>
    <w:p w14:paraId="06E6949D" w14:textId="77777777" w:rsidR="00DA51EF" w:rsidRPr="006A51F2" w:rsidRDefault="00DA51EF" w:rsidP="00DA51EF">
      <w:pPr>
        <w:ind w:left="1440"/>
      </w:pPr>
    </w:p>
    <w:p w14:paraId="56DFFD76" w14:textId="77777777" w:rsidR="00DA51EF" w:rsidRDefault="00DA51EF" w:rsidP="00DA51EF">
      <w:pPr>
        <w:numPr>
          <w:ilvl w:val="0"/>
          <w:numId w:val="11"/>
        </w:numPr>
        <w:spacing w:after="120" w:line="276" w:lineRule="auto"/>
        <w:rPr>
          <w:b/>
        </w:rPr>
      </w:pPr>
      <w:r>
        <w:rPr>
          <w:b/>
        </w:rPr>
        <w:t>Attention to specific d</w:t>
      </w:r>
      <w:r w:rsidRPr="00A563F6">
        <w:rPr>
          <w:b/>
        </w:rPr>
        <w:t xml:space="preserve">isclosure </w:t>
      </w:r>
    </w:p>
    <w:p w14:paraId="557D4E42" w14:textId="77777777" w:rsidR="00DA51EF" w:rsidRPr="00F86403" w:rsidRDefault="00DA51EF" w:rsidP="00DA51EF">
      <w:pPr>
        <w:numPr>
          <w:ilvl w:val="1"/>
          <w:numId w:val="11"/>
        </w:numPr>
        <w:spacing w:line="276" w:lineRule="auto"/>
      </w:pPr>
      <w:r w:rsidRPr="000801A9">
        <w:rPr>
          <w:b/>
        </w:rPr>
        <w:t>HYP</w:t>
      </w:r>
      <w:r>
        <w:rPr>
          <w:b/>
        </w:rPr>
        <w:t>7</w:t>
      </w:r>
      <w:r>
        <w:t xml:space="preserve">: </w:t>
      </w:r>
      <w:r w:rsidRPr="00F86403">
        <w:t xml:space="preserve">Participants exposed to a specific disclosure </w:t>
      </w:r>
      <w:r>
        <w:t xml:space="preserve">(either technical or nontechnical) </w:t>
      </w:r>
      <w:r w:rsidRPr="00F86403">
        <w:t>will be more likely to recall seeing a specific disclosure than those not exposed to a specific disclosure (control group).</w:t>
      </w:r>
    </w:p>
    <w:p w14:paraId="43302952" w14:textId="77777777" w:rsidR="00DA51EF" w:rsidRPr="00F86403" w:rsidRDefault="00DA51EF" w:rsidP="00DA51EF">
      <w:pPr>
        <w:numPr>
          <w:ilvl w:val="1"/>
          <w:numId w:val="11"/>
        </w:numPr>
        <w:spacing w:before="240" w:line="276" w:lineRule="auto"/>
      </w:pPr>
      <w:r w:rsidRPr="000801A9">
        <w:rPr>
          <w:b/>
        </w:rPr>
        <w:t>HYP</w:t>
      </w:r>
      <w:r>
        <w:rPr>
          <w:b/>
        </w:rPr>
        <w:t>8</w:t>
      </w:r>
      <w:r>
        <w:t>: Participants exposed to a non</w:t>
      </w:r>
      <w:r w:rsidRPr="00F86403">
        <w:t xml:space="preserve">technical disclosure will have greater </w:t>
      </w:r>
      <w:r>
        <w:t>specific-</w:t>
      </w:r>
      <w:r w:rsidRPr="00F86403">
        <w:t xml:space="preserve">disclosure recall than participants exposed to the technical disclosure. </w:t>
      </w:r>
    </w:p>
    <w:p w14:paraId="14151F98" w14:textId="1F21725C" w:rsidR="00DA51EF" w:rsidRPr="00F86403" w:rsidRDefault="00DA51EF" w:rsidP="00DA51EF">
      <w:pPr>
        <w:numPr>
          <w:ilvl w:val="1"/>
          <w:numId w:val="11"/>
        </w:numPr>
        <w:spacing w:before="240" w:line="276" w:lineRule="auto"/>
      </w:pPr>
      <w:r w:rsidRPr="000801A9">
        <w:rPr>
          <w:b/>
        </w:rPr>
        <w:t>HYP</w:t>
      </w:r>
      <w:r>
        <w:rPr>
          <w:b/>
        </w:rPr>
        <w:t>9</w:t>
      </w:r>
      <w:r>
        <w:t xml:space="preserve">: </w:t>
      </w:r>
      <w:r w:rsidRPr="00F86403">
        <w:t xml:space="preserve">Participants exposed to a general statement and a specific disclosure will have greater </w:t>
      </w:r>
      <w:r>
        <w:t>recognition</w:t>
      </w:r>
      <w:r w:rsidRPr="00F86403">
        <w:t xml:space="preserve"> of </w:t>
      </w:r>
      <w:r>
        <w:t xml:space="preserve">specific </w:t>
      </w:r>
      <w:r w:rsidRPr="00F86403">
        <w:t xml:space="preserve">disclosures than participants exposed to a specific disclosure without a general statement. </w:t>
      </w:r>
    </w:p>
    <w:p w14:paraId="1F7733FD" w14:textId="6731FA6D" w:rsidR="00DA51EF" w:rsidRDefault="00DA51EF" w:rsidP="00DA51EF">
      <w:pPr>
        <w:numPr>
          <w:ilvl w:val="1"/>
          <w:numId w:val="11"/>
        </w:numPr>
        <w:spacing w:before="240" w:line="276" w:lineRule="auto"/>
      </w:pPr>
      <w:r w:rsidRPr="000801A9">
        <w:rPr>
          <w:b/>
        </w:rPr>
        <w:t>RQ</w:t>
      </w:r>
      <w:r>
        <w:rPr>
          <w:b/>
        </w:rPr>
        <w:t>6</w:t>
      </w:r>
      <w:r>
        <w:t xml:space="preserve">: </w:t>
      </w:r>
      <w:r w:rsidRPr="00F86403">
        <w:t xml:space="preserve">Will </w:t>
      </w:r>
      <w:r w:rsidR="000A76F6">
        <w:t>specialty and oncology experience</w:t>
      </w:r>
      <w:r w:rsidR="00FF4548">
        <w:t xml:space="preserve"> </w:t>
      </w:r>
      <w:r>
        <w:t>affect</w:t>
      </w:r>
      <w:r w:rsidRPr="00F86403">
        <w:t xml:space="preserve"> whether participants notice the </w:t>
      </w:r>
      <w:r>
        <w:t xml:space="preserve">specific </w:t>
      </w:r>
      <w:r w:rsidRPr="00F86403">
        <w:t xml:space="preserve">disclosure? </w:t>
      </w:r>
    </w:p>
    <w:p w14:paraId="3B12297B" w14:textId="77777777" w:rsidR="00DA51EF" w:rsidRPr="00F86403" w:rsidRDefault="00DA51EF" w:rsidP="00DA51EF">
      <w:pPr>
        <w:spacing w:after="240"/>
        <w:ind w:left="1440"/>
      </w:pPr>
    </w:p>
    <w:p w14:paraId="42CE32D8" w14:textId="77777777" w:rsidR="00DA51EF" w:rsidRDefault="00DA51EF" w:rsidP="00DA51EF">
      <w:pPr>
        <w:numPr>
          <w:ilvl w:val="0"/>
          <w:numId w:val="11"/>
        </w:numPr>
        <w:spacing w:after="120" w:line="276" w:lineRule="auto"/>
        <w:rPr>
          <w:b/>
        </w:rPr>
      </w:pPr>
      <w:r>
        <w:rPr>
          <w:b/>
        </w:rPr>
        <w:t>Attention to general statement</w:t>
      </w:r>
    </w:p>
    <w:p w14:paraId="7B81562B" w14:textId="77777777" w:rsidR="00DA51EF" w:rsidRDefault="00DA51EF" w:rsidP="00DA51EF">
      <w:pPr>
        <w:numPr>
          <w:ilvl w:val="1"/>
          <w:numId w:val="11"/>
        </w:numPr>
        <w:spacing w:line="276" w:lineRule="auto"/>
      </w:pPr>
      <w:r w:rsidRPr="000801A9">
        <w:rPr>
          <w:b/>
        </w:rPr>
        <w:t>HYP</w:t>
      </w:r>
      <w:r>
        <w:rPr>
          <w:b/>
        </w:rPr>
        <w:t>10</w:t>
      </w:r>
      <w:r>
        <w:t xml:space="preserve">: </w:t>
      </w:r>
      <w:r w:rsidRPr="00F86403">
        <w:t xml:space="preserve">Participants exposed to a </w:t>
      </w:r>
      <w:r>
        <w:t>general statement</w:t>
      </w:r>
      <w:r w:rsidRPr="00F86403">
        <w:t xml:space="preserve"> will be more likely to recall seeing a </w:t>
      </w:r>
      <w:r>
        <w:t>general statement</w:t>
      </w:r>
      <w:r w:rsidRPr="00F86403">
        <w:t xml:space="preserve"> than those not exposed to a </w:t>
      </w:r>
      <w:r>
        <w:t>general statement</w:t>
      </w:r>
      <w:r w:rsidRPr="00F86403">
        <w:t>.</w:t>
      </w:r>
    </w:p>
    <w:p w14:paraId="2BD39753" w14:textId="572F02FA" w:rsidR="00DA51EF" w:rsidRPr="002B62ED" w:rsidRDefault="00DA51EF" w:rsidP="00DA51EF">
      <w:pPr>
        <w:numPr>
          <w:ilvl w:val="1"/>
          <w:numId w:val="11"/>
        </w:numPr>
        <w:spacing w:before="240" w:line="276" w:lineRule="auto"/>
      </w:pPr>
      <w:r w:rsidRPr="000801A9">
        <w:rPr>
          <w:b/>
        </w:rPr>
        <w:t>RQ</w:t>
      </w:r>
      <w:r>
        <w:rPr>
          <w:b/>
        </w:rPr>
        <w:t>7</w:t>
      </w:r>
      <w:r>
        <w:t xml:space="preserve">: </w:t>
      </w:r>
      <w:r w:rsidRPr="00F86403">
        <w:t xml:space="preserve">Will </w:t>
      </w:r>
      <w:r w:rsidR="000A76F6">
        <w:t xml:space="preserve">specialty and oncology experience </w:t>
      </w:r>
      <w:r>
        <w:t>affect</w:t>
      </w:r>
      <w:r w:rsidRPr="00F86403">
        <w:t xml:space="preserve"> whether participants notice the </w:t>
      </w:r>
      <w:r>
        <w:t>general statement</w:t>
      </w:r>
      <w:r w:rsidRPr="00F86403">
        <w:t xml:space="preserve">? </w:t>
      </w:r>
    </w:p>
    <w:p w14:paraId="6F610D9C" w14:textId="77777777" w:rsidR="00DA51EF" w:rsidRDefault="00DA51EF" w:rsidP="00DA51EF">
      <w:pPr>
        <w:ind w:left="720"/>
        <w:rPr>
          <w:b/>
        </w:rPr>
      </w:pPr>
    </w:p>
    <w:p w14:paraId="79541E4B" w14:textId="77777777" w:rsidR="00DA51EF" w:rsidRDefault="00DA51EF" w:rsidP="00DA51EF">
      <w:pPr>
        <w:numPr>
          <w:ilvl w:val="0"/>
          <w:numId w:val="11"/>
        </w:numPr>
        <w:spacing w:line="276" w:lineRule="auto"/>
        <w:rPr>
          <w:b/>
        </w:rPr>
      </w:pPr>
      <w:r w:rsidRPr="006A51F2">
        <w:rPr>
          <w:b/>
        </w:rPr>
        <w:t xml:space="preserve">Benefit </w:t>
      </w:r>
      <w:r>
        <w:rPr>
          <w:b/>
        </w:rPr>
        <w:t>p</w:t>
      </w:r>
      <w:r w:rsidRPr="006A51F2">
        <w:rPr>
          <w:b/>
        </w:rPr>
        <w:t>erceptions</w:t>
      </w:r>
    </w:p>
    <w:p w14:paraId="4851A55F" w14:textId="77777777" w:rsidR="00DA51EF" w:rsidRPr="00A563F6" w:rsidRDefault="00DA51EF" w:rsidP="00DA51EF">
      <w:pPr>
        <w:numPr>
          <w:ilvl w:val="1"/>
          <w:numId w:val="11"/>
        </w:numPr>
        <w:spacing w:line="276" w:lineRule="auto"/>
      </w:pPr>
      <w:r w:rsidRPr="002376ED">
        <w:rPr>
          <w:b/>
        </w:rPr>
        <w:t>HYP1</w:t>
      </w:r>
      <w:r>
        <w:rPr>
          <w:b/>
        </w:rPr>
        <w:t>1</w:t>
      </w:r>
      <w:r>
        <w:t xml:space="preserve">: </w:t>
      </w:r>
      <w:r w:rsidRPr="00A563F6">
        <w:t>Participants in the control condition will perceive the drug as more beneficial than participants exposed to a general statement or a specific disclosure.</w:t>
      </w:r>
    </w:p>
    <w:p w14:paraId="25BE9B3C" w14:textId="1D47C932" w:rsidR="00DA51EF" w:rsidRPr="006A51F2" w:rsidRDefault="00DA51EF" w:rsidP="00DA51EF">
      <w:pPr>
        <w:numPr>
          <w:ilvl w:val="1"/>
          <w:numId w:val="11"/>
        </w:numPr>
        <w:spacing w:before="240" w:line="276" w:lineRule="auto"/>
      </w:pPr>
      <w:r w:rsidRPr="002376ED">
        <w:rPr>
          <w:b/>
        </w:rPr>
        <w:t>RQ</w:t>
      </w:r>
      <w:r>
        <w:rPr>
          <w:b/>
        </w:rPr>
        <w:t>8</w:t>
      </w:r>
      <w:r>
        <w:t xml:space="preserve">: </w:t>
      </w:r>
      <w:r w:rsidRPr="006A51F2">
        <w:t xml:space="preserve">Does </w:t>
      </w:r>
      <w:r w:rsidR="00CF698F">
        <w:t xml:space="preserve">specialty and oncology experience </w:t>
      </w:r>
      <w:r w:rsidRPr="006A51F2">
        <w:t xml:space="preserve">affect benefit perceptions? </w:t>
      </w:r>
    </w:p>
    <w:p w14:paraId="1C562524" w14:textId="77777777" w:rsidR="00DA51EF" w:rsidRPr="006A51F2" w:rsidRDefault="00DA51EF" w:rsidP="00DA51EF">
      <w:pPr>
        <w:ind w:left="1440"/>
      </w:pPr>
    </w:p>
    <w:p w14:paraId="2FDB8F79" w14:textId="77777777" w:rsidR="00DA51EF" w:rsidRPr="006A51F2" w:rsidRDefault="00DA51EF" w:rsidP="00DA51EF">
      <w:pPr>
        <w:numPr>
          <w:ilvl w:val="0"/>
          <w:numId w:val="11"/>
        </w:numPr>
        <w:spacing w:line="276" w:lineRule="auto"/>
        <w:rPr>
          <w:b/>
        </w:rPr>
      </w:pPr>
      <w:r w:rsidRPr="006A51F2">
        <w:rPr>
          <w:b/>
        </w:rPr>
        <w:t xml:space="preserve">Prescribing </w:t>
      </w:r>
      <w:r>
        <w:rPr>
          <w:b/>
        </w:rPr>
        <w:t>d</w:t>
      </w:r>
      <w:r w:rsidRPr="006A51F2">
        <w:rPr>
          <w:b/>
        </w:rPr>
        <w:t>ecisions</w:t>
      </w:r>
    </w:p>
    <w:p w14:paraId="6C6E10BA" w14:textId="77777777" w:rsidR="00DA51EF" w:rsidRPr="006A51F2" w:rsidRDefault="00DA51EF" w:rsidP="00DA51EF">
      <w:pPr>
        <w:numPr>
          <w:ilvl w:val="1"/>
          <w:numId w:val="11"/>
        </w:numPr>
        <w:spacing w:before="240" w:line="276" w:lineRule="auto"/>
      </w:pPr>
      <w:r w:rsidRPr="002376ED">
        <w:rPr>
          <w:b/>
        </w:rPr>
        <w:t>HYP1</w:t>
      </w:r>
      <w:r>
        <w:rPr>
          <w:b/>
        </w:rPr>
        <w:t>2</w:t>
      </w:r>
      <w:r>
        <w:t>: P</w:t>
      </w:r>
      <w:r w:rsidRPr="006A51F2">
        <w:t>articipants not exposed to specific or general disclosures (control group) will report greater intentions to prescribe the advertised drug than those exposed to disclosures (all other groups combined).</w:t>
      </w:r>
    </w:p>
    <w:p w14:paraId="5B4A33DA" w14:textId="77777777" w:rsidR="00DA51EF" w:rsidRPr="00913959" w:rsidRDefault="00DA51EF" w:rsidP="00DA51EF">
      <w:pPr>
        <w:numPr>
          <w:ilvl w:val="1"/>
          <w:numId w:val="11"/>
        </w:numPr>
        <w:spacing w:before="240" w:line="276" w:lineRule="auto"/>
      </w:pPr>
      <w:r w:rsidRPr="002376ED">
        <w:rPr>
          <w:b/>
        </w:rPr>
        <w:t>RQ</w:t>
      </w:r>
      <w:r>
        <w:rPr>
          <w:b/>
        </w:rPr>
        <w:t>9</w:t>
      </w:r>
      <w:r>
        <w:t xml:space="preserve">: </w:t>
      </w:r>
      <w:r w:rsidRPr="00913959">
        <w:t>Will the presence of a general statement affect intentions to prescribe?</w:t>
      </w:r>
    </w:p>
    <w:p w14:paraId="48B41AF2" w14:textId="77777777" w:rsidR="00DA51EF" w:rsidRPr="006A51F2" w:rsidRDefault="00DA51EF" w:rsidP="00DA51EF"/>
    <w:p w14:paraId="407A8D35" w14:textId="77777777" w:rsidR="00DA51EF" w:rsidRPr="006655B1" w:rsidRDefault="00DA51EF" w:rsidP="00DA51EF">
      <w:pPr>
        <w:numPr>
          <w:ilvl w:val="0"/>
          <w:numId w:val="11"/>
        </w:numPr>
        <w:spacing w:after="120" w:line="276" w:lineRule="auto"/>
        <w:rPr>
          <w:b/>
        </w:rPr>
      </w:pPr>
      <w:r w:rsidRPr="006A51F2">
        <w:rPr>
          <w:b/>
        </w:rPr>
        <w:t xml:space="preserve">Disclosure </w:t>
      </w:r>
      <w:r>
        <w:rPr>
          <w:b/>
        </w:rPr>
        <w:t>p</w:t>
      </w:r>
      <w:r w:rsidRPr="006A51F2">
        <w:rPr>
          <w:b/>
        </w:rPr>
        <w:t>references</w:t>
      </w:r>
    </w:p>
    <w:p w14:paraId="52D5D820" w14:textId="77777777" w:rsidR="00DA51EF" w:rsidRDefault="00DA51EF" w:rsidP="00DA51EF">
      <w:pPr>
        <w:numPr>
          <w:ilvl w:val="1"/>
          <w:numId w:val="11"/>
        </w:numPr>
        <w:spacing w:before="240" w:line="276" w:lineRule="auto"/>
      </w:pPr>
      <w:r w:rsidRPr="002376ED">
        <w:rPr>
          <w:b/>
        </w:rPr>
        <w:t>RQ1</w:t>
      </w:r>
      <w:r>
        <w:rPr>
          <w:b/>
        </w:rPr>
        <w:t>0</w:t>
      </w:r>
      <w:r>
        <w:t xml:space="preserve">: </w:t>
      </w:r>
      <w:r w:rsidRPr="00913959">
        <w:t>When asked whether a data display should include either a general statement or a specific disclosure, which type of disclosure will participants prefer (and why)?</w:t>
      </w:r>
    </w:p>
    <w:p w14:paraId="70D12B79" w14:textId="77777777" w:rsidR="00DA51EF" w:rsidRPr="006A51F2" w:rsidRDefault="00DA51EF" w:rsidP="00DA51EF"/>
    <w:p w14:paraId="237DB7B8" w14:textId="77777777" w:rsidR="00DA51EF" w:rsidRPr="006A51F2" w:rsidRDefault="00DA51EF" w:rsidP="00DA51EF">
      <w:pPr>
        <w:numPr>
          <w:ilvl w:val="0"/>
          <w:numId w:val="11"/>
        </w:numPr>
        <w:spacing w:after="120" w:line="276" w:lineRule="auto"/>
        <w:rPr>
          <w:b/>
          <w:u w:val="single"/>
        </w:rPr>
      </w:pPr>
      <w:r>
        <w:rPr>
          <w:b/>
        </w:rPr>
        <w:t>Time spent viewing s</w:t>
      </w:r>
      <w:r w:rsidRPr="006A51F2">
        <w:rPr>
          <w:b/>
        </w:rPr>
        <w:t>timuli</w:t>
      </w:r>
    </w:p>
    <w:p w14:paraId="28FDE3F0" w14:textId="6582D7BD" w:rsidR="00DA51EF" w:rsidRPr="006A51F2" w:rsidRDefault="00DA51EF" w:rsidP="00DA51EF">
      <w:pPr>
        <w:numPr>
          <w:ilvl w:val="1"/>
          <w:numId w:val="11"/>
        </w:numPr>
        <w:spacing w:line="276" w:lineRule="auto"/>
      </w:pPr>
      <w:r w:rsidRPr="002376ED">
        <w:rPr>
          <w:b/>
        </w:rPr>
        <w:t>RQ1</w:t>
      </w:r>
      <w:r>
        <w:rPr>
          <w:b/>
        </w:rPr>
        <w:t>1</w:t>
      </w:r>
      <w:r>
        <w:t xml:space="preserve">: </w:t>
      </w:r>
      <w:r w:rsidRPr="006A51F2">
        <w:t xml:space="preserve">How long will providers take to read the promotional piece (e.g., time spent viewing promotional piece)? </w:t>
      </w:r>
      <w:bookmarkStart w:id="2" w:name="_Hlk503257764"/>
      <w:r w:rsidRPr="006A51F2">
        <w:t xml:space="preserve">Will this differ by </w:t>
      </w:r>
      <w:r w:rsidR="00CF698F">
        <w:t>specialty and oncology experience</w:t>
      </w:r>
      <w:bookmarkEnd w:id="2"/>
      <w:r w:rsidRPr="006A51F2">
        <w:t xml:space="preserve">? </w:t>
      </w:r>
    </w:p>
    <w:p w14:paraId="1ED13F7A" w14:textId="77777777" w:rsidR="00C82FAA" w:rsidRPr="00792203" w:rsidRDefault="00C82FAA" w:rsidP="00C82FAA">
      <w:pPr>
        <w:spacing w:line="276" w:lineRule="auto"/>
        <w:contextualSpacing/>
      </w:pPr>
    </w:p>
    <w:p w14:paraId="3F030260" w14:textId="77777777" w:rsidR="00CA557D" w:rsidRDefault="00CA557D" w:rsidP="00282179">
      <w:pPr>
        <w:spacing w:line="276" w:lineRule="auto"/>
        <w:rPr>
          <w:b/>
        </w:rPr>
      </w:pPr>
      <w:r w:rsidRPr="008B019A">
        <w:rPr>
          <w:b/>
        </w:rPr>
        <w:t>Analysis Plan</w:t>
      </w:r>
    </w:p>
    <w:p w14:paraId="717EE1E2" w14:textId="77777777" w:rsidR="00282179" w:rsidRPr="002A6AB0" w:rsidRDefault="00282179" w:rsidP="00282179">
      <w:pPr>
        <w:spacing w:line="276" w:lineRule="auto"/>
        <w:rPr>
          <w:b/>
        </w:rPr>
      </w:pPr>
    </w:p>
    <w:p w14:paraId="70B473FC" w14:textId="77777777" w:rsidR="002A1D6D" w:rsidRPr="002A1D6D" w:rsidRDefault="002A1D6D" w:rsidP="002A1D6D">
      <w:pPr>
        <w:pStyle w:val="Heading2"/>
        <w:numPr>
          <w:ilvl w:val="0"/>
          <w:numId w:val="0"/>
        </w:numPr>
        <w:spacing w:before="0" w:after="240" w:line="320" w:lineRule="exact"/>
        <w:ind w:left="720"/>
        <w:rPr>
          <w:rFonts w:ascii="Times New Roman" w:hAnsi="Times New Roman"/>
        </w:rPr>
      </w:pPr>
      <w:bookmarkStart w:id="3" w:name="_Toc416425357"/>
      <w:bookmarkStart w:id="4" w:name="_Toc432690565"/>
      <w:r w:rsidRPr="002A1D6D">
        <w:rPr>
          <w:rFonts w:ascii="Times New Roman" w:hAnsi="Times New Roman"/>
        </w:rPr>
        <w:t>Descriptive Analysis</w:t>
      </w:r>
      <w:bookmarkEnd w:id="3"/>
      <w:bookmarkEnd w:id="4"/>
    </w:p>
    <w:p w14:paraId="55D279D0" w14:textId="77777777" w:rsidR="002A1D6D" w:rsidRDefault="002A1D6D" w:rsidP="002F66EE">
      <w:pPr>
        <w:spacing w:after="240"/>
        <w:ind w:left="720"/>
        <w:contextualSpacing/>
      </w:pPr>
      <w:r w:rsidRPr="002A1D6D">
        <w:t>During descriptive analysis, we will calculate frequency distributions and check the apparent validity of the data (i.e., range checks, frequency of missing responses, or response distribution). For continuous/ordinal variables, statistical output will include means, medians, standard deviations, ranges, and counts. For categorical variables, output will include counts and percentages.</w:t>
      </w:r>
    </w:p>
    <w:p w14:paraId="44946E2D" w14:textId="77777777" w:rsidR="0097740B" w:rsidRPr="002A1D6D" w:rsidRDefault="0097740B" w:rsidP="00C749AB">
      <w:pPr>
        <w:spacing w:after="240"/>
        <w:ind w:firstLine="720"/>
        <w:contextualSpacing/>
        <w:rPr>
          <w:highlight w:val="yellow"/>
        </w:rPr>
      </w:pPr>
    </w:p>
    <w:p w14:paraId="069816BA" w14:textId="77777777" w:rsidR="002A1D6D" w:rsidRDefault="002A1D6D" w:rsidP="002F66EE">
      <w:pPr>
        <w:spacing w:after="240"/>
        <w:ind w:left="720"/>
        <w:contextualSpacing/>
      </w:pPr>
      <w:r w:rsidRPr="002A1D6D">
        <w:t>In addition to frequency distributions, we will conduct three other types of analyses during this step. First, we will calculate reliability of composite variables and multi-item scales to determine if the individual items hang together as composite measures. Specifically, we will calculate Cronbach’s alpha for each composite variable. If alpha for a composite measure or scale does not meet our pre-established threshold of 0.75, we will discuss whether to use single-item measures rather than the composite or to consider such composites as indices (because of a theoretical reason to consider an aggregate measure regardless of item correspondence) in hypothesis testing.</w:t>
      </w:r>
    </w:p>
    <w:p w14:paraId="29D2F99F" w14:textId="77777777" w:rsidR="0097740B" w:rsidRPr="002A1D6D" w:rsidRDefault="0097740B" w:rsidP="00D2339E">
      <w:pPr>
        <w:spacing w:after="240"/>
        <w:contextualSpacing/>
        <w:rPr>
          <w:highlight w:val="yellow"/>
        </w:rPr>
      </w:pPr>
    </w:p>
    <w:p w14:paraId="60D78D6A" w14:textId="0E2B9ED9" w:rsidR="002A1D6D" w:rsidRDefault="002A1D6D" w:rsidP="002F66EE">
      <w:pPr>
        <w:spacing w:after="240"/>
        <w:ind w:left="720"/>
        <w:contextualSpacing/>
      </w:pPr>
      <w:r w:rsidRPr="002A1D6D">
        <w:t xml:space="preserve">Finally, we will conduct a non-response analysis to </w:t>
      </w:r>
      <w:r w:rsidR="0052445F" w:rsidRPr="0052445F">
        <w:t>compare the distribution patterns of responders with known population distributions. These comparisons will be limited to those variables for which we have population information (e.g., sex, age, race/ethnicity)</w:t>
      </w:r>
      <w:r w:rsidR="0052445F">
        <w:t xml:space="preserve">. </w:t>
      </w:r>
    </w:p>
    <w:p w14:paraId="70E152C5" w14:textId="33E2ECA5" w:rsidR="00451DF1" w:rsidRPr="00451DF1" w:rsidRDefault="001F07C5" w:rsidP="002F66EE">
      <w:pPr>
        <w:pStyle w:val="bodytextpsg"/>
        <w:spacing w:line="276" w:lineRule="auto"/>
        <w:ind w:left="432" w:firstLine="0"/>
        <w:rPr>
          <w:b/>
          <w:sz w:val="24"/>
          <w:szCs w:val="24"/>
        </w:rPr>
      </w:pPr>
      <w:r>
        <w:rPr>
          <w:b/>
          <w:sz w:val="24"/>
          <w:szCs w:val="24"/>
        </w:rPr>
        <w:t xml:space="preserve">     </w:t>
      </w:r>
      <w:r w:rsidR="00451DF1" w:rsidRPr="00451DF1">
        <w:rPr>
          <w:b/>
          <w:sz w:val="24"/>
          <w:szCs w:val="24"/>
        </w:rPr>
        <w:t>Hypothesis Testing</w:t>
      </w:r>
    </w:p>
    <w:p w14:paraId="3F73B2DF" w14:textId="4AA38246" w:rsidR="00402FA5" w:rsidRDefault="00BD66AF" w:rsidP="002F66EE">
      <w:pPr>
        <w:spacing w:after="240"/>
        <w:ind w:left="720"/>
        <w:contextualSpacing/>
      </w:pPr>
      <w:r w:rsidRPr="002A1D6D">
        <w:t xml:space="preserve">We will test hypothesized relationships implied by our central research questions by conducting one of several statistical tests as outlined below. </w:t>
      </w:r>
      <w:r w:rsidR="00402FA5" w:rsidRPr="00402FA5">
        <w:t xml:space="preserve">We will examine associations between demographic and background characteristics with outcomes of interests through chi-square tests for categorical outcomes and t-tests for continuous outcomes to control within subsequent models for such characteristics with notable differences across groups. </w:t>
      </w:r>
      <w:r w:rsidR="00D86E4E" w:rsidRPr="00D86E4E">
        <w:t xml:space="preserve">For analyses involving the control group, we will treat the </w:t>
      </w:r>
      <w:r w:rsidR="00FF4548">
        <w:t>2</w:t>
      </w:r>
      <w:r w:rsidR="00D86E4E" w:rsidRPr="00D86E4E">
        <w:t xml:space="preserve">×2×2+1 design as a </w:t>
      </w:r>
      <w:r w:rsidR="00CD4AA2">
        <w:t>2</w:t>
      </w:r>
      <w:r w:rsidR="00CD4AA2" w:rsidRPr="00D86E4E">
        <w:t xml:space="preserve"> </w:t>
      </w:r>
      <w:r w:rsidR="00D86E4E" w:rsidRPr="00D86E4E">
        <w:t>(</w:t>
      </w:r>
      <w:r w:rsidR="00CF698F">
        <w:t>specialty</w:t>
      </w:r>
      <w:r w:rsidR="00D86E4E" w:rsidRPr="00D86E4E">
        <w:t xml:space="preserve">: oncologist, PCP) × 5 (general statement and specific disclosure: technical disclosure/statement absent, technical disclosure/statement present, nontechnical disclosure/statement absent, nontechnical disclosure/statement present, control). For each study phase, we will implement two-way ANOVAs to test for significant differences in continuous outcome variables among experimental groups. </w:t>
      </w:r>
      <w:r w:rsidR="00D86E4E">
        <w:t>The</w:t>
      </w:r>
      <w:r w:rsidR="00402FA5" w:rsidRPr="00402FA5">
        <w:t xml:space="preserve"> two-way ANOVA models—and multinomial models for categorical outcomes—</w:t>
      </w:r>
      <w:r w:rsidR="00D86E4E">
        <w:t xml:space="preserve">will </w:t>
      </w:r>
      <w:r w:rsidR="00402FA5" w:rsidRPr="00402FA5">
        <w:t xml:space="preserve">determine whether there is a main effect of </w:t>
      </w:r>
      <w:r w:rsidR="00EF4E38">
        <w:t xml:space="preserve">training level or the five-level disclosure factor. </w:t>
      </w:r>
      <w:r w:rsidR="00EA2299">
        <w:t>In the main study,</w:t>
      </w:r>
      <w:r w:rsidR="00EA2299" w:rsidRPr="002A1D6D">
        <w:t xml:space="preserve"> we w</w:t>
      </w:r>
      <w:r w:rsidR="00EA2299">
        <w:t>ill also explicitly test for simple effects by specific disclosure (technical, non-technical, none) and general statement (present, absent)</w:t>
      </w:r>
      <w:r w:rsidR="00EA2299" w:rsidRPr="002A1D6D">
        <w:t>.</w:t>
      </w:r>
    </w:p>
    <w:p w14:paraId="3A79B4A3" w14:textId="77777777" w:rsidR="00D2339E" w:rsidRPr="00402FA5" w:rsidRDefault="00D2339E" w:rsidP="002F66EE">
      <w:pPr>
        <w:spacing w:after="240"/>
        <w:ind w:left="432" w:firstLine="720"/>
        <w:contextualSpacing/>
      </w:pPr>
    </w:p>
    <w:p w14:paraId="54A1DE11" w14:textId="57B40644" w:rsidR="00402FA5" w:rsidRDefault="00D2339E" w:rsidP="002F66EE">
      <w:pPr>
        <w:spacing w:after="240"/>
        <w:ind w:left="720"/>
        <w:contextualSpacing/>
      </w:pPr>
      <w:r>
        <w:t>We</w:t>
      </w:r>
      <w:r w:rsidR="00402FA5" w:rsidRPr="00402FA5">
        <w:t xml:space="preserve"> will define a set of planned contrasts to address specific research questions and hypotheses</w:t>
      </w:r>
      <w:r>
        <w:t>, conducting these</w:t>
      </w:r>
      <w:r w:rsidR="000933B1" w:rsidRPr="002A1D6D">
        <w:t xml:space="preserve"> planned comparisons based on hypothesized relationships </w:t>
      </w:r>
      <w:r w:rsidR="000933B1">
        <w:t xml:space="preserve">or post-hoc comparisons </w:t>
      </w:r>
      <w:r w:rsidR="000933B1" w:rsidRPr="002A1D6D">
        <w:t>to identify significant differences between specific experimental groups.</w:t>
      </w:r>
      <w:r w:rsidR="00B92C62">
        <w:t xml:space="preserve"> </w:t>
      </w:r>
      <w:r w:rsidR="00402FA5" w:rsidRPr="00402FA5">
        <w:t xml:space="preserve">To adjust for multiple comparisons, we will apply a post-hoc family-wise error-rate adjustment, such as a Bonferroni correction. If assumptions are violated for the ANOVA or categorical models mentioned above, nonparametric tests will be employed, such as the Kruskal-Wallis for independent samples or Welch’s ANOVA. Both alternatives help detect statistical differences should assumptions such as normality or equal variances not </w:t>
      </w:r>
      <w:r w:rsidR="00AA7F76">
        <w:t xml:space="preserve">be </w:t>
      </w:r>
      <w:r w:rsidR="00402FA5" w:rsidRPr="00402FA5">
        <w:t xml:space="preserve">met. </w:t>
      </w:r>
    </w:p>
    <w:p w14:paraId="2B865BFD" w14:textId="77777777" w:rsidR="00D2339E" w:rsidRPr="00402FA5" w:rsidRDefault="00D2339E" w:rsidP="002F66EE">
      <w:pPr>
        <w:spacing w:after="240"/>
        <w:ind w:left="720" w:firstLine="720"/>
        <w:contextualSpacing/>
      </w:pPr>
    </w:p>
    <w:p w14:paraId="32C20C37" w14:textId="7DC9911E" w:rsidR="00A052F4" w:rsidRDefault="006E688A" w:rsidP="002F66EE">
      <w:pPr>
        <w:spacing w:after="240"/>
        <w:ind w:left="720"/>
        <w:contextualSpacing/>
      </w:pPr>
      <w:r>
        <w:t>In the main test, s</w:t>
      </w:r>
      <w:r w:rsidR="00A052F4" w:rsidRPr="002A1D6D">
        <w:t>tatistical ou</w:t>
      </w:r>
      <w:r w:rsidR="00AA03A0">
        <w:t>tput will include, as appropriate,</w:t>
      </w:r>
      <w:r w:rsidR="00C61410">
        <w:t xml:space="preserve"> F or chi-square</w:t>
      </w:r>
      <w:r w:rsidR="00AA03A0">
        <w:t xml:space="preserve"> statistics, test </w:t>
      </w:r>
      <w:r w:rsidR="00A052F4" w:rsidRPr="002A1D6D">
        <w:t>degrees of freedom, p values, mean</w:t>
      </w:r>
      <w:r w:rsidR="00AA03A0">
        <w:t xml:space="preserve"> or proportional</w:t>
      </w:r>
      <w:r w:rsidR="00A052F4" w:rsidRPr="002A1D6D">
        <w:t xml:space="preserve"> differences, and standardized effect sizes. </w:t>
      </w:r>
    </w:p>
    <w:p w14:paraId="7F376230" w14:textId="77777777" w:rsidR="0097740B" w:rsidRDefault="0097740B" w:rsidP="00C749AB">
      <w:pPr>
        <w:spacing w:after="240"/>
        <w:ind w:firstLine="720"/>
        <w:contextualSpacing/>
        <w:rPr>
          <w:highlight w:val="green"/>
        </w:rPr>
      </w:pPr>
    </w:p>
    <w:p w14:paraId="7EF71ACB" w14:textId="77777777" w:rsidR="00CA557D" w:rsidRPr="006E688A" w:rsidRDefault="00CA557D" w:rsidP="006E688A">
      <w:pPr>
        <w:jc w:val="center"/>
        <w:rPr>
          <w:b/>
        </w:rPr>
      </w:pPr>
      <w:r w:rsidRPr="00821AA1">
        <w:rPr>
          <w:b/>
        </w:rPr>
        <w:t>Power</w:t>
      </w:r>
    </w:p>
    <w:p w14:paraId="2A4858ED" w14:textId="71EC5C30" w:rsidR="00F46038" w:rsidRPr="006E688A" w:rsidRDefault="00F46038" w:rsidP="006E688A">
      <w:pPr>
        <w:ind w:left="720"/>
      </w:pPr>
    </w:p>
    <w:p w14:paraId="4DF07A1B" w14:textId="77777777" w:rsidR="006E688A" w:rsidRDefault="006E688A" w:rsidP="006E688A">
      <w:pPr>
        <w:pStyle w:val="Heading2"/>
        <w:numPr>
          <w:ilvl w:val="0"/>
          <w:numId w:val="0"/>
        </w:numPr>
        <w:spacing w:before="0" w:after="0"/>
        <w:ind w:left="720"/>
        <w:rPr>
          <w:rFonts w:ascii="Times New Roman" w:hAnsi="Times New Roman"/>
        </w:rPr>
      </w:pPr>
      <w:bookmarkStart w:id="5" w:name="_Toc484764505"/>
      <w:r w:rsidRPr="006E688A">
        <w:rPr>
          <w:rFonts w:ascii="Times New Roman" w:hAnsi="Times New Roman"/>
        </w:rPr>
        <w:t>Pretest</w:t>
      </w:r>
      <w:bookmarkEnd w:id="5"/>
    </w:p>
    <w:p w14:paraId="368324E3" w14:textId="77777777" w:rsidR="006E688A" w:rsidRPr="006E688A" w:rsidRDefault="006E688A" w:rsidP="006E688A"/>
    <w:p w14:paraId="1D8940A4" w14:textId="35E1598B" w:rsidR="006E688A" w:rsidRDefault="006E688A" w:rsidP="002F66EE">
      <w:pPr>
        <w:pStyle w:val="BodyText"/>
        <w:spacing w:after="0" w:line="240" w:lineRule="auto"/>
        <w:ind w:left="720"/>
        <w:rPr>
          <w:rFonts w:ascii="Times New Roman" w:hAnsi="Times New Roman"/>
          <w:sz w:val="24"/>
          <w:szCs w:val="24"/>
        </w:rPr>
      </w:pPr>
      <w:r w:rsidRPr="006E688A">
        <w:rPr>
          <w:rFonts w:ascii="Times New Roman" w:hAnsi="Times New Roman"/>
          <w:sz w:val="24"/>
          <w:szCs w:val="24"/>
        </w:rPr>
        <w:t xml:space="preserve">The proposed sample size for </w:t>
      </w:r>
      <w:r w:rsidR="00CF7713">
        <w:rPr>
          <w:rFonts w:ascii="Times New Roman" w:hAnsi="Times New Roman"/>
          <w:sz w:val="24"/>
          <w:szCs w:val="24"/>
        </w:rPr>
        <w:t>the</w:t>
      </w:r>
      <w:r w:rsidRPr="006E688A">
        <w:rPr>
          <w:rFonts w:ascii="Times New Roman" w:hAnsi="Times New Roman"/>
          <w:sz w:val="24"/>
          <w:szCs w:val="24"/>
        </w:rPr>
        <w:t xml:space="preserve"> pretest is </w:t>
      </w:r>
      <w:r w:rsidR="00CD4AA2">
        <w:rPr>
          <w:rFonts w:ascii="Times New Roman" w:hAnsi="Times New Roman"/>
          <w:sz w:val="24"/>
          <w:szCs w:val="24"/>
        </w:rPr>
        <w:t>6</w:t>
      </w:r>
      <w:r w:rsidR="00CD4AA2" w:rsidRPr="006E688A">
        <w:rPr>
          <w:rFonts w:ascii="Times New Roman" w:hAnsi="Times New Roman"/>
          <w:sz w:val="24"/>
          <w:szCs w:val="24"/>
        </w:rPr>
        <w:t xml:space="preserve">0 </w:t>
      </w:r>
      <w:r w:rsidRPr="006E688A">
        <w:rPr>
          <w:rFonts w:ascii="Times New Roman" w:hAnsi="Times New Roman"/>
          <w:sz w:val="24"/>
          <w:szCs w:val="24"/>
        </w:rPr>
        <w:t>(</w:t>
      </w:r>
      <w:r w:rsidRPr="006E688A">
        <w:rPr>
          <w:rFonts w:ascii="Times New Roman" w:hAnsi="Times New Roman"/>
          <w:i/>
          <w:sz w:val="24"/>
          <w:szCs w:val="24"/>
        </w:rPr>
        <w:t xml:space="preserve">n </w:t>
      </w:r>
      <w:r w:rsidRPr="006E688A">
        <w:rPr>
          <w:rFonts w:ascii="Times New Roman" w:hAnsi="Times New Roman"/>
          <w:sz w:val="24"/>
          <w:szCs w:val="24"/>
        </w:rPr>
        <w:t xml:space="preserve">= 30 of each </w:t>
      </w:r>
      <w:r w:rsidR="0070177A" w:rsidRPr="004C1969">
        <w:rPr>
          <w:rFonts w:ascii="Times New Roman" w:hAnsi="Times New Roman"/>
          <w:sz w:val="24"/>
          <w:szCs w:val="24"/>
        </w:rPr>
        <w:t>specialty</w:t>
      </w:r>
      <w:r w:rsidRPr="006E688A">
        <w:rPr>
          <w:rFonts w:ascii="Times New Roman" w:hAnsi="Times New Roman"/>
          <w:sz w:val="24"/>
          <w:szCs w:val="24"/>
        </w:rPr>
        <w:t xml:space="preserve">). No power analysis was conducted because the purpose of the pretest will be to test the survey administration process and assess survey timing, as shown in </w:t>
      </w:r>
      <w:r w:rsidRPr="006E688A">
        <w:rPr>
          <w:rFonts w:ascii="Times New Roman" w:hAnsi="Times New Roman"/>
          <w:b/>
          <w:sz w:val="24"/>
          <w:szCs w:val="24"/>
        </w:rPr>
        <w:t>Table 2</w:t>
      </w:r>
      <w:r w:rsidRPr="006E688A">
        <w:rPr>
          <w:rFonts w:ascii="Times New Roman" w:hAnsi="Times New Roman"/>
          <w:sz w:val="24"/>
          <w:szCs w:val="24"/>
        </w:rPr>
        <w:t xml:space="preserve">. </w:t>
      </w:r>
    </w:p>
    <w:p w14:paraId="602ADB4D" w14:textId="77777777" w:rsidR="006E688A" w:rsidRPr="006E688A" w:rsidRDefault="006E688A" w:rsidP="006E688A">
      <w:pPr>
        <w:pStyle w:val="BodyText"/>
        <w:spacing w:after="0" w:line="240" w:lineRule="auto"/>
        <w:ind w:firstLine="720"/>
        <w:rPr>
          <w:rFonts w:ascii="Times New Roman" w:hAnsi="Times New Roman"/>
          <w:sz w:val="24"/>
          <w:szCs w:val="24"/>
        </w:rPr>
      </w:pPr>
    </w:p>
    <w:p w14:paraId="35819D75" w14:textId="08BF9813" w:rsidR="006E688A" w:rsidRPr="006E688A" w:rsidRDefault="006E688A" w:rsidP="002F66EE">
      <w:pPr>
        <w:pStyle w:val="ExhibitTitle"/>
        <w:spacing w:before="0" w:after="0" w:line="240" w:lineRule="auto"/>
        <w:ind w:left="1800" w:right="-660"/>
        <w:rPr>
          <w:rFonts w:ascii="Times New Roman" w:hAnsi="Times New Roman"/>
          <w:sz w:val="24"/>
          <w:szCs w:val="24"/>
        </w:rPr>
      </w:pPr>
      <w:bookmarkStart w:id="6" w:name="_Toc357768277"/>
      <w:bookmarkStart w:id="7" w:name="_Toc420496662"/>
      <w:bookmarkStart w:id="8" w:name="_Toc457397389"/>
      <w:bookmarkStart w:id="9" w:name="_Toc457478006"/>
      <w:r w:rsidRPr="006E688A">
        <w:rPr>
          <w:rFonts w:ascii="Times New Roman" w:hAnsi="Times New Roman"/>
          <w:sz w:val="24"/>
          <w:szCs w:val="24"/>
        </w:rPr>
        <w:t>Table 2.</w:t>
      </w:r>
      <w:r w:rsidRPr="006E688A">
        <w:rPr>
          <w:rFonts w:ascii="Times New Roman" w:hAnsi="Times New Roman"/>
          <w:sz w:val="24"/>
          <w:szCs w:val="24"/>
        </w:rPr>
        <w:tab/>
        <w:t xml:space="preserve">Pretest Sample Size </w:t>
      </w:r>
      <w:bookmarkEnd w:id="6"/>
      <w:bookmarkEnd w:id="7"/>
      <w:r w:rsidRPr="006E688A">
        <w:rPr>
          <w:rFonts w:ascii="Times New Roman" w:hAnsi="Times New Roman"/>
          <w:sz w:val="24"/>
          <w:szCs w:val="24"/>
        </w:rPr>
        <w:t xml:space="preserve">by Phase and </w:t>
      </w:r>
      <w:r w:rsidR="0070177A" w:rsidRPr="004C1969">
        <w:rPr>
          <w:rFonts w:ascii="Times New Roman" w:hAnsi="Times New Roman"/>
          <w:sz w:val="24"/>
          <w:szCs w:val="24"/>
        </w:rPr>
        <w:t>Specialty</w:t>
      </w:r>
      <w:bookmarkEnd w:id="8"/>
      <w:bookmarkEnd w:id="9"/>
      <w:r w:rsidRPr="006E688A">
        <w:rPr>
          <w:rFonts w:ascii="Times New Roman" w:hAnsi="Times New Roman"/>
          <w:sz w:val="24"/>
          <w:szCs w:val="24"/>
        </w:rPr>
        <w:t xml:space="preserve"> </w:t>
      </w:r>
    </w:p>
    <w:tbl>
      <w:tblPr>
        <w:tblW w:w="7735" w:type="dxa"/>
        <w:jc w:val="center"/>
        <w:tblLayout w:type="fixed"/>
        <w:tblCellMar>
          <w:left w:w="43" w:type="dxa"/>
          <w:right w:w="43" w:type="dxa"/>
        </w:tblCellMar>
        <w:tblLook w:val="04A0" w:firstRow="1" w:lastRow="0" w:firstColumn="1" w:lastColumn="0" w:noHBand="0" w:noVBand="1"/>
      </w:tblPr>
      <w:tblGrid>
        <w:gridCol w:w="3448"/>
        <w:gridCol w:w="892"/>
        <w:gridCol w:w="1595"/>
        <w:gridCol w:w="1800"/>
      </w:tblGrid>
      <w:tr w:rsidR="00CD4AA2" w:rsidRPr="006E688A" w14:paraId="36B706CC" w14:textId="77777777" w:rsidTr="002F66EE">
        <w:trPr>
          <w:cantSplit/>
          <w:jc w:val="center"/>
        </w:trPr>
        <w:tc>
          <w:tcPr>
            <w:tcW w:w="3448" w:type="dxa"/>
            <w:tcBorders>
              <w:top w:val="single" w:sz="4" w:space="0" w:color="auto"/>
              <w:left w:val="single" w:sz="4" w:space="0" w:color="auto"/>
              <w:bottom w:val="single" w:sz="4" w:space="0" w:color="auto"/>
              <w:right w:val="single" w:sz="6" w:space="0" w:color="FFFFFF"/>
            </w:tcBorders>
            <w:shd w:val="clear" w:color="auto" w:fill="0A357E"/>
            <w:vAlign w:val="bottom"/>
          </w:tcPr>
          <w:p w14:paraId="48826F17" w14:textId="77777777" w:rsidR="00CD4AA2" w:rsidRPr="006E688A" w:rsidRDefault="00CD4AA2" w:rsidP="006E688A">
            <w:pPr>
              <w:keepNext/>
              <w:rPr>
                <w:b/>
              </w:rPr>
            </w:pPr>
          </w:p>
        </w:tc>
        <w:tc>
          <w:tcPr>
            <w:tcW w:w="892" w:type="dxa"/>
            <w:tcBorders>
              <w:top w:val="single" w:sz="4" w:space="0" w:color="auto"/>
              <w:left w:val="single" w:sz="6" w:space="0" w:color="FFFFFF"/>
              <w:bottom w:val="single" w:sz="4" w:space="0" w:color="auto"/>
              <w:right w:val="single" w:sz="6" w:space="0" w:color="FFFFFF" w:themeColor="background1"/>
            </w:tcBorders>
            <w:shd w:val="clear" w:color="auto" w:fill="0A357E"/>
            <w:vAlign w:val="bottom"/>
          </w:tcPr>
          <w:p w14:paraId="4EEC9A2C" w14:textId="77777777" w:rsidR="00CD4AA2" w:rsidRPr="006E688A" w:rsidRDefault="00CD4AA2" w:rsidP="006E688A">
            <w:pPr>
              <w:keepNext/>
              <w:jc w:val="center"/>
              <w:rPr>
                <w:b/>
              </w:rPr>
            </w:pPr>
            <w:r w:rsidRPr="006E688A">
              <w:rPr>
                <w:b/>
              </w:rPr>
              <w:t>PCPs</w:t>
            </w:r>
          </w:p>
        </w:tc>
        <w:tc>
          <w:tcPr>
            <w:tcW w:w="1595" w:type="dxa"/>
            <w:tcBorders>
              <w:top w:val="single" w:sz="4" w:space="0" w:color="auto"/>
              <w:left w:val="single" w:sz="6" w:space="0" w:color="FFFFFF" w:themeColor="background1"/>
              <w:bottom w:val="single" w:sz="4" w:space="0" w:color="auto"/>
              <w:right w:val="single" w:sz="6" w:space="0" w:color="FFFFFF" w:themeColor="background1"/>
            </w:tcBorders>
            <w:shd w:val="clear" w:color="auto" w:fill="0A357E"/>
            <w:vAlign w:val="bottom"/>
          </w:tcPr>
          <w:p w14:paraId="65E37B80" w14:textId="77777777" w:rsidR="00CD4AA2" w:rsidRPr="006E688A" w:rsidRDefault="00CD4AA2" w:rsidP="006E688A">
            <w:pPr>
              <w:keepNext/>
              <w:jc w:val="center"/>
              <w:rPr>
                <w:b/>
              </w:rPr>
            </w:pPr>
            <w:r w:rsidRPr="006E688A">
              <w:rPr>
                <w:b/>
              </w:rPr>
              <w:t>Oncologists</w:t>
            </w:r>
          </w:p>
        </w:tc>
        <w:tc>
          <w:tcPr>
            <w:tcW w:w="1800" w:type="dxa"/>
            <w:tcBorders>
              <w:top w:val="single" w:sz="4" w:space="0" w:color="auto"/>
              <w:left w:val="single" w:sz="6" w:space="0" w:color="FFFFFF" w:themeColor="background1"/>
              <w:bottom w:val="single" w:sz="4" w:space="0" w:color="auto"/>
              <w:right w:val="single" w:sz="4" w:space="0" w:color="auto"/>
            </w:tcBorders>
            <w:shd w:val="clear" w:color="auto" w:fill="0A357E"/>
            <w:vAlign w:val="bottom"/>
          </w:tcPr>
          <w:p w14:paraId="6E6869FD" w14:textId="77777777" w:rsidR="00CD4AA2" w:rsidRPr="006E688A" w:rsidRDefault="00CD4AA2" w:rsidP="006E688A">
            <w:pPr>
              <w:keepNext/>
              <w:jc w:val="center"/>
              <w:rPr>
                <w:b/>
              </w:rPr>
            </w:pPr>
            <w:r w:rsidRPr="006E688A">
              <w:rPr>
                <w:b/>
              </w:rPr>
              <w:t>Total</w:t>
            </w:r>
          </w:p>
        </w:tc>
      </w:tr>
      <w:tr w:rsidR="00CD4AA2" w:rsidRPr="006E688A" w14:paraId="46532AD3" w14:textId="77777777" w:rsidTr="002F66EE">
        <w:trPr>
          <w:cantSplit/>
          <w:jc w:val="center"/>
        </w:trPr>
        <w:tc>
          <w:tcPr>
            <w:tcW w:w="3448" w:type="dxa"/>
            <w:tcBorders>
              <w:top w:val="single" w:sz="4" w:space="0" w:color="auto"/>
              <w:left w:val="single" w:sz="4" w:space="0" w:color="auto"/>
              <w:bottom w:val="single" w:sz="6" w:space="0" w:color="auto"/>
              <w:right w:val="single" w:sz="6" w:space="0" w:color="auto"/>
            </w:tcBorders>
            <w:shd w:val="clear" w:color="auto" w:fill="D9D9D9"/>
            <w:hideMark/>
          </w:tcPr>
          <w:p w14:paraId="268C8B90" w14:textId="77777777" w:rsidR="00CD4AA2" w:rsidRPr="006E688A" w:rsidRDefault="00CD4AA2" w:rsidP="006E688A">
            <w:pPr>
              <w:keepNext/>
              <w:rPr>
                <w:b/>
                <w:bCs/>
              </w:rPr>
            </w:pPr>
            <w:r w:rsidRPr="006E688A">
              <w:rPr>
                <w:b/>
                <w:bCs/>
              </w:rPr>
              <w:t>Phase 1: Promotional Piece #1</w:t>
            </w:r>
          </w:p>
        </w:tc>
        <w:tc>
          <w:tcPr>
            <w:tcW w:w="892" w:type="dxa"/>
            <w:tcBorders>
              <w:top w:val="single" w:sz="4" w:space="0" w:color="auto"/>
              <w:left w:val="single" w:sz="6" w:space="0" w:color="auto"/>
              <w:bottom w:val="single" w:sz="6" w:space="0" w:color="auto"/>
              <w:right w:val="single" w:sz="6" w:space="0" w:color="auto"/>
            </w:tcBorders>
          </w:tcPr>
          <w:p w14:paraId="78D2E9C7" w14:textId="77777777" w:rsidR="00CD4AA2" w:rsidRPr="006E688A" w:rsidRDefault="00CD4AA2" w:rsidP="006E688A">
            <w:pPr>
              <w:keepNext/>
              <w:jc w:val="center"/>
            </w:pPr>
            <w:r w:rsidRPr="006E688A">
              <w:rPr>
                <w:i/>
              </w:rPr>
              <w:t xml:space="preserve">n </w:t>
            </w:r>
            <w:r w:rsidRPr="006E688A">
              <w:t>= 10</w:t>
            </w:r>
          </w:p>
        </w:tc>
        <w:tc>
          <w:tcPr>
            <w:tcW w:w="1595" w:type="dxa"/>
            <w:tcBorders>
              <w:top w:val="single" w:sz="4" w:space="0" w:color="auto"/>
              <w:left w:val="single" w:sz="6" w:space="0" w:color="auto"/>
              <w:bottom w:val="single" w:sz="6" w:space="0" w:color="auto"/>
              <w:right w:val="single" w:sz="4" w:space="0" w:color="auto"/>
            </w:tcBorders>
          </w:tcPr>
          <w:p w14:paraId="4E5F68A9" w14:textId="77777777" w:rsidR="00CD4AA2" w:rsidRPr="006E688A" w:rsidRDefault="00CD4AA2" w:rsidP="006E688A">
            <w:pPr>
              <w:keepNext/>
              <w:jc w:val="center"/>
            </w:pPr>
            <w:r w:rsidRPr="006E688A">
              <w:rPr>
                <w:i/>
              </w:rPr>
              <w:t xml:space="preserve">n </w:t>
            </w:r>
            <w:r w:rsidRPr="006E688A">
              <w:t>= 10</w:t>
            </w:r>
          </w:p>
        </w:tc>
        <w:tc>
          <w:tcPr>
            <w:tcW w:w="1800" w:type="dxa"/>
            <w:tcBorders>
              <w:top w:val="single" w:sz="4" w:space="0" w:color="auto"/>
              <w:left w:val="single" w:sz="6" w:space="0" w:color="auto"/>
              <w:bottom w:val="single" w:sz="6" w:space="0" w:color="auto"/>
              <w:right w:val="single" w:sz="4" w:space="0" w:color="auto"/>
            </w:tcBorders>
            <w:vAlign w:val="center"/>
          </w:tcPr>
          <w:p w14:paraId="32501C1C" w14:textId="3ED5E894" w:rsidR="00CD4AA2" w:rsidRPr="006E688A" w:rsidRDefault="00CD4AA2" w:rsidP="006E688A">
            <w:pPr>
              <w:keepNext/>
              <w:jc w:val="center"/>
              <w:rPr>
                <w:b/>
              </w:rPr>
            </w:pPr>
            <w:r w:rsidRPr="006E688A">
              <w:rPr>
                <w:b/>
                <w:i/>
              </w:rPr>
              <w:t>N</w:t>
            </w:r>
            <w:r w:rsidRPr="006E688A">
              <w:rPr>
                <w:b/>
              </w:rPr>
              <w:t xml:space="preserve"> = </w:t>
            </w:r>
            <w:r>
              <w:rPr>
                <w:b/>
              </w:rPr>
              <w:t>2</w:t>
            </w:r>
            <w:r w:rsidRPr="006E688A">
              <w:rPr>
                <w:b/>
              </w:rPr>
              <w:t>0</w:t>
            </w:r>
          </w:p>
        </w:tc>
      </w:tr>
      <w:tr w:rsidR="00CD4AA2" w:rsidRPr="006E688A" w14:paraId="0A0D258F" w14:textId="77777777" w:rsidTr="002F66EE">
        <w:trPr>
          <w:cantSplit/>
          <w:jc w:val="center"/>
        </w:trPr>
        <w:tc>
          <w:tcPr>
            <w:tcW w:w="3448" w:type="dxa"/>
            <w:tcBorders>
              <w:top w:val="single" w:sz="6" w:space="0" w:color="auto"/>
              <w:left w:val="single" w:sz="4" w:space="0" w:color="auto"/>
              <w:bottom w:val="single" w:sz="6" w:space="0" w:color="auto"/>
              <w:right w:val="single" w:sz="6" w:space="0" w:color="auto"/>
            </w:tcBorders>
            <w:shd w:val="clear" w:color="auto" w:fill="D9D9D9"/>
          </w:tcPr>
          <w:p w14:paraId="7F9EB385" w14:textId="77777777" w:rsidR="00CD4AA2" w:rsidRPr="006E688A" w:rsidRDefault="00CD4AA2" w:rsidP="006E688A">
            <w:pPr>
              <w:keepNext/>
              <w:rPr>
                <w:b/>
                <w:bCs/>
              </w:rPr>
            </w:pPr>
            <w:r w:rsidRPr="006E688A">
              <w:rPr>
                <w:b/>
                <w:bCs/>
              </w:rPr>
              <w:t>Phase 2: Promotional Piece #2</w:t>
            </w:r>
          </w:p>
        </w:tc>
        <w:tc>
          <w:tcPr>
            <w:tcW w:w="892" w:type="dxa"/>
            <w:tcBorders>
              <w:top w:val="single" w:sz="6" w:space="0" w:color="auto"/>
              <w:left w:val="single" w:sz="6" w:space="0" w:color="auto"/>
              <w:bottom w:val="single" w:sz="6" w:space="0" w:color="auto"/>
              <w:right w:val="single" w:sz="6" w:space="0" w:color="auto"/>
            </w:tcBorders>
          </w:tcPr>
          <w:p w14:paraId="0659F17A" w14:textId="77777777" w:rsidR="00CD4AA2" w:rsidRPr="006E688A" w:rsidRDefault="00CD4AA2" w:rsidP="006E688A">
            <w:pPr>
              <w:keepNext/>
              <w:jc w:val="center"/>
            </w:pPr>
            <w:r w:rsidRPr="006E688A">
              <w:rPr>
                <w:i/>
              </w:rPr>
              <w:t xml:space="preserve">n </w:t>
            </w:r>
            <w:r w:rsidRPr="006E688A">
              <w:t>= 10</w:t>
            </w:r>
          </w:p>
        </w:tc>
        <w:tc>
          <w:tcPr>
            <w:tcW w:w="1595" w:type="dxa"/>
            <w:tcBorders>
              <w:top w:val="single" w:sz="6" w:space="0" w:color="auto"/>
              <w:left w:val="single" w:sz="6" w:space="0" w:color="auto"/>
              <w:bottom w:val="single" w:sz="6" w:space="0" w:color="auto"/>
              <w:right w:val="single" w:sz="4" w:space="0" w:color="auto"/>
            </w:tcBorders>
          </w:tcPr>
          <w:p w14:paraId="4391880C" w14:textId="77777777" w:rsidR="00CD4AA2" w:rsidRPr="006E688A" w:rsidRDefault="00CD4AA2" w:rsidP="006E688A">
            <w:pPr>
              <w:keepNext/>
              <w:jc w:val="center"/>
            </w:pPr>
            <w:r w:rsidRPr="006E688A">
              <w:rPr>
                <w:i/>
              </w:rPr>
              <w:t xml:space="preserve">n </w:t>
            </w:r>
            <w:r w:rsidRPr="006E688A">
              <w:t>= 10</w:t>
            </w:r>
          </w:p>
        </w:tc>
        <w:tc>
          <w:tcPr>
            <w:tcW w:w="1800" w:type="dxa"/>
            <w:tcBorders>
              <w:top w:val="single" w:sz="6" w:space="0" w:color="auto"/>
              <w:left w:val="single" w:sz="6" w:space="0" w:color="auto"/>
              <w:bottom w:val="single" w:sz="6" w:space="0" w:color="auto"/>
              <w:right w:val="single" w:sz="4" w:space="0" w:color="auto"/>
            </w:tcBorders>
            <w:vAlign w:val="center"/>
          </w:tcPr>
          <w:p w14:paraId="128B6E24" w14:textId="2F485CB8" w:rsidR="00CD4AA2" w:rsidRPr="006E688A" w:rsidRDefault="00CD4AA2" w:rsidP="006E688A">
            <w:pPr>
              <w:keepNext/>
              <w:jc w:val="center"/>
              <w:rPr>
                <w:b/>
              </w:rPr>
            </w:pPr>
            <w:r w:rsidRPr="006E688A">
              <w:rPr>
                <w:b/>
                <w:i/>
              </w:rPr>
              <w:t>N</w:t>
            </w:r>
            <w:r w:rsidRPr="006E688A">
              <w:rPr>
                <w:b/>
              </w:rPr>
              <w:t xml:space="preserve"> = </w:t>
            </w:r>
            <w:r>
              <w:rPr>
                <w:b/>
              </w:rPr>
              <w:t>2</w:t>
            </w:r>
            <w:r w:rsidRPr="006E688A">
              <w:rPr>
                <w:b/>
              </w:rPr>
              <w:t>0</w:t>
            </w:r>
          </w:p>
        </w:tc>
      </w:tr>
      <w:tr w:rsidR="00CD4AA2" w:rsidRPr="006E688A" w14:paraId="1495439C" w14:textId="77777777" w:rsidTr="002F66EE">
        <w:trPr>
          <w:cantSplit/>
          <w:jc w:val="center"/>
        </w:trPr>
        <w:tc>
          <w:tcPr>
            <w:tcW w:w="3448" w:type="dxa"/>
            <w:tcBorders>
              <w:top w:val="single" w:sz="6" w:space="0" w:color="auto"/>
              <w:left w:val="single" w:sz="4" w:space="0" w:color="auto"/>
              <w:bottom w:val="single" w:sz="6" w:space="0" w:color="auto"/>
              <w:right w:val="single" w:sz="6" w:space="0" w:color="auto"/>
            </w:tcBorders>
            <w:shd w:val="clear" w:color="auto" w:fill="D9D9D9"/>
          </w:tcPr>
          <w:p w14:paraId="3566A78E" w14:textId="77777777" w:rsidR="00CD4AA2" w:rsidRPr="006E688A" w:rsidRDefault="00CD4AA2" w:rsidP="006E688A">
            <w:pPr>
              <w:keepNext/>
              <w:rPr>
                <w:b/>
                <w:bCs/>
              </w:rPr>
            </w:pPr>
            <w:r w:rsidRPr="006E688A">
              <w:rPr>
                <w:b/>
                <w:bCs/>
              </w:rPr>
              <w:t>Phase 3: Promotional Piece #3</w:t>
            </w:r>
          </w:p>
        </w:tc>
        <w:tc>
          <w:tcPr>
            <w:tcW w:w="892" w:type="dxa"/>
            <w:tcBorders>
              <w:top w:val="single" w:sz="6" w:space="0" w:color="auto"/>
              <w:left w:val="single" w:sz="6" w:space="0" w:color="auto"/>
              <w:bottom w:val="single" w:sz="6" w:space="0" w:color="auto"/>
              <w:right w:val="single" w:sz="6" w:space="0" w:color="auto"/>
            </w:tcBorders>
          </w:tcPr>
          <w:p w14:paraId="3E36CCCD" w14:textId="77777777" w:rsidR="00CD4AA2" w:rsidRPr="006E688A" w:rsidRDefault="00CD4AA2" w:rsidP="006E688A">
            <w:pPr>
              <w:keepNext/>
              <w:jc w:val="center"/>
            </w:pPr>
            <w:r w:rsidRPr="006E688A">
              <w:rPr>
                <w:i/>
              </w:rPr>
              <w:t xml:space="preserve">n </w:t>
            </w:r>
            <w:r w:rsidRPr="006E688A">
              <w:t>= 10</w:t>
            </w:r>
          </w:p>
        </w:tc>
        <w:tc>
          <w:tcPr>
            <w:tcW w:w="1595" w:type="dxa"/>
            <w:tcBorders>
              <w:top w:val="single" w:sz="6" w:space="0" w:color="auto"/>
              <w:left w:val="single" w:sz="6" w:space="0" w:color="auto"/>
              <w:bottom w:val="single" w:sz="6" w:space="0" w:color="auto"/>
              <w:right w:val="single" w:sz="4" w:space="0" w:color="auto"/>
            </w:tcBorders>
          </w:tcPr>
          <w:p w14:paraId="575BA29F" w14:textId="77777777" w:rsidR="00CD4AA2" w:rsidRPr="006E688A" w:rsidRDefault="00CD4AA2" w:rsidP="006E688A">
            <w:pPr>
              <w:keepNext/>
              <w:jc w:val="center"/>
            </w:pPr>
            <w:r w:rsidRPr="006E688A">
              <w:rPr>
                <w:i/>
              </w:rPr>
              <w:t xml:space="preserve">n </w:t>
            </w:r>
            <w:r w:rsidRPr="006E688A">
              <w:t>= 10</w:t>
            </w:r>
          </w:p>
        </w:tc>
        <w:tc>
          <w:tcPr>
            <w:tcW w:w="1800" w:type="dxa"/>
            <w:tcBorders>
              <w:top w:val="single" w:sz="6" w:space="0" w:color="auto"/>
              <w:left w:val="single" w:sz="6" w:space="0" w:color="auto"/>
              <w:bottom w:val="single" w:sz="6" w:space="0" w:color="auto"/>
              <w:right w:val="single" w:sz="4" w:space="0" w:color="auto"/>
            </w:tcBorders>
            <w:vAlign w:val="center"/>
          </w:tcPr>
          <w:p w14:paraId="0748F2BF" w14:textId="0619C85A" w:rsidR="00CD4AA2" w:rsidRPr="006E688A" w:rsidRDefault="00CD4AA2" w:rsidP="006E688A">
            <w:pPr>
              <w:keepNext/>
              <w:jc w:val="center"/>
              <w:rPr>
                <w:b/>
              </w:rPr>
            </w:pPr>
            <w:r w:rsidRPr="006E688A">
              <w:rPr>
                <w:b/>
                <w:i/>
              </w:rPr>
              <w:t>N</w:t>
            </w:r>
            <w:r w:rsidRPr="006E688A">
              <w:rPr>
                <w:b/>
              </w:rPr>
              <w:t xml:space="preserve"> = </w:t>
            </w:r>
            <w:r>
              <w:rPr>
                <w:b/>
              </w:rPr>
              <w:t>2</w:t>
            </w:r>
            <w:r w:rsidRPr="006E688A">
              <w:rPr>
                <w:b/>
              </w:rPr>
              <w:t>0</w:t>
            </w:r>
          </w:p>
        </w:tc>
      </w:tr>
      <w:tr w:rsidR="006E688A" w:rsidRPr="006E688A" w14:paraId="039F462B" w14:textId="77777777" w:rsidTr="002F66EE">
        <w:trPr>
          <w:cantSplit/>
          <w:jc w:val="center"/>
        </w:trPr>
        <w:tc>
          <w:tcPr>
            <w:tcW w:w="5935" w:type="dxa"/>
            <w:gridSpan w:val="3"/>
            <w:tcBorders>
              <w:top w:val="single" w:sz="6" w:space="0" w:color="auto"/>
              <w:left w:val="single" w:sz="4" w:space="0" w:color="auto"/>
              <w:bottom w:val="single" w:sz="6" w:space="0" w:color="auto"/>
              <w:right w:val="single" w:sz="6" w:space="0" w:color="auto"/>
            </w:tcBorders>
            <w:shd w:val="clear" w:color="auto" w:fill="D9D9D9" w:themeFill="background1" w:themeFillShade="D9"/>
            <w:vAlign w:val="bottom"/>
          </w:tcPr>
          <w:p w14:paraId="3D4F7051" w14:textId="77777777" w:rsidR="006E688A" w:rsidRPr="006E688A" w:rsidRDefault="006E688A" w:rsidP="006E688A">
            <w:pPr>
              <w:keepNext/>
              <w:rPr>
                <w:b/>
              </w:rPr>
            </w:pPr>
            <w:r w:rsidRPr="006E688A">
              <w:rPr>
                <w:b/>
              </w:rPr>
              <w:t>Total</w:t>
            </w:r>
          </w:p>
        </w:tc>
        <w:tc>
          <w:tcPr>
            <w:tcW w:w="1800" w:type="dxa"/>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2B94B98E" w14:textId="2627DF71" w:rsidR="006E688A" w:rsidRPr="006E688A" w:rsidRDefault="006E688A" w:rsidP="006E688A">
            <w:pPr>
              <w:keepNext/>
              <w:jc w:val="center"/>
              <w:rPr>
                <w:b/>
              </w:rPr>
            </w:pPr>
            <w:r w:rsidRPr="006E688A">
              <w:rPr>
                <w:b/>
                <w:i/>
              </w:rPr>
              <w:t>N</w:t>
            </w:r>
            <w:r w:rsidRPr="006E688A">
              <w:rPr>
                <w:b/>
              </w:rPr>
              <w:t xml:space="preserve"> = </w:t>
            </w:r>
            <w:r w:rsidR="00CD4AA2">
              <w:rPr>
                <w:b/>
              </w:rPr>
              <w:t>6</w:t>
            </w:r>
            <w:r w:rsidR="00CD4AA2" w:rsidRPr="006E688A">
              <w:rPr>
                <w:b/>
              </w:rPr>
              <w:t>0</w:t>
            </w:r>
          </w:p>
        </w:tc>
      </w:tr>
      <w:tr w:rsidR="006E688A" w:rsidRPr="006E688A" w14:paraId="73611F2E" w14:textId="77777777" w:rsidTr="002F66EE">
        <w:trPr>
          <w:cantSplit/>
          <w:jc w:val="center"/>
        </w:trPr>
        <w:tc>
          <w:tcPr>
            <w:tcW w:w="7735" w:type="dxa"/>
            <w:gridSpan w:val="4"/>
            <w:tcBorders>
              <w:top w:val="single" w:sz="6" w:space="0" w:color="auto"/>
            </w:tcBorders>
            <w:shd w:val="clear" w:color="auto" w:fill="auto"/>
            <w:vAlign w:val="bottom"/>
          </w:tcPr>
          <w:p w14:paraId="1053A156" w14:textId="0D47196A" w:rsidR="006E688A" w:rsidRPr="006E688A" w:rsidRDefault="006E688A" w:rsidP="00CF7713">
            <w:pPr>
              <w:keepNext/>
            </w:pPr>
            <w:r w:rsidRPr="006E688A">
              <w:rPr>
                <w:i/>
              </w:rPr>
              <w:t>Note</w:t>
            </w:r>
            <w:r w:rsidR="00CF7713">
              <w:t xml:space="preserve">. </w:t>
            </w:r>
            <w:r w:rsidRPr="006E688A">
              <w:t>PCP = Primary care physician</w:t>
            </w:r>
          </w:p>
        </w:tc>
      </w:tr>
    </w:tbl>
    <w:p w14:paraId="672BF3B5" w14:textId="77777777" w:rsidR="006E688A" w:rsidRDefault="006E688A" w:rsidP="006E688A">
      <w:pPr>
        <w:pStyle w:val="Heading2"/>
        <w:numPr>
          <w:ilvl w:val="0"/>
          <w:numId w:val="0"/>
        </w:numPr>
        <w:spacing w:before="0" w:after="0"/>
        <w:ind w:left="720"/>
        <w:rPr>
          <w:rFonts w:ascii="Times New Roman" w:hAnsi="Times New Roman"/>
        </w:rPr>
      </w:pPr>
      <w:bookmarkStart w:id="10" w:name="_Toc484764506"/>
    </w:p>
    <w:p w14:paraId="6FF617BA" w14:textId="0E1AD5A7" w:rsidR="006E688A" w:rsidRPr="006E688A" w:rsidRDefault="006E688A" w:rsidP="006E688A">
      <w:pPr>
        <w:pStyle w:val="Heading2"/>
        <w:numPr>
          <w:ilvl w:val="0"/>
          <w:numId w:val="0"/>
        </w:numPr>
        <w:spacing w:before="0" w:after="0"/>
        <w:ind w:left="720"/>
        <w:rPr>
          <w:rFonts w:ascii="Times New Roman" w:hAnsi="Times New Roman"/>
        </w:rPr>
      </w:pPr>
      <w:r w:rsidRPr="006E688A">
        <w:rPr>
          <w:rFonts w:ascii="Times New Roman" w:hAnsi="Times New Roman"/>
        </w:rPr>
        <w:t>Main Stud</w:t>
      </w:r>
      <w:bookmarkEnd w:id="10"/>
      <w:r>
        <w:rPr>
          <w:rFonts w:ascii="Times New Roman" w:hAnsi="Times New Roman"/>
        </w:rPr>
        <w:t>ies</w:t>
      </w:r>
    </w:p>
    <w:p w14:paraId="1C3165AF" w14:textId="77777777" w:rsidR="006E688A" w:rsidRDefault="006E688A" w:rsidP="006E688A">
      <w:pPr>
        <w:pStyle w:val="BodyText"/>
        <w:spacing w:after="0" w:line="240" w:lineRule="auto"/>
        <w:rPr>
          <w:rFonts w:ascii="Times New Roman" w:hAnsi="Times New Roman"/>
          <w:sz w:val="24"/>
          <w:szCs w:val="24"/>
        </w:rPr>
      </w:pPr>
    </w:p>
    <w:p w14:paraId="4EF929B0" w14:textId="0462D94C" w:rsidR="006E688A" w:rsidRDefault="006E688A" w:rsidP="002F66EE">
      <w:pPr>
        <w:pStyle w:val="BodyText"/>
        <w:spacing w:after="0" w:line="240" w:lineRule="auto"/>
        <w:ind w:left="720"/>
        <w:rPr>
          <w:rFonts w:ascii="Times New Roman" w:hAnsi="Times New Roman"/>
          <w:sz w:val="24"/>
          <w:szCs w:val="24"/>
        </w:rPr>
      </w:pPr>
      <w:r w:rsidRPr="006E688A">
        <w:rPr>
          <w:rFonts w:ascii="Times New Roman" w:hAnsi="Times New Roman"/>
          <w:sz w:val="24"/>
          <w:szCs w:val="24"/>
        </w:rPr>
        <w:t xml:space="preserve">We have powered the main studies to detect moderately small effects. For analyses involving the control group, we will treat the </w:t>
      </w:r>
      <w:r w:rsidR="00CD4AA2">
        <w:rPr>
          <w:rFonts w:ascii="Times New Roman" w:hAnsi="Times New Roman"/>
          <w:sz w:val="24"/>
          <w:szCs w:val="24"/>
        </w:rPr>
        <w:t>2</w:t>
      </w:r>
      <w:r w:rsidRPr="006E688A">
        <w:rPr>
          <w:rFonts w:ascii="Times New Roman" w:hAnsi="Times New Roman"/>
          <w:sz w:val="24"/>
          <w:szCs w:val="24"/>
        </w:rPr>
        <w:t xml:space="preserve">×2×2+1 design as </w:t>
      </w:r>
      <w:r w:rsidRPr="004B02EF">
        <w:rPr>
          <w:rFonts w:ascii="Times New Roman" w:hAnsi="Times New Roman"/>
          <w:sz w:val="24"/>
          <w:szCs w:val="24"/>
        </w:rPr>
        <w:t xml:space="preserve">a </w:t>
      </w:r>
      <w:r w:rsidR="00CD4AA2" w:rsidRPr="004B02EF">
        <w:rPr>
          <w:rFonts w:ascii="Times New Roman" w:hAnsi="Times New Roman"/>
          <w:sz w:val="24"/>
          <w:szCs w:val="24"/>
        </w:rPr>
        <w:t xml:space="preserve">2 </w:t>
      </w:r>
      <w:r w:rsidRPr="004B02EF">
        <w:rPr>
          <w:rFonts w:ascii="Times New Roman" w:hAnsi="Times New Roman"/>
          <w:sz w:val="24"/>
          <w:szCs w:val="24"/>
        </w:rPr>
        <w:t>(</w:t>
      </w:r>
      <w:r w:rsidR="0070177A" w:rsidRPr="004B02EF">
        <w:rPr>
          <w:rFonts w:ascii="Times New Roman" w:hAnsi="Times New Roman"/>
          <w:sz w:val="24"/>
          <w:szCs w:val="24"/>
        </w:rPr>
        <w:t>specialty</w:t>
      </w:r>
      <w:r w:rsidRPr="004B02EF">
        <w:rPr>
          <w:rFonts w:ascii="Times New Roman" w:hAnsi="Times New Roman"/>
          <w:sz w:val="24"/>
          <w:szCs w:val="24"/>
        </w:rPr>
        <w:t xml:space="preserve">: oncologist, PCP) × 5 (general statement and specific disclosure: </w:t>
      </w:r>
      <w:bookmarkStart w:id="11" w:name="_Hlk503264890"/>
      <w:r w:rsidRPr="004B02EF">
        <w:rPr>
          <w:rFonts w:ascii="Times New Roman" w:hAnsi="Times New Roman"/>
          <w:sz w:val="24"/>
          <w:szCs w:val="24"/>
        </w:rPr>
        <w:t>technical disclosure/statement absent, technical disclosure/statement present, nontechnical</w:t>
      </w:r>
      <w:r w:rsidRPr="006E688A">
        <w:rPr>
          <w:rFonts w:ascii="Times New Roman" w:hAnsi="Times New Roman"/>
          <w:sz w:val="24"/>
          <w:szCs w:val="24"/>
        </w:rPr>
        <w:t xml:space="preserve"> disclosure/statement absent, nontechnical disclosure/statement present, control</w:t>
      </w:r>
      <w:bookmarkEnd w:id="11"/>
      <w:r w:rsidRPr="006E688A">
        <w:rPr>
          <w:rFonts w:ascii="Times New Roman" w:hAnsi="Times New Roman"/>
          <w:sz w:val="24"/>
          <w:szCs w:val="24"/>
        </w:rPr>
        <w:t xml:space="preserve">). Assuming power of 0.90 and an alpha = 0.05, our omnibus tests will be able to detect an effect size of </w:t>
      </w:r>
      <w:r w:rsidRPr="006E688A">
        <w:rPr>
          <w:rFonts w:ascii="Times New Roman" w:hAnsi="Times New Roman"/>
          <w:i/>
          <w:sz w:val="24"/>
          <w:szCs w:val="24"/>
        </w:rPr>
        <w:t>f</w:t>
      </w:r>
      <w:r w:rsidRPr="006E688A">
        <w:rPr>
          <w:rFonts w:ascii="Times New Roman" w:hAnsi="Times New Roman"/>
          <w:sz w:val="24"/>
          <w:szCs w:val="24"/>
        </w:rPr>
        <w:t xml:space="preserve"> = </w:t>
      </w:r>
      <w:r w:rsidRPr="0070177A">
        <w:rPr>
          <w:rFonts w:ascii="Times New Roman" w:hAnsi="Times New Roman"/>
          <w:sz w:val="24"/>
          <w:szCs w:val="24"/>
        </w:rPr>
        <w:t>0.</w:t>
      </w:r>
      <w:r w:rsidR="00DE7FC5" w:rsidRPr="0070177A">
        <w:rPr>
          <w:rFonts w:ascii="Times New Roman" w:hAnsi="Times New Roman"/>
          <w:sz w:val="24"/>
          <w:szCs w:val="24"/>
        </w:rPr>
        <w:t xml:space="preserve">12 </w:t>
      </w:r>
      <w:r w:rsidRPr="0070177A">
        <w:rPr>
          <w:rFonts w:ascii="Times New Roman" w:hAnsi="Times New Roman"/>
          <w:sz w:val="24"/>
          <w:szCs w:val="24"/>
        </w:rPr>
        <w:t>for</w:t>
      </w:r>
      <w:r w:rsidRPr="006E688A">
        <w:rPr>
          <w:rFonts w:ascii="Times New Roman" w:hAnsi="Times New Roman"/>
          <w:sz w:val="24"/>
          <w:szCs w:val="24"/>
        </w:rPr>
        <w:t xml:space="preserve"> the main effect of the </w:t>
      </w:r>
      <w:r w:rsidRPr="0070177A">
        <w:rPr>
          <w:rFonts w:ascii="Times New Roman" w:hAnsi="Times New Roman"/>
          <w:sz w:val="24"/>
          <w:szCs w:val="24"/>
        </w:rPr>
        <w:t>specialty group</w:t>
      </w:r>
      <w:r w:rsidRPr="006E688A">
        <w:rPr>
          <w:rFonts w:ascii="Times New Roman" w:hAnsi="Times New Roman"/>
          <w:sz w:val="24"/>
          <w:szCs w:val="24"/>
        </w:rPr>
        <w:t xml:space="preserve"> and </w:t>
      </w:r>
      <w:r w:rsidRPr="006E688A">
        <w:rPr>
          <w:rFonts w:ascii="Times New Roman" w:hAnsi="Times New Roman"/>
          <w:i/>
          <w:sz w:val="24"/>
          <w:szCs w:val="24"/>
        </w:rPr>
        <w:t xml:space="preserve">f = </w:t>
      </w:r>
      <w:r w:rsidRPr="006E688A">
        <w:rPr>
          <w:rFonts w:ascii="Times New Roman" w:hAnsi="Times New Roman"/>
          <w:sz w:val="24"/>
          <w:szCs w:val="24"/>
        </w:rPr>
        <w:t xml:space="preserve">.15 for the main effect of the five-level disclosure factor. Given these assumptions, we will need a total of </w:t>
      </w:r>
      <w:r w:rsidRPr="006E688A">
        <w:rPr>
          <w:rFonts w:ascii="Times New Roman" w:hAnsi="Times New Roman"/>
          <w:i/>
          <w:sz w:val="24"/>
          <w:szCs w:val="24"/>
        </w:rPr>
        <w:t>N</w:t>
      </w:r>
      <w:r w:rsidRPr="006E688A">
        <w:rPr>
          <w:rFonts w:ascii="Times New Roman" w:hAnsi="Times New Roman"/>
          <w:sz w:val="24"/>
          <w:szCs w:val="24"/>
        </w:rPr>
        <w:t xml:space="preserve"> = 705 for each study phase (see </w:t>
      </w:r>
      <w:r w:rsidRPr="006E688A">
        <w:rPr>
          <w:rFonts w:ascii="Times New Roman" w:hAnsi="Times New Roman"/>
          <w:b/>
          <w:sz w:val="24"/>
          <w:szCs w:val="24"/>
        </w:rPr>
        <w:t>Table 3</w:t>
      </w:r>
      <w:r w:rsidRPr="006E688A">
        <w:rPr>
          <w:rFonts w:ascii="Times New Roman" w:hAnsi="Times New Roman"/>
          <w:sz w:val="24"/>
          <w:szCs w:val="24"/>
        </w:rPr>
        <w:t>).</w:t>
      </w:r>
    </w:p>
    <w:p w14:paraId="2E16B8E0" w14:textId="77777777" w:rsidR="006E688A" w:rsidRPr="006E688A" w:rsidRDefault="006E688A" w:rsidP="006E688A">
      <w:pPr>
        <w:pStyle w:val="BodyText"/>
        <w:spacing w:after="0" w:line="240" w:lineRule="auto"/>
        <w:ind w:firstLine="720"/>
        <w:rPr>
          <w:rFonts w:ascii="Times New Roman" w:hAnsi="Times New Roman"/>
          <w:sz w:val="24"/>
          <w:szCs w:val="24"/>
        </w:rPr>
      </w:pPr>
    </w:p>
    <w:p w14:paraId="47C12D2A" w14:textId="3639E474" w:rsidR="006E688A" w:rsidRDefault="006E688A" w:rsidP="002F66EE">
      <w:pPr>
        <w:pStyle w:val="ExhibitTitle"/>
        <w:spacing w:before="0" w:after="0" w:line="240" w:lineRule="auto"/>
        <w:ind w:left="2160" w:hanging="1440"/>
        <w:rPr>
          <w:rFonts w:ascii="Times New Roman" w:hAnsi="Times New Roman"/>
          <w:sz w:val="24"/>
          <w:szCs w:val="24"/>
        </w:rPr>
      </w:pPr>
      <w:r w:rsidRPr="006E688A">
        <w:rPr>
          <w:rFonts w:ascii="Times New Roman" w:hAnsi="Times New Roman"/>
          <w:sz w:val="24"/>
          <w:szCs w:val="24"/>
        </w:rPr>
        <w:t>Table 3.</w:t>
      </w:r>
      <w:r w:rsidRPr="006E688A">
        <w:rPr>
          <w:rFonts w:ascii="Times New Roman" w:hAnsi="Times New Roman"/>
          <w:sz w:val="24"/>
          <w:szCs w:val="24"/>
        </w:rPr>
        <w:tab/>
        <w:t>Main Study Target Sample Size per Condition (</w:t>
      </w:r>
      <w:r w:rsidRPr="006E688A">
        <w:rPr>
          <w:rFonts w:ascii="Times New Roman" w:hAnsi="Times New Roman"/>
          <w:i/>
          <w:sz w:val="24"/>
          <w:szCs w:val="24"/>
        </w:rPr>
        <w:t>N</w:t>
      </w:r>
      <w:r w:rsidRPr="006E688A">
        <w:rPr>
          <w:rFonts w:ascii="Times New Roman" w:hAnsi="Times New Roman"/>
          <w:sz w:val="24"/>
          <w:szCs w:val="24"/>
        </w:rPr>
        <w:t xml:space="preserve"> = 705)</w:t>
      </w:r>
      <w:r w:rsidRPr="006E688A">
        <w:rPr>
          <w:rFonts w:ascii="Times New Roman" w:hAnsi="Times New Roman"/>
          <w:sz w:val="24"/>
          <w:szCs w:val="24"/>
        </w:rPr>
        <w:br/>
        <w:t>(to be repeated for each study phase)</w:t>
      </w:r>
    </w:p>
    <w:tbl>
      <w:tblPr>
        <w:tblStyle w:val="TableGrid"/>
        <w:tblW w:w="9360" w:type="dxa"/>
        <w:jc w:val="center"/>
        <w:tblLayout w:type="fixed"/>
        <w:tblCellMar>
          <w:left w:w="115" w:type="dxa"/>
          <w:right w:w="115" w:type="dxa"/>
        </w:tblCellMar>
        <w:tblLook w:val="04A0" w:firstRow="1" w:lastRow="0" w:firstColumn="1" w:lastColumn="0" w:noHBand="0" w:noVBand="1"/>
      </w:tblPr>
      <w:tblGrid>
        <w:gridCol w:w="1423"/>
        <w:gridCol w:w="12"/>
        <w:gridCol w:w="1411"/>
        <w:gridCol w:w="1199"/>
        <w:gridCol w:w="1789"/>
        <w:gridCol w:w="11"/>
        <w:gridCol w:w="1699"/>
        <w:gridCol w:w="11"/>
        <w:gridCol w:w="1805"/>
      </w:tblGrid>
      <w:tr w:rsidR="004F053D" w:rsidRPr="006E688A" w14:paraId="5CB3C545" w14:textId="53C3AF2F" w:rsidTr="002F66EE">
        <w:trPr>
          <w:jc w:val="center"/>
        </w:trPr>
        <w:tc>
          <w:tcPr>
            <w:tcW w:w="1435" w:type="dxa"/>
            <w:gridSpan w:val="2"/>
            <w:vMerge w:val="restart"/>
            <w:tcBorders>
              <w:bottom w:val="single" w:sz="4" w:space="0" w:color="FFFFFF" w:themeColor="background1"/>
              <w:right w:val="single" w:sz="4" w:space="0" w:color="FFFFFF" w:themeColor="background1"/>
            </w:tcBorders>
            <w:shd w:val="clear" w:color="auto" w:fill="0A357E"/>
            <w:vAlign w:val="bottom"/>
          </w:tcPr>
          <w:p w14:paraId="58EE7122" w14:textId="7DE2BEBE" w:rsidR="004F053D" w:rsidRPr="006E688A" w:rsidRDefault="004F053D" w:rsidP="006E688A">
            <w:pPr>
              <w:autoSpaceDE w:val="0"/>
              <w:autoSpaceDN w:val="0"/>
              <w:adjustRightInd w:val="0"/>
              <w:jc w:val="center"/>
              <w:rPr>
                <w:rFonts w:ascii="Times New Roman" w:hAnsi="Times New Roman" w:cs="Times New Roman"/>
              </w:rPr>
            </w:pPr>
          </w:p>
        </w:tc>
        <w:tc>
          <w:tcPr>
            <w:tcW w:w="2610" w:type="dxa"/>
            <w:gridSpan w:val="2"/>
            <w:vMerge w:val="restart"/>
            <w:tcBorders>
              <w:left w:val="single" w:sz="4" w:space="0" w:color="FFFFFF" w:themeColor="background1"/>
              <w:bottom w:val="single" w:sz="4" w:space="0" w:color="FFFFFF" w:themeColor="background1"/>
              <w:right w:val="single" w:sz="4" w:space="0" w:color="FFFFFF" w:themeColor="background1"/>
            </w:tcBorders>
            <w:shd w:val="clear" w:color="auto" w:fill="0A357E"/>
            <w:vAlign w:val="bottom"/>
          </w:tcPr>
          <w:p w14:paraId="4E770D20" w14:textId="2069A5D2" w:rsidR="004F053D" w:rsidRPr="006E688A" w:rsidRDefault="004F053D" w:rsidP="006E688A">
            <w:pPr>
              <w:autoSpaceDE w:val="0"/>
              <w:autoSpaceDN w:val="0"/>
              <w:adjustRightInd w:val="0"/>
              <w:jc w:val="center"/>
              <w:rPr>
                <w:rFonts w:ascii="Times New Roman" w:hAnsi="Times New Roman" w:cs="Times New Roman"/>
                <w:b/>
              </w:rPr>
            </w:pPr>
            <w:r w:rsidRPr="006E688A">
              <w:rPr>
                <w:rFonts w:ascii="Times New Roman" w:hAnsi="Times New Roman" w:cs="Times New Roman"/>
                <w:b/>
              </w:rPr>
              <w:t>General disclosure statement</w:t>
            </w:r>
          </w:p>
        </w:tc>
        <w:tc>
          <w:tcPr>
            <w:tcW w:w="1789" w:type="dxa"/>
            <w:vMerge w:val="restart"/>
            <w:tcBorders>
              <w:left w:val="single" w:sz="4" w:space="0" w:color="FFFFFF" w:themeColor="background1"/>
              <w:bottom w:val="single" w:sz="4" w:space="0" w:color="FFFFFF" w:themeColor="background1"/>
              <w:right w:val="single" w:sz="4" w:space="0" w:color="FFFFFF" w:themeColor="background1"/>
            </w:tcBorders>
            <w:shd w:val="clear" w:color="auto" w:fill="0A357E"/>
            <w:vAlign w:val="bottom"/>
          </w:tcPr>
          <w:p w14:paraId="483F746B" w14:textId="1658517F" w:rsidR="004F053D" w:rsidRPr="006E688A" w:rsidRDefault="004F053D" w:rsidP="006E688A">
            <w:pPr>
              <w:autoSpaceDE w:val="0"/>
              <w:autoSpaceDN w:val="0"/>
              <w:adjustRightInd w:val="0"/>
              <w:jc w:val="center"/>
              <w:rPr>
                <w:rFonts w:ascii="Times New Roman" w:hAnsi="Times New Roman" w:cs="Times New Roman"/>
                <w:b/>
              </w:rPr>
            </w:pPr>
            <w:r w:rsidRPr="006E688A">
              <w:rPr>
                <w:rFonts w:ascii="Times New Roman" w:hAnsi="Times New Roman" w:cs="Times New Roman"/>
                <w:b/>
              </w:rPr>
              <w:t>No Disclosure</w:t>
            </w:r>
          </w:p>
        </w:tc>
        <w:tc>
          <w:tcPr>
            <w:tcW w:w="3526" w:type="dxa"/>
            <w:gridSpan w:val="4"/>
            <w:tcBorders>
              <w:left w:val="single" w:sz="4" w:space="0" w:color="FFFFFF" w:themeColor="background1"/>
              <w:bottom w:val="single" w:sz="4" w:space="0" w:color="FFFFFF" w:themeColor="background1"/>
            </w:tcBorders>
            <w:shd w:val="clear" w:color="auto" w:fill="0A357E"/>
            <w:vAlign w:val="bottom"/>
          </w:tcPr>
          <w:p w14:paraId="45620703" w14:textId="5CA57D45" w:rsidR="004F053D" w:rsidRPr="006E688A" w:rsidRDefault="004F053D" w:rsidP="006E688A">
            <w:pPr>
              <w:autoSpaceDE w:val="0"/>
              <w:autoSpaceDN w:val="0"/>
              <w:adjustRightInd w:val="0"/>
              <w:jc w:val="center"/>
              <w:rPr>
                <w:rFonts w:ascii="Times New Roman" w:hAnsi="Times New Roman" w:cs="Times New Roman"/>
                <w:b/>
              </w:rPr>
            </w:pPr>
            <w:r w:rsidRPr="006E688A">
              <w:rPr>
                <w:rFonts w:ascii="Times New Roman" w:hAnsi="Times New Roman" w:cs="Times New Roman"/>
                <w:b/>
              </w:rPr>
              <w:t>Specific Disclosure</w:t>
            </w:r>
          </w:p>
        </w:tc>
      </w:tr>
      <w:tr w:rsidR="004F053D" w:rsidRPr="006E688A" w14:paraId="784B981A" w14:textId="48590A20" w:rsidTr="002F66EE">
        <w:trPr>
          <w:jc w:val="center"/>
        </w:trPr>
        <w:tc>
          <w:tcPr>
            <w:tcW w:w="1435" w:type="dxa"/>
            <w:gridSpan w:val="2"/>
            <w:vMerge/>
            <w:tcBorders>
              <w:top w:val="single" w:sz="4" w:space="0" w:color="FFFFFF" w:themeColor="background1"/>
              <w:right w:val="single" w:sz="4" w:space="0" w:color="FFFFFF" w:themeColor="background1"/>
            </w:tcBorders>
            <w:shd w:val="clear" w:color="auto" w:fill="0A357E"/>
            <w:vAlign w:val="bottom"/>
          </w:tcPr>
          <w:p w14:paraId="77A3D755" w14:textId="1524863A" w:rsidR="004F053D" w:rsidRPr="006E688A" w:rsidRDefault="004F053D" w:rsidP="006E688A">
            <w:pPr>
              <w:autoSpaceDE w:val="0"/>
              <w:autoSpaceDN w:val="0"/>
              <w:adjustRightInd w:val="0"/>
              <w:jc w:val="center"/>
              <w:rPr>
                <w:rFonts w:ascii="Times New Roman" w:hAnsi="Times New Roman" w:cs="Times New Roman"/>
              </w:rPr>
            </w:pPr>
          </w:p>
        </w:tc>
        <w:tc>
          <w:tcPr>
            <w:tcW w:w="2610" w:type="dxa"/>
            <w:gridSpan w:val="2"/>
            <w:vMerge/>
            <w:tcBorders>
              <w:top w:val="single" w:sz="4" w:space="0" w:color="FFFFFF" w:themeColor="background1"/>
              <w:left w:val="single" w:sz="4" w:space="0" w:color="FFFFFF" w:themeColor="background1"/>
              <w:right w:val="single" w:sz="4" w:space="0" w:color="FFFFFF" w:themeColor="background1"/>
            </w:tcBorders>
            <w:shd w:val="clear" w:color="auto" w:fill="0A357E"/>
            <w:vAlign w:val="bottom"/>
          </w:tcPr>
          <w:p w14:paraId="6388CDF7" w14:textId="353E24FB" w:rsidR="004F053D" w:rsidRPr="006E688A" w:rsidRDefault="004F053D" w:rsidP="006E688A">
            <w:pPr>
              <w:autoSpaceDE w:val="0"/>
              <w:autoSpaceDN w:val="0"/>
              <w:adjustRightInd w:val="0"/>
              <w:jc w:val="center"/>
              <w:rPr>
                <w:rFonts w:ascii="Times New Roman" w:hAnsi="Times New Roman" w:cs="Times New Roman"/>
                <w:b/>
              </w:rPr>
            </w:pPr>
          </w:p>
        </w:tc>
        <w:tc>
          <w:tcPr>
            <w:tcW w:w="1789" w:type="dxa"/>
            <w:vMerge/>
            <w:tcBorders>
              <w:top w:val="single" w:sz="4" w:space="0" w:color="FFFFFF" w:themeColor="background1"/>
              <w:left w:val="single" w:sz="4" w:space="0" w:color="FFFFFF" w:themeColor="background1"/>
              <w:right w:val="single" w:sz="4" w:space="0" w:color="FFFFFF" w:themeColor="background1"/>
            </w:tcBorders>
            <w:shd w:val="clear" w:color="auto" w:fill="0A357E"/>
            <w:vAlign w:val="bottom"/>
          </w:tcPr>
          <w:p w14:paraId="125260C3" w14:textId="2C1D76B8" w:rsidR="004F053D" w:rsidRPr="006E688A" w:rsidRDefault="004F053D" w:rsidP="006E688A">
            <w:pPr>
              <w:autoSpaceDE w:val="0"/>
              <w:autoSpaceDN w:val="0"/>
              <w:adjustRightInd w:val="0"/>
              <w:jc w:val="center"/>
              <w:rPr>
                <w:rFonts w:ascii="Times New Roman" w:hAnsi="Times New Roman" w:cs="Times New Roman"/>
                <w:b/>
              </w:rPr>
            </w:pPr>
          </w:p>
        </w:tc>
        <w:tc>
          <w:tcPr>
            <w:tcW w:w="1710" w:type="dxa"/>
            <w:gridSpan w:val="2"/>
            <w:tcBorders>
              <w:top w:val="single" w:sz="4" w:space="0" w:color="FFFFFF" w:themeColor="background1"/>
              <w:left w:val="single" w:sz="4" w:space="0" w:color="FFFFFF" w:themeColor="background1"/>
              <w:right w:val="single" w:sz="4" w:space="0" w:color="FFFFFF" w:themeColor="background1"/>
            </w:tcBorders>
            <w:shd w:val="clear" w:color="auto" w:fill="0A357E"/>
            <w:vAlign w:val="bottom"/>
          </w:tcPr>
          <w:p w14:paraId="7D56DF1F" w14:textId="639A0A37" w:rsidR="004F053D" w:rsidRPr="006E688A" w:rsidRDefault="004F053D" w:rsidP="006E688A">
            <w:pPr>
              <w:autoSpaceDE w:val="0"/>
              <w:autoSpaceDN w:val="0"/>
              <w:adjustRightInd w:val="0"/>
              <w:jc w:val="center"/>
              <w:rPr>
                <w:rFonts w:ascii="Times New Roman" w:hAnsi="Times New Roman" w:cs="Times New Roman"/>
                <w:b/>
              </w:rPr>
            </w:pPr>
            <w:r w:rsidRPr="006E688A">
              <w:rPr>
                <w:rFonts w:ascii="Times New Roman" w:hAnsi="Times New Roman" w:cs="Times New Roman"/>
                <w:b/>
              </w:rPr>
              <w:t>Technical</w:t>
            </w:r>
          </w:p>
        </w:tc>
        <w:tc>
          <w:tcPr>
            <w:tcW w:w="1816" w:type="dxa"/>
            <w:gridSpan w:val="2"/>
            <w:tcBorders>
              <w:top w:val="single" w:sz="4" w:space="0" w:color="FFFFFF" w:themeColor="background1"/>
              <w:left w:val="single" w:sz="4" w:space="0" w:color="FFFFFF" w:themeColor="background1"/>
            </w:tcBorders>
            <w:shd w:val="clear" w:color="auto" w:fill="0A357E"/>
            <w:vAlign w:val="bottom"/>
          </w:tcPr>
          <w:p w14:paraId="08BA90A4" w14:textId="76DE470F" w:rsidR="004F053D" w:rsidRPr="006E688A" w:rsidRDefault="004F053D" w:rsidP="006E688A">
            <w:pPr>
              <w:autoSpaceDE w:val="0"/>
              <w:autoSpaceDN w:val="0"/>
              <w:adjustRightInd w:val="0"/>
              <w:jc w:val="center"/>
              <w:rPr>
                <w:rFonts w:ascii="Times New Roman" w:hAnsi="Times New Roman" w:cs="Times New Roman"/>
                <w:b/>
              </w:rPr>
            </w:pPr>
            <w:r w:rsidRPr="006E688A">
              <w:rPr>
                <w:rFonts w:ascii="Times New Roman" w:hAnsi="Times New Roman" w:cs="Times New Roman"/>
                <w:b/>
              </w:rPr>
              <w:t>NonTechnical</w:t>
            </w:r>
          </w:p>
        </w:tc>
      </w:tr>
      <w:tr w:rsidR="004F053D" w:rsidRPr="006E688A" w14:paraId="6B9C588D" w14:textId="10A11465" w:rsidTr="002F66EE">
        <w:trPr>
          <w:jc w:val="center"/>
        </w:trPr>
        <w:tc>
          <w:tcPr>
            <w:tcW w:w="1423" w:type="dxa"/>
            <w:vMerge w:val="restart"/>
            <w:shd w:val="clear" w:color="auto" w:fill="D9D9D9"/>
          </w:tcPr>
          <w:p w14:paraId="2E5305ED" w14:textId="12474FC3" w:rsidR="004F053D" w:rsidRPr="004C1969" w:rsidRDefault="0070177A" w:rsidP="006E688A">
            <w:pPr>
              <w:autoSpaceDE w:val="0"/>
              <w:autoSpaceDN w:val="0"/>
              <w:adjustRightInd w:val="0"/>
              <w:rPr>
                <w:rFonts w:ascii="Times New Roman" w:hAnsi="Times New Roman" w:cs="Times New Roman"/>
                <w:b/>
              </w:rPr>
            </w:pPr>
            <w:r w:rsidRPr="00A0640A">
              <w:rPr>
                <w:b/>
              </w:rPr>
              <w:t>Specialty</w:t>
            </w:r>
          </w:p>
        </w:tc>
        <w:tc>
          <w:tcPr>
            <w:tcW w:w="1423" w:type="dxa"/>
            <w:gridSpan w:val="2"/>
            <w:vMerge w:val="restart"/>
            <w:shd w:val="clear" w:color="auto" w:fill="D9D9D9"/>
          </w:tcPr>
          <w:p w14:paraId="18FF4757" w14:textId="26494E75" w:rsidR="004F053D" w:rsidRPr="006E688A" w:rsidRDefault="004F053D" w:rsidP="006E688A">
            <w:pPr>
              <w:autoSpaceDE w:val="0"/>
              <w:autoSpaceDN w:val="0"/>
              <w:adjustRightInd w:val="0"/>
              <w:rPr>
                <w:rFonts w:ascii="Times New Roman" w:hAnsi="Times New Roman" w:cs="Times New Roman"/>
                <w:b/>
              </w:rPr>
            </w:pPr>
            <w:r w:rsidRPr="006E688A">
              <w:rPr>
                <w:rFonts w:ascii="Times New Roman" w:hAnsi="Times New Roman" w:cs="Times New Roman"/>
                <w:b/>
              </w:rPr>
              <w:t>Oncologist</w:t>
            </w:r>
          </w:p>
        </w:tc>
        <w:tc>
          <w:tcPr>
            <w:tcW w:w="1199" w:type="dxa"/>
            <w:vAlign w:val="center"/>
          </w:tcPr>
          <w:p w14:paraId="146081B7" w14:textId="545E8179" w:rsidR="004F053D" w:rsidRPr="006E688A" w:rsidRDefault="004F053D" w:rsidP="006E688A">
            <w:pPr>
              <w:autoSpaceDE w:val="0"/>
              <w:autoSpaceDN w:val="0"/>
              <w:adjustRightInd w:val="0"/>
              <w:jc w:val="center"/>
              <w:rPr>
                <w:rFonts w:ascii="Times New Roman" w:hAnsi="Times New Roman" w:cs="Times New Roman"/>
                <w:bCs/>
              </w:rPr>
            </w:pPr>
            <w:r w:rsidRPr="006E688A">
              <w:rPr>
                <w:rFonts w:ascii="Times New Roman" w:hAnsi="Times New Roman" w:cs="Times New Roman"/>
                <w:bCs/>
              </w:rPr>
              <w:t>Absent</w:t>
            </w:r>
          </w:p>
        </w:tc>
        <w:tc>
          <w:tcPr>
            <w:tcW w:w="1800" w:type="dxa"/>
            <w:gridSpan w:val="2"/>
            <w:vMerge w:val="restart"/>
            <w:vAlign w:val="center"/>
          </w:tcPr>
          <w:p w14:paraId="555D0A4B" w14:textId="065618E5"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47</w:t>
            </w:r>
          </w:p>
        </w:tc>
        <w:tc>
          <w:tcPr>
            <w:tcW w:w="1710" w:type="dxa"/>
            <w:gridSpan w:val="2"/>
            <w:vAlign w:val="center"/>
          </w:tcPr>
          <w:p w14:paraId="6D60BDA7" w14:textId="74D5684E"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47</w:t>
            </w:r>
          </w:p>
        </w:tc>
        <w:tc>
          <w:tcPr>
            <w:tcW w:w="1805" w:type="dxa"/>
            <w:vAlign w:val="center"/>
          </w:tcPr>
          <w:p w14:paraId="3358AAC7" w14:textId="167138EA"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47</w:t>
            </w:r>
          </w:p>
        </w:tc>
      </w:tr>
      <w:tr w:rsidR="004F053D" w:rsidRPr="006E688A" w14:paraId="051F2A58" w14:textId="004D95FC" w:rsidTr="002F66EE">
        <w:trPr>
          <w:jc w:val="center"/>
        </w:trPr>
        <w:tc>
          <w:tcPr>
            <w:tcW w:w="1423" w:type="dxa"/>
            <w:vMerge/>
            <w:shd w:val="clear" w:color="auto" w:fill="D9D9D9"/>
          </w:tcPr>
          <w:p w14:paraId="0C5F96A9" w14:textId="0E9820B0" w:rsidR="004F053D" w:rsidRPr="006E688A" w:rsidRDefault="004F053D" w:rsidP="006E688A">
            <w:pPr>
              <w:autoSpaceDE w:val="0"/>
              <w:autoSpaceDN w:val="0"/>
              <w:adjustRightInd w:val="0"/>
              <w:rPr>
                <w:b/>
              </w:rPr>
            </w:pPr>
          </w:p>
        </w:tc>
        <w:tc>
          <w:tcPr>
            <w:tcW w:w="1423" w:type="dxa"/>
            <w:gridSpan w:val="2"/>
            <w:vMerge/>
            <w:shd w:val="clear" w:color="auto" w:fill="D9D9D9"/>
          </w:tcPr>
          <w:p w14:paraId="171CFF10" w14:textId="7D2ACA0A" w:rsidR="004F053D" w:rsidRPr="006E688A" w:rsidRDefault="004F053D" w:rsidP="006E688A">
            <w:pPr>
              <w:autoSpaceDE w:val="0"/>
              <w:autoSpaceDN w:val="0"/>
              <w:adjustRightInd w:val="0"/>
              <w:rPr>
                <w:rFonts w:ascii="Times New Roman" w:hAnsi="Times New Roman" w:cs="Times New Roman"/>
                <w:b/>
              </w:rPr>
            </w:pPr>
          </w:p>
        </w:tc>
        <w:tc>
          <w:tcPr>
            <w:tcW w:w="1199" w:type="dxa"/>
            <w:vAlign w:val="center"/>
          </w:tcPr>
          <w:p w14:paraId="4E71B7DE" w14:textId="27F79815" w:rsidR="004F053D" w:rsidRPr="006E688A" w:rsidRDefault="004F053D" w:rsidP="006E688A">
            <w:pPr>
              <w:autoSpaceDE w:val="0"/>
              <w:autoSpaceDN w:val="0"/>
              <w:adjustRightInd w:val="0"/>
              <w:jc w:val="center"/>
              <w:rPr>
                <w:rFonts w:ascii="Times New Roman" w:hAnsi="Times New Roman" w:cs="Times New Roman"/>
                <w:bCs/>
              </w:rPr>
            </w:pPr>
            <w:r w:rsidRPr="006E688A">
              <w:rPr>
                <w:rFonts w:ascii="Times New Roman" w:hAnsi="Times New Roman" w:cs="Times New Roman"/>
                <w:bCs/>
              </w:rPr>
              <w:t>Present</w:t>
            </w:r>
          </w:p>
        </w:tc>
        <w:tc>
          <w:tcPr>
            <w:tcW w:w="1800" w:type="dxa"/>
            <w:gridSpan w:val="2"/>
            <w:vMerge/>
            <w:vAlign w:val="center"/>
          </w:tcPr>
          <w:p w14:paraId="7BA79C2E" w14:textId="609229FB" w:rsidR="004F053D" w:rsidRPr="006E688A" w:rsidRDefault="004F053D" w:rsidP="006E688A">
            <w:pPr>
              <w:autoSpaceDE w:val="0"/>
              <w:autoSpaceDN w:val="0"/>
              <w:adjustRightInd w:val="0"/>
              <w:jc w:val="center"/>
              <w:rPr>
                <w:rFonts w:ascii="Times New Roman" w:hAnsi="Times New Roman" w:cs="Times New Roman"/>
              </w:rPr>
            </w:pPr>
          </w:p>
        </w:tc>
        <w:tc>
          <w:tcPr>
            <w:tcW w:w="1710" w:type="dxa"/>
            <w:gridSpan w:val="2"/>
            <w:vAlign w:val="center"/>
          </w:tcPr>
          <w:p w14:paraId="681F9D6D" w14:textId="7A9DAC71"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47</w:t>
            </w:r>
          </w:p>
        </w:tc>
        <w:tc>
          <w:tcPr>
            <w:tcW w:w="1805" w:type="dxa"/>
            <w:vAlign w:val="center"/>
          </w:tcPr>
          <w:p w14:paraId="1FE73D16" w14:textId="4DEFB708"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47</w:t>
            </w:r>
          </w:p>
        </w:tc>
      </w:tr>
      <w:tr w:rsidR="004F053D" w:rsidRPr="006E688A" w14:paraId="2B836A54" w14:textId="749B7A69" w:rsidTr="002F66EE">
        <w:trPr>
          <w:jc w:val="center"/>
        </w:trPr>
        <w:tc>
          <w:tcPr>
            <w:tcW w:w="1423" w:type="dxa"/>
            <w:vMerge/>
            <w:shd w:val="clear" w:color="auto" w:fill="D9D9D9"/>
          </w:tcPr>
          <w:p w14:paraId="4E4300FA" w14:textId="3B7FA37D" w:rsidR="004F053D" w:rsidRPr="006E688A" w:rsidRDefault="004F053D" w:rsidP="006E688A">
            <w:pPr>
              <w:autoSpaceDE w:val="0"/>
              <w:autoSpaceDN w:val="0"/>
              <w:adjustRightInd w:val="0"/>
              <w:rPr>
                <w:b/>
              </w:rPr>
            </w:pPr>
          </w:p>
        </w:tc>
        <w:tc>
          <w:tcPr>
            <w:tcW w:w="1423" w:type="dxa"/>
            <w:gridSpan w:val="2"/>
            <w:vMerge w:val="restart"/>
            <w:shd w:val="clear" w:color="auto" w:fill="D9D9D9"/>
          </w:tcPr>
          <w:p w14:paraId="2A94425C" w14:textId="32CEAF3E" w:rsidR="004F053D" w:rsidRPr="006E688A" w:rsidRDefault="004F053D" w:rsidP="006E688A">
            <w:pPr>
              <w:autoSpaceDE w:val="0"/>
              <w:autoSpaceDN w:val="0"/>
              <w:adjustRightInd w:val="0"/>
              <w:rPr>
                <w:rFonts w:ascii="Times New Roman" w:hAnsi="Times New Roman" w:cs="Times New Roman"/>
                <w:b/>
              </w:rPr>
            </w:pPr>
            <w:r w:rsidRPr="006E688A">
              <w:rPr>
                <w:rFonts w:ascii="Times New Roman" w:hAnsi="Times New Roman" w:cs="Times New Roman"/>
                <w:b/>
              </w:rPr>
              <w:t>PCP</w:t>
            </w:r>
          </w:p>
        </w:tc>
        <w:tc>
          <w:tcPr>
            <w:tcW w:w="1199" w:type="dxa"/>
            <w:vAlign w:val="center"/>
          </w:tcPr>
          <w:p w14:paraId="14C29B04" w14:textId="4859F80F" w:rsidR="004F053D" w:rsidRPr="006E688A" w:rsidRDefault="004F053D" w:rsidP="006E688A">
            <w:pPr>
              <w:autoSpaceDE w:val="0"/>
              <w:autoSpaceDN w:val="0"/>
              <w:adjustRightInd w:val="0"/>
              <w:jc w:val="center"/>
              <w:rPr>
                <w:rFonts w:ascii="Times New Roman" w:hAnsi="Times New Roman" w:cs="Times New Roman"/>
                <w:bCs/>
              </w:rPr>
            </w:pPr>
            <w:r w:rsidRPr="006E688A">
              <w:rPr>
                <w:rFonts w:ascii="Times New Roman" w:hAnsi="Times New Roman" w:cs="Times New Roman"/>
                <w:bCs/>
              </w:rPr>
              <w:t>Absent</w:t>
            </w:r>
          </w:p>
        </w:tc>
        <w:tc>
          <w:tcPr>
            <w:tcW w:w="1800" w:type="dxa"/>
            <w:gridSpan w:val="2"/>
            <w:vMerge w:val="restart"/>
            <w:vAlign w:val="center"/>
          </w:tcPr>
          <w:p w14:paraId="08C1A8E5" w14:textId="74B9E4FE"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xml:space="preserve">= </w:t>
            </w:r>
            <w:r w:rsidR="007667F0">
              <w:rPr>
                <w:rFonts w:ascii="Times New Roman" w:hAnsi="Times New Roman" w:cs="Times New Roman"/>
              </w:rPr>
              <w:t>94</w:t>
            </w:r>
          </w:p>
        </w:tc>
        <w:tc>
          <w:tcPr>
            <w:tcW w:w="1710" w:type="dxa"/>
            <w:gridSpan w:val="2"/>
            <w:vAlign w:val="center"/>
          </w:tcPr>
          <w:p w14:paraId="087914C3" w14:textId="50F9149E"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xml:space="preserve">= </w:t>
            </w:r>
            <w:r w:rsidR="007667F0">
              <w:rPr>
                <w:rFonts w:ascii="Times New Roman" w:hAnsi="Times New Roman" w:cs="Times New Roman"/>
              </w:rPr>
              <w:t>94</w:t>
            </w:r>
          </w:p>
        </w:tc>
        <w:tc>
          <w:tcPr>
            <w:tcW w:w="1805" w:type="dxa"/>
            <w:vAlign w:val="center"/>
          </w:tcPr>
          <w:p w14:paraId="281E3FD4" w14:textId="734D3948"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xml:space="preserve">= </w:t>
            </w:r>
            <w:r w:rsidR="007667F0">
              <w:rPr>
                <w:rFonts w:ascii="Times New Roman" w:hAnsi="Times New Roman" w:cs="Times New Roman"/>
              </w:rPr>
              <w:t>94</w:t>
            </w:r>
          </w:p>
        </w:tc>
      </w:tr>
      <w:tr w:rsidR="004F053D" w:rsidRPr="006E688A" w14:paraId="79FF7716" w14:textId="7B36EA22" w:rsidTr="002F66EE">
        <w:trPr>
          <w:jc w:val="center"/>
        </w:trPr>
        <w:tc>
          <w:tcPr>
            <w:tcW w:w="1423" w:type="dxa"/>
            <w:vMerge/>
            <w:shd w:val="clear" w:color="auto" w:fill="D9D9D9"/>
          </w:tcPr>
          <w:p w14:paraId="60EA9268" w14:textId="0BB406B5" w:rsidR="004F053D" w:rsidRPr="006E688A" w:rsidRDefault="004F053D" w:rsidP="006E688A">
            <w:pPr>
              <w:autoSpaceDE w:val="0"/>
              <w:autoSpaceDN w:val="0"/>
              <w:adjustRightInd w:val="0"/>
              <w:rPr>
                <w:b/>
              </w:rPr>
            </w:pPr>
          </w:p>
        </w:tc>
        <w:tc>
          <w:tcPr>
            <w:tcW w:w="1423" w:type="dxa"/>
            <w:gridSpan w:val="2"/>
            <w:vMerge/>
            <w:shd w:val="clear" w:color="auto" w:fill="D9D9D9"/>
          </w:tcPr>
          <w:p w14:paraId="7DFB4F27" w14:textId="14720B46" w:rsidR="004F053D" w:rsidRPr="006E688A" w:rsidRDefault="004F053D" w:rsidP="006E688A">
            <w:pPr>
              <w:autoSpaceDE w:val="0"/>
              <w:autoSpaceDN w:val="0"/>
              <w:adjustRightInd w:val="0"/>
              <w:rPr>
                <w:rFonts w:ascii="Times New Roman" w:hAnsi="Times New Roman" w:cs="Times New Roman"/>
                <w:b/>
              </w:rPr>
            </w:pPr>
          </w:p>
        </w:tc>
        <w:tc>
          <w:tcPr>
            <w:tcW w:w="1199" w:type="dxa"/>
            <w:vAlign w:val="center"/>
          </w:tcPr>
          <w:p w14:paraId="2D187D49" w14:textId="5920808C" w:rsidR="004F053D" w:rsidRPr="006E688A" w:rsidRDefault="004F053D" w:rsidP="006E688A">
            <w:pPr>
              <w:autoSpaceDE w:val="0"/>
              <w:autoSpaceDN w:val="0"/>
              <w:adjustRightInd w:val="0"/>
              <w:jc w:val="center"/>
              <w:rPr>
                <w:rFonts w:ascii="Times New Roman" w:hAnsi="Times New Roman" w:cs="Times New Roman"/>
                <w:bCs/>
              </w:rPr>
            </w:pPr>
            <w:r w:rsidRPr="006E688A">
              <w:rPr>
                <w:rFonts w:ascii="Times New Roman" w:hAnsi="Times New Roman" w:cs="Times New Roman"/>
                <w:bCs/>
              </w:rPr>
              <w:t>Present</w:t>
            </w:r>
          </w:p>
        </w:tc>
        <w:tc>
          <w:tcPr>
            <w:tcW w:w="1800" w:type="dxa"/>
            <w:gridSpan w:val="2"/>
            <w:vMerge/>
            <w:vAlign w:val="center"/>
          </w:tcPr>
          <w:p w14:paraId="1F8B2593" w14:textId="4EF054FF" w:rsidR="004F053D" w:rsidRPr="006E688A" w:rsidRDefault="004F053D" w:rsidP="006E688A">
            <w:pPr>
              <w:autoSpaceDE w:val="0"/>
              <w:autoSpaceDN w:val="0"/>
              <w:adjustRightInd w:val="0"/>
              <w:jc w:val="center"/>
              <w:rPr>
                <w:rFonts w:ascii="Times New Roman" w:hAnsi="Times New Roman" w:cs="Times New Roman"/>
              </w:rPr>
            </w:pPr>
          </w:p>
        </w:tc>
        <w:tc>
          <w:tcPr>
            <w:tcW w:w="1710" w:type="dxa"/>
            <w:gridSpan w:val="2"/>
            <w:vAlign w:val="center"/>
          </w:tcPr>
          <w:p w14:paraId="382D39E4" w14:textId="1703B72F"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xml:space="preserve">= </w:t>
            </w:r>
            <w:r w:rsidR="007667F0">
              <w:rPr>
                <w:rFonts w:ascii="Times New Roman" w:hAnsi="Times New Roman" w:cs="Times New Roman"/>
              </w:rPr>
              <w:t>94</w:t>
            </w:r>
          </w:p>
        </w:tc>
        <w:tc>
          <w:tcPr>
            <w:tcW w:w="1805" w:type="dxa"/>
            <w:vAlign w:val="center"/>
          </w:tcPr>
          <w:p w14:paraId="3A12B03A" w14:textId="23BBEB19" w:rsidR="004F053D" w:rsidRPr="006E688A" w:rsidRDefault="004F053D" w:rsidP="006E688A">
            <w:pPr>
              <w:autoSpaceDE w:val="0"/>
              <w:autoSpaceDN w:val="0"/>
              <w:adjustRightInd w:val="0"/>
              <w:jc w:val="center"/>
              <w:rPr>
                <w:rFonts w:ascii="Times New Roman" w:hAnsi="Times New Roman" w:cs="Times New Roman"/>
              </w:rPr>
            </w:pPr>
            <w:r w:rsidRPr="006E688A">
              <w:rPr>
                <w:rFonts w:ascii="Times New Roman" w:hAnsi="Times New Roman" w:cs="Times New Roman"/>
                <w:i/>
              </w:rPr>
              <w:t xml:space="preserve">n </w:t>
            </w:r>
            <w:r w:rsidRPr="006E688A">
              <w:rPr>
                <w:rFonts w:ascii="Times New Roman" w:hAnsi="Times New Roman" w:cs="Times New Roman"/>
              </w:rPr>
              <w:t xml:space="preserve">= </w:t>
            </w:r>
            <w:r w:rsidR="007667F0">
              <w:rPr>
                <w:rFonts w:ascii="Times New Roman" w:hAnsi="Times New Roman" w:cs="Times New Roman"/>
              </w:rPr>
              <w:t>94</w:t>
            </w:r>
          </w:p>
        </w:tc>
      </w:tr>
      <w:tr w:rsidR="004F053D" w:rsidRPr="006E688A" w14:paraId="60029000" w14:textId="0266B269" w:rsidTr="002F66EE">
        <w:trPr>
          <w:jc w:val="center"/>
        </w:trPr>
        <w:tc>
          <w:tcPr>
            <w:tcW w:w="9360" w:type="dxa"/>
            <w:gridSpan w:val="9"/>
            <w:tcBorders>
              <w:left w:val="nil"/>
              <w:bottom w:val="nil"/>
              <w:right w:val="nil"/>
            </w:tcBorders>
          </w:tcPr>
          <w:p w14:paraId="4F753F19" w14:textId="38A08DA5" w:rsidR="004F053D" w:rsidRPr="006E688A" w:rsidRDefault="004F053D" w:rsidP="00D2339E">
            <w:pPr>
              <w:autoSpaceDE w:val="0"/>
              <w:autoSpaceDN w:val="0"/>
              <w:adjustRightInd w:val="0"/>
              <w:rPr>
                <w:rFonts w:ascii="Times New Roman" w:hAnsi="Times New Roman" w:cs="Times New Roman"/>
                <w:i/>
              </w:rPr>
            </w:pPr>
            <w:r w:rsidRPr="006E688A">
              <w:rPr>
                <w:rFonts w:ascii="Times New Roman" w:hAnsi="Times New Roman" w:cs="Times New Roman"/>
                <w:i/>
              </w:rPr>
              <w:t>Note</w:t>
            </w:r>
            <w:r w:rsidRPr="006E688A">
              <w:rPr>
                <w:rFonts w:ascii="Times New Roman" w:hAnsi="Times New Roman" w:cs="Times New Roman"/>
              </w:rPr>
              <w:t>. PCP = Primary care physician</w:t>
            </w:r>
          </w:p>
        </w:tc>
      </w:tr>
    </w:tbl>
    <w:p w14:paraId="38BF3C19" w14:textId="38D713DA" w:rsidR="006E688A" w:rsidRDefault="00B5770D" w:rsidP="00B5770D">
      <w:pPr>
        <w:pStyle w:val="BodyTextafter12"/>
        <w:spacing w:before="0" w:after="0" w:line="240" w:lineRule="auto"/>
        <w:rPr>
          <w:rFonts w:ascii="Times New Roman" w:hAnsi="Times New Roman"/>
          <w:sz w:val="24"/>
          <w:szCs w:val="24"/>
        </w:rPr>
      </w:pPr>
      <w:r>
        <w:rPr>
          <w:rFonts w:ascii="Times New Roman" w:hAnsi="Times New Roman"/>
          <w:sz w:val="24"/>
          <w:szCs w:val="24"/>
        </w:rPr>
        <w:tab/>
      </w:r>
    </w:p>
    <w:p w14:paraId="5D5B3BBF" w14:textId="68959F10" w:rsidR="006E688A" w:rsidRPr="006E688A" w:rsidRDefault="006E688A" w:rsidP="002F66EE">
      <w:pPr>
        <w:pStyle w:val="BodyTextafter12"/>
        <w:spacing w:before="0" w:after="0" w:line="240" w:lineRule="auto"/>
        <w:ind w:left="630" w:firstLine="0"/>
        <w:rPr>
          <w:rFonts w:ascii="Times New Roman" w:hAnsi="Times New Roman"/>
          <w:sz w:val="24"/>
          <w:szCs w:val="24"/>
        </w:rPr>
      </w:pPr>
      <w:r w:rsidRPr="006E688A">
        <w:rPr>
          <w:rFonts w:ascii="Times New Roman" w:hAnsi="Times New Roman"/>
          <w:sz w:val="24"/>
          <w:szCs w:val="24"/>
        </w:rPr>
        <w:t>With the same parameters, we will also be able to conduct planned contrasts testing various combinations of group means with enough sensitivity to detect moderately small effects (</w:t>
      </w:r>
      <w:r w:rsidRPr="006E688A">
        <w:rPr>
          <w:rFonts w:ascii="Times New Roman" w:hAnsi="Times New Roman"/>
          <w:i/>
          <w:sz w:val="24"/>
          <w:szCs w:val="24"/>
        </w:rPr>
        <w:t>f</w:t>
      </w:r>
      <w:r w:rsidRPr="006E688A">
        <w:rPr>
          <w:rFonts w:ascii="Times New Roman" w:hAnsi="Times New Roman"/>
          <w:sz w:val="24"/>
          <w:szCs w:val="24"/>
        </w:rPr>
        <w:t xml:space="preserve"> = 0.12) for orthogonal contrasts, where no family-wise error correction is required because each contrast is statistically independent. The design is also sensitive to detect moderately small size effects (</w:t>
      </w:r>
      <w:r w:rsidRPr="006E688A">
        <w:rPr>
          <w:rFonts w:ascii="Times New Roman" w:hAnsi="Times New Roman"/>
          <w:i/>
          <w:sz w:val="24"/>
          <w:szCs w:val="24"/>
        </w:rPr>
        <w:t>f</w:t>
      </w:r>
      <w:r w:rsidRPr="006E688A">
        <w:rPr>
          <w:rFonts w:ascii="Times New Roman" w:hAnsi="Times New Roman"/>
          <w:sz w:val="24"/>
          <w:szCs w:val="24"/>
        </w:rPr>
        <w:t xml:space="preserve"> = 0.16) for up to 14 nonorthogonal contrasts, assuming a Bonferroni-adjusted alpha of 0.0035. </w:t>
      </w:r>
      <w:r w:rsidRPr="0070177A">
        <w:rPr>
          <w:rFonts w:ascii="Times New Roman" w:hAnsi="Times New Roman"/>
          <w:sz w:val="24"/>
          <w:szCs w:val="24"/>
        </w:rPr>
        <w:t xml:space="preserve">This study is also powered to detect pairwise interactions for the two manipulated factors (disclosure and specialty) in a nested analysis excluding the control group. For categorical outcomes, this sample will give us 90% power to detect a small effect size of </w:t>
      </w:r>
      <w:r w:rsidRPr="0070177A">
        <w:rPr>
          <w:rFonts w:ascii="Times New Roman" w:hAnsi="Times New Roman"/>
          <w:i/>
          <w:sz w:val="24"/>
          <w:szCs w:val="24"/>
        </w:rPr>
        <w:t>w</w:t>
      </w:r>
      <w:r w:rsidRPr="0070177A">
        <w:rPr>
          <w:rFonts w:ascii="Times New Roman" w:hAnsi="Times New Roman"/>
          <w:sz w:val="24"/>
          <w:szCs w:val="24"/>
        </w:rPr>
        <w:t xml:space="preserve"> = 0.</w:t>
      </w:r>
      <w:r w:rsidR="00DE7FC5" w:rsidRPr="0070177A">
        <w:rPr>
          <w:rFonts w:ascii="Times New Roman" w:hAnsi="Times New Roman"/>
          <w:sz w:val="24"/>
          <w:szCs w:val="24"/>
        </w:rPr>
        <w:t xml:space="preserve">15 </w:t>
      </w:r>
      <w:r w:rsidRPr="0070177A">
        <w:rPr>
          <w:rFonts w:ascii="Times New Roman" w:hAnsi="Times New Roman"/>
          <w:sz w:val="24"/>
          <w:szCs w:val="24"/>
        </w:rPr>
        <w:t xml:space="preserve">using a </w:t>
      </w:r>
      <w:r w:rsidR="00DE7FC5" w:rsidRPr="0070177A">
        <w:rPr>
          <w:rFonts w:ascii="Times New Roman" w:hAnsi="Times New Roman"/>
          <w:sz w:val="24"/>
          <w:szCs w:val="24"/>
        </w:rPr>
        <w:t xml:space="preserve">4 </w:t>
      </w:r>
      <w:r w:rsidRPr="0070177A">
        <w:rPr>
          <w:rFonts w:ascii="Times New Roman" w:hAnsi="Times New Roman"/>
          <w:sz w:val="24"/>
          <w:szCs w:val="24"/>
        </w:rPr>
        <w:t>degree-of-freedom chi-square test with an alpha significance level of 0.05.</w:t>
      </w:r>
    </w:p>
    <w:p w14:paraId="29CE690F" w14:textId="56D5673E" w:rsidR="00CA557D" w:rsidRDefault="00CA557D" w:rsidP="00C749AB">
      <w:pPr>
        <w:numPr>
          <w:ilvl w:val="0"/>
          <w:numId w:val="1"/>
        </w:numPr>
        <w:spacing w:before="100" w:beforeAutospacing="1" w:after="100" w:afterAutospacing="1"/>
        <w:contextualSpacing/>
        <w:rPr>
          <w:u w:val="single"/>
        </w:rPr>
      </w:pPr>
      <w:r w:rsidRPr="00E00EA0">
        <w:rPr>
          <w:u w:val="single"/>
        </w:rPr>
        <w:t>Methods to Maximize Response Rates and Deal with Non</w:t>
      </w:r>
      <w:r>
        <w:rPr>
          <w:u w:val="single"/>
        </w:rPr>
        <w:t>-</w:t>
      </w:r>
      <w:r w:rsidR="00C61410">
        <w:rPr>
          <w:u w:val="single"/>
        </w:rPr>
        <w:t>R</w:t>
      </w:r>
      <w:r w:rsidRPr="00E00EA0">
        <w:rPr>
          <w:u w:val="single"/>
        </w:rPr>
        <w:t>esponse</w:t>
      </w:r>
    </w:p>
    <w:p w14:paraId="507BE5E4" w14:textId="77777777" w:rsidR="0097740B" w:rsidRPr="00E00EA0" w:rsidRDefault="0097740B" w:rsidP="00C749AB">
      <w:pPr>
        <w:spacing w:before="100" w:beforeAutospacing="1" w:after="100" w:afterAutospacing="1"/>
        <w:ind w:left="630"/>
        <w:contextualSpacing/>
        <w:rPr>
          <w:u w:val="single"/>
        </w:rPr>
      </w:pPr>
    </w:p>
    <w:p w14:paraId="33442FF1" w14:textId="44BED2FA" w:rsidR="00742CBC" w:rsidRDefault="006F1D35" w:rsidP="002F66EE">
      <w:pPr>
        <w:ind w:left="630"/>
        <w:contextualSpacing/>
      </w:pPr>
      <w:r>
        <w:rPr>
          <w:color w:val="000000"/>
        </w:rPr>
        <w:t>Both the pretest</w:t>
      </w:r>
      <w:r w:rsidR="00742CBC">
        <w:rPr>
          <w:color w:val="000000"/>
        </w:rPr>
        <w:t xml:space="preserve"> and main </w:t>
      </w:r>
      <w:r w:rsidR="009C5007">
        <w:rPr>
          <w:color w:val="000000"/>
        </w:rPr>
        <w:t>s</w:t>
      </w:r>
      <w:r>
        <w:rPr>
          <w:color w:val="000000"/>
        </w:rPr>
        <w:t>tudies</w:t>
      </w:r>
      <w:r w:rsidR="00A14827">
        <w:rPr>
          <w:color w:val="000000"/>
        </w:rPr>
        <w:t xml:space="preserve"> will be administered </w:t>
      </w:r>
      <w:r>
        <w:rPr>
          <w:color w:val="000000"/>
        </w:rPr>
        <w:t>via Internet</w:t>
      </w:r>
      <w:r w:rsidR="00742CBC">
        <w:rPr>
          <w:color w:val="000000"/>
        </w:rPr>
        <w:t>. To help ensure that the participation rate is as high as possible</w:t>
      </w:r>
      <w:r w:rsidR="00742CBC">
        <w:t>, FDA and the contractor will</w:t>
      </w:r>
      <w:r w:rsidR="00742CBC" w:rsidRPr="005C7016">
        <w:t>:</w:t>
      </w:r>
    </w:p>
    <w:p w14:paraId="1C0BE85B" w14:textId="77777777" w:rsidR="00074EED" w:rsidRDefault="00074EED" w:rsidP="00C749AB">
      <w:pPr>
        <w:ind w:firstLine="630"/>
        <w:contextualSpacing/>
      </w:pPr>
    </w:p>
    <w:p w14:paraId="59F0042B" w14:textId="77777777" w:rsidR="00742CBC" w:rsidRDefault="00742CBC" w:rsidP="00C749AB">
      <w:pPr>
        <w:pStyle w:val="ListParagraph"/>
        <w:numPr>
          <w:ilvl w:val="0"/>
          <w:numId w:val="3"/>
        </w:numPr>
        <w:tabs>
          <w:tab w:val="left" w:pos="1080"/>
        </w:tabs>
        <w:ind w:left="1080" w:hanging="360"/>
      </w:pPr>
      <w:r w:rsidRPr="005C7016">
        <w:t>Design a</w:t>
      </w:r>
      <w:r>
        <w:t xml:space="preserve"> </w:t>
      </w:r>
      <w:r w:rsidRPr="005C7016">
        <w:t>protocol that minimizes burden (short in length, clearly written, and with appealing graphics)</w:t>
      </w:r>
      <w:r>
        <w:t>;</w:t>
      </w:r>
      <w:r w:rsidRPr="005C7016">
        <w:t xml:space="preserve"> </w:t>
      </w:r>
    </w:p>
    <w:p w14:paraId="015B87C7" w14:textId="77777777" w:rsidR="00074EED" w:rsidRDefault="00074EED" w:rsidP="006F1D35">
      <w:pPr>
        <w:tabs>
          <w:tab w:val="left" w:pos="1080"/>
        </w:tabs>
      </w:pPr>
    </w:p>
    <w:p w14:paraId="24DF8709" w14:textId="193E2C6B" w:rsidR="00863625" w:rsidRDefault="00863625" w:rsidP="00C749AB">
      <w:pPr>
        <w:pStyle w:val="ListParagraph"/>
        <w:numPr>
          <w:ilvl w:val="0"/>
          <w:numId w:val="3"/>
        </w:numPr>
        <w:tabs>
          <w:tab w:val="left" w:pos="1080"/>
        </w:tabs>
        <w:ind w:left="1080" w:hanging="360"/>
      </w:pPr>
      <w:r>
        <w:t>Use incentive rates that meet industry standards.</w:t>
      </w:r>
      <w:r w:rsidRPr="00863625">
        <w:t xml:space="preserve"> </w:t>
      </w:r>
      <w:r>
        <w:t>In addition to offsetting respondent burden, u</w:t>
      </w:r>
      <w:r w:rsidRPr="007D4D0E">
        <w:t xml:space="preserve">sing market-rate incentives </w:t>
      </w:r>
      <w:r>
        <w:t xml:space="preserve">tends to increase response rates, reduce sampling bias, and reduce nonresponse bias. </w:t>
      </w:r>
    </w:p>
    <w:p w14:paraId="6BEAC035" w14:textId="77777777" w:rsidR="000933B1" w:rsidRDefault="000933B1" w:rsidP="00D2339E">
      <w:pPr>
        <w:pStyle w:val="ListParagraph"/>
      </w:pPr>
    </w:p>
    <w:p w14:paraId="013AB9D9" w14:textId="4B870C09" w:rsidR="000933B1" w:rsidRDefault="000933B1" w:rsidP="00C749AB">
      <w:pPr>
        <w:pStyle w:val="ListParagraph"/>
        <w:numPr>
          <w:ilvl w:val="0"/>
          <w:numId w:val="3"/>
        </w:numPr>
        <w:tabs>
          <w:tab w:val="left" w:pos="1080"/>
        </w:tabs>
        <w:ind w:left="1080" w:hanging="360"/>
      </w:pPr>
      <w:r>
        <w:t xml:space="preserve">Use government sponsorship on the survey invite to increase response rate. </w:t>
      </w:r>
      <w:r w:rsidR="00852366" w:rsidRPr="00852366">
        <w:t>An experiment conducted by FDA and RTI</w:t>
      </w:r>
      <w:r w:rsidR="004C6BFB">
        <w:rPr>
          <w:rStyle w:val="FootnoteReference"/>
        </w:rPr>
        <w:footnoteReference w:id="1"/>
      </w:r>
      <w:r w:rsidR="00852366" w:rsidRPr="00852366">
        <w:t xml:space="preserve"> found that among endocrinologists, response rates were 6 percentage points higher when FDA was disclosed as the sponsor in the survey invitation than when no sponsor was listed.</w:t>
      </w:r>
      <w:r w:rsidR="004C6BFB">
        <w:t xml:space="preserve"> </w:t>
      </w:r>
      <w:r w:rsidR="00B92C62">
        <w:t xml:space="preserve">However, due to concerns raised in the public comments that mentioning FDA could </w:t>
      </w:r>
      <w:r w:rsidR="00B92C62" w:rsidRPr="00B651B5">
        <w:t>potentially influence subjects’ responses to study questions</w:t>
      </w:r>
      <w:r w:rsidR="00B92C62">
        <w:t xml:space="preserve">, we will </w:t>
      </w:r>
      <w:r w:rsidR="00B92C62" w:rsidRPr="00B651B5">
        <w:t>ensure that all materials reference the U.S. Department of Health and Human Services rather than FDA</w:t>
      </w:r>
      <w:r w:rsidR="00B92C62">
        <w:t>.</w:t>
      </w:r>
    </w:p>
    <w:p w14:paraId="18C32004" w14:textId="77777777" w:rsidR="00742CBC" w:rsidRDefault="00742CBC" w:rsidP="00C749AB">
      <w:pPr>
        <w:autoSpaceDE w:val="0"/>
        <w:autoSpaceDN w:val="0"/>
        <w:adjustRightInd w:val="0"/>
        <w:ind w:firstLine="720"/>
        <w:contextualSpacing/>
        <w:rPr>
          <w:color w:val="000000"/>
        </w:rPr>
      </w:pPr>
    </w:p>
    <w:p w14:paraId="59D532B6" w14:textId="5E0EC98D" w:rsidR="00742CBC" w:rsidRPr="0075483A" w:rsidRDefault="00A14827" w:rsidP="002F66EE">
      <w:pPr>
        <w:autoSpaceDE w:val="0"/>
        <w:autoSpaceDN w:val="0"/>
        <w:adjustRightInd w:val="0"/>
        <w:ind w:left="720"/>
        <w:contextualSpacing/>
        <w:rPr>
          <w:color w:val="000000"/>
        </w:rPr>
      </w:pPr>
      <w:r w:rsidRPr="000A2639">
        <w:t xml:space="preserve">Participants in the pretest and main studies will be convenience samples, rather than probability-based samples of U.S. adults. Rather, the strength of the experimental </w:t>
      </w:r>
      <w:r>
        <w:t>design used in</w:t>
      </w:r>
      <w:r w:rsidRPr="000A2639">
        <w:t xml:space="preserve"> this study lies in its internal validity, on which meaningful estimates of differences across </w:t>
      </w:r>
      <w:r w:rsidR="005B5FC4">
        <w:t xml:space="preserve">manipulated </w:t>
      </w:r>
      <w:r w:rsidRPr="000A2639">
        <w:t xml:space="preserve">conditions can be produced and </w:t>
      </w:r>
      <w:r w:rsidRPr="00CA0D91">
        <w:t>generalized.</w:t>
      </w:r>
      <w:r w:rsidR="00863625">
        <w:t xml:space="preserve"> </w:t>
      </w:r>
      <w:r w:rsidR="005B5FC4">
        <w:t xml:space="preserve">This is a counterpoint to observational survey methodologies where estimating population parameters is the primary focus of statistical analysis. The </w:t>
      </w:r>
      <w:r w:rsidR="00085C29">
        <w:t>recruitment procedures</w:t>
      </w:r>
      <w:r w:rsidR="005B5FC4">
        <w:t xml:space="preserve"> in this study</w:t>
      </w:r>
      <w:r w:rsidR="00085C29">
        <w:t xml:space="preserve"> are not </w:t>
      </w:r>
      <w:r w:rsidR="00AA0B66">
        <w:t xml:space="preserve">intended to fit the criteria for </w:t>
      </w:r>
      <w:r w:rsidR="00085C29">
        <w:t>survey sampling</w:t>
      </w:r>
      <w:r w:rsidR="00AA0B66">
        <w:t>, where each unit in the sampling frame has an</w:t>
      </w:r>
      <w:r w:rsidR="00085C29">
        <w:t xml:space="preserve"> </w:t>
      </w:r>
      <w:r w:rsidR="00AA0B66">
        <w:t xml:space="preserve">equal probability of being selected to participate. </w:t>
      </w:r>
      <w:r w:rsidR="00E94724">
        <w:rPr>
          <w:color w:val="000000"/>
        </w:rPr>
        <w:t>In an observational survey study, r</w:t>
      </w:r>
      <w:r w:rsidR="00742CBC" w:rsidRPr="0075483A">
        <w:rPr>
          <w:color w:val="000000"/>
        </w:rPr>
        <w:t>esponse rates are ofte</w:t>
      </w:r>
      <w:r w:rsidR="00742CBC">
        <w:rPr>
          <w:color w:val="000000"/>
        </w:rPr>
        <w:t xml:space="preserve">n used as a proxy measure </w:t>
      </w:r>
      <w:r w:rsidR="00742CBC" w:rsidRPr="0075483A">
        <w:rPr>
          <w:color w:val="000000"/>
        </w:rPr>
        <w:t>for survey quality, with lower response rates indicating poorer q</w:t>
      </w:r>
      <w:r w:rsidR="00742CBC">
        <w:rPr>
          <w:color w:val="000000"/>
        </w:rPr>
        <w:t xml:space="preserve">uality. </w:t>
      </w:r>
      <w:r w:rsidR="005B5FC4">
        <w:rPr>
          <w:color w:val="000000"/>
        </w:rPr>
        <w:t xml:space="preserve">Nonresponse bias analysis is also commonly </w:t>
      </w:r>
      <w:r w:rsidR="005B5FC4" w:rsidRPr="0075483A">
        <w:rPr>
          <w:color w:val="000000"/>
        </w:rPr>
        <w:t>used</w:t>
      </w:r>
      <w:r w:rsidR="005B5FC4">
        <w:rPr>
          <w:color w:val="000000"/>
        </w:rPr>
        <w:t xml:space="preserve"> to determine the potential for </w:t>
      </w:r>
      <w:r w:rsidR="005B5FC4" w:rsidRPr="0075483A">
        <w:rPr>
          <w:color w:val="000000"/>
        </w:rPr>
        <w:t xml:space="preserve">nonresponse </w:t>
      </w:r>
      <w:r w:rsidR="005B5FC4">
        <w:rPr>
          <w:color w:val="000000"/>
        </w:rPr>
        <w:t xml:space="preserve">sampling error in </w:t>
      </w:r>
      <w:r w:rsidR="005B5FC4" w:rsidRPr="0075483A">
        <w:rPr>
          <w:color w:val="000000"/>
        </w:rPr>
        <w:t>survey estimates</w:t>
      </w:r>
      <w:r w:rsidR="005B5FC4">
        <w:rPr>
          <w:color w:val="000000"/>
        </w:rPr>
        <w:t xml:space="preserve">. </w:t>
      </w:r>
      <w:r w:rsidR="00742CBC">
        <w:rPr>
          <w:color w:val="000000"/>
        </w:rPr>
        <w:t xml:space="preserve">However, </w:t>
      </w:r>
      <w:r w:rsidR="00E94724">
        <w:rPr>
          <w:color w:val="000000"/>
        </w:rPr>
        <w:t xml:space="preserve">concerns about </w:t>
      </w:r>
      <w:r w:rsidR="005B5FC4">
        <w:rPr>
          <w:color w:val="000000"/>
        </w:rPr>
        <w:t>sampling error</w:t>
      </w:r>
      <w:r w:rsidR="00E94724">
        <w:rPr>
          <w:color w:val="000000"/>
        </w:rPr>
        <w:t xml:space="preserve"> do not generally apply to</w:t>
      </w:r>
      <w:r w:rsidR="005B5FC4">
        <w:rPr>
          <w:color w:val="000000"/>
        </w:rPr>
        <w:t xml:space="preserve"> experimental designs</w:t>
      </w:r>
      <w:r w:rsidR="00E94724">
        <w:rPr>
          <w:color w:val="000000"/>
        </w:rPr>
        <w:t>, where the parameters of interest are under the control of the researcher—rather than being pre-established characteristics of the participants—and each participant has an equal probability of being assigned to any of the experimental conditions</w:t>
      </w:r>
      <w:r w:rsidR="005B5FC4">
        <w:rPr>
          <w:color w:val="000000"/>
        </w:rPr>
        <w:t xml:space="preserve">.  </w:t>
      </w:r>
    </w:p>
    <w:p w14:paraId="10AFF64C" w14:textId="77777777" w:rsidR="00742CBC" w:rsidRDefault="00742CBC" w:rsidP="00C749AB">
      <w:pPr>
        <w:autoSpaceDE w:val="0"/>
        <w:autoSpaceDN w:val="0"/>
        <w:adjustRightInd w:val="0"/>
        <w:ind w:firstLine="720"/>
        <w:contextualSpacing/>
        <w:rPr>
          <w:color w:val="000000"/>
        </w:rPr>
      </w:pPr>
    </w:p>
    <w:p w14:paraId="4DEDF739" w14:textId="77777777" w:rsidR="003F7995" w:rsidRDefault="00A817B8" w:rsidP="002F66EE">
      <w:pPr>
        <w:autoSpaceDE w:val="0"/>
        <w:autoSpaceDN w:val="0"/>
        <w:adjustRightInd w:val="0"/>
        <w:ind w:left="630" w:firstLine="90"/>
        <w:contextualSpacing/>
        <w:rPr>
          <w:color w:val="000000"/>
        </w:rPr>
      </w:pPr>
      <w:r>
        <w:rPr>
          <w:color w:val="000000"/>
        </w:rPr>
        <w:t>Generally, t</w:t>
      </w:r>
      <w:r w:rsidR="00742CBC" w:rsidRPr="0075483A">
        <w:rPr>
          <w:color w:val="000000"/>
        </w:rPr>
        <w:t xml:space="preserve">here are several approaches to </w:t>
      </w:r>
      <w:r>
        <w:rPr>
          <w:color w:val="000000"/>
        </w:rPr>
        <w:t xml:space="preserve">conducting a </w:t>
      </w:r>
      <w:r w:rsidR="00742CBC" w:rsidRPr="0075483A">
        <w:rPr>
          <w:color w:val="000000"/>
        </w:rPr>
        <w:t>nonrespon</w:t>
      </w:r>
      <w:r w:rsidR="00742CBC">
        <w:rPr>
          <w:color w:val="000000"/>
        </w:rPr>
        <w:t xml:space="preserve">se bias analysis, </w:t>
      </w:r>
      <w:r w:rsidR="00742CBC" w:rsidRPr="0075483A">
        <w:rPr>
          <w:color w:val="000000"/>
        </w:rPr>
        <w:t xml:space="preserve">such </w:t>
      </w:r>
      <w:r w:rsidR="003F7995">
        <w:rPr>
          <w:color w:val="000000"/>
        </w:rPr>
        <w:t xml:space="preserve"> </w:t>
      </w:r>
    </w:p>
    <w:p w14:paraId="4A8EA5E3" w14:textId="77777777" w:rsidR="003F7995" w:rsidRDefault="00742CBC" w:rsidP="002F66EE">
      <w:pPr>
        <w:autoSpaceDE w:val="0"/>
        <w:autoSpaceDN w:val="0"/>
        <w:adjustRightInd w:val="0"/>
        <w:ind w:left="630" w:firstLine="90"/>
        <w:contextualSpacing/>
        <w:rPr>
          <w:color w:val="000000"/>
        </w:rPr>
      </w:pPr>
      <w:r w:rsidRPr="0075483A">
        <w:rPr>
          <w:color w:val="000000"/>
        </w:rPr>
        <w:t>as comparing response rates by subgroups, comparing re</w:t>
      </w:r>
      <w:r>
        <w:rPr>
          <w:color w:val="000000"/>
        </w:rPr>
        <w:t xml:space="preserve">spondents and nonrespondents </w:t>
      </w:r>
    </w:p>
    <w:p w14:paraId="672E1AA0" w14:textId="77777777" w:rsidR="003F7995" w:rsidRDefault="00742CBC" w:rsidP="002F66EE">
      <w:pPr>
        <w:autoSpaceDE w:val="0"/>
        <w:autoSpaceDN w:val="0"/>
        <w:adjustRightInd w:val="0"/>
        <w:ind w:left="630" w:firstLine="90"/>
        <w:contextualSpacing/>
        <w:rPr>
          <w:color w:val="000000"/>
        </w:rPr>
      </w:pPr>
      <w:r>
        <w:rPr>
          <w:color w:val="000000"/>
        </w:rPr>
        <w:t xml:space="preserve">on </w:t>
      </w:r>
      <w:r w:rsidRPr="0075483A">
        <w:rPr>
          <w:color w:val="000000"/>
        </w:rPr>
        <w:t>frame</w:t>
      </w:r>
      <w:r>
        <w:rPr>
          <w:color w:val="000000"/>
        </w:rPr>
        <w:t xml:space="preserve"> </w:t>
      </w:r>
      <w:r w:rsidRPr="0075483A">
        <w:rPr>
          <w:color w:val="000000"/>
        </w:rPr>
        <w:t>variables, and conducting a nonresponse follow-up study</w:t>
      </w:r>
      <w:r>
        <w:rPr>
          <w:rStyle w:val="FootnoteReference"/>
          <w:color w:val="000000"/>
        </w:rPr>
        <w:footnoteReference w:id="2"/>
      </w:r>
      <w:r w:rsidR="0097740B">
        <w:rPr>
          <w:color w:val="000000"/>
        </w:rPr>
        <w:t>.</w:t>
      </w:r>
      <w:r w:rsidRPr="0075483A">
        <w:rPr>
          <w:color w:val="000000"/>
        </w:rPr>
        <w:t xml:space="preserve"> For the proposed </w:t>
      </w:r>
    </w:p>
    <w:p w14:paraId="61B6217C" w14:textId="77777777" w:rsidR="003F7995" w:rsidRDefault="00742CBC" w:rsidP="002F66EE">
      <w:pPr>
        <w:autoSpaceDE w:val="0"/>
        <w:autoSpaceDN w:val="0"/>
        <w:adjustRightInd w:val="0"/>
        <w:ind w:left="630" w:firstLine="90"/>
        <w:contextualSpacing/>
        <w:rPr>
          <w:color w:val="000000"/>
        </w:rPr>
      </w:pPr>
      <w:r w:rsidRPr="0075483A">
        <w:rPr>
          <w:color w:val="000000"/>
        </w:rPr>
        <w:t>project, we</w:t>
      </w:r>
      <w:r>
        <w:rPr>
          <w:color w:val="000000"/>
        </w:rPr>
        <w:t xml:space="preserve"> will </w:t>
      </w:r>
      <w:r w:rsidR="00A817B8">
        <w:rPr>
          <w:color w:val="000000"/>
        </w:rPr>
        <w:t xml:space="preserve">examine nonresponse for its descriptive value by </w:t>
      </w:r>
      <w:r w:rsidR="00852366" w:rsidRPr="0052445F">
        <w:rPr>
          <w:color w:val="000000"/>
        </w:rPr>
        <w:t xml:space="preserve">comparing our full </w:t>
      </w:r>
    </w:p>
    <w:p w14:paraId="2DC0D2FE" w14:textId="6EC048CF" w:rsidR="00742CBC" w:rsidRDefault="00852366" w:rsidP="002F66EE">
      <w:pPr>
        <w:autoSpaceDE w:val="0"/>
        <w:autoSpaceDN w:val="0"/>
        <w:adjustRightInd w:val="0"/>
        <w:ind w:left="630" w:firstLine="90"/>
        <w:contextualSpacing/>
        <w:rPr>
          <w:color w:val="000000"/>
        </w:rPr>
      </w:pPr>
      <w:r w:rsidRPr="0052445F">
        <w:rPr>
          <w:color w:val="000000"/>
        </w:rPr>
        <w:t>sample with population estimates for age, race, gender</w:t>
      </w:r>
      <w:r w:rsidR="0052445F">
        <w:rPr>
          <w:color w:val="000000"/>
        </w:rPr>
        <w:t>.</w:t>
      </w:r>
    </w:p>
    <w:p w14:paraId="533A0DCA" w14:textId="77777777" w:rsidR="0097740B" w:rsidRDefault="0097740B" w:rsidP="00C749AB">
      <w:pPr>
        <w:autoSpaceDE w:val="0"/>
        <w:autoSpaceDN w:val="0"/>
        <w:adjustRightInd w:val="0"/>
        <w:ind w:firstLine="720"/>
        <w:contextualSpacing/>
        <w:rPr>
          <w:color w:val="000000"/>
        </w:rPr>
      </w:pPr>
    </w:p>
    <w:p w14:paraId="11F504D2" w14:textId="77777777" w:rsidR="00CA557D" w:rsidRDefault="00CA557D" w:rsidP="00C749AB">
      <w:pPr>
        <w:numPr>
          <w:ilvl w:val="0"/>
          <w:numId w:val="1"/>
        </w:numPr>
        <w:spacing w:before="100" w:beforeAutospacing="1" w:after="100" w:afterAutospacing="1"/>
        <w:contextualSpacing/>
        <w:rPr>
          <w:u w:val="single"/>
        </w:rPr>
      </w:pPr>
      <w:r w:rsidRPr="00E00EA0">
        <w:rPr>
          <w:u w:val="single"/>
        </w:rPr>
        <w:t>Test of Procedures or Methods to be Undertaken</w:t>
      </w:r>
    </w:p>
    <w:p w14:paraId="41E5C18B" w14:textId="77777777" w:rsidR="0097740B" w:rsidRPr="00E00EA0" w:rsidRDefault="0097740B" w:rsidP="00C749AB">
      <w:pPr>
        <w:spacing w:before="100" w:beforeAutospacing="1" w:after="100" w:afterAutospacing="1"/>
        <w:ind w:left="630"/>
        <w:contextualSpacing/>
        <w:rPr>
          <w:u w:val="single"/>
        </w:rPr>
      </w:pPr>
    </w:p>
    <w:p w14:paraId="7FC6A2E9" w14:textId="179A9E0E" w:rsidR="00CA557D" w:rsidRDefault="00AE6821" w:rsidP="002F66EE">
      <w:pPr>
        <w:ind w:left="630"/>
        <w:contextualSpacing/>
      </w:pPr>
      <w:r>
        <w:t>Nine</w:t>
      </w:r>
      <w:r w:rsidR="00444633">
        <w:t xml:space="preserve"> cognitive interviews </w:t>
      </w:r>
      <w:r w:rsidR="003B212C">
        <w:t>were</w:t>
      </w:r>
      <w:r w:rsidR="00444633">
        <w:t xml:space="preserve"> conducted </w:t>
      </w:r>
      <w:r w:rsidR="00FF72A6">
        <w:t>to assess questionnaire flow</w:t>
      </w:r>
      <w:r w:rsidR="0063543A">
        <w:t xml:space="preserve"> and wording</w:t>
      </w:r>
      <w:r w:rsidR="00444633">
        <w:t xml:space="preserve">.  </w:t>
      </w:r>
      <w:r w:rsidR="003B212C">
        <w:t>We</w:t>
      </w:r>
      <w:r w:rsidR="00444633">
        <w:t xml:space="preserve"> plan to co</w:t>
      </w:r>
      <w:r w:rsidR="00787D62">
        <w:t>nduct a pretest</w:t>
      </w:r>
      <w:r w:rsidR="00444633">
        <w:t xml:space="preserve"> on a large</w:t>
      </w:r>
      <w:r w:rsidR="00787D62">
        <w:t>r scale to ensure the main studies</w:t>
      </w:r>
      <w:r w:rsidR="00444633">
        <w:t xml:space="preserve"> will run s</w:t>
      </w:r>
      <w:r w:rsidR="00181F3B">
        <w:t xml:space="preserve">moothly.  We propose to test </w:t>
      </w:r>
      <w:r w:rsidR="00787D62">
        <w:t>90</w:t>
      </w:r>
      <w:r w:rsidR="00444633">
        <w:t xml:space="preserve"> individuals in the pretest.  </w:t>
      </w:r>
    </w:p>
    <w:p w14:paraId="752FF19F" w14:textId="77777777" w:rsidR="0097740B" w:rsidRPr="00FC728D" w:rsidRDefault="0097740B" w:rsidP="00C749AB">
      <w:pPr>
        <w:ind w:firstLine="630"/>
        <w:contextualSpacing/>
      </w:pPr>
    </w:p>
    <w:p w14:paraId="0264AE73" w14:textId="77777777" w:rsidR="00CA557D" w:rsidRPr="00C749AB" w:rsidRDefault="00CA557D" w:rsidP="00C749AB">
      <w:pPr>
        <w:numPr>
          <w:ilvl w:val="0"/>
          <w:numId w:val="1"/>
        </w:numPr>
        <w:spacing w:before="100" w:beforeAutospacing="1" w:after="100" w:afterAutospacing="1"/>
        <w:contextualSpacing/>
      </w:pPr>
      <w:r w:rsidRPr="00E00EA0">
        <w:rPr>
          <w:u w:val="single"/>
        </w:rPr>
        <w:t>Individuals Consulted on Statistical Aspects and Individuals Collecting and/or Analyzing Data</w:t>
      </w:r>
    </w:p>
    <w:p w14:paraId="263EC0EC" w14:textId="77777777" w:rsidR="0097740B" w:rsidRPr="00901043" w:rsidRDefault="0097740B" w:rsidP="00C749AB">
      <w:pPr>
        <w:spacing w:before="100" w:beforeAutospacing="1" w:after="100" w:afterAutospacing="1"/>
        <w:ind w:left="630"/>
        <w:contextualSpacing/>
      </w:pPr>
    </w:p>
    <w:p w14:paraId="6AF0A2F2" w14:textId="26860F62" w:rsidR="003E7CB2" w:rsidRDefault="00CA557D" w:rsidP="002F66EE">
      <w:pPr>
        <w:spacing w:before="100" w:beforeAutospacing="1" w:after="100" w:afterAutospacing="1"/>
        <w:ind w:left="630"/>
        <w:contextualSpacing/>
      </w:pPr>
      <w:r w:rsidRPr="000F1691">
        <w:t>The contractor, RTI,</w:t>
      </w:r>
      <w:r>
        <w:t xml:space="preserve"> will collect and analyze</w:t>
      </w:r>
      <w:r w:rsidRPr="000F1691">
        <w:t xml:space="preserve"> </w:t>
      </w:r>
      <w:r>
        <w:t xml:space="preserve">the data </w:t>
      </w:r>
      <w:r w:rsidRPr="000F1691">
        <w:t>on behalf of FDA as a task order under Contract HHSF223</w:t>
      </w:r>
      <w:r w:rsidR="000F73D3">
        <w:t>201</w:t>
      </w:r>
      <w:r w:rsidR="0063543A">
        <w:t>510002B</w:t>
      </w:r>
      <w:r w:rsidRPr="000F1691">
        <w:t xml:space="preserve">. </w:t>
      </w:r>
      <w:r w:rsidR="00787D62">
        <w:t>Vanessa Boudewyns</w:t>
      </w:r>
      <w:r>
        <w:t>, Ph.D</w:t>
      </w:r>
      <w:r w:rsidRPr="00423C0D">
        <w:t>.</w:t>
      </w:r>
      <w:r w:rsidR="00C816ED">
        <w:t>,</w:t>
      </w:r>
      <w:r w:rsidRPr="00423C0D">
        <w:t xml:space="preserve"> </w:t>
      </w:r>
      <w:r w:rsidR="00787D62">
        <w:t>202-728-2092</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rsidR="00787D62">
        <w:t>Kathryn J. Aikin</w:t>
      </w:r>
      <w:r>
        <w:t xml:space="preserve">, Ph.D., </w:t>
      </w:r>
      <w:r w:rsidR="00787D62">
        <w:t>301-796-0569</w:t>
      </w:r>
      <w:r>
        <w:t>.</w:t>
      </w:r>
    </w:p>
    <w:sectPr w:rsidR="003E7CB2" w:rsidSect="00852CDF">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72B78" w14:textId="77777777" w:rsidR="00D50B4C" w:rsidRDefault="00D50B4C" w:rsidP="00CA557D">
      <w:r>
        <w:separator/>
      </w:r>
    </w:p>
  </w:endnote>
  <w:endnote w:type="continuationSeparator" w:id="0">
    <w:p w14:paraId="27E42E21" w14:textId="77777777" w:rsidR="00D50B4C" w:rsidRDefault="00D50B4C" w:rsidP="00CA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DBFB" w14:textId="77777777"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A538B" w:rsidRDefault="008A5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9BB1" w14:textId="2A4810E0" w:rsidR="008A538B" w:rsidRDefault="008A538B"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1C2F">
      <w:rPr>
        <w:rStyle w:val="PageNumber"/>
        <w:noProof/>
      </w:rPr>
      <w:t>1</w:t>
    </w:r>
    <w:r>
      <w:rPr>
        <w:rStyle w:val="PageNumber"/>
      </w:rPr>
      <w:fldChar w:fldCharType="end"/>
    </w:r>
  </w:p>
  <w:p w14:paraId="70F8AA7E" w14:textId="77777777" w:rsidR="008A538B" w:rsidRDefault="008A5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1F8EF" w14:textId="77777777" w:rsidR="00D50B4C" w:rsidRDefault="00D50B4C" w:rsidP="00CA557D">
      <w:r>
        <w:separator/>
      </w:r>
    </w:p>
  </w:footnote>
  <w:footnote w:type="continuationSeparator" w:id="0">
    <w:p w14:paraId="34E9B6D5" w14:textId="77777777" w:rsidR="00D50B4C" w:rsidRDefault="00D50B4C" w:rsidP="00CA557D">
      <w:r>
        <w:continuationSeparator/>
      </w:r>
    </w:p>
  </w:footnote>
  <w:footnote w:id="1">
    <w:p w14:paraId="1DDEA3D5" w14:textId="6008C3B6" w:rsidR="004C6BFB" w:rsidRDefault="004C6BFB">
      <w:pPr>
        <w:pStyle w:val="FootnoteText"/>
      </w:pPr>
      <w:r>
        <w:rPr>
          <w:rStyle w:val="FootnoteReference"/>
        </w:rPr>
        <w:footnoteRef/>
      </w:r>
      <w:r>
        <w:t xml:space="preserve"> Aikin, KJ; Betts, K; Boudewyns, V; Stine, A; &amp; Southwell, B. (2016). Physician responsiveness to survey incentives and sponsorship in prescription drug advertising research. </w:t>
      </w:r>
      <w:r>
        <w:rPr>
          <w:i/>
        </w:rPr>
        <w:t>Annals of Behavioral Medicine, 50</w:t>
      </w:r>
      <w:r>
        <w:t xml:space="preserve">(Suppl.), s251. </w:t>
      </w:r>
    </w:p>
  </w:footnote>
  <w:footnote w:id="2">
    <w:p w14:paraId="0BAE9E59" w14:textId="77777777" w:rsidR="008A538B" w:rsidRPr="00385D1F" w:rsidRDefault="008A538B" w:rsidP="00742CBC">
      <w:pPr>
        <w:pStyle w:val="FootnoteText"/>
      </w:pPr>
      <w:r>
        <w:rPr>
          <w:rStyle w:val="FootnoteReference"/>
        </w:rPr>
        <w:footnoteRef/>
      </w:r>
      <w:r>
        <w:t xml:space="preserve"> Office of Management and Budget, </w:t>
      </w:r>
      <w:r w:rsidRPr="00385D1F">
        <w:rPr>
          <w:i/>
        </w:rPr>
        <w:t>Standards and Guidelines for Statistical Surveys</w:t>
      </w:r>
      <w:r>
        <w:t xml:space="preserve">, September, 2006.  </w:t>
      </w:r>
      <w:hyperlink r:id="rId1" w:history="1">
        <w:r w:rsidRPr="000764CC">
          <w:rPr>
            <w:rStyle w:val="Hyperlink"/>
          </w:rPr>
          <w:t>www.whitehouse.gov/sites/default/files/omb/inforeg/statpc</w:t>
        </w:r>
      </w:hyperlink>
      <w:r>
        <w:t>.  Last accessed April 18,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2E06039"/>
    <w:multiLevelType w:val="multilevel"/>
    <w:tmpl w:val="154ED458"/>
    <w:numStyleLink w:val="Format4"/>
  </w:abstractNum>
  <w:abstractNum w:abstractNumId="3">
    <w:nsid w:val="199B0AED"/>
    <w:multiLevelType w:val="multilevel"/>
    <w:tmpl w:val="154ED458"/>
    <w:styleLink w:val="Format4"/>
    <w:lvl w:ilvl="0">
      <w:start w:val="1"/>
      <w:numFmt w:val="decimal"/>
      <w:pStyle w:val="Heading1"/>
      <w:lvlText w:val="%1."/>
      <w:lvlJc w:val="left"/>
      <w:pPr>
        <w:ind w:left="324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624E3"/>
    <w:multiLevelType w:val="hybridMultilevel"/>
    <w:tmpl w:val="B54A8118"/>
    <w:lvl w:ilvl="0" w:tplc="B4EE98C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97385B"/>
    <w:multiLevelType w:val="multilevel"/>
    <w:tmpl w:val="6870F08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C45EFC"/>
    <w:multiLevelType w:val="hybridMultilevel"/>
    <w:tmpl w:val="FD2C1BE6"/>
    <w:lvl w:ilvl="0" w:tplc="0409000F">
      <w:start w:val="1"/>
      <w:numFmt w:val="decimal"/>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183FF5"/>
    <w:multiLevelType w:val="hybridMultilevel"/>
    <w:tmpl w:val="D3E2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665988"/>
    <w:multiLevelType w:val="hybridMultilevel"/>
    <w:tmpl w:val="F7D07226"/>
    <w:lvl w:ilvl="0" w:tplc="91723930">
      <w:start w:val="1"/>
      <w:numFmt w:val="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F6E67CF"/>
    <w:multiLevelType w:val="hybridMultilevel"/>
    <w:tmpl w:val="7CAE7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
  </w:num>
  <w:num w:numId="5">
    <w:abstractNumId w:val="9"/>
  </w:num>
  <w:num w:numId="6">
    <w:abstractNumId w:val="3"/>
  </w:num>
  <w:num w:numId="7">
    <w:abstractNumId w:val="2"/>
  </w:num>
  <w:num w:numId="8">
    <w:abstractNumId w:val="10"/>
  </w:num>
  <w:num w:numId="9">
    <w:abstractNumId w:val="12"/>
  </w:num>
  <w:num w:numId="10">
    <w:abstractNumId w:val="5"/>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7D"/>
    <w:rsid w:val="0000253E"/>
    <w:rsid w:val="00012E3E"/>
    <w:rsid w:val="00035D92"/>
    <w:rsid w:val="00074EED"/>
    <w:rsid w:val="000753E5"/>
    <w:rsid w:val="0007565D"/>
    <w:rsid w:val="00085C29"/>
    <w:rsid w:val="00085F3B"/>
    <w:rsid w:val="00087C35"/>
    <w:rsid w:val="000933B1"/>
    <w:rsid w:val="00096DAF"/>
    <w:rsid w:val="000972AF"/>
    <w:rsid w:val="00097FAF"/>
    <w:rsid w:val="000A76F6"/>
    <w:rsid w:val="000A7CC7"/>
    <w:rsid w:val="000C6DC7"/>
    <w:rsid w:val="000E33F2"/>
    <w:rsid w:val="000F73D3"/>
    <w:rsid w:val="000F7AA6"/>
    <w:rsid w:val="00121F0F"/>
    <w:rsid w:val="0013231C"/>
    <w:rsid w:val="00134422"/>
    <w:rsid w:val="00135951"/>
    <w:rsid w:val="00135C86"/>
    <w:rsid w:val="001574FB"/>
    <w:rsid w:val="00173EA6"/>
    <w:rsid w:val="00181F3B"/>
    <w:rsid w:val="00187029"/>
    <w:rsid w:val="001B01BF"/>
    <w:rsid w:val="001B1004"/>
    <w:rsid w:val="001B43A6"/>
    <w:rsid w:val="001C1659"/>
    <w:rsid w:val="001C6B82"/>
    <w:rsid w:val="001D028C"/>
    <w:rsid w:val="001D43EE"/>
    <w:rsid w:val="001F07C5"/>
    <w:rsid w:val="00211DFB"/>
    <w:rsid w:val="00265EB4"/>
    <w:rsid w:val="00282179"/>
    <w:rsid w:val="002A1D6D"/>
    <w:rsid w:val="002B576B"/>
    <w:rsid w:val="002C5730"/>
    <w:rsid w:val="002D046B"/>
    <w:rsid w:val="002E046B"/>
    <w:rsid w:val="002E0B97"/>
    <w:rsid w:val="002E4F7A"/>
    <w:rsid w:val="002F66EE"/>
    <w:rsid w:val="002F6CE9"/>
    <w:rsid w:val="0030047C"/>
    <w:rsid w:val="00302438"/>
    <w:rsid w:val="00302C84"/>
    <w:rsid w:val="00307250"/>
    <w:rsid w:val="00307531"/>
    <w:rsid w:val="0031211F"/>
    <w:rsid w:val="0034036A"/>
    <w:rsid w:val="003439D6"/>
    <w:rsid w:val="00357349"/>
    <w:rsid w:val="00363CF7"/>
    <w:rsid w:val="0036408D"/>
    <w:rsid w:val="00380AFC"/>
    <w:rsid w:val="00382B87"/>
    <w:rsid w:val="003B212C"/>
    <w:rsid w:val="003B6518"/>
    <w:rsid w:val="003C2B5D"/>
    <w:rsid w:val="003D351D"/>
    <w:rsid w:val="003E58D6"/>
    <w:rsid w:val="003E7CB2"/>
    <w:rsid w:val="003F1AB6"/>
    <w:rsid w:val="003F6667"/>
    <w:rsid w:val="003F7995"/>
    <w:rsid w:val="00402FA5"/>
    <w:rsid w:val="00403E48"/>
    <w:rsid w:val="00411439"/>
    <w:rsid w:val="00444633"/>
    <w:rsid w:val="004466A5"/>
    <w:rsid w:val="00446A2C"/>
    <w:rsid w:val="00451DF1"/>
    <w:rsid w:val="004526D6"/>
    <w:rsid w:val="004539BD"/>
    <w:rsid w:val="004550B9"/>
    <w:rsid w:val="00457ED6"/>
    <w:rsid w:val="0046731B"/>
    <w:rsid w:val="00470207"/>
    <w:rsid w:val="00473190"/>
    <w:rsid w:val="00484958"/>
    <w:rsid w:val="00486D95"/>
    <w:rsid w:val="00487D0D"/>
    <w:rsid w:val="004B02EF"/>
    <w:rsid w:val="004C1045"/>
    <w:rsid w:val="004C1969"/>
    <w:rsid w:val="004C6BFB"/>
    <w:rsid w:val="004D06F2"/>
    <w:rsid w:val="004D1804"/>
    <w:rsid w:val="004E3F66"/>
    <w:rsid w:val="004F053D"/>
    <w:rsid w:val="005026ED"/>
    <w:rsid w:val="00515BD8"/>
    <w:rsid w:val="005160EC"/>
    <w:rsid w:val="00523A0D"/>
    <w:rsid w:val="0052413A"/>
    <w:rsid w:val="0052445F"/>
    <w:rsid w:val="00532C9F"/>
    <w:rsid w:val="00533AA8"/>
    <w:rsid w:val="00552406"/>
    <w:rsid w:val="00552D02"/>
    <w:rsid w:val="00563287"/>
    <w:rsid w:val="005872B9"/>
    <w:rsid w:val="005B5FC4"/>
    <w:rsid w:val="005D47BB"/>
    <w:rsid w:val="005E1EB8"/>
    <w:rsid w:val="005E7E7C"/>
    <w:rsid w:val="005F1773"/>
    <w:rsid w:val="005F75B5"/>
    <w:rsid w:val="00604567"/>
    <w:rsid w:val="00620AEC"/>
    <w:rsid w:val="0063475B"/>
    <w:rsid w:val="0063543A"/>
    <w:rsid w:val="00640380"/>
    <w:rsid w:val="00644483"/>
    <w:rsid w:val="00655947"/>
    <w:rsid w:val="00672A09"/>
    <w:rsid w:val="006814CC"/>
    <w:rsid w:val="00696B2E"/>
    <w:rsid w:val="006A3A1C"/>
    <w:rsid w:val="006B44C9"/>
    <w:rsid w:val="006B4F7F"/>
    <w:rsid w:val="006B5E78"/>
    <w:rsid w:val="006B7681"/>
    <w:rsid w:val="006D3FDB"/>
    <w:rsid w:val="006D5D5A"/>
    <w:rsid w:val="006D7E73"/>
    <w:rsid w:val="006E688A"/>
    <w:rsid w:val="006F1D35"/>
    <w:rsid w:val="0070177A"/>
    <w:rsid w:val="00720F77"/>
    <w:rsid w:val="00723D1C"/>
    <w:rsid w:val="00732BFC"/>
    <w:rsid w:val="00742CBC"/>
    <w:rsid w:val="00746C39"/>
    <w:rsid w:val="007539B3"/>
    <w:rsid w:val="0075408F"/>
    <w:rsid w:val="00760C09"/>
    <w:rsid w:val="007667F0"/>
    <w:rsid w:val="00781EEA"/>
    <w:rsid w:val="00787D62"/>
    <w:rsid w:val="00790AD0"/>
    <w:rsid w:val="00795FCC"/>
    <w:rsid w:val="007B5B5C"/>
    <w:rsid w:val="007F3092"/>
    <w:rsid w:val="00800D07"/>
    <w:rsid w:val="00800D62"/>
    <w:rsid w:val="00827736"/>
    <w:rsid w:val="008331F1"/>
    <w:rsid w:val="008335C0"/>
    <w:rsid w:val="00835A14"/>
    <w:rsid w:val="00841C8C"/>
    <w:rsid w:val="008433D4"/>
    <w:rsid w:val="00852366"/>
    <w:rsid w:val="00852CDF"/>
    <w:rsid w:val="00856C02"/>
    <w:rsid w:val="008605DD"/>
    <w:rsid w:val="00863625"/>
    <w:rsid w:val="00867E7D"/>
    <w:rsid w:val="00870AD5"/>
    <w:rsid w:val="008A2674"/>
    <w:rsid w:val="008A538B"/>
    <w:rsid w:val="008C7DBD"/>
    <w:rsid w:val="008D428B"/>
    <w:rsid w:val="008D614C"/>
    <w:rsid w:val="008D6BA6"/>
    <w:rsid w:val="008E2E04"/>
    <w:rsid w:val="008E7392"/>
    <w:rsid w:val="008F30B8"/>
    <w:rsid w:val="008F534F"/>
    <w:rsid w:val="009028C9"/>
    <w:rsid w:val="009032BE"/>
    <w:rsid w:val="0093788A"/>
    <w:rsid w:val="009443DB"/>
    <w:rsid w:val="00965785"/>
    <w:rsid w:val="0097740B"/>
    <w:rsid w:val="009779AE"/>
    <w:rsid w:val="009C5007"/>
    <w:rsid w:val="009C74F7"/>
    <w:rsid w:val="009D34E6"/>
    <w:rsid w:val="009D7512"/>
    <w:rsid w:val="009E28FF"/>
    <w:rsid w:val="009E6E41"/>
    <w:rsid w:val="009F6B4E"/>
    <w:rsid w:val="009F7857"/>
    <w:rsid w:val="00A03022"/>
    <w:rsid w:val="00A032C3"/>
    <w:rsid w:val="00A03DB5"/>
    <w:rsid w:val="00A052F4"/>
    <w:rsid w:val="00A0640A"/>
    <w:rsid w:val="00A14827"/>
    <w:rsid w:val="00A156BA"/>
    <w:rsid w:val="00A175A1"/>
    <w:rsid w:val="00A37368"/>
    <w:rsid w:val="00A4530C"/>
    <w:rsid w:val="00A46214"/>
    <w:rsid w:val="00A50B14"/>
    <w:rsid w:val="00A528A4"/>
    <w:rsid w:val="00A56ECB"/>
    <w:rsid w:val="00A61F79"/>
    <w:rsid w:val="00A743EA"/>
    <w:rsid w:val="00A750F4"/>
    <w:rsid w:val="00A817B8"/>
    <w:rsid w:val="00A81BF5"/>
    <w:rsid w:val="00A823F0"/>
    <w:rsid w:val="00A8705B"/>
    <w:rsid w:val="00A8790A"/>
    <w:rsid w:val="00A945CC"/>
    <w:rsid w:val="00A95D36"/>
    <w:rsid w:val="00AA03A0"/>
    <w:rsid w:val="00AA0B66"/>
    <w:rsid w:val="00AA7F76"/>
    <w:rsid w:val="00AB64CE"/>
    <w:rsid w:val="00AC233E"/>
    <w:rsid w:val="00AD6959"/>
    <w:rsid w:val="00AE6821"/>
    <w:rsid w:val="00B0212F"/>
    <w:rsid w:val="00B0778B"/>
    <w:rsid w:val="00B078EC"/>
    <w:rsid w:val="00B16F03"/>
    <w:rsid w:val="00B239CB"/>
    <w:rsid w:val="00B27E63"/>
    <w:rsid w:val="00B31CCD"/>
    <w:rsid w:val="00B364B7"/>
    <w:rsid w:val="00B41BC9"/>
    <w:rsid w:val="00B42CD6"/>
    <w:rsid w:val="00B4529A"/>
    <w:rsid w:val="00B5770D"/>
    <w:rsid w:val="00B63289"/>
    <w:rsid w:val="00B843F4"/>
    <w:rsid w:val="00B92C62"/>
    <w:rsid w:val="00BA66F5"/>
    <w:rsid w:val="00BB034A"/>
    <w:rsid w:val="00BB46E4"/>
    <w:rsid w:val="00BB56FF"/>
    <w:rsid w:val="00BD3067"/>
    <w:rsid w:val="00BD3FFB"/>
    <w:rsid w:val="00BD66AF"/>
    <w:rsid w:val="00BE0592"/>
    <w:rsid w:val="00BF4B94"/>
    <w:rsid w:val="00C06B96"/>
    <w:rsid w:val="00C260AB"/>
    <w:rsid w:val="00C360BA"/>
    <w:rsid w:val="00C46F2F"/>
    <w:rsid w:val="00C61410"/>
    <w:rsid w:val="00C749AB"/>
    <w:rsid w:val="00C816ED"/>
    <w:rsid w:val="00C82FAA"/>
    <w:rsid w:val="00C84E37"/>
    <w:rsid w:val="00C91C2F"/>
    <w:rsid w:val="00C95513"/>
    <w:rsid w:val="00CA465E"/>
    <w:rsid w:val="00CA557D"/>
    <w:rsid w:val="00CB0A88"/>
    <w:rsid w:val="00CB4414"/>
    <w:rsid w:val="00CB5084"/>
    <w:rsid w:val="00CB6A7E"/>
    <w:rsid w:val="00CC623A"/>
    <w:rsid w:val="00CD0271"/>
    <w:rsid w:val="00CD4AA2"/>
    <w:rsid w:val="00CF3B12"/>
    <w:rsid w:val="00CF698F"/>
    <w:rsid w:val="00CF7713"/>
    <w:rsid w:val="00D05FD9"/>
    <w:rsid w:val="00D150EB"/>
    <w:rsid w:val="00D15EFA"/>
    <w:rsid w:val="00D2339E"/>
    <w:rsid w:val="00D27AB9"/>
    <w:rsid w:val="00D402C8"/>
    <w:rsid w:val="00D454A6"/>
    <w:rsid w:val="00D50B4C"/>
    <w:rsid w:val="00D550F2"/>
    <w:rsid w:val="00D56E09"/>
    <w:rsid w:val="00D631DF"/>
    <w:rsid w:val="00D73460"/>
    <w:rsid w:val="00D86E4E"/>
    <w:rsid w:val="00D90CFC"/>
    <w:rsid w:val="00DA3192"/>
    <w:rsid w:val="00DA51EF"/>
    <w:rsid w:val="00DC050F"/>
    <w:rsid w:val="00DC3BE2"/>
    <w:rsid w:val="00DC422C"/>
    <w:rsid w:val="00DC7562"/>
    <w:rsid w:val="00DE7FC5"/>
    <w:rsid w:val="00DF16D8"/>
    <w:rsid w:val="00E02C41"/>
    <w:rsid w:val="00E04A08"/>
    <w:rsid w:val="00E10EC2"/>
    <w:rsid w:val="00E13C7B"/>
    <w:rsid w:val="00E150E1"/>
    <w:rsid w:val="00E16C73"/>
    <w:rsid w:val="00E211B2"/>
    <w:rsid w:val="00E6730D"/>
    <w:rsid w:val="00E70990"/>
    <w:rsid w:val="00E80558"/>
    <w:rsid w:val="00E85613"/>
    <w:rsid w:val="00E906FC"/>
    <w:rsid w:val="00E94724"/>
    <w:rsid w:val="00E9716A"/>
    <w:rsid w:val="00E97D7B"/>
    <w:rsid w:val="00EA2299"/>
    <w:rsid w:val="00EB59F5"/>
    <w:rsid w:val="00EB6226"/>
    <w:rsid w:val="00ED7D9B"/>
    <w:rsid w:val="00EF24E2"/>
    <w:rsid w:val="00EF4E38"/>
    <w:rsid w:val="00F228B4"/>
    <w:rsid w:val="00F35222"/>
    <w:rsid w:val="00F44E4B"/>
    <w:rsid w:val="00F46038"/>
    <w:rsid w:val="00F47AB2"/>
    <w:rsid w:val="00F52B05"/>
    <w:rsid w:val="00F73507"/>
    <w:rsid w:val="00F87C75"/>
    <w:rsid w:val="00F934C9"/>
    <w:rsid w:val="00F94131"/>
    <w:rsid w:val="00FA130E"/>
    <w:rsid w:val="00FA2BB2"/>
    <w:rsid w:val="00FA6774"/>
    <w:rsid w:val="00FB3BE0"/>
    <w:rsid w:val="00FB3E4E"/>
    <w:rsid w:val="00FC3DA7"/>
    <w:rsid w:val="00FC728D"/>
    <w:rsid w:val="00FD144A"/>
    <w:rsid w:val="00FE58EC"/>
    <w:rsid w:val="00FF17A8"/>
    <w:rsid w:val="00FF4548"/>
    <w:rsid w:val="00FF4A31"/>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rsid w:val="00CA557D"/>
    <w:rPr>
      <w:sz w:val="20"/>
      <w:szCs w:val="20"/>
    </w:rPr>
  </w:style>
  <w:style w:type="character" w:customStyle="1" w:styleId="CommentTextChar">
    <w:name w:val="Comment Text Char"/>
    <w:basedOn w:val="DefaultParagraphFont"/>
    <w:link w:val="CommentText"/>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3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paragraph" w:styleId="Heading1">
    <w:name w:val="heading 1"/>
    <w:basedOn w:val="Normal"/>
    <w:next w:val="Normal"/>
    <w:link w:val="Heading1Char"/>
    <w:qFormat/>
    <w:rsid w:val="002A1D6D"/>
    <w:pPr>
      <w:keepNext/>
      <w:numPr>
        <w:numId w:val="7"/>
      </w:numPr>
      <w:spacing w:before="240" w:after="240"/>
      <w:jc w:val="center"/>
      <w:outlineLvl w:val="0"/>
    </w:pPr>
    <w:rPr>
      <w:rFonts w:ascii="Verdana" w:eastAsia="MS Mincho" w:hAnsi="Verdana"/>
      <w:b/>
      <w:caps/>
      <w:kern w:val="28"/>
      <w:sz w:val="26"/>
      <w:szCs w:val="28"/>
      <w:lang w:val="x-none" w:eastAsia="x-none"/>
    </w:rPr>
  </w:style>
  <w:style w:type="paragraph" w:styleId="Heading2">
    <w:name w:val="heading 2"/>
    <w:next w:val="Normal"/>
    <w:link w:val="Heading2Char"/>
    <w:qFormat/>
    <w:rsid w:val="002A1D6D"/>
    <w:pPr>
      <w:keepNext/>
      <w:keepLines/>
      <w:numPr>
        <w:ilvl w:val="1"/>
        <w:numId w:val="7"/>
      </w:numPr>
      <w:spacing w:before="240" w:after="120"/>
      <w:outlineLvl w:val="1"/>
    </w:pPr>
    <w:rPr>
      <w:rFonts w:ascii="Verdana" w:eastAsia="MS Mincho" w:hAnsi="Verdana"/>
      <w:b/>
      <w:sz w:val="24"/>
      <w:szCs w:val="24"/>
    </w:rPr>
  </w:style>
  <w:style w:type="paragraph" w:styleId="Heading3">
    <w:name w:val="heading 3"/>
    <w:next w:val="Normal"/>
    <w:link w:val="Heading3Char"/>
    <w:qFormat/>
    <w:rsid w:val="002A1D6D"/>
    <w:pPr>
      <w:keepNext/>
      <w:keepLines/>
      <w:numPr>
        <w:ilvl w:val="2"/>
        <w:numId w:val="7"/>
      </w:numPr>
      <w:spacing w:before="240" w:after="120"/>
      <w:outlineLvl w:val="2"/>
    </w:pPr>
    <w:rPr>
      <w:rFonts w:ascii="Verdana" w:eastAsia="MS Mincho" w:hAnsi="Verdan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rsid w:val="00CA557D"/>
    <w:rPr>
      <w:sz w:val="20"/>
      <w:szCs w:val="20"/>
    </w:rPr>
  </w:style>
  <w:style w:type="character" w:customStyle="1" w:styleId="CommentTextChar">
    <w:name w:val="Comment Text Char"/>
    <w:basedOn w:val="DefaultParagraphFont"/>
    <w:link w:val="CommentText"/>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 w:type="paragraph" w:customStyle="1" w:styleId="TableTitle">
    <w:name w:val="Table Title"/>
    <w:basedOn w:val="Caption"/>
    <w:rsid w:val="00085F3B"/>
    <w:pPr>
      <w:keepNext/>
      <w:keepLines/>
      <w:spacing w:before="320" w:after="120"/>
      <w:ind w:left="1440" w:hanging="1440"/>
    </w:pPr>
    <w:rPr>
      <w:rFonts w:ascii="Verdana" w:eastAsia="MS Mincho" w:hAnsi="Verdana"/>
      <w:color w:val="auto"/>
      <w:sz w:val="20"/>
      <w:szCs w:val="20"/>
    </w:rPr>
  </w:style>
  <w:style w:type="paragraph" w:styleId="BodyText">
    <w:name w:val="Body Text"/>
    <w:basedOn w:val="Normal"/>
    <w:link w:val="BodyTextChar1"/>
    <w:rsid w:val="00085F3B"/>
    <w:pPr>
      <w:spacing w:after="160" w:line="320" w:lineRule="exact"/>
    </w:pPr>
    <w:rPr>
      <w:rFonts w:ascii="Verdana" w:eastAsia="MS Mincho" w:hAnsi="Verdana"/>
      <w:snapToGrid w:val="0"/>
      <w:sz w:val="20"/>
      <w:szCs w:val="20"/>
    </w:rPr>
  </w:style>
  <w:style w:type="character" w:customStyle="1" w:styleId="BodyTextChar">
    <w:name w:val="Body Text Char"/>
    <w:basedOn w:val="DefaultParagraphFont"/>
    <w:uiPriority w:val="99"/>
    <w:semiHidden/>
    <w:rsid w:val="00085F3B"/>
    <w:rPr>
      <w:sz w:val="24"/>
      <w:szCs w:val="24"/>
    </w:rPr>
  </w:style>
  <w:style w:type="character" w:customStyle="1" w:styleId="BodyTextChar1">
    <w:name w:val="Body Text Char1"/>
    <w:link w:val="BodyText"/>
    <w:rsid w:val="00085F3B"/>
    <w:rPr>
      <w:rFonts w:ascii="Verdana" w:eastAsia="MS Mincho" w:hAnsi="Verdana"/>
      <w:snapToGrid w:val="0"/>
    </w:rPr>
  </w:style>
  <w:style w:type="paragraph" w:customStyle="1" w:styleId="TableText">
    <w:name w:val="Table Text"/>
    <w:basedOn w:val="Normal"/>
    <w:qFormat/>
    <w:rsid w:val="00085F3B"/>
    <w:pPr>
      <w:spacing w:before="60" w:after="60"/>
    </w:pPr>
    <w:rPr>
      <w:rFonts w:ascii="Verdana" w:eastAsia="MS Mincho" w:hAnsi="Verdana"/>
      <w:sz w:val="18"/>
      <w:szCs w:val="20"/>
    </w:rPr>
  </w:style>
  <w:style w:type="paragraph" w:customStyle="1" w:styleId="TableHeaders">
    <w:name w:val="Table Headers"/>
    <w:qFormat/>
    <w:rsid w:val="00085F3B"/>
    <w:pPr>
      <w:spacing w:before="80" w:after="80"/>
      <w:jc w:val="center"/>
    </w:pPr>
    <w:rPr>
      <w:rFonts w:ascii="Verdana" w:hAnsi="Verdana"/>
      <w:b/>
      <w:sz w:val="18"/>
    </w:rPr>
  </w:style>
  <w:style w:type="paragraph" w:styleId="Caption">
    <w:name w:val="caption"/>
    <w:basedOn w:val="Normal"/>
    <w:next w:val="Normal"/>
    <w:uiPriority w:val="35"/>
    <w:semiHidden/>
    <w:unhideWhenUsed/>
    <w:qFormat/>
    <w:rsid w:val="00085F3B"/>
    <w:pPr>
      <w:spacing w:after="200"/>
    </w:pPr>
    <w:rPr>
      <w:b/>
      <w:bCs/>
      <w:color w:val="4F81BD" w:themeColor="accent1"/>
      <w:sz w:val="18"/>
      <w:szCs w:val="18"/>
    </w:rPr>
  </w:style>
  <w:style w:type="character" w:customStyle="1" w:styleId="Heading1Char">
    <w:name w:val="Heading 1 Char"/>
    <w:basedOn w:val="DefaultParagraphFont"/>
    <w:link w:val="Heading1"/>
    <w:rsid w:val="002A1D6D"/>
    <w:rPr>
      <w:rFonts w:ascii="Verdana" w:eastAsia="MS Mincho" w:hAnsi="Verdana"/>
      <w:b/>
      <w:caps/>
      <w:kern w:val="28"/>
      <w:sz w:val="26"/>
      <w:szCs w:val="28"/>
      <w:lang w:val="x-none" w:eastAsia="x-none"/>
    </w:rPr>
  </w:style>
  <w:style w:type="character" w:customStyle="1" w:styleId="Heading2Char">
    <w:name w:val="Heading 2 Char"/>
    <w:basedOn w:val="DefaultParagraphFont"/>
    <w:link w:val="Heading2"/>
    <w:rsid w:val="002A1D6D"/>
    <w:rPr>
      <w:rFonts w:ascii="Verdana" w:eastAsia="MS Mincho" w:hAnsi="Verdana"/>
      <w:b/>
      <w:sz w:val="24"/>
      <w:szCs w:val="24"/>
    </w:rPr>
  </w:style>
  <w:style w:type="character" w:customStyle="1" w:styleId="Heading3Char">
    <w:name w:val="Heading 3 Char"/>
    <w:basedOn w:val="DefaultParagraphFont"/>
    <w:link w:val="Heading3"/>
    <w:rsid w:val="002A1D6D"/>
    <w:rPr>
      <w:rFonts w:ascii="Verdana" w:eastAsia="MS Mincho" w:hAnsi="Verdana"/>
      <w:b/>
      <w:i/>
      <w:sz w:val="22"/>
    </w:rPr>
  </w:style>
  <w:style w:type="numbering" w:customStyle="1" w:styleId="Format4">
    <w:name w:val="Format4"/>
    <w:rsid w:val="002A1D6D"/>
    <w:pPr>
      <w:numPr>
        <w:numId w:val="6"/>
      </w:numPr>
    </w:pPr>
  </w:style>
  <w:style w:type="paragraph" w:customStyle="1" w:styleId="biblio">
    <w:name w:val="biblio"/>
    <w:basedOn w:val="Normal"/>
    <w:rsid w:val="00742CBC"/>
    <w:pPr>
      <w:keepLines/>
      <w:spacing w:after="240"/>
      <w:ind w:left="720" w:hanging="720"/>
    </w:pPr>
    <w:rPr>
      <w:rFonts w:ascii="Calibri" w:hAnsi="Calibri"/>
      <w:sz w:val="22"/>
      <w:szCs w:val="20"/>
    </w:rPr>
  </w:style>
  <w:style w:type="paragraph" w:customStyle="1" w:styleId="ExhibitSource">
    <w:name w:val="ExhibitSource"/>
    <w:basedOn w:val="Normal"/>
    <w:qFormat/>
    <w:rsid w:val="00C82FAA"/>
    <w:pPr>
      <w:spacing w:after="120" w:line="276" w:lineRule="auto"/>
    </w:pPr>
    <w:rPr>
      <w:rFonts w:ascii="Calibri" w:eastAsia="Calibri" w:hAnsi="Calibri" w:cs="Arial"/>
      <w:sz w:val="22"/>
      <w:szCs w:val="22"/>
    </w:rPr>
  </w:style>
  <w:style w:type="paragraph" w:customStyle="1" w:styleId="Tabletext0">
    <w:name w:val="Table text"/>
    <w:qFormat/>
    <w:rsid w:val="00A175A1"/>
    <w:pPr>
      <w:spacing w:before="40" w:after="40"/>
    </w:pPr>
    <w:rPr>
      <w:rFonts w:ascii="Arial" w:hAnsi="Arial"/>
      <w:sz w:val="18"/>
    </w:rPr>
  </w:style>
  <w:style w:type="paragraph" w:customStyle="1" w:styleId="exhibitsource1">
    <w:name w:val="exhibit source1"/>
    <w:basedOn w:val="Normal"/>
    <w:rsid w:val="00A175A1"/>
    <w:pPr>
      <w:keepLines/>
      <w:spacing w:before="120"/>
      <w:ind w:left="187" w:hanging="187"/>
    </w:pPr>
    <w:rPr>
      <w:rFonts w:ascii="Arial" w:hAnsi="Arial"/>
      <w:sz w:val="18"/>
      <w:szCs w:val="20"/>
    </w:rPr>
  </w:style>
  <w:style w:type="paragraph" w:customStyle="1" w:styleId="bodytextpsg">
    <w:name w:val="body text_psg"/>
    <w:basedOn w:val="Normal"/>
    <w:link w:val="bodytextpsgChar"/>
    <w:rsid w:val="00363CF7"/>
    <w:pPr>
      <w:spacing w:before="120" w:after="120"/>
      <w:ind w:firstLine="432"/>
    </w:pPr>
    <w:rPr>
      <w:sz w:val="22"/>
      <w:szCs w:val="20"/>
    </w:rPr>
  </w:style>
  <w:style w:type="character" w:customStyle="1" w:styleId="bodytextpsgChar">
    <w:name w:val="body text_psg Char"/>
    <w:link w:val="bodytextpsg"/>
    <w:rsid w:val="00363CF7"/>
    <w:rPr>
      <w:sz w:val="22"/>
    </w:rPr>
  </w:style>
  <w:style w:type="paragraph" w:customStyle="1" w:styleId="ExhibitTitle">
    <w:name w:val="Exhibit Title"/>
    <w:basedOn w:val="Normal"/>
    <w:link w:val="ExhibitTitleChar"/>
    <w:qFormat/>
    <w:rsid w:val="00B42CD6"/>
    <w:pPr>
      <w:keepNext/>
      <w:keepLines/>
      <w:spacing w:before="240" w:after="120" w:line="260" w:lineRule="exact"/>
      <w:ind w:left="1080" w:hanging="1080"/>
    </w:pPr>
    <w:rPr>
      <w:rFonts w:ascii="Arial" w:hAnsi="Arial"/>
      <w:b/>
      <w:snapToGrid w:val="0"/>
      <w:sz w:val="22"/>
      <w:szCs w:val="20"/>
    </w:rPr>
  </w:style>
  <w:style w:type="character" w:customStyle="1" w:styleId="ExhibitTitleChar">
    <w:name w:val="Exhibit Title Char"/>
    <w:link w:val="ExhibitTitle"/>
    <w:rsid w:val="00B42CD6"/>
    <w:rPr>
      <w:rFonts w:ascii="Arial" w:hAnsi="Arial"/>
      <w:b/>
      <w:snapToGrid w:val="0"/>
      <w:sz w:val="22"/>
    </w:rPr>
  </w:style>
  <w:style w:type="paragraph" w:styleId="TOC1">
    <w:name w:val="toc 1"/>
    <w:basedOn w:val="Normal"/>
    <w:next w:val="Normal"/>
    <w:autoRedefine/>
    <w:uiPriority w:val="39"/>
    <w:unhideWhenUsed/>
    <w:rsid w:val="003D351D"/>
    <w:pPr>
      <w:spacing w:after="100" w:line="276" w:lineRule="auto"/>
    </w:pPr>
    <w:rPr>
      <w:rFonts w:asciiTheme="minorHAnsi" w:eastAsiaTheme="minorHAnsi" w:hAnsiTheme="minorHAnsi" w:cstheme="minorBidi"/>
      <w:sz w:val="22"/>
      <w:szCs w:val="22"/>
    </w:rPr>
  </w:style>
  <w:style w:type="table" w:styleId="TableGrid">
    <w:name w:val="Table Grid"/>
    <w:basedOn w:val="TableNormal"/>
    <w:uiPriority w:val="39"/>
    <w:rsid w:val="006E68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fter12">
    <w:name w:val="Body Text_after12"/>
    <w:basedOn w:val="BodyText"/>
    <w:qFormat/>
    <w:rsid w:val="006E688A"/>
    <w:pPr>
      <w:spacing w:before="240" w:after="200" w:line="276" w:lineRule="auto"/>
      <w:ind w:firstLine="360"/>
    </w:pPr>
    <w:rPr>
      <w:rFonts w:asciiTheme="minorHAnsi" w:eastAsiaTheme="minorHAnsi" w:hAnsiTheme="minorHAns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37559258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inforeg/stat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3E00-E4FD-4176-BF16-1D41CDAB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19369</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SYSTEM</cp:lastModifiedBy>
  <cp:revision>2</cp:revision>
  <dcterms:created xsi:type="dcterms:W3CDTF">2018-10-16T14:30:00Z</dcterms:created>
  <dcterms:modified xsi:type="dcterms:W3CDTF">2018-10-16T14:30:00Z</dcterms:modified>
</cp:coreProperties>
</file>