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21BC7" w14:textId="77777777" w:rsidR="00C11D15" w:rsidRDefault="00C11D15" w:rsidP="00C11D15">
      <w:pPr>
        <w:autoSpaceDE w:val="0"/>
        <w:autoSpaceDN w:val="0"/>
        <w:adjustRightInd w:val="0"/>
        <w:spacing w:after="0" w:line="240" w:lineRule="auto"/>
        <w:jc w:val="center"/>
        <w:rPr>
          <w:rFonts w:ascii="Times New Roman" w:hAnsi="Times New Roman" w:cs="Times New Roman"/>
          <w:b/>
          <w:bCs/>
          <w:color w:val="000000"/>
          <w:sz w:val="24"/>
          <w:szCs w:val="24"/>
        </w:rPr>
      </w:pPr>
      <w:bookmarkStart w:id="0" w:name="_GoBack"/>
      <w:bookmarkEnd w:id="0"/>
      <w:r>
        <w:rPr>
          <w:rFonts w:ascii="Times New Roman" w:hAnsi="Times New Roman" w:cs="Times New Roman"/>
          <w:b/>
          <w:bCs/>
          <w:color w:val="000000"/>
          <w:sz w:val="24"/>
          <w:szCs w:val="24"/>
        </w:rPr>
        <w:t>SUPPORTING STATEMENT</w:t>
      </w:r>
    </w:p>
    <w:p w14:paraId="6DB08FF6" w14:textId="77777777" w:rsidR="00C11D15" w:rsidRDefault="00C11D15" w:rsidP="00C11D1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WESTERN AND CENTRAL PACIFIC FISHERIES CONVENTION VESSEL</w:t>
      </w:r>
    </w:p>
    <w:p w14:paraId="298FB526" w14:textId="77777777" w:rsidR="00C11D15" w:rsidRDefault="00C11D15" w:rsidP="00C11D1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INFORMATION FAMILY OF FORMS</w:t>
      </w:r>
    </w:p>
    <w:p w14:paraId="0925321F" w14:textId="77777777" w:rsidR="00C11D15" w:rsidRDefault="00C11D15" w:rsidP="00DE272A">
      <w:pPr>
        <w:autoSpaceDE w:val="0"/>
        <w:autoSpaceDN w:val="0"/>
        <w:adjustRightInd w:val="0"/>
        <w:spacing w:after="3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OMB CONTROL NO. 0648-0595</w:t>
      </w:r>
    </w:p>
    <w:p w14:paraId="73009564"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 Justification</w:t>
      </w:r>
    </w:p>
    <w:p w14:paraId="78701E20" w14:textId="7ED232B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request is </w:t>
      </w:r>
      <w:r w:rsidR="006C0AB3">
        <w:rPr>
          <w:rFonts w:ascii="Times New Roman" w:hAnsi="Times New Roman" w:cs="Times New Roman"/>
          <w:color w:val="000000"/>
          <w:sz w:val="24"/>
          <w:szCs w:val="24"/>
        </w:rPr>
        <w:t xml:space="preserve">for </w:t>
      </w:r>
      <w:r w:rsidR="00F71812">
        <w:rPr>
          <w:rFonts w:ascii="Times New Roman" w:hAnsi="Times New Roman" w:cs="Times New Roman"/>
          <w:color w:val="000000"/>
          <w:sz w:val="24"/>
          <w:szCs w:val="24"/>
        </w:rPr>
        <w:t>revision and</w:t>
      </w:r>
      <w:r>
        <w:rPr>
          <w:rFonts w:ascii="Times New Roman" w:hAnsi="Times New Roman" w:cs="Times New Roman"/>
          <w:color w:val="000000"/>
          <w:sz w:val="24"/>
          <w:szCs w:val="24"/>
        </w:rPr>
        <w:t xml:space="preserve"> extension of a current information collection.</w:t>
      </w:r>
      <w:r w:rsidR="00F71812">
        <w:rPr>
          <w:rFonts w:ascii="Times New Roman" w:hAnsi="Times New Roman" w:cs="Times New Roman"/>
          <w:color w:val="000000"/>
          <w:sz w:val="24"/>
          <w:szCs w:val="24"/>
        </w:rPr>
        <w:t xml:space="preserve"> There is a large recordkeeping/reporting cost increase due to an increased fee for the </w:t>
      </w:r>
      <w:r w:rsidR="00F71812">
        <w:rPr>
          <w:rFonts w:ascii="Times New Roman" w:hAnsi="Times New Roman" w:cs="Times New Roman"/>
          <w:i/>
          <w:iCs/>
          <w:color w:val="000000"/>
          <w:sz w:val="24"/>
          <w:szCs w:val="24"/>
        </w:rPr>
        <w:t xml:space="preserve">WCPFC Area Endorsement </w:t>
      </w:r>
      <w:r w:rsidR="00F71812">
        <w:rPr>
          <w:rFonts w:ascii="Times New Roman" w:hAnsi="Times New Roman" w:cs="Times New Roman"/>
          <w:color w:val="000000"/>
          <w:sz w:val="24"/>
          <w:szCs w:val="24"/>
        </w:rPr>
        <w:t>application.</w:t>
      </w:r>
    </w:p>
    <w:p w14:paraId="0040BB1F"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Pr="00DE272A">
        <w:rPr>
          <w:rFonts w:ascii="Times New Roman" w:hAnsi="Times New Roman" w:cs="Times New Roman"/>
          <w:b/>
          <w:bCs/>
          <w:color w:val="000000"/>
          <w:sz w:val="24"/>
          <w:szCs w:val="24"/>
          <w:u w:val="single"/>
        </w:rPr>
        <w:t>Explain the circumstances that make the collection of information necessary</w:t>
      </w:r>
      <w:r>
        <w:rPr>
          <w:rFonts w:ascii="Times New Roman" w:hAnsi="Times New Roman" w:cs="Times New Roman"/>
          <w:b/>
          <w:bCs/>
          <w:color w:val="000000"/>
          <w:sz w:val="24"/>
          <w:szCs w:val="24"/>
        </w:rPr>
        <w:t>.</w:t>
      </w:r>
    </w:p>
    <w:p w14:paraId="4E5753BA"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Western and Central Pacific Fisheries Convention Implementation Act (WCPFCIA), </w:t>
      </w:r>
      <w:r>
        <w:rPr>
          <w:rFonts w:ascii="Times New Roman" w:hAnsi="Times New Roman" w:cs="Times New Roman"/>
          <w:color w:val="0000FF"/>
          <w:sz w:val="24"/>
          <w:szCs w:val="24"/>
        </w:rPr>
        <w:t>Title V of the Magnuson-Stevens Fishery Conservation and Management Reauthorization Act</w:t>
      </w:r>
      <w:r>
        <w:rPr>
          <w:rFonts w:ascii="Times New Roman" w:hAnsi="Times New Roman" w:cs="Times New Roman"/>
          <w:color w:val="000000"/>
          <w:sz w:val="24"/>
          <w:szCs w:val="24"/>
        </w:rPr>
        <w:t>, gives the Secretary of Commerce the authority to enact regulations to fulfill the Western and Central Pacific Fisheries Convention (WCPFC) requirement that all member States maintain and provide to the Western and Central Pacific Fisheries Commission (Commission) a list of vessels flagged by the member State and (1) authorized by the member State to be used for fishing for highly migratory fish stocks (HMS) on the high seas in the WCPFC Area, or (2) authorized by other States to be used for fishing for HMS in their areas of jurisdiction in the WCPFC Area, and to maintain and provide for each vessel on that list certain information on its characteristics and its owner and operator.</w:t>
      </w:r>
    </w:p>
    <w:p w14:paraId="0733DAA5"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Vessels in the first category already provide most of the required information under existing laws</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regulations. All such vessels must be documented by the United States Coast Guard (USCG)</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 be state-registered and must hold a valid High Seas Fishing Permit (issued under the authority</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the </w:t>
      </w:r>
      <w:r>
        <w:rPr>
          <w:rFonts w:ascii="Times New Roman" w:hAnsi="Times New Roman" w:cs="Times New Roman"/>
          <w:color w:val="0000FF"/>
          <w:sz w:val="24"/>
          <w:szCs w:val="24"/>
        </w:rPr>
        <w:t xml:space="preserve">High Seas Fishing Compliance Act </w:t>
      </w:r>
      <w:r>
        <w:rPr>
          <w:rFonts w:ascii="Times New Roman" w:hAnsi="Times New Roman" w:cs="Times New Roman"/>
          <w:color w:val="000000"/>
          <w:sz w:val="24"/>
          <w:szCs w:val="24"/>
        </w:rPr>
        <w:t>(HSFCA). Under these existing documentation/</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registration and permitting requirements, the vessel owner or operator must comply with</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information collection requirements that fulfill most of the needs under the WCPFCIA. This</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information collection requirement serves to collect the few pieces of information required under</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WCPFCIA that are not already collected via existing mechanisms, and a form customized for</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this category of vessels is used.</w:t>
      </w:r>
    </w:p>
    <w:p w14:paraId="6B57A629"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Vessels in the second category already provide information as part of the USCG documentation</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 State registration processes, but such vessels do not need to hold High Seas Fishing Permits</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(unless they also fish on the high seas), so they will not necessarily be submitting the information</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collected via that permitting process. This information collection requirement serves to collect</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pieces of information required under the WCPFCIA that are not already collected via existing</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mechanisms, and a form customized for this category of vessels is used.</w:t>
      </w:r>
    </w:p>
    <w:p w14:paraId="1C8E51E8"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Under a 2013 Commission decision, an additional piece of information that the United States</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must provide to the Commission for both categories of vessels (but only for those whose tonnage</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 at least 100 gross register tons (GRT) or 100 gross tons (GT)) is the vessel’s International</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Maritime Organization (IMO) number. An IMO number, also known as an IMO ship</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identification number, is a unique number issued for a ship or vesse</w:t>
      </w:r>
      <w:r w:rsidR="00DE272A">
        <w:rPr>
          <w:rFonts w:ascii="Times New Roman" w:hAnsi="Times New Roman" w:cs="Times New Roman"/>
          <w:color w:val="000000"/>
          <w:sz w:val="24"/>
          <w:szCs w:val="24"/>
        </w:rPr>
        <w:t xml:space="preserve">l under the ship identification </w:t>
      </w:r>
      <w:r>
        <w:rPr>
          <w:rFonts w:ascii="Times New Roman" w:hAnsi="Times New Roman" w:cs="Times New Roman"/>
          <w:color w:val="000000"/>
          <w:sz w:val="24"/>
          <w:szCs w:val="24"/>
        </w:rPr>
        <w:t>number scheme established by the International Maritime Organization. Once issued, an IMO</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number will remain with the vessel for its life, regardless of changes to the vessel’s name, flag,</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ownership, or other attributes. This information collection requirement serves to collect</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information based on a decision of the Commission made under CMM 2013-10, which requires</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each member of the WCPFC to ensure that IMO numbers are issued for the two above listed</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categories of vessels. To satisfy this Commission requirement, NMFS will require that the owner</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 each subject vessel request and obtain an IMO number, which they can do by submitting</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certain information about the vessel and its ownership and management to the administrator of</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IMO ship identification number scheme, which is a private third party not associated with the</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United States government or any other government. Although NMFS will not collect this</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information directly, the requirement to submit the information to the third party is covered by</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this information collection.</w:t>
      </w:r>
    </w:p>
    <w:p w14:paraId="1AE8F10C"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 Explain how, by whom, how frequently, and for what purpose the information will be used. If the information collected will be disseminated to the public or used to support information that will be disseminated to the public, then explain how the collection complies with the applicable Information Quality Guidelines.</w:t>
      </w:r>
    </w:p>
    <w:p w14:paraId="757422F0"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information is used by the National Marine Fisheries Service (NMFS), the USGC, and the Commission to monitor the size and composition of the HMS fleets in the WCPFC Area for compliance-related and scientific purposes. Knowing such information as the number of vessels, the specifics of the vessels and their ownership, and the types of gear employed enables effective monitoring of vessel activity for enforcement and assessment purposes.</w:t>
      </w:r>
    </w:p>
    <w:p w14:paraId="036D3944"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frequency of this collection of information, with the exception of obtaining an IMO number,</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 the same as the frequency of collection used for High Seas Fishing Permit applications,</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currently once every five years (the overall collection is continuous; the collection frequency</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from the perspective of the vessel owner/operator will be once every five years). The information</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required for a vessel to obtain an IMO number is a one-time collection.</w:t>
      </w:r>
    </w:p>
    <w:p w14:paraId="103AA4B9"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Owners or operators of vessels in the first category (see response to Question 1) are required to</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provide the information specified in an application for a </w:t>
      </w:r>
      <w:r>
        <w:rPr>
          <w:rFonts w:ascii="Times New Roman" w:hAnsi="Times New Roman" w:cs="Times New Roman"/>
          <w:i/>
          <w:iCs/>
          <w:color w:val="000000"/>
          <w:sz w:val="24"/>
          <w:szCs w:val="24"/>
        </w:rPr>
        <w:t>WCPFC Area Endorsement</w:t>
      </w:r>
      <w:r>
        <w:rPr>
          <w:rFonts w:ascii="Times New Roman" w:hAnsi="Times New Roman" w:cs="Times New Roman"/>
          <w:color w:val="000000"/>
          <w:sz w:val="24"/>
          <w:szCs w:val="24"/>
        </w:rPr>
        <w:t>, which is a</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fishing authorization that is issued supplemental to, and as an endorsement on, the High Seas</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Fishing Permits issued under the HSFCA. The information collected on this application includes</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following:</w:t>
      </w:r>
    </w:p>
    <w:p w14:paraId="34CDF778" w14:textId="77777777" w:rsidR="00C11D15" w:rsidRPr="00DE272A" w:rsidRDefault="00C11D15" w:rsidP="00DE272A">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USCG documentation number or State registration number and vessel name;</w:t>
      </w:r>
    </w:p>
    <w:p w14:paraId="5C9B7B27" w14:textId="77777777" w:rsidR="00C11D15" w:rsidRPr="00DE272A" w:rsidRDefault="00C11D15" w:rsidP="00DE272A">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Total fish hold capacity;</w:t>
      </w:r>
    </w:p>
    <w:p w14:paraId="53D068B9" w14:textId="77777777" w:rsidR="00C11D15" w:rsidRPr="00DE272A" w:rsidRDefault="00C11D15" w:rsidP="00DE272A">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International radio call sign;</w:t>
      </w:r>
    </w:p>
    <w:p w14:paraId="7D4E6E13" w14:textId="77777777" w:rsidR="00C11D15" w:rsidRPr="00DE272A" w:rsidRDefault="00C11D15" w:rsidP="00DE272A">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Refrigeration/freezer types, number of units, and refrigeration/freezer capacity;</w:t>
      </w:r>
    </w:p>
    <w:p w14:paraId="44E1CC2F" w14:textId="77777777" w:rsidR="00C11D15" w:rsidRPr="00DE272A" w:rsidRDefault="00C11D15" w:rsidP="00DE272A">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Fishing methods used;</w:t>
      </w:r>
    </w:p>
    <w:p w14:paraId="2562F587" w14:textId="77777777" w:rsidR="00C11D15" w:rsidRPr="00DE272A" w:rsidRDefault="00C11D15" w:rsidP="00DE272A">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Vessel operator information: name and country of citizenship;</w:t>
      </w:r>
    </w:p>
    <w:p w14:paraId="6071F656" w14:textId="77777777" w:rsidR="00C11D15" w:rsidRPr="00DE272A" w:rsidRDefault="00C11D15" w:rsidP="00DE272A">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Vessel communication types and numbers (Inmarsat mobile unit numbers and</w:t>
      </w:r>
    </w:p>
    <w:p w14:paraId="0F042739" w14:textId="77777777" w:rsidR="00C11D15" w:rsidRPr="00DE272A" w:rsidRDefault="00C11D15" w:rsidP="00DE272A">
      <w:pPr>
        <w:pStyle w:val="ListParagraph"/>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satellite telephone number);</w:t>
      </w:r>
    </w:p>
    <w:p w14:paraId="2D61715A" w14:textId="77777777" w:rsidR="00C11D15" w:rsidRPr="00DE272A" w:rsidRDefault="00C11D15" w:rsidP="00DE272A">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Color photograph of vessel and date of photograph; and</w:t>
      </w:r>
    </w:p>
    <w:p w14:paraId="0E4653A7" w14:textId="77777777" w:rsidR="00C11D15" w:rsidRPr="00DE272A" w:rsidRDefault="00C11D15" w:rsidP="00DE272A">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Signature of vessel owner or operator and date of signature.</w:t>
      </w:r>
    </w:p>
    <w:p w14:paraId="3B03EBDC"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Owners or operators in the second category will be required to provide the information specified in the form </w:t>
      </w:r>
      <w:r>
        <w:rPr>
          <w:rFonts w:ascii="Times New Roman" w:hAnsi="Times New Roman" w:cs="Times New Roman"/>
          <w:i/>
          <w:iCs/>
          <w:color w:val="000000"/>
          <w:sz w:val="24"/>
          <w:szCs w:val="24"/>
        </w:rPr>
        <w:t xml:space="preserve">Information Required for U.S. Vessels Used for Commercial Fishing for Highly Migratory Species in the Western and Central Pacific Fisheries Convention Area in Areas under the Jurisdiction of any Nation other than the United States </w:t>
      </w:r>
      <w:r>
        <w:rPr>
          <w:rFonts w:ascii="Times New Roman" w:hAnsi="Times New Roman" w:cs="Times New Roman"/>
          <w:color w:val="000000"/>
          <w:sz w:val="24"/>
          <w:szCs w:val="24"/>
        </w:rPr>
        <w:t xml:space="preserve">(hereafter, </w:t>
      </w:r>
      <w:r>
        <w:rPr>
          <w:rFonts w:ascii="Times New Roman" w:hAnsi="Times New Roman" w:cs="Times New Roman"/>
          <w:i/>
          <w:iCs/>
          <w:color w:val="000000"/>
          <w:sz w:val="24"/>
          <w:szCs w:val="24"/>
        </w:rPr>
        <w:t>Foreign EEZ Form</w:t>
      </w:r>
      <w:r>
        <w:rPr>
          <w:rFonts w:ascii="Times New Roman" w:hAnsi="Times New Roman" w:cs="Times New Roman"/>
          <w:color w:val="000000"/>
          <w:sz w:val="24"/>
          <w:szCs w:val="24"/>
        </w:rPr>
        <w:t>), available on our Web site (see Question 3). The information collected on this form will include the following:</w:t>
      </w:r>
    </w:p>
    <w:p w14:paraId="207C279F"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USCG documentation number or State registration number and vessel name;</w:t>
      </w:r>
    </w:p>
    <w:p w14:paraId="5608CA4A"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International Radio Call Sign;</w:t>
      </w:r>
    </w:p>
    <w:p w14:paraId="2A455652"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Indication of whether or not a High Seas Fishing Permit or a WCPFC Area Endorsement for the vessel has been issued or applied for;</w:t>
      </w:r>
    </w:p>
    <w:p w14:paraId="410D4EAC"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Total fish hold capacity;</w:t>
      </w:r>
    </w:p>
    <w:p w14:paraId="368FEFE1"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Crew size (including officers);</w:t>
      </w:r>
    </w:p>
    <w:p w14:paraId="4AF26AF2"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Shaft horsepower;</w:t>
      </w:r>
    </w:p>
    <w:p w14:paraId="50FDA872"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Refrigeration/freezer types, numbers of units, and refrigeration/freezer capacity;</w:t>
      </w:r>
    </w:p>
    <w:p w14:paraId="2E33F1C9"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Fishing methods used;</w:t>
      </w:r>
    </w:p>
    <w:p w14:paraId="19CF73BB"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Fishing vessel type;</w:t>
      </w:r>
    </w:p>
    <w:p w14:paraId="469779E4"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Vessel communication types and numbers (Inmarsat mobile unit numbers, and satellite telephone number);</w:t>
      </w:r>
    </w:p>
    <w:p w14:paraId="3C2BF911"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Vessel ownership information: corporate/individual name(s), incorporation date, address(es), and telephone and fax numbers;</w:t>
      </w:r>
    </w:p>
    <w:p w14:paraId="7DFEE7D3"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Vessel operator information: name and country of citizenship;</w:t>
      </w:r>
    </w:p>
    <w:p w14:paraId="37108403"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Previous vessel flags and names (if flagged under other nations, for each flag: nation, period flagged, name of vessel, international radio call sign, and homeport);</w:t>
      </w:r>
    </w:p>
    <w:p w14:paraId="0FA53265"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Authorization-to-fish information: for each authorization issued by another nation: name of issuing nation, name of issuing authority and authorization, activities authorized, species for which fishing is authorized, areas in which the vessel is authorized to fish, period of validity, and authorization number/identifier;</w:t>
      </w:r>
    </w:p>
    <w:p w14:paraId="4F8B1539"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Color photograph of vessel and date of photograph; and</w:t>
      </w:r>
    </w:p>
    <w:p w14:paraId="25B9FEF4"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Signature of vessel owner or operator and date of signature.</w:t>
      </w:r>
    </w:p>
    <w:p w14:paraId="6B76A8E9"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Owners and operators of vessels in both categories are required to provide information specified by the administrator of the IMO ship identification number scheme. The current administrator is IHS Maritime. Instructions on how to apply for an IMO number are available at: </w:t>
      </w:r>
      <w:r w:rsidR="006727D5" w:rsidRPr="006727D5">
        <w:rPr>
          <w:rFonts w:ascii="Times New Roman" w:hAnsi="Times New Roman" w:cs="Times New Roman"/>
          <w:color w:val="0000FF"/>
          <w:sz w:val="24"/>
          <w:szCs w:val="24"/>
        </w:rPr>
        <w:t>ht</w:t>
      </w:r>
      <w:r w:rsidR="006727D5">
        <w:rPr>
          <w:rFonts w:ascii="Times New Roman" w:hAnsi="Times New Roman" w:cs="Times New Roman"/>
          <w:color w:val="0000FF"/>
          <w:sz w:val="24"/>
          <w:szCs w:val="24"/>
        </w:rPr>
        <w:t>tps://imonumbers.lrfairplay.com</w:t>
      </w:r>
      <w:r>
        <w:rPr>
          <w:rFonts w:ascii="Times New Roman" w:hAnsi="Times New Roman" w:cs="Times New Roman"/>
          <w:color w:val="000000"/>
          <w:sz w:val="24"/>
          <w:szCs w:val="24"/>
        </w:rPr>
        <w:t>. The required information includes but is not limited to:</w:t>
      </w:r>
    </w:p>
    <w:p w14:paraId="423ADD6B"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Current ship name/shipyard ID</w:t>
      </w:r>
    </w:p>
    <w:p w14:paraId="674D2590"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Original name</w:t>
      </w:r>
    </w:p>
    <w:p w14:paraId="15A70166"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Flag</w:t>
      </w:r>
    </w:p>
    <w:p w14:paraId="42ED51BD"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Fishing number</w:t>
      </w:r>
    </w:p>
    <w:p w14:paraId="25659588"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Gross and net tonnage</w:t>
      </w:r>
    </w:p>
    <w:p w14:paraId="45263C07"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Overall length</w:t>
      </w:r>
    </w:p>
    <w:p w14:paraId="66D9A62B"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Shipbuilder</w:t>
      </w:r>
    </w:p>
    <w:p w14:paraId="46C8A05A"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Place of build</w:t>
      </w:r>
    </w:p>
    <w:p w14:paraId="19BC89A5"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Hull number</w:t>
      </w:r>
    </w:p>
    <w:p w14:paraId="70F93676"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Registered owner and owner address</w:t>
      </w:r>
    </w:p>
    <w:p w14:paraId="23AB3D90"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Manager and manager address</w:t>
      </w:r>
    </w:p>
    <w:p w14:paraId="7B6577FA"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Company name</w:t>
      </w:r>
    </w:p>
    <w:p w14:paraId="7EB8BAA3"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Contact name</w:t>
      </w:r>
    </w:p>
    <w:p w14:paraId="0FDCF322"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Sender’s email</w:t>
      </w:r>
    </w:p>
    <w:p w14:paraId="2A6812D4"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For those elements of this information collection that are collected by NMFS, up to the point of submitting the information to the Commission, sharing it with other U.S. agencies such as the USCG, or disseminating it to the public, NMFS retains control and safeguards it from improper access, modification, and destruction consistent with NOAA policies. </w:t>
      </w:r>
      <w:r w:rsidRPr="00C56DC3">
        <w:rPr>
          <w:rFonts w:ascii="Times New Roman" w:hAnsi="Times New Roman" w:cs="Times New Roman"/>
          <w:color w:val="000000"/>
          <w:sz w:val="24"/>
          <w:szCs w:val="24"/>
        </w:rPr>
        <w:t>None of the collected information is considered to be confidential or protected by NMFS as such.</w:t>
      </w:r>
      <w:r>
        <w:rPr>
          <w:rFonts w:ascii="Times New Roman" w:hAnsi="Times New Roman" w:cs="Times New Roman"/>
          <w:color w:val="000000"/>
          <w:sz w:val="24"/>
          <w:szCs w:val="24"/>
        </w:rPr>
        <w:t xml:space="preserve"> Once submitted to the Commission, the Commission will maintain and control access to the information in accordance with its </w:t>
      </w:r>
      <w:r>
        <w:rPr>
          <w:rFonts w:ascii="Times New Roman" w:hAnsi="Times New Roman" w:cs="Times New Roman"/>
          <w:i/>
          <w:iCs/>
          <w:color w:val="000000"/>
          <w:sz w:val="24"/>
          <w:szCs w:val="24"/>
        </w:rPr>
        <w:t>Rules and Procedures for the Protection of, Access to, and Dissemination of Data Compiled by the Commission</w:t>
      </w:r>
      <w:r>
        <w:rPr>
          <w:rFonts w:ascii="Times New Roman" w:hAnsi="Times New Roman" w:cs="Times New Roman"/>
          <w:color w:val="000000"/>
          <w:sz w:val="24"/>
          <w:szCs w:val="24"/>
        </w:rPr>
        <w:t>. According to those rules and procedures, the information will be treated as public domain data; that is, it will not be treated as confidential or protected as such. Most or all of the information will be disseminated by the Commission to the public via the Commission’s public website. It will be disseminated in close to its original form.</w:t>
      </w:r>
    </w:p>
    <w:p w14:paraId="75A720AF"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information provided in applications for IMO numbers is used by the administrator of the IMO ship identification number scheme to generate an IMO number for the vessel that is unique and stays with the vessel. The administrator makes the IMO number publicly available and also uses the data in its commercial products, such as directories of vessels.</w:t>
      </w:r>
    </w:p>
    <w:p w14:paraId="279DD954"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information collection is designed to yield data that meet all applicable information quality guidelines. Prior to dissemination, the information collected by NMFS will be subjected to quality control measures and a pre-dissemination review pursuant to </w:t>
      </w:r>
      <w:r>
        <w:rPr>
          <w:rFonts w:ascii="Times New Roman" w:hAnsi="Times New Roman" w:cs="Times New Roman"/>
          <w:color w:val="0000FF"/>
          <w:sz w:val="24"/>
          <w:szCs w:val="24"/>
        </w:rPr>
        <w:t>Section 515 of Public Law 106-554</w:t>
      </w:r>
      <w:r>
        <w:rPr>
          <w:rFonts w:ascii="Times New Roman" w:hAnsi="Times New Roman" w:cs="Times New Roman"/>
          <w:color w:val="000000"/>
          <w:sz w:val="24"/>
          <w:szCs w:val="24"/>
        </w:rPr>
        <w:t>.</w:t>
      </w:r>
    </w:p>
    <w:p w14:paraId="6DA739D0"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 Describe whether, and to what extent, the collection of information involves the use of automated, electric, mechanical, or other technological techniques or other forms of information technology.</w:t>
      </w:r>
    </w:p>
    <w:p w14:paraId="4361D9A6"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Web site for the Pacific Islands Regional Office of NMFS at </w:t>
      </w:r>
      <w:r>
        <w:rPr>
          <w:rFonts w:ascii="Times New Roman" w:hAnsi="Times New Roman" w:cs="Times New Roman"/>
          <w:color w:val="0000FF"/>
          <w:sz w:val="24"/>
          <w:szCs w:val="24"/>
        </w:rPr>
        <w:t xml:space="preserve">http://www.fpir.noaa.gov </w:t>
      </w:r>
      <w:r>
        <w:rPr>
          <w:rFonts w:ascii="Times New Roman" w:hAnsi="Times New Roman" w:cs="Times New Roman"/>
          <w:color w:val="000000"/>
          <w:sz w:val="24"/>
          <w:szCs w:val="24"/>
        </w:rPr>
        <w:t xml:space="preserve">is used to inform the public about the collection of information necessary to comply with management program requirements. The required forms and instructions for the </w:t>
      </w:r>
      <w:r>
        <w:rPr>
          <w:rFonts w:ascii="Times New Roman" w:hAnsi="Times New Roman" w:cs="Times New Roman"/>
          <w:i/>
          <w:iCs/>
          <w:color w:val="000000"/>
          <w:sz w:val="24"/>
          <w:szCs w:val="24"/>
        </w:rPr>
        <w:t xml:space="preserve">WCPFC Area Endorsement </w:t>
      </w:r>
      <w:r>
        <w:rPr>
          <w:rFonts w:ascii="Times New Roman" w:hAnsi="Times New Roman" w:cs="Times New Roman"/>
          <w:color w:val="000000"/>
          <w:sz w:val="24"/>
          <w:szCs w:val="24"/>
        </w:rPr>
        <w:t xml:space="preserve">and </w:t>
      </w:r>
      <w:r>
        <w:rPr>
          <w:rFonts w:ascii="Times New Roman" w:hAnsi="Times New Roman" w:cs="Times New Roman"/>
          <w:i/>
          <w:iCs/>
          <w:color w:val="000000"/>
          <w:sz w:val="24"/>
          <w:szCs w:val="24"/>
        </w:rPr>
        <w:t xml:space="preserve">Foreign EEZ Form </w:t>
      </w:r>
      <w:r>
        <w:rPr>
          <w:rFonts w:ascii="Times New Roman" w:hAnsi="Times New Roman" w:cs="Times New Roman"/>
          <w:color w:val="000000"/>
          <w:sz w:val="24"/>
          <w:szCs w:val="24"/>
        </w:rPr>
        <w:t xml:space="preserve">are available online for downloading, filling and mailing, at the same Web site. Required forms and instructions to obtain an IMO number are available and may be submitted online at </w:t>
      </w:r>
      <w:r w:rsidR="006727D5" w:rsidRPr="006727D5">
        <w:rPr>
          <w:rFonts w:ascii="Times New Roman" w:hAnsi="Times New Roman" w:cs="Times New Roman"/>
          <w:color w:val="0000FF"/>
          <w:sz w:val="24"/>
          <w:szCs w:val="24"/>
        </w:rPr>
        <w:t>ht</w:t>
      </w:r>
      <w:r w:rsidR="006727D5">
        <w:rPr>
          <w:rFonts w:ascii="Times New Roman" w:hAnsi="Times New Roman" w:cs="Times New Roman"/>
          <w:color w:val="0000FF"/>
          <w:sz w:val="24"/>
          <w:szCs w:val="24"/>
        </w:rPr>
        <w:t>tps://imonumbers.lrfairplay.com</w:t>
      </w:r>
      <w:r>
        <w:rPr>
          <w:rFonts w:ascii="Times New Roman" w:hAnsi="Times New Roman" w:cs="Times New Roman"/>
          <w:color w:val="000000"/>
          <w:sz w:val="24"/>
          <w:szCs w:val="24"/>
        </w:rPr>
        <w:t>.</w:t>
      </w:r>
    </w:p>
    <w:p w14:paraId="1BE77D2A"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 Describe efforts to identify duplication.</w:t>
      </w:r>
    </w:p>
    <w:p w14:paraId="1AB96F27"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As mentioned in Question 1, some of the vessel information required under the WCPFCIA is collected via the HSFCA, by the USCG and by the third party administrator of the IMO ship identification number scheme. The forms used for the </w:t>
      </w:r>
      <w:r>
        <w:rPr>
          <w:rFonts w:ascii="Times New Roman" w:hAnsi="Times New Roman" w:cs="Times New Roman"/>
          <w:i/>
          <w:iCs/>
          <w:color w:val="000000"/>
          <w:sz w:val="24"/>
          <w:szCs w:val="24"/>
        </w:rPr>
        <w:t xml:space="preserve">WCPFC Area Endorsement </w:t>
      </w:r>
      <w:r>
        <w:rPr>
          <w:rFonts w:ascii="Times New Roman" w:hAnsi="Times New Roman" w:cs="Times New Roman"/>
          <w:color w:val="000000"/>
          <w:sz w:val="24"/>
          <w:szCs w:val="24"/>
        </w:rPr>
        <w:t xml:space="preserve">and the </w:t>
      </w:r>
      <w:r>
        <w:rPr>
          <w:rFonts w:ascii="Times New Roman" w:hAnsi="Times New Roman" w:cs="Times New Roman"/>
          <w:i/>
          <w:iCs/>
          <w:color w:val="000000"/>
          <w:sz w:val="24"/>
          <w:szCs w:val="24"/>
        </w:rPr>
        <w:t>Foreign EEZ Form</w:t>
      </w:r>
      <w:r>
        <w:rPr>
          <w:rFonts w:ascii="Times New Roman" w:hAnsi="Times New Roman" w:cs="Times New Roman"/>
          <w:color w:val="000000"/>
          <w:sz w:val="24"/>
          <w:szCs w:val="24"/>
        </w:rPr>
        <w:t xml:space="preserve">, described in Question 2, are designed to avoid duplication: only information not already collected under existing mechanisms is collected. In addition to the two forms customized for each of the two categories of vessels, owners/operators of vessels in the second category are required to submit only those pieces of information specified on the </w:t>
      </w:r>
      <w:r>
        <w:rPr>
          <w:rFonts w:ascii="Times New Roman" w:hAnsi="Times New Roman" w:cs="Times New Roman"/>
          <w:i/>
          <w:iCs/>
          <w:color w:val="000000"/>
          <w:sz w:val="24"/>
          <w:szCs w:val="24"/>
        </w:rPr>
        <w:t xml:space="preserve">Foreign EEZ Form </w:t>
      </w:r>
      <w:r>
        <w:rPr>
          <w:rFonts w:ascii="Times New Roman" w:hAnsi="Times New Roman" w:cs="Times New Roman"/>
          <w:color w:val="000000"/>
          <w:sz w:val="24"/>
          <w:szCs w:val="24"/>
        </w:rPr>
        <w:t>that they have not provided on applications for a High Seas Fishing Permit and a WCPFC Area Endorsement (which some but not all are expected to apply for). The form used to collect information necessary to apply for an IMO number is specified by the third party administrator of the IMO ship number identification scheme, and the information is not collected by NMFS. NOAA and NMFS have no control over the information that is required to obtain an IMO number and so it is possible that information submitted for that purpose duplicates information submitted to NMFS for other purposes.</w:t>
      </w:r>
    </w:p>
    <w:p w14:paraId="56E9FC2A"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5. If the collection of information involves small businesses or other small entities, describe the methods used to minimize burden.</w:t>
      </w:r>
    </w:p>
    <w:p w14:paraId="697BBEA8"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 fishing operations subject to this collection of information, with the possible exception of a few large-scale tuna purse seine, carrier, and bunker vessel operations, are small businesses. However, all of the data collected have been deemed necessary by the Contracting Parties to the WCPFC, including the United States, and the reporting burden is very minor relative to the overall cost of fishing. As described in Questions 1, 3 and 4, efforts have been made to rely on existing information collection mechanisms as much as possible.</w:t>
      </w:r>
    </w:p>
    <w:p w14:paraId="4B4E2658"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6. Describe the consequence to the Federal program or policy activities if the collection is not conducted or is conducted less frequently.</w:t>
      </w:r>
    </w:p>
    <w:p w14:paraId="1021ECB7"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If the information is not collected, the U.S. government will not meet its obligations as a Contracting Party to the WCPFC and a member of the Commission, and would consequently fail to fulfill the provisions of the WCPFCIA. The lack of collected data from the U.S. HMS fleets operating in the WCPFC Area would provide a disincentive to the other fishing nations in the region to provide to the Commission vessel data for their fleets. The effective management of the fishery resources under the WCPFC would consequently be compromised.</w:t>
      </w:r>
    </w:p>
    <w:p w14:paraId="0082EDCB"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As described in Question 2, the information included in both the </w:t>
      </w:r>
      <w:r>
        <w:rPr>
          <w:rFonts w:ascii="Times New Roman" w:hAnsi="Times New Roman" w:cs="Times New Roman"/>
          <w:i/>
          <w:iCs/>
          <w:color w:val="000000"/>
          <w:sz w:val="24"/>
          <w:szCs w:val="24"/>
        </w:rPr>
        <w:t xml:space="preserve">WCPFC Area Endorsement </w:t>
      </w:r>
      <w:r>
        <w:rPr>
          <w:rFonts w:ascii="Times New Roman" w:hAnsi="Times New Roman" w:cs="Times New Roman"/>
          <w:color w:val="000000"/>
          <w:sz w:val="24"/>
          <w:szCs w:val="24"/>
        </w:rPr>
        <w:t xml:space="preserve">application and </w:t>
      </w:r>
      <w:r>
        <w:rPr>
          <w:rFonts w:ascii="Times New Roman" w:hAnsi="Times New Roman" w:cs="Times New Roman"/>
          <w:i/>
          <w:iCs/>
          <w:color w:val="000000"/>
          <w:sz w:val="24"/>
          <w:szCs w:val="24"/>
        </w:rPr>
        <w:t xml:space="preserve">Foreign EEZ form </w:t>
      </w:r>
      <w:r>
        <w:rPr>
          <w:rFonts w:ascii="Times New Roman" w:hAnsi="Times New Roman" w:cs="Times New Roman"/>
          <w:color w:val="000000"/>
          <w:sz w:val="24"/>
          <w:szCs w:val="24"/>
        </w:rPr>
        <w:t>is collected once every five years, in part to keep this collection in synchrony with the related collection under the HSFCA. Collecting the information less frequently would be administratively awkward and possibly less efficient for both the government and the respondents. It would probably also result in less reliable data, as they would be updated less frequently. The information collected to obtain an IMO number is a one-time collection.</w:t>
      </w:r>
    </w:p>
    <w:p w14:paraId="39E938E6"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7. Explain any special circumstances that require the collection to be conducted in a manner inconsistent with OMB guidelines.</w:t>
      </w:r>
    </w:p>
    <w:p w14:paraId="43389337" w14:textId="77777777" w:rsidR="00C11D15" w:rsidRPr="00176330"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collection is consistent with Office of Management and Budget (OMB) g</w:t>
      </w:r>
      <w:r w:rsidR="00176330">
        <w:rPr>
          <w:rFonts w:ascii="Times New Roman" w:hAnsi="Times New Roman" w:cs="Times New Roman"/>
          <w:color w:val="000000"/>
          <w:sz w:val="24"/>
          <w:szCs w:val="24"/>
        </w:rPr>
        <w:t>uidelines.</w:t>
      </w:r>
    </w:p>
    <w:p w14:paraId="6C748B1B"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E097AC0"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6727D5">
        <w:rPr>
          <w:rFonts w:ascii="Times New Roman" w:hAnsi="Times New Roman" w:cs="Times New Roman"/>
          <w:color w:val="000000"/>
          <w:sz w:val="24"/>
          <w:szCs w:val="24"/>
        </w:rPr>
        <w:t>notice for the</w:t>
      </w:r>
      <w:r>
        <w:rPr>
          <w:rFonts w:ascii="Times New Roman" w:hAnsi="Times New Roman" w:cs="Times New Roman"/>
          <w:color w:val="000000"/>
          <w:sz w:val="24"/>
          <w:szCs w:val="24"/>
        </w:rPr>
        <w:t xml:space="preserve"> extension of the information </w:t>
      </w:r>
      <w:r w:rsidR="006727D5">
        <w:rPr>
          <w:rFonts w:ascii="Times New Roman" w:hAnsi="Times New Roman" w:cs="Times New Roman"/>
          <w:color w:val="000000"/>
          <w:sz w:val="24"/>
          <w:szCs w:val="24"/>
        </w:rPr>
        <w:t xml:space="preserve">was published in the </w:t>
      </w:r>
      <w:r w:rsidR="006727D5">
        <w:rPr>
          <w:rFonts w:ascii="Times New Roman" w:hAnsi="Times New Roman" w:cs="Times New Roman"/>
          <w:i/>
          <w:color w:val="000000"/>
          <w:sz w:val="24"/>
          <w:szCs w:val="24"/>
        </w:rPr>
        <w:t>Federal Register</w:t>
      </w:r>
      <w:r w:rsidR="006727D5">
        <w:rPr>
          <w:rFonts w:ascii="Times New Roman" w:hAnsi="Times New Roman" w:cs="Times New Roman"/>
          <w:color w:val="000000"/>
          <w:sz w:val="24"/>
          <w:szCs w:val="24"/>
        </w:rPr>
        <w:t xml:space="preserve"> on May 3, 2018 (see 83 FR 19525)</w:t>
      </w:r>
      <w:r>
        <w:rPr>
          <w:rFonts w:ascii="Times New Roman" w:hAnsi="Times New Roman" w:cs="Times New Roman"/>
          <w:color w:val="000000"/>
          <w:sz w:val="24"/>
          <w:szCs w:val="24"/>
        </w:rPr>
        <w:t xml:space="preserve">. Comments </w:t>
      </w:r>
      <w:r w:rsidR="006727D5">
        <w:rPr>
          <w:rFonts w:ascii="Times New Roman" w:hAnsi="Times New Roman" w:cs="Times New Roman"/>
          <w:color w:val="000000"/>
          <w:sz w:val="24"/>
          <w:szCs w:val="24"/>
        </w:rPr>
        <w:t>were</w:t>
      </w:r>
      <w:r>
        <w:rPr>
          <w:rFonts w:ascii="Times New Roman" w:hAnsi="Times New Roman" w:cs="Times New Roman"/>
          <w:color w:val="000000"/>
          <w:sz w:val="24"/>
          <w:szCs w:val="24"/>
        </w:rPr>
        <w:t xml:space="preserve"> from the public on (a) Whether the proposed collection of information is necessary for the proper performance of the functions of the agency; (b) the accuracy of the agency’s estimate of burden; (c) ways to enhance utility and clarity of information; and (d) ways to minimize the burden of collection.</w:t>
      </w:r>
      <w:r w:rsidR="00DD18BB">
        <w:rPr>
          <w:rFonts w:ascii="Times New Roman" w:hAnsi="Times New Roman" w:cs="Times New Roman"/>
          <w:color w:val="000000"/>
          <w:sz w:val="24"/>
          <w:szCs w:val="24"/>
        </w:rPr>
        <w:t xml:space="preserve"> The comment deadline was July 2, 2018, and no comments were received.</w:t>
      </w:r>
    </w:p>
    <w:p w14:paraId="5CB6FFF9"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NMFS sought and received feedback from representatives of all three of the main fishing fleets subject to this information collection, particularly regarding the accuracy of estimated burdens. Responses were received from 3 stakeholders, two expressing agreement with the NMFS’ estimate of burdens and one suggesting that the NMFS’ estimate of burden may be slightly higher than the actual time required to complete all forms. NMFS has determined that because the burden is an average estimate, and that the time may vary depending on who is filling out the forms, that none of the input received from stakeholders has warranted changes to the information collection.</w:t>
      </w:r>
    </w:p>
    <w:p w14:paraId="7386E6B2"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9. Explain any decisions to provide payments or gifts to respondents, other than</w:t>
      </w:r>
      <w:r w:rsidR="00176330">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remuneration of contractors or grantees.</w:t>
      </w:r>
    </w:p>
    <w:p w14:paraId="194D2271"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payment or gifts to respondents will be provided.</w:t>
      </w:r>
    </w:p>
    <w:p w14:paraId="3F2F128E"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10. Describe any assurance of confidentiality provided to respondents and the basis for</w:t>
      </w:r>
      <w:r w:rsidR="00176330">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assurance in statute, regulation, or agency policy.</w:t>
      </w:r>
    </w:p>
    <w:p w14:paraId="0BE7B2B2" w14:textId="3E9C09D8"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assurance of confidentiality will be provided to respondents.</w:t>
      </w:r>
      <w:r w:rsidR="00C54D99">
        <w:rPr>
          <w:rFonts w:ascii="Times New Roman" w:hAnsi="Times New Roman" w:cs="Times New Roman"/>
          <w:color w:val="000000"/>
          <w:sz w:val="24"/>
          <w:szCs w:val="24"/>
        </w:rPr>
        <w:t xml:space="preserve"> This information is covered by the Privacy Act System of Records Notice, </w:t>
      </w:r>
      <w:hyperlink r:id="rId6" w:history="1">
        <w:r w:rsidR="00C54D99" w:rsidRPr="00C54D99">
          <w:rPr>
            <w:rStyle w:val="Hyperlink"/>
            <w:rFonts w:ascii="Times New Roman" w:hAnsi="Times New Roman" w:cs="Times New Roman"/>
            <w:sz w:val="24"/>
            <w:szCs w:val="24"/>
          </w:rPr>
          <w:t>COMMERCE/NOAA-19</w:t>
        </w:r>
      </w:hyperlink>
      <w:r w:rsidR="00C54D99">
        <w:rPr>
          <w:rFonts w:ascii="Times New Roman" w:hAnsi="Times New Roman" w:cs="Times New Roman"/>
          <w:color w:val="000000"/>
          <w:sz w:val="24"/>
          <w:szCs w:val="24"/>
        </w:rPr>
        <w:t>, Permits and Registrations for U.S. Federally Regulated Fisheries.</w:t>
      </w:r>
    </w:p>
    <w:p w14:paraId="52BF19B9"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11. Provide additional justification for any questions of a sensitive nature, such as sexual behavior and attitudes, religious beliefs, and other matters that are commonly considered private.</w:t>
      </w:r>
    </w:p>
    <w:p w14:paraId="084ABDDB"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questions of a sensitive nature will be asked.</w:t>
      </w:r>
    </w:p>
    <w:p w14:paraId="36622066"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12. Provide an estimate in hours of the burden of the collection of information.</w:t>
      </w:r>
    </w:p>
    <w:p w14:paraId="6D81B87A"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number of vessels subject to the collection will vary over time, depending on the number active in the WCPFC Area. This number cannot be predicted with great certainty. For purposes of this collection, the respondents in the first category of vessels (those required to submit the information required on the </w:t>
      </w:r>
      <w:r>
        <w:rPr>
          <w:rFonts w:ascii="Times New Roman" w:hAnsi="Times New Roman" w:cs="Times New Roman"/>
          <w:i/>
          <w:iCs/>
          <w:color w:val="000000"/>
          <w:sz w:val="24"/>
          <w:szCs w:val="24"/>
        </w:rPr>
        <w:t xml:space="preserve">WCPFC Area Endorsement </w:t>
      </w:r>
      <w:r>
        <w:rPr>
          <w:rFonts w:ascii="Times New Roman" w:hAnsi="Times New Roman" w:cs="Times New Roman"/>
          <w:color w:val="000000"/>
          <w:sz w:val="24"/>
          <w:szCs w:val="24"/>
        </w:rPr>
        <w:t xml:space="preserve">application) are </w:t>
      </w:r>
      <w:r w:rsidR="00192F3F">
        <w:rPr>
          <w:rFonts w:ascii="Times New Roman" w:hAnsi="Times New Roman" w:cs="Times New Roman"/>
          <w:color w:val="000000"/>
          <w:sz w:val="24"/>
          <w:szCs w:val="24"/>
        </w:rPr>
        <w:t>projected to be 222, the average number of vessels with WCPFC Are</w:t>
      </w:r>
      <w:r w:rsidR="00334900">
        <w:rPr>
          <w:rFonts w:ascii="Times New Roman" w:hAnsi="Times New Roman" w:cs="Times New Roman"/>
          <w:color w:val="000000"/>
          <w:sz w:val="24"/>
          <w:szCs w:val="24"/>
        </w:rPr>
        <w:t xml:space="preserve">a Endorsements from 2015-2017. </w:t>
      </w:r>
      <w:r w:rsidR="00192F3F">
        <w:rPr>
          <w:rFonts w:ascii="Times New Roman" w:hAnsi="Times New Roman" w:cs="Times New Roman"/>
          <w:color w:val="000000"/>
          <w:sz w:val="24"/>
          <w:szCs w:val="24"/>
        </w:rPr>
        <w:t>NMFS does not anticipate the number of vessels with WCPFC Area Endorsements to change signif</w:t>
      </w:r>
      <w:r w:rsidR="00334900">
        <w:rPr>
          <w:rFonts w:ascii="Times New Roman" w:hAnsi="Times New Roman" w:cs="Times New Roman"/>
          <w:color w:val="000000"/>
          <w:sz w:val="24"/>
          <w:szCs w:val="24"/>
        </w:rPr>
        <w:t xml:space="preserve">icantly in the next few years. </w:t>
      </w:r>
      <w:r>
        <w:rPr>
          <w:rFonts w:ascii="Times New Roman" w:hAnsi="Times New Roman" w:cs="Times New Roman"/>
          <w:color w:val="000000"/>
          <w:sz w:val="24"/>
          <w:szCs w:val="24"/>
        </w:rPr>
        <w:t>Thus it is projected that the owners/operators of a total of 2</w:t>
      </w:r>
      <w:r w:rsidR="00192F3F">
        <w:rPr>
          <w:rFonts w:ascii="Times New Roman" w:hAnsi="Times New Roman" w:cs="Times New Roman"/>
          <w:color w:val="000000"/>
          <w:sz w:val="24"/>
          <w:szCs w:val="24"/>
        </w:rPr>
        <w:t>22</w:t>
      </w:r>
      <w:r>
        <w:rPr>
          <w:rFonts w:ascii="Times New Roman" w:hAnsi="Times New Roman" w:cs="Times New Roman"/>
          <w:color w:val="000000"/>
          <w:sz w:val="24"/>
          <w:szCs w:val="24"/>
        </w:rPr>
        <w:t xml:space="preserve"> vessels will be required to respond to this component of the collection.</w:t>
      </w:r>
    </w:p>
    <w:p w14:paraId="248F0ED7"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number of respondents in the second category of vessels (those required to submit the information required on the </w:t>
      </w:r>
      <w:r>
        <w:rPr>
          <w:rFonts w:ascii="Times New Roman" w:hAnsi="Times New Roman" w:cs="Times New Roman"/>
          <w:i/>
          <w:iCs/>
          <w:color w:val="000000"/>
          <w:sz w:val="24"/>
          <w:szCs w:val="24"/>
        </w:rPr>
        <w:t>Foreign EEZ Form</w:t>
      </w:r>
      <w:r>
        <w:rPr>
          <w:rFonts w:ascii="Times New Roman" w:hAnsi="Times New Roman" w:cs="Times New Roman"/>
          <w:color w:val="000000"/>
          <w:sz w:val="24"/>
          <w:szCs w:val="24"/>
        </w:rPr>
        <w:t xml:space="preserve">) is projected to be about </w:t>
      </w:r>
      <w:r w:rsidR="00192F3F">
        <w:rPr>
          <w:rFonts w:ascii="Times New Roman" w:hAnsi="Times New Roman" w:cs="Times New Roman"/>
          <w:color w:val="000000"/>
          <w:sz w:val="24"/>
          <w:szCs w:val="24"/>
        </w:rPr>
        <w:t>43</w:t>
      </w:r>
      <w:r>
        <w:rPr>
          <w:rFonts w:ascii="Times New Roman" w:hAnsi="Times New Roman" w:cs="Times New Roman"/>
          <w:color w:val="000000"/>
          <w:sz w:val="24"/>
          <w:szCs w:val="24"/>
        </w:rPr>
        <w:t xml:space="preserve">, including 40 purse seine vessels and </w:t>
      </w:r>
      <w:r w:rsidR="00192F3F">
        <w:rPr>
          <w:rFonts w:ascii="Times New Roman" w:hAnsi="Times New Roman" w:cs="Times New Roman"/>
          <w:color w:val="000000"/>
          <w:sz w:val="24"/>
          <w:szCs w:val="24"/>
        </w:rPr>
        <w:t>3 longline vessels</w:t>
      </w:r>
      <w:r>
        <w:rPr>
          <w:rFonts w:ascii="Times New Roman" w:hAnsi="Times New Roman" w:cs="Times New Roman"/>
          <w:color w:val="000000"/>
          <w:sz w:val="24"/>
          <w:szCs w:val="24"/>
        </w:rPr>
        <w:t xml:space="preserve">. </w:t>
      </w:r>
      <w:r w:rsidR="00192F3F">
        <w:rPr>
          <w:rFonts w:ascii="Times New Roman" w:hAnsi="Times New Roman" w:cs="Times New Roman"/>
          <w:color w:val="000000"/>
          <w:sz w:val="24"/>
          <w:szCs w:val="24"/>
        </w:rPr>
        <w:t xml:space="preserve">Because </w:t>
      </w:r>
      <w:r>
        <w:rPr>
          <w:rFonts w:ascii="Times New Roman" w:hAnsi="Times New Roman" w:cs="Times New Roman"/>
          <w:color w:val="000000"/>
          <w:sz w:val="24"/>
          <w:szCs w:val="24"/>
        </w:rPr>
        <w:t xml:space="preserve">some of these respondents might also fall in the first category and therefore not have to provide the redundant information specified in the </w:t>
      </w:r>
      <w:r>
        <w:rPr>
          <w:rFonts w:ascii="Times New Roman" w:hAnsi="Times New Roman" w:cs="Times New Roman"/>
          <w:i/>
          <w:iCs/>
          <w:color w:val="000000"/>
          <w:sz w:val="24"/>
          <w:szCs w:val="24"/>
        </w:rPr>
        <w:t>Foreign EEZ Form</w:t>
      </w:r>
      <w:r>
        <w:rPr>
          <w:rFonts w:ascii="Times New Roman" w:hAnsi="Times New Roman" w:cs="Times New Roman"/>
          <w:color w:val="000000"/>
          <w:sz w:val="24"/>
          <w:szCs w:val="24"/>
        </w:rPr>
        <w:t>, the estimated number of such respondents is zero for the purpose of this calculation.</w:t>
      </w:r>
    </w:p>
    <w:p w14:paraId="1F3924F3"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number of respondents required to apply for an IMO number will depend on the number of </w:t>
      </w:r>
      <w:r>
        <w:rPr>
          <w:rFonts w:ascii="Times New Roman" w:hAnsi="Times New Roman" w:cs="Times New Roman"/>
          <w:i/>
          <w:iCs/>
          <w:color w:val="000000"/>
          <w:sz w:val="24"/>
          <w:szCs w:val="24"/>
        </w:rPr>
        <w:t xml:space="preserve">new </w:t>
      </w:r>
      <w:r>
        <w:rPr>
          <w:rFonts w:ascii="Times New Roman" w:hAnsi="Times New Roman" w:cs="Times New Roman"/>
          <w:color w:val="000000"/>
          <w:sz w:val="24"/>
          <w:szCs w:val="24"/>
        </w:rPr>
        <w:t xml:space="preserve">respondents in either of the above listed categories. Based on the vessels currently in the two categories, NMFS estimates that </w:t>
      </w:r>
      <w:r w:rsidR="00192F3F">
        <w:rPr>
          <w:rFonts w:ascii="Times New Roman" w:hAnsi="Times New Roman" w:cs="Times New Roman"/>
          <w:color w:val="000000"/>
          <w:sz w:val="24"/>
          <w:szCs w:val="24"/>
        </w:rPr>
        <w:t xml:space="preserve">zero </w:t>
      </w:r>
      <w:r>
        <w:rPr>
          <w:rFonts w:ascii="Times New Roman" w:hAnsi="Times New Roman" w:cs="Times New Roman"/>
          <w:color w:val="000000"/>
          <w:sz w:val="24"/>
          <w:szCs w:val="24"/>
        </w:rPr>
        <w:t xml:space="preserve">respondents will initially be subject to this element of the collection. Because this element will be a one-time requirement, subsequently only </w:t>
      </w:r>
      <w:r>
        <w:rPr>
          <w:rFonts w:ascii="Times New Roman" w:hAnsi="Times New Roman" w:cs="Times New Roman"/>
          <w:i/>
          <w:iCs/>
          <w:color w:val="000000"/>
          <w:sz w:val="24"/>
          <w:szCs w:val="24"/>
        </w:rPr>
        <w:t xml:space="preserve">new </w:t>
      </w:r>
      <w:r>
        <w:rPr>
          <w:rFonts w:ascii="Times New Roman" w:hAnsi="Times New Roman" w:cs="Times New Roman"/>
          <w:color w:val="000000"/>
          <w:sz w:val="24"/>
          <w:szCs w:val="24"/>
        </w:rPr>
        <w:t>vessels falling in either of the two categories (and that are at least 100 GRT or GT in size and that do not already have an IMO number) will be subject to this element of the collection. It is projected that the number of such vessels will be approximately two per year.</w:t>
      </w:r>
    </w:p>
    <w:p w14:paraId="6E4B45C2"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respondents: </w:t>
      </w:r>
      <w:r w:rsidR="001874CA">
        <w:rPr>
          <w:rFonts w:ascii="Times New Roman" w:hAnsi="Times New Roman" w:cs="Times New Roman"/>
          <w:color w:val="000000"/>
          <w:sz w:val="24"/>
          <w:szCs w:val="24"/>
        </w:rPr>
        <w:t>(222 + 43)/5 + 2 = 53</w:t>
      </w:r>
      <w:r>
        <w:rPr>
          <w:rFonts w:ascii="Times New Roman" w:hAnsi="Times New Roman" w:cs="Times New Roman"/>
          <w:color w:val="000000"/>
          <w:sz w:val="24"/>
          <w:szCs w:val="24"/>
        </w:rPr>
        <w:t xml:space="preserve"> + </w:t>
      </w:r>
      <w:r w:rsidR="001874CA">
        <w:rPr>
          <w:rFonts w:ascii="Times New Roman" w:hAnsi="Times New Roman" w:cs="Times New Roman"/>
          <w:color w:val="000000"/>
          <w:sz w:val="24"/>
          <w:szCs w:val="24"/>
        </w:rPr>
        <w:t>2</w:t>
      </w:r>
      <w:r>
        <w:rPr>
          <w:rFonts w:ascii="Times New Roman" w:hAnsi="Times New Roman" w:cs="Times New Roman"/>
          <w:color w:val="000000"/>
          <w:sz w:val="24"/>
          <w:szCs w:val="24"/>
        </w:rPr>
        <w:t xml:space="preserve"> = </w:t>
      </w:r>
      <w:r w:rsidR="001874CA">
        <w:rPr>
          <w:rFonts w:ascii="Times New Roman" w:hAnsi="Times New Roman" w:cs="Times New Roman"/>
          <w:color w:val="000000"/>
          <w:sz w:val="24"/>
          <w:szCs w:val="24"/>
        </w:rPr>
        <w:t>55</w:t>
      </w:r>
      <w:r>
        <w:rPr>
          <w:rFonts w:ascii="Times New Roman" w:hAnsi="Times New Roman" w:cs="Times New Roman"/>
          <w:color w:val="000000"/>
          <w:sz w:val="24"/>
          <w:szCs w:val="24"/>
        </w:rPr>
        <w:t>.</w:t>
      </w:r>
    </w:p>
    <w:p w14:paraId="58C00841"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Following are the estimates of the burden associated with the collection of information process for each of the two collection forms.</w:t>
      </w:r>
    </w:p>
    <w:p w14:paraId="5A098B4A"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WCPFC Area Endorsement </w:t>
      </w:r>
      <w:r>
        <w:rPr>
          <w:rFonts w:ascii="Times New Roman" w:hAnsi="Times New Roman" w:cs="Times New Roman"/>
          <w:color w:val="000000"/>
          <w:sz w:val="24"/>
          <w:szCs w:val="24"/>
        </w:rPr>
        <w:t>application:</w:t>
      </w:r>
    </w:p>
    <w:p w14:paraId="3B318261"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001874CA">
        <w:rPr>
          <w:rFonts w:ascii="Times New Roman" w:hAnsi="Times New Roman" w:cs="Times New Roman"/>
          <w:color w:val="000000"/>
          <w:sz w:val="24"/>
          <w:szCs w:val="24"/>
        </w:rPr>
        <w:t>22</w:t>
      </w:r>
      <w:r>
        <w:rPr>
          <w:rFonts w:ascii="Times New Roman" w:hAnsi="Times New Roman" w:cs="Times New Roman"/>
          <w:color w:val="000000"/>
          <w:sz w:val="24"/>
          <w:szCs w:val="24"/>
        </w:rPr>
        <w:t xml:space="preserve"> vessels x 1 response per vessel per 5 yr x </w:t>
      </w:r>
      <w:r w:rsidR="005E2F01">
        <w:rPr>
          <w:rFonts w:ascii="Times New Roman" w:hAnsi="Times New Roman" w:cs="Times New Roman"/>
          <w:color w:val="000000"/>
          <w:sz w:val="24"/>
          <w:szCs w:val="24"/>
        </w:rPr>
        <w:t>1 hr</w:t>
      </w:r>
      <w:r>
        <w:rPr>
          <w:rFonts w:ascii="Times New Roman" w:hAnsi="Times New Roman" w:cs="Times New Roman"/>
          <w:color w:val="000000"/>
          <w:sz w:val="24"/>
          <w:szCs w:val="24"/>
        </w:rPr>
        <w:t xml:space="preserve"> per response = 2</w:t>
      </w:r>
      <w:r w:rsidR="001874CA">
        <w:rPr>
          <w:rFonts w:ascii="Times New Roman" w:hAnsi="Times New Roman" w:cs="Times New Roman"/>
          <w:color w:val="000000"/>
          <w:sz w:val="24"/>
          <w:szCs w:val="24"/>
        </w:rPr>
        <w:t>22</w:t>
      </w:r>
      <w:r>
        <w:rPr>
          <w:rFonts w:ascii="Times New Roman" w:hAnsi="Times New Roman" w:cs="Times New Roman"/>
          <w:color w:val="000000"/>
          <w:sz w:val="24"/>
          <w:szCs w:val="24"/>
        </w:rPr>
        <w:t xml:space="preserve">/5 = </w:t>
      </w:r>
      <w:r w:rsidR="001874CA">
        <w:rPr>
          <w:rFonts w:ascii="Times New Roman" w:hAnsi="Times New Roman" w:cs="Times New Roman"/>
          <w:color w:val="000000"/>
          <w:sz w:val="24"/>
          <w:szCs w:val="24"/>
        </w:rPr>
        <w:t>44</w:t>
      </w:r>
      <w:r>
        <w:rPr>
          <w:rFonts w:ascii="Times New Roman" w:hAnsi="Times New Roman" w:cs="Times New Roman"/>
          <w:color w:val="000000"/>
          <w:sz w:val="24"/>
          <w:szCs w:val="24"/>
        </w:rPr>
        <w:t xml:space="preserve"> hr/yr</w:t>
      </w:r>
    </w:p>
    <w:p w14:paraId="75639DAC"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estimated burden per year = </w:t>
      </w:r>
      <w:r w:rsidR="001874CA">
        <w:rPr>
          <w:rFonts w:ascii="Times New Roman" w:hAnsi="Times New Roman" w:cs="Times New Roman"/>
          <w:color w:val="000000"/>
          <w:sz w:val="24"/>
          <w:szCs w:val="24"/>
        </w:rPr>
        <w:t>44</w:t>
      </w:r>
      <w:r>
        <w:rPr>
          <w:rFonts w:ascii="Times New Roman" w:hAnsi="Times New Roman" w:cs="Times New Roman"/>
          <w:color w:val="000000"/>
          <w:sz w:val="24"/>
          <w:szCs w:val="24"/>
        </w:rPr>
        <w:t xml:space="preserve"> hours</w:t>
      </w:r>
    </w:p>
    <w:p w14:paraId="09A4D8E8"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estimated responses per year = </w:t>
      </w:r>
      <w:r w:rsidR="001874CA">
        <w:rPr>
          <w:rFonts w:ascii="Times New Roman" w:hAnsi="Times New Roman" w:cs="Times New Roman"/>
          <w:color w:val="000000"/>
          <w:sz w:val="24"/>
          <w:szCs w:val="24"/>
        </w:rPr>
        <w:t>44</w:t>
      </w:r>
      <w:r>
        <w:rPr>
          <w:rFonts w:ascii="Times New Roman" w:hAnsi="Times New Roman" w:cs="Times New Roman"/>
          <w:color w:val="000000"/>
          <w:sz w:val="24"/>
          <w:szCs w:val="24"/>
        </w:rPr>
        <w:t xml:space="preserve"> @ 1 hour.</w:t>
      </w:r>
    </w:p>
    <w:p w14:paraId="1421F4DB"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Foreign EEZ Form</w:t>
      </w:r>
      <w:r>
        <w:rPr>
          <w:rFonts w:ascii="Times New Roman" w:hAnsi="Times New Roman" w:cs="Times New Roman"/>
          <w:color w:val="000000"/>
          <w:sz w:val="24"/>
          <w:szCs w:val="24"/>
        </w:rPr>
        <w:t>:</w:t>
      </w:r>
    </w:p>
    <w:p w14:paraId="75BB2E5A" w14:textId="77777777" w:rsidR="00C11D15" w:rsidRDefault="001874CA"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43</w:t>
      </w:r>
      <w:r w:rsidR="00C11D15">
        <w:rPr>
          <w:rFonts w:ascii="Times New Roman" w:hAnsi="Times New Roman" w:cs="Times New Roman"/>
          <w:color w:val="000000"/>
          <w:sz w:val="24"/>
          <w:szCs w:val="24"/>
        </w:rPr>
        <w:t xml:space="preserve"> vessels x 1 response per vessel per 5 yr x </w:t>
      </w:r>
      <w:r w:rsidR="005E2F01">
        <w:rPr>
          <w:rFonts w:ascii="Times New Roman" w:hAnsi="Times New Roman" w:cs="Times New Roman"/>
          <w:color w:val="000000"/>
          <w:sz w:val="24"/>
          <w:szCs w:val="24"/>
        </w:rPr>
        <w:t xml:space="preserve">1.5 hours </w:t>
      </w:r>
      <w:r w:rsidR="00C11D15">
        <w:rPr>
          <w:rFonts w:ascii="Times New Roman" w:hAnsi="Times New Roman" w:cs="Times New Roman"/>
          <w:color w:val="000000"/>
          <w:sz w:val="24"/>
          <w:szCs w:val="24"/>
        </w:rPr>
        <w:t xml:space="preserve">per response = </w:t>
      </w:r>
      <w:r w:rsidR="005E2F01">
        <w:rPr>
          <w:rFonts w:ascii="Times New Roman" w:hAnsi="Times New Roman" w:cs="Times New Roman"/>
          <w:color w:val="000000"/>
          <w:sz w:val="24"/>
          <w:szCs w:val="24"/>
        </w:rPr>
        <w:t>65</w:t>
      </w:r>
      <w:r w:rsidR="00C11D15">
        <w:rPr>
          <w:rFonts w:ascii="Times New Roman" w:hAnsi="Times New Roman" w:cs="Times New Roman"/>
          <w:color w:val="000000"/>
          <w:sz w:val="24"/>
          <w:szCs w:val="24"/>
        </w:rPr>
        <w:t>/5 = 1</w:t>
      </w:r>
      <w:r>
        <w:rPr>
          <w:rFonts w:ascii="Times New Roman" w:hAnsi="Times New Roman" w:cs="Times New Roman"/>
          <w:color w:val="000000"/>
          <w:sz w:val="24"/>
          <w:szCs w:val="24"/>
        </w:rPr>
        <w:t>3</w:t>
      </w:r>
      <w:r w:rsidR="00C11D15">
        <w:rPr>
          <w:rFonts w:ascii="Times New Roman" w:hAnsi="Times New Roman" w:cs="Times New Roman"/>
          <w:color w:val="000000"/>
          <w:sz w:val="24"/>
          <w:szCs w:val="24"/>
        </w:rPr>
        <w:t xml:space="preserve"> hr/yr</w:t>
      </w:r>
    </w:p>
    <w:p w14:paraId="28EE26C3"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estimated burden per year = 1</w:t>
      </w:r>
      <w:r w:rsidR="001874CA">
        <w:rPr>
          <w:rFonts w:ascii="Times New Roman" w:hAnsi="Times New Roman" w:cs="Times New Roman"/>
          <w:color w:val="000000"/>
          <w:sz w:val="24"/>
          <w:szCs w:val="24"/>
        </w:rPr>
        <w:t>3</w:t>
      </w:r>
      <w:r>
        <w:rPr>
          <w:rFonts w:ascii="Times New Roman" w:hAnsi="Times New Roman" w:cs="Times New Roman"/>
          <w:color w:val="000000"/>
          <w:sz w:val="24"/>
          <w:szCs w:val="24"/>
        </w:rPr>
        <w:t xml:space="preserve"> hours</w:t>
      </w:r>
    </w:p>
    <w:p w14:paraId="5351C840"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estimated responses per year = </w:t>
      </w:r>
      <w:r w:rsidR="005E2F01">
        <w:rPr>
          <w:rFonts w:ascii="Times New Roman" w:hAnsi="Times New Roman" w:cs="Times New Roman"/>
          <w:color w:val="000000"/>
          <w:sz w:val="24"/>
          <w:szCs w:val="24"/>
        </w:rPr>
        <w:t>9</w:t>
      </w:r>
      <w:r>
        <w:rPr>
          <w:rFonts w:ascii="Times New Roman" w:hAnsi="Times New Roman" w:cs="Times New Roman"/>
          <w:color w:val="000000"/>
          <w:sz w:val="24"/>
          <w:szCs w:val="24"/>
        </w:rPr>
        <w:t xml:space="preserve"> @ 1.5 hours.</w:t>
      </w:r>
    </w:p>
    <w:p w14:paraId="037C2F0C"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IMO number application:</w:t>
      </w:r>
    </w:p>
    <w:p w14:paraId="4E259322" w14:textId="77777777" w:rsidR="00C11D15" w:rsidRDefault="005E2F01"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00C11D15">
        <w:rPr>
          <w:rFonts w:ascii="Times New Roman" w:hAnsi="Times New Roman" w:cs="Times New Roman"/>
          <w:color w:val="000000"/>
          <w:sz w:val="24"/>
          <w:szCs w:val="24"/>
        </w:rPr>
        <w:t xml:space="preserve"> vessels x 1 response per vessel x 30 minutes per response = </w:t>
      </w:r>
      <w:r>
        <w:rPr>
          <w:rFonts w:ascii="Times New Roman" w:hAnsi="Times New Roman" w:cs="Times New Roman"/>
          <w:color w:val="000000"/>
          <w:sz w:val="24"/>
          <w:szCs w:val="24"/>
        </w:rPr>
        <w:t>1</w:t>
      </w:r>
      <w:r w:rsidR="00C11D15">
        <w:rPr>
          <w:rFonts w:ascii="Times New Roman" w:hAnsi="Times New Roman" w:cs="Times New Roman"/>
          <w:color w:val="000000"/>
          <w:sz w:val="24"/>
          <w:szCs w:val="24"/>
        </w:rPr>
        <w:t xml:space="preserve"> hr/yr</w:t>
      </w:r>
    </w:p>
    <w:p w14:paraId="128A6CE6"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estimated burden per year = </w:t>
      </w:r>
      <w:r w:rsidR="005E2F01">
        <w:rPr>
          <w:rFonts w:ascii="Times New Roman" w:hAnsi="Times New Roman" w:cs="Times New Roman"/>
          <w:color w:val="000000"/>
          <w:sz w:val="24"/>
          <w:szCs w:val="24"/>
        </w:rPr>
        <w:t>1</w:t>
      </w:r>
      <w:r>
        <w:rPr>
          <w:rFonts w:ascii="Times New Roman" w:hAnsi="Times New Roman" w:cs="Times New Roman"/>
          <w:color w:val="000000"/>
          <w:sz w:val="24"/>
          <w:szCs w:val="24"/>
        </w:rPr>
        <w:t xml:space="preserve"> hour</w:t>
      </w:r>
    </w:p>
    <w:p w14:paraId="63807C75" w14:textId="77777777" w:rsidR="00C11D15" w:rsidRP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estimated responses per year = </w:t>
      </w:r>
      <w:r w:rsidR="005E2F01">
        <w:rPr>
          <w:rFonts w:ascii="Times New Roman" w:hAnsi="Times New Roman" w:cs="Times New Roman"/>
          <w:color w:val="000000"/>
          <w:sz w:val="24"/>
          <w:szCs w:val="24"/>
        </w:rPr>
        <w:t xml:space="preserve">2 </w:t>
      </w:r>
      <w:r>
        <w:rPr>
          <w:rFonts w:ascii="Times New Roman" w:hAnsi="Times New Roman" w:cs="Times New Roman"/>
          <w:color w:val="000000"/>
          <w:sz w:val="24"/>
          <w:szCs w:val="24"/>
        </w:rPr>
        <w:t>@ 30 minutes.</w:t>
      </w:r>
    </w:p>
    <w:p w14:paraId="53338A97"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Totals:</w:t>
      </w:r>
    </w:p>
    <w:p w14:paraId="7B58A6E2"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estimated burden per year = </w:t>
      </w:r>
      <w:r w:rsidR="005E2F01">
        <w:rPr>
          <w:rFonts w:ascii="Times New Roman" w:hAnsi="Times New Roman" w:cs="Times New Roman"/>
          <w:color w:val="000000"/>
          <w:sz w:val="24"/>
          <w:szCs w:val="24"/>
        </w:rPr>
        <w:t>58</w:t>
      </w:r>
      <w:r>
        <w:rPr>
          <w:rFonts w:ascii="Times New Roman" w:hAnsi="Times New Roman" w:cs="Times New Roman"/>
          <w:color w:val="000000"/>
          <w:sz w:val="24"/>
          <w:szCs w:val="24"/>
        </w:rPr>
        <w:t xml:space="preserve"> hours (</w:t>
      </w:r>
      <w:r w:rsidR="005E2F01">
        <w:rPr>
          <w:rFonts w:ascii="Times New Roman" w:hAnsi="Times New Roman" w:cs="Times New Roman"/>
          <w:color w:val="000000"/>
          <w:sz w:val="24"/>
          <w:szCs w:val="24"/>
        </w:rPr>
        <w:t>44</w:t>
      </w:r>
      <w:r>
        <w:rPr>
          <w:rFonts w:ascii="Times New Roman" w:hAnsi="Times New Roman" w:cs="Times New Roman"/>
          <w:color w:val="000000"/>
          <w:sz w:val="24"/>
          <w:szCs w:val="24"/>
        </w:rPr>
        <w:t xml:space="preserve"> + 1</w:t>
      </w:r>
      <w:r w:rsidR="005E2F01">
        <w:rPr>
          <w:rFonts w:ascii="Times New Roman" w:hAnsi="Times New Roman" w:cs="Times New Roman"/>
          <w:color w:val="000000"/>
          <w:sz w:val="24"/>
          <w:szCs w:val="24"/>
        </w:rPr>
        <w:t>3</w:t>
      </w:r>
      <w:r>
        <w:rPr>
          <w:rFonts w:ascii="Times New Roman" w:hAnsi="Times New Roman" w:cs="Times New Roman"/>
          <w:color w:val="000000"/>
          <w:sz w:val="24"/>
          <w:szCs w:val="24"/>
        </w:rPr>
        <w:t xml:space="preserve"> + </w:t>
      </w:r>
      <w:r w:rsidR="005E2F01">
        <w:rPr>
          <w:rFonts w:ascii="Times New Roman" w:hAnsi="Times New Roman" w:cs="Times New Roman"/>
          <w:color w:val="000000"/>
          <w:sz w:val="24"/>
          <w:szCs w:val="24"/>
        </w:rPr>
        <w:t>1</w:t>
      </w:r>
      <w:r>
        <w:rPr>
          <w:rFonts w:ascii="Times New Roman" w:hAnsi="Times New Roman" w:cs="Times New Roman"/>
          <w:color w:val="000000"/>
          <w:sz w:val="24"/>
          <w:szCs w:val="24"/>
        </w:rPr>
        <w:t>)</w:t>
      </w:r>
    </w:p>
    <w:p w14:paraId="130718C0"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estimated responses per year = </w:t>
      </w:r>
      <w:r w:rsidR="005E2F01">
        <w:rPr>
          <w:rFonts w:ascii="Times New Roman" w:hAnsi="Times New Roman" w:cs="Times New Roman"/>
          <w:color w:val="000000"/>
          <w:sz w:val="24"/>
          <w:szCs w:val="24"/>
        </w:rPr>
        <w:t>55</w:t>
      </w:r>
      <w:r>
        <w:rPr>
          <w:rFonts w:ascii="Times New Roman" w:hAnsi="Times New Roman" w:cs="Times New Roman"/>
          <w:color w:val="000000"/>
          <w:sz w:val="24"/>
          <w:szCs w:val="24"/>
        </w:rPr>
        <w:t xml:space="preserve"> (</w:t>
      </w:r>
      <w:r w:rsidR="005E2F01">
        <w:rPr>
          <w:rFonts w:ascii="Times New Roman" w:hAnsi="Times New Roman" w:cs="Times New Roman"/>
          <w:color w:val="000000"/>
          <w:sz w:val="24"/>
          <w:szCs w:val="24"/>
        </w:rPr>
        <w:t>44</w:t>
      </w:r>
      <w:r>
        <w:rPr>
          <w:rFonts w:ascii="Times New Roman" w:hAnsi="Times New Roman" w:cs="Times New Roman"/>
          <w:color w:val="000000"/>
          <w:sz w:val="24"/>
          <w:szCs w:val="24"/>
        </w:rPr>
        <w:t xml:space="preserve"> + </w:t>
      </w:r>
      <w:r w:rsidR="005E2F01">
        <w:rPr>
          <w:rFonts w:ascii="Times New Roman" w:hAnsi="Times New Roman" w:cs="Times New Roman"/>
          <w:color w:val="000000"/>
          <w:sz w:val="24"/>
          <w:szCs w:val="24"/>
        </w:rPr>
        <w:t>9</w:t>
      </w:r>
      <w:r>
        <w:rPr>
          <w:rFonts w:ascii="Times New Roman" w:hAnsi="Times New Roman" w:cs="Times New Roman"/>
          <w:color w:val="000000"/>
          <w:sz w:val="24"/>
          <w:szCs w:val="24"/>
        </w:rPr>
        <w:t xml:space="preserve"> + </w:t>
      </w:r>
      <w:r w:rsidR="005E2F01">
        <w:rPr>
          <w:rFonts w:ascii="Times New Roman" w:hAnsi="Times New Roman" w:cs="Times New Roman"/>
          <w:color w:val="000000"/>
          <w:sz w:val="24"/>
          <w:szCs w:val="24"/>
        </w:rPr>
        <w:t>2</w:t>
      </w:r>
      <w:r>
        <w:rPr>
          <w:rFonts w:ascii="Times New Roman" w:hAnsi="Times New Roman" w:cs="Times New Roman"/>
          <w:color w:val="000000"/>
          <w:sz w:val="24"/>
          <w:szCs w:val="24"/>
        </w:rPr>
        <w:t>)</w:t>
      </w:r>
    </w:p>
    <w:p w14:paraId="124D3FEA"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13. Provide an estimate of the total annual cost burden to the respondents or recordkeepers resulting from the collection (excluding the value of the burden hours in Question 12 above).</w:t>
      </w:r>
    </w:p>
    <w:p w14:paraId="3899B665"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WCPFC Area Endorsement </w:t>
      </w:r>
      <w:r>
        <w:rPr>
          <w:rFonts w:ascii="Times New Roman" w:hAnsi="Times New Roman" w:cs="Times New Roman"/>
          <w:color w:val="000000"/>
          <w:sz w:val="24"/>
          <w:szCs w:val="24"/>
        </w:rPr>
        <w:t>application:</w:t>
      </w:r>
    </w:p>
    <w:p w14:paraId="7BF717FB" w14:textId="4E83BF95"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Mailing costs: </w:t>
      </w:r>
      <w:r w:rsidR="005E2F01">
        <w:rPr>
          <w:rFonts w:ascii="Times New Roman" w:hAnsi="Times New Roman" w:cs="Times New Roman"/>
          <w:color w:val="000000"/>
          <w:sz w:val="24"/>
          <w:szCs w:val="24"/>
        </w:rPr>
        <w:t xml:space="preserve">44 vessels </w:t>
      </w:r>
      <w:r w:rsidR="00304052">
        <w:rPr>
          <w:rFonts w:ascii="Times New Roman" w:hAnsi="Times New Roman" w:cs="Times New Roman"/>
          <w:color w:val="000000"/>
          <w:sz w:val="24"/>
          <w:szCs w:val="24"/>
        </w:rPr>
        <w:t xml:space="preserve">per yr. </w:t>
      </w:r>
      <w:r>
        <w:rPr>
          <w:rFonts w:ascii="Times New Roman" w:hAnsi="Times New Roman" w:cs="Times New Roman"/>
          <w:color w:val="000000"/>
          <w:sz w:val="24"/>
          <w:szCs w:val="24"/>
        </w:rPr>
        <w:t>x $1.00 per response = $</w:t>
      </w:r>
      <w:r w:rsidR="00A773F4">
        <w:rPr>
          <w:rFonts w:ascii="Times New Roman" w:hAnsi="Times New Roman" w:cs="Times New Roman"/>
          <w:color w:val="000000"/>
          <w:sz w:val="24"/>
          <w:szCs w:val="24"/>
        </w:rPr>
        <w:t>44</w:t>
      </w:r>
      <w:r w:rsidR="00F862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 yr.</w:t>
      </w:r>
    </w:p>
    <w:p w14:paraId="515FE979" w14:textId="2F5989C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Nonrefundable fee of $</w:t>
      </w:r>
      <w:r w:rsidR="005E2F01">
        <w:rPr>
          <w:rFonts w:ascii="Times New Roman" w:hAnsi="Times New Roman" w:cs="Times New Roman"/>
          <w:color w:val="000000"/>
          <w:sz w:val="24"/>
          <w:szCs w:val="24"/>
        </w:rPr>
        <w:t>54</w:t>
      </w:r>
      <w:r>
        <w:rPr>
          <w:rFonts w:ascii="Times New Roman" w:hAnsi="Times New Roman" w:cs="Times New Roman"/>
          <w:color w:val="000000"/>
          <w:sz w:val="24"/>
          <w:szCs w:val="24"/>
        </w:rPr>
        <w:t xml:space="preserve">: </w:t>
      </w:r>
      <w:r w:rsidR="005E2F01">
        <w:rPr>
          <w:rFonts w:ascii="Times New Roman" w:hAnsi="Times New Roman" w:cs="Times New Roman"/>
          <w:color w:val="000000"/>
          <w:sz w:val="24"/>
          <w:szCs w:val="24"/>
        </w:rPr>
        <w:t>44 vessels</w:t>
      </w:r>
      <w:r w:rsidR="00304052">
        <w:rPr>
          <w:rFonts w:ascii="Times New Roman" w:hAnsi="Times New Roman" w:cs="Times New Roman"/>
          <w:color w:val="000000"/>
          <w:sz w:val="24"/>
          <w:szCs w:val="24"/>
        </w:rPr>
        <w:t xml:space="preserve"> per yr.</w:t>
      </w:r>
      <w:r w:rsidR="005E2F01">
        <w:rPr>
          <w:rFonts w:ascii="Times New Roman" w:hAnsi="Times New Roman" w:cs="Times New Roman"/>
          <w:color w:val="000000"/>
          <w:sz w:val="24"/>
          <w:szCs w:val="24"/>
        </w:rPr>
        <w:t xml:space="preserve"> x $54 = </w:t>
      </w:r>
      <w:r>
        <w:rPr>
          <w:rFonts w:ascii="Times New Roman" w:hAnsi="Times New Roman" w:cs="Times New Roman"/>
          <w:color w:val="000000"/>
          <w:sz w:val="24"/>
          <w:szCs w:val="24"/>
        </w:rPr>
        <w:t>$</w:t>
      </w:r>
      <w:r w:rsidR="005E2F01">
        <w:rPr>
          <w:rFonts w:ascii="Times New Roman" w:hAnsi="Times New Roman" w:cs="Times New Roman"/>
          <w:color w:val="000000"/>
          <w:sz w:val="24"/>
          <w:szCs w:val="24"/>
        </w:rPr>
        <w:t>2</w:t>
      </w:r>
      <w:r>
        <w:rPr>
          <w:rFonts w:ascii="Times New Roman" w:hAnsi="Times New Roman" w:cs="Times New Roman"/>
          <w:color w:val="000000"/>
          <w:sz w:val="24"/>
          <w:szCs w:val="24"/>
        </w:rPr>
        <w:t>,</w:t>
      </w:r>
      <w:r w:rsidR="005E2F01">
        <w:rPr>
          <w:rFonts w:ascii="Times New Roman" w:hAnsi="Times New Roman" w:cs="Times New Roman"/>
          <w:color w:val="000000"/>
          <w:sz w:val="24"/>
          <w:szCs w:val="24"/>
        </w:rPr>
        <w:t>376 per yr</w:t>
      </w:r>
      <w:r>
        <w:rPr>
          <w:rFonts w:ascii="Times New Roman" w:hAnsi="Times New Roman" w:cs="Times New Roman"/>
          <w:color w:val="000000"/>
          <w:sz w:val="24"/>
          <w:szCs w:val="24"/>
        </w:rPr>
        <w:t>.</w:t>
      </w:r>
    </w:p>
    <w:p w14:paraId="678CB95F"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Foreign EEZ form</w:t>
      </w:r>
      <w:r>
        <w:rPr>
          <w:rFonts w:ascii="Times New Roman" w:hAnsi="Times New Roman" w:cs="Times New Roman"/>
          <w:color w:val="000000"/>
          <w:sz w:val="24"/>
          <w:szCs w:val="24"/>
        </w:rPr>
        <w:t>:</w:t>
      </w:r>
    </w:p>
    <w:p w14:paraId="1CB0595D"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Mailing costs:</w:t>
      </w:r>
    </w:p>
    <w:p w14:paraId="3461152F" w14:textId="1907582F" w:rsidR="00C11D15" w:rsidRDefault="005E2F01"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43</w:t>
      </w:r>
      <w:r w:rsidR="00C11D15">
        <w:rPr>
          <w:rFonts w:ascii="Times New Roman" w:hAnsi="Times New Roman" w:cs="Times New Roman"/>
          <w:color w:val="000000"/>
          <w:sz w:val="24"/>
          <w:szCs w:val="24"/>
        </w:rPr>
        <w:t xml:space="preserve"> vessels </w:t>
      </w:r>
      <w:r w:rsidR="00304052">
        <w:rPr>
          <w:rFonts w:ascii="Times New Roman" w:hAnsi="Times New Roman" w:cs="Times New Roman"/>
          <w:color w:val="000000"/>
          <w:sz w:val="24"/>
          <w:szCs w:val="24"/>
        </w:rPr>
        <w:t xml:space="preserve">per yr. </w:t>
      </w:r>
      <w:r w:rsidR="00C11D15">
        <w:rPr>
          <w:rFonts w:ascii="Times New Roman" w:hAnsi="Times New Roman" w:cs="Times New Roman"/>
          <w:color w:val="000000"/>
          <w:sz w:val="24"/>
          <w:szCs w:val="24"/>
        </w:rPr>
        <w:t>x 1 response per vessel x $1.00 per response</w:t>
      </w:r>
      <w:r w:rsidR="00F86271">
        <w:rPr>
          <w:rFonts w:ascii="Times New Roman" w:hAnsi="Times New Roman" w:cs="Times New Roman"/>
          <w:color w:val="000000"/>
          <w:sz w:val="24"/>
          <w:szCs w:val="24"/>
        </w:rPr>
        <w:t xml:space="preserve"> </w:t>
      </w:r>
      <w:r w:rsidR="00C11D15">
        <w:rPr>
          <w:rFonts w:ascii="Times New Roman" w:hAnsi="Times New Roman" w:cs="Times New Roman"/>
          <w:color w:val="000000"/>
          <w:sz w:val="24"/>
          <w:szCs w:val="24"/>
        </w:rPr>
        <w:t>= $</w:t>
      </w:r>
      <w:r>
        <w:rPr>
          <w:rFonts w:ascii="Times New Roman" w:hAnsi="Times New Roman" w:cs="Times New Roman"/>
          <w:color w:val="000000"/>
          <w:sz w:val="24"/>
          <w:szCs w:val="24"/>
        </w:rPr>
        <w:t>43</w:t>
      </w:r>
      <w:r w:rsidR="00C11D15">
        <w:rPr>
          <w:rFonts w:ascii="Times New Roman" w:hAnsi="Times New Roman" w:cs="Times New Roman"/>
          <w:color w:val="000000"/>
          <w:sz w:val="24"/>
          <w:szCs w:val="24"/>
        </w:rPr>
        <w:t xml:space="preserve"> per yr</w:t>
      </w:r>
      <w:r w:rsidR="00F86271">
        <w:rPr>
          <w:rFonts w:ascii="Times New Roman" w:hAnsi="Times New Roman" w:cs="Times New Roman"/>
          <w:color w:val="000000"/>
          <w:sz w:val="24"/>
          <w:szCs w:val="24"/>
        </w:rPr>
        <w:t>/5 =$9</w:t>
      </w:r>
      <w:r w:rsidR="00C11D15">
        <w:rPr>
          <w:rFonts w:ascii="Times New Roman" w:hAnsi="Times New Roman" w:cs="Times New Roman"/>
          <w:color w:val="000000"/>
          <w:sz w:val="24"/>
          <w:szCs w:val="24"/>
        </w:rPr>
        <w:t>.</w:t>
      </w:r>
    </w:p>
    <w:p w14:paraId="0B768218" w14:textId="77777777" w:rsidR="00C11D15" w:rsidRDefault="00C11D15" w:rsidP="00C11D15">
      <w:pPr>
        <w:autoSpaceDE w:val="0"/>
        <w:autoSpaceDN w:val="0"/>
        <w:adjustRightInd w:val="0"/>
        <w:spacing w:after="240" w:line="24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IMO Number</w:t>
      </w:r>
      <w:r>
        <w:rPr>
          <w:rFonts w:ascii="Times New Roman" w:hAnsi="Times New Roman" w:cs="Times New Roman"/>
          <w:i/>
          <w:iCs/>
          <w:color w:val="000000"/>
          <w:sz w:val="24"/>
          <w:szCs w:val="24"/>
        </w:rPr>
        <w:t>:</w:t>
      </w:r>
    </w:p>
    <w:p w14:paraId="5C699A46" w14:textId="77777777" w:rsidR="00C11D15" w:rsidRDefault="005E2F01"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Submission costs: 2</w:t>
      </w:r>
      <w:r w:rsidR="00C11D15">
        <w:rPr>
          <w:rFonts w:ascii="Times New Roman" w:hAnsi="Times New Roman" w:cs="Times New Roman"/>
          <w:color w:val="000000"/>
          <w:sz w:val="24"/>
          <w:szCs w:val="24"/>
        </w:rPr>
        <w:t xml:space="preserve"> vessels </w:t>
      </w:r>
      <w:r w:rsidR="00304052">
        <w:rPr>
          <w:rFonts w:ascii="Times New Roman" w:hAnsi="Times New Roman" w:cs="Times New Roman"/>
          <w:color w:val="000000"/>
          <w:sz w:val="24"/>
          <w:szCs w:val="24"/>
        </w:rPr>
        <w:t xml:space="preserve">per yr. </w:t>
      </w:r>
      <w:r w:rsidR="00C11D15">
        <w:rPr>
          <w:rFonts w:ascii="Times New Roman" w:hAnsi="Times New Roman" w:cs="Times New Roman"/>
          <w:color w:val="000000"/>
          <w:sz w:val="24"/>
          <w:szCs w:val="24"/>
        </w:rPr>
        <w:t>x $1.00 per response = $</w:t>
      </w:r>
      <w:r>
        <w:rPr>
          <w:rFonts w:ascii="Times New Roman" w:hAnsi="Times New Roman" w:cs="Times New Roman"/>
          <w:color w:val="000000"/>
          <w:sz w:val="24"/>
          <w:szCs w:val="24"/>
        </w:rPr>
        <w:t>2</w:t>
      </w:r>
      <w:r w:rsidR="00C11D15">
        <w:rPr>
          <w:rFonts w:ascii="Times New Roman" w:hAnsi="Times New Roman" w:cs="Times New Roman"/>
          <w:color w:val="000000"/>
          <w:sz w:val="24"/>
          <w:szCs w:val="24"/>
        </w:rPr>
        <w:t xml:space="preserve"> per yr.</w:t>
      </w:r>
    </w:p>
    <w:p w14:paraId="5A505B2D" w14:textId="47BDE95A"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Total costs: </w:t>
      </w:r>
      <w:r>
        <w:rPr>
          <w:rFonts w:ascii="Times New Roman" w:hAnsi="Times New Roman" w:cs="Times New Roman"/>
          <w:color w:val="000000"/>
          <w:sz w:val="24"/>
          <w:szCs w:val="24"/>
        </w:rPr>
        <w:t>$</w:t>
      </w:r>
      <w:r w:rsidR="00A773F4">
        <w:rPr>
          <w:rFonts w:ascii="Times New Roman" w:hAnsi="Times New Roman" w:cs="Times New Roman"/>
          <w:color w:val="000000"/>
          <w:sz w:val="24"/>
          <w:szCs w:val="24"/>
        </w:rPr>
        <w:t>44</w:t>
      </w:r>
      <w:r w:rsidR="00F862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A773F4">
        <w:rPr>
          <w:rFonts w:ascii="Times New Roman" w:hAnsi="Times New Roman" w:cs="Times New Roman"/>
          <w:color w:val="000000"/>
          <w:sz w:val="24"/>
          <w:szCs w:val="24"/>
        </w:rPr>
        <w:t>2,376</w:t>
      </w:r>
      <w:r>
        <w:rPr>
          <w:rFonts w:ascii="Times New Roman" w:hAnsi="Times New Roman" w:cs="Times New Roman"/>
          <w:color w:val="000000"/>
          <w:sz w:val="24"/>
          <w:szCs w:val="24"/>
        </w:rPr>
        <w:t xml:space="preserve"> + </w:t>
      </w:r>
      <w:r w:rsidR="00F86271">
        <w:rPr>
          <w:rFonts w:ascii="Times New Roman" w:hAnsi="Times New Roman" w:cs="Times New Roman"/>
          <w:color w:val="000000"/>
          <w:sz w:val="24"/>
          <w:szCs w:val="24"/>
        </w:rPr>
        <w:t>$9</w:t>
      </w:r>
      <w:r>
        <w:rPr>
          <w:rFonts w:ascii="Times New Roman" w:hAnsi="Times New Roman" w:cs="Times New Roman"/>
          <w:color w:val="000000"/>
          <w:sz w:val="24"/>
          <w:szCs w:val="24"/>
        </w:rPr>
        <w:t xml:space="preserve"> + $</w:t>
      </w:r>
      <w:r w:rsidR="005E2F01">
        <w:rPr>
          <w:rFonts w:ascii="Times New Roman" w:hAnsi="Times New Roman" w:cs="Times New Roman"/>
          <w:color w:val="000000"/>
          <w:sz w:val="24"/>
          <w:szCs w:val="24"/>
        </w:rPr>
        <w:t>2</w:t>
      </w:r>
      <w:r>
        <w:rPr>
          <w:rFonts w:ascii="Times New Roman" w:hAnsi="Times New Roman" w:cs="Times New Roman"/>
          <w:color w:val="000000"/>
          <w:sz w:val="24"/>
          <w:szCs w:val="24"/>
        </w:rPr>
        <w:t xml:space="preserve"> = </w:t>
      </w:r>
      <w:r w:rsidR="008F6492" w:rsidRPr="00F5078C">
        <w:rPr>
          <w:rFonts w:ascii="Times New Roman" w:hAnsi="Times New Roman" w:cs="Times New Roman"/>
          <w:b/>
          <w:color w:val="000000"/>
          <w:sz w:val="24"/>
          <w:szCs w:val="24"/>
        </w:rPr>
        <w:t>$</w:t>
      </w:r>
      <w:r w:rsidR="00A773F4">
        <w:rPr>
          <w:rFonts w:ascii="Times New Roman" w:hAnsi="Times New Roman" w:cs="Times New Roman"/>
          <w:b/>
          <w:color w:val="000000"/>
          <w:sz w:val="24"/>
          <w:szCs w:val="24"/>
        </w:rPr>
        <w:t>2,431</w:t>
      </w:r>
      <w:r w:rsidRPr="00F5078C">
        <w:rPr>
          <w:rFonts w:ascii="Times New Roman" w:hAnsi="Times New Roman" w:cs="Times New Roman"/>
          <w:b/>
          <w:color w:val="000000"/>
          <w:sz w:val="24"/>
          <w:szCs w:val="24"/>
        </w:rPr>
        <w:t xml:space="preserve"> per yr</w:t>
      </w:r>
      <w:r>
        <w:rPr>
          <w:rFonts w:ascii="Times New Roman" w:hAnsi="Times New Roman" w:cs="Times New Roman"/>
          <w:color w:val="000000"/>
          <w:sz w:val="24"/>
          <w:szCs w:val="24"/>
        </w:rPr>
        <w:t>.</w:t>
      </w:r>
    </w:p>
    <w:p w14:paraId="57C6AED4"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14. Provide estimates of annualized cost to the Federal government.</w:t>
      </w:r>
    </w:p>
    <w:p w14:paraId="7C2DE0EA"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Issue notices of receipt of information to all respondents (WCPFC Area Endorsements for</w:t>
      </w:r>
      <w:r w:rsidR="006D34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vessels in the first category and acknowledgements of receipt for vessels in the second category):</w:t>
      </w:r>
    </w:p>
    <w:p w14:paraId="071A726A"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Labor: 0.017 hr (1 minute)/form x $</w:t>
      </w:r>
      <w:r w:rsidR="006D34C3">
        <w:rPr>
          <w:rFonts w:ascii="Times New Roman" w:hAnsi="Times New Roman" w:cs="Times New Roman"/>
          <w:color w:val="000000"/>
          <w:sz w:val="24"/>
          <w:szCs w:val="24"/>
        </w:rPr>
        <w:t>41</w:t>
      </w:r>
      <w:r>
        <w:rPr>
          <w:rFonts w:ascii="Times New Roman" w:hAnsi="Times New Roman" w:cs="Times New Roman"/>
          <w:color w:val="000000"/>
          <w:sz w:val="24"/>
          <w:szCs w:val="24"/>
        </w:rPr>
        <w:t>.</w:t>
      </w:r>
      <w:r w:rsidR="006D34C3">
        <w:rPr>
          <w:rFonts w:ascii="Times New Roman" w:hAnsi="Times New Roman" w:cs="Times New Roman"/>
          <w:color w:val="000000"/>
          <w:sz w:val="24"/>
          <w:szCs w:val="24"/>
        </w:rPr>
        <w:t>59</w:t>
      </w:r>
      <w:r>
        <w:rPr>
          <w:rFonts w:ascii="Times New Roman" w:hAnsi="Times New Roman" w:cs="Times New Roman"/>
          <w:color w:val="000000"/>
          <w:sz w:val="24"/>
          <w:szCs w:val="24"/>
        </w:rPr>
        <w:t>/hr (Z</w:t>
      </w:r>
      <w:r w:rsidR="006D34C3">
        <w:rPr>
          <w:rFonts w:ascii="Times New Roman" w:hAnsi="Times New Roman" w:cs="Times New Roman"/>
          <w:color w:val="000000"/>
          <w:sz w:val="24"/>
          <w:szCs w:val="24"/>
        </w:rPr>
        <w:t>A</w:t>
      </w:r>
      <w:r>
        <w:rPr>
          <w:rFonts w:ascii="Times New Roman" w:hAnsi="Times New Roman" w:cs="Times New Roman"/>
          <w:color w:val="000000"/>
          <w:sz w:val="24"/>
          <w:szCs w:val="24"/>
        </w:rPr>
        <w:t xml:space="preserve">03) x </w:t>
      </w:r>
      <w:r w:rsidR="006D34C3">
        <w:rPr>
          <w:rFonts w:ascii="Times New Roman" w:hAnsi="Times New Roman" w:cs="Times New Roman"/>
          <w:color w:val="000000"/>
          <w:sz w:val="24"/>
          <w:szCs w:val="24"/>
        </w:rPr>
        <w:t>265</w:t>
      </w:r>
      <w:r>
        <w:rPr>
          <w:rFonts w:ascii="Times New Roman" w:hAnsi="Times New Roman" w:cs="Times New Roman"/>
          <w:color w:val="000000"/>
          <w:sz w:val="24"/>
          <w:szCs w:val="24"/>
        </w:rPr>
        <w:t xml:space="preserve"> forms/5 yr = $ </w:t>
      </w:r>
      <w:r w:rsidR="006D34C3">
        <w:rPr>
          <w:rFonts w:ascii="Times New Roman" w:hAnsi="Times New Roman" w:cs="Times New Roman"/>
          <w:color w:val="000000"/>
          <w:sz w:val="24"/>
          <w:szCs w:val="24"/>
        </w:rPr>
        <w:t>37</w:t>
      </w:r>
      <w:r>
        <w:rPr>
          <w:rFonts w:ascii="Times New Roman" w:hAnsi="Times New Roman" w:cs="Times New Roman"/>
          <w:color w:val="000000"/>
          <w:sz w:val="24"/>
          <w:szCs w:val="24"/>
        </w:rPr>
        <w:t>/yr</w:t>
      </w:r>
    </w:p>
    <w:p w14:paraId="1CA3F44C"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Review collected information for completeness and enter information into database:</w:t>
      </w:r>
    </w:p>
    <w:p w14:paraId="58DFCC64"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Labor: 0.033 hr (2 minutes)/form x $</w:t>
      </w:r>
      <w:r w:rsidR="006D34C3">
        <w:rPr>
          <w:rFonts w:ascii="Times New Roman" w:hAnsi="Times New Roman" w:cs="Times New Roman"/>
          <w:color w:val="000000"/>
          <w:sz w:val="24"/>
          <w:szCs w:val="24"/>
        </w:rPr>
        <w:t>41</w:t>
      </w:r>
      <w:r>
        <w:rPr>
          <w:rFonts w:ascii="Times New Roman" w:hAnsi="Times New Roman" w:cs="Times New Roman"/>
          <w:color w:val="000000"/>
          <w:sz w:val="24"/>
          <w:szCs w:val="24"/>
        </w:rPr>
        <w:t>.</w:t>
      </w:r>
      <w:r w:rsidR="006D34C3">
        <w:rPr>
          <w:rFonts w:ascii="Times New Roman" w:hAnsi="Times New Roman" w:cs="Times New Roman"/>
          <w:color w:val="000000"/>
          <w:sz w:val="24"/>
          <w:szCs w:val="24"/>
        </w:rPr>
        <w:t>59</w:t>
      </w:r>
      <w:r>
        <w:rPr>
          <w:rFonts w:ascii="Times New Roman" w:hAnsi="Times New Roman" w:cs="Times New Roman"/>
          <w:color w:val="000000"/>
          <w:sz w:val="24"/>
          <w:szCs w:val="24"/>
        </w:rPr>
        <w:t>/hr (Z</w:t>
      </w:r>
      <w:r w:rsidR="006D34C3">
        <w:rPr>
          <w:rFonts w:ascii="Times New Roman" w:hAnsi="Times New Roman" w:cs="Times New Roman"/>
          <w:color w:val="000000"/>
          <w:sz w:val="24"/>
          <w:szCs w:val="24"/>
        </w:rPr>
        <w:t>A</w:t>
      </w:r>
      <w:r>
        <w:rPr>
          <w:rFonts w:ascii="Times New Roman" w:hAnsi="Times New Roman" w:cs="Times New Roman"/>
          <w:color w:val="000000"/>
          <w:sz w:val="24"/>
          <w:szCs w:val="24"/>
        </w:rPr>
        <w:t xml:space="preserve">03) x </w:t>
      </w:r>
      <w:r w:rsidR="006D34C3">
        <w:rPr>
          <w:rFonts w:ascii="Times New Roman" w:hAnsi="Times New Roman" w:cs="Times New Roman"/>
          <w:color w:val="000000"/>
          <w:sz w:val="24"/>
          <w:szCs w:val="24"/>
        </w:rPr>
        <w:t>265</w:t>
      </w:r>
      <w:r>
        <w:rPr>
          <w:rFonts w:ascii="Times New Roman" w:hAnsi="Times New Roman" w:cs="Times New Roman"/>
          <w:color w:val="000000"/>
          <w:sz w:val="24"/>
          <w:szCs w:val="24"/>
        </w:rPr>
        <w:t xml:space="preserve"> forms/5 yr = $ </w:t>
      </w:r>
      <w:r w:rsidR="006D34C3">
        <w:rPr>
          <w:rFonts w:ascii="Times New Roman" w:hAnsi="Times New Roman" w:cs="Times New Roman"/>
          <w:color w:val="000000"/>
          <w:sz w:val="24"/>
          <w:szCs w:val="24"/>
        </w:rPr>
        <w:t>73</w:t>
      </w:r>
      <w:r>
        <w:rPr>
          <w:rFonts w:ascii="Times New Roman" w:hAnsi="Times New Roman" w:cs="Times New Roman"/>
          <w:color w:val="000000"/>
          <w:sz w:val="24"/>
          <w:szCs w:val="24"/>
        </w:rPr>
        <w:t>/yr</w:t>
      </w:r>
    </w:p>
    <w:p w14:paraId="1CB10ECB"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Phone calls to obtain information that was missing (10% of respondents):</w:t>
      </w:r>
    </w:p>
    <w:p w14:paraId="4F913BE4"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Labor: 0.083 hr (5 minutes)/form x $</w:t>
      </w:r>
      <w:r w:rsidR="006D34C3">
        <w:rPr>
          <w:rFonts w:ascii="Times New Roman" w:hAnsi="Times New Roman" w:cs="Times New Roman"/>
          <w:color w:val="000000"/>
          <w:sz w:val="24"/>
          <w:szCs w:val="24"/>
        </w:rPr>
        <w:t>41</w:t>
      </w:r>
      <w:r>
        <w:rPr>
          <w:rFonts w:ascii="Times New Roman" w:hAnsi="Times New Roman" w:cs="Times New Roman"/>
          <w:color w:val="000000"/>
          <w:sz w:val="24"/>
          <w:szCs w:val="24"/>
        </w:rPr>
        <w:t>.</w:t>
      </w:r>
      <w:r w:rsidR="006D34C3">
        <w:rPr>
          <w:rFonts w:ascii="Times New Roman" w:hAnsi="Times New Roman" w:cs="Times New Roman"/>
          <w:color w:val="000000"/>
          <w:sz w:val="24"/>
          <w:szCs w:val="24"/>
        </w:rPr>
        <w:t>59/hr (ZA</w:t>
      </w:r>
      <w:r>
        <w:rPr>
          <w:rFonts w:ascii="Times New Roman" w:hAnsi="Times New Roman" w:cs="Times New Roman"/>
          <w:color w:val="000000"/>
          <w:sz w:val="24"/>
          <w:szCs w:val="24"/>
        </w:rPr>
        <w:t xml:space="preserve">03) x </w:t>
      </w:r>
      <w:r w:rsidR="006D34C3">
        <w:rPr>
          <w:rFonts w:ascii="Times New Roman" w:hAnsi="Times New Roman" w:cs="Times New Roman"/>
          <w:color w:val="000000"/>
          <w:sz w:val="24"/>
          <w:szCs w:val="24"/>
        </w:rPr>
        <w:t>27</w:t>
      </w:r>
      <w:r>
        <w:rPr>
          <w:rFonts w:ascii="Times New Roman" w:hAnsi="Times New Roman" w:cs="Times New Roman"/>
          <w:color w:val="000000"/>
          <w:sz w:val="24"/>
          <w:szCs w:val="24"/>
        </w:rPr>
        <w:t xml:space="preserve"> forms/5 yr = $ </w:t>
      </w:r>
      <w:r w:rsidR="006D34C3">
        <w:rPr>
          <w:rFonts w:ascii="Times New Roman" w:hAnsi="Times New Roman" w:cs="Times New Roman"/>
          <w:color w:val="000000"/>
          <w:sz w:val="24"/>
          <w:szCs w:val="24"/>
        </w:rPr>
        <w:t>19</w:t>
      </w:r>
      <w:r>
        <w:rPr>
          <w:rFonts w:ascii="Times New Roman" w:hAnsi="Times New Roman" w:cs="Times New Roman"/>
          <w:color w:val="000000"/>
          <w:sz w:val="24"/>
          <w:szCs w:val="24"/>
        </w:rPr>
        <w:t>/yr</w:t>
      </w:r>
    </w:p>
    <w:p w14:paraId="11B371DF"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Mailing and handling of applications:</w:t>
      </w:r>
    </w:p>
    <w:p w14:paraId="2C243BE6"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Labor: 0.017 hr (1 minute)/form x $</w:t>
      </w:r>
      <w:r w:rsidR="006D34C3">
        <w:rPr>
          <w:rFonts w:ascii="Times New Roman" w:hAnsi="Times New Roman" w:cs="Times New Roman"/>
          <w:color w:val="000000"/>
          <w:sz w:val="24"/>
          <w:szCs w:val="24"/>
        </w:rPr>
        <w:t>41</w:t>
      </w:r>
      <w:r>
        <w:rPr>
          <w:rFonts w:ascii="Times New Roman" w:hAnsi="Times New Roman" w:cs="Times New Roman"/>
          <w:color w:val="000000"/>
          <w:sz w:val="24"/>
          <w:szCs w:val="24"/>
        </w:rPr>
        <w:t>.</w:t>
      </w:r>
      <w:r w:rsidR="006D34C3">
        <w:rPr>
          <w:rFonts w:ascii="Times New Roman" w:hAnsi="Times New Roman" w:cs="Times New Roman"/>
          <w:color w:val="000000"/>
          <w:sz w:val="24"/>
          <w:szCs w:val="24"/>
        </w:rPr>
        <w:t>59</w:t>
      </w:r>
      <w:r>
        <w:rPr>
          <w:rFonts w:ascii="Times New Roman" w:hAnsi="Times New Roman" w:cs="Times New Roman"/>
          <w:color w:val="000000"/>
          <w:sz w:val="24"/>
          <w:szCs w:val="24"/>
        </w:rPr>
        <w:t>/hr (Z</w:t>
      </w:r>
      <w:r w:rsidR="006D34C3">
        <w:rPr>
          <w:rFonts w:ascii="Times New Roman" w:hAnsi="Times New Roman" w:cs="Times New Roman"/>
          <w:color w:val="000000"/>
          <w:sz w:val="24"/>
          <w:szCs w:val="24"/>
        </w:rPr>
        <w:t>A</w:t>
      </w:r>
      <w:r>
        <w:rPr>
          <w:rFonts w:ascii="Times New Roman" w:hAnsi="Times New Roman" w:cs="Times New Roman"/>
          <w:color w:val="000000"/>
          <w:sz w:val="24"/>
          <w:szCs w:val="24"/>
        </w:rPr>
        <w:t xml:space="preserve">03) x </w:t>
      </w:r>
      <w:r w:rsidR="006D34C3">
        <w:rPr>
          <w:rFonts w:ascii="Times New Roman" w:hAnsi="Times New Roman" w:cs="Times New Roman"/>
          <w:color w:val="000000"/>
          <w:sz w:val="24"/>
          <w:szCs w:val="24"/>
        </w:rPr>
        <w:t>265</w:t>
      </w:r>
      <w:r>
        <w:rPr>
          <w:rFonts w:ascii="Times New Roman" w:hAnsi="Times New Roman" w:cs="Times New Roman"/>
          <w:color w:val="000000"/>
          <w:sz w:val="24"/>
          <w:szCs w:val="24"/>
        </w:rPr>
        <w:t xml:space="preserve"> forms/5 yr = $ </w:t>
      </w:r>
      <w:r w:rsidR="006D34C3">
        <w:rPr>
          <w:rFonts w:ascii="Times New Roman" w:hAnsi="Times New Roman" w:cs="Times New Roman"/>
          <w:color w:val="000000"/>
          <w:sz w:val="24"/>
          <w:szCs w:val="24"/>
        </w:rPr>
        <w:t>37</w:t>
      </w:r>
      <w:r>
        <w:rPr>
          <w:rFonts w:ascii="Times New Roman" w:hAnsi="Times New Roman" w:cs="Times New Roman"/>
          <w:color w:val="000000"/>
          <w:sz w:val="24"/>
          <w:szCs w:val="24"/>
        </w:rPr>
        <w:t>/yr</w:t>
      </w:r>
    </w:p>
    <w:p w14:paraId="051AAFC3"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Postage and supplies: $1.00/form x </w:t>
      </w:r>
      <w:r w:rsidR="006D34C3">
        <w:rPr>
          <w:rFonts w:ascii="Times New Roman" w:hAnsi="Times New Roman" w:cs="Times New Roman"/>
          <w:color w:val="000000"/>
          <w:sz w:val="24"/>
          <w:szCs w:val="24"/>
        </w:rPr>
        <w:t>265</w:t>
      </w:r>
      <w:r>
        <w:rPr>
          <w:rFonts w:ascii="Times New Roman" w:hAnsi="Times New Roman" w:cs="Times New Roman"/>
          <w:color w:val="000000"/>
          <w:sz w:val="24"/>
          <w:szCs w:val="24"/>
        </w:rPr>
        <w:t xml:space="preserve"> forms/5 yr = $ </w:t>
      </w:r>
      <w:r w:rsidR="006D34C3">
        <w:rPr>
          <w:rFonts w:ascii="Times New Roman" w:hAnsi="Times New Roman" w:cs="Times New Roman"/>
          <w:color w:val="000000"/>
          <w:sz w:val="24"/>
          <w:szCs w:val="24"/>
        </w:rPr>
        <w:t>53</w:t>
      </w:r>
      <w:r>
        <w:rPr>
          <w:rFonts w:ascii="Times New Roman" w:hAnsi="Times New Roman" w:cs="Times New Roman"/>
          <w:color w:val="000000"/>
          <w:sz w:val="24"/>
          <w:szCs w:val="24"/>
        </w:rPr>
        <w:t>/yr</w:t>
      </w:r>
    </w:p>
    <w:p w14:paraId="6BD59112"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w:t>
      </w:r>
      <w:r w:rsidR="006D34C3">
        <w:rPr>
          <w:rFonts w:ascii="Times New Roman" w:hAnsi="Times New Roman" w:cs="Times New Roman"/>
          <w:color w:val="000000"/>
          <w:sz w:val="24"/>
          <w:szCs w:val="24"/>
        </w:rPr>
        <w:t>219</w:t>
      </w:r>
      <w:r>
        <w:rPr>
          <w:rFonts w:ascii="Times New Roman" w:hAnsi="Times New Roman" w:cs="Times New Roman"/>
          <w:color w:val="000000"/>
          <w:sz w:val="24"/>
          <w:szCs w:val="24"/>
        </w:rPr>
        <w:t>/yr.</w:t>
      </w:r>
    </w:p>
    <w:p w14:paraId="7B2B5972"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15. Explain the reasons for any program changes or adjustments.</w:t>
      </w:r>
    </w:p>
    <w:p w14:paraId="491358A2" w14:textId="31E75197" w:rsidR="00C11D15" w:rsidRDefault="00AE2664"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There are no program changes. Adjustments: The number of respondents and responses, based on the past 3 years, is now 55, reduced from 67, and the hours are 65, reduced from 71.</w:t>
      </w:r>
      <w:r w:rsidR="00F830F8">
        <w:rPr>
          <w:rFonts w:ascii="Times New Roman" w:hAnsi="Times New Roman" w:cs="Times New Roman"/>
          <w:color w:val="000000"/>
          <w:sz w:val="24"/>
          <w:szCs w:val="24"/>
        </w:rPr>
        <w:t xml:space="preserve"> </w:t>
      </w:r>
    </w:p>
    <w:p w14:paraId="0EF362B3" w14:textId="3802BCA2" w:rsidR="00F830F8" w:rsidRDefault="00F830F8"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Recordkeeping/reporting costs have </w:t>
      </w:r>
      <w:r w:rsidR="00A773F4">
        <w:rPr>
          <w:rFonts w:ascii="Times New Roman" w:hAnsi="Times New Roman" w:cs="Times New Roman"/>
          <w:color w:val="000000"/>
          <w:sz w:val="24"/>
          <w:szCs w:val="24"/>
        </w:rPr>
        <w:t>increased</w:t>
      </w:r>
      <w:r w:rsidR="00F862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from $1,231 to $</w:t>
      </w:r>
      <w:r w:rsidR="00A773F4">
        <w:rPr>
          <w:rFonts w:ascii="Times New Roman" w:hAnsi="Times New Roman" w:cs="Times New Roman"/>
          <w:color w:val="000000"/>
          <w:sz w:val="24"/>
          <w:szCs w:val="24"/>
        </w:rPr>
        <w:t>2,431</w:t>
      </w:r>
      <w:r>
        <w:rPr>
          <w:rFonts w:ascii="Times New Roman" w:hAnsi="Times New Roman" w:cs="Times New Roman"/>
          <w:color w:val="000000"/>
          <w:sz w:val="24"/>
          <w:szCs w:val="24"/>
        </w:rPr>
        <w:t>.</w:t>
      </w:r>
      <w:r w:rsidR="00F5078C">
        <w:rPr>
          <w:rFonts w:ascii="Times New Roman" w:hAnsi="Times New Roman" w:cs="Times New Roman"/>
          <w:color w:val="000000"/>
          <w:sz w:val="24"/>
          <w:szCs w:val="24"/>
        </w:rPr>
        <w:t xml:space="preserve"> This is mainly due to </w:t>
      </w:r>
      <w:r w:rsidR="004F2513">
        <w:rPr>
          <w:rFonts w:ascii="Times New Roman" w:hAnsi="Times New Roman" w:cs="Times New Roman"/>
          <w:color w:val="000000"/>
          <w:sz w:val="24"/>
          <w:szCs w:val="24"/>
        </w:rPr>
        <w:t xml:space="preserve">the vessel area endorsement nonrefundable fee having increased from $23 to </w:t>
      </w:r>
      <w:r w:rsidR="00F5078C">
        <w:rPr>
          <w:rFonts w:ascii="Times New Roman" w:hAnsi="Times New Roman" w:cs="Times New Roman"/>
          <w:color w:val="000000"/>
          <w:sz w:val="24"/>
          <w:szCs w:val="24"/>
        </w:rPr>
        <w:t>$54, so that although there are now 44 responses rather than 51 previously, there is a net increase of $1,203 ($1,173 in 2015 vs $2,376 in 2018).</w:t>
      </w:r>
    </w:p>
    <w:p w14:paraId="42E04B18" w14:textId="77777777" w:rsidR="005F1EFB" w:rsidRDefault="005F1EFB" w:rsidP="00C11D15">
      <w:pPr>
        <w:autoSpaceDE w:val="0"/>
        <w:autoSpaceDN w:val="0"/>
        <w:adjustRightInd w:val="0"/>
        <w:spacing w:after="240" w:line="240" w:lineRule="auto"/>
        <w:rPr>
          <w:rFonts w:ascii="Times New Roman" w:hAnsi="Times New Roman" w:cs="Times New Roman"/>
          <w:color w:val="000000"/>
          <w:sz w:val="24"/>
          <w:szCs w:val="24"/>
        </w:rPr>
      </w:pPr>
    </w:p>
    <w:p w14:paraId="063C2030" w14:textId="7CED9E56" w:rsidR="00C11D15" w:rsidRDefault="00F830F8"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1</w:t>
      </w:r>
      <w:r w:rsidR="00C11D15">
        <w:rPr>
          <w:rFonts w:ascii="Times New Roman" w:hAnsi="Times New Roman" w:cs="Times New Roman"/>
          <w:b/>
          <w:bCs/>
          <w:color w:val="000000"/>
          <w:sz w:val="24"/>
          <w:szCs w:val="24"/>
        </w:rPr>
        <w:t>6. For collections whose results will be published, outline the plans for tabulation and</w:t>
      </w:r>
      <w:r w:rsidR="006D34C3">
        <w:rPr>
          <w:rFonts w:ascii="Times New Roman" w:hAnsi="Times New Roman" w:cs="Times New Roman"/>
          <w:b/>
          <w:bCs/>
          <w:color w:val="000000"/>
          <w:sz w:val="24"/>
          <w:szCs w:val="24"/>
        </w:rPr>
        <w:t xml:space="preserve"> </w:t>
      </w:r>
      <w:r w:rsidR="00C11D15">
        <w:rPr>
          <w:rFonts w:ascii="Times New Roman" w:hAnsi="Times New Roman" w:cs="Times New Roman"/>
          <w:b/>
          <w:bCs/>
          <w:color w:val="000000"/>
          <w:sz w:val="24"/>
          <w:szCs w:val="24"/>
        </w:rPr>
        <w:t>publication.</w:t>
      </w:r>
    </w:p>
    <w:p w14:paraId="4BAB830A"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As described in Question 2, the data will be made publicly available on the Commission website, along with similar data from other Commission members, in a searchable and downloadable online database. No information collected is specifically intended for formal scientific publication at this time, but it might be used for such purposes by NMFS or other parties. In addition to using the information in its raw format for day-to-day management purposes, NMFS, the USCG, and the Commission may also use the data (primarily in aggregated, summarized, and synthesized format) for informal publications such as technical papers and reports.</w:t>
      </w:r>
    </w:p>
    <w:p w14:paraId="0DCEF9EB"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17. If seeking approval to not display the expiration date for OMB approval of the information collection, explain the reasons why display would be inappropriate.</w:t>
      </w:r>
    </w:p>
    <w:p w14:paraId="58565355"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Not Applicable.</w:t>
      </w:r>
    </w:p>
    <w:p w14:paraId="02C7CF1B"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18. Explain each exception to the certification statement.</w:t>
      </w:r>
    </w:p>
    <w:p w14:paraId="4660EF83"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Not Applicable.</w:t>
      </w:r>
    </w:p>
    <w:p w14:paraId="0FD150FB"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B. COLLECTION OF INFORMATION EMPLOYING STATISTICAL METHODS</w:t>
      </w:r>
    </w:p>
    <w:p w14:paraId="6C1C763C" w14:textId="77777777" w:rsidR="00E00CF5" w:rsidRDefault="00C11D15" w:rsidP="00C11D15">
      <w:pPr>
        <w:spacing w:after="240" w:line="240" w:lineRule="auto"/>
      </w:pPr>
      <w:r>
        <w:rPr>
          <w:rFonts w:ascii="Times New Roman" w:hAnsi="Times New Roman" w:cs="Times New Roman"/>
          <w:color w:val="000000"/>
        </w:rPr>
        <w:t>No statistical methods are employed.</w:t>
      </w:r>
    </w:p>
    <w:sectPr w:rsidR="00E00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65B"/>
    <w:multiLevelType w:val="hybridMultilevel"/>
    <w:tmpl w:val="5CE2CB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834AC"/>
    <w:multiLevelType w:val="hybridMultilevel"/>
    <w:tmpl w:val="0F76A2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A4DF3"/>
    <w:multiLevelType w:val="hybridMultilevel"/>
    <w:tmpl w:val="6D10A1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0A6282"/>
    <w:multiLevelType w:val="hybridMultilevel"/>
    <w:tmpl w:val="C9C883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B67613"/>
    <w:multiLevelType w:val="hybridMultilevel"/>
    <w:tmpl w:val="1F5457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ED7E66"/>
    <w:multiLevelType w:val="hybridMultilevel"/>
    <w:tmpl w:val="DEB0B7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D15"/>
    <w:rsid w:val="00176330"/>
    <w:rsid w:val="001874CA"/>
    <w:rsid w:val="00192F3F"/>
    <w:rsid w:val="00304052"/>
    <w:rsid w:val="00334900"/>
    <w:rsid w:val="00357B94"/>
    <w:rsid w:val="004F2513"/>
    <w:rsid w:val="005E2F01"/>
    <w:rsid w:val="005F1EFB"/>
    <w:rsid w:val="006727D5"/>
    <w:rsid w:val="006A1096"/>
    <w:rsid w:val="006C0AB3"/>
    <w:rsid w:val="006D34C3"/>
    <w:rsid w:val="008F6492"/>
    <w:rsid w:val="00A773F4"/>
    <w:rsid w:val="00AE2664"/>
    <w:rsid w:val="00C11D15"/>
    <w:rsid w:val="00C54D99"/>
    <w:rsid w:val="00C56DC3"/>
    <w:rsid w:val="00C96DA8"/>
    <w:rsid w:val="00DD18BB"/>
    <w:rsid w:val="00DE272A"/>
    <w:rsid w:val="00E00CF5"/>
    <w:rsid w:val="00ED7518"/>
    <w:rsid w:val="00EF4A7A"/>
    <w:rsid w:val="00F15B43"/>
    <w:rsid w:val="00F5078C"/>
    <w:rsid w:val="00F71812"/>
    <w:rsid w:val="00F830F8"/>
    <w:rsid w:val="00F86271"/>
    <w:rsid w:val="00FB0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72A"/>
    <w:pPr>
      <w:ind w:left="720"/>
      <w:contextualSpacing/>
    </w:pPr>
  </w:style>
  <w:style w:type="character" w:styleId="CommentReference">
    <w:name w:val="annotation reference"/>
    <w:basedOn w:val="DefaultParagraphFont"/>
    <w:uiPriority w:val="99"/>
    <w:semiHidden/>
    <w:unhideWhenUsed/>
    <w:rsid w:val="00DD18BB"/>
    <w:rPr>
      <w:sz w:val="16"/>
      <w:szCs w:val="16"/>
    </w:rPr>
  </w:style>
  <w:style w:type="paragraph" w:styleId="CommentText">
    <w:name w:val="annotation text"/>
    <w:basedOn w:val="Normal"/>
    <w:link w:val="CommentTextChar"/>
    <w:uiPriority w:val="99"/>
    <w:semiHidden/>
    <w:unhideWhenUsed/>
    <w:rsid w:val="00DD18BB"/>
    <w:pPr>
      <w:spacing w:line="240" w:lineRule="auto"/>
    </w:pPr>
    <w:rPr>
      <w:sz w:val="20"/>
      <w:szCs w:val="20"/>
    </w:rPr>
  </w:style>
  <w:style w:type="character" w:customStyle="1" w:styleId="CommentTextChar">
    <w:name w:val="Comment Text Char"/>
    <w:basedOn w:val="DefaultParagraphFont"/>
    <w:link w:val="CommentText"/>
    <w:uiPriority w:val="99"/>
    <w:semiHidden/>
    <w:rsid w:val="00DD18BB"/>
    <w:rPr>
      <w:sz w:val="20"/>
      <w:szCs w:val="20"/>
    </w:rPr>
  </w:style>
  <w:style w:type="paragraph" w:styleId="CommentSubject">
    <w:name w:val="annotation subject"/>
    <w:basedOn w:val="CommentText"/>
    <w:next w:val="CommentText"/>
    <w:link w:val="CommentSubjectChar"/>
    <w:uiPriority w:val="99"/>
    <w:semiHidden/>
    <w:unhideWhenUsed/>
    <w:rsid w:val="00DD18BB"/>
    <w:rPr>
      <w:b/>
      <w:bCs/>
    </w:rPr>
  </w:style>
  <w:style w:type="character" w:customStyle="1" w:styleId="CommentSubjectChar">
    <w:name w:val="Comment Subject Char"/>
    <w:basedOn w:val="CommentTextChar"/>
    <w:link w:val="CommentSubject"/>
    <w:uiPriority w:val="99"/>
    <w:semiHidden/>
    <w:rsid w:val="00DD18BB"/>
    <w:rPr>
      <w:b/>
      <w:bCs/>
      <w:sz w:val="20"/>
      <w:szCs w:val="20"/>
    </w:rPr>
  </w:style>
  <w:style w:type="paragraph" w:styleId="BalloonText">
    <w:name w:val="Balloon Text"/>
    <w:basedOn w:val="Normal"/>
    <w:link w:val="BalloonTextChar"/>
    <w:uiPriority w:val="99"/>
    <w:semiHidden/>
    <w:unhideWhenUsed/>
    <w:rsid w:val="00DD1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8BB"/>
    <w:rPr>
      <w:rFonts w:ascii="Segoe UI" w:hAnsi="Segoe UI" w:cs="Segoe UI"/>
      <w:sz w:val="18"/>
      <w:szCs w:val="18"/>
    </w:rPr>
  </w:style>
  <w:style w:type="character" w:styleId="Hyperlink">
    <w:name w:val="Hyperlink"/>
    <w:basedOn w:val="DefaultParagraphFont"/>
    <w:uiPriority w:val="99"/>
    <w:unhideWhenUsed/>
    <w:rsid w:val="00C54D9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72A"/>
    <w:pPr>
      <w:ind w:left="720"/>
      <w:contextualSpacing/>
    </w:pPr>
  </w:style>
  <w:style w:type="character" w:styleId="CommentReference">
    <w:name w:val="annotation reference"/>
    <w:basedOn w:val="DefaultParagraphFont"/>
    <w:uiPriority w:val="99"/>
    <w:semiHidden/>
    <w:unhideWhenUsed/>
    <w:rsid w:val="00DD18BB"/>
    <w:rPr>
      <w:sz w:val="16"/>
      <w:szCs w:val="16"/>
    </w:rPr>
  </w:style>
  <w:style w:type="paragraph" w:styleId="CommentText">
    <w:name w:val="annotation text"/>
    <w:basedOn w:val="Normal"/>
    <w:link w:val="CommentTextChar"/>
    <w:uiPriority w:val="99"/>
    <w:semiHidden/>
    <w:unhideWhenUsed/>
    <w:rsid w:val="00DD18BB"/>
    <w:pPr>
      <w:spacing w:line="240" w:lineRule="auto"/>
    </w:pPr>
    <w:rPr>
      <w:sz w:val="20"/>
      <w:szCs w:val="20"/>
    </w:rPr>
  </w:style>
  <w:style w:type="character" w:customStyle="1" w:styleId="CommentTextChar">
    <w:name w:val="Comment Text Char"/>
    <w:basedOn w:val="DefaultParagraphFont"/>
    <w:link w:val="CommentText"/>
    <w:uiPriority w:val="99"/>
    <w:semiHidden/>
    <w:rsid w:val="00DD18BB"/>
    <w:rPr>
      <w:sz w:val="20"/>
      <w:szCs w:val="20"/>
    </w:rPr>
  </w:style>
  <w:style w:type="paragraph" w:styleId="CommentSubject">
    <w:name w:val="annotation subject"/>
    <w:basedOn w:val="CommentText"/>
    <w:next w:val="CommentText"/>
    <w:link w:val="CommentSubjectChar"/>
    <w:uiPriority w:val="99"/>
    <w:semiHidden/>
    <w:unhideWhenUsed/>
    <w:rsid w:val="00DD18BB"/>
    <w:rPr>
      <w:b/>
      <w:bCs/>
    </w:rPr>
  </w:style>
  <w:style w:type="character" w:customStyle="1" w:styleId="CommentSubjectChar">
    <w:name w:val="Comment Subject Char"/>
    <w:basedOn w:val="CommentTextChar"/>
    <w:link w:val="CommentSubject"/>
    <w:uiPriority w:val="99"/>
    <w:semiHidden/>
    <w:rsid w:val="00DD18BB"/>
    <w:rPr>
      <w:b/>
      <w:bCs/>
      <w:sz w:val="20"/>
      <w:szCs w:val="20"/>
    </w:rPr>
  </w:style>
  <w:style w:type="paragraph" w:styleId="BalloonText">
    <w:name w:val="Balloon Text"/>
    <w:basedOn w:val="Normal"/>
    <w:link w:val="BalloonTextChar"/>
    <w:uiPriority w:val="99"/>
    <w:semiHidden/>
    <w:unhideWhenUsed/>
    <w:rsid w:val="00DD1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8BB"/>
    <w:rPr>
      <w:rFonts w:ascii="Segoe UI" w:hAnsi="Segoe UI" w:cs="Segoe UI"/>
      <w:sz w:val="18"/>
      <w:szCs w:val="18"/>
    </w:rPr>
  </w:style>
  <w:style w:type="character" w:styleId="Hyperlink">
    <w:name w:val="Hyperlink"/>
    <w:basedOn w:val="DefaultParagraphFont"/>
    <w:uiPriority w:val="99"/>
    <w:unhideWhenUsed/>
    <w:rsid w:val="00C54D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sec.doc.gov/opog/PrivacyAct/SORNs/noaa-19.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3432</Words>
  <Characters>19564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NOAA Fisheries PIRO</Company>
  <LinksUpToDate>false</LinksUpToDate>
  <CharactersWithSpaces>22951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Chan</dc:creator>
  <cp:keywords/>
  <dc:description/>
  <cp:lastModifiedBy>SYSTEM</cp:lastModifiedBy>
  <cp:revision>2</cp:revision>
  <dcterms:created xsi:type="dcterms:W3CDTF">2018-11-16T17:09:00Z</dcterms:created>
  <dcterms:modified xsi:type="dcterms:W3CDTF">2018-11-16T17:09:00Z</dcterms:modified>
</cp:coreProperties>
</file>