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CAF" w:rsidRDefault="004E2123">
      <w:pPr>
        <w:spacing w:line="259" w:lineRule="auto"/>
        <w:ind w:right="62"/>
        <w:jc w:val="center"/>
      </w:pPr>
      <w:bookmarkStart w:id="0" w:name="_GoBack"/>
      <w:bookmarkEnd w:id="0"/>
      <w:r>
        <w:rPr>
          <w:b/>
        </w:rPr>
        <w:t xml:space="preserve">Supporting Statement </w:t>
      </w:r>
    </w:p>
    <w:p w:rsidR="00C55CAF" w:rsidRDefault="004E2123">
      <w:pPr>
        <w:spacing w:line="259" w:lineRule="auto"/>
        <w:ind w:right="65"/>
        <w:jc w:val="center"/>
      </w:pPr>
      <w:r>
        <w:rPr>
          <w:b/>
        </w:rPr>
        <w:t xml:space="preserve">Importation of Peppers from the Republic of Korea </w:t>
      </w:r>
    </w:p>
    <w:p w:rsidR="00C55CAF" w:rsidRDefault="004E2123">
      <w:pPr>
        <w:spacing w:line="259" w:lineRule="auto"/>
        <w:ind w:right="65"/>
        <w:jc w:val="center"/>
        <w:rPr>
          <w:b/>
        </w:rPr>
      </w:pPr>
      <w:r>
        <w:rPr>
          <w:b/>
        </w:rPr>
        <w:t xml:space="preserve">OMB No:  0579-0282 </w:t>
      </w:r>
    </w:p>
    <w:p w:rsidR="00FD402E" w:rsidRDefault="00FD402E" w:rsidP="00FD402E">
      <w:pPr>
        <w:spacing w:line="259" w:lineRule="auto"/>
        <w:ind w:right="65"/>
        <w:jc w:val="right"/>
      </w:pPr>
      <w:r>
        <w:rPr>
          <w:b/>
        </w:rPr>
        <w:t>2018</w:t>
      </w:r>
    </w:p>
    <w:p w:rsidR="00C55CAF" w:rsidRDefault="004E2123" w:rsidP="00FD402E">
      <w:pPr>
        <w:spacing w:line="259" w:lineRule="auto"/>
        <w:ind w:left="0" w:firstLine="0"/>
        <w:jc w:val="center"/>
      </w:pPr>
      <w:r>
        <w:rPr>
          <w:b/>
        </w:rPr>
        <w:t xml:space="preserve"> </w:t>
      </w:r>
    </w:p>
    <w:p w:rsidR="00FD402E" w:rsidRPr="00FD402E" w:rsidRDefault="004E2123" w:rsidP="00FD402E">
      <w:pPr>
        <w:pStyle w:val="ListParagraph"/>
        <w:numPr>
          <w:ilvl w:val="0"/>
          <w:numId w:val="5"/>
        </w:numPr>
        <w:spacing w:after="3" w:line="248" w:lineRule="auto"/>
        <w:ind w:right="1846"/>
        <w:rPr>
          <w:b/>
        </w:rPr>
      </w:pPr>
      <w:r w:rsidRPr="00FD402E">
        <w:rPr>
          <w:b/>
        </w:rPr>
        <w:t xml:space="preserve">JUSTIFICATION     </w:t>
      </w:r>
    </w:p>
    <w:p w:rsidR="00C55CAF" w:rsidRDefault="004E2123" w:rsidP="00FD402E">
      <w:pPr>
        <w:pStyle w:val="ListParagraph"/>
        <w:spacing w:after="3" w:line="248" w:lineRule="auto"/>
        <w:ind w:left="345" w:right="1846" w:firstLine="0"/>
      </w:pPr>
      <w:r w:rsidRPr="00FD402E">
        <w:rPr>
          <w:b/>
        </w:rPr>
        <w:t xml:space="preserve">                                                                                     </w:t>
      </w:r>
    </w:p>
    <w:p w:rsidR="00C55CAF" w:rsidRDefault="004E2123" w:rsidP="00980FF0">
      <w:pPr>
        <w:spacing w:after="3" w:line="248" w:lineRule="auto"/>
        <w:ind w:left="0" w:right="55" w:firstLine="0"/>
      </w:pPr>
      <w:r>
        <w:rPr>
          <w:b/>
        </w:rPr>
        <w:t>1.  Explain the circumstances that make the collection of i</w:t>
      </w:r>
      <w:r w:rsidR="00980FF0">
        <w:rPr>
          <w:b/>
        </w:rPr>
        <w:t xml:space="preserve">nformation necessary.  Identify </w:t>
      </w:r>
      <w:r>
        <w:rPr>
          <w:b/>
        </w:rPr>
        <w:t xml:space="preserve">any legal or administrative requirements that necessitate the collection. </w:t>
      </w:r>
    </w:p>
    <w:p w:rsidR="00C55CAF" w:rsidRDefault="004E2123">
      <w:pPr>
        <w:spacing w:line="259" w:lineRule="auto"/>
        <w:ind w:left="0" w:firstLine="0"/>
      </w:pPr>
      <w:r>
        <w:t xml:space="preserve"> </w:t>
      </w:r>
    </w:p>
    <w:p w:rsidR="00C55CAF" w:rsidRDefault="004E2123" w:rsidP="003A31D2">
      <w:pPr>
        <w:ind w:right="51"/>
      </w:pPr>
      <w:r>
        <w:t xml:space="preserve">The United States Department of Agriculture (USDA) is responsible for preventing plant pests and noxious weeds from entering the United States; preventing the spread of plant diseases not widely distributed in the United States; and eradicating those imported pests and noxious weeds when eradication is feasible. </w:t>
      </w:r>
    </w:p>
    <w:p w:rsidR="00C55CAF" w:rsidRDefault="004E2123" w:rsidP="003A31D2">
      <w:pPr>
        <w:spacing w:after="27" w:line="259" w:lineRule="auto"/>
        <w:ind w:left="360" w:firstLine="5"/>
      </w:pPr>
      <w:r>
        <w:rPr>
          <w:rFonts w:ascii="Courier New" w:eastAsia="Courier New" w:hAnsi="Courier New" w:cs="Courier New"/>
          <w:sz w:val="20"/>
        </w:rPr>
        <w:t xml:space="preserve"> </w:t>
      </w:r>
    </w:p>
    <w:p w:rsidR="00C55CAF" w:rsidRDefault="004E2123" w:rsidP="003A31D2">
      <w:pPr>
        <w:ind w:right="51"/>
      </w:pPr>
      <w:r>
        <w:t xml:space="preserve">Under the Plant Protection Act (7 U.S.C. 7701 – </w:t>
      </w:r>
      <w:r>
        <w:rPr>
          <w:u w:val="single" w:color="000000"/>
        </w:rPr>
        <w:t>et</w:t>
      </w:r>
      <w:r>
        <w:t xml:space="preserve"> </w:t>
      </w:r>
      <w:r>
        <w:rPr>
          <w:u w:val="single" w:color="000000"/>
        </w:rPr>
        <w:t>seq</w:t>
      </w:r>
      <w:r>
        <w:t xml:space="preserve">), the Secretary of Agriculture is authorized to carry out operations or measures to detect, eradicate, suppress, control, prevent, or retard the spread of plant pests new to the United States or not known to be widely distributed throughout the United States.  </w:t>
      </w:r>
    </w:p>
    <w:p w:rsidR="00C55CAF" w:rsidRDefault="004E2123" w:rsidP="003A31D2">
      <w:pPr>
        <w:spacing w:line="259" w:lineRule="auto"/>
        <w:ind w:left="360" w:firstLine="5"/>
      </w:pPr>
      <w:r>
        <w:t xml:space="preserve"> </w:t>
      </w:r>
    </w:p>
    <w:p w:rsidR="00C55CAF" w:rsidRDefault="004E2123" w:rsidP="003A31D2">
      <w:pPr>
        <w:ind w:right="51"/>
      </w:pPr>
      <w:r>
        <w:t>The regulations in “Subpart – Fruits and Vegetables” Title 7, Code of Federal Regulation</w:t>
      </w:r>
      <w:r w:rsidR="003A31D2">
        <w:t>s (CFR) 319.56-1 through 319.56-83</w:t>
      </w:r>
      <w:r>
        <w:t xml:space="preserve">, referred to as the regulations), prohibit or restrict the importation of fruits and vegetables into the United States from certain parts of the world to prevent the introduction and dissemination of plant pests that are new to or not widely distributed within the United States. </w:t>
      </w:r>
    </w:p>
    <w:p w:rsidR="00C55CAF" w:rsidRDefault="004E2123" w:rsidP="003A31D2">
      <w:pPr>
        <w:spacing w:line="259" w:lineRule="auto"/>
        <w:ind w:left="360" w:firstLine="5"/>
      </w:pPr>
      <w:r>
        <w:t xml:space="preserve"> </w:t>
      </w:r>
    </w:p>
    <w:p w:rsidR="00C55CAF" w:rsidRPr="00980FF0" w:rsidRDefault="00980FF0" w:rsidP="00980FF0">
      <w:pPr>
        <w:spacing w:line="259" w:lineRule="auto"/>
        <w:rPr>
          <w:color w:val="auto"/>
        </w:rPr>
      </w:pPr>
      <w:r w:rsidRPr="00980FF0">
        <w:rPr>
          <w:color w:val="auto"/>
        </w:rPr>
        <w:t>In accordance with § 319.56-42, peppers from the Republic of Korea are subject to certain conditions before entering the continental United States to prevent the introduction of plant pests into the United States. The regulations include requirements for greenhouse registration and inspection by officials of the national plant protection organization (NPPO) of the Republic of Korea, a phytosanitary certificate with a declaration by NPPO officials stating the peppers were grown in greenhouses in accordance with the regulations and inspected and found free of the listed plant pests, and emergency action notifications.</w:t>
      </w:r>
    </w:p>
    <w:p w:rsidR="00980FF0" w:rsidRDefault="00980FF0" w:rsidP="00980FF0">
      <w:pPr>
        <w:spacing w:line="259" w:lineRule="auto"/>
      </w:pPr>
    </w:p>
    <w:p w:rsidR="00C55CAF" w:rsidRDefault="00980FF0" w:rsidP="003A31D2">
      <w:pPr>
        <w:ind w:right="51"/>
      </w:pPr>
      <w:r>
        <w:t xml:space="preserve">The information </w:t>
      </w:r>
      <w:r w:rsidR="004E2123">
        <w:t xml:space="preserve">collection allows for the importation of peppers from the Republic of Korea into the continental United States while continuing to provide protection against the introduction of quarantined pests. </w:t>
      </w:r>
    </w:p>
    <w:p w:rsidR="00C55CAF" w:rsidRDefault="004E2123" w:rsidP="003A31D2">
      <w:pPr>
        <w:spacing w:line="259" w:lineRule="auto"/>
        <w:ind w:left="360" w:firstLine="5"/>
      </w:pPr>
      <w:r>
        <w:t xml:space="preserve"> </w:t>
      </w:r>
    </w:p>
    <w:p w:rsidR="00C55CAF" w:rsidRDefault="004E2123" w:rsidP="003A31D2">
      <w:pPr>
        <w:ind w:right="51"/>
      </w:pPr>
      <w:r>
        <w:t xml:space="preserve">APHIS is asking the Office of Management and Budget (OMB) to approve, for an additional 3 years, its use of these information collection activities, associated with its efforts to prevent the spread of plant pests and plant diseases from entering into the United States.   </w:t>
      </w:r>
    </w:p>
    <w:p w:rsidR="00C55CAF" w:rsidRDefault="004E2123">
      <w:pPr>
        <w:spacing w:line="259" w:lineRule="auto"/>
        <w:ind w:left="0" w:firstLine="0"/>
      </w:pPr>
      <w:r>
        <w:t xml:space="preserve"> </w:t>
      </w:r>
    </w:p>
    <w:p w:rsidR="00FD402E" w:rsidRDefault="00FD402E">
      <w:pPr>
        <w:spacing w:line="259" w:lineRule="auto"/>
        <w:ind w:left="0" w:firstLine="0"/>
      </w:pPr>
    </w:p>
    <w:p w:rsidR="00C55CAF" w:rsidRDefault="004E2123" w:rsidP="003A31D2">
      <w:pPr>
        <w:spacing w:after="3" w:line="248" w:lineRule="auto"/>
        <w:ind w:left="0" w:right="55"/>
      </w:pPr>
      <w:r>
        <w:rPr>
          <w:b/>
        </w:rPr>
        <w:lastRenderedPageBreak/>
        <w:t xml:space="preserve">2.  Indicate how, by whom, and for what purpose the information is used.  Except for a new collection, indicate the actual use the agency has made of the information received from the current collection. </w:t>
      </w:r>
    </w:p>
    <w:p w:rsidR="00C55CAF" w:rsidRDefault="004E2123">
      <w:pPr>
        <w:spacing w:line="259" w:lineRule="auto"/>
        <w:ind w:left="0" w:firstLine="0"/>
      </w:pPr>
      <w:r>
        <w:t xml:space="preserve"> </w:t>
      </w:r>
    </w:p>
    <w:p w:rsidR="00C55CAF" w:rsidRDefault="004E2123" w:rsidP="003A31D2">
      <w:pPr>
        <w:tabs>
          <w:tab w:val="left" w:pos="90"/>
        </w:tabs>
        <w:spacing w:line="240" w:lineRule="auto"/>
        <w:ind w:left="0" w:right="51" w:firstLine="0"/>
      </w:pPr>
      <w:r>
        <w:t xml:space="preserve">APHIS uses the following information activity to allow the importation of peppers from the Republic of Korea into the United States under the conditions they will be grown in approved insect-proof, pest-free greenhouses, and packed in pest-exclusionary packinghouses.   </w:t>
      </w:r>
    </w:p>
    <w:p w:rsidR="00740096" w:rsidRDefault="004E2123" w:rsidP="003A31D2">
      <w:pPr>
        <w:tabs>
          <w:tab w:val="left" w:pos="90"/>
        </w:tabs>
        <w:spacing w:line="240" w:lineRule="auto"/>
        <w:ind w:left="0" w:firstLine="0"/>
      </w:pPr>
      <w:r>
        <w:t xml:space="preserve"> </w:t>
      </w:r>
    </w:p>
    <w:p w:rsidR="00C55CAF" w:rsidRDefault="004E2123" w:rsidP="003A31D2">
      <w:pPr>
        <w:pStyle w:val="Heading1"/>
        <w:tabs>
          <w:tab w:val="left" w:pos="90"/>
        </w:tabs>
        <w:spacing w:line="240" w:lineRule="auto"/>
        <w:ind w:left="0" w:firstLine="0"/>
      </w:pPr>
      <w:r>
        <w:t>7</w:t>
      </w:r>
      <w:r w:rsidR="00082362">
        <w:t xml:space="preserve"> </w:t>
      </w:r>
      <w:r>
        <w:t>CFR 319.56-42(e)</w:t>
      </w:r>
      <w:r w:rsidR="00082362">
        <w:t xml:space="preserve"> </w:t>
      </w:r>
      <w:r>
        <w:t>Phytosanitary Certificate with Declaration (foreign government) (business)</w:t>
      </w:r>
      <w:r>
        <w:rPr>
          <w:b w:val="0"/>
          <w:u w:val="none"/>
        </w:rPr>
        <w:t xml:space="preserve"> </w:t>
      </w:r>
    </w:p>
    <w:p w:rsidR="00C55CAF" w:rsidRDefault="004E2123" w:rsidP="003A31D2">
      <w:pPr>
        <w:tabs>
          <w:tab w:val="left" w:pos="90"/>
        </w:tabs>
        <w:spacing w:line="240" w:lineRule="auto"/>
        <w:ind w:left="0" w:right="51" w:firstLine="0"/>
      </w:pPr>
      <w:r>
        <w:t xml:space="preserve">Each consignment of peppers must be accompanied by a phytosanitary certificate of inspection issued by the National Plant Quarantine Service (NPQS) of Korea bearing the following additional declaration: “These peppers were grown in greenhouses in accordance with the conditions in 7 CFR 319.56–42 and were inspected and found free from </w:t>
      </w:r>
      <w:r>
        <w:rPr>
          <w:i/>
        </w:rPr>
        <w:t xml:space="preserve">Agrotis segetum, Helicoverpa armigera, Helicoverpa assulta, Mamestra brassicae, Monilinia fructigena, Ostrinia furnacalis, Scirtothrips dorsalis, Spodoptera litura, </w:t>
      </w:r>
      <w:r>
        <w:t xml:space="preserve">and </w:t>
      </w:r>
      <w:r>
        <w:rPr>
          <w:i/>
        </w:rPr>
        <w:t xml:space="preserve">Thrips palmi. </w:t>
      </w:r>
      <w:r>
        <w:t xml:space="preserve">” </w:t>
      </w:r>
    </w:p>
    <w:p w:rsidR="00C55CAF" w:rsidRDefault="004E2123" w:rsidP="003A31D2">
      <w:pPr>
        <w:tabs>
          <w:tab w:val="left" w:pos="90"/>
        </w:tabs>
        <w:spacing w:line="240" w:lineRule="auto"/>
        <w:ind w:left="0" w:firstLine="0"/>
      </w:pPr>
      <w:r>
        <w:t xml:space="preserve"> </w:t>
      </w:r>
    </w:p>
    <w:p w:rsidR="00C55CAF" w:rsidRDefault="004E2123" w:rsidP="003A31D2">
      <w:pPr>
        <w:pStyle w:val="Heading1"/>
        <w:tabs>
          <w:tab w:val="left" w:pos="90"/>
        </w:tabs>
        <w:spacing w:line="240" w:lineRule="auto"/>
        <w:ind w:left="0" w:firstLine="0"/>
      </w:pPr>
      <w:r>
        <w:t>7</w:t>
      </w:r>
      <w:r w:rsidR="00082362">
        <w:t xml:space="preserve"> </w:t>
      </w:r>
      <w:r>
        <w:t>CFR 319.56-42(a) Greenhouse Registrations (business) (foreign government)</w:t>
      </w:r>
      <w:r>
        <w:rPr>
          <w:u w:val="none"/>
        </w:rPr>
        <w:t xml:space="preserve"> </w:t>
      </w:r>
    </w:p>
    <w:p w:rsidR="00C55CAF" w:rsidRDefault="004E2123" w:rsidP="003A31D2">
      <w:pPr>
        <w:tabs>
          <w:tab w:val="left" w:pos="90"/>
        </w:tabs>
        <w:spacing w:line="240" w:lineRule="auto"/>
        <w:ind w:left="0" w:right="51" w:firstLine="0"/>
      </w:pPr>
      <w:r>
        <w:t xml:space="preserve">The peppers must be grown in the Republic of Korea in insect-proof greenhouses approved by and registered with the NPQS of Korea. </w:t>
      </w:r>
    </w:p>
    <w:p w:rsidR="00C55CAF" w:rsidRDefault="004E2123" w:rsidP="003A31D2">
      <w:pPr>
        <w:tabs>
          <w:tab w:val="left" w:pos="90"/>
        </w:tabs>
        <w:spacing w:line="240" w:lineRule="auto"/>
        <w:ind w:left="0" w:firstLine="0"/>
      </w:pPr>
      <w:r>
        <w:t xml:space="preserve"> </w:t>
      </w:r>
    </w:p>
    <w:p w:rsidR="00740096" w:rsidRDefault="00740096" w:rsidP="003A31D2">
      <w:pPr>
        <w:tabs>
          <w:tab w:val="left" w:pos="90"/>
        </w:tabs>
        <w:spacing w:line="240" w:lineRule="auto"/>
        <w:ind w:left="0" w:right="51" w:firstLine="0"/>
      </w:pPr>
      <w:r>
        <w:rPr>
          <w:b/>
          <w:u w:val="single" w:color="000000"/>
        </w:rPr>
        <w:t>7</w:t>
      </w:r>
      <w:r w:rsidR="00082362">
        <w:rPr>
          <w:b/>
          <w:u w:val="single" w:color="000000"/>
        </w:rPr>
        <w:t xml:space="preserve"> </w:t>
      </w:r>
      <w:r w:rsidR="0063555C">
        <w:rPr>
          <w:b/>
          <w:u w:val="single" w:color="000000"/>
        </w:rPr>
        <w:t>CFR 319.56-42</w:t>
      </w:r>
      <w:r>
        <w:rPr>
          <w:b/>
          <w:u w:val="single" w:color="000000"/>
        </w:rPr>
        <w:t>(c) Inspections (foreign government) (business)</w:t>
      </w:r>
    </w:p>
    <w:p w:rsidR="00740096" w:rsidRDefault="00740096" w:rsidP="003A31D2">
      <w:pPr>
        <w:tabs>
          <w:tab w:val="left" w:pos="90"/>
        </w:tabs>
        <w:spacing w:line="240" w:lineRule="auto"/>
        <w:ind w:left="0" w:right="51" w:firstLine="0"/>
      </w:pPr>
      <w:r>
        <w:t xml:space="preserve">The greenhouses must be inspected monthly throughout the growing season by NPQS to ensure phytosanitary procedures are employed to exclude plant pests and diseases, and that the screens are intact. </w:t>
      </w:r>
    </w:p>
    <w:p w:rsidR="00740096" w:rsidRDefault="00740096" w:rsidP="003A31D2">
      <w:pPr>
        <w:tabs>
          <w:tab w:val="left" w:pos="90"/>
        </w:tabs>
        <w:spacing w:line="240" w:lineRule="auto"/>
        <w:ind w:left="0" w:firstLine="0"/>
      </w:pPr>
    </w:p>
    <w:p w:rsidR="00FD402E" w:rsidRDefault="004E2123" w:rsidP="003A31D2">
      <w:pPr>
        <w:tabs>
          <w:tab w:val="left" w:pos="90"/>
        </w:tabs>
        <w:spacing w:line="240" w:lineRule="auto"/>
        <w:ind w:left="0" w:right="51" w:firstLine="0"/>
      </w:pPr>
      <w:r>
        <w:rPr>
          <w:b/>
          <w:u w:val="single" w:color="000000"/>
        </w:rPr>
        <w:t>Emergency Action Notification PPQ Form 523 (business)</w:t>
      </w:r>
    </w:p>
    <w:p w:rsidR="00C55CAF" w:rsidRDefault="004E2123" w:rsidP="003A31D2">
      <w:pPr>
        <w:tabs>
          <w:tab w:val="left" w:pos="90"/>
        </w:tabs>
        <w:spacing w:line="240" w:lineRule="auto"/>
        <w:ind w:left="0" w:right="51" w:firstLine="0"/>
      </w:pPr>
      <w:r>
        <w:t xml:space="preserve">If a single live plant pest in any stage of development is found, the consignment will be held until an investigation is completed and appropriate remedial actions have been implemented. Inspectors will complete the PPQ form 523 when there is an interception of a pest and will fax it to the importer for signature and quarantine action.  </w:t>
      </w:r>
    </w:p>
    <w:p w:rsidR="00FD402E" w:rsidRDefault="00FD402E" w:rsidP="003A31D2">
      <w:pPr>
        <w:tabs>
          <w:tab w:val="left" w:pos="90"/>
        </w:tabs>
        <w:spacing w:line="240" w:lineRule="auto"/>
        <w:ind w:left="0" w:right="51" w:firstLine="0"/>
      </w:pPr>
    </w:p>
    <w:p w:rsidR="00FD402E" w:rsidRDefault="00FD402E" w:rsidP="003A31D2">
      <w:pPr>
        <w:tabs>
          <w:tab w:val="left" w:pos="90"/>
        </w:tabs>
        <w:spacing w:line="240" w:lineRule="auto"/>
        <w:ind w:left="0" w:right="51" w:firstLine="0"/>
      </w:pPr>
    </w:p>
    <w:p w:rsidR="00C55CAF" w:rsidRDefault="004E2123" w:rsidP="003A31D2">
      <w:pPr>
        <w:tabs>
          <w:tab w:val="left" w:pos="90"/>
        </w:tabs>
        <w:spacing w:after="3" w:line="248" w:lineRule="auto"/>
        <w:ind w:left="0" w:right="55" w:firstLine="0"/>
      </w:pPr>
      <w:r>
        <w:rPr>
          <w:b/>
        </w:rPr>
        <w:t xml:space="preserve">3.  </w:t>
      </w:r>
      <w:r w:rsidR="003A31D2">
        <w:rPr>
          <w:b/>
        </w:rPr>
        <w:t xml:space="preserve"> </w:t>
      </w:r>
      <w:r>
        <w:rPr>
          <w:b/>
        </w:rPr>
        <w:t>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r>
        <w:t xml:space="preserve"> </w:t>
      </w:r>
    </w:p>
    <w:p w:rsidR="00C55CAF" w:rsidRDefault="004E2123" w:rsidP="003A31D2">
      <w:pPr>
        <w:tabs>
          <w:tab w:val="left" w:pos="90"/>
        </w:tabs>
        <w:spacing w:line="259" w:lineRule="auto"/>
        <w:ind w:left="0" w:firstLine="0"/>
      </w:pPr>
      <w:r>
        <w:t xml:space="preserve"> </w:t>
      </w:r>
    </w:p>
    <w:p w:rsidR="00740096" w:rsidRPr="00740096" w:rsidRDefault="00740096" w:rsidP="003A31D2">
      <w:pPr>
        <w:pStyle w:val="DefaultText"/>
        <w:tabs>
          <w:tab w:val="left" w:pos="90"/>
        </w:tabs>
      </w:pPr>
      <w:r w:rsidRPr="00740096">
        <w:rPr>
          <w:rStyle w:val="InitialStyle"/>
          <w:rFonts w:ascii="Times New Roman" w:hAnsi="Times New Roman"/>
        </w:rPr>
        <w:t xml:space="preserve">APHIS has no control or influence over when foreign countries will automate their phytosanitary certificate. </w:t>
      </w:r>
      <w:r w:rsidRPr="00740096">
        <w:rPr>
          <w:rStyle w:val="InitialStyle"/>
          <w:rFonts w:ascii="Times New Roman" w:hAnsi="Times New Roman"/>
          <w:szCs w:val="24"/>
        </w:rPr>
        <w:t xml:space="preserve">However, </w:t>
      </w:r>
      <w:r w:rsidRPr="00740096">
        <w:rPr>
          <w:szCs w:val="24"/>
        </w:rPr>
        <w:t>APHIS is involved with the governmentwide utilization of the International Trade Data System (ITDS) via the Automated Commercial Environment (ACE) to improve business operations and further agency missions.  This will allow respondents to submit the data required by the United States Customs Border Protection and its Partner Government Agencies (PGAs), such as APHIS  to import and export cargo, such as peppers through a Single Window concept.</w:t>
      </w:r>
    </w:p>
    <w:p w:rsidR="00740096" w:rsidRPr="00740096" w:rsidRDefault="00740096" w:rsidP="003A31D2">
      <w:pPr>
        <w:pStyle w:val="DefaultText"/>
        <w:tabs>
          <w:tab w:val="left" w:pos="90"/>
        </w:tabs>
        <w:rPr>
          <w:rStyle w:val="InitialStyle"/>
          <w:rFonts w:ascii="Times New Roman" w:hAnsi="Times New Roman"/>
          <w:highlight w:val="yellow"/>
        </w:rPr>
      </w:pPr>
    </w:p>
    <w:p w:rsidR="00740096" w:rsidRDefault="00740096" w:rsidP="003A31D2">
      <w:pPr>
        <w:pStyle w:val="NormalWeb"/>
        <w:tabs>
          <w:tab w:val="left" w:pos="90"/>
        </w:tabs>
        <w:spacing w:before="0" w:beforeAutospacing="0" w:after="0" w:afterAutospacing="0"/>
      </w:pPr>
      <w:r w:rsidRPr="00740096">
        <w:t>PPQ Form 523 is u</w:t>
      </w:r>
      <w:r w:rsidR="00082362">
        <w:t xml:space="preserve">sed by Customs and Border </w:t>
      </w:r>
      <w:r w:rsidR="00ED59C8">
        <w:t>Protection</w:t>
      </w:r>
      <w:r w:rsidRPr="00740096">
        <w:t xml:space="preserve"> (CBP) to generate records and perform analysis necessary to carry out the program. This may include exporting records or portions of records to the International Trade Data System (ITDS) or the Automated Commercial Environment (ACE). The records may be used by designated employees of CBP and/or the State agricultural cooperators for the following purposes: </w:t>
      </w:r>
    </w:p>
    <w:p w:rsidR="00C76EB1" w:rsidRPr="00740096" w:rsidRDefault="00C76EB1" w:rsidP="003A31D2">
      <w:pPr>
        <w:pStyle w:val="NormalWeb"/>
        <w:spacing w:before="0" w:beforeAutospacing="0" w:after="0" w:afterAutospacing="0"/>
      </w:pPr>
    </w:p>
    <w:p w:rsidR="00740096" w:rsidRPr="00740096" w:rsidRDefault="00740096" w:rsidP="003A31D2">
      <w:pPr>
        <w:pStyle w:val="NormalWeb"/>
        <w:spacing w:before="0" w:beforeAutospacing="0" w:after="0" w:afterAutospacing="0"/>
        <w:ind w:left="360"/>
      </w:pPr>
      <w:r w:rsidRPr="00740096">
        <w:t xml:space="preserve">(a) Generate the Emergency Action Notification (PPQ Form 523) for the purpose of notification of noncompliance and administrative instructions to importers/shippers/property owners at ports of entry or domestic locations regarding available options for safeguarding their shipment/property against an identified agricultural risk. </w:t>
      </w:r>
    </w:p>
    <w:p w:rsidR="00C55CAF" w:rsidRDefault="00C55CAF" w:rsidP="003A31D2">
      <w:pPr>
        <w:spacing w:line="240" w:lineRule="auto"/>
        <w:ind w:left="0" w:firstLine="0"/>
      </w:pPr>
    </w:p>
    <w:p w:rsidR="00740096" w:rsidRDefault="00740096" w:rsidP="003A31D2">
      <w:pPr>
        <w:spacing w:line="240" w:lineRule="auto"/>
        <w:ind w:left="0" w:firstLine="0"/>
      </w:pPr>
    </w:p>
    <w:p w:rsidR="00FD402E" w:rsidRPr="003A31D2" w:rsidRDefault="003A31D2" w:rsidP="003A31D2">
      <w:pPr>
        <w:rPr>
          <w:b/>
        </w:rPr>
      </w:pPr>
      <w:r w:rsidRPr="003A31D2">
        <w:rPr>
          <w:b/>
        </w:rPr>
        <w:t xml:space="preserve">4.  </w:t>
      </w:r>
      <w:r w:rsidR="004E2123" w:rsidRPr="003A31D2">
        <w:rPr>
          <w:b/>
        </w:rPr>
        <w:t xml:space="preserve">Describe efforts to identify duplication.  Show specifically why any similar information already available cannot be used or modified for use for the purpose described in item 2 above.  </w:t>
      </w:r>
    </w:p>
    <w:p w:rsidR="00FD402E" w:rsidRDefault="00FD402E" w:rsidP="003A31D2">
      <w:pPr>
        <w:pStyle w:val="ListParagraph"/>
        <w:spacing w:after="3" w:line="248" w:lineRule="auto"/>
        <w:ind w:left="0" w:right="55" w:firstLine="0"/>
      </w:pPr>
    </w:p>
    <w:p w:rsidR="00FD402E" w:rsidRDefault="004E2123" w:rsidP="003A31D2">
      <w:pPr>
        <w:pStyle w:val="ListParagraph"/>
        <w:spacing w:after="3" w:line="248" w:lineRule="auto"/>
        <w:ind w:left="0" w:right="55" w:firstLine="0"/>
      </w:pPr>
      <w:r>
        <w:t>The information APHIS collects is exclusive to its mission of preventing the entry of injurious plant pests, diseases, and noxious weeds and is not available from any other source.</w:t>
      </w:r>
    </w:p>
    <w:p w:rsidR="00FD402E" w:rsidRDefault="00FD402E" w:rsidP="003A31D2">
      <w:pPr>
        <w:pStyle w:val="ListParagraph"/>
        <w:spacing w:after="3" w:line="248" w:lineRule="auto"/>
        <w:ind w:left="0" w:right="55" w:firstLine="0"/>
      </w:pPr>
    </w:p>
    <w:p w:rsidR="003A31D2" w:rsidRDefault="003A31D2" w:rsidP="003A31D2">
      <w:pPr>
        <w:pStyle w:val="ListParagraph"/>
        <w:spacing w:after="3" w:line="248" w:lineRule="auto"/>
        <w:ind w:left="0" w:right="55" w:firstLine="0"/>
      </w:pPr>
    </w:p>
    <w:p w:rsidR="00FD402E" w:rsidRPr="003A31D2" w:rsidRDefault="003A31D2" w:rsidP="003A31D2">
      <w:pPr>
        <w:rPr>
          <w:b/>
        </w:rPr>
      </w:pPr>
      <w:r w:rsidRPr="003A31D2">
        <w:rPr>
          <w:b/>
        </w:rPr>
        <w:t xml:space="preserve">5.  </w:t>
      </w:r>
      <w:r w:rsidR="004E2123" w:rsidRPr="003A31D2">
        <w:rPr>
          <w:b/>
        </w:rPr>
        <w:t xml:space="preserve">If the collection of information impacts small businesses or other small entities, describe any methods used to minimize burden. </w:t>
      </w:r>
    </w:p>
    <w:p w:rsidR="00FD402E" w:rsidRDefault="00FD402E" w:rsidP="003A31D2">
      <w:pPr>
        <w:pStyle w:val="ListParagraph"/>
        <w:spacing w:after="3" w:line="248" w:lineRule="auto"/>
        <w:ind w:left="0" w:right="55" w:firstLine="0"/>
        <w:rPr>
          <w:b/>
        </w:rPr>
      </w:pPr>
    </w:p>
    <w:p w:rsidR="00FD402E" w:rsidRDefault="004E2123" w:rsidP="003A31D2">
      <w:pPr>
        <w:pStyle w:val="ListParagraph"/>
        <w:spacing w:after="3" w:line="248" w:lineRule="auto"/>
        <w:ind w:left="0" w:right="55" w:firstLine="0"/>
      </w:pPr>
      <w:r>
        <w:t>The information APHIS collects in connection with its pr</w:t>
      </w:r>
      <w:r w:rsidR="00082362">
        <w:t xml:space="preserve">ogram is the minimum needed to </w:t>
      </w:r>
      <w:r>
        <w:t xml:space="preserve">protect the United States from plant pests and diseases from entering the United States.  APHIS has determined that the one respondent is a small entity. </w:t>
      </w:r>
    </w:p>
    <w:p w:rsidR="00FD402E" w:rsidRDefault="00FD402E" w:rsidP="003A31D2">
      <w:pPr>
        <w:pStyle w:val="ListParagraph"/>
        <w:spacing w:after="3" w:line="248" w:lineRule="auto"/>
        <w:ind w:left="370" w:right="55" w:firstLine="0"/>
      </w:pPr>
    </w:p>
    <w:p w:rsidR="00740096" w:rsidRDefault="00740096" w:rsidP="003A31D2">
      <w:pPr>
        <w:pStyle w:val="ListParagraph"/>
        <w:spacing w:after="3" w:line="248" w:lineRule="auto"/>
        <w:ind w:left="370" w:right="55" w:firstLine="0"/>
      </w:pPr>
    </w:p>
    <w:p w:rsidR="00FD402E" w:rsidRPr="00FD402E" w:rsidRDefault="003A31D2" w:rsidP="003A31D2">
      <w:pPr>
        <w:pStyle w:val="ListParagraph"/>
        <w:spacing w:after="3" w:line="248" w:lineRule="auto"/>
        <w:ind w:left="0" w:right="55" w:firstLine="0"/>
      </w:pPr>
      <w:r>
        <w:rPr>
          <w:b/>
        </w:rPr>
        <w:t xml:space="preserve">6.  </w:t>
      </w:r>
      <w:r w:rsidR="004E2123">
        <w:rPr>
          <w:b/>
        </w:rPr>
        <w:t xml:space="preserve">Describe the consequences to Federal program or policy activities if the collection is not conducted or is conducted less frequently, as well as any technical or legal obstacles to reducing burden. </w:t>
      </w:r>
    </w:p>
    <w:p w:rsidR="003A31D2" w:rsidRDefault="003A31D2" w:rsidP="003A31D2">
      <w:pPr>
        <w:spacing w:after="3" w:line="248" w:lineRule="auto"/>
        <w:ind w:right="55"/>
      </w:pPr>
    </w:p>
    <w:p w:rsidR="00FD402E" w:rsidRDefault="004E2123" w:rsidP="003A31D2">
      <w:pPr>
        <w:spacing w:after="3" w:line="248" w:lineRule="auto"/>
        <w:ind w:right="55"/>
      </w:pPr>
      <w:r>
        <w:t xml:space="preserve">Failing to collect this information would cripple APHIS’ ability to ensure that peppers from Korea are not carrying plant pests and would cause millions of dollars in damage to United States agriculture. </w:t>
      </w:r>
    </w:p>
    <w:p w:rsidR="00FD402E" w:rsidRDefault="00FD402E" w:rsidP="003A31D2">
      <w:pPr>
        <w:spacing w:after="3" w:line="248" w:lineRule="auto"/>
        <w:ind w:right="55" w:firstLine="0"/>
        <w:rPr>
          <w:b/>
        </w:rPr>
      </w:pPr>
    </w:p>
    <w:p w:rsidR="00740096" w:rsidRDefault="00740096" w:rsidP="003A31D2">
      <w:pPr>
        <w:spacing w:after="3" w:line="248" w:lineRule="auto"/>
        <w:ind w:right="55" w:firstLine="0"/>
        <w:rPr>
          <w:b/>
        </w:rPr>
      </w:pPr>
    </w:p>
    <w:p w:rsidR="00C55CAF" w:rsidRDefault="00980FF0" w:rsidP="00980FF0">
      <w:pPr>
        <w:spacing w:after="3" w:line="248" w:lineRule="auto"/>
        <w:ind w:right="55" w:firstLine="0"/>
      </w:pPr>
      <w:r>
        <w:rPr>
          <w:b/>
        </w:rPr>
        <w:t xml:space="preserve">7.  </w:t>
      </w:r>
      <w:r w:rsidR="004E2123" w:rsidRPr="00980FF0">
        <w:rPr>
          <w:b/>
        </w:rPr>
        <w:t>Explain any special circumstances that require the collection to be conducted in a manner inconsistent with the general information collection guidelines in 5 CFR 1320.5.</w:t>
      </w:r>
      <w:r w:rsidR="004E2123">
        <w:t xml:space="preserve"> </w:t>
      </w:r>
    </w:p>
    <w:p w:rsidR="00C55CAF" w:rsidRDefault="004E2123">
      <w:pPr>
        <w:spacing w:after="1" w:line="259" w:lineRule="auto"/>
        <w:ind w:left="0" w:firstLine="0"/>
      </w:pPr>
      <w:r>
        <w:t xml:space="preserve"> </w:t>
      </w:r>
    </w:p>
    <w:p w:rsidR="00C55CAF" w:rsidRDefault="004E2123">
      <w:pPr>
        <w:numPr>
          <w:ilvl w:val="1"/>
          <w:numId w:val="1"/>
        </w:numPr>
        <w:spacing w:after="3" w:line="248" w:lineRule="auto"/>
        <w:ind w:right="55" w:hanging="451"/>
      </w:pPr>
      <w:r>
        <w:rPr>
          <w:b/>
        </w:rPr>
        <w:t xml:space="preserve">requiring respondents to report information to the agency more often than quarterly; </w:t>
      </w:r>
    </w:p>
    <w:p w:rsidR="00C55CAF" w:rsidRDefault="004E2123">
      <w:pPr>
        <w:spacing w:after="73" w:line="259" w:lineRule="auto"/>
        <w:ind w:left="1171" w:firstLine="0"/>
      </w:pPr>
      <w:r>
        <w:rPr>
          <w:b/>
        </w:rPr>
        <w:t xml:space="preserve"> </w:t>
      </w:r>
    </w:p>
    <w:p w:rsidR="00C55CAF" w:rsidRDefault="004E2123">
      <w:pPr>
        <w:numPr>
          <w:ilvl w:val="1"/>
          <w:numId w:val="1"/>
        </w:numPr>
        <w:spacing w:after="3" w:line="248" w:lineRule="auto"/>
        <w:ind w:right="55" w:hanging="451"/>
      </w:pPr>
      <w:r>
        <w:rPr>
          <w:b/>
        </w:rPr>
        <w:t xml:space="preserve">requiring respondents to prepare a written response to a collection of  information in fewer than 30 days after receipt of it; </w:t>
      </w:r>
    </w:p>
    <w:p w:rsidR="00C55CAF" w:rsidRDefault="004E2123">
      <w:pPr>
        <w:spacing w:after="73" w:line="259" w:lineRule="auto"/>
        <w:ind w:left="720" w:firstLine="0"/>
      </w:pPr>
      <w:r>
        <w:rPr>
          <w:b/>
        </w:rPr>
        <w:t xml:space="preserve"> </w:t>
      </w:r>
    </w:p>
    <w:p w:rsidR="00C55CAF" w:rsidRDefault="004E2123">
      <w:pPr>
        <w:numPr>
          <w:ilvl w:val="1"/>
          <w:numId w:val="1"/>
        </w:numPr>
        <w:spacing w:after="72" w:line="248" w:lineRule="auto"/>
        <w:ind w:right="55" w:hanging="451"/>
      </w:pPr>
      <w:r>
        <w:rPr>
          <w:b/>
        </w:rPr>
        <w:t xml:space="preserve">requiring respondents to submit more than an original and two copies of any document; </w:t>
      </w:r>
    </w:p>
    <w:p w:rsidR="00C55CAF" w:rsidRDefault="004E2123">
      <w:pPr>
        <w:spacing w:after="73" w:line="259" w:lineRule="auto"/>
        <w:ind w:left="1171" w:firstLine="0"/>
      </w:pPr>
      <w:r>
        <w:rPr>
          <w:b/>
        </w:rPr>
        <w:t xml:space="preserve"> </w:t>
      </w:r>
    </w:p>
    <w:p w:rsidR="00C55CAF" w:rsidRDefault="004E2123">
      <w:pPr>
        <w:numPr>
          <w:ilvl w:val="1"/>
          <w:numId w:val="1"/>
        </w:numPr>
        <w:spacing w:after="72" w:line="248" w:lineRule="auto"/>
        <w:ind w:right="55" w:hanging="451"/>
      </w:pPr>
      <w:r>
        <w:rPr>
          <w:b/>
        </w:rPr>
        <w:t xml:space="preserve">requiring respondents to retain records, other than health, medical, government contract, grant-in-aid, or tax records for more than three years; </w:t>
      </w:r>
    </w:p>
    <w:p w:rsidR="00C55CAF" w:rsidRDefault="004E2123">
      <w:pPr>
        <w:spacing w:after="73" w:line="259" w:lineRule="auto"/>
        <w:ind w:left="1171" w:firstLine="0"/>
      </w:pPr>
      <w:r>
        <w:rPr>
          <w:b/>
        </w:rPr>
        <w:t xml:space="preserve"> </w:t>
      </w:r>
    </w:p>
    <w:p w:rsidR="00C55CAF" w:rsidRDefault="004E2123">
      <w:pPr>
        <w:numPr>
          <w:ilvl w:val="1"/>
          <w:numId w:val="1"/>
        </w:numPr>
        <w:spacing w:after="70" w:line="248" w:lineRule="auto"/>
        <w:ind w:right="55" w:hanging="451"/>
      </w:pPr>
      <w:r>
        <w:rPr>
          <w:b/>
        </w:rPr>
        <w:t xml:space="preserve">in connection with a statistical survey, that is not designed to produce valid and reliable results that can be generalized to the universe of study; </w:t>
      </w:r>
    </w:p>
    <w:p w:rsidR="00C55CAF" w:rsidRDefault="004E2123">
      <w:pPr>
        <w:spacing w:after="75" w:line="259" w:lineRule="auto"/>
        <w:ind w:left="1171" w:firstLine="0"/>
      </w:pPr>
      <w:r>
        <w:rPr>
          <w:b/>
        </w:rPr>
        <w:t xml:space="preserve"> </w:t>
      </w:r>
    </w:p>
    <w:p w:rsidR="00C55CAF" w:rsidRDefault="004E2123">
      <w:pPr>
        <w:numPr>
          <w:ilvl w:val="1"/>
          <w:numId w:val="1"/>
        </w:numPr>
        <w:spacing w:after="70" w:line="248" w:lineRule="auto"/>
        <w:ind w:right="55" w:hanging="451"/>
      </w:pPr>
      <w:r>
        <w:rPr>
          <w:b/>
        </w:rPr>
        <w:t xml:space="preserve">requiring the use of a statistical data classification that has not been reviewed and approved by OMB; </w:t>
      </w:r>
    </w:p>
    <w:p w:rsidR="00C55CAF" w:rsidRDefault="004E2123">
      <w:pPr>
        <w:spacing w:after="75" w:line="259" w:lineRule="auto"/>
        <w:ind w:left="1171" w:firstLine="0"/>
      </w:pPr>
      <w:r>
        <w:rPr>
          <w:b/>
        </w:rPr>
        <w:t xml:space="preserve"> </w:t>
      </w:r>
    </w:p>
    <w:p w:rsidR="00C55CAF" w:rsidRDefault="004E2123">
      <w:pPr>
        <w:numPr>
          <w:ilvl w:val="1"/>
          <w:numId w:val="1"/>
        </w:numPr>
        <w:spacing w:after="70" w:line="248" w:lineRule="auto"/>
        <w:ind w:right="55" w:hanging="451"/>
      </w:pPr>
      <w:r>
        <w:rPr>
          <w:b/>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C55CAF" w:rsidRDefault="004E2123">
      <w:pPr>
        <w:spacing w:after="73" w:line="259" w:lineRule="auto"/>
        <w:ind w:left="1171" w:firstLine="0"/>
      </w:pPr>
      <w:r>
        <w:rPr>
          <w:b/>
        </w:rPr>
        <w:t xml:space="preserve"> </w:t>
      </w:r>
    </w:p>
    <w:p w:rsidR="00C55CAF" w:rsidRDefault="004E2123">
      <w:pPr>
        <w:numPr>
          <w:ilvl w:val="1"/>
          <w:numId w:val="1"/>
        </w:numPr>
        <w:spacing w:after="62" w:line="248" w:lineRule="auto"/>
        <w:ind w:right="55" w:hanging="451"/>
      </w:pPr>
      <w:r>
        <w:rPr>
          <w:b/>
        </w:rPr>
        <w:t>requiring respondents to submit proprietary trade secret, or other confidential information unless the agency can demonstrate that it has instituted procedures to protect the information's confidentiality to the extent permitted by law.</w:t>
      </w:r>
      <w:r>
        <w:t xml:space="preserve"> </w:t>
      </w:r>
    </w:p>
    <w:p w:rsidR="00C55CAF" w:rsidRDefault="004E2123">
      <w:pPr>
        <w:spacing w:line="259" w:lineRule="auto"/>
        <w:ind w:left="0" w:firstLine="0"/>
      </w:pPr>
      <w:r>
        <w:t xml:space="preserve"> </w:t>
      </w:r>
    </w:p>
    <w:p w:rsidR="00FD402E" w:rsidRDefault="004E2123" w:rsidP="00FD402E">
      <w:pPr>
        <w:ind w:left="-5" w:right="51"/>
      </w:pPr>
      <w:r>
        <w:t xml:space="preserve">No special circumstances exist that would require this collection to be conducted in a manner inconsistent with the general information collection guidelines in 5 CFR 1320.5. </w:t>
      </w:r>
    </w:p>
    <w:p w:rsidR="00FD402E" w:rsidRDefault="00FD402E" w:rsidP="00FD402E">
      <w:pPr>
        <w:ind w:left="-5" w:right="51"/>
      </w:pPr>
    </w:p>
    <w:p w:rsidR="00740096" w:rsidRDefault="00740096" w:rsidP="00FD402E">
      <w:pPr>
        <w:ind w:left="-5" w:right="51"/>
      </w:pPr>
    </w:p>
    <w:p w:rsidR="00FD402E" w:rsidRPr="00980FF0" w:rsidRDefault="00980FF0" w:rsidP="00980FF0">
      <w:pPr>
        <w:rPr>
          <w:b/>
        </w:rPr>
      </w:pPr>
      <w:r>
        <w:rPr>
          <w:b/>
        </w:rPr>
        <w:t xml:space="preserve">8.  </w:t>
      </w:r>
      <w:r w:rsidR="004E2123" w:rsidRPr="00980FF0">
        <w:rPr>
          <w:b/>
        </w:rPr>
        <w:t>Describe efforts to consult with persons outside the agen</w:t>
      </w:r>
      <w:r w:rsidRPr="00980FF0">
        <w:rPr>
          <w:b/>
        </w:rPr>
        <w:t xml:space="preserve">cy to obtain their views on the </w:t>
      </w:r>
      <w:r w:rsidR="004E2123" w:rsidRPr="00980FF0">
        <w:rPr>
          <w:b/>
        </w:rPr>
        <w:t xml:space="preserve">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FD402E" w:rsidRDefault="00FD402E" w:rsidP="00FD402E">
      <w:pPr>
        <w:pStyle w:val="ListParagraph"/>
        <w:ind w:left="370" w:right="51" w:firstLine="0"/>
        <w:rPr>
          <w:b/>
        </w:rPr>
      </w:pPr>
    </w:p>
    <w:p w:rsidR="00FD402E" w:rsidRDefault="004E2123" w:rsidP="00980FF0">
      <w:pPr>
        <w:ind w:right="51"/>
      </w:pPr>
      <w:r>
        <w:t xml:space="preserve">APHIS held productive consultations with the following individuals concerning the information collection activities associated with this program to import peppers from the Republic of Korea: </w:t>
      </w:r>
    </w:p>
    <w:p w:rsidR="00082362" w:rsidRDefault="00082362" w:rsidP="00082362">
      <w:pPr>
        <w:ind w:left="0" w:right="51" w:firstLine="0"/>
      </w:pPr>
    </w:p>
    <w:p w:rsidR="00C55CAF" w:rsidRDefault="004E2123" w:rsidP="00980FF0">
      <w:pPr>
        <w:pStyle w:val="ListParagraph"/>
        <w:ind w:left="0" w:right="51"/>
      </w:pPr>
      <w:r>
        <w:t xml:space="preserve">Carmel Agrexco USA LTD </w:t>
      </w:r>
    </w:p>
    <w:p w:rsidR="00C55CAF" w:rsidRDefault="004E2123" w:rsidP="00980FF0">
      <w:pPr>
        <w:ind w:left="0" w:right="51"/>
      </w:pPr>
      <w:r>
        <w:t xml:space="preserve">Or Eyal, Vice Chairman  </w:t>
      </w:r>
    </w:p>
    <w:p w:rsidR="00C55CAF" w:rsidRDefault="004E2123" w:rsidP="00980FF0">
      <w:pPr>
        <w:spacing w:after="26"/>
        <w:ind w:left="0" w:right="51"/>
      </w:pPr>
      <w:r>
        <w:t>15012 132</w:t>
      </w:r>
      <w:r>
        <w:rPr>
          <w:vertAlign w:val="superscript"/>
        </w:rPr>
        <w:t>nd</w:t>
      </w:r>
      <w:r>
        <w:t xml:space="preserve"> Avenue </w:t>
      </w:r>
    </w:p>
    <w:p w:rsidR="00FD402E" w:rsidRDefault="004E2123" w:rsidP="00980FF0">
      <w:pPr>
        <w:ind w:left="0" w:right="6000"/>
      </w:pPr>
      <w:r>
        <w:t xml:space="preserve">NewYork, NY  11434-3596 Phone:  718- 481-8700 </w:t>
      </w:r>
    </w:p>
    <w:p w:rsidR="00C55CAF" w:rsidRDefault="004E2123" w:rsidP="00980FF0">
      <w:pPr>
        <w:ind w:left="0" w:right="6000"/>
      </w:pPr>
      <w:r>
        <w:t xml:space="preserve">Village Farms Greenhouses </w:t>
      </w:r>
    </w:p>
    <w:p w:rsidR="00FD402E" w:rsidRDefault="00FD402E" w:rsidP="00980FF0">
      <w:pPr>
        <w:ind w:left="0" w:right="51"/>
      </w:pPr>
    </w:p>
    <w:p w:rsidR="00C55CAF" w:rsidRDefault="00FD402E" w:rsidP="00980FF0">
      <w:pPr>
        <w:ind w:left="0" w:right="51"/>
      </w:pPr>
      <w:r>
        <w:t xml:space="preserve">Christopher Woodward, </w:t>
      </w:r>
      <w:r w:rsidR="004E2123">
        <w:t xml:space="preserve">Director </w:t>
      </w:r>
    </w:p>
    <w:p w:rsidR="00FD402E" w:rsidRDefault="004E2123" w:rsidP="00980FF0">
      <w:pPr>
        <w:ind w:left="0" w:right="5460"/>
      </w:pPr>
      <w:r>
        <w:t>195 International Parkway Heathrow,</w:t>
      </w:r>
      <w:r w:rsidR="00FD402E">
        <w:t xml:space="preserve"> FL</w:t>
      </w:r>
      <w:r>
        <w:t xml:space="preserve"> 32746 </w:t>
      </w:r>
    </w:p>
    <w:p w:rsidR="00C55CAF" w:rsidRDefault="004E2123" w:rsidP="00980FF0">
      <w:pPr>
        <w:ind w:left="0" w:right="6555"/>
      </w:pPr>
      <w:r>
        <w:t xml:space="preserve">Tel: 407-936-1190 </w:t>
      </w:r>
    </w:p>
    <w:p w:rsidR="00C55CAF" w:rsidRDefault="004E2123" w:rsidP="00980FF0">
      <w:pPr>
        <w:ind w:left="0" w:right="51"/>
      </w:pPr>
      <w:r>
        <w:t xml:space="preserve">Fax: 407-936-1187  </w:t>
      </w:r>
    </w:p>
    <w:p w:rsidR="00C55CAF" w:rsidRDefault="004E2123" w:rsidP="00980FF0">
      <w:pPr>
        <w:spacing w:line="259" w:lineRule="auto"/>
        <w:ind w:left="0"/>
      </w:pPr>
      <w:r>
        <w:t xml:space="preserve"> </w:t>
      </w:r>
    </w:p>
    <w:p w:rsidR="00C55CAF" w:rsidRPr="00FD402E" w:rsidRDefault="004E2123" w:rsidP="00980FF0">
      <w:pPr>
        <w:spacing w:after="3" w:line="248" w:lineRule="auto"/>
        <w:ind w:left="0" w:right="55"/>
      </w:pPr>
      <w:r w:rsidRPr="00FD402E">
        <w:t xml:space="preserve">Robert L. Guenther </w:t>
      </w:r>
    </w:p>
    <w:p w:rsidR="00FD402E" w:rsidRDefault="00FD402E" w:rsidP="00980FF0">
      <w:pPr>
        <w:ind w:left="0" w:right="51"/>
      </w:pPr>
      <w:r>
        <w:t xml:space="preserve">United Fresh Produce Association </w:t>
      </w:r>
    </w:p>
    <w:p w:rsidR="00C55CAF" w:rsidRDefault="004E2123" w:rsidP="00980FF0">
      <w:pPr>
        <w:ind w:left="0" w:right="51"/>
      </w:pPr>
      <w:r>
        <w:t xml:space="preserve">Senior Vice President, Public Policy </w:t>
      </w:r>
    </w:p>
    <w:p w:rsidR="00C55CAF" w:rsidRDefault="004E2123" w:rsidP="00980FF0">
      <w:pPr>
        <w:ind w:left="0" w:right="51"/>
      </w:pPr>
      <w:r>
        <w:t xml:space="preserve">1901 Pennsylvania Avenue, NW </w:t>
      </w:r>
    </w:p>
    <w:p w:rsidR="00C55CAF" w:rsidRDefault="004E2123" w:rsidP="00980FF0">
      <w:pPr>
        <w:ind w:left="0" w:right="51"/>
      </w:pPr>
      <w:r>
        <w:t xml:space="preserve">Suite 1100 </w:t>
      </w:r>
    </w:p>
    <w:p w:rsidR="00C55CAF" w:rsidRDefault="004E2123" w:rsidP="00980FF0">
      <w:pPr>
        <w:ind w:left="0" w:right="6360"/>
      </w:pPr>
      <w:r>
        <w:t xml:space="preserve">Washington, DC  20006 Phone:  202-303-3409 </w:t>
      </w:r>
    </w:p>
    <w:p w:rsidR="00C55CAF" w:rsidRDefault="004E2123" w:rsidP="00980FF0">
      <w:pPr>
        <w:spacing w:line="259" w:lineRule="auto"/>
        <w:ind w:left="0"/>
      </w:pPr>
      <w:r>
        <w:rPr>
          <w:color w:val="0000FF"/>
          <w:u w:val="single" w:color="0000FF"/>
        </w:rPr>
        <w:t>rguenther@unitedfresh.org</w:t>
      </w:r>
      <w:r>
        <w:t xml:space="preserve">  </w:t>
      </w:r>
    </w:p>
    <w:p w:rsidR="00C55CAF" w:rsidRDefault="004E2123" w:rsidP="00980FF0">
      <w:pPr>
        <w:spacing w:line="259" w:lineRule="auto"/>
        <w:ind w:left="0"/>
      </w:pPr>
      <w:r>
        <w:t xml:space="preserve"> </w:t>
      </w:r>
    </w:p>
    <w:p w:rsidR="00740096" w:rsidRPr="00082362" w:rsidRDefault="00082362" w:rsidP="00980FF0">
      <w:pPr>
        <w:ind w:left="0"/>
        <w:rPr>
          <w:color w:val="auto"/>
          <w:szCs w:val="24"/>
        </w:rPr>
      </w:pPr>
      <w:r>
        <w:rPr>
          <w:color w:val="auto"/>
          <w:szCs w:val="24"/>
        </w:rPr>
        <w:t>On Thursday, July 26</w:t>
      </w:r>
      <w:r w:rsidR="00740096" w:rsidRPr="00082362">
        <w:rPr>
          <w:color w:val="auto"/>
          <w:szCs w:val="24"/>
        </w:rPr>
        <w:t xml:space="preserve">, 2018, pages </w:t>
      </w:r>
      <w:r>
        <w:rPr>
          <w:color w:val="auto"/>
          <w:szCs w:val="24"/>
        </w:rPr>
        <w:t>35456-35457</w:t>
      </w:r>
      <w:r w:rsidR="00740096" w:rsidRPr="00082362">
        <w:rPr>
          <w:color w:val="auto"/>
          <w:szCs w:val="24"/>
        </w:rPr>
        <w:t>, APHIS published in the Federal Register, a 60-day notice seeking public comments on its plans to request a 3-year renewal of this collection of information.  No comments from the public were received.</w:t>
      </w:r>
    </w:p>
    <w:p w:rsidR="00980FF0" w:rsidRDefault="00980FF0" w:rsidP="00980FF0">
      <w:pPr>
        <w:pStyle w:val="ListParagraph"/>
        <w:tabs>
          <w:tab w:val="left" w:pos="0"/>
        </w:tabs>
        <w:spacing w:after="3" w:line="248" w:lineRule="auto"/>
        <w:ind w:left="0" w:right="55" w:firstLine="0"/>
      </w:pPr>
    </w:p>
    <w:p w:rsidR="00980FF0" w:rsidRDefault="00980FF0" w:rsidP="00980FF0">
      <w:pPr>
        <w:pStyle w:val="ListParagraph"/>
        <w:tabs>
          <w:tab w:val="left" w:pos="0"/>
        </w:tabs>
        <w:spacing w:after="3" w:line="248" w:lineRule="auto"/>
        <w:ind w:left="0" w:right="55" w:firstLine="0"/>
      </w:pPr>
    </w:p>
    <w:p w:rsidR="00980FF0" w:rsidRPr="00980FF0" w:rsidRDefault="00980FF0" w:rsidP="00980FF0">
      <w:pPr>
        <w:pStyle w:val="ListParagraph"/>
        <w:tabs>
          <w:tab w:val="left" w:pos="0"/>
        </w:tabs>
        <w:spacing w:after="3" w:line="248" w:lineRule="auto"/>
        <w:ind w:left="0" w:right="55" w:firstLine="0"/>
        <w:rPr>
          <w:b/>
        </w:rPr>
      </w:pPr>
      <w:r w:rsidRPr="00980FF0">
        <w:rPr>
          <w:b/>
        </w:rPr>
        <w:t xml:space="preserve">9.  </w:t>
      </w:r>
      <w:r w:rsidR="004E2123" w:rsidRPr="00980FF0">
        <w:rPr>
          <w:b/>
        </w:rPr>
        <w:t xml:space="preserve">Explain any decisions to provide any payment or gift to respondents, other than </w:t>
      </w:r>
      <w:r w:rsidRPr="00980FF0">
        <w:rPr>
          <w:b/>
        </w:rPr>
        <w:t xml:space="preserve"> </w:t>
      </w:r>
    </w:p>
    <w:p w:rsidR="00FD402E" w:rsidRPr="00980FF0" w:rsidRDefault="004E2123" w:rsidP="00980FF0">
      <w:pPr>
        <w:pStyle w:val="ListParagraph"/>
        <w:tabs>
          <w:tab w:val="left" w:pos="0"/>
        </w:tabs>
        <w:spacing w:after="3" w:line="248" w:lineRule="auto"/>
        <w:ind w:left="0" w:right="55" w:firstLine="0"/>
        <w:rPr>
          <w:b/>
        </w:rPr>
      </w:pPr>
      <w:r w:rsidRPr="00980FF0">
        <w:rPr>
          <w:b/>
        </w:rPr>
        <w:t xml:space="preserve">remuneration of contractors or grantees. </w:t>
      </w:r>
    </w:p>
    <w:p w:rsidR="00FD402E" w:rsidRDefault="00FD402E" w:rsidP="00FD402E">
      <w:pPr>
        <w:pStyle w:val="ListParagraph"/>
        <w:spacing w:after="3" w:line="248" w:lineRule="auto"/>
        <w:ind w:left="370" w:right="55" w:firstLine="0"/>
        <w:rPr>
          <w:b/>
        </w:rPr>
      </w:pPr>
    </w:p>
    <w:p w:rsidR="00FD402E" w:rsidRDefault="004E2123" w:rsidP="00980FF0">
      <w:pPr>
        <w:spacing w:after="3" w:line="248" w:lineRule="auto"/>
        <w:ind w:right="55"/>
      </w:pPr>
      <w:r>
        <w:t>This information collectio</w:t>
      </w:r>
      <w:r w:rsidR="00002624">
        <w:t xml:space="preserve">n activity involves no payments </w:t>
      </w:r>
      <w:r>
        <w:t xml:space="preserve">or gifts to respondents. </w:t>
      </w:r>
    </w:p>
    <w:p w:rsidR="00980FF0" w:rsidRDefault="00980FF0" w:rsidP="00980FF0">
      <w:pPr>
        <w:spacing w:after="3" w:line="248" w:lineRule="auto"/>
        <w:ind w:left="0" w:right="55" w:firstLine="0"/>
      </w:pPr>
    </w:p>
    <w:p w:rsidR="00980FF0" w:rsidRDefault="00980FF0" w:rsidP="00980FF0">
      <w:pPr>
        <w:spacing w:after="3" w:line="248" w:lineRule="auto"/>
        <w:ind w:left="0" w:right="55" w:firstLine="0"/>
      </w:pPr>
    </w:p>
    <w:p w:rsidR="00FD402E" w:rsidRPr="00980FF0" w:rsidRDefault="00980FF0" w:rsidP="00980FF0">
      <w:pPr>
        <w:spacing w:after="3" w:line="248" w:lineRule="auto"/>
        <w:ind w:left="0" w:right="55" w:firstLine="0"/>
        <w:rPr>
          <w:b/>
        </w:rPr>
      </w:pPr>
      <w:r w:rsidRPr="00980FF0">
        <w:rPr>
          <w:b/>
        </w:rPr>
        <w:t xml:space="preserve">10.  </w:t>
      </w:r>
      <w:r w:rsidR="004E2123" w:rsidRPr="00980FF0">
        <w:rPr>
          <w:b/>
        </w:rPr>
        <w:t xml:space="preserve">Describe any assurance of confidentiality provided to respondents and the basis for the assurance in statute, regulation, or agency policy. </w:t>
      </w:r>
    </w:p>
    <w:p w:rsidR="00F8738F" w:rsidRDefault="00F8738F" w:rsidP="00980FF0">
      <w:pPr>
        <w:pStyle w:val="ListParagraph"/>
        <w:spacing w:after="3" w:line="248" w:lineRule="auto"/>
        <w:ind w:left="0" w:right="55" w:firstLine="0"/>
      </w:pPr>
    </w:p>
    <w:p w:rsidR="00F51E79" w:rsidRPr="003D195F" w:rsidRDefault="00F51E79" w:rsidP="00F51E79">
      <w:pPr>
        <w:rPr>
          <w:szCs w:val="24"/>
        </w:rPr>
      </w:pPr>
      <w:r>
        <w:rPr>
          <w:szCs w:val="24"/>
        </w:rPr>
        <w:t xml:space="preserve">(SORN) </w:t>
      </w:r>
      <w:r w:rsidRPr="003D195F">
        <w:rPr>
          <w:szCs w:val="24"/>
        </w:rPr>
        <w:t>APHIS-10: APHIS Comprehensive Electronic Permitting System (ePermits)</w:t>
      </w:r>
    </w:p>
    <w:p w:rsidR="00F51E79" w:rsidRPr="003D195F" w:rsidRDefault="00F51E79" w:rsidP="00F51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3D195F">
        <w:rPr>
          <w:szCs w:val="24"/>
        </w:rPr>
        <w:t>FR Doc E8-9407[Federal Register: April 30, 2008 (Volume 73, Number 84)]</w:t>
      </w:r>
    </w:p>
    <w:p w:rsidR="00F51E79" w:rsidRDefault="00F51E79" w:rsidP="00980FF0">
      <w:pPr>
        <w:pStyle w:val="ListParagraph"/>
        <w:spacing w:after="3" w:line="248" w:lineRule="auto"/>
        <w:ind w:left="0" w:right="55" w:firstLine="0"/>
      </w:pPr>
    </w:p>
    <w:p w:rsidR="00FD402E" w:rsidRDefault="004E2123" w:rsidP="00980FF0">
      <w:pPr>
        <w:pStyle w:val="ListParagraph"/>
        <w:spacing w:after="3" w:line="248" w:lineRule="auto"/>
        <w:ind w:left="0" w:right="55" w:firstLine="0"/>
      </w:pPr>
      <w:r w:rsidRPr="00F8738F">
        <w:t>No additional assurance of confidentiality is provided with this information collection.  Any and all information obtained in this collection shall not be discl</w:t>
      </w:r>
      <w:r w:rsidR="008979C0" w:rsidRPr="00F8738F">
        <w:t xml:space="preserve">osed except in accordance with </w:t>
      </w:r>
      <w:r w:rsidRPr="00F8738F">
        <w:t>5 U.S.C. 552a.</w:t>
      </w:r>
      <w:r>
        <w:t xml:space="preserve"> </w:t>
      </w:r>
    </w:p>
    <w:p w:rsidR="00980FF0" w:rsidRDefault="00980FF0" w:rsidP="00980FF0">
      <w:pPr>
        <w:spacing w:after="3" w:line="248" w:lineRule="auto"/>
        <w:ind w:left="0" w:right="55" w:firstLine="0"/>
      </w:pPr>
    </w:p>
    <w:p w:rsidR="00980FF0" w:rsidRDefault="00980FF0" w:rsidP="00980FF0">
      <w:pPr>
        <w:spacing w:after="3" w:line="248" w:lineRule="auto"/>
        <w:ind w:left="0" w:right="55" w:firstLine="0"/>
      </w:pPr>
    </w:p>
    <w:p w:rsidR="00FD402E" w:rsidRPr="00980FF0" w:rsidRDefault="00980FF0" w:rsidP="00980FF0">
      <w:pPr>
        <w:spacing w:after="3" w:line="248" w:lineRule="auto"/>
        <w:ind w:left="0" w:right="55" w:firstLine="0"/>
        <w:rPr>
          <w:b/>
        </w:rPr>
      </w:pPr>
      <w:r w:rsidRPr="00980FF0">
        <w:rPr>
          <w:b/>
        </w:rPr>
        <w:t xml:space="preserve">11.  </w:t>
      </w:r>
      <w:r w:rsidR="004E2123" w:rsidRPr="00980FF0">
        <w:rPr>
          <w:b/>
        </w:rPr>
        <w:t xml:space="preserve">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FD402E" w:rsidRDefault="00FD402E" w:rsidP="00FD402E">
      <w:pPr>
        <w:pStyle w:val="ListParagraph"/>
        <w:spacing w:after="3" w:line="248" w:lineRule="auto"/>
        <w:ind w:left="370" w:right="55" w:firstLine="0"/>
        <w:rPr>
          <w:b/>
        </w:rPr>
      </w:pPr>
    </w:p>
    <w:p w:rsidR="00FD402E" w:rsidRDefault="004E2123" w:rsidP="00FD402E">
      <w:pPr>
        <w:pStyle w:val="ListParagraph"/>
        <w:spacing w:after="3" w:line="248" w:lineRule="auto"/>
        <w:ind w:left="370" w:right="55" w:firstLine="0"/>
      </w:pPr>
      <w:r>
        <w:t xml:space="preserve">This information collection activity asks no questions of a personal or sensitive nature. </w:t>
      </w:r>
    </w:p>
    <w:p w:rsidR="00FD402E" w:rsidRDefault="00FD402E" w:rsidP="00FD402E">
      <w:pPr>
        <w:pStyle w:val="ListParagraph"/>
        <w:spacing w:after="3" w:line="248" w:lineRule="auto"/>
        <w:ind w:left="370" w:right="55" w:firstLine="0"/>
      </w:pPr>
    </w:p>
    <w:p w:rsidR="00740096" w:rsidRDefault="00740096" w:rsidP="00FD402E">
      <w:pPr>
        <w:pStyle w:val="ListParagraph"/>
        <w:spacing w:after="3" w:line="248" w:lineRule="auto"/>
        <w:ind w:left="370" w:right="55" w:firstLine="0"/>
      </w:pPr>
    </w:p>
    <w:p w:rsidR="00FD402E" w:rsidRDefault="00980FF0" w:rsidP="00980FF0">
      <w:pPr>
        <w:spacing w:after="3" w:line="248" w:lineRule="auto"/>
        <w:ind w:right="55" w:firstLine="0"/>
      </w:pPr>
      <w:r>
        <w:rPr>
          <w:b/>
        </w:rPr>
        <w:t xml:space="preserve">12.  </w:t>
      </w:r>
      <w:r w:rsidR="004E2123" w:rsidRPr="00980FF0">
        <w:rPr>
          <w:b/>
        </w:rPr>
        <w:t xml:space="preserve">Provide estimates of the hour burden of the collection of information.  Indicate the number of respondents, frequency of response, annual hour burden, and an explanation of how the burden was estimated.   </w:t>
      </w:r>
      <w:r w:rsidR="004E2123">
        <w:t xml:space="preserve"> </w:t>
      </w:r>
    </w:p>
    <w:p w:rsidR="00ED59C8" w:rsidRDefault="00ED59C8" w:rsidP="00980FF0">
      <w:pPr>
        <w:spacing w:after="3" w:line="248" w:lineRule="auto"/>
        <w:ind w:right="55" w:firstLine="0"/>
      </w:pPr>
    </w:p>
    <w:p w:rsidR="00ED59C8" w:rsidRPr="00ED59C8" w:rsidRDefault="00ED59C8" w:rsidP="00ED59C8">
      <w:pPr>
        <w:pStyle w:val="DefaultText"/>
        <w:rPr>
          <w:rStyle w:val="InitialStyle"/>
          <w:rFonts w:ascii="Times New Roman" w:hAnsi="Times New Roman"/>
        </w:rPr>
      </w:pPr>
      <w:r w:rsidRPr="00ED59C8">
        <w:rPr>
          <w:rStyle w:val="InitialStyle"/>
          <w:rFonts w:ascii="Times New Roman" w:hAnsi="Times New Roman"/>
          <w:b/>
        </w:rPr>
        <w:t>•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ED59C8" w:rsidRPr="00ED59C8" w:rsidRDefault="00ED59C8" w:rsidP="00ED59C8">
      <w:pPr>
        <w:pStyle w:val="DefaultText"/>
        <w:rPr>
          <w:rStyle w:val="InitialStyle"/>
          <w:rFonts w:ascii="Times New Roman" w:hAnsi="Times New Roman"/>
        </w:rPr>
      </w:pPr>
    </w:p>
    <w:p w:rsidR="00ED59C8" w:rsidRPr="00ED59C8" w:rsidRDefault="00ED59C8" w:rsidP="00ED59C8">
      <w:pPr>
        <w:pStyle w:val="DefaultText"/>
        <w:rPr>
          <w:rStyle w:val="InitialStyle"/>
          <w:rFonts w:ascii="Times New Roman" w:hAnsi="Times New Roman"/>
        </w:rPr>
      </w:pPr>
      <w:r w:rsidRPr="00ED59C8">
        <w:rPr>
          <w:rStyle w:val="InitialStyle"/>
          <w:rFonts w:ascii="Times New Roman" w:hAnsi="Times New Roman"/>
        </w:rPr>
        <w:t xml:space="preserve">See APHIS Form 71 for hour burden estimates.  </w:t>
      </w:r>
    </w:p>
    <w:p w:rsidR="00ED59C8" w:rsidRPr="00ED59C8" w:rsidRDefault="00ED59C8" w:rsidP="00ED59C8">
      <w:pPr>
        <w:pStyle w:val="DefaultText"/>
        <w:rPr>
          <w:rStyle w:val="InitialStyle"/>
          <w:rFonts w:ascii="Times New Roman" w:hAnsi="Times New Roman"/>
        </w:rPr>
      </w:pPr>
    </w:p>
    <w:p w:rsidR="00ED59C8" w:rsidRPr="00ED59C8" w:rsidRDefault="00ED59C8" w:rsidP="00ED59C8">
      <w:pPr>
        <w:pStyle w:val="DefaultText"/>
        <w:rPr>
          <w:rStyle w:val="InitialStyle"/>
          <w:rFonts w:ascii="Times New Roman" w:hAnsi="Times New Roman"/>
        </w:rPr>
      </w:pPr>
      <w:r w:rsidRPr="00ED59C8">
        <w:rPr>
          <w:rStyle w:val="InitialStyle"/>
          <w:rFonts w:ascii="Times New Roman" w:hAnsi="Times New Roman"/>
          <w:b/>
        </w:rPr>
        <w:t>• Provide estimates of annualized cost to respondents for the hour burdens for collections of information, identifying and using appropriate wage rate categories.</w:t>
      </w:r>
    </w:p>
    <w:p w:rsidR="00ED59C8" w:rsidRPr="00ED59C8" w:rsidRDefault="00ED59C8" w:rsidP="00ED59C8">
      <w:pPr>
        <w:pStyle w:val="DefaultText"/>
        <w:rPr>
          <w:rStyle w:val="InitialStyle"/>
          <w:rFonts w:ascii="Times New Roman" w:hAnsi="Times New Roman"/>
        </w:rPr>
      </w:pPr>
    </w:p>
    <w:p w:rsidR="00ED59C8" w:rsidRDefault="00ED59C8" w:rsidP="00ED59C8">
      <w:pPr>
        <w:ind w:left="0" w:right="51" w:firstLine="0"/>
      </w:pPr>
      <w:r>
        <w:t xml:space="preserve">Respondents are the NPQS of Korea. APHIS estimates the total annualized cost to these respondents to be $289.00. APHIS arrived at this figure by multiplying the total hours of estimated response time (17 hours) by the estimated average hourly wage of the above respondents ($17.00). </w:t>
      </w:r>
    </w:p>
    <w:p w:rsidR="00ED59C8" w:rsidRDefault="00ED59C8" w:rsidP="00ED59C8">
      <w:pPr>
        <w:ind w:left="1080" w:right="51" w:hanging="1090"/>
      </w:pPr>
    </w:p>
    <w:p w:rsidR="00ED59C8" w:rsidRDefault="00ED59C8" w:rsidP="00ED59C8">
      <w:pPr>
        <w:ind w:left="1080" w:right="51" w:hanging="1090"/>
      </w:pPr>
      <w:r>
        <w:t xml:space="preserve">Estimated hourly wages for the respondents were determined from the Korean National </w:t>
      </w:r>
    </w:p>
    <w:p w:rsidR="00ED59C8" w:rsidRDefault="00ED59C8" w:rsidP="00ED59C8">
      <w:pPr>
        <w:ind w:left="1080" w:right="51" w:hanging="1090"/>
      </w:pPr>
      <w:r>
        <w:t xml:space="preserve">Statistical Office (28). See </w:t>
      </w:r>
      <w:hyperlink r:id="rId8">
        <w:r>
          <w:rPr>
            <w:color w:val="0000FF"/>
            <w:u w:val="single" w:color="0000FF"/>
          </w:rPr>
          <w:t>www.worldsalaries.org/korea</w:t>
        </w:r>
      </w:hyperlink>
      <w:hyperlink r:id="rId9">
        <w:r>
          <w:t>.</w:t>
        </w:r>
      </w:hyperlink>
      <w:r>
        <w:t xml:space="preserve"> </w:t>
      </w:r>
    </w:p>
    <w:p w:rsidR="00C55CAF" w:rsidRDefault="00C55CAF">
      <w:pPr>
        <w:spacing w:line="259" w:lineRule="auto"/>
        <w:ind w:left="0" w:firstLine="0"/>
      </w:pPr>
    </w:p>
    <w:p w:rsidR="00740096" w:rsidRDefault="00740096">
      <w:pPr>
        <w:spacing w:line="259" w:lineRule="auto"/>
        <w:ind w:left="0" w:firstLine="0"/>
      </w:pPr>
    </w:p>
    <w:p w:rsidR="00FD402E" w:rsidRDefault="00980FF0" w:rsidP="00980FF0">
      <w:pPr>
        <w:spacing w:after="3" w:line="248" w:lineRule="auto"/>
        <w:ind w:right="55" w:firstLine="0"/>
      </w:pPr>
      <w:r>
        <w:rPr>
          <w:b/>
        </w:rPr>
        <w:t xml:space="preserve">13.  </w:t>
      </w:r>
      <w:r w:rsidR="004E2123" w:rsidRPr="00980FF0">
        <w:rPr>
          <w:b/>
        </w:rPr>
        <w:t>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r w:rsidR="004E2123">
        <w:t xml:space="preserve"> </w:t>
      </w:r>
    </w:p>
    <w:p w:rsidR="00FD402E" w:rsidRDefault="00FD402E" w:rsidP="00FD402E">
      <w:pPr>
        <w:pStyle w:val="ListParagraph"/>
        <w:spacing w:after="3" w:line="248" w:lineRule="auto"/>
        <w:ind w:left="370" w:right="55" w:firstLine="0"/>
      </w:pPr>
    </w:p>
    <w:p w:rsidR="00C55CAF" w:rsidRDefault="004E2123" w:rsidP="00980FF0">
      <w:pPr>
        <w:spacing w:after="3" w:line="248" w:lineRule="auto"/>
        <w:ind w:right="55"/>
      </w:pPr>
      <w:r>
        <w:t xml:space="preserve">There is zero annual cost burden associated with capital and start-up costs, maintenance costs, and purchase of services in connection with this program. </w:t>
      </w:r>
    </w:p>
    <w:p w:rsidR="00FD402E" w:rsidRDefault="00FD402E" w:rsidP="00FD402E">
      <w:pPr>
        <w:pStyle w:val="ListParagraph"/>
        <w:spacing w:after="3" w:line="248" w:lineRule="auto"/>
        <w:ind w:left="370" w:right="55" w:firstLine="0"/>
      </w:pPr>
    </w:p>
    <w:p w:rsidR="00FD402E" w:rsidRDefault="00FD402E" w:rsidP="00FD402E">
      <w:pPr>
        <w:pStyle w:val="ListParagraph"/>
        <w:spacing w:after="3" w:line="248" w:lineRule="auto"/>
        <w:ind w:left="370" w:right="55" w:firstLine="0"/>
      </w:pPr>
    </w:p>
    <w:p w:rsidR="00740096" w:rsidRDefault="00980FF0" w:rsidP="00980FF0">
      <w:pPr>
        <w:spacing w:after="3" w:line="248" w:lineRule="auto"/>
        <w:ind w:right="55"/>
      </w:pPr>
      <w:r>
        <w:rPr>
          <w:b/>
        </w:rPr>
        <w:t xml:space="preserve">14.  </w:t>
      </w:r>
      <w:r w:rsidR="004E2123">
        <w:rPr>
          <w:b/>
        </w:rPr>
        <w:t>Provide estimates of annualized cost to the Federal Government</w:t>
      </w:r>
      <w:r w:rsidR="004E2123">
        <w:t xml:space="preserve">.  </w:t>
      </w:r>
      <w:r w:rsidR="004E2123">
        <w:rPr>
          <w:b/>
        </w:rPr>
        <w:t xml:space="preserve">Provide a description of the method used to estimate cost and any other expense that would not have been incurred without this collection of information. </w:t>
      </w:r>
    </w:p>
    <w:p w:rsidR="00740096" w:rsidRDefault="00740096" w:rsidP="00740096">
      <w:pPr>
        <w:spacing w:after="3" w:line="248" w:lineRule="auto"/>
        <w:ind w:left="370" w:right="55" w:firstLine="0"/>
      </w:pPr>
    </w:p>
    <w:p w:rsidR="00C55CAF" w:rsidRDefault="004E2123" w:rsidP="00980FF0">
      <w:pPr>
        <w:spacing w:after="3" w:line="248" w:lineRule="auto"/>
        <w:ind w:right="55"/>
      </w:pPr>
      <w:r>
        <w:t>The estimated cost t</w:t>
      </w:r>
      <w:r w:rsidR="00813C20">
        <w:t>o the Federal Government is $215</w:t>
      </w:r>
      <w:r>
        <w:t>.</w:t>
      </w:r>
      <w:r w:rsidR="008979C0">
        <w:t>00.</w:t>
      </w:r>
      <w:r>
        <w:t xml:space="preserve">  (See APHIS Form 79.) </w:t>
      </w:r>
    </w:p>
    <w:p w:rsidR="00980FF0" w:rsidRDefault="004E2123" w:rsidP="00980FF0">
      <w:pPr>
        <w:spacing w:line="259" w:lineRule="auto"/>
        <w:ind w:left="0" w:firstLine="0"/>
      </w:pPr>
      <w:r>
        <w:t xml:space="preserve"> </w:t>
      </w:r>
    </w:p>
    <w:p w:rsidR="00980FF0" w:rsidRDefault="00980FF0" w:rsidP="00980FF0">
      <w:pPr>
        <w:spacing w:line="259" w:lineRule="auto"/>
        <w:ind w:left="0" w:firstLine="0"/>
      </w:pPr>
    </w:p>
    <w:p w:rsidR="00740096" w:rsidRPr="00980FF0" w:rsidRDefault="00980FF0" w:rsidP="00980FF0">
      <w:pPr>
        <w:spacing w:line="259" w:lineRule="auto"/>
        <w:ind w:left="0" w:firstLine="0"/>
        <w:rPr>
          <w:b/>
        </w:rPr>
      </w:pPr>
      <w:r w:rsidRPr="00980FF0">
        <w:rPr>
          <w:b/>
        </w:rPr>
        <w:t xml:space="preserve">15.  </w:t>
      </w:r>
      <w:r w:rsidR="004E2123" w:rsidRPr="00980FF0">
        <w:rPr>
          <w:b/>
        </w:rPr>
        <w:t>Explain the reasons for any program changes or adjustments reported in Ite</w:t>
      </w:r>
      <w:r w:rsidR="00813C20" w:rsidRPr="00980FF0">
        <w:rPr>
          <w:b/>
        </w:rPr>
        <w:t>ms 13 or 14 of the OMB Form 83-I</w:t>
      </w:r>
      <w:r w:rsidR="004E2123" w:rsidRPr="00980FF0">
        <w:rPr>
          <w:b/>
        </w:rPr>
        <w:t xml:space="preserve">. </w:t>
      </w:r>
    </w:p>
    <w:p w:rsidR="00740096" w:rsidRDefault="00740096" w:rsidP="00740096">
      <w:pPr>
        <w:spacing w:after="3" w:line="248" w:lineRule="auto"/>
        <w:ind w:left="370" w:right="55" w:firstLine="0"/>
      </w:pPr>
    </w:p>
    <w:tbl>
      <w:tblPr>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firstRow="1" w:lastRow="0" w:firstColumn="1" w:lastColumn="0" w:noHBand="0" w:noVBand="1"/>
      </w:tblPr>
      <w:tblGrid>
        <w:gridCol w:w="1468"/>
        <w:gridCol w:w="1327"/>
        <w:gridCol w:w="1281"/>
        <w:gridCol w:w="1283"/>
        <w:gridCol w:w="1437"/>
        <w:gridCol w:w="1281"/>
        <w:gridCol w:w="1313"/>
      </w:tblGrid>
      <w:tr w:rsidR="00A4460F" w:rsidRPr="00AB5E41" w:rsidTr="00A4460F">
        <w:trPr>
          <w:trHeight w:val="1391"/>
        </w:trPr>
        <w:tc>
          <w:tcPr>
            <w:tcW w:w="782" w:type="pct"/>
            <w:tcBorders>
              <w:top w:val="outset" w:sz="6" w:space="0" w:color="auto"/>
              <w:left w:val="outset" w:sz="6" w:space="0" w:color="auto"/>
              <w:bottom w:val="outset" w:sz="6" w:space="0" w:color="auto"/>
              <w:right w:val="outset" w:sz="6" w:space="0" w:color="auto"/>
            </w:tcBorders>
            <w:vAlign w:val="center"/>
            <w:hideMark/>
          </w:tcPr>
          <w:p w:rsidR="00813C20" w:rsidRPr="00AB5E41" w:rsidRDefault="00813C20" w:rsidP="00A4460F">
            <w:pPr>
              <w:jc w:val="center"/>
              <w:rPr>
                <w:rFonts w:ascii="Arial" w:hAnsi="Arial" w:cs="Arial"/>
                <w:b/>
                <w:bCs/>
                <w:szCs w:val="24"/>
              </w:rPr>
            </w:pPr>
            <w:r w:rsidRPr="00AB5E41">
              <w:rPr>
                <w:rFonts w:ascii="Arial" w:hAnsi="Arial" w:cs="Arial"/>
                <w:b/>
                <w:bCs/>
                <w:szCs w:val="24"/>
              </w:rPr>
              <w:t> </w:t>
            </w:r>
          </w:p>
        </w:tc>
        <w:tc>
          <w:tcPr>
            <w:tcW w:w="707" w:type="pct"/>
            <w:tcBorders>
              <w:top w:val="outset" w:sz="6" w:space="0" w:color="auto"/>
              <w:left w:val="outset" w:sz="6" w:space="0" w:color="auto"/>
              <w:bottom w:val="outset" w:sz="6" w:space="0" w:color="auto"/>
              <w:right w:val="outset" w:sz="6" w:space="0" w:color="auto"/>
            </w:tcBorders>
            <w:vAlign w:val="center"/>
            <w:hideMark/>
          </w:tcPr>
          <w:p w:rsidR="00813C20" w:rsidRPr="00AB5E41" w:rsidRDefault="00813C20" w:rsidP="00A4460F">
            <w:pPr>
              <w:jc w:val="center"/>
              <w:rPr>
                <w:rFonts w:ascii="Arial" w:hAnsi="Arial" w:cs="Arial"/>
                <w:b/>
                <w:bCs/>
                <w:szCs w:val="24"/>
              </w:rPr>
            </w:pPr>
            <w:r w:rsidRPr="00AB5E41">
              <w:rPr>
                <w:rFonts w:ascii="Arial" w:hAnsi="Arial" w:cs="Arial"/>
                <w:b/>
                <w:bCs/>
                <w:szCs w:val="24"/>
              </w:rPr>
              <w:t>Requested</w:t>
            </w:r>
          </w:p>
        </w:tc>
        <w:tc>
          <w:tcPr>
            <w:tcW w:w="682" w:type="pct"/>
            <w:tcBorders>
              <w:top w:val="outset" w:sz="6" w:space="0" w:color="auto"/>
              <w:left w:val="outset" w:sz="6" w:space="0" w:color="auto"/>
              <w:bottom w:val="outset" w:sz="6" w:space="0" w:color="auto"/>
              <w:right w:val="outset" w:sz="6" w:space="0" w:color="auto"/>
            </w:tcBorders>
            <w:vAlign w:val="center"/>
            <w:hideMark/>
          </w:tcPr>
          <w:p w:rsidR="00813C20" w:rsidRPr="00AB5E41" w:rsidRDefault="00813C20" w:rsidP="00A4460F">
            <w:pPr>
              <w:jc w:val="center"/>
              <w:rPr>
                <w:rFonts w:ascii="Arial" w:hAnsi="Arial" w:cs="Arial"/>
                <w:b/>
                <w:bCs/>
                <w:szCs w:val="24"/>
              </w:rPr>
            </w:pPr>
            <w:r w:rsidRPr="00AB5E41">
              <w:rPr>
                <w:rFonts w:ascii="Arial" w:hAnsi="Arial" w:cs="Arial"/>
                <w:b/>
                <w:bCs/>
                <w:szCs w:val="24"/>
              </w:rPr>
              <w:t>Program Change Due to New Statute</w:t>
            </w:r>
          </w:p>
        </w:tc>
        <w:tc>
          <w:tcPr>
            <w:tcW w:w="683" w:type="pct"/>
            <w:tcBorders>
              <w:top w:val="outset" w:sz="6" w:space="0" w:color="auto"/>
              <w:left w:val="outset" w:sz="6" w:space="0" w:color="auto"/>
              <w:bottom w:val="outset" w:sz="6" w:space="0" w:color="auto"/>
              <w:right w:val="outset" w:sz="6" w:space="0" w:color="auto"/>
            </w:tcBorders>
            <w:vAlign w:val="center"/>
            <w:hideMark/>
          </w:tcPr>
          <w:p w:rsidR="00813C20" w:rsidRPr="00AB5E41" w:rsidRDefault="00813C20" w:rsidP="00A4460F">
            <w:pPr>
              <w:jc w:val="center"/>
              <w:rPr>
                <w:rFonts w:ascii="Arial" w:hAnsi="Arial" w:cs="Arial"/>
                <w:b/>
                <w:bCs/>
                <w:szCs w:val="24"/>
              </w:rPr>
            </w:pPr>
            <w:r w:rsidRPr="00AB5E41">
              <w:rPr>
                <w:rFonts w:ascii="Arial" w:hAnsi="Arial" w:cs="Arial"/>
                <w:b/>
                <w:bCs/>
                <w:szCs w:val="24"/>
              </w:rPr>
              <w:t>Program Change Due to Agency Discretion</w:t>
            </w:r>
          </w:p>
        </w:tc>
        <w:tc>
          <w:tcPr>
            <w:tcW w:w="765" w:type="pct"/>
            <w:tcBorders>
              <w:top w:val="outset" w:sz="6" w:space="0" w:color="auto"/>
              <w:left w:val="outset" w:sz="6" w:space="0" w:color="auto"/>
              <w:bottom w:val="outset" w:sz="6" w:space="0" w:color="auto"/>
              <w:right w:val="outset" w:sz="6" w:space="0" w:color="auto"/>
            </w:tcBorders>
            <w:vAlign w:val="center"/>
            <w:hideMark/>
          </w:tcPr>
          <w:p w:rsidR="00813C20" w:rsidRPr="00AB5E41" w:rsidRDefault="00813C20" w:rsidP="00A4460F">
            <w:pPr>
              <w:jc w:val="center"/>
              <w:rPr>
                <w:rFonts w:ascii="Arial" w:hAnsi="Arial" w:cs="Arial"/>
                <w:b/>
                <w:bCs/>
                <w:szCs w:val="24"/>
              </w:rPr>
            </w:pPr>
            <w:r w:rsidRPr="00AB5E41">
              <w:rPr>
                <w:rFonts w:ascii="Arial" w:hAnsi="Arial" w:cs="Arial"/>
                <w:b/>
                <w:bCs/>
                <w:szCs w:val="24"/>
              </w:rPr>
              <w:t>Change Due to Adjustment in Agency Estimate</w:t>
            </w:r>
          </w:p>
        </w:tc>
        <w:tc>
          <w:tcPr>
            <w:tcW w:w="682" w:type="pct"/>
            <w:tcBorders>
              <w:top w:val="outset" w:sz="6" w:space="0" w:color="auto"/>
              <w:left w:val="outset" w:sz="6" w:space="0" w:color="auto"/>
              <w:bottom w:val="outset" w:sz="6" w:space="0" w:color="auto"/>
              <w:right w:val="outset" w:sz="6" w:space="0" w:color="auto"/>
            </w:tcBorders>
            <w:vAlign w:val="center"/>
            <w:hideMark/>
          </w:tcPr>
          <w:p w:rsidR="00813C20" w:rsidRPr="00AB5E41" w:rsidRDefault="00813C20" w:rsidP="00A4460F">
            <w:pPr>
              <w:jc w:val="center"/>
              <w:rPr>
                <w:rFonts w:ascii="Arial" w:hAnsi="Arial" w:cs="Arial"/>
                <w:b/>
                <w:bCs/>
                <w:szCs w:val="24"/>
              </w:rPr>
            </w:pPr>
            <w:r w:rsidRPr="00AB5E41">
              <w:rPr>
                <w:rFonts w:ascii="Arial" w:hAnsi="Arial" w:cs="Arial"/>
                <w:b/>
                <w:bCs/>
                <w:szCs w:val="24"/>
              </w:rPr>
              <w:t>Change Due to Potential Violation of the PRA</w:t>
            </w:r>
          </w:p>
        </w:tc>
        <w:tc>
          <w:tcPr>
            <w:tcW w:w="700" w:type="pct"/>
            <w:tcBorders>
              <w:top w:val="outset" w:sz="6" w:space="0" w:color="auto"/>
              <w:left w:val="outset" w:sz="6" w:space="0" w:color="auto"/>
              <w:bottom w:val="outset" w:sz="6" w:space="0" w:color="auto"/>
              <w:right w:val="outset" w:sz="6" w:space="0" w:color="auto"/>
            </w:tcBorders>
            <w:vAlign w:val="center"/>
            <w:hideMark/>
          </w:tcPr>
          <w:p w:rsidR="00813C20" w:rsidRPr="00AB5E41" w:rsidRDefault="00813C20" w:rsidP="00A4460F">
            <w:pPr>
              <w:jc w:val="center"/>
              <w:rPr>
                <w:rFonts w:ascii="Arial" w:hAnsi="Arial" w:cs="Arial"/>
                <w:b/>
                <w:bCs/>
                <w:szCs w:val="24"/>
              </w:rPr>
            </w:pPr>
            <w:r w:rsidRPr="00AB5E41">
              <w:rPr>
                <w:rFonts w:ascii="Arial" w:hAnsi="Arial" w:cs="Arial"/>
                <w:b/>
                <w:bCs/>
                <w:szCs w:val="24"/>
              </w:rPr>
              <w:t>Previously Approved</w:t>
            </w:r>
          </w:p>
        </w:tc>
      </w:tr>
      <w:tr w:rsidR="00813C20" w:rsidRPr="00AB5E41" w:rsidTr="00A4460F">
        <w:trPr>
          <w:trHeight w:val="849"/>
        </w:trPr>
        <w:tc>
          <w:tcPr>
            <w:tcW w:w="0" w:type="auto"/>
            <w:tcBorders>
              <w:top w:val="outset" w:sz="6" w:space="0" w:color="auto"/>
              <w:left w:val="outset" w:sz="6" w:space="0" w:color="auto"/>
              <w:bottom w:val="outset" w:sz="6" w:space="0" w:color="auto"/>
              <w:right w:val="outset" w:sz="6" w:space="0" w:color="auto"/>
            </w:tcBorders>
            <w:hideMark/>
          </w:tcPr>
          <w:p w:rsidR="00813C20" w:rsidRPr="00AB5E41" w:rsidRDefault="00813C20" w:rsidP="00A4460F">
            <w:pPr>
              <w:rPr>
                <w:rFonts w:ascii="Arial" w:hAnsi="Arial" w:cs="Arial"/>
                <w:szCs w:val="24"/>
              </w:rPr>
            </w:pPr>
            <w:r w:rsidRPr="00AB5E41">
              <w:rPr>
                <w:rFonts w:ascii="Arial" w:hAnsi="Arial" w:cs="Arial"/>
                <w:szCs w:val="24"/>
              </w:rPr>
              <w:t>Annual Number of Responses</w:t>
            </w:r>
          </w:p>
        </w:tc>
        <w:tc>
          <w:tcPr>
            <w:tcW w:w="0" w:type="auto"/>
            <w:tcBorders>
              <w:top w:val="outset" w:sz="6" w:space="0" w:color="auto"/>
              <w:left w:val="outset" w:sz="6" w:space="0" w:color="auto"/>
              <w:bottom w:val="outset" w:sz="6" w:space="0" w:color="auto"/>
              <w:right w:val="outset" w:sz="6" w:space="0" w:color="auto"/>
            </w:tcBorders>
            <w:hideMark/>
          </w:tcPr>
          <w:p w:rsidR="00813C20" w:rsidRPr="00AB5E41" w:rsidRDefault="00DB1C9E" w:rsidP="00813C20">
            <w:pPr>
              <w:ind w:left="0" w:firstLine="0"/>
              <w:rPr>
                <w:rFonts w:ascii="Arial" w:hAnsi="Arial" w:cs="Arial"/>
                <w:szCs w:val="24"/>
              </w:rPr>
            </w:pPr>
            <w:r>
              <w:rPr>
                <w:rFonts w:ascii="Arial" w:hAnsi="Arial" w:cs="Arial"/>
                <w:szCs w:val="24"/>
              </w:rPr>
              <w:t xml:space="preserve"> 37</w:t>
            </w:r>
            <w:r w:rsidR="00813C20" w:rsidRPr="00AB5E41">
              <w:rPr>
                <w:rFonts w:ascii="Arial" w:hAnsi="Arial" w:cs="Arial"/>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in;height:18pt" o:ole="">
                  <v:imagedata r:id="rId10" o:title=""/>
                </v:shape>
                <w:control r:id="rId11" w:name="DefaultOcxName1" w:shapeid="_x0000_i1060"/>
              </w:object>
            </w:r>
          </w:p>
        </w:tc>
        <w:tc>
          <w:tcPr>
            <w:tcW w:w="0" w:type="auto"/>
            <w:tcBorders>
              <w:top w:val="outset" w:sz="6" w:space="0" w:color="auto"/>
              <w:left w:val="outset" w:sz="6" w:space="0" w:color="auto"/>
              <w:bottom w:val="outset" w:sz="6" w:space="0" w:color="auto"/>
              <w:right w:val="outset" w:sz="6" w:space="0" w:color="auto"/>
            </w:tcBorders>
            <w:hideMark/>
          </w:tcPr>
          <w:p w:rsidR="00813C20" w:rsidRPr="00AB5E41" w:rsidRDefault="00813C20" w:rsidP="00A4460F">
            <w:pPr>
              <w:rPr>
                <w:rFonts w:ascii="Arial" w:hAnsi="Arial" w:cs="Arial"/>
                <w:szCs w:val="24"/>
              </w:rPr>
            </w:pPr>
            <w:r w:rsidRPr="00AB5E41">
              <w:rPr>
                <w:rFonts w:ascii="Arial" w:hAnsi="Arial" w:cs="Arial"/>
                <w:szCs w:val="24"/>
              </w:rPr>
              <w:t>  0</w:t>
            </w:r>
            <w:r w:rsidRPr="00AB5E41">
              <w:rPr>
                <w:rFonts w:ascii="Arial" w:hAnsi="Arial" w:cs="Arial"/>
                <w:szCs w:val="24"/>
              </w:rPr>
              <w:object w:dxaOrig="225" w:dyaOrig="225">
                <v:shape id="_x0000_i1063" type="#_x0000_t75" style="width:1in;height:18pt" o:ole="">
                  <v:imagedata r:id="rId12" o:title=""/>
                </v:shape>
                <w:control r:id="rId13" w:name="DefaultOcxName2" w:shapeid="_x0000_i1063"/>
              </w:object>
            </w:r>
          </w:p>
        </w:tc>
        <w:tc>
          <w:tcPr>
            <w:tcW w:w="0" w:type="auto"/>
            <w:tcBorders>
              <w:top w:val="outset" w:sz="6" w:space="0" w:color="auto"/>
              <w:left w:val="outset" w:sz="6" w:space="0" w:color="auto"/>
              <w:bottom w:val="outset" w:sz="6" w:space="0" w:color="auto"/>
              <w:right w:val="outset" w:sz="6" w:space="0" w:color="auto"/>
            </w:tcBorders>
            <w:hideMark/>
          </w:tcPr>
          <w:p w:rsidR="00813C20" w:rsidRPr="00AB5E41" w:rsidRDefault="00DB1C9E" w:rsidP="00A4460F">
            <w:pPr>
              <w:rPr>
                <w:rFonts w:ascii="Arial" w:hAnsi="Arial" w:cs="Arial"/>
                <w:szCs w:val="24"/>
              </w:rPr>
            </w:pPr>
            <w:r>
              <w:rPr>
                <w:rFonts w:ascii="Arial" w:hAnsi="Arial" w:cs="Arial"/>
                <w:szCs w:val="24"/>
              </w:rPr>
              <w:t xml:space="preserve">  31</w:t>
            </w:r>
            <w:r w:rsidR="00813C20" w:rsidRPr="00AB5E41">
              <w:rPr>
                <w:rFonts w:ascii="Arial" w:hAnsi="Arial" w:cs="Arial"/>
                <w:szCs w:val="24"/>
              </w:rPr>
              <w:object w:dxaOrig="225" w:dyaOrig="225">
                <v:shape id="_x0000_i1066" type="#_x0000_t75" style="width:1in;height:18pt" o:ole="">
                  <v:imagedata r:id="rId14" o:title=""/>
                </v:shape>
                <w:control r:id="rId15" w:name="DefaultOcxName3" w:shapeid="_x0000_i1066"/>
              </w:object>
            </w:r>
          </w:p>
        </w:tc>
        <w:tc>
          <w:tcPr>
            <w:tcW w:w="0" w:type="auto"/>
            <w:tcBorders>
              <w:top w:val="outset" w:sz="6" w:space="0" w:color="auto"/>
              <w:left w:val="outset" w:sz="6" w:space="0" w:color="auto"/>
              <w:bottom w:val="outset" w:sz="6" w:space="0" w:color="auto"/>
              <w:right w:val="outset" w:sz="6" w:space="0" w:color="auto"/>
            </w:tcBorders>
            <w:hideMark/>
          </w:tcPr>
          <w:p w:rsidR="00813C20" w:rsidRPr="00AB5E41" w:rsidRDefault="00DB1C9E" w:rsidP="00DB1C9E">
            <w:pPr>
              <w:ind w:left="0" w:firstLine="0"/>
              <w:rPr>
                <w:rFonts w:ascii="Arial" w:hAnsi="Arial" w:cs="Arial"/>
                <w:szCs w:val="24"/>
              </w:rPr>
            </w:pPr>
            <w:r>
              <w:rPr>
                <w:rFonts w:ascii="Arial" w:hAnsi="Arial" w:cs="Arial"/>
                <w:szCs w:val="24"/>
              </w:rPr>
              <w:t xml:space="preserve">  0</w:t>
            </w:r>
            <w:r w:rsidR="00813C20" w:rsidRPr="00AB5E41">
              <w:rPr>
                <w:rFonts w:ascii="Arial" w:hAnsi="Arial" w:cs="Arial"/>
                <w:szCs w:val="24"/>
              </w:rPr>
              <w:object w:dxaOrig="225" w:dyaOrig="225">
                <v:shape id="_x0000_i1069" type="#_x0000_t75" style="width:1in;height:18pt" o:ole="">
                  <v:imagedata r:id="rId16" o:title=""/>
                </v:shape>
                <w:control r:id="rId17" w:name="DefaultOcxName4" w:shapeid="_x0000_i1069"/>
              </w:object>
            </w:r>
          </w:p>
        </w:tc>
        <w:tc>
          <w:tcPr>
            <w:tcW w:w="0" w:type="auto"/>
            <w:tcBorders>
              <w:top w:val="outset" w:sz="6" w:space="0" w:color="auto"/>
              <w:left w:val="outset" w:sz="6" w:space="0" w:color="auto"/>
              <w:bottom w:val="outset" w:sz="6" w:space="0" w:color="auto"/>
              <w:right w:val="outset" w:sz="6" w:space="0" w:color="auto"/>
            </w:tcBorders>
            <w:hideMark/>
          </w:tcPr>
          <w:p w:rsidR="00813C20" w:rsidRPr="00AB5E41" w:rsidRDefault="00813C20" w:rsidP="00A4460F">
            <w:pPr>
              <w:rPr>
                <w:rFonts w:ascii="Arial" w:hAnsi="Arial" w:cs="Arial"/>
                <w:szCs w:val="24"/>
              </w:rPr>
            </w:pPr>
            <w:r w:rsidRPr="00AB5E41">
              <w:rPr>
                <w:rFonts w:ascii="Arial" w:hAnsi="Arial" w:cs="Arial"/>
                <w:szCs w:val="24"/>
              </w:rPr>
              <w:t>  0</w:t>
            </w:r>
            <w:r w:rsidRPr="00AB5E41">
              <w:rPr>
                <w:rFonts w:ascii="Arial" w:hAnsi="Arial" w:cs="Arial"/>
                <w:szCs w:val="24"/>
              </w:rPr>
              <w:object w:dxaOrig="225" w:dyaOrig="225">
                <v:shape id="_x0000_i1072" type="#_x0000_t75" style="width:1in;height:18pt" o:ole="">
                  <v:imagedata r:id="rId18" o:title=""/>
                </v:shape>
                <w:control r:id="rId19" w:name="DefaultOcxName5" w:shapeid="_x0000_i1072"/>
              </w:object>
            </w:r>
          </w:p>
        </w:tc>
        <w:tc>
          <w:tcPr>
            <w:tcW w:w="0" w:type="auto"/>
            <w:tcBorders>
              <w:top w:val="outset" w:sz="6" w:space="0" w:color="auto"/>
              <w:left w:val="outset" w:sz="6" w:space="0" w:color="auto"/>
              <w:bottom w:val="outset" w:sz="6" w:space="0" w:color="auto"/>
              <w:right w:val="outset" w:sz="6" w:space="0" w:color="auto"/>
            </w:tcBorders>
            <w:hideMark/>
          </w:tcPr>
          <w:p w:rsidR="00813C20" w:rsidRPr="00AB5E41" w:rsidRDefault="00813C20" w:rsidP="00A4460F">
            <w:pPr>
              <w:rPr>
                <w:rFonts w:ascii="Arial" w:hAnsi="Arial" w:cs="Arial"/>
                <w:szCs w:val="24"/>
              </w:rPr>
            </w:pPr>
            <w:r>
              <w:rPr>
                <w:rFonts w:ascii="Arial" w:hAnsi="Arial" w:cs="Arial"/>
                <w:szCs w:val="24"/>
              </w:rPr>
              <w:t>  6</w:t>
            </w:r>
            <w:r w:rsidRPr="00AB5E41">
              <w:rPr>
                <w:rFonts w:ascii="Arial" w:hAnsi="Arial" w:cs="Arial"/>
                <w:szCs w:val="24"/>
              </w:rPr>
              <w:object w:dxaOrig="225" w:dyaOrig="225">
                <v:shape id="_x0000_i1075" type="#_x0000_t75" style="width:1in;height:18pt" o:ole="">
                  <v:imagedata r:id="rId20" o:title=""/>
                </v:shape>
                <w:control r:id="rId21" w:name="DefaultOcxName6" w:shapeid="_x0000_i1075"/>
              </w:object>
            </w:r>
          </w:p>
        </w:tc>
      </w:tr>
      <w:tr w:rsidR="00813C20" w:rsidRPr="00AB5E41" w:rsidTr="00A4460F">
        <w:trPr>
          <w:trHeight w:val="556"/>
        </w:trPr>
        <w:tc>
          <w:tcPr>
            <w:tcW w:w="0" w:type="auto"/>
            <w:tcBorders>
              <w:top w:val="outset" w:sz="6" w:space="0" w:color="auto"/>
              <w:left w:val="outset" w:sz="6" w:space="0" w:color="auto"/>
              <w:bottom w:val="outset" w:sz="6" w:space="0" w:color="auto"/>
              <w:right w:val="outset" w:sz="6" w:space="0" w:color="auto"/>
            </w:tcBorders>
            <w:hideMark/>
          </w:tcPr>
          <w:p w:rsidR="00813C20" w:rsidRPr="00AB5E41" w:rsidRDefault="00813C20" w:rsidP="00A4460F">
            <w:pPr>
              <w:rPr>
                <w:rFonts w:ascii="Arial" w:hAnsi="Arial" w:cs="Arial"/>
                <w:szCs w:val="24"/>
              </w:rPr>
            </w:pPr>
            <w:r w:rsidRPr="00AB5E41">
              <w:rPr>
                <w:rFonts w:ascii="Arial" w:hAnsi="Arial" w:cs="Arial"/>
                <w:szCs w:val="24"/>
              </w:rPr>
              <w:t>Annual Time Burden (Hr)</w:t>
            </w:r>
          </w:p>
        </w:tc>
        <w:tc>
          <w:tcPr>
            <w:tcW w:w="0" w:type="auto"/>
            <w:tcBorders>
              <w:top w:val="outset" w:sz="6" w:space="0" w:color="auto"/>
              <w:left w:val="outset" w:sz="6" w:space="0" w:color="auto"/>
              <w:bottom w:val="outset" w:sz="6" w:space="0" w:color="auto"/>
              <w:right w:val="outset" w:sz="6" w:space="0" w:color="auto"/>
            </w:tcBorders>
            <w:hideMark/>
          </w:tcPr>
          <w:p w:rsidR="00813C20" w:rsidRPr="00AB5E41" w:rsidRDefault="00DB1C9E" w:rsidP="00813C20">
            <w:pPr>
              <w:ind w:left="0" w:firstLine="0"/>
              <w:rPr>
                <w:rFonts w:ascii="Arial" w:hAnsi="Arial" w:cs="Arial"/>
                <w:szCs w:val="24"/>
              </w:rPr>
            </w:pPr>
            <w:r>
              <w:rPr>
                <w:rFonts w:ascii="Arial" w:hAnsi="Arial" w:cs="Arial"/>
                <w:szCs w:val="24"/>
              </w:rPr>
              <w:t xml:space="preserve"> 33</w:t>
            </w:r>
            <w:r w:rsidR="00813C20" w:rsidRPr="00AB5E41">
              <w:rPr>
                <w:rFonts w:ascii="Arial" w:hAnsi="Arial" w:cs="Arial"/>
                <w:szCs w:val="24"/>
              </w:rPr>
              <w:object w:dxaOrig="225" w:dyaOrig="225">
                <v:shape id="_x0000_i1078" type="#_x0000_t75" style="width:1in;height:18pt" o:ole="">
                  <v:imagedata r:id="rId22" o:title=""/>
                </v:shape>
                <w:control r:id="rId23" w:name="DefaultOcxName7" w:shapeid="_x0000_i1078"/>
              </w:object>
            </w:r>
          </w:p>
        </w:tc>
        <w:tc>
          <w:tcPr>
            <w:tcW w:w="0" w:type="auto"/>
            <w:tcBorders>
              <w:top w:val="outset" w:sz="6" w:space="0" w:color="auto"/>
              <w:left w:val="outset" w:sz="6" w:space="0" w:color="auto"/>
              <w:bottom w:val="outset" w:sz="6" w:space="0" w:color="auto"/>
              <w:right w:val="outset" w:sz="6" w:space="0" w:color="auto"/>
            </w:tcBorders>
            <w:hideMark/>
          </w:tcPr>
          <w:p w:rsidR="00813C20" w:rsidRPr="00AB5E41" w:rsidRDefault="00813C20" w:rsidP="00A4460F">
            <w:pPr>
              <w:rPr>
                <w:rFonts w:ascii="Arial" w:hAnsi="Arial" w:cs="Arial"/>
                <w:szCs w:val="24"/>
              </w:rPr>
            </w:pPr>
            <w:r w:rsidRPr="00AB5E41">
              <w:rPr>
                <w:rFonts w:ascii="Arial" w:hAnsi="Arial" w:cs="Arial"/>
                <w:szCs w:val="24"/>
              </w:rPr>
              <w:t>  0</w:t>
            </w:r>
            <w:r w:rsidRPr="00AB5E41">
              <w:rPr>
                <w:rFonts w:ascii="Arial" w:hAnsi="Arial" w:cs="Arial"/>
                <w:szCs w:val="24"/>
              </w:rPr>
              <w:object w:dxaOrig="225" w:dyaOrig="225">
                <v:shape id="_x0000_i1081" type="#_x0000_t75" style="width:1in;height:18pt" o:ole="">
                  <v:imagedata r:id="rId24" o:title=""/>
                </v:shape>
                <w:control r:id="rId25" w:name="DefaultOcxName8" w:shapeid="_x0000_i1081"/>
              </w:object>
            </w:r>
          </w:p>
        </w:tc>
        <w:tc>
          <w:tcPr>
            <w:tcW w:w="0" w:type="auto"/>
            <w:tcBorders>
              <w:top w:val="outset" w:sz="6" w:space="0" w:color="auto"/>
              <w:left w:val="outset" w:sz="6" w:space="0" w:color="auto"/>
              <w:bottom w:val="outset" w:sz="6" w:space="0" w:color="auto"/>
              <w:right w:val="outset" w:sz="6" w:space="0" w:color="auto"/>
            </w:tcBorders>
            <w:hideMark/>
          </w:tcPr>
          <w:p w:rsidR="00813C20" w:rsidRPr="00AB5E41" w:rsidRDefault="00DB1C9E" w:rsidP="00A4460F">
            <w:pPr>
              <w:rPr>
                <w:rFonts w:ascii="Arial" w:hAnsi="Arial" w:cs="Arial"/>
                <w:szCs w:val="24"/>
              </w:rPr>
            </w:pPr>
            <w:r>
              <w:rPr>
                <w:rFonts w:ascii="Arial" w:hAnsi="Arial" w:cs="Arial"/>
                <w:szCs w:val="24"/>
              </w:rPr>
              <w:t xml:space="preserve">  29</w:t>
            </w:r>
            <w:r w:rsidR="00813C20" w:rsidRPr="00AB5E41">
              <w:rPr>
                <w:rFonts w:ascii="Arial" w:hAnsi="Arial" w:cs="Arial"/>
                <w:szCs w:val="24"/>
              </w:rPr>
              <w:object w:dxaOrig="225" w:dyaOrig="225">
                <v:shape id="_x0000_i1084" type="#_x0000_t75" style="width:1in;height:18pt" o:ole="">
                  <v:imagedata r:id="rId26" o:title=""/>
                </v:shape>
                <w:control r:id="rId27" w:name="DefaultOcxName9" w:shapeid="_x0000_i1084"/>
              </w:object>
            </w:r>
          </w:p>
        </w:tc>
        <w:tc>
          <w:tcPr>
            <w:tcW w:w="0" w:type="auto"/>
            <w:tcBorders>
              <w:top w:val="outset" w:sz="6" w:space="0" w:color="auto"/>
              <w:left w:val="outset" w:sz="6" w:space="0" w:color="auto"/>
              <w:bottom w:val="outset" w:sz="6" w:space="0" w:color="auto"/>
              <w:right w:val="outset" w:sz="6" w:space="0" w:color="auto"/>
            </w:tcBorders>
            <w:hideMark/>
          </w:tcPr>
          <w:p w:rsidR="00813C20" w:rsidRPr="00AB5E41" w:rsidRDefault="00DB1C9E" w:rsidP="00813C20">
            <w:pPr>
              <w:spacing w:line="240" w:lineRule="auto"/>
              <w:ind w:left="0" w:firstLine="0"/>
              <w:rPr>
                <w:rFonts w:ascii="Arial" w:hAnsi="Arial" w:cs="Arial"/>
                <w:szCs w:val="24"/>
              </w:rPr>
            </w:pPr>
            <w:r>
              <w:rPr>
                <w:rFonts w:ascii="Arial" w:hAnsi="Arial" w:cs="Arial"/>
                <w:szCs w:val="24"/>
              </w:rPr>
              <w:t xml:space="preserve">  0</w:t>
            </w:r>
            <w:r w:rsidR="00813C20" w:rsidRPr="00AB5E41">
              <w:rPr>
                <w:rFonts w:ascii="Arial" w:hAnsi="Arial" w:cs="Arial"/>
                <w:szCs w:val="24"/>
              </w:rPr>
              <w:object w:dxaOrig="225" w:dyaOrig="225">
                <v:shape id="_x0000_i1087" type="#_x0000_t75" style="width:1in;height:18pt" o:ole="">
                  <v:imagedata r:id="rId28" o:title=""/>
                </v:shape>
                <w:control r:id="rId29" w:name="DefaultOcxName10" w:shapeid="_x0000_i1087"/>
              </w:object>
            </w:r>
          </w:p>
        </w:tc>
        <w:tc>
          <w:tcPr>
            <w:tcW w:w="0" w:type="auto"/>
            <w:tcBorders>
              <w:top w:val="outset" w:sz="6" w:space="0" w:color="auto"/>
              <w:left w:val="outset" w:sz="6" w:space="0" w:color="auto"/>
              <w:bottom w:val="outset" w:sz="6" w:space="0" w:color="auto"/>
              <w:right w:val="outset" w:sz="6" w:space="0" w:color="auto"/>
            </w:tcBorders>
            <w:hideMark/>
          </w:tcPr>
          <w:p w:rsidR="00813C20" w:rsidRPr="00AB5E41" w:rsidRDefault="00813C20" w:rsidP="00A4460F">
            <w:pPr>
              <w:rPr>
                <w:rFonts w:ascii="Arial" w:hAnsi="Arial" w:cs="Arial"/>
                <w:szCs w:val="24"/>
              </w:rPr>
            </w:pPr>
            <w:r w:rsidRPr="00AB5E41">
              <w:rPr>
                <w:rFonts w:ascii="Arial" w:hAnsi="Arial" w:cs="Arial"/>
                <w:szCs w:val="24"/>
              </w:rPr>
              <w:t>  0</w:t>
            </w:r>
            <w:r w:rsidRPr="00AB5E41">
              <w:rPr>
                <w:rFonts w:ascii="Arial" w:hAnsi="Arial" w:cs="Arial"/>
                <w:szCs w:val="24"/>
              </w:rPr>
              <w:object w:dxaOrig="225" w:dyaOrig="225">
                <v:shape id="_x0000_i1090" type="#_x0000_t75" style="width:1in;height:18pt" o:ole="">
                  <v:imagedata r:id="rId30" o:title=""/>
                </v:shape>
                <w:control r:id="rId31" w:name="DefaultOcxName11" w:shapeid="_x0000_i1090"/>
              </w:object>
            </w:r>
          </w:p>
        </w:tc>
        <w:tc>
          <w:tcPr>
            <w:tcW w:w="0" w:type="auto"/>
            <w:tcBorders>
              <w:top w:val="outset" w:sz="6" w:space="0" w:color="auto"/>
              <w:left w:val="outset" w:sz="6" w:space="0" w:color="auto"/>
              <w:bottom w:val="outset" w:sz="6" w:space="0" w:color="auto"/>
              <w:right w:val="outset" w:sz="6" w:space="0" w:color="auto"/>
            </w:tcBorders>
            <w:hideMark/>
          </w:tcPr>
          <w:p w:rsidR="00813C20" w:rsidRPr="00AB5E41" w:rsidRDefault="00813C20" w:rsidP="00A4460F">
            <w:pPr>
              <w:rPr>
                <w:rFonts w:ascii="Arial" w:hAnsi="Arial" w:cs="Arial"/>
                <w:szCs w:val="24"/>
              </w:rPr>
            </w:pPr>
            <w:r>
              <w:rPr>
                <w:rFonts w:ascii="Arial" w:hAnsi="Arial" w:cs="Arial"/>
                <w:szCs w:val="24"/>
              </w:rPr>
              <w:t xml:space="preserve">  4</w:t>
            </w:r>
            <w:r w:rsidRPr="00AB5E41">
              <w:rPr>
                <w:rFonts w:ascii="Arial" w:hAnsi="Arial" w:cs="Arial"/>
                <w:szCs w:val="24"/>
              </w:rPr>
              <w:object w:dxaOrig="225" w:dyaOrig="225">
                <v:shape id="_x0000_i1093" type="#_x0000_t75" style="width:1in;height:18pt" o:ole="">
                  <v:imagedata r:id="rId32" o:title=""/>
                </v:shape>
                <w:control r:id="rId33" w:name="DefaultOcxName12" w:shapeid="_x0000_i1093"/>
              </w:object>
            </w:r>
          </w:p>
        </w:tc>
      </w:tr>
      <w:tr w:rsidR="00813C20" w:rsidRPr="00AB5E41" w:rsidTr="00A4460F">
        <w:trPr>
          <w:trHeight w:val="556"/>
        </w:trPr>
        <w:tc>
          <w:tcPr>
            <w:tcW w:w="0" w:type="auto"/>
            <w:tcBorders>
              <w:top w:val="outset" w:sz="6" w:space="0" w:color="auto"/>
              <w:left w:val="outset" w:sz="6" w:space="0" w:color="auto"/>
              <w:bottom w:val="outset" w:sz="6" w:space="0" w:color="auto"/>
              <w:right w:val="outset" w:sz="6" w:space="0" w:color="auto"/>
            </w:tcBorders>
            <w:hideMark/>
          </w:tcPr>
          <w:p w:rsidR="00813C20" w:rsidRPr="00AB5E41" w:rsidRDefault="00813C20" w:rsidP="00A4460F">
            <w:pPr>
              <w:rPr>
                <w:rFonts w:ascii="Arial" w:hAnsi="Arial" w:cs="Arial"/>
                <w:szCs w:val="24"/>
              </w:rPr>
            </w:pPr>
            <w:r w:rsidRPr="00AB5E41">
              <w:rPr>
                <w:rFonts w:ascii="Arial" w:hAnsi="Arial" w:cs="Arial"/>
                <w:szCs w:val="24"/>
              </w:rPr>
              <w:t>Annual Cost Burden ($)</w:t>
            </w:r>
          </w:p>
        </w:tc>
        <w:tc>
          <w:tcPr>
            <w:tcW w:w="0" w:type="auto"/>
            <w:tcBorders>
              <w:top w:val="outset" w:sz="6" w:space="0" w:color="auto"/>
              <w:left w:val="outset" w:sz="6" w:space="0" w:color="auto"/>
              <w:bottom w:val="outset" w:sz="6" w:space="0" w:color="auto"/>
              <w:right w:val="outset" w:sz="6" w:space="0" w:color="auto"/>
            </w:tcBorders>
            <w:hideMark/>
          </w:tcPr>
          <w:p w:rsidR="00813C20" w:rsidRPr="00AB5E41" w:rsidRDefault="00813C20" w:rsidP="00A4460F">
            <w:pPr>
              <w:rPr>
                <w:rFonts w:ascii="Arial" w:hAnsi="Arial" w:cs="Arial"/>
                <w:szCs w:val="24"/>
              </w:rPr>
            </w:pPr>
            <w:r w:rsidRPr="00AB5E41">
              <w:rPr>
                <w:rFonts w:ascii="Arial" w:hAnsi="Arial" w:cs="Arial"/>
                <w:szCs w:val="24"/>
              </w:rPr>
              <w:t>  0</w:t>
            </w:r>
            <w:r w:rsidRPr="00AB5E41">
              <w:rPr>
                <w:rFonts w:ascii="Arial" w:hAnsi="Arial" w:cs="Arial"/>
                <w:szCs w:val="24"/>
              </w:rPr>
              <w:object w:dxaOrig="225" w:dyaOrig="225">
                <v:shape id="_x0000_i1096" type="#_x0000_t75" style="width:1in;height:18pt" o:ole="">
                  <v:imagedata r:id="rId34" o:title=""/>
                </v:shape>
                <w:control r:id="rId35" w:name="DefaultOcxName13" w:shapeid="_x0000_i1096"/>
              </w:object>
            </w:r>
          </w:p>
        </w:tc>
        <w:tc>
          <w:tcPr>
            <w:tcW w:w="0" w:type="auto"/>
            <w:tcBorders>
              <w:top w:val="outset" w:sz="6" w:space="0" w:color="auto"/>
              <w:left w:val="outset" w:sz="6" w:space="0" w:color="auto"/>
              <w:bottom w:val="outset" w:sz="6" w:space="0" w:color="auto"/>
              <w:right w:val="outset" w:sz="6" w:space="0" w:color="auto"/>
            </w:tcBorders>
            <w:hideMark/>
          </w:tcPr>
          <w:p w:rsidR="00813C20" w:rsidRPr="00AB5E41" w:rsidRDefault="00813C20" w:rsidP="00A4460F">
            <w:pPr>
              <w:rPr>
                <w:rFonts w:ascii="Arial" w:hAnsi="Arial" w:cs="Arial"/>
                <w:szCs w:val="24"/>
              </w:rPr>
            </w:pPr>
            <w:r w:rsidRPr="00AB5E41">
              <w:rPr>
                <w:rFonts w:ascii="Arial" w:hAnsi="Arial" w:cs="Arial"/>
                <w:szCs w:val="24"/>
              </w:rPr>
              <w:t>  0</w:t>
            </w:r>
            <w:r w:rsidRPr="00AB5E41">
              <w:rPr>
                <w:rFonts w:ascii="Arial" w:hAnsi="Arial" w:cs="Arial"/>
                <w:szCs w:val="24"/>
              </w:rPr>
              <w:object w:dxaOrig="225" w:dyaOrig="225">
                <v:shape id="_x0000_i1099" type="#_x0000_t75" style="width:1in;height:18pt" o:ole="">
                  <v:imagedata r:id="rId36" o:title=""/>
                </v:shape>
                <w:control r:id="rId37" w:name="DefaultOcxName14" w:shapeid="_x0000_i1099"/>
              </w:object>
            </w:r>
          </w:p>
        </w:tc>
        <w:tc>
          <w:tcPr>
            <w:tcW w:w="0" w:type="auto"/>
            <w:tcBorders>
              <w:top w:val="outset" w:sz="6" w:space="0" w:color="auto"/>
              <w:left w:val="outset" w:sz="6" w:space="0" w:color="auto"/>
              <w:bottom w:val="outset" w:sz="6" w:space="0" w:color="auto"/>
              <w:right w:val="outset" w:sz="6" w:space="0" w:color="auto"/>
            </w:tcBorders>
            <w:hideMark/>
          </w:tcPr>
          <w:p w:rsidR="00813C20" w:rsidRPr="00AB5E41" w:rsidRDefault="00813C20" w:rsidP="00A4460F">
            <w:pPr>
              <w:rPr>
                <w:rFonts w:ascii="Arial" w:hAnsi="Arial" w:cs="Arial"/>
                <w:szCs w:val="24"/>
              </w:rPr>
            </w:pPr>
            <w:r>
              <w:rPr>
                <w:rFonts w:ascii="Arial" w:hAnsi="Arial" w:cs="Arial"/>
                <w:szCs w:val="24"/>
              </w:rPr>
              <w:t xml:space="preserve">  </w:t>
            </w:r>
            <w:r w:rsidRPr="00AB5E41">
              <w:rPr>
                <w:rFonts w:ascii="Arial" w:hAnsi="Arial" w:cs="Arial"/>
                <w:szCs w:val="24"/>
              </w:rPr>
              <w:t>0</w:t>
            </w:r>
            <w:r w:rsidRPr="00AB5E41">
              <w:rPr>
                <w:rFonts w:ascii="Arial" w:hAnsi="Arial" w:cs="Arial"/>
                <w:szCs w:val="24"/>
              </w:rPr>
              <w:object w:dxaOrig="225" w:dyaOrig="225">
                <v:shape id="_x0000_i1102" type="#_x0000_t75" style="width:1in;height:18pt" o:ole="">
                  <v:imagedata r:id="rId38" o:title=""/>
                </v:shape>
                <w:control r:id="rId39" w:name="DefaultOcxName15" w:shapeid="_x0000_i1102"/>
              </w:object>
            </w:r>
          </w:p>
        </w:tc>
        <w:tc>
          <w:tcPr>
            <w:tcW w:w="0" w:type="auto"/>
            <w:tcBorders>
              <w:top w:val="outset" w:sz="6" w:space="0" w:color="auto"/>
              <w:left w:val="outset" w:sz="6" w:space="0" w:color="auto"/>
              <w:bottom w:val="outset" w:sz="6" w:space="0" w:color="auto"/>
              <w:right w:val="outset" w:sz="6" w:space="0" w:color="auto"/>
            </w:tcBorders>
            <w:hideMark/>
          </w:tcPr>
          <w:p w:rsidR="00813C20" w:rsidRPr="00AB5E41" w:rsidRDefault="00813C20" w:rsidP="00A4460F">
            <w:pPr>
              <w:rPr>
                <w:rFonts w:ascii="Arial" w:hAnsi="Arial" w:cs="Arial"/>
                <w:szCs w:val="24"/>
              </w:rPr>
            </w:pPr>
            <w:r w:rsidRPr="00AB5E41">
              <w:rPr>
                <w:rFonts w:ascii="Arial" w:hAnsi="Arial" w:cs="Arial"/>
                <w:szCs w:val="24"/>
              </w:rPr>
              <w:t>  0</w:t>
            </w:r>
            <w:r w:rsidRPr="00AB5E41">
              <w:rPr>
                <w:rFonts w:ascii="Arial" w:hAnsi="Arial" w:cs="Arial"/>
                <w:szCs w:val="24"/>
              </w:rPr>
              <w:object w:dxaOrig="225" w:dyaOrig="225">
                <v:shape id="_x0000_i1105" type="#_x0000_t75" style="width:1in;height:18pt" o:ole="">
                  <v:imagedata r:id="rId40" o:title=""/>
                </v:shape>
                <w:control r:id="rId41" w:name="DefaultOcxName16" w:shapeid="_x0000_i1105"/>
              </w:object>
            </w:r>
          </w:p>
        </w:tc>
        <w:tc>
          <w:tcPr>
            <w:tcW w:w="0" w:type="auto"/>
            <w:tcBorders>
              <w:top w:val="outset" w:sz="6" w:space="0" w:color="auto"/>
              <w:left w:val="outset" w:sz="6" w:space="0" w:color="auto"/>
              <w:bottom w:val="outset" w:sz="6" w:space="0" w:color="auto"/>
              <w:right w:val="outset" w:sz="6" w:space="0" w:color="auto"/>
            </w:tcBorders>
            <w:hideMark/>
          </w:tcPr>
          <w:p w:rsidR="00813C20" w:rsidRPr="00AB5E41" w:rsidRDefault="00813C20" w:rsidP="00A4460F">
            <w:pPr>
              <w:rPr>
                <w:rFonts w:ascii="Arial" w:hAnsi="Arial" w:cs="Arial"/>
                <w:szCs w:val="24"/>
              </w:rPr>
            </w:pPr>
            <w:r w:rsidRPr="00AB5E41">
              <w:rPr>
                <w:rFonts w:ascii="Arial" w:hAnsi="Arial" w:cs="Arial"/>
                <w:szCs w:val="24"/>
              </w:rPr>
              <w:t>  0</w:t>
            </w:r>
            <w:r w:rsidRPr="00AB5E41">
              <w:rPr>
                <w:rFonts w:ascii="Arial" w:hAnsi="Arial" w:cs="Arial"/>
                <w:szCs w:val="24"/>
              </w:rPr>
              <w:object w:dxaOrig="225" w:dyaOrig="225">
                <v:shape id="_x0000_i1108" type="#_x0000_t75" style="width:1in;height:18pt" o:ole="">
                  <v:imagedata r:id="rId42" o:title=""/>
                </v:shape>
                <w:control r:id="rId43" w:name="DefaultOcxName17" w:shapeid="_x0000_i1108"/>
              </w:object>
            </w:r>
          </w:p>
        </w:tc>
        <w:tc>
          <w:tcPr>
            <w:tcW w:w="0" w:type="auto"/>
            <w:tcBorders>
              <w:top w:val="outset" w:sz="6" w:space="0" w:color="auto"/>
              <w:left w:val="outset" w:sz="6" w:space="0" w:color="auto"/>
              <w:bottom w:val="outset" w:sz="6" w:space="0" w:color="auto"/>
              <w:right w:val="outset" w:sz="6" w:space="0" w:color="auto"/>
            </w:tcBorders>
            <w:hideMark/>
          </w:tcPr>
          <w:p w:rsidR="00813C20" w:rsidRPr="00AB5E41" w:rsidRDefault="00813C20" w:rsidP="00A4460F">
            <w:pPr>
              <w:rPr>
                <w:rFonts w:ascii="Arial" w:hAnsi="Arial" w:cs="Arial"/>
                <w:szCs w:val="24"/>
              </w:rPr>
            </w:pPr>
            <w:r w:rsidRPr="00AB5E41">
              <w:rPr>
                <w:rFonts w:ascii="Arial" w:hAnsi="Arial" w:cs="Arial"/>
                <w:szCs w:val="24"/>
              </w:rPr>
              <w:t>  0</w:t>
            </w:r>
          </w:p>
        </w:tc>
      </w:tr>
    </w:tbl>
    <w:p w:rsidR="00813C20" w:rsidRDefault="00813C20" w:rsidP="00A4460F">
      <w:pPr>
        <w:spacing w:after="3" w:line="248" w:lineRule="auto"/>
        <w:ind w:left="0" w:right="55" w:firstLine="0"/>
      </w:pPr>
    </w:p>
    <w:p w:rsidR="008979C0" w:rsidRDefault="002672DB" w:rsidP="00705D30">
      <w:pPr>
        <w:spacing w:after="3" w:line="248" w:lineRule="auto"/>
        <w:ind w:right="55"/>
      </w:pPr>
      <w:r>
        <w:t>Ov</w:t>
      </w:r>
      <w:r w:rsidR="00705D30">
        <w:t>erall there is an increase of 31 responses and 29</w:t>
      </w:r>
      <w:r>
        <w:t xml:space="preserve"> total burden hours due to </w:t>
      </w:r>
      <w:r w:rsidR="00705D30">
        <w:t>program changes under Agency discretion</w:t>
      </w:r>
      <w:r>
        <w:t xml:space="preserve">. </w:t>
      </w:r>
    </w:p>
    <w:p w:rsidR="00705D30" w:rsidRDefault="00705D30" w:rsidP="00705D30">
      <w:pPr>
        <w:spacing w:after="3" w:line="248" w:lineRule="auto"/>
        <w:ind w:right="55"/>
      </w:pPr>
    </w:p>
    <w:p w:rsidR="00C55CAF" w:rsidRDefault="002672DB" w:rsidP="00980FF0">
      <w:pPr>
        <w:spacing w:after="3" w:line="248" w:lineRule="auto"/>
        <w:ind w:right="55"/>
      </w:pPr>
      <w:r>
        <w:t>The</w:t>
      </w:r>
      <w:r w:rsidR="00A4460F">
        <w:t>se</w:t>
      </w:r>
      <w:r w:rsidR="00705D30">
        <w:t xml:space="preserve"> program changes</w:t>
      </w:r>
      <w:r>
        <w:t xml:space="preserve"> are due to i</w:t>
      </w:r>
      <w:r w:rsidR="00A4460F">
        <w:t>nspections by the NPPO being</w:t>
      </w:r>
      <w:r w:rsidR="004E2123">
        <w:t xml:space="preserve"> erroneously left off </w:t>
      </w:r>
      <w:r>
        <w:t>the previous submission</w:t>
      </w:r>
      <w:r w:rsidR="00293DF7">
        <w:t>, along with a</w:t>
      </w:r>
      <w:r w:rsidR="008979C0">
        <w:t xml:space="preserve"> under estimate of the</w:t>
      </w:r>
      <w:r w:rsidR="004E2123">
        <w:t xml:space="preserve"> number of respondents for both the greenhouse registrations and </w:t>
      </w:r>
      <w:r w:rsidR="00705D30">
        <w:t xml:space="preserve">issued </w:t>
      </w:r>
      <w:r w:rsidR="004E2123">
        <w:t>phy</w:t>
      </w:r>
      <w:r w:rsidR="00705D30">
        <w:t>tosanitary certificates</w:t>
      </w:r>
      <w:r w:rsidR="004E2123">
        <w:t>. Emergency Action Notifications were also left off the prev</w:t>
      </w:r>
      <w:r>
        <w:t xml:space="preserve">ious </w:t>
      </w:r>
      <w:r w:rsidR="00705D30">
        <w:t>submission</w:t>
      </w:r>
      <w:r w:rsidR="008979C0">
        <w:t xml:space="preserve">, which has been added to this renewal package. </w:t>
      </w:r>
    </w:p>
    <w:p w:rsidR="00A4460F" w:rsidRPr="00A4460F" w:rsidRDefault="00A4460F" w:rsidP="00A4460F">
      <w:pPr>
        <w:spacing w:after="3" w:line="248" w:lineRule="auto"/>
        <w:ind w:left="370" w:right="55" w:firstLine="0"/>
      </w:pPr>
    </w:p>
    <w:p w:rsidR="00740096" w:rsidRDefault="00740096">
      <w:pPr>
        <w:spacing w:line="259" w:lineRule="auto"/>
        <w:ind w:left="0" w:firstLine="0"/>
      </w:pPr>
    </w:p>
    <w:p w:rsidR="00740096" w:rsidRDefault="00980FF0" w:rsidP="00980FF0">
      <w:pPr>
        <w:spacing w:after="3" w:line="248" w:lineRule="auto"/>
        <w:ind w:right="55"/>
      </w:pPr>
      <w:r>
        <w:rPr>
          <w:b/>
        </w:rPr>
        <w:t xml:space="preserve">16.  </w:t>
      </w:r>
      <w:r w:rsidR="004E2123">
        <w:rPr>
          <w:b/>
        </w:rPr>
        <w:t>For collections of information whose results are planned to be published, outline plans for tabulation and publication.</w:t>
      </w:r>
      <w:r w:rsidR="004E2123">
        <w:t xml:space="preserve"> </w:t>
      </w:r>
    </w:p>
    <w:p w:rsidR="004352F6" w:rsidRDefault="004352F6" w:rsidP="004352F6">
      <w:pPr>
        <w:spacing w:after="3" w:line="248" w:lineRule="auto"/>
        <w:ind w:left="370" w:right="55" w:firstLine="0"/>
      </w:pPr>
    </w:p>
    <w:p w:rsidR="00740096" w:rsidRDefault="004E2123" w:rsidP="00980FF0">
      <w:pPr>
        <w:spacing w:after="3" w:line="248" w:lineRule="auto"/>
        <w:ind w:right="55"/>
      </w:pPr>
      <w:r>
        <w:t xml:space="preserve">APHIS has no plans to publish any information collected in connection with program. </w:t>
      </w:r>
    </w:p>
    <w:p w:rsidR="00740096" w:rsidRDefault="00740096" w:rsidP="00740096">
      <w:pPr>
        <w:spacing w:after="3" w:line="248" w:lineRule="auto"/>
        <w:ind w:right="55"/>
      </w:pPr>
    </w:p>
    <w:p w:rsidR="00ED59C8" w:rsidRDefault="00ED59C8" w:rsidP="00740096">
      <w:pPr>
        <w:spacing w:after="3" w:line="248" w:lineRule="auto"/>
        <w:ind w:right="55"/>
      </w:pPr>
    </w:p>
    <w:p w:rsidR="00740096" w:rsidRPr="00740096" w:rsidRDefault="00980FF0" w:rsidP="00980FF0">
      <w:pPr>
        <w:spacing w:after="3" w:line="248" w:lineRule="auto"/>
        <w:ind w:right="55"/>
      </w:pPr>
      <w:r>
        <w:rPr>
          <w:b/>
        </w:rPr>
        <w:t xml:space="preserve">17.  </w:t>
      </w:r>
      <w:r w:rsidR="004E2123" w:rsidRPr="00980FF0">
        <w:rPr>
          <w:b/>
        </w:rPr>
        <w:t xml:space="preserve">If seeking approval to not display the expiration date for OMB approval of the information collection, explain the reasons that display would be inappropriate. </w:t>
      </w:r>
    </w:p>
    <w:p w:rsidR="00740096" w:rsidRDefault="00740096" w:rsidP="00740096">
      <w:pPr>
        <w:pStyle w:val="ListParagraph"/>
        <w:spacing w:after="3" w:line="248" w:lineRule="auto"/>
        <w:ind w:left="370" w:right="55" w:firstLine="0"/>
        <w:rPr>
          <w:b/>
        </w:rPr>
      </w:pPr>
    </w:p>
    <w:p w:rsidR="004352F6" w:rsidRPr="0054082B" w:rsidRDefault="004352F6" w:rsidP="00980FF0">
      <w:pPr>
        <w:rPr>
          <w:b/>
          <w:szCs w:val="24"/>
        </w:rPr>
      </w:pPr>
      <w:r w:rsidRPr="0054082B">
        <w:rPr>
          <w:szCs w:val="24"/>
        </w:rPr>
        <w:t xml:space="preserve">The PPQ Form </w:t>
      </w:r>
      <w:r>
        <w:rPr>
          <w:szCs w:val="24"/>
        </w:rPr>
        <w:t>523</w:t>
      </w:r>
      <w:r w:rsidRPr="0054082B">
        <w:rPr>
          <w:szCs w:val="24"/>
        </w:rPr>
        <w:t xml:space="preserve"> is used in multiple information collections; therefore, it is not practical to include an OMB expiration date because of the various expiration dates for each collection.  APHIS is seeking approval to not display the OMB expiration date on this form. </w:t>
      </w:r>
      <w:r w:rsidRPr="0054082B">
        <w:rPr>
          <w:b/>
          <w:szCs w:val="24"/>
        </w:rPr>
        <w:t xml:space="preserve"> </w:t>
      </w:r>
    </w:p>
    <w:p w:rsidR="00C55CAF" w:rsidRDefault="00C55CAF">
      <w:pPr>
        <w:spacing w:line="259" w:lineRule="auto"/>
        <w:ind w:left="0" w:firstLine="0"/>
      </w:pPr>
    </w:p>
    <w:p w:rsidR="00C55CAF" w:rsidRDefault="004E2123">
      <w:pPr>
        <w:spacing w:line="259" w:lineRule="auto"/>
        <w:ind w:left="0" w:firstLine="0"/>
      </w:pPr>
      <w:r>
        <w:t xml:space="preserve"> </w:t>
      </w:r>
    </w:p>
    <w:p w:rsidR="00740096" w:rsidRPr="00980FF0" w:rsidRDefault="00980FF0" w:rsidP="00980FF0">
      <w:pPr>
        <w:spacing w:after="3" w:line="248" w:lineRule="auto"/>
        <w:ind w:right="55"/>
        <w:rPr>
          <w:b/>
        </w:rPr>
      </w:pPr>
      <w:r>
        <w:rPr>
          <w:b/>
        </w:rPr>
        <w:t xml:space="preserve">18.  </w:t>
      </w:r>
      <w:r w:rsidR="004E2123">
        <w:rPr>
          <w:b/>
        </w:rPr>
        <w:t>Explain each exception to the certification statement identified in the "Certification for Paperwork Reduction Act."</w:t>
      </w:r>
      <w:r w:rsidR="004E2123">
        <w:t xml:space="preserve"> </w:t>
      </w:r>
    </w:p>
    <w:p w:rsidR="00740096" w:rsidRDefault="00740096" w:rsidP="00740096">
      <w:pPr>
        <w:spacing w:after="3" w:line="248" w:lineRule="auto"/>
        <w:ind w:left="370" w:right="55" w:firstLine="0"/>
      </w:pPr>
    </w:p>
    <w:p w:rsidR="00740096" w:rsidRDefault="004E2123" w:rsidP="00980FF0">
      <w:pPr>
        <w:spacing w:after="3" w:line="248" w:lineRule="auto"/>
        <w:ind w:right="55"/>
      </w:pPr>
      <w:r>
        <w:t xml:space="preserve">APHIS is able to certify compliance with all the provisions in the Act. </w:t>
      </w:r>
    </w:p>
    <w:p w:rsidR="00740096" w:rsidRDefault="00740096" w:rsidP="00740096">
      <w:pPr>
        <w:spacing w:after="3" w:line="248" w:lineRule="auto"/>
        <w:ind w:left="370" w:right="55" w:firstLine="0"/>
      </w:pPr>
    </w:p>
    <w:p w:rsidR="00740096" w:rsidRDefault="00740096" w:rsidP="00740096">
      <w:pPr>
        <w:spacing w:after="3" w:line="248" w:lineRule="auto"/>
        <w:ind w:right="55"/>
      </w:pPr>
    </w:p>
    <w:p w:rsidR="00740096" w:rsidRDefault="004E2123" w:rsidP="00740096">
      <w:pPr>
        <w:pStyle w:val="ListParagraph"/>
        <w:numPr>
          <w:ilvl w:val="0"/>
          <w:numId w:val="5"/>
        </w:numPr>
        <w:spacing w:after="3" w:line="248" w:lineRule="auto"/>
        <w:ind w:right="55"/>
      </w:pPr>
      <w:r w:rsidRPr="00740096">
        <w:rPr>
          <w:b/>
        </w:rPr>
        <w:t>Collections of Information Employing Statistical Methods</w:t>
      </w:r>
      <w:r>
        <w:t xml:space="preserve"> </w:t>
      </w:r>
    </w:p>
    <w:p w:rsidR="00740096" w:rsidRDefault="00740096" w:rsidP="00740096">
      <w:pPr>
        <w:pStyle w:val="ListParagraph"/>
        <w:spacing w:after="3" w:line="248" w:lineRule="auto"/>
        <w:ind w:left="345" w:right="55" w:firstLine="0"/>
      </w:pPr>
    </w:p>
    <w:p w:rsidR="00C55CAF" w:rsidRDefault="004E2123" w:rsidP="00ED59C8">
      <w:pPr>
        <w:pStyle w:val="ListParagraph"/>
        <w:spacing w:after="3" w:line="248" w:lineRule="auto"/>
        <w:ind w:left="345" w:right="55" w:firstLine="0"/>
      </w:pPr>
      <w:r>
        <w:t xml:space="preserve">Statistical methods are not used </w:t>
      </w:r>
      <w:r w:rsidR="00ED59C8">
        <w:t>in this information collection.</w:t>
      </w:r>
    </w:p>
    <w:sectPr w:rsidR="00C55CAF" w:rsidSect="003A31D2">
      <w:footerReference w:type="even" r:id="rId44"/>
      <w:footerReference w:type="default" r:id="rId45"/>
      <w:footerReference w:type="first" r:id="rId46"/>
      <w:pgSz w:w="12240" w:h="15840"/>
      <w:pgMar w:top="1440" w:right="1440" w:bottom="1440" w:left="1440" w:header="0" w:footer="14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60F" w:rsidRDefault="00A4460F">
      <w:pPr>
        <w:spacing w:line="240" w:lineRule="auto"/>
      </w:pPr>
      <w:r>
        <w:separator/>
      </w:r>
    </w:p>
  </w:endnote>
  <w:endnote w:type="continuationSeparator" w:id="0">
    <w:p w:rsidR="00A4460F" w:rsidRDefault="00A446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60F" w:rsidRDefault="00A4460F">
    <w:pPr>
      <w:spacing w:line="259" w:lineRule="auto"/>
      <w:ind w:left="0" w:right="61"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rsidR="00A4460F" w:rsidRDefault="00A4460F">
    <w:pPr>
      <w:spacing w:line="259" w:lineRule="auto"/>
      <w:ind w:left="0" w:firstLine="0"/>
    </w:pPr>
    <w:r>
      <w:rPr>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1590884"/>
      <w:docPartObj>
        <w:docPartGallery w:val="Page Numbers (Bottom of Page)"/>
        <w:docPartUnique/>
      </w:docPartObj>
    </w:sdtPr>
    <w:sdtEndPr>
      <w:rPr>
        <w:noProof/>
      </w:rPr>
    </w:sdtEndPr>
    <w:sdtContent>
      <w:p w:rsidR="00082362" w:rsidRDefault="00082362" w:rsidP="00082362">
        <w:pPr>
          <w:pStyle w:val="Footer"/>
          <w:jc w:val="center"/>
        </w:pPr>
        <w:r>
          <w:fldChar w:fldCharType="begin"/>
        </w:r>
        <w:r>
          <w:instrText xml:space="preserve"> PAGE   \* MERGEFORMAT </w:instrText>
        </w:r>
        <w:r>
          <w:fldChar w:fldCharType="separate"/>
        </w:r>
        <w:r w:rsidR="0037182D">
          <w:rPr>
            <w:noProof/>
          </w:rPr>
          <w:t>1</w:t>
        </w:r>
        <w:r>
          <w:rPr>
            <w:noProof/>
          </w:rPr>
          <w:fldChar w:fldCharType="end"/>
        </w:r>
      </w:p>
    </w:sdtContent>
  </w:sdt>
  <w:p w:rsidR="00A4460F" w:rsidRDefault="00A4460F">
    <w:pPr>
      <w:spacing w:line="259" w:lineRule="auto"/>
      <w:ind w:left="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60F" w:rsidRDefault="00A4460F">
    <w:pPr>
      <w:spacing w:line="259" w:lineRule="auto"/>
      <w:ind w:left="0" w:right="61"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rsidR="00A4460F" w:rsidRDefault="00A4460F">
    <w:pPr>
      <w:spacing w:line="259" w:lineRule="auto"/>
      <w:ind w:left="0" w:firstLine="0"/>
    </w:pPr>
    <w:r>
      <w:rPr>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60F" w:rsidRDefault="00A4460F">
      <w:pPr>
        <w:spacing w:line="240" w:lineRule="auto"/>
      </w:pPr>
      <w:r>
        <w:separator/>
      </w:r>
    </w:p>
  </w:footnote>
  <w:footnote w:type="continuationSeparator" w:id="0">
    <w:p w:rsidR="00A4460F" w:rsidRDefault="00A4460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C24E3"/>
    <w:multiLevelType w:val="hybridMultilevel"/>
    <w:tmpl w:val="89C85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224747"/>
    <w:multiLevelType w:val="hybridMultilevel"/>
    <w:tmpl w:val="63BEFA58"/>
    <w:lvl w:ilvl="0" w:tplc="04090001">
      <w:start w:val="1"/>
      <w:numFmt w:val="bullet"/>
      <w:lvlText w:val=""/>
      <w:lvlJc w:val="left"/>
      <w:pPr>
        <w:ind w:left="850" w:hanging="360"/>
      </w:pPr>
      <w:rPr>
        <w:rFonts w:ascii="Symbol" w:hAnsi="Symbol" w:hint="default"/>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2">
    <w:nsid w:val="2A7F7ABC"/>
    <w:multiLevelType w:val="hybridMultilevel"/>
    <w:tmpl w:val="9FCE503C"/>
    <w:lvl w:ilvl="0" w:tplc="A6383718">
      <w:start w:val="9"/>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22C6C0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BDE977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538A79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7FC336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CC256D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0CE4F6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9D0299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D7AD22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37DA5984"/>
    <w:multiLevelType w:val="hybridMultilevel"/>
    <w:tmpl w:val="DFBE212C"/>
    <w:lvl w:ilvl="0" w:tplc="3FCCD1D8">
      <w:start w:val="4"/>
      <w:numFmt w:val="decimal"/>
      <w:lvlText w:val="%1."/>
      <w:lvlJc w:val="left"/>
      <w:pPr>
        <w:ind w:left="370" w:hanging="360"/>
      </w:pPr>
      <w:rPr>
        <w:rFonts w:hint="default"/>
        <w:b/>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4">
    <w:nsid w:val="4F3034B5"/>
    <w:multiLevelType w:val="hybridMultilevel"/>
    <w:tmpl w:val="E18C6FCA"/>
    <w:lvl w:ilvl="0" w:tplc="04090001">
      <w:start w:val="1"/>
      <w:numFmt w:val="bullet"/>
      <w:lvlText w:val=""/>
      <w:lvlJc w:val="left"/>
      <w:pPr>
        <w:ind w:left="1090" w:hanging="360"/>
      </w:pPr>
      <w:rPr>
        <w:rFonts w:ascii="Symbol" w:hAnsi="Symbol" w:hint="default"/>
      </w:rPr>
    </w:lvl>
    <w:lvl w:ilvl="1" w:tplc="04090003" w:tentative="1">
      <w:start w:val="1"/>
      <w:numFmt w:val="bullet"/>
      <w:lvlText w:val="o"/>
      <w:lvlJc w:val="left"/>
      <w:pPr>
        <w:ind w:left="1810" w:hanging="360"/>
      </w:pPr>
      <w:rPr>
        <w:rFonts w:ascii="Courier New" w:hAnsi="Courier New" w:cs="Courier New" w:hint="default"/>
      </w:rPr>
    </w:lvl>
    <w:lvl w:ilvl="2" w:tplc="04090005" w:tentative="1">
      <w:start w:val="1"/>
      <w:numFmt w:val="bullet"/>
      <w:lvlText w:val=""/>
      <w:lvlJc w:val="left"/>
      <w:pPr>
        <w:ind w:left="2530" w:hanging="360"/>
      </w:pPr>
      <w:rPr>
        <w:rFonts w:ascii="Wingdings" w:hAnsi="Wingdings" w:hint="default"/>
      </w:rPr>
    </w:lvl>
    <w:lvl w:ilvl="3" w:tplc="04090001" w:tentative="1">
      <w:start w:val="1"/>
      <w:numFmt w:val="bullet"/>
      <w:lvlText w:val=""/>
      <w:lvlJc w:val="left"/>
      <w:pPr>
        <w:ind w:left="3250" w:hanging="360"/>
      </w:pPr>
      <w:rPr>
        <w:rFonts w:ascii="Symbol" w:hAnsi="Symbol" w:hint="default"/>
      </w:rPr>
    </w:lvl>
    <w:lvl w:ilvl="4" w:tplc="04090003" w:tentative="1">
      <w:start w:val="1"/>
      <w:numFmt w:val="bullet"/>
      <w:lvlText w:val="o"/>
      <w:lvlJc w:val="left"/>
      <w:pPr>
        <w:ind w:left="3970" w:hanging="360"/>
      </w:pPr>
      <w:rPr>
        <w:rFonts w:ascii="Courier New" w:hAnsi="Courier New" w:cs="Courier New" w:hint="default"/>
      </w:rPr>
    </w:lvl>
    <w:lvl w:ilvl="5" w:tplc="04090005" w:tentative="1">
      <w:start w:val="1"/>
      <w:numFmt w:val="bullet"/>
      <w:lvlText w:val=""/>
      <w:lvlJc w:val="left"/>
      <w:pPr>
        <w:ind w:left="4690" w:hanging="360"/>
      </w:pPr>
      <w:rPr>
        <w:rFonts w:ascii="Wingdings" w:hAnsi="Wingdings" w:hint="default"/>
      </w:rPr>
    </w:lvl>
    <w:lvl w:ilvl="6" w:tplc="04090001" w:tentative="1">
      <w:start w:val="1"/>
      <w:numFmt w:val="bullet"/>
      <w:lvlText w:val=""/>
      <w:lvlJc w:val="left"/>
      <w:pPr>
        <w:ind w:left="5410" w:hanging="360"/>
      </w:pPr>
      <w:rPr>
        <w:rFonts w:ascii="Symbol" w:hAnsi="Symbol" w:hint="default"/>
      </w:rPr>
    </w:lvl>
    <w:lvl w:ilvl="7" w:tplc="04090003" w:tentative="1">
      <w:start w:val="1"/>
      <w:numFmt w:val="bullet"/>
      <w:lvlText w:val="o"/>
      <w:lvlJc w:val="left"/>
      <w:pPr>
        <w:ind w:left="6130" w:hanging="360"/>
      </w:pPr>
      <w:rPr>
        <w:rFonts w:ascii="Courier New" w:hAnsi="Courier New" w:cs="Courier New" w:hint="default"/>
      </w:rPr>
    </w:lvl>
    <w:lvl w:ilvl="8" w:tplc="04090005" w:tentative="1">
      <w:start w:val="1"/>
      <w:numFmt w:val="bullet"/>
      <w:lvlText w:val=""/>
      <w:lvlJc w:val="left"/>
      <w:pPr>
        <w:ind w:left="6850" w:hanging="360"/>
      </w:pPr>
      <w:rPr>
        <w:rFonts w:ascii="Wingdings" w:hAnsi="Wingdings" w:hint="default"/>
      </w:rPr>
    </w:lvl>
  </w:abstractNum>
  <w:abstractNum w:abstractNumId="5">
    <w:nsid w:val="54B623DE"/>
    <w:multiLevelType w:val="hybridMultilevel"/>
    <w:tmpl w:val="3E440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C159DC"/>
    <w:multiLevelType w:val="hybridMultilevel"/>
    <w:tmpl w:val="506A60BC"/>
    <w:lvl w:ilvl="0" w:tplc="8BE8E576">
      <w:start w:val="4"/>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C4AD4BA">
      <w:start w:val="1"/>
      <w:numFmt w:val="bullet"/>
      <w:lvlText w:val="•"/>
      <w:lvlJc w:val="left"/>
      <w:pPr>
        <w:ind w:left="1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A8A32A4">
      <w:start w:val="1"/>
      <w:numFmt w:val="bullet"/>
      <w:lvlText w:val="▪"/>
      <w:lvlJc w:val="left"/>
      <w:pPr>
        <w:ind w:left="18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FCAFA98">
      <w:start w:val="1"/>
      <w:numFmt w:val="bullet"/>
      <w:lvlText w:val="•"/>
      <w:lvlJc w:val="left"/>
      <w:pPr>
        <w:ind w:left="25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80E108">
      <w:start w:val="1"/>
      <w:numFmt w:val="bullet"/>
      <w:lvlText w:val="o"/>
      <w:lvlJc w:val="left"/>
      <w:pPr>
        <w:ind w:left="32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F74A2E0">
      <w:start w:val="1"/>
      <w:numFmt w:val="bullet"/>
      <w:lvlText w:val="▪"/>
      <w:lvlJc w:val="left"/>
      <w:pPr>
        <w:ind w:left="39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D1C2452">
      <w:start w:val="1"/>
      <w:numFmt w:val="bullet"/>
      <w:lvlText w:val="•"/>
      <w:lvlJc w:val="left"/>
      <w:pPr>
        <w:ind w:left="46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46AE64">
      <w:start w:val="1"/>
      <w:numFmt w:val="bullet"/>
      <w:lvlText w:val="o"/>
      <w:lvlJc w:val="left"/>
      <w:pPr>
        <w:ind w:left="54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9381112">
      <w:start w:val="1"/>
      <w:numFmt w:val="bullet"/>
      <w:lvlText w:val="▪"/>
      <w:lvlJc w:val="left"/>
      <w:pPr>
        <w:ind w:left="61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nsid w:val="59A97FDD"/>
    <w:multiLevelType w:val="hybridMultilevel"/>
    <w:tmpl w:val="1EEA671A"/>
    <w:lvl w:ilvl="0" w:tplc="49442104">
      <w:start w:val="15"/>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nsid w:val="5A09418D"/>
    <w:multiLevelType w:val="hybridMultilevel"/>
    <w:tmpl w:val="F53A4430"/>
    <w:lvl w:ilvl="0" w:tplc="58BE0438">
      <w:start w:val="1"/>
      <w:numFmt w:val="bullet"/>
      <w:lvlText w:val="•"/>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718447A">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2807AEA">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F783780">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7D6B634">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F066EC6">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D30E6A2">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A10F1B6">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C9AAFAA">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nsid w:val="5ADF63A4"/>
    <w:multiLevelType w:val="hybridMultilevel"/>
    <w:tmpl w:val="BF8E570C"/>
    <w:lvl w:ilvl="0" w:tplc="F65E0CBC">
      <w:start w:val="13"/>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3C2170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B9E52D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3F2DB3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560170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F88C99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208B75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B8AC9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EBCFAF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nsid w:val="73AE303F"/>
    <w:multiLevelType w:val="hybridMultilevel"/>
    <w:tmpl w:val="DA825874"/>
    <w:lvl w:ilvl="0" w:tplc="B24EF806">
      <w:start w:val="1"/>
      <w:numFmt w:val="upperLetter"/>
      <w:lvlText w:val="%1."/>
      <w:lvlJc w:val="left"/>
      <w:pPr>
        <w:ind w:left="345" w:hanging="360"/>
      </w:pPr>
      <w:rPr>
        <w:rFonts w:hint="default"/>
        <w:b/>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num w:numId="1">
    <w:abstractNumId w:val="6"/>
  </w:num>
  <w:num w:numId="2">
    <w:abstractNumId w:val="2"/>
  </w:num>
  <w:num w:numId="3">
    <w:abstractNumId w:val="8"/>
  </w:num>
  <w:num w:numId="4">
    <w:abstractNumId w:val="9"/>
  </w:num>
  <w:num w:numId="5">
    <w:abstractNumId w:val="10"/>
  </w:num>
  <w:num w:numId="6">
    <w:abstractNumId w:val="3"/>
  </w:num>
  <w:num w:numId="7">
    <w:abstractNumId w:val="4"/>
  </w:num>
  <w:num w:numId="8">
    <w:abstractNumId w:val="7"/>
  </w:num>
  <w:num w:numId="9">
    <w:abstractNumId w:val="5"/>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CAF"/>
    <w:rsid w:val="00002624"/>
    <w:rsid w:val="00082362"/>
    <w:rsid w:val="002672DB"/>
    <w:rsid w:val="00293DF7"/>
    <w:rsid w:val="0037182D"/>
    <w:rsid w:val="003A31D2"/>
    <w:rsid w:val="004352F6"/>
    <w:rsid w:val="004E2123"/>
    <w:rsid w:val="0063555C"/>
    <w:rsid w:val="006B4C1E"/>
    <w:rsid w:val="00705D30"/>
    <w:rsid w:val="00740096"/>
    <w:rsid w:val="00813C20"/>
    <w:rsid w:val="00813CDC"/>
    <w:rsid w:val="008811DD"/>
    <w:rsid w:val="008979C0"/>
    <w:rsid w:val="00980FF0"/>
    <w:rsid w:val="00A4460F"/>
    <w:rsid w:val="00BE653F"/>
    <w:rsid w:val="00C55CAF"/>
    <w:rsid w:val="00C76EB1"/>
    <w:rsid w:val="00DB1C9E"/>
    <w:rsid w:val="00ED59C8"/>
    <w:rsid w:val="00F51E79"/>
    <w:rsid w:val="00F8738F"/>
    <w:rsid w:val="00FD4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line="249" w:lineRule="auto"/>
      <w:ind w:left="10" w:hanging="10"/>
      <w:outlineLvl w:val="0"/>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paragraph" w:styleId="ListParagraph">
    <w:name w:val="List Paragraph"/>
    <w:basedOn w:val="Normal"/>
    <w:uiPriority w:val="34"/>
    <w:qFormat/>
    <w:rsid w:val="00FD402E"/>
    <w:pPr>
      <w:ind w:left="720"/>
      <w:contextualSpacing/>
    </w:pPr>
  </w:style>
  <w:style w:type="paragraph" w:customStyle="1" w:styleId="DefaultText">
    <w:name w:val="Default Text"/>
    <w:basedOn w:val="Normal"/>
    <w:rsid w:val="00740096"/>
    <w:pPr>
      <w:overflowPunct w:val="0"/>
      <w:autoSpaceDE w:val="0"/>
      <w:autoSpaceDN w:val="0"/>
      <w:adjustRightInd w:val="0"/>
      <w:spacing w:line="240" w:lineRule="auto"/>
      <w:ind w:left="0" w:firstLine="0"/>
      <w:textAlignment w:val="baseline"/>
    </w:pPr>
    <w:rPr>
      <w:color w:val="auto"/>
      <w:szCs w:val="20"/>
    </w:rPr>
  </w:style>
  <w:style w:type="character" w:customStyle="1" w:styleId="InitialStyle">
    <w:name w:val="InitialStyle"/>
    <w:rsid w:val="00740096"/>
    <w:rPr>
      <w:rFonts w:ascii="Courier New" w:hAnsi="Courier New"/>
      <w:color w:val="auto"/>
      <w:spacing w:val="0"/>
      <w:sz w:val="24"/>
    </w:rPr>
  </w:style>
  <w:style w:type="paragraph" w:styleId="NormalWeb">
    <w:name w:val="Normal (Web)"/>
    <w:basedOn w:val="Normal"/>
    <w:uiPriority w:val="99"/>
    <w:unhideWhenUsed/>
    <w:rsid w:val="00740096"/>
    <w:pPr>
      <w:spacing w:before="100" w:beforeAutospacing="1" w:after="100" w:afterAutospacing="1" w:line="240" w:lineRule="auto"/>
      <w:ind w:left="0" w:firstLine="0"/>
    </w:pPr>
    <w:rPr>
      <w:color w:val="auto"/>
      <w:szCs w:val="24"/>
    </w:rPr>
  </w:style>
  <w:style w:type="paragraph" w:styleId="Header">
    <w:name w:val="header"/>
    <w:basedOn w:val="Normal"/>
    <w:link w:val="HeaderChar"/>
    <w:uiPriority w:val="99"/>
    <w:unhideWhenUsed/>
    <w:rsid w:val="00082362"/>
    <w:pPr>
      <w:tabs>
        <w:tab w:val="center" w:pos="4680"/>
        <w:tab w:val="right" w:pos="9360"/>
      </w:tabs>
      <w:spacing w:line="240" w:lineRule="auto"/>
    </w:pPr>
  </w:style>
  <w:style w:type="character" w:customStyle="1" w:styleId="HeaderChar">
    <w:name w:val="Header Char"/>
    <w:basedOn w:val="DefaultParagraphFont"/>
    <w:link w:val="Header"/>
    <w:uiPriority w:val="99"/>
    <w:rsid w:val="00082362"/>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082362"/>
    <w:pPr>
      <w:tabs>
        <w:tab w:val="center" w:pos="4680"/>
        <w:tab w:val="right" w:pos="9360"/>
      </w:tabs>
      <w:spacing w:line="240" w:lineRule="auto"/>
      <w:ind w:left="0" w:firstLine="0"/>
    </w:pPr>
    <w:rPr>
      <w:rFonts w:asciiTheme="minorHAnsi" w:eastAsiaTheme="minorEastAsia" w:hAnsiTheme="minorHAnsi"/>
      <w:color w:val="auto"/>
      <w:sz w:val="22"/>
    </w:rPr>
  </w:style>
  <w:style w:type="character" w:customStyle="1" w:styleId="FooterChar">
    <w:name w:val="Footer Char"/>
    <w:basedOn w:val="DefaultParagraphFont"/>
    <w:link w:val="Footer"/>
    <w:uiPriority w:val="99"/>
    <w:rsid w:val="00082362"/>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line="249" w:lineRule="auto"/>
      <w:ind w:left="10" w:hanging="10"/>
      <w:outlineLvl w:val="0"/>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paragraph" w:styleId="ListParagraph">
    <w:name w:val="List Paragraph"/>
    <w:basedOn w:val="Normal"/>
    <w:uiPriority w:val="34"/>
    <w:qFormat/>
    <w:rsid w:val="00FD402E"/>
    <w:pPr>
      <w:ind w:left="720"/>
      <w:contextualSpacing/>
    </w:pPr>
  </w:style>
  <w:style w:type="paragraph" w:customStyle="1" w:styleId="DefaultText">
    <w:name w:val="Default Text"/>
    <w:basedOn w:val="Normal"/>
    <w:rsid w:val="00740096"/>
    <w:pPr>
      <w:overflowPunct w:val="0"/>
      <w:autoSpaceDE w:val="0"/>
      <w:autoSpaceDN w:val="0"/>
      <w:adjustRightInd w:val="0"/>
      <w:spacing w:line="240" w:lineRule="auto"/>
      <w:ind w:left="0" w:firstLine="0"/>
      <w:textAlignment w:val="baseline"/>
    </w:pPr>
    <w:rPr>
      <w:color w:val="auto"/>
      <w:szCs w:val="20"/>
    </w:rPr>
  </w:style>
  <w:style w:type="character" w:customStyle="1" w:styleId="InitialStyle">
    <w:name w:val="InitialStyle"/>
    <w:rsid w:val="00740096"/>
    <w:rPr>
      <w:rFonts w:ascii="Courier New" w:hAnsi="Courier New"/>
      <w:color w:val="auto"/>
      <w:spacing w:val="0"/>
      <w:sz w:val="24"/>
    </w:rPr>
  </w:style>
  <w:style w:type="paragraph" w:styleId="NormalWeb">
    <w:name w:val="Normal (Web)"/>
    <w:basedOn w:val="Normal"/>
    <w:uiPriority w:val="99"/>
    <w:unhideWhenUsed/>
    <w:rsid w:val="00740096"/>
    <w:pPr>
      <w:spacing w:before="100" w:beforeAutospacing="1" w:after="100" w:afterAutospacing="1" w:line="240" w:lineRule="auto"/>
      <w:ind w:left="0" w:firstLine="0"/>
    </w:pPr>
    <w:rPr>
      <w:color w:val="auto"/>
      <w:szCs w:val="24"/>
    </w:rPr>
  </w:style>
  <w:style w:type="paragraph" w:styleId="Header">
    <w:name w:val="header"/>
    <w:basedOn w:val="Normal"/>
    <w:link w:val="HeaderChar"/>
    <w:uiPriority w:val="99"/>
    <w:unhideWhenUsed/>
    <w:rsid w:val="00082362"/>
    <w:pPr>
      <w:tabs>
        <w:tab w:val="center" w:pos="4680"/>
        <w:tab w:val="right" w:pos="9360"/>
      </w:tabs>
      <w:spacing w:line="240" w:lineRule="auto"/>
    </w:pPr>
  </w:style>
  <w:style w:type="character" w:customStyle="1" w:styleId="HeaderChar">
    <w:name w:val="Header Char"/>
    <w:basedOn w:val="DefaultParagraphFont"/>
    <w:link w:val="Header"/>
    <w:uiPriority w:val="99"/>
    <w:rsid w:val="00082362"/>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082362"/>
    <w:pPr>
      <w:tabs>
        <w:tab w:val="center" w:pos="4680"/>
        <w:tab w:val="right" w:pos="9360"/>
      </w:tabs>
      <w:spacing w:line="240" w:lineRule="auto"/>
      <w:ind w:left="0" w:firstLine="0"/>
    </w:pPr>
    <w:rPr>
      <w:rFonts w:asciiTheme="minorHAnsi" w:eastAsiaTheme="minorEastAsia" w:hAnsiTheme="minorHAnsi"/>
      <w:color w:val="auto"/>
      <w:sz w:val="22"/>
    </w:rPr>
  </w:style>
  <w:style w:type="character" w:customStyle="1" w:styleId="FooterChar">
    <w:name w:val="Footer Char"/>
    <w:basedOn w:val="DefaultParagraphFont"/>
    <w:link w:val="Footer"/>
    <w:uiPriority w:val="99"/>
    <w:rsid w:val="0008236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worldsalaries.org/korea" TargetMode="External"/><Relationship Id="rId13" Type="http://schemas.openxmlformats.org/officeDocument/2006/relationships/control" Target="activeX/activeX2.xml"/><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control" Target="activeX/activeX15.xml"/><Relationship Id="rId3" Type="http://schemas.microsoft.com/office/2007/relationships/stylesWithEffects" Target="stylesWithEffects.xml"/><Relationship Id="rId21" Type="http://schemas.openxmlformats.org/officeDocument/2006/relationships/control" Target="activeX/activeX6.xml"/><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control" Target="activeX/activeX4.xml"/><Relationship Id="rId25" Type="http://schemas.openxmlformats.org/officeDocument/2006/relationships/control" Target="activeX/activeX8.xml"/><Relationship Id="rId33" Type="http://schemas.openxmlformats.org/officeDocument/2006/relationships/control" Target="activeX/activeX12.xml"/><Relationship Id="rId38" Type="http://schemas.openxmlformats.org/officeDocument/2006/relationships/image" Target="media/image15.wmf"/><Relationship Id="rId46"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control" Target="activeX/activeX10.xml"/><Relationship Id="rId41" Type="http://schemas.openxmlformats.org/officeDocument/2006/relationships/control" Target="activeX/activeX1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ontrol" Target="activeX/activeX1.xml"/><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control" Target="activeX/activeX14.xml"/><Relationship Id="rId40" Type="http://schemas.openxmlformats.org/officeDocument/2006/relationships/image" Target="media/image16.wmf"/><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control" Target="activeX/activeX7.xml"/><Relationship Id="rId28" Type="http://schemas.openxmlformats.org/officeDocument/2006/relationships/image" Target="media/image10.wmf"/><Relationship Id="rId36" Type="http://schemas.openxmlformats.org/officeDocument/2006/relationships/image" Target="media/image14.wmf"/><Relationship Id="rId10" Type="http://schemas.openxmlformats.org/officeDocument/2006/relationships/image" Target="media/image1.wmf"/><Relationship Id="rId19" Type="http://schemas.openxmlformats.org/officeDocument/2006/relationships/control" Target="activeX/activeX5.xml"/><Relationship Id="rId31" Type="http://schemas.openxmlformats.org/officeDocument/2006/relationships/control" Target="activeX/activeX11.xm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worldsalaries.org/korea" TargetMode="Externa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control" Target="activeX/activeX9.xml"/><Relationship Id="rId30" Type="http://schemas.openxmlformats.org/officeDocument/2006/relationships/image" Target="media/image11.wmf"/><Relationship Id="rId35" Type="http://schemas.openxmlformats.org/officeDocument/2006/relationships/control" Target="activeX/activeX13.xml"/><Relationship Id="rId43" Type="http://schemas.openxmlformats.org/officeDocument/2006/relationships/control" Target="activeX/activeX17.xml"/><Relationship Id="rId48"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15.xml><?xml version="1.0" encoding="utf-8"?>
<ax:ocx xmlns:ax="http://schemas.microsoft.com/office/2006/activeX" xmlns:r="http://schemas.openxmlformats.org/officeDocument/2006/relationships" ax:classid="{5512D11C-5CC6-11CF-8D67-00AA00BDCE1D}" ax:persistence="persistStream" r:id="rId1"/>
</file>

<file path=word/activeX/activeX16.xml><?xml version="1.0" encoding="utf-8"?>
<ax:ocx xmlns:ax="http://schemas.microsoft.com/office/2006/activeX" xmlns:r="http://schemas.openxmlformats.org/officeDocument/2006/relationships" ax:classid="{5512D11C-5CC6-11CF-8D67-00AA00BDCE1D}" ax:persistence="persistStream" r:id="rId1"/>
</file>

<file path=word/activeX/activeX17.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2446</Words>
  <Characters>13948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Supporting Statement for Information Collection Request</vt:lpstr>
    </vt:vector>
  </TitlesOfParts>
  <Company>USDA APHIS</Company>
  <LinksUpToDate>false</LinksUpToDate>
  <CharactersWithSpaces>16362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Information Collection Request</dc:title>
  <dc:subject/>
  <dc:creator>Government User</dc:creator>
  <cp:keywords/>
  <cp:lastModifiedBy>SYSTEM</cp:lastModifiedBy>
  <cp:revision>2</cp:revision>
  <dcterms:created xsi:type="dcterms:W3CDTF">2018-09-26T17:51:00Z</dcterms:created>
  <dcterms:modified xsi:type="dcterms:W3CDTF">2018-09-26T17:51:00Z</dcterms:modified>
</cp:coreProperties>
</file>