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70B5"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343D70B6"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343D70B7" w14:textId="1EC3DD3F"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62224D">
        <w:rPr>
          <w:rFonts w:eastAsia="Times New Roman" w:cs="Times New Roman"/>
          <w:b/>
          <w:szCs w:val="24"/>
        </w:rPr>
        <w:t>0</w:t>
      </w:r>
      <w:r w:rsidR="00212CCC">
        <w:rPr>
          <w:rFonts w:eastAsia="Times New Roman" w:cs="Times New Roman"/>
          <w:b/>
          <w:szCs w:val="24"/>
        </w:rPr>
        <w:t>033</w:t>
      </w:r>
    </w:p>
    <w:p w14:paraId="343D70B8" w14:textId="77777777" w:rsidR="00D12FEB" w:rsidRPr="00642B6A" w:rsidRDefault="00D12FEB" w:rsidP="00642B6A">
      <w:pPr>
        <w:tabs>
          <w:tab w:val="center" w:pos="4680"/>
        </w:tabs>
        <w:suppressAutoHyphens/>
        <w:spacing w:after="240"/>
        <w:jc w:val="center"/>
        <w:rPr>
          <w:rFonts w:eastAsia="Times New Roman" w:cs="Times New Roman"/>
          <w:b/>
          <w:szCs w:val="24"/>
        </w:rPr>
      </w:pPr>
    </w:p>
    <w:p w14:paraId="343D70B9"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343D70BA" w14:textId="77777777"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45E7F83" w14:textId="77777777" w:rsidR="00212CCC" w:rsidRDefault="00642B6A" w:rsidP="00212CCC">
      <w:r w:rsidRPr="00642B6A">
        <w:rPr>
          <w:rFonts w:eastAsia="Times New Roman" w:cs="Times New Roman"/>
          <w:color w:val="000000"/>
          <w:szCs w:val="24"/>
        </w:rPr>
        <w:tab/>
      </w:r>
      <w:r w:rsidR="00212CCC">
        <w:t xml:space="preserve">The Commodity Futures Trading Commission has been entrusted by Congress with the administration and the enforcement of the Commodity Exchange Act (“Act”).  Legal proceedings instituted by private parties or other governmental authorities may affect the Commission’s efforts in this regard.  The interpretation of the responsibilities imposed by the Act on contract markets and their officials and on futures commission merchants (“FCMs”) and their principals is of primary importance to the Commission in its efforts to establish and administer a uniform regulatory scheme in this area.  And, to the extent that private or public action may affect the regulatory standards of the Act, the Commission is interested in the development of judicial interpretations.  The Commission, from time to time, participates as </w:t>
      </w:r>
      <w:r w:rsidR="00212CCC">
        <w:rPr>
          <w:i/>
        </w:rPr>
        <w:t>amicus curiae</w:t>
      </w:r>
      <w:r w:rsidR="00212CCC">
        <w:t xml:space="preserve"> in private litigation, as it did in </w:t>
      </w:r>
      <w:r w:rsidR="00212CCC">
        <w:rPr>
          <w:i/>
        </w:rPr>
        <w:t>Klein v. Cornelius</w:t>
      </w:r>
      <w:r w:rsidR="00212CCC">
        <w:t xml:space="preserve">, 786 F.3d 1310 (10th Cir. 2015), or to intervene as it did in </w:t>
      </w:r>
      <w:r w:rsidR="00212CCC">
        <w:rPr>
          <w:i/>
        </w:rPr>
        <w:t>Koch Supply &amp; Trading, LP v. Giddens</w:t>
      </w:r>
      <w:r w:rsidR="00212CCC">
        <w:t xml:space="preserve">, 484 B.R. 18 (S.D.N.Y. 2012) and </w:t>
      </w:r>
      <w:r w:rsidR="00212CCC">
        <w:rPr>
          <w:i/>
        </w:rPr>
        <w:t>ConocoPhillips Co. v. Giddens</w:t>
      </w:r>
      <w:r w:rsidR="00212CCC">
        <w:t>, 2012 U.S. Dist. LEXIS 144601 (S.D.N.Y. Oct. 4, 2012), where important questions of law are raised in legal proceedings involving the Act and regulations thereunder.  In addition, and notwithstanding any desire to participate in such proceedings, the Commission has a continuing interest in maintaining oversight of the development of the general body of evolving case law which may have direct bearing on the Commission’s administrative opinions interpreting, and actions brought to enforce, the Act.  The information required to be reported by contract markets and FCMs pursuant to 17 C.F.R. § 1.60 enables the Commission to more effectively accomplish these objectives.</w:t>
      </w:r>
    </w:p>
    <w:p w14:paraId="343D70C2" w14:textId="77777777" w:rsidR="00C032F4" w:rsidRPr="00B86819" w:rsidRDefault="00C032F4" w:rsidP="00642B6A">
      <w:pPr>
        <w:autoSpaceDE w:val="0"/>
        <w:autoSpaceDN w:val="0"/>
        <w:adjustRightInd w:val="0"/>
        <w:rPr>
          <w:rFonts w:eastAsia="Times New Roman" w:cs="Times New Roman"/>
          <w:color w:val="000000"/>
          <w:szCs w:val="24"/>
        </w:rPr>
      </w:pPr>
    </w:p>
    <w:p w14:paraId="343D70C3" w14:textId="77777777"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14:paraId="343D70C6" w14:textId="16434FAD" w:rsidR="001577B2" w:rsidRPr="00B86819" w:rsidRDefault="00212CCC" w:rsidP="003677B4">
      <w:pPr>
        <w:ind w:firstLine="720"/>
        <w:rPr>
          <w:rFonts w:eastAsia="Times New Roman" w:cs="Times New Roman"/>
          <w:color w:val="000000"/>
          <w:szCs w:val="24"/>
        </w:rPr>
      </w:pPr>
      <w:r>
        <w:t>As noted above, the information reported to the Commission pursuant to Rule 1.60 assists the Commission in monitoring legal proceedings involving responsibilities imposed by the Act or otherwise upon contract markets and their officials and upon FCMs and their principals.  Without this collection of information, it is expected that the Commission would be hindered in keeping apprised of these legal proceedings in many instances.</w:t>
      </w:r>
    </w:p>
    <w:p w14:paraId="343D70C7" w14:textId="77777777" w:rsidR="00642B6A" w:rsidRPr="00B86819" w:rsidRDefault="00642B6A" w:rsidP="001577B2">
      <w:pPr>
        <w:rPr>
          <w:rFonts w:eastAsia="Times New Roman" w:cs="Times New Roman"/>
          <w:color w:val="000000"/>
          <w:szCs w:val="24"/>
        </w:rPr>
      </w:pPr>
    </w:p>
    <w:p w14:paraId="343D70C8" w14:textId="77777777"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w:t>
      </w:r>
      <w:r w:rsidRPr="00642B6A">
        <w:rPr>
          <w:rFonts w:eastAsia="Times New Roman" w:cs="Times New Roman"/>
          <w:b/>
          <w:szCs w:val="24"/>
        </w:rPr>
        <w:lastRenderedPageBreak/>
        <w:t>the basis for the decision for adopting this means of collection.  Also describe any consideration of using information technology to reduce burden.</w:t>
      </w:r>
    </w:p>
    <w:p w14:paraId="343D70C9" w14:textId="7915C119" w:rsidR="00642B6A" w:rsidRPr="00642B6A" w:rsidRDefault="00836741" w:rsidP="00642B6A">
      <w:pPr>
        <w:tabs>
          <w:tab w:val="left" w:pos="-720"/>
          <w:tab w:val="left" w:pos="0"/>
        </w:tabs>
        <w:spacing w:after="240"/>
        <w:rPr>
          <w:rFonts w:eastAsia="Times New Roman" w:cs="Times New Roman"/>
          <w:szCs w:val="24"/>
        </w:rPr>
      </w:pPr>
      <w:r>
        <w:rPr>
          <w:rFonts w:eastAsia="Times New Roman" w:cs="Times New Roman"/>
          <w:szCs w:val="24"/>
        </w:rPr>
        <w:tab/>
      </w:r>
      <w:r w:rsidR="00E27B7A">
        <w:rPr>
          <w:rFonts w:eastAsia="Times New Roman" w:cs="Times New Roman"/>
          <w:szCs w:val="24"/>
        </w:rPr>
        <w:t>The regulatory language of 17 CFR § 1.60 does allow for “more expeditious means” of submission, such as email</w:t>
      </w:r>
      <w:r w:rsidR="000F58DF">
        <w:t>.</w:t>
      </w:r>
      <w:r w:rsidR="002F1E80">
        <w:rPr>
          <w:rFonts w:eastAsia="Times New Roman" w:cs="Times New Roman"/>
          <w:szCs w:val="24"/>
        </w:rPr>
        <w:t xml:space="preserve">  </w:t>
      </w:r>
    </w:p>
    <w:p w14:paraId="343D70CA"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3AC44A40" w14:textId="4D5708D5" w:rsidR="000F58DF" w:rsidRDefault="000F58DF" w:rsidP="000F58DF">
      <w:pPr>
        <w:ind w:firstLine="720"/>
      </w:pPr>
      <w:r>
        <w:t>An alternative would be for the Commission to surveil court systems nationwide (and perhaps in other countries) to identify cases concerning the CEA, respondents are in a far superior position to apprise the Commission, and to do so in a timely manner and at minimal burden, than independent efforts by the Commission would permit.</w:t>
      </w:r>
    </w:p>
    <w:p w14:paraId="0D611826" w14:textId="77777777" w:rsidR="000F58DF" w:rsidRDefault="000F58DF" w:rsidP="000F58DF">
      <w:pPr>
        <w:ind w:firstLine="720"/>
      </w:pPr>
    </w:p>
    <w:p w14:paraId="343D70CC"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7CA764F3" w14:textId="77777777" w:rsidR="00E27B7A" w:rsidRDefault="00642B6A" w:rsidP="00E27B7A">
      <w:r w:rsidRPr="00642B6A">
        <w:rPr>
          <w:rFonts w:eastAsia="Times New Roman" w:cs="Times New Roman"/>
          <w:szCs w:val="24"/>
        </w:rPr>
        <w:tab/>
      </w:r>
      <w:r w:rsidR="00E27B7A">
        <w:t>This question does not apply as the collection of the information does not involve small businesses or other small entities.</w:t>
      </w:r>
    </w:p>
    <w:p w14:paraId="5F9FF3A4" w14:textId="3CD8B078" w:rsidR="00E27B7A" w:rsidRDefault="00836741" w:rsidP="00E27B7A">
      <w:pPr>
        <w:rPr>
          <w:rFonts w:eastAsia="Times New Roman" w:cs="Times New Roman"/>
          <w:szCs w:val="24"/>
        </w:rPr>
      </w:pPr>
      <w:r>
        <w:rPr>
          <w:rFonts w:eastAsia="Times New Roman" w:cs="Times New Roman"/>
          <w:szCs w:val="24"/>
        </w:rPr>
        <w:t xml:space="preserve">  </w:t>
      </w:r>
    </w:p>
    <w:p w14:paraId="343D70CE" w14:textId="1652B88B" w:rsidR="00642B6A" w:rsidRPr="00642B6A" w:rsidRDefault="00642B6A" w:rsidP="00E27B7A">
      <w:pPr>
        <w:tabs>
          <w:tab w:val="left" w:pos="-72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343D70D2" w14:textId="1852015A" w:rsidR="00642B6A" w:rsidRDefault="009A3254" w:rsidP="00642B6A">
      <w:pPr>
        <w:ind w:firstLine="720"/>
      </w:pPr>
      <w:r>
        <w:t>The question does not apply since information concerning a pending legal proceeding is generally required by Rule 1.60 to be reported to the Commission only once.</w:t>
      </w:r>
    </w:p>
    <w:p w14:paraId="2D6860B0" w14:textId="77777777" w:rsidR="009A3254" w:rsidRPr="00642B6A" w:rsidRDefault="009A3254" w:rsidP="00642B6A">
      <w:pPr>
        <w:ind w:firstLine="720"/>
        <w:rPr>
          <w:rFonts w:eastAsia="Times New Roman" w:cs="Times New Roman"/>
          <w:color w:val="000000"/>
          <w:szCs w:val="24"/>
        </w:rPr>
      </w:pPr>
    </w:p>
    <w:p w14:paraId="343D70D3"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43D70D4"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343D70D5" w14:textId="574828DE"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w:t>
      </w:r>
    </w:p>
    <w:p w14:paraId="343D70D6"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343D70D7"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43D70D8"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343D70D9" w14:textId="7CBF8A53"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9A3254">
        <w:rPr>
          <w:rFonts w:eastAsia="Times New Roman" w:cs="Times New Roman"/>
          <w:szCs w:val="24"/>
        </w:rPr>
        <w:t>Not applicable</w:t>
      </w:r>
      <w:r w:rsidR="00642B6A" w:rsidRPr="00642B6A">
        <w:rPr>
          <w:rFonts w:eastAsia="Times New Roman" w:cs="Times New Roman"/>
          <w:szCs w:val="24"/>
        </w:rPr>
        <w:t>.</w:t>
      </w:r>
    </w:p>
    <w:p w14:paraId="343D70DA"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343D70DB"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43D70DC"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343D70DD" w14:textId="77777777"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14:paraId="343D70DE"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343D70DF"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343D70E0"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43D70E1" w14:textId="5B2A7ECC" w:rsidR="00642B6A" w:rsidRPr="003607A6" w:rsidRDefault="009A3254"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Pr>
          <w:rFonts w:eastAsia="Times New Roman" w:cs="Times New Roman"/>
          <w:b/>
          <w:szCs w:val="24"/>
        </w:rPr>
        <w:t xml:space="preserve">  </w:t>
      </w:r>
      <w:r w:rsidR="00642B6A"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00642B6A" w:rsidRPr="003607A6">
        <w:rPr>
          <w:rFonts w:eastAsia="Times New Roman" w:cs="Times New Roman"/>
          <w:b/>
          <w:szCs w:val="24"/>
        </w:rPr>
        <w:t>other agencies for compatible confidential use; or</w:t>
      </w:r>
    </w:p>
    <w:p w14:paraId="343D70E2" w14:textId="77777777"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43D70E3" w14:textId="6369AFDC" w:rsidR="00642B6A" w:rsidRPr="00C9497A" w:rsidRDefault="00642B6A" w:rsidP="00C9497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r>
      <w:r w:rsidR="009A3254">
        <w:rPr>
          <w:rFonts w:eastAsia="Times New Roman" w:cs="Times New Roman"/>
          <w:szCs w:val="24"/>
        </w:rPr>
        <w:t>Not applicable</w:t>
      </w:r>
      <w:r w:rsidRPr="00642B6A">
        <w:rPr>
          <w:rFonts w:eastAsia="Times New Roman" w:cs="Times New Roman"/>
          <w:szCs w:val="24"/>
        </w:rPr>
        <w:t>.</w:t>
      </w:r>
    </w:p>
    <w:p w14:paraId="343D70E4"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3D70E5" w14:textId="2B1A2ED3" w:rsidR="00653547" w:rsidRPr="00642B6A"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9A3254">
        <w:t xml:space="preserve">No comments were received.  </w:t>
      </w:r>
      <w:r w:rsidR="009A3254" w:rsidRPr="00BF3568">
        <w:rPr>
          <w:i/>
        </w:rPr>
        <w:t>See</w:t>
      </w:r>
      <w:r w:rsidR="007A7A88">
        <w:t xml:space="preserve"> 83 FR 26269 (June 6, 2018)</w:t>
      </w:r>
      <w:r w:rsidR="00554929" w:rsidRPr="00554929">
        <w:rPr>
          <w:rFonts w:eastAsia="Times New Roman" w:cs="Times New Roman"/>
          <w:szCs w:val="24"/>
        </w:rPr>
        <w:t xml:space="preserve">. </w:t>
      </w:r>
    </w:p>
    <w:p w14:paraId="343D70E6"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343D70E7" w14:textId="77777777"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343D70E8" w14:textId="77777777"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005698AF" w14:textId="77777777" w:rsidR="00AC3CB5" w:rsidRDefault="00AC3CB5" w:rsidP="00AC3CB5">
      <w:pPr>
        <w:ind w:firstLine="720"/>
      </w:pPr>
      <w:r>
        <w:t>Because the information required to be reported to the Commission pursuant to Rule 1.60 involves matters of public record in pending legal proceedings, no assurance of confidentiality will be provided to respondents.</w:t>
      </w:r>
    </w:p>
    <w:p w14:paraId="152C24AE" w14:textId="77777777" w:rsidR="00AC3CB5" w:rsidRDefault="00AC3CB5" w:rsidP="00642B6A">
      <w:pPr>
        <w:ind w:firstLine="720"/>
        <w:rPr>
          <w:rFonts w:eastAsia="Times New Roman" w:cs="Times New Roman"/>
          <w:szCs w:val="24"/>
        </w:rPr>
      </w:pPr>
    </w:p>
    <w:p w14:paraId="343D70EA" w14:textId="624F085A" w:rsidR="00642B6A" w:rsidRPr="00642B6A" w:rsidRDefault="00B45E65" w:rsidP="00642B6A">
      <w:pPr>
        <w:ind w:firstLine="720"/>
        <w:rPr>
          <w:rFonts w:eastAsia="Times New Roman" w:cs="Times New Roman"/>
          <w:szCs w:val="24"/>
        </w:rPr>
      </w:pPr>
      <w:r>
        <w:rPr>
          <w:rFonts w:eastAsia="Times New Roman" w:cs="Times New Roman"/>
          <w:szCs w:val="24"/>
        </w:rPr>
        <w:t>Generally</w:t>
      </w:r>
      <w:r w:rsidR="00AC3CB5">
        <w:rPr>
          <w:rFonts w:eastAsia="Times New Roman" w:cs="Times New Roman"/>
          <w:szCs w:val="24"/>
        </w:rPr>
        <w:t>, t</w:t>
      </w:r>
      <w:r w:rsidR="00642B6A" w:rsidRPr="00642B6A">
        <w:rPr>
          <w:rFonts w:eastAsia="Times New Roman" w:cs="Times New Roman"/>
          <w:szCs w:val="24"/>
        </w:rPr>
        <w:t xml:space="preserve">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343D70EB" w14:textId="77777777" w:rsidR="00642B6A" w:rsidRPr="00642B6A" w:rsidRDefault="00642B6A" w:rsidP="00642B6A">
      <w:pPr>
        <w:tabs>
          <w:tab w:val="left" w:pos="-720"/>
        </w:tabs>
        <w:spacing w:after="240"/>
        <w:rPr>
          <w:rFonts w:eastAsia="Times New Roman" w:cs="Times New Roman"/>
          <w:szCs w:val="24"/>
        </w:rPr>
      </w:pPr>
    </w:p>
    <w:p w14:paraId="343D70EC" w14:textId="77777777"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3D70ED" w14:textId="1670AD03" w:rsidR="00642B6A" w:rsidRDefault="00AC3CB5" w:rsidP="00642B6A">
      <w:pPr>
        <w:tabs>
          <w:tab w:val="left" w:pos="-720"/>
        </w:tabs>
        <w:suppressAutoHyphens/>
        <w:ind w:firstLine="720"/>
        <w:rPr>
          <w:rFonts w:eastAsia="Times New Roman" w:cs="Times New Roman"/>
          <w:szCs w:val="24"/>
        </w:rPr>
      </w:pPr>
      <w:r>
        <w:t>The data collection requirements of Rule 1.60 do not require the submission of sensitive information as that term is used in Question 11</w:t>
      </w:r>
      <w:r w:rsidR="00642B6A" w:rsidRPr="00642B6A">
        <w:rPr>
          <w:rFonts w:eastAsia="Times New Roman" w:cs="Times New Roman"/>
          <w:szCs w:val="24"/>
        </w:rPr>
        <w:t>.</w:t>
      </w:r>
    </w:p>
    <w:p w14:paraId="343D70EE" w14:textId="77777777" w:rsidR="0027708A" w:rsidRPr="00642B6A" w:rsidRDefault="0027708A" w:rsidP="00642B6A">
      <w:pPr>
        <w:tabs>
          <w:tab w:val="left" w:pos="-720"/>
        </w:tabs>
        <w:suppressAutoHyphens/>
        <w:ind w:firstLine="720"/>
        <w:rPr>
          <w:rFonts w:eastAsia="Times New Roman" w:cs="Times New Roman"/>
          <w:szCs w:val="24"/>
        </w:rPr>
      </w:pPr>
    </w:p>
    <w:p w14:paraId="343D70EF"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343D70F0" w14:textId="77777777"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3D70F1"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343D70F2"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343D70F3" w14:textId="656DA4DE" w:rsidR="00642B6A" w:rsidRPr="00642B6A" w:rsidRDefault="00AC3CB5" w:rsidP="00642B6A">
      <w:pPr>
        <w:ind w:firstLine="720"/>
        <w:rPr>
          <w:rFonts w:eastAsia="Times New Roman" w:cs="Times New Roman"/>
          <w:color w:val="000000"/>
          <w:szCs w:val="24"/>
        </w:rPr>
      </w:pPr>
      <w:r>
        <w:t xml:space="preserve">Rule 1.60 applies to </w:t>
      </w:r>
      <w:r w:rsidR="00DC56E4">
        <w:t xml:space="preserve">79 </w:t>
      </w:r>
      <w:r>
        <w:t xml:space="preserve">contract markets and FCMs.  It is estimated that one of these entities makes, on average, one submission of documents to the Commission per year pursuant to Rule 1.60. </w:t>
      </w:r>
      <w:r w:rsidR="00DC56E4" w:rsidRPr="009937BA">
        <w:rPr>
          <w:szCs w:val="24"/>
        </w:rPr>
        <w:t>That number was based on the number of active registered DCMs (16) and FCMs (63)</w:t>
      </w:r>
      <w:r w:rsidR="00DC56E4">
        <w:rPr>
          <w:szCs w:val="24"/>
        </w:rPr>
        <w:t>.</w:t>
      </w:r>
      <w:r>
        <w:t xml:space="preserve"> </w:t>
      </w:r>
      <w:r w:rsidR="008024E2">
        <w:t xml:space="preserve"> </w:t>
      </w:r>
      <w:r>
        <w:t>It is estimated that the time required to prepare the submission is approximately .</w:t>
      </w:r>
      <w:r w:rsidR="00DC56E4">
        <w:t>2</w:t>
      </w:r>
      <w:r>
        <w:t>0 hour</w:t>
      </w:r>
      <w:r w:rsidR="008024E2">
        <w:t>, totaling 15.8 hours (79 x .20) annually</w:t>
      </w:r>
      <w:r w:rsidR="00DC56E4">
        <w:t>.</w:t>
      </w:r>
      <w:r w:rsidR="00B328FB" w:rsidRPr="00B328FB">
        <w:rPr>
          <w:rFonts w:eastAsia="Times New Roman" w:cs="Times New Roman"/>
          <w:color w:val="000000"/>
          <w:szCs w:val="24"/>
        </w:rPr>
        <w:t xml:space="preserve"> </w:t>
      </w:r>
      <w:r w:rsidR="00DC56E4">
        <w:rPr>
          <w:rFonts w:eastAsia="Times New Roman" w:cs="Times New Roman"/>
          <w:color w:val="000000"/>
          <w:szCs w:val="24"/>
        </w:rPr>
        <w:t xml:space="preserve"> </w:t>
      </w:r>
    </w:p>
    <w:p w14:paraId="343D70F4" w14:textId="77777777" w:rsidR="00642B6A" w:rsidRPr="00642B6A" w:rsidRDefault="00642B6A" w:rsidP="00642B6A">
      <w:pPr>
        <w:ind w:firstLine="720"/>
        <w:rPr>
          <w:rFonts w:eastAsia="Times New Roman" w:cs="Times New Roman"/>
          <w:color w:val="000000"/>
          <w:szCs w:val="24"/>
        </w:rPr>
      </w:pPr>
    </w:p>
    <w:p w14:paraId="343D70F5" w14:textId="77777777"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14:paraId="343D70F6"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43D70F7"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343D70F8" w14:textId="77777777"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43D70F9" w14:textId="77777777" w:rsidR="00642B6A" w:rsidRPr="00642B6A" w:rsidRDefault="00642B6A" w:rsidP="00642B6A">
      <w:pPr>
        <w:ind w:firstLine="720"/>
        <w:rPr>
          <w:rFonts w:eastAsia="Times New Roman" w:cs="Times New Roman"/>
          <w:color w:val="000000"/>
          <w:szCs w:val="24"/>
        </w:rPr>
      </w:pPr>
    </w:p>
    <w:p w14:paraId="343D70FA" w14:textId="381E01F0" w:rsidR="00642B6A" w:rsidRDefault="00DC56E4" w:rsidP="00642B6A">
      <w:pPr>
        <w:ind w:firstLine="720"/>
        <w:rPr>
          <w:rFonts w:eastAsia="Times New Roman" w:cs="Times New Roman"/>
          <w:color w:val="000000"/>
          <w:szCs w:val="24"/>
        </w:rPr>
      </w:pPr>
      <w:r>
        <w:rPr>
          <w:rFonts w:eastAsia="Times New Roman" w:cs="Times New Roman"/>
          <w:color w:val="000000"/>
          <w:szCs w:val="24"/>
        </w:rPr>
        <w:t>None</w:t>
      </w:r>
      <w:r w:rsidR="009B1E93" w:rsidRPr="009B1E93">
        <w:rPr>
          <w:rFonts w:eastAsia="Times New Roman" w:cs="Times New Roman"/>
          <w:color w:val="000000"/>
          <w:szCs w:val="24"/>
        </w:rPr>
        <w:t>.</w:t>
      </w:r>
    </w:p>
    <w:p w14:paraId="343D70FB" w14:textId="77777777" w:rsidR="00637711" w:rsidRPr="00642B6A" w:rsidRDefault="00637711" w:rsidP="00642B6A">
      <w:pPr>
        <w:ind w:firstLine="720"/>
        <w:rPr>
          <w:rFonts w:eastAsia="Times New Roman" w:cs="Times New Roman"/>
          <w:color w:val="000000"/>
          <w:szCs w:val="24"/>
        </w:rPr>
      </w:pPr>
    </w:p>
    <w:p w14:paraId="343D70FC" w14:textId="77777777"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C051E03" w14:textId="77777777" w:rsidR="00DC56E4" w:rsidRDefault="00642B6A" w:rsidP="00DC56E4">
      <w:r w:rsidRPr="00642B6A">
        <w:rPr>
          <w:rFonts w:eastAsia="Times New Roman" w:cs="Times New Roman"/>
          <w:szCs w:val="24"/>
        </w:rPr>
        <w:tab/>
      </w:r>
      <w:r w:rsidR="00DC56E4">
        <w:t>It is estimated that the annual cost to the Government of implementing Rule 1.60 is $100.  This figure is obtained by taking an appropriate portion of the salaries of persons who review the information submitted to the Commission pursuant to Rule 1.60.  Commission personnel spend only a very small portion of their time engaged in these duties.</w:t>
      </w:r>
    </w:p>
    <w:p w14:paraId="4B5D3CF8" w14:textId="77777777" w:rsidR="00DC56E4" w:rsidRDefault="00DC56E4" w:rsidP="00DC56E4"/>
    <w:p w14:paraId="343D70FE" w14:textId="77777777" w:rsid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18E2B65" w14:textId="5FA2891A" w:rsidR="008024E2" w:rsidRPr="00642B6A" w:rsidRDefault="008024E2" w:rsidP="00642B6A">
      <w:pPr>
        <w:tabs>
          <w:tab w:val="left" w:pos="-720"/>
          <w:tab w:val="left" w:pos="0"/>
        </w:tabs>
        <w:spacing w:after="240"/>
        <w:rPr>
          <w:rFonts w:eastAsia="Times New Roman" w:cs="Times New Roman"/>
          <w:b/>
          <w:szCs w:val="24"/>
        </w:rPr>
      </w:pPr>
      <w:r>
        <w:rPr>
          <w:szCs w:val="24"/>
        </w:rPr>
        <w:tab/>
        <w:t>The current number of registrants, 79, has decreased from the previous 105 in 2015, due to a drop in registration.  Accordingly, the total annual burden on respondents has also been reduced, from 21 hours (105 x 0.20 = 21) in 2015 to 15.8 hours in 2018.</w:t>
      </w:r>
    </w:p>
    <w:p w14:paraId="343D7100"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43D7101"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14:paraId="343D7102" w14:textId="77777777"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43D7103"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14:paraId="343D7104" w14:textId="77777777"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343D7105" w14:textId="77777777"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t>Does not apply.</w:t>
      </w:r>
    </w:p>
    <w:p w14:paraId="343D7106"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343D7107" w14:textId="77777777" w:rsidR="009D00FB" w:rsidRDefault="009D00FB">
      <w:pPr>
        <w:spacing w:after="200" w:line="276" w:lineRule="auto"/>
        <w:rPr>
          <w:rFonts w:eastAsia="Times New Roman" w:cs="Times New Roman"/>
          <w:szCs w:val="24"/>
        </w:rPr>
      </w:pPr>
    </w:p>
    <w:p w14:paraId="343D7108" w14:textId="77777777"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343D7109" w14:textId="77777777" w:rsidR="00642B6A" w:rsidRPr="00642B6A" w:rsidRDefault="00642B6A" w:rsidP="00642B6A">
      <w:pPr>
        <w:jc w:val="center"/>
        <w:rPr>
          <w:rFonts w:eastAsia="Times New Roman" w:cs="Times New Roman"/>
          <w:b/>
          <w:szCs w:val="24"/>
        </w:rPr>
      </w:pPr>
    </w:p>
    <w:p w14:paraId="343D710A" w14:textId="3798817B" w:rsidR="00642B6A" w:rsidRP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352EDC">
        <w:rPr>
          <w:rFonts w:eastAsia="Times New Roman" w:cs="Times New Roman"/>
          <w:b/>
          <w:szCs w:val="24"/>
        </w:rPr>
        <w:t>0033</w:t>
      </w:r>
      <w:r>
        <w:rPr>
          <w:rFonts w:eastAsia="Times New Roman" w:cs="Times New Roman"/>
          <w:b/>
          <w:szCs w:val="24"/>
        </w:rPr>
        <w:t xml:space="preserve"> – [</w:t>
      </w:r>
      <w:r w:rsidR="00352EDC">
        <w:rPr>
          <w:rFonts w:eastAsia="Times New Roman" w:cs="Times New Roman"/>
          <w:b/>
          <w:szCs w:val="24"/>
        </w:rPr>
        <w:t>Notification of Pending Legal Proceedings</w:t>
      </w:r>
      <w:r>
        <w:rPr>
          <w:rFonts w:eastAsia="Times New Roman" w:cs="Times New Roman"/>
          <w:b/>
          <w:szCs w:val="24"/>
        </w:rPr>
        <w:t>]</w:t>
      </w:r>
    </w:p>
    <w:p w14:paraId="343D710B" w14:textId="77777777" w:rsidR="00642B6A" w:rsidRPr="00642B6A" w:rsidRDefault="00642B6A" w:rsidP="00642B6A">
      <w:pPr>
        <w:jc w:val="center"/>
        <w:rPr>
          <w:rFonts w:eastAsia="Times New Roman" w:cs="Times New Roman"/>
          <w:b/>
          <w:szCs w:val="24"/>
        </w:rPr>
      </w:pPr>
    </w:p>
    <w:p w14:paraId="343D710C" w14:textId="77777777"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343D710D" w14:textId="77777777" w:rsidR="008F6D4A" w:rsidRPr="008F6D4A" w:rsidRDefault="008F6D4A" w:rsidP="008F6D4A">
      <w:pPr>
        <w:jc w:val="center"/>
        <w:rPr>
          <w:rFonts w:eastAsia="Times New Roman" w:cs="Times New Roman"/>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9"/>
        <w:gridCol w:w="1351"/>
        <w:gridCol w:w="1532"/>
        <w:gridCol w:w="1261"/>
        <w:gridCol w:w="1440"/>
        <w:gridCol w:w="1259"/>
        <w:gridCol w:w="1172"/>
        <w:gridCol w:w="1076"/>
      </w:tblGrid>
      <w:tr w:rsidR="008F6D4A" w:rsidRPr="008F6D4A" w14:paraId="343D7118" w14:textId="77777777" w:rsidTr="002321A7">
        <w:trPr>
          <w:trHeight w:val="1457"/>
        </w:trPr>
        <w:tc>
          <w:tcPr>
            <w:tcW w:w="531" w:type="pct"/>
          </w:tcPr>
          <w:p w14:paraId="343D710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Regulation</w:t>
            </w:r>
          </w:p>
        </w:tc>
        <w:tc>
          <w:tcPr>
            <w:tcW w:w="664" w:type="pct"/>
          </w:tcPr>
          <w:p w14:paraId="343D710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Estimated Number of Respondents </w:t>
            </w:r>
          </w:p>
        </w:tc>
        <w:tc>
          <w:tcPr>
            <w:tcW w:w="753" w:type="pct"/>
          </w:tcPr>
          <w:p w14:paraId="343D711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Reports</w:t>
            </w:r>
          </w:p>
          <w:p w14:paraId="343D711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by Each Respondent</w:t>
            </w:r>
          </w:p>
        </w:tc>
        <w:tc>
          <w:tcPr>
            <w:tcW w:w="620" w:type="pct"/>
          </w:tcPr>
          <w:p w14:paraId="343D711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w:t>
            </w:r>
          </w:p>
          <w:p w14:paraId="343D711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Responses</w:t>
            </w:r>
          </w:p>
        </w:tc>
        <w:tc>
          <w:tcPr>
            <w:tcW w:w="708" w:type="pct"/>
          </w:tcPr>
          <w:p w14:paraId="343D711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Average Number of Hours per Response</w:t>
            </w:r>
          </w:p>
        </w:tc>
        <w:tc>
          <w:tcPr>
            <w:tcW w:w="619" w:type="pct"/>
          </w:tcPr>
          <w:p w14:paraId="343D711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Total Annual  Number of Hours</w:t>
            </w:r>
          </w:p>
        </w:tc>
        <w:tc>
          <w:tcPr>
            <w:tcW w:w="576" w:type="pct"/>
          </w:tcPr>
          <w:p w14:paraId="343D711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 Cost per response</w:t>
            </w:r>
            <w:r w:rsidRPr="0062224D">
              <w:rPr>
                <w:rStyle w:val="FootnoteReference"/>
              </w:rPr>
              <w:footnoteReference w:id="1"/>
            </w:r>
          </w:p>
        </w:tc>
        <w:tc>
          <w:tcPr>
            <w:tcW w:w="529" w:type="pct"/>
          </w:tcPr>
          <w:p w14:paraId="343D7117" w14:textId="77777777" w:rsidR="008F6D4A" w:rsidRPr="008F6D4A" w:rsidDel="009C6DB4"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 cost of all responses</w:t>
            </w:r>
          </w:p>
        </w:tc>
      </w:tr>
      <w:tr w:rsidR="008F6D4A" w:rsidRPr="008F6D4A" w14:paraId="343D7121" w14:textId="77777777" w:rsidTr="002321A7">
        <w:trPr>
          <w:trHeight w:val="998"/>
        </w:trPr>
        <w:tc>
          <w:tcPr>
            <w:tcW w:w="531" w:type="pct"/>
          </w:tcPr>
          <w:p w14:paraId="343D7119" w14:textId="71B79403"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r w:rsidR="008F6D4A" w:rsidRPr="008F6D4A">
              <w:rPr>
                <w:rFonts w:ascii="Arial" w:eastAsia="Times New Roman" w:hAnsi="Arial" w:cs="Times New Roman"/>
                <w:b/>
                <w:sz w:val="16"/>
                <w:szCs w:val="16"/>
              </w:rPr>
              <w:t>.</w:t>
            </w:r>
            <w:r>
              <w:rPr>
                <w:rFonts w:ascii="Arial" w:eastAsia="Times New Roman" w:hAnsi="Arial" w:cs="Times New Roman"/>
                <w:b/>
                <w:sz w:val="16"/>
                <w:szCs w:val="16"/>
              </w:rPr>
              <w:t>60</w:t>
            </w:r>
          </w:p>
        </w:tc>
        <w:tc>
          <w:tcPr>
            <w:tcW w:w="664" w:type="pct"/>
          </w:tcPr>
          <w:p w14:paraId="343D711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3" w:type="pct"/>
          </w:tcPr>
          <w:p w14:paraId="343D711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1C"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1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240</w:t>
            </w:r>
          </w:p>
        </w:tc>
        <w:tc>
          <w:tcPr>
            <w:tcW w:w="619" w:type="pct"/>
          </w:tcPr>
          <w:p w14:paraId="343D711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14,400</w:t>
            </w:r>
          </w:p>
        </w:tc>
        <w:tc>
          <w:tcPr>
            <w:tcW w:w="576" w:type="pct"/>
          </w:tcPr>
          <w:p w14:paraId="343D711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$70 per hour for a total of $16,800</w:t>
            </w:r>
          </w:p>
        </w:tc>
        <w:tc>
          <w:tcPr>
            <w:tcW w:w="529" w:type="pct"/>
          </w:tcPr>
          <w:p w14:paraId="343D712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$1,008,000</w:t>
            </w:r>
          </w:p>
        </w:tc>
      </w:tr>
      <w:tr w:rsidR="008F6D4A" w:rsidRPr="008F6D4A" w14:paraId="343D712A" w14:textId="77777777" w:rsidTr="002321A7">
        <w:tc>
          <w:tcPr>
            <w:tcW w:w="531" w:type="pct"/>
          </w:tcPr>
          <w:p w14:paraId="343D7122" w14:textId="010B5A52"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1.60</w:t>
            </w:r>
          </w:p>
        </w:tc>
        <w:tc>
          <w:tcPr>
            <w:tcW w:w="664" w:type="pct"/>
          </w:tcPr>
          <w:p w14:paraId="343D712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3" w:type="pct"/>
          </w:tcPr>
          <w:p w14:paraId="343D712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2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2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w:t>
            </w:r>
          </w:p>
        </w:tc>
        <w:tc>
          <w:tcPr>
            <w:tcW w:w="619" w:type="pct"/>
          </w:tcPr>
          <w:p w14:paraId="343D712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600</w:t>
            </w:r>
          </w:p>
        </w:tc>
        <w:tc>
          <w:tcPr>
            <w:tcW w:w="576" w:type="pct"/>
          </w:tcPr>
          <w:p w14:paraId="343D712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$800</w:t>
            </w:r>
            <w:r w:rsidRPr="0062224D">
              <w:rPr>
                <w:rStyle w:val="FootnoteReference"/>
              </w:rPr>
              <w:footnoteReference w:id="2"/>
            </w:r>
          </w:p>
        </w:tc>
        <w:tc>
          <w:tcPr>
            <w:tcW w:w="529" w:type="pct"/>
          </w:tcPr>
          <w:p w14:paraId="343D712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$48,000</w:t>
            </w:r>
          </w:p>
        </w:tc>
      </w:tr>
      <w:tr w:rsidR="008F6D4A" w:rsidRPr="008F6D4A" w14:paraId="343D7133" w14:textId="77777777" w:rsidTr="002321A7">
        <w:tc>
          <w:tcPr>
            <w:tcW w:w="531" w:type="pct"/>
          </w:tcPr>
          <w:p w14:paraId="343D712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64" w:type="pct"/>
          </w:tcPr>
          <w:p w14:paraId="343D712C"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53" w:type="pct"/>
          </w:tcPr>
          <w:p w14:paraId="343D712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20" w:type="pct"/>
          </w:tcPr>
          <w:p w14:paraId="343D712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08" w:type="pct"/>
          </w:tcPr>
          <w:p w14:paraId="343D712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19" w:type="pct"/>
          </w:tcPr>
          <w:p w14:paraId="343D713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576" w:type="pct"/>
          </w:tcPr>
          <w:p w14:paraId="343D713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529" w:type="pct"/>
          </w:tcPr>
          <w:p w14:paraId="343D713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r>
      <w:tr w:rsidR="008F6D4A" w:rsidRPr="008F6D4A" w14:paraId="343D713C" w14:textId="77777777" w:rsidTr="002321A7">
        <w:tc>
          <w:tcPr>
            <w:tcW w:w="531" w:type="pct"/>
          </w:tcPr>
          <w:p w14:paraId="343D713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w:t>
            </w:r>
          </w:p>
        </w:tc>
        <w:tc>
          <w:tcPr>
            <w:tcW w:w="664" w:type="pct"/>
          </w:tcPr>
          <w:p w14:paraId="343D713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53" w:type="pct"/>
          </w:tcPr>
          <w:p w14:paraId="343D713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w:t>
            </w:r>
          </w:p>
        </w:tc>
        <w:tc>
          <w:tcPr>
            <w:tcW w:w="620" w:type="pct"/>
          </w:tcPr>
          <w:p w14:paraId="343D713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120</w:t>
            </w:r>
          </w:p>
        </w:tc>
        <w:tc>
          <w:tcPr>
            <w:tcW w:w="708" w:type="pct"/>
          </w:tcPr>
          <w:p w14:paraId="343D713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250</w:t>
            </w:r>
          </w:p>
        </w:tc>
        <w:tc>
          <w:tcPr>
            <w:tcW w:w="619" w:type="pct"/>
          </w:tcPr>
          <w:p w14:paraId="343D713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15,000</w:t>
            </w:r>
          </w:p>
        </w:tc>
        <w:tc>
          <w:tcPr>
            <w:tcW w:w="576" w:type="pct"/>
          </w:tcPr>
          <w:p w14:paraId="343D713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$17,600</w:t>
            </w:r>
          </w:p>
        </w:tc>
        <w:tc>
          <w:tcPr>
            <w:tcW w:w="529" w:type="pct"/>
          </w:tcPr>
          <w:p w14:paraId="343D713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$1,056,000</w:t>
            </w:r>
          </w:p>
        </w:tc>
      </w:tr>
    </w:tbl>
    <w:p w14:paraId="343D713D" w14:textId="77777777" w:rsidR="008F6D4A" w:rsidRPr="008F6D4A" w:rsidRDefault="008F6D4A" w:rsidP="008F6D4A">
      <w:pPr>
        <w:rPr>
          <w:rFonts w:eastAsia="Times New Roman" w:cs="Times New Roman"/>
          <w:szCs w:val="24"/>
        </w:rPr>
      </w:pPr>
    </w:p>
    <w:p w14:paraId="343D713E" w14:textId="77777777" w:rsidR="008F6D4A" w:rsidRPr="008F6D4A" w:rsidRDefault="008F6D4A" w:rsidP="008F6D4A">
      <w:pPr>
        <w:jc w:val="center"/>
        <w:rPr>
          <w:rFonts w:eastAsia="Times New Roman" w:cs="Times New Roman"/>
          <w:szCs w:val="24"/>
        </w:rPr>
      </w:pPr>
      <w:r w:rsidRPr="008F6D4A">
        <w:rPr>
          <w:rFonts w:eastAsia="Times New Roman" w:cs="Times New Roman"/>
          <w:szCs w:val="24"/>
        </w:rPr>
        <w:t>Recordkeeping Burden</w:t>
      </w:r>
    </w:p>
    <w:p w14:paraId="343D713F" w14:textId="77777777" w:rsidR="008F6D4A" w:rsidRPr="008F6D4A" w:rsidRDefault="008F6D4A" w:rsidP="008F6D4A">
      <w:pPr>
        <w:jc w:val="center"/>
        <w:rPr>
          <w:rFonts w:eastAsia="Times New Roman" w:cs="Times New Roman"/>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9"/>
        <w:gridCol w:w="1351"/>
        <w:gridCol w:w="1530"/>
        <w:gridCol w:w="1261"/>
        <w:gridCol w:w="1440"/>
        <w:gridCol w:w="1259"/>
        <w:gridCol w:w="1172"/>
        <w:gridCol w:w="1078"/>
      </w:tblGrid>
      <w:tr w:rsidR="008F6D4A" w:rsidRPr="008F6D4A" w:rsidDel="009C6DB4" w14:paraId="343D714A" w14:textId="77777777" w:rsidTr="002321A7">
        <w:trPr>
          <w:trHeight w:val="1457"/>
        </w:trPr>
        <w:tc>
          <w:tcPr>
            <w:tcW w:w="531" w:type="pct"/>
          </w:tcPr>
          <w:p w14:paraId="343D714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Regulation</w:t>
            </w:r>
          </w:p>
        </w:tc>
        <w:tc>
          <w:tcPr>
            <w:tcW w:w="664" w:type="pct"/>
          </w:tcPr>
          <w:p w14:paraId="343D714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Estimated Number of Respondents </w:t>
            </w:r>
          </w:p>
        </w:tc>
        <w:tc>
          <w:tcPr>
            <w:tcW w:w="752" w:type="pct"/>
          </w:tcPr>
          <w:p w14:paraId="343D714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Reports</w:t>
            </w:r>
          </w:p>
          <w:p w14:paraId="343D714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by Each Respondent</w:t>
            </w:r>
          </w:p>
        </w:tc>
        <w:tc>
          <w:tcPr>
            <w:tcW w:w="620" w:type="pct"/>
          </w:tcPr>
          <w:p w14:paraId="343D714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w:t>
            </w:r>
          </w:p>
          <w:p w14:paraId="343D714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Responses</w:t>
            </w:r>
          </w:p>
        </w:tc>
        <w:tc>
          <w:tcPr>
            <w:tcW w:w="708" w:type="pct"/>
          </w:tcPr>
          <w:p w14:paraId="343D714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Average Number of Hours per Response</w:t>
            </w:r>
          </w:p>
        </w:tc>
        <w:tc>
          <w:tcPr>
            <w:tcW w:w="619" w:type="pct"/>
          </w:tcPr>
          <w:p w14:paraId="343D714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Total Annual  Number of Hours</w:t>
            </w:r>
          </w:p>
        </w:tc>
        <w:tc>
          <w:tcPr>
            <w:tcW w:w="576" w:type="pct"/>
          </w:tcPr>
          <w:p w14:paraId="343D714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 Cost per response</w:t>
            </w:r>
            <w:r w:rsidRPr="0062224D">
              <w:rPr>
                <w:rStyle w:val="FootnoteReference"/>
              </w:rPr>
              <w:footnoteReference w:id="3"/>
            </w:r>
          </w:p>
        </w:tc>
        <w:tc>
          <w:tcPr>
            <w:tcW w:w="530" w:type="pct"/>
          </w:tcPr>
          <w:p w14:paraId="343D7149" w14:textId="77777777" w:rsidR="008F6D4A" w:rsidRPr="008F6D4A" w:rsidDel="009C6DB4"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 cost of all responses</w:t>
            </w:r>
          </w:p>
        </w:tc>
      </w:tr>
      <w:tr w:rsidR="008F6D4A" w:rsidRPr="008F6D4A" w14:paraId="343D7153" w14:textId="77777777" w:rsidTr="002321A7">
        <w:trPr>
          <w:trHeight w:val="998"/>
        </w:trPr>
        <w:tc>
          <w:tcPr>
            <w:tcW w:w="531" w:type="pct"/>
          </w:tcPr>
          <w:p w14:paraId="343D714B" w14:textId="28B72F2E"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1.60</w:t>
            </w:r>
          </w:p>
        </w:tc>
        <w:tc>
          <w:tcPr>
            <w:tcW w:w="664" w:type="pct"/>
          </w:tcPr>
          <w:p w14:paraId="343D714C"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2" w:type="pct"/>
          </w:tcPr>
          <w:p w14:paraId="343D714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4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4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240</w:t>
            </w:r>
          </w:p>
        </w:tc>
        <w:tc>
          <w:tcPr>
            <w:tcW w:w="619" w:type="pct"/>
          </w:tcPr>
          <w:p w14:paraId="343D715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14,400</w:t>
            </w:r>
          </w:p>
        </w:tc>
        <w:tc>
          <w:tcPr>
            <w:tcW w:w="576" w:type="pct"/>
          </w:tcPr>
          <w:p w14:paraId="343D715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$70 per hour for a total of $16,800</w:t>
            </w:r>
          </w:p>
        </w:tc>
        <w:tc>
          <w:tcPr>
            <w:tcW w:w="530" w:type="pct"/>
          </w:tcPr>
          <w:p w14:paraId="343D715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$1,008,000</w:t>
            </w:r>
          </w:p>
        </w:tc>
      </w:tr>
      <w:tr w:rsidR="008F6D4A" w:rsidRPr="008F6D4A" w14:paraId="343D715C" w14:textId="77777777" w:rsidTr="002321A7">
        <w:tc>
          <w:tcPr>
            <w:tcW w:w="531" w:type="pct"/>
          </w:tcPr>
          <w:p w14:paraId="343D7154" w14:textId="527F4669"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1.60</w:t>
            </w:r>
          </w:p>
        </w:tc>
        <w:tc>
          <w:tcPr>
            <w:tcW w:w="664" w:type="pct"/>
          </w:tcPr>
          <w:p w14:paraId="343D715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2" w:type="pct"/>
          </w:tcPr>
          <w:p w14:paraId="343D715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5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5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w:t>
            </w:r>
          </w:p>
        </w:tc>
        <w:tc>
          <w:tcPr>
            <w:tcW w:w="619" w:type="pct"/>
          </w:tcPr>
          <w:p w14:paraId="343D715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600</w:t>
            </w:r>
          </w:p>
        </w:tc>
        <w:tc>
          <w:tcPr>
            <w:tcW w:w="576" w:type="pct"/>
          </w:tcPr>
          <w:p w14:paraId="343D715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$800</w:t>
            </w:r>
            <w:r w:rsidRPr="0062224D">
              <w:rPr>
                <w:rStyle w:val="FootnoteReference"/>
              </w:rPr>
              <w:footnoteReference w:id="4"/>
            </w:r>
          </w:p>
        </w:tc>
        <w:tc>
          <w:tcPr>
            <w:tcW w:w="530" w:type="pct"/>
          </w:tcPr>
          <w:p w14:paraId="343D715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$48,000</w:t>
            </w:r>
          </w:p>
        </w:tc>
      </w:tr>
      <w:tr w:rsidR="008F6D4A" w:rsidRPr="008F6D4A" w14:paraId="343D7165" w14:textId="77777777" w:rsidTr="002321A7">
        <w:tc>
          <w:tcPr>
            <w:tcW w:w="531" w:type="pct"/>
          </w:tcPr>
          <w:p w14:paraId="343D715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64" w:type="pct"/>
          </w:tcPr>
          <w:p w14:paraId="343D715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52" w:type="pct"/>
          </w:tcPr>
          <w:p w14:paraId="343D715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20" w:type="pct"/>
          </w:tcPr>
          <w:p w14:paraId="343D716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08" w:type="pct"/>
          </w:tcPr>
          <w:p w14:paraId="343D716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619" w:type="pct"/>
          </w:tcPr>
          <w:p w14:paraId="343D716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576" w:type="pct"/>
          </w:tcPr>
          <w:p w14:paraId="343D716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530" w:type="pct"/>
          </w:tcPr>
          <w:p w14:paraId="343D716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r>
      <w:tr w:rsidR="008F6D4A" w:rsidRPr="008F6D4A" w14:paraId="343D716E" w14:textId="77777777" w:rsidTr="002321A7">
        <w:tc>
          <w:tcPr>
            <w:tcW w:w="531" w:type="pct"/>
          </w:tcPr>
          <w:p w14:paraId="343D716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w:t>
            </w:r>
          </w:p>
        </w:tc>
        <w:tc>
          <w:tcPr>
            <w:tcW w:w="664" w:type="pct"/>
          </w:tcPr>
          <w:p w14:paraId="343D716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p>
        </w:tc>
        <w:tc>
          <w:tcPr>
            <w:tcW w:w="752" w:type="pct"/>
          </w:tcPr>
          <w:p w14:paraId="343D716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w:t>
            </w:r>
          </w:p>
        </w:tc>
        <w:tc>
          <w:tcPr>
            <w:tcW w:w="620" w:type="pct"/>
          </w:tcPr>
          <w:p w14:paraId="343D716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120</w:t>
            </w:r>
          </w:p>
        </w:tc>
        <w:tc>
          <w:tcPr>
            <w:tcW w:w="708" w:type="pct"/>
          </w:tcPr>
          <w:p w14:paraId="343D716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250</w:t>
            </w:r>
          </w:p>
        </w:tc>
        <w:tc>
          <w:tcPr>
            <w:tcW w:w="619" w:type="pct"/>
          </w:tcPr>
          <w:p w14:paraId="343D716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15,000</w:t>
            </w:r>
          </w:p>
        </w:tc>
        <w:tc>
          <w:tcPr>
            <w:tcW w:w="576" w:type="pct"/>
          </w:tcPr>
          <w:p w14:paraId="343D716C"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$17,600</w:t>
            </w:r>
          </w:p>
        </w:tc>
        <w:tc>
          <w:tcPr>
            <w:tcW w:w="530" w:type="pct"/>
          </w:tcPr>
          <w:p w14:paraId="343D716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$1,056,000</w:t>
            </w:r>
          </w:p>
        </w:tc>
      </w:tr>
    </w:tbl>
    <w:p w14:paraId="343D716F" w14:textId="77777777" w:rsidR="008F6D4A" w:rsidRPr="008F6D4A" w:rsidRDefault="008F6D4A" w:rsidP="008F6D4A">
      <w:pPr>
        <w:jc w:val="center"/>
        <w:rPr>
          <w:rFonts w:eastAsia="Times New Roman" w:cs="Times New Roman"/>
          <w:szCs w:val="24"/>
        </w:rPr>
      </w:pPr>
    </w:p>
    <w:p w14:paraId="343D7170" w14:textId="77777777" w:rsidR="008F6D4A" w:rsidRPr="008F6D4A" w:rsidRDefault="008F6D4A" w:rsidP="008F6D4A">
      <w:pPr>
        <w:jc w:val="center"/>
        <w:rPr>
          <w:rFonts w:eastAsia="Times New Roman" w:cs="Times New Roman"/>
          <w:szCs w:val="24"/>
        </w:rPr>
      </w:pPr>
      <w:r w:rsidRPr="008F6D4A">
        <w:rPr>
          <w:rFonts w:eastAsia="Times New Roman" w:cs="Times New Roman"/>
          <w:szCs w:val="24"/>
        </w:rPr>
        <w:t>Third Party Reporting or Recordkeeping Burden</w:t>
      </w:r>
    </w:p>
    <w:p w14:paraId="343D7171" w14:textId="77777777" w:rsidR="008F6D4A" w:rsidRPr="008F6D4A" w:rsidRDefault="008F6D4A" w:rsidP="008F6D4A">
      <w:pPr>
        <w:jc w:val="center"/>
        <w:rPr>
          <w:rFonts w:eastAsia="Times New Roman" w:cs="Times New Roman"/>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9"/>
        <w:gridCol w:w="1351"/>
        <w:gridCol w:w="1530"/>
        <w:gridCol w:w="1261"/>
        <w:gridCol w:w="1440"/>
        <w:gridCol w:w="1259"/>
        <w:gridCol w:w="1172"/>
        <w:gridCol w:w="1078"/>
      </w:tblGrid>
      <w:tr w:rsidR="008F6D4A" w:rsidRPr="008F6D4A" w:rsidDel="009C6DB4" w14:paraId="343D717C" w14:textId="77777777" w:rsidTr="002321A7">
        <w:trPr>
          <w:trHeight w:val="1457"/>
        </w:trPr>
        <w:tc>
          <w:tcPr>
            <w:tcW w:w="531" w:type="pct"/>
          </w:tcPr>
          <w:p w14:paraId="343D717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Regulation</w:t>
            </w:r>
          </w:p>
        </w:tc>
        <w:tc>
          <w:tcPr>
            <w:tcW w:w="664" w:type="pct"/>
          </w:tcPr>
          <w:p w14:paraId="343D717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Estimated Number of Respondents </w:t>
            </w:r>
          </w:p>
        </w:tc>
        <w:tc>
          <w:tcPr>
            <w:tcW w:w="752" w:type="pct"/>
          </w:tcPr>
          <w:p w14:paraId="343D717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Reports</w:t>
            </w:r>
          </w:p>
          <w:p w14:paraId="343D7175"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by Each Respondent</w:t>
            </w:r>
          </w:p>
        </w:tc>
        <w:tc>
          <w:tcPr>
            <w:tcW w:w="620" w:type="pct"/>
          </w:tcPr>
          <w:p w14:paraId="343D7176"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w:t>
            </w:r>
          </w:p>
          <w:p w14:paraId="343D717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Responses</w:t>
            </w:r>
          </w:p>
        </w:tc>
        <w:tc>
          <w:tcPr>
            <w:tcW w:w="708" w:type="pct"/>
          </w:tcPr>
          <w:p w14:paraId="343D717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Average Number of Hours per Response</w:t>
            </w:r>
          </w:p>
        </w:tc>
        <w:tc>
          <w:tcPr>
            <w:tcW w:w="619" w:type="pct"/>
          </w:tcPr>
          <w:p w14:paraId="343D717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Estimated Total Annual  Number of Hours</w:t>
            </w:r>
          </w:p>
        </w:tc>
        <w:tc>
          <w:tcPr>
            <w:tcW w:w="576" w:type="pct"/>
          </w:tcPr>
          <w:p w14:paraId="343D717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 xml:space="preserve"> Cost per response</w:t>
            </w:r>
            <w:r w:rsidRPr="0062224D">
              <w:rPr>
                <w:rStyle w:val="FootnoteReference"/>
              </w:rPr>
              <w:footnoteReference w:id="5"/>
            </w:r>
          </w:p>
        </w:tc>
        <w:tc>
          <w:tcPr>
            <w:tcW w:w="530" w:type="pct"/>
          </w:tcPr>
          <w:p w14:paraId="343D717B" w14:textId="77777777" w:rsidR="008F6D4A" w:rsidRPr="008F6D4A" w:rsidDel="009C6DB4"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Total Annual cost of all responses</w:t>
            </w:r>
          </w:p>
        </w:tc>
      </w:tr>
      <w:tr w:rsidR="008F6D4A" w:rsidRPr="008F6D4A" w14:paraId="343D7185" w14:textId="77777777" w:rsidTr="002321A7">
        <w:trPr>
          <w:trHeight w:val="998"/>
        </w:trPr>
        <w:tc>
          <w:tcPr>
            <w:tcW w:w="531" w:type="pct"/>
          </w:tcPr>
          <w:p w14:paraId="343D717D" w14:textId="31E56963"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1.60</w:t>
            </w:r>
          </w:p>
        </w:tc>
        <w:tc>
          <w:tcPr>
            <w:tcW w:w="664" w:type="pct"/>
          </w:tcPr>
          <w:p w14:paraId="343D717E"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2" w:type="pct"/>
          </w:tcPr>
          <w:p w14:paraId="343D717F"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80"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81"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240</w:t>
            </w:r>
          </w:p>
        </w:tc>
        <w:tc>
          <w:tcPr>
            <w:tcW w:w="619" w:type="pct"/>
          </w:tcPr>
          <w:p w14:paraId="343D7182"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14,400</w:t>
            </w:r>
          </w:p>
        </w:tc>
        <w:tc>
          <w:tcPr>
            <w:tcW w:w="576" w:type="pct"/>
          </w:tcPr>
          <w:p w14:paraId="343D7183"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$70 per hour for a total of $16,800</w:t>
            </w:r>
          </w:p>
        </w:tc>
        <w:tc>
          <w:tcPr>
            <w:tcW w:w="530" w:type="pct"/>
          </w:tcPr>
          <w:p w14:paraId="343D7184"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$1,008,000</w:t>
            </w:r>
          </w:p>
        </w:tc>
      </w:tr>
      <w:tr w:rsidR="008F6D4A" w:rsidRPr="008F6D4A" w14:paraId="343D718E" w14:textId="77777777" w:rsidTr="002321A7">
        <w:tc>
          <w:tcPr>
            <w:tcW w:w="531" w:type="pct"/>
          </w:tcPr>
          <w:p w14:paraId="343D7186" w14:textId="1414F04C" w:rsidR="008F6D4A" w:rsidRPr="008F6D4A" w:rsidRDefault="00352EDC" w:rsidP="00352EDC">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1.60</w:t>
            </w:r>
          </w:p>
        </w:tc>
        <w:tc>
          <w:tcPr>
            <w:tcW w:w="664" w:type="pct"/>
          </w:tcPr>
          <w:p w14:paraId="343D7187"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52" w:type="pct"/>
          </w:tcPr>
          <w:p w14:paraId="343D7188"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620" w:type="pct"/>
          </w:tcPr>
          <w:p w14:paraId="343D7189"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w:t>
            </w:r>
          </w:p>
        </w:tc>
        <w:tc>
          <w:tcPr>
            <w:tcW w:w="708" w:type="pct"/>
          </w:tcPr>
          <w:p w14:paraId="343D718A"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10</w:t>
            </w:r>
          </w:p>
        </w:tc>
        <w:tc>
          <w:tcPr>
            <w:tcW w:w="619" w:type="pct"/>
          </w:tcPr>
          <w:p w14:paraId="343D718B"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600</w:t>
            </w:r>
          </w:p>
        </w:tc>
        <w:tc>
          <w:tcPr>
            <w:tcW w:w="576" w:type="pct"/>
          </w:tcPr>
          <w:p w14:paraId="343D718C"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$800</w:t>
            </w:r>
            <w:r w:rsidRPr="0062224D">
              <w:rPr>
                <w:rStyle w:val="FootnoteReference"/>
              </w:rPr>
              <w:footnoteReference w:id="6"/>
            </w:r>
          </w:p>
        </w:tc>
        <w:tc>
          <w:tcPr>
            <w:tcW w:w="530" w:type="pct"/>
          </w:tcPr>
          <w:p w14:paraId="343D718D" w14:textId="77777777" w:rsidR="008F6D4A" w:rsidRPr="008F6D4A" w:rsidRDefault="008F6D4A" w:rsidP="008F6D4A">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$48,000</w:t>
            </w:r>
          </w:p>
        </w:tc>
      </w:tr>
    </w:tbl>
    <w:p w14:paraId="343D718F" w14:textId="77777777" w:rsidR="008F6D4A" w:rsidRPr="008F6D4A" w:rsidRDefault="008F6D4A" w:rsidP="008F6D4A">
      <w:pPr>
        <w:jc w:val="center"/>
        <w:rPr>
          <w:rFonts w:eastAsia="Times New Roman" w:cs="Times New Roman"/>
          <w:szCs w:val="24"/>
        </w:rPr>
      </w:pPr>
    </w:p>
    <w:p w14:paraId="343D7190" w14:textId="77777777" w:rsidR="00585718" w:rsidRDefault="00585718" w:rsidP="008F6D4A">
      <w:pPr>
        <w:tabs>
          <w:tab w:val="left" w:pos="-720"/>
          <w:tab w:val="left" w:pos="0"/>
        </w:tabs>
        <w:suppressAutoHyphens/>
        <w:ind w:left="720" w:hanging="720"/>
      </w:pPr>
    </w:p>
    <w:sectPr w:rsidR="00585718" w:rsidSect="005857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D7193" w14:textId="77777777" w:rsidR="009C6DB4" w:rsidRDefault="009C6DB4" w:rsidP="009C6DB4">
      <w:r>
        <w:separator/>
      </w:r>
    </w:p>
  </w:endnote>
  <w:endnote w:type="continuationSeparator" w:id="0">
    <w:p w14:paraId="343D7194"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7" w14:textId="77777777" w:rsidR="00FE6FE8" w:rsidRDefault="00FE6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8" w14:textId="77777777" w:rsidR="00FE6FE8" w:rsidRDefault="00FE6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A" w14:textId="77777777" w:rsidR="00FE6FE8" w:rsidRDefault="00FE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7191" w14:textId="77777777" w:rsidR="009C6DB4" w:rsidRDefault="009C6DB4" w:rsidP="009C6DB4">
      <w:r>
        <w:separator/>
      </w:r>
    </w:p>
  </w:footnote>
  <w:footnote w:type="continuationSeparator" w:id="0">
    <w:p w14:paraId="343D7192" w14:textId="77777777" w:rsidR="009C6DB4" w:rsidRDefault="009C6DB4" w:rsidP="009C6DB4">
      <w:r>
        <w:continuationSeparator/>
      </w:r>
    </w:p>
  </w:footnote>
  <w:footnote w:id="1">
    <w:p w14:paraId="343D719E" w14:textId="77777777" w:rsidR="008F6D4A" w:rsidRDefault="008F6D4A" w:rsidP="008F6D4A">
      <w:pPr>
        <w:pStyle w:val="FootnoteText"/>
      </w:pPr>
      <w:r w:rsidRPr="0062224D">
        <w:rPr>
          <w:rStyle w:val="FootnoteReference"/>
        </w:rPr>
        <w:footnoteRef/>
      </w:r>
      <w:r>
        <w:t xml:space="preserve"> Average salary for a risk management specialist is $144,000 per year according to the Sifma Report on Management and Professional Earnings in the Securities Industry.  Divide $144,000 per year by 80 hours per 2 weeks for 26 pay periods yields $70 per hour.  Multiply $70 per hour by 240 hours to come up with $16,800.</w:t>
      </w:r>
    </w:p>
  </w:footnote>
  <w:footnote w:id="2">
    <w:p w14:paraId="343D719F" w14:textId="77777777" w:rsidR="008F6D4A" w:rsidRDefault="008F6D4A" w:rsidP="008F6D4A">
      <w:pPr>
        <w:pStyle w:val="FootnoteText"/>
      </w:pPr>
      <w:r w:rsidRPr="0062224D">
        <w:rPr>
          <w:rStyle w:val="FootnoteReference"/>
        </w:rPr>
        <w:footnoteRef/>
      </w:r>
      <w:r>
        <w:t xml:space="preserve"> Average salary for an attorney is $166,487 per year according to the same report.  Divide $166,487 per year by 80 hours per 2 weeks for 26 pay periods yields $80 per hour.  Multiply $8- per hour by 10 hours yields $800 per respondent.  </w:t>
      </w:r>
    </w:p>
  </w:footnote>
  <w:footnote w:id="3">
    <w:p w14:paraId="343D71A0" w14:textId="77777777" w:rsidR="008F6D4A" w:rsidRDefault="008F6D4A" w:rsidP="008F6D4A">
      <w:pPr>
        <w:pStyle w:val="FootnoteText"/>
      </w:pPr>
      <w:r w:rsidRPr="0062224D">
        <w:rPr>
          <w:rStyle w:val="FootnoteReference"/>
        </w:rPr>
        <w:footnoteRef/>
      </w:r>
      <w:r>
        <w:t xml:space="preserve"> Average salary for a risk management specialist is $144,000 per year according to the Sifma Report on Management and Professional Earnings in the Securities Industry.  Divide $144,000 per year by 80 hours per 2 weeks for 26 pay periods yields $70 per hour.  Multiply $70 per hour by 240 hours to come up with $16,800.</w:t>
      </w:r>
    </w:p>
  </w:footnote>
  <w:footnote w:id="4">
    <w:p w14:paraId="343D71A1" w14:textId="77777777" w:rsidR="008F6D4A" w:rsidRDefault="008F6D4A" w:rsidP="008F6D4A">
      <w:pPr>
        <w:pStyle w:val="FootnoteText"/>
      </w:pPr>
      <w:r w:rsidRPr="0062224D">
        <w:rPr>
          <w:rStyle w:val="FootnoteReference"/>
        </w:rPr>
        <w:footnoteRef/>
      </w:r>
      <w:r>
        <w:t xml:space="preserve"> Average salary for an attorney is $166,487 per year according to the same report.  Divide $166,487 per year by 80 hours per 2 weeks for 26 pay periods yields $80 per hour.  Multiply $8- per hour by 10 hours yields $800 per respondent.  </w:t>
      </w:r>
    </w:p>
  </w:footnote>
  <w:footnote w:id="5">
    <w:p w14:paraId="343D71A2" w14:textId="77777777" w:rsidR="008F6D4A" w:rsidRDefault="008F6D4A" w:rsidP="008F6D4A">
      <w:pPr>
        <w:pStyle w:val="FootnoteText"/>
      </w:pPr>
      <w:r w:rsidRPr="0062224D">
        <w:rPr>
          <w:rStyle w:val="FootnoteReference"/>
        </w:rPr>
        <w:footnoteRef/>
      </w:r>
      <w:r>
        <w:t xml:space="preserve"> Average salary for a risk management specialist is $144,000 per year according to the Sifma Report on Management and Professional Earnings in the Securities Industry.  Divide $144,000 per year by 80 hours per 2 weeks for 26 pay periods yields $70 per hour.  Multiply $70 per hour by 240 hours to come up with $16,800.</w:t>
      </w:r>
    </w:p>
  </w:footnote>
  <w:footnote w:id="6">
    <w:p w14:paraId="343D71A3" w14:textId="77777777" w:rsidR="008F6D4A" w:rsidRDefault="008F6D4A" w:rsidP="008F6D4A">
      <w:pPr>
        <w:pStyle w:val="FootnoteText"/>
      </w:pPr>
      <w:r w:rsidRPr="0062224D">
        <w:rPr>
          <w:rStyle w:val="FootnoteReference"/>
        </w:rPr>
        <w:footnoteRef/>
      </w:r>
      <w:r>
        <w:t xml:space="preserve"> Average salary for an attorney is $166,487 per year according to the same report.  Divide $166,487 per year by 80 hours per 2 weeks for 26 pay periods yields $80 per hour.  Multiply $8- per hour by 10 hours yields $800 per respondent.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5" w14:textId="1CAE8FF7" w:rsidR="00FE6FE8" w:rsidRDefault="00FE6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6" w14:textId="6FD5C15B" w:rsidR="00FE6FE8" w:rsidRDefault="00FE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7199" w14:textId="32B674E0" w:rsidR="00FE6FE8" w:rsidRDefault="00FE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5DE3"/>
    <w:rsid w:val="000576BF"/>
    <w:rsid w:val="00072761"/>
    <w:rsid w:val="000803D6"/>
    <w:rsid w:val="000835FF"/>
    <w:rsid w:val="00083F72"/>
    <w:rsid w:val="000E0987"/>
    <w:rsid w:val="000F58DF"/>
    <w:rsid w:val="00116FC7"/>
    <w:rsid w:val="0012080B"/>
    <w:rsid w:val="001577B2"/>
    <w:rsid w:val="00176391"/>
    <w:rsid w:val="00180982"/>
    <w:rsid w:val="00200207"/>
    <w:rsid w:val="00212CCC"/>
    <w:rsid w:val="00233D65"/>
    <w:rsid w:val="00243435"/>
    <w:rsid w:val="002600FA"/>
    <w:rsid w:val="00260C07"/>
    <w:rsid w:val="0027708A"/>
    <w:rsid w:val="002879E8"/>
    <w:rsid w:val="002C7E70"/>
    <w:rsid w:val="002D0489"/>
    <w:rsid w:val="002E05BD"/>
    <w:rsid w:val="002F1E80"/>
    <w:rsid w:val="00307E70"/>
    <w:rsid w:val="00330DF8"/>
    <w:rsid w:val="00352EDC"/>
    <w:rsid w:val="003607A6"/>
    <w:rsid w:val="003677B4"/>
    <w:rsid w:val="0037312F"/>
    <w:rsid w:val="0037421B"/>
    <w:rsid w:val="003755F4"/>
    <w:rsid w:val="00443D7B"/>
    <w:rsid w:val="0044799F"/>
    <w:rsid w:val="00476AB6"/>
    <w:rsid w:val="004917AF"/>
    <w:rsid w:val="004A5F11"/>
    <w:rsid w:val="004C2276"/>
    <w:rsid w:val="004D4BEA"/>
    <w:rsid w:val="005503C6"/>
    <w:rsid w:val="00554929"/>
    <w:rsid w:val="00557EF2"/>
    <w:rsid w:val="00577F1F"/>
    <w:rsid w:val="00585718"/>
    <w:rsid w:val="005D34A0"/>
    <w:rsid w:val="005E4E5C"/>
    <w:rsid w:val="00607D38"/>
    <w:rsid w:val="0062224D"/>
    <w:rsid w:val="006243BC"/>
    <w:rsid w:val="0063622E"/>
    <w:rsid w:val="00637711"/>
    <w:rsid w:val="00640784"/>
    <w:rsid w:val="00642B6A"/>
    <w:rsid w:val="00653547"/>
    <w:rsid w:val="00667CD6"/>
    <w:rsid w:val="00697065"/>
    <w:rsid w:val="006B2A40"/>
    <w:rsid w:val="007029A9"/>
    <w:rsid w:val="00715F21"/>
    <w:rsid w:val="0074122B"/>
    <w:rsid w:val="00747BF5"/>
    <w:rsid w:val="00751B4D"/>
    <w:rsid w:val="00755826"/>
    <w:rsid w:val="0076443A"/>
    <w:rsid w:val="007724B6"/>
    <w:rsid w:val="007A7A88"/>
    <w:rsid w:val="007B1735"/>
    <w:rsid w:val="007B7CE3"/>
    <w:rsid w:val="007C5B3F"/>
    <w:rsid w:val="007E10D4"/>
    <w:rsid w:val="007F27F5"/>
    <w:rsid w:val="007F3179"/>
    <w:rsid w:val="008024E2"/>
    <w:rsid w:val="00836741"/>
    <w:rsid w:val="008435FA"/>
    <w:rsid w:val="00843603"/>
    <w:rsid w:val="00882745"/>
    <w:rsid w:val="008F2F98"/>
    <w:rsid w:val="008F6D4A"/>
    <w:rsid w:val="00902356"/>
    <w:rsid w:val="009138D7"/>
    <w:rsid w:val="009309EC"/>
    <w:rsid w:val="0099690D"/>
    <w:rsid w:val="009A3254"/>
    <w:rsid w:val="009B1517"/>
    <w:rsid w:val="009B1E93"/>
    <w:rsid w:val="009B2F52"/>
    <w:rsid w:val="009C6DB4"/>
    <w:rsid w:val="009D00FB"/>
    <w:rsid w:val="00A34FBC"/>
    <w:rsid w:val="00A54471"/>
    <w:rsid w:val="00A708B1"/>
    <w:rsid w:val="00AC2529"/>
    <w:rsid w:val="00AC3CB5"/>
    <w:rsid w:val="00AC59BE"/>
    <w:rsid w:val="00AD0B9F"/>
    <w:rsid w:val="00B1090B"/>
    <w:rsid w:val="00B328FB"/>
    <w:rsid w:val="00B33652"/>
    <w:rsid w:val="00B45E65"/>
    <w:rsid w:val="00B74CE1"/>
    <w:rsid w:val="00B86819"/>
    <w:rsid w:val="00B91704"/>
    <w:rsid w:val="00BA0A82"/>
    <w:rsid w:val="00BA6D55"/>
    <w:rsid w:val="00BE3923"/>
    <w:rsid w:val="00BE6AC8"/>
    <w:rsid w:val="00BF6C9D"/>
    <w:rsid w:val="00C032F4"/>
    <w:rsid w:val="00C173E1"/>
    <w:rsid w:val="00C2000F"/>
    <w:rsid w:val="00C23A3C"/>
    <w:rsid w:val="00C9497A"/>
    <w:rsid w:val="00CF1C34"/>
    <w:rsid w:val="00D12FEB"/>
    <w:rsid w:val="00D25BD2"/>
    <w:rsid w:val="00D27AE8"/>
    <w:rsid w:val="00D37F72"/>
    <w:rsid w:val="00DB00E1"/>
    <w:rsid w:val="00DB1AD1"/>
    <w:rsid w:val="00DB7297"/>
    <w:rsid w:val="00DC56E4"/>
    <w:rsid w:val="00DD51EE"/>
    <w:rsid w:val="00E15E4F"/>
    <w:rsid w:val="00E27B7A"/>
    <w:rsid w:val="00E87F36"/>
    <w:rsid w:val="00E87F90"/>
    <w:rsid w:val="00EA5CD7"/>
    <w:rsid w:val="00EB0FA7"/>
    <w:rsid w:val="00EC238C"/>
    <w:rsid w:val="00F02CC0"/>
    <w:rsid w:val="00F21958"/>
    <w:rsid w:val="00F378A6"/>
    <w:rsid w:val="00F4707F"/>
    <w:rsid w:val="00F568E5"/>
    <w:rsid w:val="00FA3827"/>
    <w:rsid w:val="00FB0145"/>
    <w:rsid w:val="00FC54D4"/>
    <w:rsid w:val="00FE1133"/>
    <w:rsid w:val="00FE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3D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character" w:styleId="EndnoteReference">
    <w:name w:val="endnote reference"/>
    <w:basedOn w:val="DefaultParagraphFont"/>
    <w:uiPriority w:val="99"/>
    <w:semiHidden/>
    <w:unhideWhenUsed/>
    <w:rsid w:val="006222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character" w:styleId="EndnoteReference">
    <w:name w:val="endnote reference"/>
    <w:basedOn w:val="DefaultParagraphFont"/>
    <w:uiPriority w:val="99"/>
    <w:semiHidden/>
    <w:unhideWhenUsed/>
    <w:rsid w:val="00622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14E8-1B38-477A-B7DD-D1F76D57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2018-08-23T20:13:00Z</dcterms:created>
  <dcterms:modified xsi:type="dcterms:W3CDTF">2018-08-23T20:13:00Z</dcterms:modified>
</cp:coreProperties>
</file>