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3F" w:rsidRDefault="00513D9E" w:rsidP="00965DB8">
      <w:pPr>
        <w:suppressAutoHyphens/>
        <w:jc w:val="center"/>
        <w:rPr>
          <w:rFonts w:ascii="Times New Roman" w:hAnsi="Times New Roman"/>
        </w:rPr>
      </w:pPr>
      <w:bookmarkStart w:id="0" w:name="_GoBack"/>
      <w:bookmarkEnd w:id="0"/>
      <w:r>
        <w:rPr>
          <w:rFonts w:ascii="Times New Roman" w:hAnsi="Times New Roman"/>
        </w:rPr>
        <w:t xml:space="preserve"> </w:t>
      </w:r>
      <w:r w:rsidR="00C05C3F">
        <w:rPr>
          <w:rFonts w:ascii="Times New Roman" w:hAnsi="Times New Roman"/>
        </w:rPr>
        <w:t>SUPPORTING STATEMENT FOR INFORMATION COLLECTION</w:t>
      </w:r>
      <w:r w:rsidR="002375E8">
        <w:rPr>
          <w:rFonts w:ascii="Times New Roman" w:hAnsi="Times New Roman"/>
        </w:rPr>
        <w:t xml:space="preserve"> RENEWAL </w:t>
      </w:r>
      <w:r w:rsidR="002375E8">
        <w:rPr>
          <w:rFonts w:ascii="Times New Roman" w:hAnsi="Times New Roman"/>
        </w:rPr>
        <w:tab/>
      </w:r>
      <w:r w:rsidR="00190283">
        <w:rPr>
          <w:rFonts w:ascii="Times New Roman" w:hAnsi="Times New Roman"/>
        </w:rPr>
        <w:fldChar w:fldCharType="begin"/>
      </w:r>
      <w:r w:rsidR="00C05C3F">
        <w:rPr>
          <w:rFonts w:ascii="Times New Roman" w:hAnsi="Times New Roman"/>
        </w:rPr>
        <w:instrText xml:space="preserve">PRIVATE </w:instrText>
      </w:r>
      <w:r w:rsidR="00190283">
        <w:rPr>
          <w:rFonts w:ascii="Times New Roman" w:hAnsi="Times New Roman"/>
        </w:rPr>
        <w:fldChar w:fldCharType="end"/>
      </w:r>
    </w:p>
    <w:p w:rsidR="00C05C3F" w:rsidRDefault="00C05C3F" w:rsidP="00C05C3F">
      <w:pPr>
        <w:suppressAutoHyphens/>
        <w:rPr>
          <w:rFonts w:ascii="Times New Roman" w:hAnsi="Times New Roman"/>
        </w:rPr>
      </w:pPr>
    </w:p>
    <w:p w:rsidR="00C05C3F" w:rsidRDefault="00C05C3F" w:rsidP="00C05C3F">
      <w:pPr>
        <w:tabs>
          <w:tab w:val="center" w:pos="4680"/>
        </w:tabs>
        <w:suppressAutoHyphens/>
        <w:rPr>
          <w:rFonts w:ascii="Times New Roman" w:hAnsi="Times New Roman"/>
        </w:rPr>
      </w:pPr>
      <w:r>
        <w:rPr>
          <w:rFonts w:ascii="Times New Roman" w:hAnsi="Times New Roman"/>
        </w:rPr>
        <w:tab/>
        <w:t>OMB CONTROL NUMBER 3038-</w:t>
      </w:r>
      <w:r w:rsidR="002F6957">
        <w:rPr>
          <w:rFonts w:ascii="Times New Roman" w:hAnsi="Times New Roman"/>
        </w:rPr>
        <w:t>0093</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u w:val="single"/>
        </w:rPr>
        <w:t>Justification</w:t>
      </w:r>
    </w:p>
    <w:p w:rsidR="00C05C3F" w:rsidRDefault="00C05C3F" w:rsidP="00C05C3F">
      <w:pPr>
        <w:tabs>
          <w:tab w:val="left" w:pos="-720"/>
        </w:tabs>
        <w:suppressAutoHyphens/>
        <w:rPr>
          <w:rFonts w:ascii="Times New Roman" w:hAnsi="Times New Roman"/>
        </w:rPr>
      </w:pPr>
    </w:p>
    <w:p w:rsidR="00C05C3F" w:rsidRDefault="00C05C3F" w:rsidP="00C05C3F">
      <w:pPr>
        <w:numPr>
          <w:ilvl w:val="0"/>
          <w:numId w:val="1"/>
        </w:numPr>
        <w:tabs>
          <w:tab w:val="left" w:pos="-720"/>
          <w:tab w:val="left" w:pos="0"/>
        </w:tabs>
        <w:suppressAutoHyphens/>
        <w:rPr>
          <w:rFonts w:ascii="Times New Roman" w:hAnsi="Times New Roman"/>
        </w:rPr>
      </w:pPr>
      <w:r>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5C3F" w:rsidRDefault="00C05C3F" w:rsidP="00C05C3F">
      <w:pPr>
        <w:tabs>
          <w:tab w:val="left" w:pos="-720"/>
          <w:tab w:val="left" w:pos="0"/>
        </w:tabs>
        <w:suppressAutoHyphens/>
        <w:rPr>
          <w:rFonts w:ascii="Times New Roman" w:hAnsi="Times New Roman"/>
        </w:rPr>
      </w:pPr>
    </w:p>
    <w:p w:rsidR="002375E8" w:rsidRDefault="00C05C3F" w:rsidP="002375E8">
      <w:pPr>
        <w:pStyle w:val="Default"/>
        <w:rPr>
          <w:rFonts w:ascii="Times New Roman" w:hAnsi="Times New Roman" w:cs="Times New Roman"/>
        </w:rPr>
      </w:pPr>
      <w:r>
        <w:rPr>
          <w:rFonts w:ascii="Times New Roman" w:hAnsi="Times New Roman"/>
        </w:rPr>
        <w:tab/>
      </w:r>
      <w:r w:rsidR="002375E8">
        <w:rPr>
          <w:rFonts w:ascii="Times New Roman" w:hAnsi="Times New Roman" w:cs="Times New Roman"/>
        </w:rPr>
        <w:t>The Commission’s regulations §§ 40.2, 40.3, 40.5</w:t>
      </w:r>
      <w:r w:rsidR="00F773F4">
        <w:rPr>
          <w:rFonts w:ascii="Times New Roman" w:hAnsi="Times New Roman" w:cs="Times New Roman"/>
        </w:rPr>
        <w:t xml:space="preserve">, </w:t>
      </w:r>
      <w:r w:rsidR="002375E8">
        <w:rPr>
          <w:rFonts w:ascii="Times New Roman" w:hAnsi="Times New Roman" w:cs="Times New Roman"/>
        </w:rPr>
        <w:t xml:space="preserve">40.6 </w:t>
      </w:r>
      <w:r w:rsidR="00F773F4">
        <w:rPr>
          <w:rFonts w:ascii="Times New Roman" w:hAnsi="Times New Roman" w:cs="Times New Roman"/>
        </w:rPr>
        <w:t xml:space="preserve">and 40.10 </w:t>
      </w:r>
      <w:r w:rsidR="002375E8">
        <w:rPr>
          <w:rFonts w:ascii="Times New Roman" w:hAnsi="Times New Roman" w:cs="Times New Roman"/>
        </w:rPr>
        <w:t>provide procedures for the submission of</w:t>
      </w:r>
      <w:r w:rsidR="00E056E4">
        <w:rPr>
          <w:rFonts w:ascii="Times New Roman" w:hAnsi="Times New Roman" w:cs="Times New Roman"/>
        </w:rPr>
        <w:t xml:space="preserve"> product terms and conditions,</w:t>
      </w:r>
      <w:r w:rsidR="002375E8">
        <w:rPr>
          <w:rFonts w:ascii="Times New Roman" w:hAnsi="Times New Roman" w:cs="Times New Roman"/>
        </w:rPr>
        <w:t xml:space="preserve"> rules and rule amendments by designated contract markets, swap execution facilities, derivatives clearing organizations, and swap data </w:t>
      </w:r>
      <w:r w:rsidR="00E456FF">
        <w:rPr>
          <w:rFonts w:ascii="Times New Roman" w:hAnsi="Times New Roman" w:cs="Times New Roman"/>
        </w:rPr>
        <w:t>repositories. They</w:t>
      </w:r>
      <w:r w:rsidR="002375E8">
        <w:rPr>
          <w:rFonts w:ascii="Times New Roman" w:hAnsi="Times New Roman" w:cs="Times New Roman"/>
        </w:rPr>
        <w:t xml:space="preserve"> establish the procedures for submitting the “written certification” required by Section 5c of the Act. In connection with a product or rule certification, the registered entity must provide a concise explanation and analysis of the submission and its compliance with statutory provisions of the Act</w:t>
      </w:r>
    </w:p>
    <w:p w:rsidR="00915AB0" w:rsidRDefault="002375E8" w:rsidP="002375E8">
      <w:pPr>
        <w:pStyle w:val="Default"/>
        <w:rPr>
          <w:rFonts w:ascii="Times New Roman" w:hAnsi="Times New Roman" w:cs="Times New Roman"/>
        </w:rPr>
      </w:pPr>
      <w:r>
        <w:rPr>
          <w:rFonts w:ascii="Times New Roman" w:hAnsi="Times New Roman" w:cs="Times New Roman"/>
        </w:rPr>
        <w:tab/>
      </w:r>
    </w:p>
    <w:p w:rsidR="002375E8" w:rsidRDefault="00E456FF" w:rsidP="00113EB0">
      <w:pPr>
        <w:pStyle w:val="Default"/>
        <w:ind w:firstLine="720"/>
        <w:rPr>
          <w:rFonts w:ascii="Times New Roman" w:hAnsi="Times New Roman" w:cs="Times New Roman"/>
        </w:rPr>
      </w:pPr>
      <w:r>
        <w:rPr>
          <w:rFonts w:ascii="Times New Roman" w:hAnsi="Times New Roman"/>
        </w:rPr>
        <w:t>Without</w:t>
      </w:r>
      <w:r w:rsidR="002375E8">
        <w:rPr>
          <w:rFonts w:ascii="Times New Roman" w:hAnsi="Times New Roman"/>
        </w:rPr>
        <w:t xml:space="preserve"> </w:t>
      </w:r>
      <w:r w:rsidR="00EF64D3">
        <w:rPr>
          <w:rFonts w:ascii="Times New Roman" w:hAnsi="Times New Roman"/>
        </w:rPr>
        <w:t>receipt of this information from registered entities</w:t>
      </w:r>
      <w:r w:rsidR="002375E8">
        <w:rPr>
          <w:rFonts w:ascii="Times New Roman" w:hAnsi="Times New Roman"/>
        </w:rPr>
        <w:t xml:space="preserve">, staff </w:t>
      </w:r>
      <w:r w:rsidR="00EF64D3">
        <w:rPr>
          <w:rFonts w:ascii="Times New Roman" w:hAnsi="Times New Roman"/>
        </w:rPr>
        <w:t>would have to</w:t>
      </w:r>
      <w:r w:rsidR="002375E8">
        <w:rPr>
          <w:rFonts w:ascii="Times New Roman" w:hAnsi="Times New Roman"/>
        </w:rPr>
        <w:t xml:space="preserve"> expend significant resources and time to replicate an existing analysis or to otherwise independently establish a product or rule’s compliance with applicable law. The regulations permit registered entities to support product and rule certifications in the manner that is most effective and least costly under the circumstances.   </w:t>
      </w:r>
    </w:p>
    <w:p w:rsidR="002375E8" w:rsidRDefault="002375E8" w:rsidP="002375E8">
      <w:pPr>
        <w:pStyle w:val="Default"/>
        <w:rPr>
          <w:rFonts w:ascii="Times New Roman" w:hAnsi="Times New Roman" w:cs="Times New Roman"/>
        </w:rPr>
      </w:pPr>
    </w:p>
    <w:p w:rsidR="002375E8" w:rsidRDefault="002375E8" w:rsidP="002375E8">
      <w:pPr>
        <w:pStyle w:val="Default"/>
        <w:rPr>
          <w:rFonts w:ascii="Times New Roman" w:hAnsi="Times New Roman" w:cs="Times New Roman"/>
        </w:rPr>
      </w:pPr>
      <w:r>
        <w:rPr>
          <w:rFonts w:ascii="Times New Roman" w:hAnsi="Times New Roman" w:cs="Times New Roman"/>
        </w:rPr>
        <w:tab/>
        <w:t xml:space="preserve">Regulation 40.10 also contains submission procedures for certain risk-related rules proposed by a systemically important derivatives clearing organization (“SIDCO”). The SIDCO regulations require, among other things, 60-days advance notice of proposed rules that may materially affect the nature or level of risk presented by the SIDCO.  The information collections required by § 40.10 should be only minimally burdensome for registered entities.   </w:t>
      </w:r>
    </w:p>
    <w:p w:rsidR="00CA05F2" w:rsidRDefault="00CA05F2" w:rsidP="002375E8">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p>
    <w:p w:rsidR="00C05C3F" w:rsidRDefault="00C05C3F" w:rsidP="00C05C3F">
      <w:pPr>
        <w:numPr>
          <w:ilvl w:val="0"/>
          <w:numId w:val="1"/>
        </w:numPr>
        <w:tabs>
          <w:tab w:val="left" w:pos="-720"/>
        </w:tabs>
        <w:suppressAutoHyphens/>
        <w:rPr>
          <w:rFonts w:ascii="Times New Roman" w:hAnsi="Times New Roman"/>
        </w:rPr>
      </w:pPr>
      <w:r w:rsidRPr="00E93E1C">
        <w:rPr>
          <w:rFonts w:ascii="Times New Roman" w:hAnsi="Times New Roman"/>
          <w:szCs w:val="24"/>
          <w:u w:val="single"/>
        </w:rPr>
        <w:t>Indicate how, by whom, and for what purpose the data would be used.  Except for a new collection, indicate the actual us</w:t>
      </w:r>
      <w:r w:rsidRPr="00E93E1C">
        <w:rPr>
          <w:rFonts w:ascii="Times New Roman" w:hAnsi="Times New Roman"/>
          <w:u w:val="single"/>
        </w:rPr>
        <w:t>e</w:t>
      </w:r>
      <w:r>
        <w:rPr>
          <w:rFonts w:ascii="Times New Roman" w:hAnsi="Times New Roman"/>
          <w:u w:val="single"/>
        </w:rPr>
        <w:t xml:space="preserve"> the agency has made of the information received from the current collection</w:t>
      </w:r>
      <w:r>
        <w:rPr>
          <w:rFonts w:ascii="Times New Roman" w:hAnsi="Times New Roman"/>
        </w:rPr>
        <w:t>.</w:t>
      </w:r>
    </w:p>
    <w:p w:rsidR="0010119C" w:rsidRDefault="0010119C" w:rsidP="0010119C">
      <w:pPr>
        <w:rPr>
          <w:rFonts w:ascii="Times New Roman" w:hAnsi="Times New Roman"/>
        </w:rPr>
      </w:pPr>
    </w:p>
    <w:p w:rsidR="0010119C" w:rsidRDefault="0010119C" w:rsidP="0010119C">
      <w:pPr>
        <w:rPr>
          <w:rFonts w:ascii="Times New Roman" w:hAnsi="Times New Roman"/>
        </w:rPr>
      </w:pPr>
      <w:r>
        <w:rPr>
          <w:rFonts w:ascii="Times New Roman" w:hAnsi="Times New Roman"/>
        </w:rPr>
        <w:tab/>
        <w:t xml:space="preserve">The requested information is essential to the staff’s review of submissions and the Commission’s oversight of each registered entity’s self-regulatory actions.  Staff generally conducts a due diligence review of new submissions and makes an independent determination concerning the registered entity’s compliance with the Act and regulations thereunder.  </w:t>
      </w:r>
    </w:p>
    <w:p w:rsidR="0010119C" w:rsidRDefault="0010119C" w:rsidP="0010119C">
      <w:pPr>
        <w:rPr>
          <w:rFonts w:ascii="Times New Roman" w:hAnsi="Times New Roman"/>
        </w:rPr>
      </w:pPr>
    </w:p>
    <w:p w:rsidR="0010119C" w:rsidRDefault="0010119C" w:rsidP="00113EB0">
      <w:pPr>
        <w:ind w:firstLine="720"/>
        <w:rPr>
          <w:rFonts w:ascii="Times New Roman" w:hAnsi="Times New Roman"/>
        </w:rPr>
      </w:pPr>
      <w:r>
        <w:rPr>
          <w:rFonts w:ascii="Times New Roman" w:hAnsi="Times New Roman"/>
        </w:rPr>
        <w:t xml:space="preserve">For new products, registered entities must submit information complying with </w:t>
      </w:r>
      <w:r>
        <w:rPr>
          <w:rFonts w:ascii="Times New Roman" w:hAnsi="Times New Roman"/>
          <w:u w:val="single"/>
        </w:rPr>
        <w:t>either</w:t>
      </w:r>
      <w:r>
        <w:rPr>
          <w:rFonts w:ascii="Times New Roman" w:hAnsi="Times New Roman"/>
        </w:rPr>
        <w:t xml:space="preserve"> § 40.2 or</w:t>
      </w:r>
      <w:r w:rsidR="005C7654">
        <w:rPr>
          <w:rFonts w:ascii="Times New Roman" w:hAnsi="Times New Roman"/>
        </w:rPr>
        <w:t xml:space="preserve"> </w:t>
      </w:r>
      <w:r>
        <w:rPr>
          <w:rFonts w:ascii="Times New Roman" w:hAnsi="Times New Roman"/>
        </w:rPr>
        <w:t>§ 40.3 as follows:</w:t>
      </w:r>
    </w:p>
    <w:p w:rsidR="0010119C" w:rsidRDefault="0010119C" w:rsidP="0010119C">
      <w:pPr>
        <w:numPr>
          <w:ilvl w:val="0"/>
          <w:numId w:val="2"/>
        </w:numPr>
        <w:rPr>
          <w:rFonts w:ascii="Times New Roman" w:hAnsi="Times New Roman"/>
        </w:rPr>
      </w:pPr>
      <w:r>
        <w:rPr>
          <w:rFonts w:ascii="Times New Roman" w:hAnsi="Times New Roman"/>
        </w:rPr>
        <w:t xml:space="preserve">§ 40.2 requires: (1) a concise explanation and analysis of the new product and its compliance with applicable law (with appropriate references to data sources) and (2) </w:t>
      </w:r>
      <w:r>
        <w:rPr>
          <w:rFonts w:ascii="Times New Roman" w:hAnsi="Times New Roman"/>
        </w:rPr>
        <w:lastRenderedPageBreak/>
        <w:t>a certification that the submission was posted on the registered entity’s website at the time of filing.</w:t>
      </w:r>
    </w:p>
    <w:p w:rsidR="0010119C" w:rsidRDefault="0010119C" w:rsidP="0010119C">
      <w:pPr>
        <w:ind w:left="1080"/>
        <w:rPr>
          <w:rFonts w:ascii="Times New Roman" w:hAnsi="Times New Roman"/>
        </w:rPr>
      </w:pPr>
      <w:r>
        <w:rPr>
          <w:rFonts w:ascii="Times New Roman" w:hAnsi="Times New Roman"/>
        </w:rPr>
        <w:t>-or-</w:t>
      </w:r>
    </w:p>
    <w:p w:rsidR="0010119C" w:rsidRDefault="0010119C" w:rsidP="0010119C">
      <w:pPr>
        <w:numPr>
          <w:ilvl w:val="0"/>
          <w:numId w:val="2"/>
        </w:numPr>
        <w:rPr>
          <w:rFonts w:ascii="Times New Roman" w:hAnsi="Times New Roman"/>
        </w:rPr>
      </w:pPr>
      <w:r>
        <w:rPr>
          <w:rFonts w:ascii="Times New Roman" w:hAnsi="Times New Roman"/>
        </w:rPr>
        <w:t>§ 40.3 requires: (1) a</w:t>
      </w:r>
      <w:r w:rsidR="00915AB0">
        <w:rPr>
          <w:rFonts w:ascii="Times New Roman" w:hAnsi="Times New Roman"/>
        </w:rPr>
        <w:t xml:space="preserve">n </w:t>
      </w:r>
      <w:r>
        <w:rPr>
          <w:rFonts w:ascii="Times New Roman" w:hAnsi="Times New Roman"/>
        </w:rPr>
        <w:t xml:space="preserve">explanation and analysis of the new product and its compliance with applicable law (with appropriate references to data sources) and (2) a certification that the submission was posted on the registered entity’s website at the time of filing. </w:t>
      </w:r>
    </w:p>
    <w:p w:rsidR="0010119C" w:rsidRDefault="0010119C" w:rsidP="0010119C">
      <w:pPr>
        <w:rPr>
          <w:rFonts w:ascii="Times New Roman" w:hAnsi="Times New Roman"/>
        </w:rPr>
      </w:pPr>
    </w:p>
    <w:p w:rsidR="0010119C" w:rsidRDefault="0010119C" w:rsidP="00113EB0">
      <w:pPr>
        <w:ind w:firstLine="720"/>
        <w:rPr>
          <w:rFonts w:ascii="Times New Roman" w:hAnsi="Times New Roman"/>
        </w:rPr>
      </w:pPr>
      <w:r>
        <w:rPr>
          <w:rFonts w:ascii="Times New Roman" w:hAnsi="Times New Roman"/>
        </w:rPr>
        <w:t xml:space="preserve">These regulations, as discussed, are necessary to the Commission’s administration of the Act, which requires new contracts to, among other things, not be susceptible to manipulation.   Without explanations and analyses of new submissions and certain certifications concerning prices and pricing sources, the Commission cannot effectively exercise its oversight responsibilities under the Act.  </w:t>
      </w:r>
    </w:p>
    <w:p w:rsidR="0010119C" w:rsidRDefault="0010119C" w:rsidP="0010119C">
      <w:pPr>
        <w:rPr>
          <w:rFonts w:ascii="Times New Roman" w:hAnsi="Times New Roman"/>
        </w:rPr>
      </w:pPr>
    </w:p>
    <w:p w:rsidR="0010119C" w:rsidRDefault="0010119C" w:rsidP="00113EB0">
      <w:pPr>
        <w:ind w:firstLine="720"/>
        <w:rPr>
          <w:rFonts w:ascii="Times New Roman" w:hAnsi="Times New Roman"/>
        </w:rPr>
      </w:pPr>
      <w:r>
        <w:rPr>
          <w:rFonts w:ascii="Times New Roman" w:hAnsi="Times New Roman"/>
        </w:rPr>
        <w:t xml:space="preserve">For general rules and rules implementing changes to the terms and conditions of products, registered entities must comply with </w:t>
      </w:r>
      <w:r>
        <w:rPr>
          <w:rFonts w:ascii="Times New Roman" w:hAnsi="Times New Roman"/>
          <w:u w:val="single"/>
        </w:rPr>
        <w:t>either</w:t>
      </w:r>
      <w:r>
        <w:rPr>
          <w:rFonts w:ascii="Times New Roman" w:hAnsi="Times New Roman"/>
        </w:rPr>
        <w:t xml:space="preserve"> § 40.5 or § 40.6 as follows:</w:t>
      </w:r>
    </w:p>
    <w:p w:rsidR="0010119C" w:rsidRDefault="0010119C" w:rsidP="0010119C">
      <w:pPr>
        <w:numPr>
          <w:ilvl w:val="0"/>
          <w:numId w:val="2"/>
        </w:numPr>
        <w:rPr>
          <w:rFonts w:ascii="Times New Roman" w:hAnsi="Times New Roman"/>
        </w:rPr>
      </w:pPr>
      <w:r>
        <w:rPr>
          <w:rFonts w:ascii="Times New Roman" w:hAnsi="Times New Roman"/>
        </w:rPr>
        <w:t>§ 40.5 requires: (1) an explanation and analysis of the purpose, operation, and effect of the proposed rule change; and, for each submission amending the terms and conditions of a previously certified contract and</w:t>
      </w:r>
      <w:r w:rsidR="00E456FF">
        <w:rPr>
          <w:rFonts w:ascii="Times New Roman" w:hAnsi="Times New Roman"/>
        </w:rPr>
        <w:t xml:space="preserve"> </w:t>
      </w:r>
      <w:r>
        <w:rPr>
          <w:rFonts w:ascii="Times New Roman" w:hAnsi="Times New Roman"/>
        </w:rPr>
        <w:t>(2) a certification that the submission was posted on the registered entity’s website at the time of filing</w:t>
      </w:r>
      <w:r w:rsidR="00E456FF">
        <w:rPr>
          <w:rFonts w:ascii="Times New Roman" w:hAnsi="Times New Roman"/>
        </w:rPr>
        <w:t>.</w:t>
      </w:r>
    </w:p>
    <w:p w:rsidR="0010119C" w:rsidRDefault="0010119C" w:rsidP="0010119C">
      <w:pPr>
        <w:numPr>
          <w:ilvl w:val="0"/>
          <w:numId w:val="2"/>
        </w:numPr>
        <w:rPr>
          <w:rFonts w:ascii="Times New Roman" w:hAnsi="Times New Roman"/>
        </w:rPr>
      </w:pPr>
      <w:r>
        <w:rPr>
          <w:rFonts w:ascii="Times New Roman" w:hAnsi="Times New Roman"/>
        </w:rPr>
        <w:t xml:space="preserve">§ 40.6 </w:t>
      </w:r>
      <w:r w:rsidR="00E456FF">
        <w:rPr>
          <w:rFonts w:ascii="Times New Roman" w:hAnsi="Times New Roman"/>
        </w:rPr>
        <w:t>requires</w:t>
      </w:r>
      <w:r>
        <w:rPr>
          <w:rFonts w:ascii="Times New Roman" w:hAnsi="Times New Roman"/>
        </w:rPr>
        <w:t xml:space="preserve"> two submissions: (1) a concise explanation and analysis of the operation, purpose, and effect of the rule submission; (2) a certification that the submission was posted on the registered entity’s website at the time of filing. </w:t>
      </w:r>
    </w:p>
    <w:p w:rsidR="0010119C" w:rsidRDefault="0010119C" w:rsidP="0010119C">
      <w:pPr>
        <w:rPr>
          <w:rFonts w:ascii="Times New Roman" w:hAnsi="Times New Roman"/>
        </w:rPr>
      </w:pPr>
    </w:p>
    <w:p w:rsidR="0010119C" w:rsidRDefault="0010119C" w:rsidP="00113EB0">
      <w:pPr>
        <w:ind w:firstLine="720"/>
        <w:rPr>
          <w:rFonts w:ascii="Times New Roman" w:hAnsi="Times New Roman"/>
        </w:rPr>
      </w:pPr>
      <w:r>
        <w:rPr>
          <w:rFonts w:ascii="Times New Roman" w:hAnsi="Times New Roman"/>
        </w:rPr>
        <w:t>These regulations, as discussed, are contemplated by the statute and necessary to the Commission’s administration of the Act.</w:t>
      </w:r>
    </w:p>
    <w:p w:rsidR="0010119C" w:rsidRDefault="0010119C" w:rsidP="0010119C">
      <w:pPr>
        <w:rPr>
          <w:rFonts w:ascii="Times New Roman" w:hAnsi="Times New Roman"/>
        </w:rPr>
      </w:pPr>
    </w:p>
    <w:p w:rsidR="0010119C" w:rsidRDefault="0010119C" w:rsidP="00113EB0">
      <w:pPr>
        <w:ind w:firstLine="720"/>
        <w:rPr>
          <w:rFonts w:ascii="Times New Roman" w:hAnsi="Times New Roman"/>
        </w:rPr>
      </w:pPr>
      <w:r>
        <w:rPr>
          <w:rFonts w:ascii="Times New Roman" w:hAnsi="Times New Roman"/>
        </w:rPr>
        <w:t>For certain risk management rules of SIDCOs, registered entities must comply with § 40.10 as follows:</w:t>
      </w:r>
    </w:p>
    <w:p w:rsidR="0010119C" w:rsidRDefault="0010119C" w:rsidP="0010119C">
      <w:pPr>
        <w:numPr>
          <w:ilvl w:val="0"/>
          <w:numId w:val="2"/>
        </w:numPr>
        <w:rPr>
          <w:rFonts w:ascii="Times New Roman" w:hAnsi="Times New Roman"/>
        </w:rPr>
      </w:pPr>
      <w:r>
        <w:rPr>
          <w:rFonts w:ascii="Times New Roman" w:hAnsi="Times New Roman"/>
        </w:rPr>
        <w:t>§ 40.10 requires two submissions: (1) an advanced notice of any proposed rule changes that may materially affect the nature or level of risks presented by a systemically important derivatives clearing organization; and (2) if requested, supplementary information that is necessary for the Commission’s staff to review in order to assess the effect of any proposed rule changes.</w:t>
      </w:r>
    </w:p>
    <w:p w:rsidR="00C05C3F" w:rsidRDefault="00C05C3F" w:rsidP="00C05C3F">
      <w:pPr>
        <w:tabs>
          <w:tab w:val="left" w:pos="-720"/>
        </w:tabs>
        <w:suppressAutoHyphens/>
        <w:rPr>
          <w:rFonts w:ascii="Times New Roman" w:hAnsi="Times New Roman"/>
        </w:rPr>
      </w:pPr>
    </w:p>
    <w:p w:rsidR="00127E98" w:rsidRDefault="00C05C3F" w:rsidP="00C05C3F">
      <w:pPr>
        <w:tabs>
          <w:tab w:val="left" w:pos="-720"/>
        </w:tabs>
        <w:suppressAutoHyphens/>
        <w:rPr>
          <w:rFonts w:ascii="Times New Roman" w:hAnsi="Times New Roman"/>
        </w:rPr>
      </w:pPr>
      <w:r>
        <w:rPr>
          <w:rFonts w:ascii="Times New Roman" w:hAnsi="Times New Roman"/>
        </w:rPr>
        <w:tab/>
      </w:r>
    </w:p>
    <w:p w:rsidR="00C05C3F" w:rsidRDefault="00C05C3F" w:rsidP="00C05C3F">
      <w:pPr>
        <w:numPr>
          <w:ilvl w:val="0"/>
          <w:numId w:val="1"/>
        </w:numPr>
        <w:tabs>
          <w:tab w:val="left" w:pos="-720"/>
          <w:tab w:val="left" w:pos="0"/>
        </w:tabs>
        <w:suppressAutoHyphens/>
        <w:rPr>
          <w:rFonts w:ascii="Times New Roman" w:hAnsi="Times New Roman"/>
          <w:u w:val="single"/>
        </w:rPr>
      </w:pPr>
      <w:r>
        <w:rPr>
          <w:rFonts w:ascii="Times New Roman" w:hAnsi="Times New Roman"/>
          <w:u w:val="single"/>
        </w:rPr>
        <w:t xml:space="preserve">Describe whether, and to what extent, the collection of information involves the use of automated, electronic, mechanical, or other technological collection techniques or other forms of information technology, </w:t>
      </w:r>
      <w:r w:rsidRPr="00ED3A7E">
        <w:rPr>
          <w:rFonts w:ascii="Times New Roman" w:hAnsi="Times New Roman"/>
          <w:i/>
          <w:u w:val="single"/>
        </w:rPr>
        <w:t>e.g.</w:t>
      </w:r>
      <w:r>
        <w:rPr>
          <w:rFonts w:ascii="Times New Roman" w:hAnsi="Times New Roman"/>
          <w:u w:val="single"/>
        </w:rPr>
        <w:t>, permitting electronic submission of responses, and the basis for the decision for adopting this means of collection.  Also describe any consideration of using information technology to reduce burden.</w:t>
      </w:r>
    </w:p>
    <w:p w:rsidR="00C05C3F" w:rsidRDefault="00C05C3F" w:rsidP="00C05C3F">
      <w:pPr>
        <w:tabs>
          <w:tab w:val="left" w:pos="-720"/>
          <w:tab w:val="left" w:pos="0"/>
        </w:tabs>
        <w:suppressAutoHyphens/>
        <w:rPr>
          <w:rFonts w:ascii="Times New Roman" w:hAnsi="Times New Roman"/>
          <w:u w:val="single"/>
        </w:rPr>
      </w:pPr>
    </w:p>
    <w:p w:rsidR="00E42401" w:rsidRDefault="00E42401" w:rsidP="00E42401">
      <w:pPr>
        <w:tabs>
          <w:tab w:val="left" w:pos="-720"/>
          <w:tab w:val="left" w:pos="0"/>
        </w:tabs>
        <w:spacing w:after="240"/>
        <w:rPr>
          <w:rFonts w:ascii="Times New Roman" w:hAnsi="Times New Roman"/>
        </w:rPr>
      </w:pPr>
      <w:r>
        <w:rPr>
          <w:rFonts w:ascii="Times New Roman" w:hAnsi="Times New Roman"/>
        </w:rPr>
        <w:tab/>
        <w:t xml:space="preserve">The Commission’s regulations require all submissions to be submitted to the Commission electronically.  The Commission intends to continue its practice of publishing all incoming submissions on its website and has developed an improved web portal at cftc.gov that expedites   both Commission and public review of submissions.  The Commission facilitates submissions and public comment on such submissions through the Commission’s website.  </w:t>
      </w:r>
    </w:p>
    <w:p w:rsidR="00C05C3F" w:rsidRDefault="00C05C3F" w:rsidP="00C05C3F">
      <w:pPr>
        <w:numPr>
          <w:ilvl w:val="0"/>
          <w:numId w:val="1"/>
        </w:numPr>
        <w:tabs>
          <w:tab w:val="left" w:pos="-720"/>
          <w:tab w:val="left" w:pos="0"/>
        </w:tabs>
        <w:suppressAutoHyphens/>
        <w:rPr>
          <w:rFonts w:ascii="Times New Roman" w:hAnsi="Times New Roman"/>
        </w:rPr>
      </w:pP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C05C3F" w:rsidRDefault="00C05C3F" w:rsidP="00C05C3F">
      <w:pPr>
        <w:tabs>
          <w:tab w:val="left" w:pos="-720"/>
          <w:tab w:val="left" w:pos="0"/>
        </w:tabs>
        <w:suppressAutoHyphens/>
        <w:rPr>
          <w:rFonts w:ascii="Times New Roman" w:hAnsi="Times New Roman"/>
        </w:rPr>
      </w:pPr>
    </w:p>
    <w:p w:rsidR="00E42401" w:rsidRDefault="007750CE" w:rsidP="00E42401">
      <w:pPr>
        <w:tabs>
          <w:tab w:val="left" w:pos="-720"/>
        </w:tabs>
        <w:spacing w:after="240"/>
        <w:rPr>
          <w:rFonts w:ascii="Times New Roman" w:hAnsi="Times New Roman"/>
        </w:rPr>
      </w:pPr>
      <w:r>
        <w:rPr>
          <w:rFonts w:ascii="Times New Roman" w:hAnsi="Times New Roman"/>
        </w:rPr>
        <w:tab/>
      </w:r>
      <w:r w:rsidR="00E42401">
        <w:rPr>
          <w:rFonts w:ascii="Times New Roman" w:hAnsi="Times New Roman"/>
        </w:rPr>
        <w:t xml:space="preserve">The </w:t>
      </w:r>
      <w:r w:rsidR="00915AB0">
        <w:rPr>
          <w:rFonts w:ascii="Times New Roman" w:hAnsi="Times New Roman"/>
        </w:rPr>
        <w:t xml:space="preserve">statute and </w:t>
      </w:r>
      <w:r w:rsidR="00E42401">
        <w:rPr>
          <w:rFonts w:ascii="Times New Roman" w:hAnsi="Times New Roman"/>
        </w:rPr>
        <w:t xml:space="preserve">regulations require registered entities to submit certain information—product terms and conditions, explanations of the cash market and other aspects of the product and its compliance with applicable law, rule changes and explanations of the operation, purpose and effect of such changes, and notices of the certain risk management rules that is not available from any other source and generally is specific to the registered entity.  </w:t>
      </w:r>
    </w:p>
    <w:p w:rsidR="00C05C3F" w:rsidRDefault="00C05C3F" w:rsidP="00C05C3F">
      <w:pPr>
        <w:tabs>
          <w:tab w:val="left" w:pos="-720"/>
        </w:tabs>
        <w:suppressAutoHyphens/>
        <w:rPr>
          <w:rFonts w:ascii="Times New Roman" w:hAnsi="Times New Roman"/>
        </w:rPr>
      </w:pPr>
    </w:p>
    <w:p w:rsidR="00C05C3F" w:rsidRDefault="00C05C3F" w:rsidP="00C05C3F">
      <w:pPr>
        <w:numPr>
          <w:ilvl w:val="0"/>
          <w:numId w:val="1"/>
        </w:numPr>
        <w:tabs>
          <w:tab w:val="left" w:pos="-720"/>
          <w:tab w:val="left" w:pos="0"/>
        </w:tabs>
        <w:suppressAutoHyphens/>
        <w:rPr>
          <w:rFonts w:ascii="Times New Roman" w:hAnsi="Times New Roman"/>
        </w:rPr>
      </w:pP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 xml:space="preserve">.  </w:t>
      </w:r>
    </w:p>
    <w:p w:rsidR="00C05C3F" w:rsidRDefault="00C05C3F" w:rsidP="00C05C3F">
      <w:pPr>
        <w:tabs>
          <w:tab w:val="left" w:pos="-720"/>
          <w:tab w:val="left" w:pos="0"/>
        </w:tabs>
        <w:suppressAutoHyphens/>
        <w:rPr>
          <w:rFonts w:ascii="Times New Roman" w:hAnsi="Times New Roman"/>
        </w:rPr>
      </w:pPr>
    </w:p>
    <w:p w:rsidR="008B420F" w:rsidRDefault="008B420F" w:rsidP="008B420F">
      <w:pPr>
        <w:tabs>
          <w:tab w:val="left" w:pos="-720"/>
        </w:tabs>
        <w:spacing w:after="240"/>
        <w:rPr>
          <w:rFonts w:ascii="Times New Roman" w:hAnsi="Times New Roman"/>
        </w:rPr>
      </w:pPr>
      <w:r>
        <w:rPr>
          <w:rFonts w:ascii="Times New Roman" w:hAnsi="Times New Roman"/>
        </w:rPr>
        <w:t>This collection of information will not have a significant impact on a substantial number of small entities.</w:t>
      </w:r>
    </w:p>
    <w:p w:rsidR="00482A98" w:rsidRPr="00482A98" w:rsidRDefault="00482A98" w:rsidP="00482A98">
      <w:pPr>
        <w:autoSpaceDE w:val="0"/>
        <w:autoSpaceDN w:val="0"/>
        <w:adjustRightInd w:val="0"/>
        <w:rPr>
          <w:rFonts w:ascii="Times New Roman" w:hAnsi="Times New Roman"/>
          <w:szCs w:val="24"/>
        </w:rPr>
      </w:pPr>
    </w:p>
    <w:p w:rsidR="00C05C3F" w:rsidRDefault="00C05C3F" w:rsidP="00915AB0">
      <w:pPr>
        <w:numPr>
          <w:ilvl w:val="0"/>
          <w:numId w:val="1"/>
        </w:numPr>
        <w:tabs>
          <w:tab w:val="left" w:pos="-720"/>
          <w:tab w:val="left" w:pos="0"/>
        </w:tabs>
        <w:suppressAutoHyphens/>
        <w:rPr>
          <w:rFonts w:ascii="Times New Roman" w:hAnsi="Times New Roman"/>
          <w:u w:val="single"/>
        </w:rPr>
      </w:pPr>
      <w:r>
        <w:rPr>
          <w:rFonts w:ascii="Times New Roman" w:hAnsi="Times New Roman"/>
          <w:u w:val="single"/>
        </w:rPr>
        <w:t xml:space="preserve">Describe the consequence to the Federal Program or policy </w:t>
      </w:r>
      <w:r w:rsidRPr="00915AB0">
        <w:rPr>
          <w:rFonts w:ascii="Times New Roman" w:hAnsi="Times New Roman"/>
          <w:u w:val="single"/>
        </w:rPr>
        <w:tab/>
      </w:r>
      <w:r>
        <w:rPr>
          <w:rFonts w:ascii="Times New Roman" w:hAnsi="Times New Roman"/>
          <w:u w:val="single"/>
        </w:rPr>
        <w:t>activities if the collection were conducted less frequently as well as any technical or legal obstacles to reducing burden</w:t>
      </w:r>
      <w:r w:rsidRPr="00915AB0">
        <w:rPr>
          <w:rFonts w:ascii="Times New Roman" w:hAnsi="Times New Roman"/>
          <w:u w:val="single"/>
        </w:rPr>
        <w:t>.</w:t>
      </w:r>
    </w:p>
    <w:p w:rsidR="00915AB0" w:rsidRPr="00915AB0" w:rsidRDefault="00915AB0" w:rsidP="00915AB0">
      <w:pPr>
        <w:tabs>
          <w:tab w:val="left" w:pos="-720"/>
          <w:tab w:val="left" w:pos="0"/>
        </w:tabs>
        <w:suppressAutoHyphens/>
        <w:ind w:left="720"/>
        <w:rPr>
          <w:rFonts w:ascii="Times New Roman" w:hAnsi="Times New Roman"/>
          <w:u w:val="single"/>
        </w:rPr>
      </w:pPr>
    </w:p>
    <w:p w:rsidR="00C05C3F" w:rsidRPr="00915AB0" w:rsidRDefault="00C05C3F" w:rsidP="00915AB0">
      <w:pPr>
        <w:tabs>
          <w:tab w:val="left" w:pos="-720"/>
          <w:tab w:val="left" w:pos="0"/>
        </w:tabs>
        <w:suppressAutoHyphens/>
        <w:ind w:left="720"/>
        <w:rPr>
          <w:rFonts w:ascii="Times New Roman" w:hAnsi="Times New Roman"/>
          <w:u w:val="single"/>
        </w:rPr>
      </w:pPr>
    </w:p>
    <w:p w:rsidR="008D0A14" w:rsidRPr="00113EB0" w:rsidRDefault="008D0A14" w:rsidP="00915AB0">
      <w:pPr>
        <w:tabs>
          <w:tab w:val="left" w:pos="-720"/>
          <w:tab w:val="left" w:pos="0"/>
        </w:tabs>
        <w:suppressAutoHyphens/>
        <w:rPr>
          <w:rFonts w:ascii="Times New Roman" w:hAnsi="Times New Roman"/>
        </w:rPr>
      </w:pPr>
      <w:r w:rsidRPr="00113EB0">
        <w:rPr>
          <w:rFonts w:ascii="Times New Roman" w:hAnsi="Times New Roman"/>
        </w:rPr>
        <w:t xml:space="preserve">The Commission’s Part 40 regulations do not require the submission of information on a periodic basis.  Rather, submissions are required only at such time that registered entities seek to list new products or adopt new rules or rule amendments.  The frequency of the required submissions depends on the frequency that registered entities seek to take one or more actions that require a filing with the Commission.   </w:t>
      </w:r>
    </w:p>
    <w:p w:rsidR="00C05C3F" w:rsidRDefault="00C05C3F" w:rsidP="008D0A14">
      <w:pPr>
        <w:tabs>
          <w:tab w:val="left" w:pos="-720"/>
          <w:tab w:val="left" w:pos="0"/>
        </w:tabs>
        <w:suppressAutoHyphens/>
        <w:rPr>
          <w:rFonts w:ascii="Times New Roman" w:hAnsi="Times New Roman"/>
        </w:rPr>
      </w:pPr>
    </w:p>
    <w:p w:rsidR="00C05C3F" w:rsidRPr="00915AB0" w:rsidRDefault="00C05C3F" w:rsidP="00915AB0">
      <w:pPr>
        <w:tabs>
          <w:tab w:val="left" w:pos="-720"/>
          <w:tab w:val="left" w:pos="0"/>
        </w:tabs>
        <w:suppressAutoHyphens/>
        <w:ind w:left="360"/>
        <w:rPr>
          <w:rFonts w:ascii="Times New Roman" w:hAnsi="Times New Roman"/>
        </w:rPr>
      </w:pPr>
      <w:r w:rsidRPr="00915AB0">
        <w:rPr>
          <w:rFonts w:ascii="Times New Roman" w:hAnsi="Times New Roman"/>
        </w:rPr>
        <w:t xml:space="preserve"> 7.</w:t>
      </w:r>
      <w:r w:rsidRPr="00915AB0">
        <w:rPr>
          <w:rFonts w:ascii="Times New Roman" w:hAnsi="Times New Roman"/>
        </w:rPr>
        <w:tab/>
        <w:t>Explain any special circumstances that require the collection to be conducted in a manner:</w:t>
      </w:r>
    </w:p>
    <w:p w:rsidR="00C05C3F" w:rsidRPr="00915AB0" w:rsidRDefault="00C05C3F" w:rsidP="00915AB0">
      <w:pPr>
        <w:tabs>
          <w:tab w:val="left" w:pos="-720"/>
          <w:tab w:val="left" w:pos="0"/>
        </w:tabs>
        <w:suppressAutoHyphens/>
        <w:ind w:left="360"/>
        <w:rPr>
          <w:rFonts w:ascii="Times New Roman" w:hAnsi="Times New Roman"/>
          <w:u w:val="single"/>
        </w:rPr>
      </w:pPr>
    </w:p>
    <w:p w:rsidR="00C05C3F" w:rsidRDefault="00C05C3F" w:rsidP="00C05C3F">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C05C3F" w:rsidRDefault="00C05C3F" w:rsidP="00C05C3F">
      <w:pPr>
        <w:tabs>
          <w:tab w:val="left" w:pos="-720"/>
          <w:tab w:val="left" w:pos="0"/>
          <w:tab w:val="left" w:pos="720"/>
        </w:tabs>
        <w:suppressAutoHyphens/>
        <w:ind w:left="1440" w:hanging="1440"/>
        <w:rPr>
          <w:rFonts w:ascii="Times New Roman" w:hAnsi="Times New Roman"/>
          <w:u w:val="single"/>
        </w:rPr>
      </w:pPr>
    </w:p>
    <w:p w:rsidR="000C220F" w:rsidRDefault="00C05C3F" w:rsidP="000C220F">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This does not apply. </w:t>
      </w:r>
    </w:p>
    <w:p w:rsidR="00C05C3F" w:rsidRDefault="00C05C3F" w:rsidP="00C05C3F">
      <w:pPr>
        <w:tabs>
          <w:tab w:val="left" w:pos="-720"/>
          <w:tab w:val="left" w:pos="0"/>
          <w:tab w:val="left" w:pos="720"/>
        </w:tabs>
        <w:suppressAutoHyphens/>
        <w:ind w:left="1440" w:hanging="1440"/>
        <w:rPr>
          <w:rFonts w:ascii="Times New Roman" w:hAnsi="Times New Roman"/>
        </w:rPr>
      </w:pP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C05C3F" w:rsidRDefault="00C05C3F" w:rsidP="00C05C3F">
      <w:pPr>
        <w:tabs>
          <w:tab w:val="left" w:pos="-720"/>
          <w:tab w:val="left" w:pos="0"/>
          <w:tab w:val="left" w:pos="720"/>
        </w:tabs>
        <w:suppressAutoHyphens/>
        <w:ind w:left="1440" w:hanging="1440"/>
        <w:rPr>
          <w:rFonts w:ascii="Times New Roman" w:hAnsi="Times New Roman"/>
          <w:u w:val="single"/>
        </w:rPr>
      </w:pPr>
    </w:p>
    <w:p w:rsidR="00C05C3F" w:rsidRPr="00FA0BB4" w:rsidRDefault="00C05C3F" w:rsidP="00C05C3F">
      <w:pPr>
        <w:tabs>
          <w:tab w:val="left" w:pos="-720"/>
        </w:tabs>
        <w:suppressAutoHyphens/>
        <w:rPr>
          <w:rFonts w:ascii="Times New Roman" w:hAnsi="Times New Roman"/>
        </w:rPr>
      </w:pPr>
      <w:r>
        <w:rPr>
          <w:rFonts w:ascii="Times New Roman" w:hAnsi="Times New Roman"/>
        </w:rPr>
        <w:tab/>
      </w:r>
      <w:r w:rsidR="00482A98">
        <w:rPr>
          <w:rFonts w:ascii="Times New Roman" w:hAnsi="Times New Roman"/>
        </w:rPr>
        <w:t>This does not apply.</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than an original and two copies of any document</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This does not apply.</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C05C3F" w:rsidRDefault="00C05C3F" w:rsidP="00C05C3F">
      <w:pPr>
        <w:tabs>
          <w:tab w:val="left" w:pos="-720"/>
          <w:tab w:val="left" w:pos="0"/>
          <w:tab w:val="left" w:pos="720"/>
        </w:tabs>
        <w:suppressAutoHyphens/>
        <w:ind w:left="1440" w:hanging="1440"/>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This does not apply.</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ind w:firstLine="720"/>
        <w:rPr>
          <w:rFonts w:ascii="Times New Roman" w:hAnsi="Times New Roman"/>
        </w:rPr>
      </w:pPr>
      <w:r>
        <w:rPr>
          <w:rFonts w:ascii="Times New Roman" w:hAnsi="Times New Roman"/>
        </w:rPr>
        <w:t>This does not apply.</w:t>
      </w:r>
    </w:p>
    <w:p w:rsidR="00C05C3F" w:rsidRDefault="00C05C3F" w:rsidP="00C05C3F">
      <w:pPr>
        <w:tabs>
          <w:tab w:val="left" w:pos="-720"/>
        </w:tabs>
        <w:suppressAutoHyphens/>
        <w:rPr>
          <w:rFonts w:ascii="Times New Roman" w:hAnsi="Times New Roman"/>
        </w:rPr>
      </w:pPr>
      <w:r>
        <w:rPr>
          <w:rFonts w:ascii="Times New Roman" w:hAnsi="Times New Roman"/>
        </w:rPr>
        <w:tab/>
      </w:r>
    </w:p>
    <w:p w:rsidR="00C05C3F" w:rsidRDefault="00C05C3F" w:rsidP="00C05C3F">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05C3F" w:rsidRDefault="00C05C3F" w:rsidP="00C05C3F">
      <w:pPr>
        <w:tabs>
          <w:tab w:val="left" w:pos="-720"/>
          <w:tab w:val="left" w:pos="0"/>
          <w:tab w:val="left" w:pos="720"/>
        </w:tabs>
        <w:suppressAutoHyphens/>
        <w:ind w:left="1440" w:hanging="1440"/>
        <w:rPr>
          <w:rFonts w:ascii="Times New Roman" w:hAnsi="Times New Roman"/>
          <w:u w:val="single"/>
        </w:rPr>
      </w:pPr>
    </w:p>
    <w:p w:rsidR="00482A98" w:rsidRPr="00EB0D2C" w:rsidRDefault="00C05C3F" w:rsidP="00482A98">
      <w:pPr>
        <w:tabs>
          <w:tab w:val="left" w:pos="-720"/>
          <w:tab w:val="left" w:pos="0"/>
          <w:tab w:val="left" w:pos="720"/>
        </w:tabs>
        <w:suppressAutoHyphens/>
        <w:ind w:left="1440" w:hanging="1440"/>
        <w:rPr>
          <w:rFonts w:ascii="Times New Roman" w:hAnsi="Times New Roman"/>
        </w:rPr>
      </w:pPr>
      <w:r>
        <w:rPr>
          <w:rFonts w:ascii="Times New Roman" w:hAnsi="Times New Roman"/>
        </w:rPr>
        <w:tab/>
      </w:r>
    </w:p>
    <w:p w:rsidR="00C05C3F" w:rsidRDefault="00482A98" w:rsidP="00482A98">
      <w:pPr>
        <w:tabs>
          <w:tab w:val="left" w:pos="-720"/>
          <w:tab w:val="left" w:pos="0"/>
          <w:tab w:val="left" w:pos="720"/>
        </w:tabs>
        <w:suppressAutoHyphens/>
        <w:rPr>
          <w:rFonts w:ascii="Times New Roman" w:hAnsi="Times New Roman"/>
          <w:u w:val="single"/>
        </w:rPr>
      </w:pPr>
      <w:r>
        <w:rPr>
          <w:rFonts w:ascii="Times New Roman" w:hAnsi="Times New Roman"/>
        </w:rPr>
        <w:tab/>
        <w:t xml:space="preserve">The Commission </w:t>
      </w:r>
      <w:r w:rsidR="00C05C3F">
        <w:rPr>
          <w:rFonts w:ascii="Times New Roman" w:hAnsi="Times New Roman"/>
        </w:rPr>
        <w:t xml:space="preserve">has adopted Freedom of Information Act regulations, 17 C.F.R. Part 145, which implement the federal statute set forth in 5 U.S.C. §552.  Both the Freedom of Information Act and the Commission’s Part 145 regulations make nonpublic information exempt from disclosure by another federal statute, including Section 8(a) of the CEA.  </w:t>
      </w:r>
      <w:r w:rsidR="00C05C3F" w:rsidRPr="00B05A72">
        <w:rPr>
          <w:rFonts w:ascii="Times New Roman" w:hAnsi="Times New Roman"/>
          <w:szCs w:val="24"/>
        </w:rPr>
        <w:t>See</w:t>
      </w:r>
      <w:r w:rsidR="00C05C3F" w:rsidRPr="00D9422C">
        <w:rPr>
          <w:rFonts w:ascii="Times New Roman" w:hAnsi="Times New Roman"/>
          <w:szCs w:val="24"/>
        </w:rPr>
        <w:t xml:space="preserve"> 5 U.S.C. § 552(b)(3) and 17 C.F.R. §</w:t>
      </w:r>
      <w:r w:rsidR="00C05C3F">
        <w:rPr>
          <w:rFonts w:ascii="Times New Roman" w:hAnsi="Times New Roman"/>
          <w:szCs w:val="24"/>
        </w:rPr>
        <w:t xml:space="preserve"> </w:t>
      </w:r>
      <w:r w:rsidR="00C05C3F" w:rsidRPr="00D9422C">
        <w:rPr>
          <w:rFonts w:ascii="Times New Roman" w:hAnsi="Times New Roman"/>
          <w:szCs w:val="24"/>
        </w:rPr>
        <w:t>145</w:t>
      </w:r>
      <w:r w:rsidR="00C05C3F">
        <w:rPr>
          <w:rFonts w:ascii="Times New Roman" w:hAnsi="Times New Roman"/>
          <w:szCs w:val="24"/>
        </w:rPr>
        <w:t>.5</w:t>
      </w:r>
      <w:r w:rsidR="00C05C3F" w:rsidRPr="00D9422C">
        <w:rPr>
          <w:rFonts w:ascii="Times New Roman" w:hAnsi="Times New Roman"/>
          <w:szCs w:val="24"/>
        </w:rPr>
        <w:t xml:space="preserve">(c).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C05C3F" w:rsidRDefault="00C05C3F" w:rsidP="00C05C3F">
      <w:pPr>
        <w:tabs>
          <w:tab w:val="left" w:pos="-720"/>
          <w:tab w:val="left" w:pos="0"/>
          <w:tab w:val="left" w:pos="720"/>
        </w:tabs>
        <w:suppressAutoHyphens/>
        <w:ind w:left="1440" w:hanging="1440"/>
        <w:rPr>
          <w:rFonts w:ascii="Times New Roman" w:hAnsi="Times New Roman"/>
        </w:rPr>
      </w:pPr>
    </w:p>
    <w:p w:rsidR="00C05C3F" w:rsidRPr="005C7654" w:rsidRDefault="00C05C3F" w:rsidP="005C7654">
      <w:pPr>
        <w:rPr>
          <w:rFonts w:ascii="Times New Roman" w:hAnsi="Times New Roman"/>
        </w:rPr>
      </w:pPr>
      <w:r>
        <w:rPr>
          <w:rFonts w:ascii="Times New Roman" w:hAnsi="Times New Roman"/>
        </w:rPr>
        <w:tab/>
      </w:r>
      <w:r w:rsidR="00482A98">
        <w:rPr>
          <w:rFonts w:ascii="Times New Roman" w:hAnsi="Times New Roman"/>
        </w:rPr>
        <w:t>This does not apply.</w:t>
      </w:r>
      <w:r w:rsidRPr="00D9422C">
        <w:rPr>
          <w:rFonts w:ascii="Times New Roman" w:hAnsi="Times New Roman"/>
        </w:rPr>
        <w:tab/>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05C3F" w:rsidRDefault="00C05C3F" w:rsidP="00C05C3F">
      <w:pPr>
        <w:tabs>
          <w:tab w:val="left" w:pos="-720"/>
        </w:tabs>
        <w:suppressAutoHyphens/>
        <w:rPr>
          <w:rFonts w:ascii="Times New Roman" w:hAnsi="Times New Roman"/>
        </w:rPr>
      </w:pPr>
    </w:p>
    <w:p w:rsidR="00506D74" w:rsidRDefault="00C05C3F" w:rsidP="00C05C3F">
      <w:pPr>
        <w:tabs>
          <w:tab w:val="left" w:pos="-720"/>
        </w:tabs>
        <w:suppressAutoHyphens/>
        <w:rPr>
          <w:rFonts w:ascii="Times New Roman" w:hAnsi="Times New Roman"/>
        </w:rPr>
      </w:pPr>
      <w:r>
        <w:rPr>
          <w:rFonts w:ascii="Times New Roman" w:hAnsi="Times New Roman"/>
        </w:rPr>
        <w:tab/>
      </w:r>
      <w:r w:rsidR="006C31EC">
        <w:rPr>
          <w:rFonts w:ascii="Times New Roman" w:hAnsi="Times New Roman"/>
        </w:rPr>
        <w:t xml:space="preserve">The Commission requested comment on the information collection in its </w:t>
      </w:r>
      <w:r w:rsidR="006C31EC" w:rsidRPr="00513D9E">
        <w:rPr>
          <w:rFonts w:ascii="Times New Roman" w:hAnsi="Times New Roman"/>
          <w:i/>
        </w:rPr>
        <w:t>Notice in the</w:t>
      </w:r>
      <w:r w:rsidR="006C31EC">
        <w:rPr>
          <w:rFonts w:ascii="Times New Roman" w:hAnsi="Times New Roman"/>
        </w:rPr>
        <w:t xml:space="preserve"> </w:t>
      </w:r>
      <w:r w:rsidR="006C31EC">
        <w:rPr>
          <w:rFonts w:ascii="Times New Roman" w:hAnsi="Times New Roman"/>
          <w:i/>
        </w:rPr>
        <w:t>Federal Register</w:t>
      </w:r>
      <w:r w:rsidR="006C31EC">
        <w:rPr>
          <w:rFonts w:ascii="Times New Roman" w:hAnsi="Times New Roman"/>
        </w:rPr>
        <w:t xml:space="preserve"> at </w:t>
      </w:r>
      <w:r w:rsidR="00C761C9">
        <w:rPr>
          <w:rFonts w:ascii="Times New Roman" w:hAnsi="Times New Roman"/>
        </w:rPr>
        <w:t xml:space="preserve">83 </w:t>
      </w:r>
      <w:r w:rsidR="006C31EC">
        <w:rPr>
          <w:rFonts w:ascii="Times New Roman" w:hAnsi="Times New Roman"/>
        </w:rPr>
        <w:t xml:space="preserve">FR </w:t>
      </w:r>
      <w:r w:rsidR="00C761C9">
        <w:rPr>
          <w:rFonts w:ascii="Times New Roman" w:hAnsi="Times New Roman"/>
        </w:rPr>
        <w:t xml:space="preserve">26436 (June 7, 2018). </w:t>
      </w:r>
      <w:r w:rsidR="003860DE">
        <w:rPr>
          <w:rFonts w:ascii="Times New Roman" w:hAnsi="Times New Roman"/>
        </w:rPr>
        <w:t xml:space="preserve">The Commission estimated the burden of collection of information under §§ 40.2, 40.3, 40.5, and 40.6 </w:t>
      </w:r>
      <w:r w:rsidR="00A3457C">
        <w:rPr>
          <w:rFonts w:ascii="Times New Roman" w:hAnsi="Times New Roman"/>
        </w:rPr>
        <w:t xml:space="preserve">to be </w:t>
      </w:r>
      <w:r w:rsidR="003860DE">
        <w:rPr>
          <w:rFonts w:ascii="Times New Roman" w:hAnsi="Times New Roman"/>
        </w:rPr>
        <w:t xml:space="preserve">an average of 100 annual rule filings </w:t>
      </w:r>
      <w:r w:rsidR="004B34B9">
        <w:rPr>
          <w:rFonts w:ascii="Times New Roman" w:hAnsi="Times New Roman"/>
        </w:rPr>
        <w:t>per</w:t>
      </w:r>
      <w:r w:rsidR="003860DE">
        <w:rPr>
          <w:rFonts w:ascii="Times New Roman" w:hAnsi="Times New Roman"/>
        </w:rPr>
        <w:t xml:space="preserve"> registered entity</w:t>
      </w:r>
      <w:r w:rsidR="00CE4B1A">
        <w:rPr>
          <w:rFonts w:ascii="Times New Roman" w:hAnsi="Times New Roman"/>
        </w:rPr>
        <w:t xml:space="preserve">; </w:t>
      </w:r>
      <w:r w:rsidR="004B34B9">
        <w:rPr>
          <w:rFonts w:ascii="Times New Roman" w:hAnsi="Times New Roman"/>
        </w:rPr>
        <w:t xml:space="preserve">and </w:t>
      </w:r>
      <w:r w:rsidR="003860DE">
        <w:rPr>
          <w:rFonts w:ascii="Times New Roman" w:hAnsi="Times New Roman"/>
        </w:rPr>
        <w:t xml:space="preserve">a time burden </w:t>
      </w:r>
      <w:r w:rsidR="001417D0">
        <w:rPr>
          <w:rFonts w:ascii="Times New Roman" w:hAnsi="Times New Roman"/>
        </w:rPr>
        <w:t xml:space="preserve">of </w:t>
      </w:r>
      <w:r w:rsidR="003860DE">
        <w:rPr>
          <w:rFonts w:ascii="Times New Roman" w:hAnsi="Times New Roman"/>
        </w:rPr>
        <w:t>approximately 2 hours</w:t>
      </w:r>
      <w:r w:rsidR="001417D0">
        <w:rPr>
          <w:rFonts w:ascii="Times New Roman" w:hAnsi="Times New Roman"/>
        </w:rPr>
        <w:t xml:space="preserve"> for each </w:t>
      </w:r>
      <w:r w:rsidR="004E43DA">
        <w:rPr>
          <w:rFonts w:ascii="Times New Roman" w:hAnsi="Times New Roman"/>
        </w:rPr>
        <w:t xml:space="preserve">rule </w:t>
      </w:r>
      <w:r w:rsidR="001417D0">
        <w:rPr>
          <w:rFonts w:ascii="Times New Roman" w:hAnsi="Times New Roman"/>
        </w:rPr>
        <w:t>filing</w:t>
      </w:r>
      <w:r w:rsidR="00AD2E35">
        <w:rPr>
          <w:rFonts w:ascii="Times New Roman" w:hAnsi="Times New Roman"/>
        </w:rPr>
        <w:t xml:space="preserve"> </w:t>
      </w:r>
      <w:r w:rsidR="004E43DA">
        <w:rPr>
          <w:rFonts w:ascii="Times New Roman" w:hAnsi="Times New Roman"/>
        </w:rPr>
        <w:t>in order</w:t>
      </w:r>
      <w:r w:rsidR="00927A63">
        <w:rPr>
          <w:rFonts w:ascii="Times New Roman" w:hAnsi="Times New Roman"/>
        </w:rPr>
        <w:t xml:space="preserve"> for entities</w:t>
      </w:r>
      <w:r w:rsidR="004E43DA">
        <w:rPr>
          <w:rFonts w:ascii="Times New Roman" w:hAnsi="Times New Roman"/>
        </w:rPr>
        <w:t xml:space="preserve"> </w:t>
      </w:r>
      <w:r w:rsidR="003860DE">
        <w:rPr>
          <w:rFonts w:ascii="Times New Roman" w:hAnsi="Times New Roman"/>
        </w:rPr>
        <w:t xml:space="preserve">to compile the necessary information, perform any </w:t>
      </w:r>
      <w:r w:rsidR="004B34B9">
        <w:rPr>
          <w:rFonts w:ascii="Times New Roman" w:hAnsi="Times New Roman"/>
        </w:rPr>
        <w:t>analysis, draft</w:t>
      </w:r>
      <w:r w:rsidR="003860DE">
        <w:rPr>
          <w:rFonts w:ascii="Times New Roman" w:hAnsi="Times New Roman"/>
        </w:rPr>
        <w:t xml:space="preserve"> the rule filing, and submit</w:t>
      </w:r>
      <w:r w:rsidR="00AD2E35">
        <w:rPr>
          <w:rFonts w:ascii="Times New Roman" w:hAnsi="Times New Roman"/>
        </w:rPr>
        <w:t xml:space="preserve"> the filing</w:t>
      </w:r>
      <w:r w:rsidR="003860DE">
        <w:rPr>
          <w:rFonts w:ascii="Times New Roman" w:hAnsi="Times New Roman"/>
        </w:rPr>
        <w:t xml:space="preserve"> via the</w:t>
      </w:r>
      <w:r w:rsidR="004B34B9">
        <w:rPr>
          <w:rFonts w:ascii="Times New Roman" w:hAnsi="Times New Roman"/>
        </w:rPr>
        <w:t xml:space="preserve"> Commission’s</w:t>
      </w:r>
      <w:r w:rsidR="00CE4B1A">
        <w:rPr>
          <w:rFonts w:ascii="Times New Roman" w:hAnsi="Times New Roman"/>
        </w:rPr>
        <w:t xml:space="preserve"> web</w:t>
      </w:r>
      <w:r w:rsidR="003860DE">
        <w:rPr>
          <w:rFonts w:ascii="Times New Roman" w:hAnsi="Times New Roman"/>
        </w:rPr>
        <w:t xml:space="preserve"> </w:t>
      </w:r>
      <w:r w:rsidR="00CE4B1A">
        <w:rPr>
          <w:rFonts w:ascii="Times New Roman" w:hAnsi="Times New Roman"/>
        </w:rPr>
        <w:t>portal</w:t>
      </w:r>
      <w:r w:rsidR="003860DE">
        <w:rPr>
          <w:rFonts w:ascii="Times New Roman" w:hAnsi="Times New Roman"/>
        </w:rPr>
        <w:t xml:space="preserve">. The Commission estimated the burden under §40.10 </w:t>
      </w:r>
      <w:r w:rsidR="00CE4B1A">
        <w:rPr>
          <w:rFonts w:ascii="Times New Roman" w:hAnsi="Times New Roman"/>
        </w:rPr>
        <w:t>is</w:t>
      </w:r>
      <w:r w:rsidR="003860DE">
        <w:rPr>
          <w:rFonts w:ascii="Times New Roman" w:hAnsi="Times New Roman"/>
        </w:rPr>
        <w:t xml:space="preserve"> an average of 2 annual rule filings submitted by each </w:t>
      </w:r>
      <w:r w:rsidR="000E6888">
        <w:rPr>
          <w:rFonts w:ascii="Times New Roman" w:hAnsi="Times New Roman"/>
        </w:rPr>
        <w:t xml:space="preserve">SIDCO </w:t>
      </w:r>
      <w:r w:rsidR="003860DE">
        <w:rPr>
          <w:rFonts w:ascii="Times New Roman" w:hAnsi="Times New Roman"/>
        </w:rPr>
        <w:t>with a time burden of approximately 5 hours</w:t>
      </w:r>
      <w:r w:rsidR="001417D0">
        <w:rPr>
          <w:rFonts w:ascii="Times New Roman" w:hAnsi="Times New Roman"/>
        </w:rPr>
        <w:t xml:space="preserve"> for each </w:t>
      </w:r>
      <w:r w:rsidR="002634DB">
        <w:rPr>
          <w:rFonts w:ascii="Times New Roman" w:hAnsi="Times New Roman"/>
        </w:rPr>
        <w:t xml:space="preserve">rule </w:t>
      </w:r>
      <w:r w:rsidR="001417D0">
        <w:rPr>
          <w:rFonts w:ascii="Times New Roman" w:hAnsi="Times New Roman"/>
        </w:rPr>
        <w:t>filing</w:t>
      </w:r>
      <w:r w:rsidR="00706BE8">
        <w:rPr>
          <w:rFonts w:ascii="Times New Roman" w:hAnsi="Times New Roman"/>
        </w:rPr>
        <w:t>.</w:t>
      </w:r>
      <w:r w:rsidR="00924B83">
        <w:rPr>
          <w:rFonts w:ascii="Times New Roman" w:hAnsi="Times New Roman"/>
        </w:rPr>
        <w:t xml:space="preserve"> </w:t>
      </w:r>
    </w:p>
    <w:p w:rsidR="00924B83" w:rsidRDefault="00924B83" w:rsidP="00C05C3F">
      <w:pPr>
        <w:tabs>
          <w:tab w:val="left" w:pos="-720"/>
        </w:tabs>
        <w:suppressAutoHyphens/>
        <w:rPr>
          <w:rFonts w:ascii="Times New Roman" w:hAnsi="Times New Roman"/>
        </w:rPr>
      </w:pPr>
      <w:r>
        <w:rPr>
          <w:rFonts w:ascii="Times New Roman" w:hAnsi="Times New Roman"/>
        </w:rPr>
        <w:t xml:space="preserve"> </w:t>
      </w:r>
      <w:r w:rsidR="003860DE">
        <w:rPr>
          <w:rFonts w:ascii="Times New Roman" w:hAnsi="Times New Roman"/>
        </w:rPr>
        <w:t xml:space="preserve"> </w:t>
      </w:r>
    </w:p>
    <w:p w:rsidR="00CE1D7C" w:rsidRDefault="00924B83" w:rsidP="00C05C3F">
      <w:pPr>
        <w:tabs>
          <w:tab w:val="left" w:pos="-720"/>
        </w:tabs>
        <w:suppressAutoHyphens/>
        <w:rPr>
          <w:rFonts w:ascii="Times New Roman" w:hAnsi="Times New Roman"/>
        </w:rPr>
      </w:pPr>
      <w:r>
        <w:rPr>
          <w:rFonts w:ascii="Times New Roman" w:hAnsi="Times New Roman"/>
        </w:rPr>
        <w:tab/>
        <w:t>Public comments were received on August 6, 2018</w:t>
      </w:r>
      <w:r w:rsidR="00CE4B1A">
        <w:rPr>
          <w:rFonts w:ascii="Times New Roman" w:hAnsi="Times New Roman"/>
        </w:rPr>
        <w:t>,</w:t>
      </w:r>
      <w:r>
        <w:rPr>
          <w:rFonts w:ascii="Times New Roman" w:hAnsi="Times New Roman"/>
        </w:rPr>
        <w:t xml:space="preserve"> from CME Group</w:t>
      </w:r>
      <w:r w:rsidR="00AD2E35">
        <w:rPr>
          <w:rFonts w:ascii="Times New Roman" w:hAnsi="Times New Roman"/>
        </w:rPr>
        <w:t xml:space="preserve"> </w:t>
      </w:r>
      <w:r>
        <w:rPr>
          <w:rFonts w:ascii="Times New Roman" w:hAnsi="Times New Roman"/>
        </w:rPr>
        <w:t>and Intercontinental Exchange, Inc.</w:t>
      </w:r>
      <w:r w:rsidR="006B1BD7">
        <w:rPr>
          <w:rFonts w:ascii="Times New Roman" w:hAnsi="Times New Roman"/>
        </w:rPr>
        <w:t xml:space="preserve"> (ICE)</w:t>
      </w:r>
      <w:r w:rsidR="00CE1D7C">
        <w:rPr>
          <w:rFonts w:ascii="Times New Roman" w:hAnsi="Times New Roman"/>
        </w:rPr>
        <w:t xml:space="preserve">, on behalf of </w:t>
      </w:r>
      <w:r w:rsidR="002634DB">
        <w:rPr>
          <w:rFonts w:ascii="Times New Roman" w:hAnsi="Times New Roman"/>
        </w:rPr>
        <w:t xml:space="preserve">their </w:t>
      </w:r>
      <w:r w:rsidR="00CE1D7C">
        <w:rPr>
          <w:rFonts w:ascii="Times New Roman" w:hAnsi="Times New Roman"/>
        </w:rPr>
        <w:t>registered entities</w:t>
      </w:r>
      <w:r w:rsidR="006B1BD7">
        <w:rPr>
          <w:rFonts w:ascii="Times New Roman" w:hAnsi="Times New Roman"/>
        </w:rPr>
        <w:t xml:space="preserve">. </w:t>
      </w:r>
      <w:r w:rsidR="005570A5">
        <w:rPr>
          <w:rFonts w:ascii="Times New Roman" w:hAnsi="Times New Roman"/>
        </w:rPr>
        <w:t xml:space="preserve">Both </w:t>
      </w:r>
      <w:r w:rsidR="00CE1D7C">
        <w:rPr>
          <w:rFonts w:ascii="Times New Roman" w:hAnsi="Times New Roman"/>
        </w:rPr>
        <w:t xml:space="preserve">CME Group and ICE </w:t>
      </w:r>
      <w:r w:rsidR="005570A5">
        <w:rPr>
          <w:rFonts w:ascii="Times New Roman" w:hAnsi="Times New Roman"/>
        </w:rPr>
        <w:t>recognize</w:t>
      </w:r>
      <w:r w:rsidR="004B34B9">
        <w:rPr>
          <w:rFonts w:ascii="Times New Roman" w:hAnsi="Times New Roman"/>
        </w:rPr>
        <w:t>d</w:t>
      </w:r>
      <w:r w:rsidR="007F69D0">
        <w:rPr>
          <w:rFonts w:ascii="Times New Roman" w:hAnsi="Times New Roman"/>
        </w:rPr>
        <w:t xml:space="preserve"> </w:t>
      </w:r>
      <w:r w:rsidR="005570A5">
        <w:rPr>
          <w:rFonts w:ascii="Times New Roman" w:hAnsi="Times New Roman"/>
        </w:rPr>
        <w:t xml:space="preserve">the </w:t>
      </w:r>
      <w:r w:rsidR="00F31EFB">
        <w:rPr>
          <w:rFonts w:ascii="Times New Roman" w:hAnsi="Times New Roman"/>
        </w:rPr>
        <w:t>usefulness and</w:t>
      </w:r>
      <w:r w:rsidR="005570A5">
        <w:rPr>
          <w:rFonts w:ascii="Times New Roman" w:hAnsi="Times New Roman"/>
        </w:rPr>
        <w:t xml:space="preserve"> necessity of the information collected under part 40 </w:t>
      </w:r>
      <w:r w:rsidR="004B34B9">
        <w:rPr>
          <w:rFonts w:ascii="Times New Roman" w:hAnsi="Times New Roman"/>
        </w:rPr>
        <w:t xml:space="preserve">of the Commission’s </w:t>
      </w:r>
      <w:r w:rsidR="005570A5">
        <w:rPr>
          <w:rFonts w:ascii="Times New Roman" w:hAnsi="Times New Roman"/>
        </w:rPr>
        <w:t xml:space="preserve">regulations. </w:t>
      </w:r>
      <w:r w:rsidR="00F31EFB">
        <w:rPr>
          <w:rFonts w:ascii="Times New Roman" w:hAnsi="Times New Roman"/>
        </w:rPr>
        <w:t xml:space="preserve">However, both </w:t>
      </w:r>
      <w:r w:rsidR="00CE1D7C">
        <w:rPr>
          <w:rFonts w:ascii="Times New Roman" w:hAnsi="Times New Roman"/>
        </w:rPr>
        <w:t>commenters stated that</w:t>
      </w:r>
      <w:r w:rsidR="00F31EFB">
        <w:rPr>
          <w:rFonts w:ascii="Times New Roman" w:hAnsi="Times New Roman"/>
        </w:rPr>
        <w:t xml:space="preserve"> the Commission’s estimate of the proposed collection of information burden on </w:t>
      </w:r>
      <w:r w:rsidR="007F69D0">
        <w:rPr>
          <w:rFonts w:ascii="Times New Roman" w:hAnsi="Times New Roman"/>
        </w:rPr>
        <w:t xml:space="preserve">the </w:t>
      </w:r>
      <w:r w:rsidR="00F31EFB">
        <w:rPr>
          <w:rFonts w:ascii="Times New Roman" w:hAnsi="Times New Roman"/>
        </w:rPr>
        <w:t>exchanges is understated.</w:t>
      </w:r>
      <w:r w:rsidR="007F69D0">
        <w:rPr>
          <w:rFonts w:ascii="Times New Roman" w:hAnsi="Times New Roman"/>
        </w:rPr>
        <w:t xml:space="preserve"> </w:t>
      </w:r>
      <w:r w:rsidR="003860DE">
        <w:rPr>
          <w:rFonts w:ascii="Times New Roman" w:hAnsi="Times New Roman"/>
        </w:rPr>
        <w:t xml:space="preserve">CME Group </w:t>
      </w:r>
      <w:r w:rsidR="001417D0">
        <w:rPr>
          <w:rFonts w:ascii="Times New Roman" w:hAnsi="Times New Roman"/>
        </w:rPr>
        <w:t>commented</w:t>
      </w:r>
      <w:r w:rsidR="003860DE">
        <w:rPr>
          <w:rFonts w:ascii="Times New Roman" w:hAnsi="Times New Roman"/>
        </w:rPr>
        <w:t xml:space="preserve"> that the Commission’s estimates </w:t>
      </w:r>
      <w:r w:rsidR="006B1BD7">
        <w:rPr>
          <w:rFonts w:ascii="Times New Roman" w:hAnsi="Times New Roman"/>
        </w:rPr>
        <w:t>do</w:t>
      </w:r>
      <w:r>
        <w:rPr>
          <w:rFonts w:ascii="Times New Roman" w:hAnsi="Times New Roman"/>
        </w:rPr>
        <w:t xml:space="preserve"> not represent the time, </w:t>
      </w:r>
      <w:r w:rsidR="004B12D3">
        <w:rPr>
          <w:rFonts w:ascii="Times New Roman" w:hAnsi="Times New Roman"/>
        </w:rPr>
        <w:t>resources, and</w:t>
      </w:r>
      <w:r>
        <w:rPr>
          <w:rFonts w:ascii="Times New Roman" w:hAnsi="Times New Roman"/>
        </w:rPr>
        <w:t xml:space="preserve"> efforts required to prepare, finalize, and submit each rule filing. </w:t>
      </w:r>
      <w:r w:rsidR="00F31EFB">
        <w:rPr>
          <w:rFonts w:ascii="Times New Roman" w:hAnsi="Times New Roman"/>
        </w:rPr>
        <w:t>In addition, both exchanges</w:t>
      </w:r>
      <w:r w:rsidR="006B1BD7">
        <w:rPr>
          <w:rFonts w:ascii="Times New Roman" w:hAnsi="Times New Roman"/>
        </w:rPr>
        <w:t xml:space="preserve"> </w:t>
      </w:r>
      <w:r w:rsidR="00F31EFB">
        <w:rPr>
          <w:rFonts w:ascii="Times New Roman" w:hAnsi="Times New Roman"/>
        </w:rPr>
        <w:t xml:space="preserve">commented </w:t>
      </w:r>
      <w:r w:rsidR="006B1BD7">
        <w:rPr>
          <w:rFonts w:ascii="Times New Roman" w:hAnsi="Times New Roman"/>
        </w:rPr>
        <w:t xml:space="preserve">that the Commission did not indicate the methodology by which </w:t>
      </w:r>
      <w:r w:rsidR="00994495">
        <w:rPr>
          <w:rFonts w:ascii="Times New Roman" w:hAnsi="Times New Roman"/>
        </w:rPr>
        <w:t>their estimates were derived.</w:t>
      </w:r>
      <w:r w:rsidR="00F31EFB">
        <w:rPr>
          <w:rFonts w:ascii="Times New Roman" w:hAnsi="Times New Roman"/>
        </w:rPr>
        <w:t xml:space="preserve"> </w:t>
      </w:r>
      <w:r w:rsidR="007F69D0">
        <w:rPr>
          <w:rFonts w:ascii="Times New Roman" w:hAnsi="Times New Roman"/>
        </w:rPr>
        <w:t xml:space="preserve"> </w:t>
      </w:r>
    </w:p>
    <w:p w:rsidR="00CE1D7C" w:rsidRDefault="00CE1D7C" w:rsidP="00C05C3F">
      <w:pPr>
        <w:tabs>
          <w:tab w:val="left" w:pos="-720"/>
        </w:tabs>
        <w:suppressAutoHyphens/>
        <w:rPr>
          <w:rFonts w:ascii="Times New Roman" w:hAnsi="Times New Roman"/>
        </w:rPr>
      </w:pPr>
    </w:p>
    <w:p w:rsidR="0060490D" w:rsidRDefault="00227EAA" w:rsidP="00C05C3F">
      <w:pPr>
        <w:tabs>
          <w:tab w:val="left" w:pos="-720"/>
        </w:tabs>
        <w:suppressAutoHyphens/>
        <w:rPr>
          <w:rFonts w:ascii="Times New Roman" w:hAnsi="Times New Roman"/>
        </w:rPr>
      </w:pPr>
      <w:r>
        <w:rPr>
          <w:rFonts w:ascii="Times New Roman" w:hAnsi="Times New Roman"/>
        </w:rPr>
        <w:tab/>
      </w:r>
      <w:r w:rsidR="00F31EFB">
        <w:rPr>
          <w:rFonts w:ascii="Times New Roman" w:hAnsi="Times New Roman"/>
        </w:rPr>
        <w:t xml:space="preserve">Finally, </w:t>
      </w:r>
      <w:r w:rsidR="004B34B9">
        <w:rPr>
          <w:rFonts w:ascii="Times New Roman" w:hAnsi="Times New Roman"/>
        </w:rPr>
        <w:t xml:space="preserve">in order to lessen their burdens, </w:t>
      </w:r>
      <w:r w:rsidR="00F31EFB">
        <w:rPr>
          <w:rFonts w:ascii="Times New Roman" w:hAnsi="Times New Roman"/>
        </w:rPr>
        <w:t xml:space="preserve">both exchanges </w:t>
      </w:r>
      <w:r w:rsidR="00CE1D7C">
        <w:rPr>
          <w:rFonts w:ascii="Times New Roman" w:hAnsi="Times New Roman"/>
        </w:rPr>
        <w:t xml:space="preserve">made suggestions for </w:t>
      </w:r>
      <w:r w:rsidR="00F31EFB">
        <w:rPr>
          <w:rFonts w:ascii="Times New Roman" w:hAnsi="Times New Roman"/>
        </w:rPr>
        <w:t>changes to the rule certification process</w:t>
      </w:r>
      <w:r w:rsidR="00994495">
        <w:rPr>
          <w:rFonts w:ascii="Times New Roman" w:hAnsi="Times New Roman"/>
        </w:rPr>
        <w:t xml:space="preserve">  </w:t>
      </w:r>
      <w:r w:rsidR="00743FE9">
        <w:rPr>
          <w:rFonts w:ascii="Times New Roman" w:hAnsi="Times New Roman"/>
        </w:rPr>
        <w:t>The Commission acknowledges</w:t>
      </w:r>
      <w:r w:rsidR="004B34B9">
        <w:rPr>
          <w:rFonts w:ascii="Times New Roman" w:hAnsi="Times New Roman"/>
        </w:rPr>
        <w:t xml:space="preserve"> the concerns raised</w:t>
      </w:r>
      <w:r w:rsidR="002634DB">
        <w:rPr>
          <w:rFonts w:ascii="Times New Roman" w:hAnsi="Times New Roman"/>
        </w:rPr>
        <w:t xml:space="preserve"> by commenters</w:t>
      </w:r>
      <w:r w:rsidR="004B34B9">
        <w:rPr>
          <w:rFonts w:ascii="Times New Roman" w:hAnsi="Times New Roman"/>
        </w:rPr>
        <w:t>, particularly</w:t>
      </w:r>
      <w:r w:rsidR="00743FE9">
        <w:rPr>
          <w:rFonts w:ascii="Times New Roman" w:hAnsi="Times New Roman"/>
        </w:rPr>
        <w:t xml:space="preserve"> the </w:t>
      </w:r>
      <w:r w:rsidR="0060490D">
        <w:rPr>
          <w:rFonts w:ascii="Times New Roman" w:hAnsi="Times New Roman"/>
        </w:rPr>
        <w:t>operationally burdensome aspects of the rule filing and submission process for new products, rules, and rule amendments</w:t>
      </w:r>
      <w:r w:rsidR="002634DB">
        <w:rPr>
          <w:rFonts w:ascii="Times New Roman" w:hAnsi="Times New Roman"/>
        </w:rPr>
        <w:t xml:space="preserve">. </w:t>
      </w:r>
      <w:r w:rsidR="0060490D">
        <w:rPr>
          <w:rFonts w:ascii="Times New Roman" w:hAnsi="Times New Roman"/>
        </w:rPr>
        <w:t xml:space="preserve"> </w:t>
      </w:r>
      <w:r w:rsidR="004B34B9">
        <w:rPr>
          <w:rFonts w:ascii="Times New Roman" w:hAnsi="Times New Roman"/>
        </w:rPr>
        <w:t>The</w:t>
      </w:r>
      <w:r w:rsidR="0060490D">
        <w:rPr>
          <w:rFonts w:ascii="Times New Roman" w:hAnsi="Times New Roman"/>
        </w:rPr>
        <w:t xml:space="preserve"> Commission</w:t>
      </w:r>
      <w:r w:rsidR="00F47BAB">
        <w:rPr>
          <w:rFonts w:ascii="Times New Roman" w:hAnsi="Times New Roman"/>
        </w:rPr>
        <w:t xml:space="preserve"> notes that it</w:t>
      </w:r>
      <w:r w:rsidR="0060490D">
        <w:rPr>
          <w:rFonts w:ascii="Times New Roman" w:hAnsi="Times New Roman"/>
        </w:rPr>
        <w:t xml:space="preserve"> is taking the </w:t>
      </w:r>
      <w:r w:rsidR="009D6E96">
        <w:rPr>
          <w:rFonts w:ascii="Times New Roman" w:hAnsi="Times New Roman"/>
        </w:rPr>
        <w:t xml:space="preserve">specific </w:t>
      </w:r>
      <w:r w:rsidR="0060490D">
        <w:rPr>
          <w:rFonts w:ascii="Times New Roman" w:hAnsi="Times New Roman"/>
        </w:rPr>
        <w:t>recommendations made</w:t>
      </w:r>
      <w:r w:rsidR="00CE1D7C">
        <w:rPr>
          <w:rFonts w:ascii="Times New Roman" w:hAnsi="Times New Roman"/>
        </w:rPr>
        <w:t xml:space="preserve"> b</w:t>
      </w:r>
      <w:r w:rsidR="00041996">
        <w:rPr>
          <w:rFonts w:ascii="Times New Roman" w:hAnsi="Times New Roman"/>
        </w:rPr>
        <w:t>y</w:t>
      </w:r>
      <w:r w:rsidR="00CE1D7C">
        <w:rPr>
          <w:rFonts w:ascii="Times New Roman" w:hAnsi="Times New Roman"/>
        </w:rPr>
        <w:t xml:space="preserve"> </w:t>
      </w:r>
      <w:r w:rsidR="00DA66F3">
        <w:rPr>
          <w:rFonts w:ascii="Times New Roman" w:hAnsi="Times New Roman"/>
        </w:rPr>
        <w:t xml:space="preserve">the </w:t>
      </w:r>
      <w:r w:rsidR="00CE1D7C">
        <w:rPr>
          <w:rFonts w:ascii="Times New Roman" w:hAnsi="Times New Roman"/>
        </w:rPr>
        <w:t>commenters</w:t>
      </w:r>
      <w:r w:rsidR="0060490D">
        <w:rPr>
          <w:rFonts w:ascii="Times New Roman" w:hAnsi="Times New Roman"/>
        </w:rPr>
        <w:t xml:space="preserve"> under advisement.  </w:t>
      </w:r>
    </w:p>
    <w:p w:rsidR="0060490D" w:rsidRDefault="0060490D" w:rsidP="00C05C3F">
      <w:pPr>
        <w:tabs>
          <w:tab w:val="left" w:pos="-720"/>
        </w:tabs>
        <w:suppressAutoHyphens/>
        <w:rPr>
          <w:rFonts w:ascii="Times New Roman" w:hAnsi="Times New Roman"/>
        </w:rPr>
      </w:pPr>
    </w:p>
    <w:p w:rsidR="007141E8" w:rsidRDefault="00F31EFB" w:rsidP="00C05C3F">
      <w:pPr>
        <w:tabs>
          <w:tab w:val="left" w:pos="-720"/>
        </w:tabs>
        <w:suppressAutoHyphens/>
        <w:rPr>
          <w:rFonts w:ascii="Times New Roman" w:hAnsi="Times New Roman"/>
        </w:rPr>
      </w:pPr>
      <w:r>
        <w:rPr>
          <w:rFonts w:ascii="Times New Roman" w:hAnsi="Times New Roman"/>
        </w:rPr>
        <w:tab/>
        <w:t>As to the</w:t>
      </w:r>
      <w:r w:rsidR="00411C02">
        <w:rPr>
          <w:rFonts w:ascii="Times New Roman" w:hAnsi="Times New Roman"/>
        </w:rPr>
        <w:t>ir estimate of</w:t>
      </w:r>
      <w:r>
        <w:rPr>
          <w:rFonts w:ascii="Times New Roman" w:hAnsi="Times New Roman"/>
        </w:rPr>
        <w:t xml:space="preserve"> burden, </w:t>
      </w:r>
      <w:r w:rsidR="002634DB">
        <w:rPr>
          <w:rFonts w:ascii="Times New Roman" w:hAnsi="Times New Roman"/>
        </w:rPr>
        <w:t xml:space="preserve">the </w:t>
      </w:r>
      <w:r w:rsidR="004B12D3">
        <w:rPr>
          <w:rFonts w:ascii="Times New Roman" w:hAnsi="Times New Roman"/>
        </w:rPr>
        <w:t>number of rule filings reported</w:t>
      </w:r>
      <w:r w:rsidR="00CE4B1A">
        <w:rPr>
          <w:rFonts w:ascii="Times New Roman" w:hAnsi="Times New Roman"/>
        </w:rPr>
        <w:t xml:space="preserve"> in the comments</w:t>
      </w:r>
      <w:r w:rsidR="004B12D3">
        <w:rPr>
          <w:rFonts w:ascii="Times New Roman" w:hAnsi="Times New Roman"/>
        </w:rPr>
        <w:t xml:space="preserve"> by CME Group and ICE for the year 2017, and with respect to ICE, also for the year 2018, to date, differs</w:t>
      </w:r>
      <w:r w:rsidR="00CE1D7C">
        <w:rPr>
          <w:rFonts w:ascii="Times New Roman" w:hAnsi="Times New Roman"/>
        </w:rPr>
        <w:t xml:space="preserve"> </w:t>
      </w:r>
      <w:r w:rsidR="007942EE">
        <w:rPr>
          <w:rFonts w:ascii="Times New Roman" w:hAnsi="Times New Roman"/>
        </w:rPr>
        <w:t xml:space="preserve">from </w:t>
      </w:r>
      <w:r w:rsidR="00CE1D7C">
        <w:rPr>
          <w:rFonts w:ascii="Times New Roman" w:hAnsi="Times New Roman"/>
        </w:rPr>
        <w:t>the numbers</w:t>
      </w:r>
      <w:r w:rsidR="007942EE">
        <w:rPr>
          <w:rFonts w:ascii="Times New Roman" w:hAnsi="Times New Roman"/>
        </w:rPr>
        <w:t xml:space="preserve"> in the </w:t>
      </w:r>
      <w:r>
        <w:rPr>
          <w:rFonts w:ascii="Times New Roman" w:hAnsi="Times New Roman"/>
        </w:rPr>
        <w:t>Commission</w:t>
      </w:r>
      <w:r w:rsidR="007D0138">
        <w:rPr>
          <w:rFonts w:ascii="Times New Roman" w:hAnsi="Times New Roman"/>
        </w:rPr>
        <w:t>’s database</w:t>
      </w:r>
      <w:r w:rsidR="007942EE">
        <w:rPr>
          <w:rFonts w:ascii="Times New Roman" w:hAnsi="Times New Roman"/>
        </w:rPr>
        <w:t>.</w:t>
      </w:r>
      <w:r w:rsidR="007D0138">
        <w:rPr>
          <w:rFonts w:ascii="Times New Roman" w:hAnsi="Times New Roman"/>
        </w:rPr>
        <w:t xml:space="preserve"> </w:t>
      </w:r>
      <w:r>
        <w:rPr>
          <w:rFonts w:ascii="Times New Roman" w:hAnsi="Times New Roman"/>
        </w:rPr>
        <w:t xml:space="preserve">CME states that in 2017, it submitted 1080 </w:t>
      </w:r>
      <w:r w:rsidR="00513D9E">
        <w:rPr>
          <w:rFonts w:ascii="Times New Roman" w:hAnsi="Times New Roman"/>
        </w:rPr>
        <w:t xml:space="preserve">product and </w:t>
      </w:r>
      <w:r>
        <w:rPr>
          <w:rFonts w:ascii="Times New Roman" w:hAnsi="Times New Roman"/>
        </w:rPr>
        <w:t>rule filings</w:t>
      </w:r>
      <w:r w:rsidR="007D0138">
        <w:rPr>
          <w:rFonts w:ascii="Times New Roman" w:hAnsi="Times New Roman"/>
        </w:rPr>
        <w:t xml:space="preserve">. The Commission’s database shows </w:t>
      </w:r>
      <w:r w:rsidR="0077280B">
        <w:rPr>
          <w:rFonts w:ascii="Times New Roman" w:hAnsi="Times New Roman"/>
        </w:rPr>
        <w:t>that</w:t>
      </w:r>
      <w:r w:rsidR="007942EE">
        <w:rPr>
          <w:rFonts w:ascii="Times New Roman" w:hAnsi="Times New Roman"/>
        </w:rPr>
        <w:t xml:space="preserve"> in 2017, CME submitted</w:t>
      </w:r>
      <w:r w:rsidR="00F5061A">
        <w:rPr>
          <w:rFonts w:ascii="Times New Roman" w:hAnsi="Times New Roman"/>
        </w:rPr>
        <w:t xml:space="preserve"> </w:t>
      </w:r>
      <w:r w:rsidR="007D0138">
        <w:rPr>
          <w:rFonts w:ascii="Times New Roman" w:hAnsi="Times New Roman"/>
        </w:rPr>
        <w:t xml:space="preserve">568 </w:t>
      </w:r>
      <w:r w:rsidR="00F5061A">
        <w:rPr>
          <w:rFonts w:ascii="Times New Roman" w:hAnsi="Times New Roman"/>
        </w:rPr>
        <w:t xml:space="preserve">product and rule </w:t>
      </w:r>
      <w:r w:rsidR="007D0138">
        <w:rPr>
          <w:rFonts w:ascii="Times New Roman" w:hAnsi="Times New Roman"/>
        </w:rPr>
        <w:t>filings</w:t>
      </w:r>
      <w:r w:rsidR="007942EE">
        <w:rPr>
          <w:rFonts w:ascii="Times New Roman" w:hAnsi="Times New Roman"/>
        </w:rPr>
        <w:t>.</w:t>
      </w:r>
      <w:r w:rsidR="007D0138">
        <w:rPr>
          <w:rFonts w:ascii="Times New Roman" w:hAnsi="Times New Roman"/>
        </w:rPr>
        <w:t xml:space="preserve"> </w:t>
      </w:r>
      <w:r w:rsidR="00CE1D7C">
        <w:rPr>
          <w:rFonts w:ascii="Times New Roman" w:hAnsi="Times New Roman"/>
        </w:rPr>
        <w:t>CME Group</w:t>
      </w:r>
      <w:r w:rsidR="00F47BAB">
        <w:rPr>
          <w:rFonts w:ascii="Times New Roman" w:hAnsi="Times New Roman"/>
        </w:rPr>
        <w:t xml:space="preserve"> subsequently</w:t>
      </w:r>
      <w:r w:rsidR="00CE1D7C">
        <w:rPr>
          <w:rFonts w:ascii="Times New Roman" w:hAnsi="Times New Roman"/>
        </w:rPr>
        <w:t xml:space="preserve"> clarified this </w:t>
      </w:r>
      <w:r w:rsidR="007942EE">
        <w:rPr>
          <w:rFonts w:ascii="Times New Roman" w:hAnsi="Times New Roman"/>
        </w:rPr>
        <w:t xml:space="preserve">discrepancy to Commission staff by noting </w:t>
      </w:r>
      <w:r w:rsidR="00815CD7">
        <w:rPr>
          <w:rFonts w:ascii="Times New Roman" w:hAnsi="Times New Roman"/>
        </w:rPr>
        <w:t xml:space="preserve">that </w:t>
      </w:r>
      <w:r w:rsidR="00F47BAB">
        <w:rPr>
          <w:rFonts w:ascii="Times New Roman" w:hAnsi="Times New Roman"/>
        </w:rPr>
        <w:t>each request for confidential treatment that accompanies a rule submission is treated</w:t>
      </w:r>
      <w:r w:rsidR="00927A63">
        <w:rPr>
          <w:rFonts w:ascii="Times New Roman" w:hAnsi="Times New Roman"/>
        </w:rPr>
        <w:t xml:space="preserve"> in CME Group’s calculation</w:t>
      </w:r>
      <w:r w:rsidR="00F47BAB">
        <w:rPr>
          <w:rFonts w:ascii="Times New Roman" w:hAnsi="Times New Roman"/>
        </w:rPr>
        <w:t xml:space="preserve"> as a separate </w:t>
      </w:r>
      <w:r w:rsidR="00815CD7">
        <w:rPr>
          <w:rFonts w:ascii="Times New Roman" w:hAnsi="Times New Roman"/>
        </w:rPr>
        <w:t>filing</w:t>
      </w:r>
      <w:r w:rsidR="00927A63">
        <w:rPr>
          <w:rFonts w:ascii="Times New Roman" w:hAnsi="Times New Roman"/>
        </w:rPr>
        <w:t>.</w:t>
      </w:r>
      <w:r w:rsidR="007942EE">
        <w:rPr>
          <w:rFonts w:ascii="Times New Roman" w:hAnsi="Times New Roman"/>
        </w:rPr>
        <w:t xml:space="preserve"> </w:t>
      </w:r>
      <w:r w:rsidR="00F47BAB">
        <w:rPr>
          <w:rFonts w:ascii="Times New Roman" w:hAnsi="Times New Roman"/>
        </w:rPr>
        <w:t>In contrast, the</w:t>
      </w:r>
      <w:r w:rsidR="007D0138">
        <w:rPr>
          <w:rFonts w:ascii="Times New Roman" w:hAnsi="Times New Roman"/>
        </w:rPr>
        <w:t xml:space="preserve"> </w:t>
      </w:r>
      <w:r w:rsidR="0077280B">
        <w:rPr>
          <w:rFonts w:ascii="Times New Roman" w:hAnsi="Times New Roman"/>
        </w:rPr>
        <w:t>Commission</w:t>
      </w:r>
      <w:r w:rsidR="00F47BAB">
        <w:rPr>
          <w:rFonts w:ascii="Times New Roman" w:hAnsi="Times New Roman"/>
        </w:rPr>
        <w:t>’s system</w:t>
      </w:r>
      <w:r w:rsidR="00F5061A">
        <w:rPr>
          <w:rFonts w:ascii="Times New Roman" w:hAnsi="Times New Roman"/>
        </w:rPr>
        <w:t xml:space="preserve"> </w:t>
      </w:r>
      <w:r w:rsidR="007942EE">
        <w:rPr>
          <w:rFonts w:ascii="Times New Roman" w:hAnsi="Times New Roman"/>
        </w:rPr>
        <w:t>d</w:t>
      </w:r>
      <w:r w:rsidR="0077280B">
        <w:rPr>
          <w:rFonts w:ascii="Times New Roman" w:hAnsi="Times New Roman"/>
        </w:rPr>
        <w:t xml:space="preserve">oes </w:t>
      </w:r>
      <w:r w:rsidR="004C79B7">
        <w:rPr>
          <w:rFonts w:ascii="Times New Roman" w:hAnsi="Times New Roman"/>
        </w:rPr>
        <w:t xml:space="preserve">not treat </w:t>
      </w:r>
      <w:r w:rsidR="007942EE">
        <w:rPr>
          <w:rFonts w:ascii="Times New Roman" w:hAnsi="Times New Roman"/>
        </w:rPr>
        <w:t>the requests for confidential treatment</w:t>
      </w:r>
      <w:r w:rsidR="00F47BAB">
        <w:rPr>
          <w:rFonts w:ascii="Times New Roman" w:hAnsi="Times New Roman"/>
        </w:rPr>
        <w:t xml:space="preserve"> as separate</w:t>
      </w:r>
      <w:r w:rsidR="00927A63">
        <w:rPr>
          <w:rFonts w:ascii="Times New Roman" w:hAnsi="Times New Roman"/>
        </w:rPr>
        <w:t xml:space="preserve"> rule</w:t>
      </w:r>
      <w:r w:rsidR="00F47BAB">
        <w:rPr>
          <w:rFonts w:ascii="Times New Roman" w:hAnsi="Times New Roman"/>
        </w:rPr>
        <w:t xml:space="preserve"> filing</w:t>
      </w:r>
      <w:r w:rsidR="00927A63">
        <w:rPr>
          <w:rFonts w:ascii="Times New Roman" w:hAnsi="Times New Roman"/>
        </w:rPr>
        <w:t>s</w:t>
      </w:r>
      <w:r w:rsidR="0077280B">
        <w:rPr>
          <w:rFonts w:ascii="Times New Roman" w:hAnsi="Times New Roman"/>
        </w:rPr>
        <w:t xml:space="preserve">. </w:t>
      </w:r>
      <w:r w:rsidR="004C79B7">
        <w:rPr>
          <w:rFonts w:ascii="Times New Roman" w:hAnsi="Times New Roman"/>
        </w:rPr>
        <w:t>Because</w:t>
      </w:r>
      <w:r w:rsidR="007942EE">
        <w:rPr>
          <w:rFonts w:ascii="Times New Roman" w:hAnsi="Times New Roman"/>
        </w:rPr>
        <w:t xml:space="preserve"> </w:t>
      </w:r>
      <w:r w:rsidR="004C79B7">
        <w:rPr>
          <w:rFonts w:ascii="Times New Roman" w:hAnsi="Times New Roman"/>
        </w:rPr>
        <w:t>the</w:t>
      </w:r>
      <w:r w:rsidR="007942EE">
        <w:rPr>
          <w:rFonts w:ascii="Times New Roman" w:hAnsi="Times New Roman"/>
        </w:rPr>
        <w:t xml:space="preserve"> </w:t>
      </w:r>
      <w:r w:rsidR="0077280B">
        <w:rPr>
          <w:rFonts w:ascii="Times New Roman" w:hAnsi="Times New Roman"/>
        </w:rPr>
        <w:t xml:space="preserve">requests </w:t>
      </w:r>
      <w:r w:rsidR="007942EE">
        <w:rPr>
          <w:rFonts w:ascii="Times New Roman" w:hAnsi="Times New Roman"/>
        </w:rPr>
        <w:t xml:space="preserve">for confidential treatment accompany </w:t>
      </w:r>
      <w:r w:rsidR="0077280B">
        <w:rPr>
          <w:rFonts w:ascii="Times New Roman" w:hAnsi="Times New Roman"/>
        </w:rPr>
        <w:t xml:space="preserve">most </w:t>
      </w:r>
      <w:r w:rsidR="004C79B7">
        <w:rPr>
          <w:rFonts w:ascii="Times New Roman" w:hAnsi="Times New Roman"/>
        </w:rPr>
        <w:t xml:space="preserve">of the CME Group </w:t>
      </w:r>
      <w:r w:rsidR="0077280B">
        <w:rPr>
          <w:rFonts w:ascii="Times New Roman" w:hAnsi="Times New Roman"/>
        </w:rPr>
        <w:t xml:space="preserve">filings, </w:t>
      </w:r>
      <w:r w:rsidR="004C79B7">
        <w:rPr>
          <w:rFonts w:ascii="Times New Roman" w:hAnsi="Times New Roman"/>
        </w:rPr>
        <w:t xml:space="preserve">the inclusion of </w:t>
      </w:r>
      <w:r w:rsidR="00F47BAB">
        <w:rPr>
          <w:rFonts w:ascii="Times New Roman" w:hAnsi="Times New Roman"/>
        </w:rPr>
        <w:t xml:space="preserve">these </w:t>
      </w:r>
      <w:r w:rsidR="004C79B7">
        <w:rPr>
          <w:rFonts w:ascii="Times New Roman" w:hAnsi="Times New Roman"/>
        </w:rPr>
        <w:t xml:space="preserve">requests </w:t>
      </w:r>
      <w:r w:rsidR="00F47BAB">
        <w:rPr>
          <w:rFonts w:ascii="Times New Roman" w:hAnsi="Times New Roman"/>
        </w:rPr>
        <w:t xml:space="preserve">in its </w:t>
      </w:r>
      <w:r w:rsidR="00927A63">
        <w:rPr>
          <w:rFonts w:ascii="Times New Roman" w:hAnsi="Times New Roman"/>
        </w:rPr>
        <w:t xml:space="preserve">filings </w:t>
      </w:r>
      <w:r w:rsidR="00AB3971">
        <w:rPr>
          <w:rFonts w:ascii="Times New Roman" w:hAnsi="Times New Roman"/>
        </w:rPr>
        <w:t>calculation would</w:t>
      </w:r>
      <w:r w:rsidR="00815CD7">
        <w:rPr>
          <w:rFonts w:ascii="Times New Roman" w:hAnsi="Times New Roman"/>
        </w:rPr>
        <w:t xml:space="preserve"> double the amount of filings and</w:t>
      </w:r>
      <w:r w:rsidR="00AB3971">
        <w:rPr>
          <w:rFonts w:ascii="Times New Roman" w:hAnsi="Times New Roman"/>
        </w:rPr>
        <w:t>,</w:t>
      </w:r>
      <w:r w:rsidR="00815CD7">
        <w:rPr>
          <w:rFonts w:ascii="Times New Roman" w:hAnsi="Times New Roman"/>
        </w:rPr>
        <w:t xml:space="preserve"> thus</w:t>
      </w:r>
      <w:r w:rsidR="00AB3971">
        <w:rPr>
          <w:rFonts w:ascii="Times New Roman" w:hAnsi="Times New Roman"/>
        </w:rPr>
        <w:t>, would</w:t>
      </w:r>
      <w:r w:rsidR="00F5061A">
        <w:rPr>
          <w:rFonts w:ascii="Times New Roman" w:hAnsi="Times New Roman"/>
        </w:rPr>
        <w:t xml:space="preserve"> </w:t>
      </w:r>
      <w:r w:rsidR="00F4338A">
        <w:rPr>
          <w:rFonts w:ascii="Times New Roman" w:hAnsi="Times New Roman"/>
        </w:rPr>
        <w:t xml:space="preserve">likely </w:t>
      </w:r>
      <w:r w:rsidR="0077280B">
        <w:rPr>
          <w:rFonts w:ascii="Times New Roman" w:hAnsi="Times New Roman"/>
        </w:rPr>
        <w:t>account for the</w:t>
      </w:r>
      <w:r w:rsidR="007141E8">
        <w:rPr>
          <w:rFonts w:ascii="Times New Roman" w:hAnsi="Times New Roman"/>
        </w:rPr>
        <w:t xml:space="preserve"> data</w:t>
      </w:r>
      <w:r w:rsidR="0077280B">
        <w:rPr>
          <w:rFonts w:ascii="Times New Roman" w:hAnsi="Times New Roman"/>
        </w:rPr>
        <w:t xml:space="preserve"> difference</w:t>
      </w:r>
      <w:r w:rsidR="007141E8">
        <w:rPr>
          <w:rFonts w:ascii="Times New Roman" w:hAnsi="Times New Roman"/>
        </w:rPr>
        <w:t xml:space="preserve"> between the Commission’s database and the number </w:t>
      </w:r>
      <w:r w:rsidR="00AB3971">
        <w:rPr>
          <w:rFonts w:ascii="Times New Roman" w:hAnsi="Times New Roman"/>
        </w:rPr>
        <w:t xml:space="preserve">provided </w:t>
      </w:r>
      <w:r w:rsidR="007141E8">
        <w:rPr>
          <w:rFonts w:ascii="Times New Roman" w:hAnsi="Times New Roman"/>
        </w:rPr>
        <w:t>by</w:t>
      </w:r>
      <w:r w:rsidR="0077280B">
        <w:rPr>
          <w:rFonts w:ascii="Times New Roman" w:hAnsi="Times New Roman"/>
        </w:rPr>
        <w:t xml:space="preserve"> CME Group. </w:t>
      </w:r>
    </w:p>
    <w:p w:rsidR="007141E8" w:rsidRDefault="007141E8" w:rsidP="00C05C3F">
      <w:pPr>
        <w:tabs>
          <w:tab w:val="left" w:pos="-720"/>
        </w:tabs>
        <w:suppressAutoHyphens/>
        <w:rPr>
          <w:rFonts w:ascii="Times New Roman" w:hAnsi="Times New Roman"/>
        </w:rPr>
      </w:pPr>
    </w:p>
    <w:p w:rsidR="00815CD7" w:rsidRDefault="007141E8" w:rsidP="00C05C3F">
      <w:pPr>
        <w:tabs>
          <w:tab w:val="left" w:pos="-720"/>
        </w:tabs>
        <w:suppressAutoHyphens/>
        <w:rPr>
          <w:rFonts w:ascii="Times New Roman" w:hAnsi="Times New Roman"/>
        </w:rPr>
      </w:pPr>
      <w:r>
        <w:rPr>
          <w:rFonts w:ascii="Times New Roman" w:hAnsi="Times New Roman"/>
        </w:rPr>
        <w:tab/>
      </w:r>
      <w:r w:rsidR="0077280B">
        <w:rPr>
          <w:rFonts w:ascii="Times New Roman" w:hAnsi="Times New Roman"/>
        </w:rPr>
        <w:t xml:space="preserve">ICE reported 266 </w:t>
      </w:r>
      <w:r w:rsidR="00654294">
        <w:rPr>
          <w:rFonts w:ascii="Times New Roman" w:hAnsi="Times New Roman"/>
        </w:rPr>
        <w:t xml:space="preserve">product and rule </w:t>
      </w:r>
      <w:r w:rsidR="0077280B">
        <w:rPr>
          <w:rFonts w:ascii="Times New Roman" w:hAnsi="Times New Roman"/>
        </w:rPr>
        <w:t>filings in 2017</w:t>
      </w:r>
      <w:r w:rsidR="004C79B7">
        <w:rPr>
          <w:rFonts w:ascii="Times New Roman" w:hAnsi="Times New Roman"/>
        </w:rPr>
        <w:t>,</w:t>
      </w:r>
      <w:r w:rsidR="0077280B">
        <w:rPr>
          <w:rFonts w:ascii="Times New Roman" w:hAnsi="Times New Roman"/>
        </w:rPr>
        <w:t xml:space="preserve"> while the Commission’s database </w:t>
      </w:r>
      <w:r w:rsidR="004C79B7">
        <w:rPr>
          <w:rFonts w:ascii="Times New Roman" w:hAnsi="Times New Roman"/>
        </w:rPr>
        <w:t xml:space="preserve">shows </w:t>
      </w:r>
      <w:r w:rsidR="0077280B">
        <w:rPr>
          <w:rFonts w:ascii="Times New Roman" w:hAnsi="Times New Roman"/>
        </w:rPr>
        <w:t xml:space="preserve">179 filings for </w:t>
      </w:r>
      <w:r w:rsidR="00815CD7">
        <w:rPr>
          <w:rFonts w:ascii="Times New Roman" w:hAnsi="Times New Roman"/>
        </w:rPr>
        <w:t>that year</w:t>
      </w:r>
      <w:r w:rsidR="0077280B">
        <w:rPr>
          <w:rFonts w:ascii="Times New Roman" w:hAnsi="Times New Roman"/>
        </w:rPr>
        <w:t>. ICE reported that</w:t>
      </w:r>
      <w:r w:rsidR="004C79B7">
        <w:rPr>
          <w:rFonts w:ascii="Times New Roman" w:hAnsi="Times New Roman"/>
        </w:rPr>
        <w:t>, to date,</w:t>
      </w:r>
      <w:r w:rsidR="0077280B">
        <w:rPr>
          <w:rFonts w:ascii="Times New Roman" w:hAnsi="Times New Roman"/>
        </w:rPr>
        <w:t xml:space="preserve"> 380 </w:t>
      </w:r>
      <w:r w:rsidR="00513D9E">
        <w:rPr>
          <w:rFonts w:ascii="Times New Roman" w:hAnsi="Times New Roman"/>
        </w:rPr>
        <w:t xml:space="preserve">product and rule </w:t>
      </w:r>
      <w:r w:rsidR="0077280B">
        <w:rPr>
          <w:rFonts w:ascii="Times New Roman" w:hAnsi="Times New Roman"/>
        </w:rPr>
        <w:t>f</w:t>
      </w:r>
      <w:r w:rsidR="00654294">
        <w:rPr>
          <w:rFonts w:ascii="Times New Roman" w:hAnsi="Times New Roman"/>
        </w:rPr>
        <w:t>i</w:t>
      </w:r>
      <w:r w:rsidR="0077280B">
        <w:rPr>
          <w:rFonts w:ascii="Times New Roman" w:hAnsi="Times New Roman"/>
        </w:rPr>
        <w:t>lings have been made in 2018</w:t>
      </w:r>
      <w:r w:rsidR="00227EAA">
        <w:rPr>
          <w:rFonts w:ascii="Times New Roman" w:hAnsi="Times New Roman"/>
        </w:rPr>
        <w:t xml:space="preserve">, </w:t>
      </w:r>
      <w:r w:rsidR="00F47BAB">
        <w:rPr>
          <w:rFonts w:ascii="Times New Roman" w:hAnsi="Times New Roman"/>
        </w:rPr>
        <w:t>while</w:t>
      </w:r>
      <w:r>
        <w:rPr>
          <w:rFonts w:ascii="Times New Roman" w:hAnsi="Times New Roman"/>
        </w:rPr>
        <w:t xml:space="preserve"> </w:t>
      </w:r>
      <w:r w:rsidR="0077280B">
        <w:rPr>
          <w:rFonts w:ascii="Times New Roman" w:hAnsi="Times New Roman"/>
        </w:rPr>
        <w:t xml:space="preserve">the Commission’s database indicates </w:t>
      </w:r>
      <w:r>
        <w:rPr>
          <w:rFonts w:ascii="Times New Roman" w:hAnsi="Times New Roman"/>
        </w:rPr>
        <w:t xml:space="preserve">ICE </w:t>
      </w:r>
      <w:r w:rsidR="00082C11">
        <w:rPr>
          <w:rFonts w:ascii="Times New Roman" w:hAnsi="Times New Roman"/>
        </w:rPr>
        <w:t xml:space="preserve">has </w:t>
      </w:r>
      <w:r w:rsidR="00B6782F">
        <w:rPr>
          <w:rFonts w:ascii="Times New Roman" w:hAnsi="Times New Roman"/>
        </w:rPr>
        <w:t xml:space="preserve">made </w:t>
      </w:r>
      <w:r w:rsidR="0077280B">
        <w:rPr>
          <w:rFonts w:ascii="Times New Roman" w:hAnsi="Times New Roman"/>
        </w:rPr>
        <w:t>404</w:t>
      </w:r>
      <w:r>
        <w:rPr>
          <w:rFonts w:ascii="Times New Roman" w:hAnsi="Times New Roman"/>
        </w:rPr>
        <w:t xml:space="preserve"> filings</w:t>
      </w:r>
      <w:r w:rsidR="00F4338A">
        <w:rPr>
          <w:rFonts w:ascii="Times New Roman" w:hAnsi="Times New Roman"/>
        </w:rPr>
        <w:t xml:space="preserve"> so far in 2018</w:t>
      </w:r>
      <w:r w:rsidR="0077280B">
        <w:rPr>
          <w:rFonts w:ascii="Times New Roman" w:hAnsi="Times New Roman"/>
        </w:rPr>
        <w:t xml:space="preserve">. </w:t>
      </w:r>
      <w:r w:rsidR="00F47BAB">
        <w:rPr>
          <w:rFonts w:ascii="Times New Roman" w:hAnsi="Times New Roman"/>
        </w:rPr>
        <w:t>In conversations with ICE, Commission staff believes that t</w:t>
      </w:r>
      <w:r w:rsidR="0077280B">
        <w:rPr>
          <w:rFonts w:ascii="Times New Roman" w:hAnsi="Times New Roman"/>
        </w:rPr>
        <w:t>he</w:t>
      </w:r>
      <w:r w:rsidR="00DA7A5F">
        <w:rPr>
          <w:rFonts w:ascii="Times New Roman" w:hAnsi="Times New Roman"/>
        </w:rPr>
        <w:t xml:space="preserve"> </w:t>
      </w:r>
      <w:r w:rsidR="0077280B">
        <w:rPr>
          <w:rFonts w:ascii="Times New Roman" w:hAnsi="Times New Roman"/>
        </w:rPr>
        <w:t>d</w:t>
      </w:r>
      <w:r w:rsidR="00442F8D">
        <w:rPr>
          <w:rFonts w:ascii="Times New Roman" w:hAnsi="Times New Roman"/>
        </w:rPr>
        <w:t>i</w:t>
      </w:r>
      <w:r w:rsidR="0077280B">
        <w:rPr>
          <w:rFonts w:ascii="Times New Roman" w:hAnsi="Times New Roman"/>
        </w:rPr>
        <w:t xml:space="preserve">screpancies </w:t>
      </w:r>
      <w:r>
        <w:rPr>
          <w:rFonts w:ascii="Times New Roman" w:hAnsi="Times New Roman"/>
        </w:rPr>
        <w:t xml:space="preserve">in numbers between ICE and the Commission </w:t>
      </w:r>
      <w:r w:rsidR="00F47BAB">
        <w:rPr>
          <w:rFonts w:ascii="Times New Roman" w:hAnsi="Times New Roman"/>
        </w:rPr>
        <w:t>could be</w:t>
      </w:r>
      <w:r w:rsidR="00082C11">
        <w:rPr>
          <w:rFonts w:ascii="Times New Roman" w:hAnsi="Times New Roman"/>
        </w:rPr>
        <w:t xml:space="preserve"> </w:t>
      </w:r>
      <w:r w:rsidR="00442F8D" w:rsidRPr="00513D9E">
        <w:rPr>
          <w:rFonts w:ascii="Times New Roman" w:hAnsi="Times New Roman"/>
        </w:rPr>
        <w:t xml:space="preserve">attributable to </w:t>
      </w:r>
      <w:r w:rsidR="00B63A94" w:rsidRPr="00513D9E">
        <w:rPr>
          <w:rFonts w:ascii="Times New Roman" w:hAnsi="Times New Roman"/>
        </w:rPr>
        <w:t>a number of things including</w:t>
      </w:r>
      <w:r w:rsidR="00F4338A" w:rsidRPr="00513D9E">
        <w:rPr>
          <w:rFonts w:ascii="Times New Roman" w:hAnsi="Times New Roman"/>
        </w:rPr>
        <w:t>,</w:t>
      </w:r>
      <w:r w:rsidR="00B63A94" w:rsidRPr="00513D9E">
        <w:rPr>
          <w:rFonts w:ascii="Times New Roman" w:hAnsi="Times New Roman"/>
        </w:rPr>
        <w:t xml:space="preserve"> </w:t>
      </w:r>
      <w:r w:rsidR="00442F8D" w:rsidRPr="00513D9E">
        <w:rPr>
          <w:rFonts w:ascii="Times New Roman" w:hAnsi="Times New Roman"/>
        </w:rPr>
        <w:t xml:space="preserve">differences </w:t>
      </w:r>
      <w:r w:rsidRPr="00513D9E">
        <w:rPr>
          <w:rFonts w:ascii="Times New Roman" w:hAnsi="Times New Roman"/>
        </w:rPr>
        <w:t>in</w:t>
      </w:r>
      <w:r w:rsidR="00442F8D" w:rsidRPr="00513D9E">
        <w:rPr>
          <w:rFonts w:ascii="Times New Roman" w:hAnsi="Times New Roman"/>
        </w:rPr>
        <w:t xml:space="preserve"> what </w:t>
      </w:r>
      <w:r w:rsidRPr="00513D9E">
        <w:rPr>
          <w:rFonts w:ascii="Times New Roman" w:hAnsi="Times New Roman"/>
        </w:rPr>
        <w:t>ICE</w:t>
      </w:r>
      <w:r w:rsidR="00F47BAB" w:rsidRPr="00513D9E">
        <w:rPr>
          <w:rFonts w:ascii="Times New Roman" w:hAnsi="Times New Roman"/>
        </w:rPr>
        <w:t xml:space="preserve"> and the </w:t>
      </w:r>
      <w:r w:rsidR="000E6888" w:rsidRPr="00513D9E">
        <w:rPr>
          <w:rFonts w:ascii="Times New Roman" w:hAnsi="Times New Roman"/>
        </w:rPr>
        <w:t>Commission</w:t>
      </w:r>
      <w:r w:rsidR="00442F8D" w:rsidRPr="00513D9E">
        <w:rPr>
          <w:rFonts w:ascii="Times New Roman" w:hAnsi="Times New Roman"/>
        </w:rPr>
        <w:t xml:space="preserve"> </w:t>
      </w:r>
      <w:r w:rsidR="000E6888" w:rsidRPr="00513D9E">
        <w:rPr>
          <w:rFonts w:ascii="Times New Roman" w:hAnsi="Times New Roman"/>
        </w:rPr>
        <w:t>count as</w:t>
      </w:r>
      <w:r w:rsidR="00442F8D" w:rsidRPr="00513D9E">
        <w:rPr>
          <w:rFonts w:ascii="Times New Roman" w:hAnsi="Times New Roman"/>
        </w:rPr>
        <w:t xml:space="preserve"> </w:t>
      </w:r>
      <w:r w:rsidR="00BA5069" w:rsidRPr="00513D9E">
        <w:rPr>
          <w:rFonts w:ascii="Times New Roman" w:hAnsi="Times New Roman"/>
        </w:rPr>
        <w:t xml:space="preserve">a </w:t>
      </w:r>
      <w:r w:rsidR="00815CD7" w:rsidRPr="00513D9E">
        <w:rPr>
          <w:rFonts w:ascii="Times New Roman" w:hAnsi="Times New Roman"/>
        </w:rPr>
        <w:t>rule filing</w:t>
      </w:r>
      <w:r w:rsidR="00F4338A" w:rsidRPr="00513D9E">
        <w:rPr>
          <w:rFonts w:ascii="Times New Roman" w:hAnsi="Times New Roman"/>
        </w:rPr>
        <w:t>,</w:t>
      </w:r>
      <w:r w:rsidR="00B63A94" w:rsidRPr="00513D9E">
        <w:rPr>
          <w:rFonts w:ascii="Times New Roman" w:hAnsi="Times New Roman"/>
        </w:rPr>
        <w:t xml:space="preserve"> and </w:t>
      </w:r>
      <w:r w:rsidR="004B12D3" w:rsidRPr="00513D9E">
        <w:rPr>
          <w:rFonts w:ascii="Times New Roman" w:hAnsi="Times New Roman"/>
        </w:rPr>
        <w:t xml:space="preserve">the </w:t>
      </w:r>
      <w:r w:rsidR="004B12D3">
        <w:rPr>
          <w:rFonts w:ascii="Times New Roman" w:hAnsi="Times New Roman"/>
        </w:rPr>
        <w:t>result</w:t>
      </w:r>
      <w:r w:rsidR="009F1472">
        <w:rPr>
          <w:rFonts w:ascii="Times New Roman" w:hAnsi="Times New Roman"/>
        </w:rPr>
        <w:t xml:space="preserve"> of differences in the date a filing is deemed submitted, particularly if submitted at</w:t>
      </w:r>
      <w:r w:rsidR="00082C11">
        <w:rPr>
          <w:rFonts w:ascii="Times New Roman" w:hAnsi="Times New Roman"/>
        </w:rPr>
        <w:t xml:space="preserve"> the end or beginning of a calendar year</w:t>
      </w:r>
      <w:r w:rsidR="009F1472">
        <w:rPr>
          <w:rFonts w:ascii="Times New Roman" w:hAnsi="Times New Roman"/>
        </w:rPr>
        <w:t>.</w:t>
      </w:r>
      <w:r>
        <w:rPr>
          <w:rFonts w:ascii="Times New Roman" w:hAnsi="Times New Roman"/>
        </w:rPr>
        <w:tab/>
      </w:r>
    </w:p>
    <w:p w:rsidR="00815CD7" w:rsidRDefault="00815CD7" w:rsidP="00C05C3F">
      <w:pPr>
        <w:tabs>
          <w:tab w:val="left" w:pos="-720"/>
        </w:tabs>
        <w:suppressAutoHyphens/>
        <w:rPr>
          <w:rFonts w:ascii="Times New Roman" w:hAnsi="Times New Roman"/>
        </w:rPr>
      </w:pPr>
    </w:p>
    <w:p w:rsidR="008B3082" w:rsidRDefault="00815CD7" w:rsidP="00C05C3F">
      <w:pPr>
        <w:tabs>
          <w:tab w:val="left" w:pos="-720"/>
        </w:tabs>
        <w:suppressAutoHyphens/>
        <w:rPr>
          <w:rFonts w:ascii="Times New Roman" w:hAnsi="Times New Roman"/>
        </w:rPr>
      </w:pPr>
      <w:r>
        <w:rPr>
          <w:rFonts w:ascii="Times New Roman" w:hAnsi="Times New Roman"/>
        </w:rPr>
        <w:tab/>
        <w:t>Significantly, eve</w:t>
      </w:r>
      <w:r w:rsidR="00AB3971">
        <w:rPr>
          <w:rFonts w:ascii="Times New Roman" w:hAnsi="Times New Roman"/>
        </w:rPr>
        <w:t>n</w:t>
      </w:r>
      <w:r w:rsidR="002634DB">
        <w:rPr>
          <w:rFonts w:ascii="Times New Roman" w:hAnsi="Times New Roman"/>
        </w:rPr>
        <w:t xml:space="preserve"> if </w:t>
      </w:r>
      <w:r w:rsidR="009F1472">
        <w:rPr>
          <w:rFonts w:ascii="Times New Roman" w:hAnsi="Times New Roman"/>
        </w:rPr>
        <w:t>the</w:t>
      </w:r>
      <w:r w:rsidR="004C79B7">
        <w:rPr>
          <w:rFonts w:ascii="Times New Roman" w:hAnsi="Times New Roman"/>
        </w:rPr>
        <w:t xml:space="preserve"> Commission accepts </w:t>
      </w:r>
      <w:r w:rsidR="007141E8">
        <w:rPr>
          <w:rFonts w:ascii="Times New Roman" w:hAnsi="Times New Roman"/>
        </w:rPr>
        <w:t xml:space="preserve">the </w:t>
      </w:r>
      <w:r w:rsidR="00411C02">
        <w:rPr>
          <w:rFonts w:ascii="Times New Roman" w:hAnsi="Times New Roman"/>
        </w:rPr>
        <w:t xml:space="preserve">filing </w:t>
      </w:r>
      <w:r w:rsidR="007141E8">
        <w:rPr>
          <w:rFonts w:ascii="Times New Roman" w:hAnsi="Times New Roman"/>
        </w:rPr>
        <w:t xml:space="preserve">numbers </w:t>
      </w:r>
      <w:r w:rsidR="00411C02">
        <w:rPr>
          <w:rFonts w:ascii="Times New Roman" w:hAnsi="Times New Roman"/>
        </w:rPr>
        <w:t>proffered</w:t>
      </w:r>
      <w:r w:rsidR="007141E8">
        <w:rPr>
          <w:rFonts w:ascii="Times New Roman" w:hAnsi="Times New Roman"/>
        </w:rPr>
        <w:t xml:space="preserve"> by ICE and the CME Group</w:t>
      </w:r>
      <w:r w:rsidR="008B3082">
        <w:rPr>
          <w:rFonts w:ascii="Times New Roman" w:hAnsi="Times New Roman"/>
        </w:rPr>
        <w:t xml:space="preserve">, when </w:t>
      </w:r>
      <w:r w:rsidR="007141E8">
        <w:rPr>
          <w:rFonts w:ascii="Times New Roman" w:hAnsi="Times New Roman"/>
        </w:rPr>
        <w:t>those numbers</w:t>
      </w:r>
      <w:r w:rsidR="004E43DA">
        <w:rPr>
          <w:rFonts w:ascii="Times New Roman" w:hAnsi="Times New Roman"/>
        </w:rPr>
        <w:t xml:space="preserve"> are</w:t>
      </w:r>
      <w:r w:rsidR="007141E8">
        <w:rPr>
          <w:rFonts w:ascii="Times New Roman" w:hAnsi="Times New Roman"/>
        </w:rPr>
        <w:t xml:space="preserve"> </w:t>
      </w:r>
      <w:r w:rsidR="009F1472">
        <w:rPr>
          <w:rFonts w:ascii="Times New Roman" w:hAnsi="Times New Roman"/>
        </w:rPr>
        <w:t>combined</w:t>
      </w:r>
      <w:r w:rsidR="008B3082">
        <w:rPr>
          <w:rFonts w:ascii="Times New Roman" w:hAnsi="Times New Roman"/>
        </w:rPr>
        <w:t xml:space="preserve"> </w:t>
      </w:r>
      <w:r w:rsidR="009F1472">
        <w:rPr>
          <w:rFonts w:ascii="Times New Roman" w:hAnsi="Times New Roman"/>
        </w:rPr>
        <w:t xml:space="preserve">and averaged </w:t>
      </w:r>
      <w:r w:rsidR="008B3082">
        <w:rPr>
          <w:rFonts w:ascii="Times New Roman" w:hAnsi="Times New Roman"/>
        </w:rPr>
        <w:t xml:space="preserve">with the </w:t>
      </w:r>
      <w:r w:rsidR="00411C02">
        <w:rPr>
          <w:rFonts w:ascii="Times New Roman" w:hAnsi="Times New Roman"/>
        </w:rPr>
        <w:t xml:space="preserve">significantly </w:t>
      </w:r>
      <w:r w:rsidR="008B3082">
        <w:rPr>
          <w:rFonts w:ascii="Times New Roman" w:hAnsi="Times New Roman"/>
        </w:rPr>
        <w:t xml:space="preserve">lower number of submissions made by </w:t>
      </w:r>
      <w:r w:rsidR="00AB3971">
        <w:rPr>
          <w:rFonts w:ascii="Times New Roman" w:hAnsi="Times New Roman"/>
        </w:rPr>
        <w:t xml:space="preserve">many of the </w:t>
      </w:r>
      <w:r>
        <w:rPr>
          <w:rFonts w:ascii="Times New Roman" w:hAnsi="Times New Roman"/>
        </w:rPr>
        <w:t xml:space="preserve">other </w:t>
      </w:r>
      <w:r w:rsidR="008B3082">
        <w:rPr>
          <w:rFonts w:ascii="Times New Roman" w:hAnsi="Times New Roman"/>
        </w:rPr>
        <w:t>exchanges</w:t>
      </w:r>
      <w:r w:rsidR="00AB3971">
        <w:rPr>
          <w:rFonts w:ascii="Times New Roman" w:hAnsi="Times New Roman"/>
        </w:rPr>
        <w:t xml:space="preserve"> and registered entities</w:t>
      </w:r>
      <w:r w:rsidR="008B3082">
        <w:rPr>
          <w:rFonts w:ascii="Times New Roman" w:hAnsi="Times New Roman"/>
        </w:rPr>
        <w:t xml:space="preserve">, the </w:t>
      </w:r>
      <w:r w:rsidR="007141E8">
        <w:rPr>
          <w:rFonts w:ascii="Times New Roman" w:hAnsi="Times New Roman"/>
        </w:rPr>
        <w:t xml:space="preserve">proposed average of </w:t>
      </w:r>
      <w:r w:rsidR="008B3082">
        <w:rPr>
          <w:rFonts w:ascii="Times New Roman" w:hAnsi="Times New Roman"/>
        </w:rPr>
        <w:t xml:space="preserve">100 annual </w:t>
      </w:r>
      <w:r w:rsidR="007141E8">
        <w:rPr>
          <w:rFonts w:ascii="Times New Roman" w:hAnsi="Times New Roman"/>
        </w:rPr>
        <w:t xml:space="preserve">filings </w:t>
      </w:r>
      <w:r>
        <w:rPr>
          <w:rFonts w:ascii="Times New Roman" w:hAnsi="Times New Roman"/>
        </w:rPr>
        <w:t xml:space="preserve">per </w:t>
      </w:r>
      <w:r w:rsidR="007141E8">
        <w:rPr>
          <w:rFonts w:ascii="Times New Roman" w:hAnsi="Times New Roman"/>
        </w:rPr>
        <w:t xml:space="preserve">registered </w:t>
      </w:r>
      <w:r w:rsidR="008B3082">
        <w:rPr>
          <w:rFonts w:ascii="Times New Roman" w:hAnsi="Times New Roman"/>
        </w:rPr>
        <w:t>entity</w:t>
      </w:r>
      <w:r w:rsidR="00EC36E4">
        <w:rPr>
          <w:rFonts w:ascii="Times New Roman" w:hAnsi="Times New Roman"/>
        </w:rPr>
        <w:t xml:space="preserve"> </w:t>
      </w:r>
      <w:r w:rsidR="008B3082">
        <w:rPr>
          <w:rFonts w:ascii="Times New Roman" w:hAnsi="Times New Roman"/>
        </w:rPr>
        <w:t>is not unreasonable</w:t>
      </w:r>
      <w:r>
        <w:rPr>
          <w:rFonts w:ascii="Times New Roman" w:hAnsi="Times New Roman"/>
        </w:rPr>
        <w:t>, but rather</w:t>
      </w:r>
      <w:r w:rsidR="008B3082">
        <w:rPr>
          <w:rFonts w:ascii="Times New Roman" w:hAnsi="Times New Roman"/>
        </w:rPr>
        <w:t xml:space="preserve"> a suitable average </w:t>
      </w:r>
      <w:r w:rsidR="00DA7A5F">
        <w:rPr>
          <w:rFonts w:ascii="Times New Roman" w:hAnsi="Times New Roman"/>
        </w:rPr>
        <w:t xml:space="preserve">annual </w:t>
      </w:r>
      <w:r w:rsidR="008B3082">
        <w:rPr>
          <w:rFonts w:ascii="Times New Roman" w:hAnsi="Times New Roman"/>
        </w:rPr>
        <w:t xml:space="preserve">number. </w:t>
      </w:r>
      <w:r w:rsidR="00DA7A5F">
        <w:rPr>
          <w:rFonts w:ascii="Times New Roman" w:hAnsi="Times New Roman"/>
        </w:rPr>
        <w:t xml:space="preserve">For example, </w:t>
      </w:r>
      <w:r w:rsidR="00054A5F">
        <w:rPr>
          <w:rFonts w:ascii="Times New Roman" w:hAnsi="Times New Roman"/>
        </w:rPr>
        <w:t xml:space="preserve">Cantor </w:t>
      </w:r>
      <w:r w:rsidR="003D29E1">
        <w:rPr>
          <w:rFonts w:ascii="Times New Roman" w:hAnsi="Times New Roman"/>
        </w:rPr>
        <w:t xml:space="preserve">Futures </w:t>
      </w:r>
      <w:r w:rsidR="00054A5F">
        <w:rPr>
          <w:rFonts w:ascii="Times New Roman" w:hAnsi="Times New Roman"/>
        </w:rPr>
        <w:t xml:space="preserve">Exchange made 6 product and rule filings in 2017 and has made 4 product and rule filings </w:t>
      </w:r>
      <w:r>
        <w:rPr>
          <w:rFonts w:ascii="Times New Roman" w:hAnsi="Times New Roman"/>
        </w:rPr>
        <w:t xml:space="preserve">thus </w:t>
      </w:r>
      <w:r w:rsidR="00054A5F">
        <w:rPr>
          <w:rFonts w:ascii="Times New Roman" w:hAnsi="Times New Roman"/>
        </w:rPr>
        <w:t xml:space="preserve">far in 2018.  </w:t>
      </w:r>
      <w:r w:rsidR="00A532E6">
        <w:rPr>
          <w:rFonts w:ascii="Times New Roman" w:hAnsi="Times New Roman"/>
        </w:rPr>
        <w:t xml:space="preserve">Eris Exchange, LLC made 6 product and rule filings in 2017 and has made 3 product and rule filings so far in 2018. </w:t>
      </w:r>
      <w:r w:rsidR="002634DB">
        <w:rPr>
          <w:rFonts w:ascii="Times New Roman" w:hAnsi="Times New Roman"/>
        </w:rPr>
        <w:t>The</w:t>
      </w:r>
      <w:r>
        <w:rPr>
          <w:rFonts w:ascii="Times New Roman" w:hAnsi="Times New Roman"/>
        </w:rPr>
        <w:t>se exchanges are among others whose</w:t>
      </w:r>
      <w:r w:rsidR="002634DB">
        <w:rPr>
          <w:rFonts w:ascii="Times New Roman" w:hAnsi="Times New Roman"/>
        </w:rPr>
        <w:t xml:space="preserve"> filings are substantially lower than those submitted by CME Group and ICE</w:t>
      </w:r>
      <w:r w:rsidR="003D29E1">
        <w:rPr>
          <w:rFonts w:ascii="Times New Roman" w:hAnsi="Times New Roman"/>
        </w:rPr>
        <w:t xml:space="preserve"> in 2017</w:t>
      </w:r>
      <w:r w:rsidR="004C79B7">
        <w:rPr>
          <w:rFonts w:ascii="Times New Roman" w:hAnsi="Times New Roman"/>
        </w:rPr>
        <w:t>,</w:t>
      </w:r>
      <w:r w:rsidR="003D29E1">
        <w:rPr>
          <w:rFonts w:ascii="Times New Roman" w:hAnsi="Times New Roman"/>
        </w:rPr>
        <w:t xml:space="preserve"> and 2018</w:t>
      </w:r>
      <w:r w:rsidR="004C79B7">
        <w:rPr>
          <w:rFonts w:ascii="Times New Roman" w:hAnsi="Times New Roman"/>
        </w:rPr>
        <w:t>, to date</w:t>
      </w:r>
      <w:r w:rsidR="0022560D">
        <w:rPr>
          <w:rFonts w:ascii="Times New Roman" w:hAnsi="Times New Roman"/>
        </w:rPr>
        <w:t xml:space="preserve">.  </w:t>
      </w:r>
      <w:r w:rsidR="00513D9E" w:rsidRPr="00513D9E">
        <w:rPr>
          <w:rFonts w:ascii="Times New Roman" w:hAnsi="Times New Roman"/>
        </w:rPr>
        <w:t>Additionally</w:t>
      </w:r>
      <w:r w:rsidR="0022560D" w:rsidRPr="00513D9E">
        <w:rPr>
          <w:rFonts w:ascii="Times New Roman" w:hAnsi="Times New Roman"/>
        </w:rPr>
        <w:t xml:space="preserve">, </w:t>
      </w:r>
      <w:r w:rsidR="00F4338A" w:rsidRPr="00513D9E">
        <w:rPr>
          <w:rFonts w:ascii="Times New Roman" w:hAnsi="Times New Roman"/>
        </w:rPr>
        <w:t xml:space="preserve">other registered entities of the commenters, such as </w:t>
      </w:r>
      <w:r w:rsidR="0022560D" w:rsidRPr="00513D9E">
        <w:rPr>
          <w:rFonts w:ascii="Times New Roman" w:hAnsi="Times New Roman"/>
        </w:rPr>
        <w:t>S</w:t>
      </w:r>
      <w:r w:rsidR="00F4338A" w:rsidRPr="00513D9E">
        <w:rPr>
          <w:rFonts w:ascii="Times New Roman" w:hAnsi="Times New Roman"/>
        </w:rPr>
        <w:t>wap Data Repositories</w:t>
      </w:r>
      <w:r w:rsidR="00513D9E">
        <w:rPr>
          <w:rFonts w:ascii="Times New Roman" w:hAnsi="Times New Roman"/>
        </w:rPr>
        <w:t>,</w:t>
      </w:r>
      <w:r w:rsidR="00F4338A" w:rsidRPr="00513D9E">
        <w:rPr>
          <w:rFonts w:ascii="Times New Roman" w:hAnsi="Times New Roman"/>
        </w:rPr>
        <w:t xml:space="preserve"> </w:t>
      </w:r>
      <w:r w:rsidR="0022560D" w:rsidRPr="00513D9E">
        <w:rPr>
          <w:rFonts w:ascii="Times New Roman" w:hAnsi="Times New Roman"/>
        </w:rPr>
        <w:t xml:space="preserve">typically submit 2 or 3 filings a year and sometimes </w:t>
      </w:r>
      <w:r w:rsidR="00F4338A" w:rsidRPr="00513D9E">
        <w:rPr>
          <w:rFonts w:ascii="Times New Roman" w:hAnsi="Times New Roman"/>
        </w:rPr>
        <w:t>no such filings</w:t>
      </w:r>
      <w:r w:rsidR="0022560D" w:rsidRPr="00513D9E">
        <w:rPr>
          <w:rFonts w:ascii="Times New Roman" w:hAnsi="Times New Roman"/>
        </w:rPr>
        <w:t>.</w:t>
      </w:r>
      <w:r w:rsidR="0022560D">
        <w:rPr>
          <w:rFonts w:ascii="Times New Roman" w:hAnsi="Times New Roman"/>
        </w:rPr>
        <w:t xml:space="preserve">  </w:t>
      </w:r>
    </w:p>
    <w:p w:rsidR="008B3082" w:rsidRDefault="008B3082" w:rsidP="00C05C3F">
      <w:pPr>
        <w:tabs>
          <w:tab w:val="left" w:pos="-720"/>
        </w:tabs>
        <w:suppressAutoHyphens/>
        <w:rPr>
          <w:rFonts w:ascii="Times New Roman" w:hAnsi="Times New Roman"/>
        </w:rPr>
      </w:pPr>
    </w:p>
    <w:p w:rsidR="003200CF" w:rsidRDefault="00EC36E4" w:rsidP="00C05C3F">
      <w:pPr>
        <w:tabs>
          <w:tab w:val="left" w:pos="-720"/>
        </w:tabs>
        <w:suppressAutoHyphens/>
        <w:rPr>
          <w:rFonts w:ascii="Times New Roman" w:hAnsi="Times New Roman"/>
        </w:rPr>
      </w:pPr>
      <w:r>
        <w:rPr>
          <w:rFonts w:ascii="Times New Roman" w:hAnsi="Times New Roman"/>
        </w:rPr>
        <w:tab/>
      </w:r>
      <w:r w:rsidR="008B3082">
        <w:rPr>
          <w:rFonts w:ascii="Times New Roman" w:hAnsi="Times New Roman"/>
        </w:rPr>
        <w:t>CME estimates</w:t>
      </w:r>
      <w:r w:rsidR="00B6268A">
        <w:rPr>
          <w:rFonts w:ascii="Times New Roman" w:hAnsi="Times New Roman"/>
        </w:rPr>
        <w:t>,</w:t>
      </w:r>
      <w:r w:rsidR="008B3082">
        <w:rPr>
          <w:rFonts w:ascii="Times New Roman" w:hAnsi="Times New Roman"/>
        </w:rPr>
        <w:t xml:space="preserve"> </w:t>
      </w:r>
      <w:r w:rsidR="00A3457C">
        <w:rPr>
          <w:rFonts w:ascii="Times New Roman" w:hAnsi="Times New Roman"/>
        </w:rPr>
        <w:t>as follows</w:t>
      </w:r>
      <w:r w:rsidR="00B6268A">
        <w:rPr>
          <w:rFonts w:ascii="Times New Roman" w:hAnsi="Times New Roman"/>
        </w:rPr>
        <w:t>,</w:t>
      </w:r>
      <w:r w:rsidR="00A3457C">
        <w:rPr>
          <w:rFonts w:ascii="Times New Roman" w:hAnsi="Times New Roman"/>
        </w:rPr>
        <w:t xml:space="preserve"> </w:t>
      </w:r>
      <w:r w:rsidR="008B3082">
        <w:rPr>
          <w:rFonts w:ascii="Times New Roman" w:hAnsi="Times New Roman"/>
        </w:rPr>
        <w:t xml:space="preserve">the average </w:t>
      </w:r>
      <w:r w:rsidR="00411C02">
        <w:rPr>
          <w:rFonts w:ascii="Times New Roman" w:hAnsi="Times New Roman"/>
        </w:rPr>
        <w:t xml:space="preserve">time </w:t>
      </w:r>
      <w:r w:rsidR="008B3082">
        <w:rPr>
          <w:rFonts w:ascii="Times New Roman" w:hAnsi="Times New Roman"/>
        </w:rPr>
        <w:t xml:space="preserve">burden of the collection of information for </w:t>
      </w:r>
      <w:r w:rsidR="00B6268A">
        <w:rPr>
          <w:rFonts w:ascii="Times New Roman" w:hAnsi="Times New Roman"/>
        </w:rPr>
        <w:t xml:space="preserve">specific </w:t>
      </w:r>
      <w:r w:rsidR="00F4338A">
        <w:rPr>
          <w:rFonts w:ascii="Times New Roman" w:hAnsi="Times New Roman"/>
        </w:rPr>
        <w:t>types of</w:t>
      </w:r>
      <w:r w:rsidR="00B6268A">
        <w:rPr>
          <w:rFonts w:ascii="Times New Roman" w:hAnsi="Times New Roman"/>
        </w:rPr>
        <w:t xml:space="preserve"> product and </w:t>
      </w:r>
      <w:r w:rsidR="00F4338A">
        <w:rPr>
          <w:rFonts w:ascii="Times New Roman" w:hAnsi="Times New Roman"/>
        </w:rPr>
        <w:t xml:space="preserve"> </w:t>
      </w:r>
      <w:r w:rsidR="000E6888">
        <w:rPr>
          <w:rFonts w:ascii="Times New Roman" w:hAnsi="Times New Roman"/>
        </w:rPr>
        <w:t xml:space="preserve">rule </w:t>
      </w:r>
      <w:r w:rsidR="008B3082">
        <w:rPr>
          <w:rFonts w:ascii="Times New Roman" w:hAnsi="Times New Roman"/>
        </w:rPr>
        <w:t>submission</w:t>
      </w:r>
      <w:r w:rsidR="00A3457C">
        <w:rPr>
          <w:rFonts w:ascii="Times New Roman" w:hAnsi="Times New Roman"/>
        </w:rPr>
        <w:t xml:space="preserve">s: </w:t>
      </w:r>
      <w:r w:rsidR="006B1BD7">
        <w:rPr>
          <w:rFonts w:ascii="Times New Roman" w:hAnsi="Times New Roman"/>
        </w:rPr>
        <w:t>each cash-settled new product requires 8-10 hours; each physically-delivered new product requires 20-40 hours;</w:t>
      </w:r>
      <w:r w:rsidR="00227EAA">
        <w:rPr>
          <w:rFonts w:ascii="Times New Roman" w:hAnsi="Times New Roman"/>
        </w:rPr>
        <w:t xml:space="preserve"> </w:t>
      </w:r>
      <w:r w:rsidR="006B1BD7">
        <w:rPr>
          <w:rFonts w:ascii="Times New Roman" w:hAnsi="Times New Roman"/>
        </w:rPr>
        <w:t xml:space="preserve">each rule change requires 2-4 hours; each product term and </w:t>
      </w:r>
      <w:r w:rsidR="00411C02">
        <w:rPr>
          <w:rFonts w:ascii="Times New Roman" w:hAnsi="Times New Roman"/>
        </w:rPr>
        <w:t xml:space="preserve">product term and </w:t>
      </w:r>
      <w:r w:rsidR="006B1BD7">
        <w:rPr>
          <w:rFonts w:ascii="Times New Roman" w:hAnsi="Times New Roman"/>
        </w:rPr>
        <w:t xml:space="preserve">condition amendment requires 2-4 hours; each market maker or incentive program requires 1-2 hours; all weekly notifications collectively require 1 hour; and each 40.10 filing requires between 20 – 60 hours for an initial submission, not inclusive of comments and questions received from </w:t>
      </w:r>
      <w:r w:rsidR="004E43DA">
        <w:rPr>
          <w:rFonts w:ascii="Times New Roman" w:hAnsi="Times New Roman"/>
        </w:rPr>
        <w:t xml:space="preserve">the </w:t>
      </w:r>
      <w:r w:rsidR="006B1BD7">
        <w:rPr>
          <w:rFonts w:ascii="Times New Roman" w:hAnsi="Times New Roman"/>
        </w:rPr>
        <w:t>Commission and edits required pursuant</w:t>
      </w:r>
      <w:r w:rsidR="004E43DA">
        <w:rPr>
          <w:rFonts w:ascii="Times New Roman" w:hAnsi="Times New Roman"/>
        </w:rPr>
        <w:t>,</w:t>
      </w:r>
      <w:r w:rsidR="006B1BD7">
        <w:rPr>
          <w:rFonts w:ascii="Times New Roman" w:hAnsi="Times New Roman"/>
        </w:rPr>
        <w:t xml:space="preserve"> thereto. </w:t>
      </w:r>
    </w:p>
    <w:p w:rsidR="00894F84" w:rsidRDefault="00894F84" w:rsidP="00C05C3F">
      <w:pPr>
        <w:tabs>
          <w:tab w:val="left" w:pos="-720"/>
        </w:tabs>
        <w:suppressAutoHyphens/>
        <w:rPr>
          <w:rFonts w:ascii="Times New Roman" w:hAnsi="Times New Roman"/>
        </w:rPr>
      </w:pPr>
    </w:p>
    <w:p w:rsidR="00AE2F40" w:rsidRDefault="00EC36E4" w:rsidP="00EC36E4">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t xml:space="preserve">In response to </w:t>
      </w:r>
      <w:r w:rsidR="00CE0598">
        <w:rPr>
          <w:rFonts w:ascii="Times New Roman" w:hAnsi="Times New Roman"/>
        </w:rPr>
        <w:t xml:space="preserve">CME Group’s </w:t>
      </w:r>
      <w:r>
        <w:rPr>
          <w:rFonts w:ascii="Times New Roman" w:hAnsi="Times New Roman"/>
        </w:rPr>
        <w:t xml:space="preserve">comment that each cash-settled new product </w:t>
      </w:r>
      <w:r w:rsidR="00FF4E09">
        <w:rPr>
          <w:rFonts w:ascii="Times New Roman" w:hAnsi="Times New Roman"/>
        </w:rPr>
        <w:t xml:space="preserve">submission </w:t>
      </w:r>
      <w:r>
        <w:rPr>
          <w:rFonts w:ascii="Times New Roman" w:hAnsi="Times New Roman"/>
        </w:rPr>
        <w:t>requires 8 – 10 hours to prepare and submit</w:t>
      </w:r>
      <w:r w:rsidR="00CE0598">
        <w:rPr>
          <w:rFonts w:ascii="Times New Roman" w:hAnsi="Times New Roman"/>
        </w:rPr>
        <w:t>,</w:t>
      </w:r>
      <w:r>
        <w:rPr>
          <w:rFonts w:ascii="Times New Roman" w:hAnsi="Times New Roman"/>
        </w:rPr>
        <w:t xml:space="preserve"> and that each physically-delivered new product </w:t>
      </w:r>
      <w:r w:rsidR="00FF4E09">
        <w:rPr>
          <w:rFonts w:ascii="Times New Roman" w:hAnsi="Times New Roman"/>
        </w:rPr>
        <w:t xml:space="preserve">submission </w:t>
      </w:r>
      <w:r>
        <w:rPr>
          <w:rFonts w:ascii="Times New Roman" w:hAnsi="Times New Roman"/>
        </w:rPr>
        <w:t xml:space="preserve">requires 20 – 40 hours, the Commission is revising its estimated hour burden for </w:t>
      </w:r>
      <w:r w:rsidR="004E43DA">
        <w:rPr>
          <w:rFonts w:ascii="Times New Roman" w:hAnsi="Times New Roman"/>
        </w:rPr>
        <w:t>§</w:t>
      </w:r>
      <w:r>
        <w:rPr>
          <w:rFonts w:ascii="Times New Roman" w:hAnsi="Times New Roman"/>
        </w:rPr>
        <w:t xml:space="preserve">40.2 and </w:t>
      </w:r>
      <w:r w:rsidR="004E43DA">
        <w:rPr>
          <w:rFonts w:ascii="Times New Roman" w:hAnsi="Times New Roman"/>
        </w:rPr>
        <w:t>§</w:t>
      </w:r>
      <w:r>
        <w:rPr>
          <w:rFonts w:ascii="Times New Roman" w:hAnsi="Times New Roman"/>
        </w:rPr>
        <w:t xml:space="preserve">40.3 filings to 21 hours per </w:t>
      </w:r>
      <w:r w:rsidR="00493721">
        <w:rPr>
          <w:rFonts w:ascii="Times New Roman" w:hAnsi="Times New Roman"/>
        </w:rPr>
        <w:t>filing</w:t>
      </w:r>
      <w:r w:rsidR="00AE2F40">
        <w:rPr>
          <w:rFonts w:ascii="Times New Roman" w:hAnsi="Times New Roman"/>
        </w:rPr>
        <w:t xml:space="preserve">. </w:t>
      </w:r>
      <w:r>
        <w:rPr>
          <w:rFonts w:ascii="Times New Roman" w:hAnsi="Times New Roman"/>
        </w:rPr>
        <w:t xml:space="preserve"> This estimate was calculated by taking the midpoint between the Commission’s previous </w:t>
      </w:r>
      <w:r w:rsidR="000E6888">
        <w:rPr>
          <w:rFonts w:ascii="Times New Roman" w:hAnsi="Times New Roman"/>
        </w:rPr>
        <w:t xml:space="preserve">burden </w:t>
      </w:r>
      <w:r>
        <w:rPr>
          <w:rFonts w:ascii="Times New Roman" w:hAnsi="Times New Roman"/>
        </w:rPr>
        <w:t>estimate</w:t>
      </w:r>
      <w:r w:rsidR="00411C02">
        <w:rPr>
          <w:rFonts w:ascii="Times New Roman" w:hAnsi="Times New Roman"/>
        </w:rPr>
        <w:t xml:space="preserve"> of</w:t>
      </w:r>
      <w:r>
        <w:rPr>
          <w:rFonts w:ascii="Times New Roman" w:hAnsi="Times New Roman"/>
        </w:rPr>
        <w:t xml:space="preserve"> 2 </w:t>
      </w:r>
      <w:r w:rsidR="00411C02">
        <w:rPr>
          <w:rFonts w:ascii="Times New Roman" w:hAnsi="Times New Roman"/>
        </w:rPr>
        <w:t xml:space="preserve">hours </w:t>
      </w:r>
      <w:r>
        <w:rPr>
          <w:rFonts w:ascii="Times New Roman" w:hAnsi="Times New Roman"/>
        </w:rPr>
        <w:t xml:space="preserve">and </w:t>
      </w:r>
      <w:r w:rsidR="00493721">
        <w:rPr>
          <w:rFonts w:ascii="Times New Roman" w:hAnsi="Times New Roman"/>
        </w:rPr>
        <w:t xml:space="preserve">CME Group’s </w:t>
      </w:r>
      <w:r w:rsidR="00AE2F40">
        <w:rPr>
          <w:rFonts w:ascii="Times New Roman" w:hAnsi="Times New Roman"/>
        </w:rPr>
        <w:t xml:space="preserve">high-end </w:t>
      </w:r>
      <w:r w:rsidR="00F4338A">
        <w:rPr>
          <w:rFonts w:ascii="Times New Roman" w:hAnsi="Times New Roman"/>
        </w:rPr>
        <w:t xml:space="preserve">burden </w:t>
      </w:r>
      <w:r>
        <w:rPr>
          <w:rFonts w:ascii="Times New Roman" w:hAnsi="Times New Roman"/>
        </w:rPr>
        <w:t xml:space="preserve">estimate of 40 </w:t>
      </w:r>
      <w:r w:rsidR="00E456FF">
        <w:rPr>
          <w:rFonts w:ascii="Times New Roman" w:hAnsi="Times New Roman"/>
        </w:rPr>
        <w:t>hours’ time</w:t>
      </w:r>
      <w:r>
        <w:rPr>
          <w:rFonts w:ascii="Times New Roman" w:hAnsi="Times New Roman"/>
        </w:rPr>
        <w:t xml:space="preserve"> for</w:t>
      </w:r>
      <w:r w:rsidR="00CE0598">
        <w:rPr>
          <w:rFonts w:ascii="Times New Roman" w:hAnsi="Times New Roman"/>
        </w:rPr>
        <w:t xml:space="preserve"> submission of</w:t>
      </w:r>
      <w:r>
        <w:rPr>
          <w:rFonts w:ascii="Times New Roman" w:hAnsi="Times New Roman"/>
        </w:rPr>
        <w:t xml:space="preserve"> physically-delivered new product</w:t>
      </w:r>
      <w:r w:rsidR="00411C02">
        <w:rPr>
          <w:rFonts w:ascii="Times New Roman" w:hAnsi="Times New Roman"/>
        </w:rPr>
        <w:t>s</w:t>
      </w:r>
      <w:r w:rsidR="00AE2F40">
        <w:rPr>
          <w:rFonts w:ascii="Times New Roman" w:hAnsi="Times New Roman"/>
        </w:rPr>
        <w:t xml:space="preserve">.  </w:t>
      </w:r>
      <w:r>
        <w:rPr>
          <w:rFonts w:ascii="Times New Roman" w:hAnsi="Times New Roman"/>
        </w:rPr>
        <w:t xml:space="preserve"> </w:t>
      </w:r>
    </w:p>
    <w:p w:rsidR="00EC36E4" w:rsidRDefault="00EC36E4" w:rsidP="00EC36E4">
      <w:pPr>
        <w:tabs>
          <w:tab w:val="left" w:pos="-720"/>
        </w:tabs>
        <w:suppressAutoHyphens/>
        <w:rPr>
          <w:rFonts w:ascii="Times New Roman" w:hAnsi="Times New Roman"/>
        </w:rPr>
      </w:pPr>
      <w:r>
        <w:rPr>
          <w:rFonts w:ascii="Times New Roman" w:hAnsi="Times New Roman"/>
        </w:rPr>
        <w:t xml:space="preserve">          </w:t>
      </w:r>
    </w:p>
    <w:p w:rsidR="00EC36E4" w:rsidRDefault="00EC36E4" w:rsidP="00EC36E4">
      <w:pPr>
        <w:tabs>
          <w:tab w:val="left" w:pos="-720"/>
        </w:tabs>
        <w:suppressAutoHyphens/>
        <w:rPr>
          <w:rFonts w:ascii="Times New Roman" w:hAnsi="Times New Roman"/>
        </w:rPr>
      </w:pPr>
      <w:r>
        <w:rPr>
          <w:rFonts w:ascii="Times New Roman" w:hAnsi="Times New Roman"/>
        </w:rPr>
        <w:tab/>
        <w:t xml:space="preserve">In response to </w:t>
      </w:r>
      <w:r w:rsidR="00ED1D36">
        <w:rPr>
          <w:rFonts w:ascii="Times New Roman" w:hAnsi="Times New Roman"/>
        </w:rPr>
        <w:t xml:space="preserve">CME Group’s </w:t>
      </w:r>
      <w:r>
        <w:rPr>
          <w:rFonts w:ascii="Times New Roman" w:hAnsi="Times New Roman"/>
        </w:rPr>
        <w:t xml:space="preserve">comment that each rule </w:t>
      </w:r>
      <w:r w:rsidR="00FF4E09">
        <w:rPr>
          <w:rFonts w:ascii="Times New Roman" w:hAnsi="Times New Roman"/>
        </w:rPr>
        <w:t xml:space="preserve">submission </w:t>
      </w:r>
      <w:r>
        <w:rPr>
          <w:rFonts w:ascii="Times New Roman" w:hAnsi="Times New Roman"/>
        </w:rPr>
        <w:t>requires 2-4 hours; each product term and condition amendment requires 2-4 hours; each market maker or incentive program requires 1-2 hours; and all weekly notifications collectively require 1 hour, the Commission is not revising its estimated</w:t>
      </w:r>
      <w:r w:rsidR="004E43DA">
        <w:rPr>
          <w:rFonts w:ascii="Times New Roman" w:hAnsi="Times New Roman"/>
        </w:rPr>
        <w:t xml:space="preserve"> 2 hours per submission</w:t>
      </w:r>
      <w:r>
        <w:rPr>
          <w:rFonts w:ascii="Times New Roman" w:hAnsi="Times New Roman"/>
        </w:rPr>
        <w:t xml:space="preserve"> burden for </w:t>
      </w:r>
      <w:r w:rsidR="004E43DA">
        <w:rPr>
          <w:rFonts w:ascii="Times New Roman" w:hAnsi="Times New Roman"/>
        </w:rPr>
        <w:t>§</w:t>
      </w:r>
      <w:r>
        <w:rPr>
          <w:rFonts w:ascii="Times New Roman" w:hAnsi="Times New Roman"/>
        </w:rPr>
        <w:t xml:space="preserve">40.5 and </w:t>
      </w:r>
      <w:r w:rsidR="004E43DA">
        <w:rPr>
          <w:rFonts w:ascii="Times New Roman" w:hAnsi="Times New Roman"/>
        </w:rPr>
        <w:t>§</w:t>
      </w:r>
      <w:r>
        <w:rPr>
          <w:rFonts w:ascii="Times New Roman" w:hAnsi="Times New Roman"/>
        </w:rPr>
        <w:t xml:space="preserve">40.6 filings. </w:t>
      </w:r>
      <w:r w:rsidR="00ED1D36">
        <w:rPr>
          <w:rFonts w:ascii="Times New Roman" w:hAnsi="Times New Roman"/>
        </w:rPr>
        <w:t>Commission staff</w:t>
      </w:r>
      <w:r w:rsidR="00F4338A">
        <w:rPr>
          <w:rFonts w:ascii="Times New Roman" w:hAnsi="Times New Roman"/>
        </w:rPr>
        <w:t>’s</w:t>
      </w:r>
      <w:r w:rsidR="00ED1D36">
        <w:rPr>
          <w:rFonts w:ascii="Times New Roman" w:hAnsi="Times New Roman"/>
        </w:rPr>
        <w:t xml:space="preserve"> </w:t>
      </w:r>
      <w:r w:rsidR="004E43DA">
        <w:rPr>
          <w:rFonts w:ascii="Times New Roman" w:hAnsi="Times New Roman"/>
        </w:rPr>
        <w:t xml:space="preserve">position is </w:t>
      </w:r>
      <w:r w:rsidR="00ED1D36">
        <w:rPr>
          <w:rFonts w:ascii="Times New Roman" w:hAnsi="Times New Roman"/>
        </w:rPr>
        <w:t xml:space="preserve">that the 2 hours per submission estimate is reasonable because </w:t>
      </w:r>
      <w:r w:rsidR="00AE2F40">
        <w:rPr>
          <w:rFonts w:ascii="Times New Roman" w:hAnsi="Times New Roman"/>
        </w:rPr>
        <w:t xml:space="preserve">many, if not the </w:t>
      </w:r>
      <w:r>
        <w:rPr>
          <w:rFonts w:ascii="Times New Roman" w:hAnsi="Times New Roman"/>
        </w:rPr>
        <w:t>majority</w:t>
      </w:r>
      <w:r w:rsidR="00AE2F40">
        <w:rPr>
          <w:rFonts w:ascii="Times New Roman" w:hAnsi="Times New Roman"/>
        </w:rPr>
        <w:t>,</w:t>
      </w:r>
      <w:r>
        <w:rPr>
          <w:rFonts w:ascii="Times New Roman" w:hAnsi="Times New Roman"/>
        </w:rPr>
        <w:t xml:space="preserve"> of rule certification submissions </w:t>
      </w:r>
      <w:r w:rsidR="00493721">
        <w:rPr>
          <w:rFonts w:ascii="Times New Roman" w:hAnsi="Times New Roman"/>
        </w:rPr>
        <w:t xml:space="preserve">received </w:t>
      </w:r>
      <w:r w:rsidR="00FF4E09">
        <w:rPr>
          <w:rFonts w:ascii="Times New Roman" w:hAnsi="Times New Roman"/>
        </w:rPr>
        <w:t>from</w:t>
      </w:r>
      <w:r w:rsidR="00493721">
        <w:rPr>
          <w:rFonts w:ascii="Times New Roman" w:hAnsi="Times New Roman"/>
        </w:rPr>
        <w:t xml:space="preserve"> CME</w:t>
      </w:r>
      <w:r w:rsidR="00ED1D36">
        <w:rPr>
          <w:rFonts w:ascii="Times New Roman" w:hAnsi="Times New Roman"/>
        </w:rPr>
        <w:t xml:space="preserve"> Group</w:t>
      </w:r>
      <w:r w:rsidR="00FF4E09">
        <w:rPr>
          <w:rFonts w:ascii="Times New Roman" w:hAnsi="Times New Roman"/>
        </w:rPr>
        <w:t xml:space="preserve"> in 2017</w:t>
      </w:r>
      <w:r w:rsidR="00493721">
        <w:rPr>
          <w:rFonts w:ascii="Times New Roman" w:hAnsi="Times New Roman"/>
        </w:rPr>
        <w:t xml:space="preserve"> </w:t>
      </w:r>
      <w:r w:rsidR="00AE2F40">
        <w:rPr>
          <w:rFonts w:ascii="Times New Roman" w:hAnsi="Times New Roman"/>
        </w:rPr>
        <w:t>were</w:t>
      </w:r>
      <w:r>
        <w:rPr>
          <w:rFonts w:ascii="Times New Roman" w:hAnsi="Times New Roman"/>
        </w:rPr>
        <w:t xml:space="preserve"> market maker or incentive programs</w:t>
      </w:r>
      <w:r w:rsidR="00ED1D36">
        <w:rPr>
          <w:rFonts w:ascii="Times New Roman" w:hAnsi="Times New Roman"/>
        </w:rPr>
        <w:t>.</w:t>
      </w:r>
      <w:r w:rsidR="00FF4E09">
        <w:rPr>
          <w:rFonts w:ascii="Times New Roman" w:hAnsi="Times New Roman"/>
        </w:rPr>
        <w:t xml:space="preserve"> </w:t>
      </w:r>
      <w:r w:rsidR="00ED1D36">
        <w:rPr>
          <w:rFonts w:ascii="Times New Roman" w:hAnsi="Times New Roman"/>
        </w:rPr>
        <w:t>As</w:t>
      </w:r>
      <w:r w:rsidR="00FF4E09">
        <w:rPr>
          <w:rFonts w:ascii="Times New Roman" w:hAnsi="Times New Roman"/>
        </w:rPr>
        <w:t xml:space="preserve"> noted by CME</w:t>
      </w:r>
      <w:r w:rsidR="00ED1D36">
        <w:rPr>
          <w:rFonts w:ascii="Times New Roman" w:hAnsi="Times New Roman"/>
        </w:rPr>
        <w:t xml:space="preserve"> Group</w:t>
      </w:r>
      <w:r w:rsidR="00FF4E09">
        <w:rPr>
          <w:rFonts w:ascii="Times New Roman" w:hAnsi="Times New Roman"/>
        </w:rPr>
        <w:t xml:space="preserve">, </w:t>
      </w:r>
      <w:r w:rsidR="00F4338A">
        <w:rPr>
          <w:rFonts w:ascii="Times New Roman" w:hAnsi="Times New Roman"/>
        </w:rPr>
        <w:t xml:space="preserve">those </w:t>
      </w:r>
      <w:r w:rsidR="00FF4E09">
        <w:rPr>
          <w:rFonts w:ascii="Times New Roman" w:hAnsi="Times New Roman"/>
        </w:rPr>
        <w:t xml:space="preserve">submissions </w:t>
      </w:r>
      <w:r w:rsidR="00ED1D36">
        <w:rPr>
          <w:rFonts w:ascii="Times New Roman" w:hAnsi="Times New Roman"/>
        </w:rPr>
        <w:t>require</w:t>
      </w:r>
      <w:r w:rsidR="00FF4E09">
        <w:rPr>
          <w:rFonts w:ascii="Times New Roman" w:hAnsi="Times New Roman"/>
        </w:rPr>
        <w:t xml:space="preserve"> between 1 and 2 hours</w:t>
      </w:r>
      <w:r w:rsidR="00F4338A">
        <w:rPr>
          <w:rFonts w:ascii="Times New Roman" w:hAnsi="Times New Roman"/>
        </w:rPr>
        <w:t xml:space="preserve"> to prepare and submit</w:t>
      </w:r>
      <w:r w:rsidR="00FF4E09">
        <w:rPr>
          <w:rFonts w:ascii="Times New Roman" w:hAnsi="Times New Roman"/>
        </w:rPr>
        <w:t xml:space="preserve">. </w:t>
      </w:r>
      <w:r>
        <w:rPr>
          <w:rFonts w:ascii="Times New Roman" w:hAnsi="Times New Roman"/>
        </w:rPr>
        <w:t xml:space="preserve"> </w:t>
      </w:r>
    </w:p>
    <w:p w:rsidR="00FF4E09" w:rsidRDefault="00FF4E09" w:rsidP="00C05C3F">
      <w:pPr>
        <w:tabs>
          <w:tab w:val="left" w:pos="-720"/>
        </w:tabs>
        <w:suppressAutoHyphens/>
        <w:rPr>
          <w:rFonts w:ascii="Times New Roman" w:hAnsi="Times New Roman"/>
        </w:rPr>
      </w:pPr>
    </w:p>
    <w:p w:rsidR="00FF4E09" w:rsidRDefault="00FF4E09" w:rsidP="00C05C3F">
      <w:pPr>
        <w:tabs>
          <w:tab w:val="left" w:pos="-720"/>
        </w:tabs>
        <w:suppressAutoHyphens/>
        <w:rPr>
          <w:rFonts w:ascii="Times New Roman" w:hAnsi="Times New Roman"/>
        </w:rPr>
      </w:pPr>
      <w:r>
        <w:rPr>
          <w:rFonts w:ascii="Times New Roman" w:hAnsi="Times New Roman"/>
        </w:rPr>
        <w:tab/>
        <w:t xml:space="preserve">ICE did not provide alternative estimates for time burden, but instead </w:t>
      </w:r>
      <w:r w:rsidR="00E37DE1">
        <w:rPr>
          <w:rFonts w:ascii="Times New Roman" w:hAnsi="Times New Roman"/>
        </w:rPr>
        <w:t xml:space="preserve">challenges the discrepancy of the Commission’s estimate of 2 hours to prepare filings under </w:t>
      </w:r>
      <w:r w:rsidR="00227EAA">
        <w:rPr>
          <w:rFonts w:ascii="Times New Roman" w:hAnsi="Times New Roman"/>
        </w:rPr>
        <w:t xml:space="preserve">§§ </w:t>
      </w:r>
      <w:r w:rsidR="00E37DE1">
        <w:rPr>
          <w:rFonts w:ascii="Times New Roman" w:hAnsi="Times New Roman"/>
        </w:rPr>
        <w:t>40.2,</w:t>
      </w:r>
      <w:r w:rsidR="00BA5069">
        <w:rPr>
          <w:rFonts w:ascii="Times New Roman" w:hAnsi="Times New Roman"/>
        </w:rPr>
        <w:t xml:space="preserve"> </w:t>
      </w:r>
      <w:r w:rsidR="00E37DE1">
        <w:rPr>
          <w:rFonts w:ascii="Times New Roman" w:hAnsi="Times New Roman"/>
        </w:rPr>
        <w:t xml:space="preserve">40.3, 40.5 and 40.6 </w:t>
      </w:r>
      <w:r w:rsidR="00AB3971">
        <w:rPr>
          <w:rFonts w:ascii="Times New Roman" w:hAnsi="Times New Roman"/>
        </w:rPr>
        <w:t xml:space="preserve">in comparison </w:t>
      </w:r>
      <w:r w:rsidR="00F4338A">
        <w:rPr>
          <w:rFonts w:ascii="Times New Roman" w:hAnsi="Times New Roman"/>
        </w:rPr>
        <w:t xml:space="preserve">with </w:t>
      </w:r>
      <w:r w:rsidR="00E37DE1">
        <w:rPr>
          <w:rFonts w:ascii="Times New Roman" w:hAnsi="Times New Roman"/>
        </w:rPr>
        <w:t xml:space="preserve">the 5 hour estimate for filings under </w:t>
      </w:r>
      <w:r w:rsidR="00227EAA">
        <w:rPr>
          <w:rFonts w:ascii="Times New Roman" w:hAnsi="Times New Roman"/>
        </w:rPr>
        <w:t>§</w:t>
      </w:r>
      <w:r w:rsidR="00E37DE1">
        <w:rPr>
          <w:rFonts w:ascii="Times New Roman" w:hAnsi="Times New Roman"/>
        </w:rPr>
        <w:t>40.10. ICE claims that the information re</w:t>
      </w:r>
      <w:r w:rsidR="005462A4">
        <w:rPr>
          <w:rFonts w:ascii="Times New Roman" w:hAnsi="Times New Roman"/>
        </w:rPr>
        <w:t>q</w:t>
      </w:r>
      <w:r w:rsidR="00E37DE1">
        <w:rPr>
          <w:rFonts w:ascii="Times New Roman" w:hAnsi="Times New Roman"/>
        </w:rPr>
        <w:t xml:space="preserve">uired to be provided by a </w:t>
      </w:r>
      <w:r w:rsidR="00AB3971">
        <w:rPr>
          <w:rFonts w:ascii="Times New Roman" w:hAnsi="Times New Roman"/>
        </w:rPr>
        <w:t xml:space="preserve">Designated Contract Market </w:t>
      </w:r>
      <w:r w:rsidR="00E37DE1">
        <w:rPr>
          <w:rFonts w:ascii="Times New Roman" w:hAnsi="Times New Roman"/>
        </w:rPr>
        <w:t>for a new product rule filing is robust, comprehensive and requires</w:t>
      </w:r>
      <w:r w:rsidR="00ED1D36">
        <w:rPr>
          <w:rFonts w:ascii="Times New Roman" w:hAnsi="Times New Roman"/>
        </w:rPr>
        <w:t>,</w:t>
      </w:r>
      <w:r w:rsidR="00E37DE1">
        <w:rPr>
          <w:rFonts w:ascii="Times New Roman" w:hAnsi="Times New Roman"/>
        </w:rPr>
        <w:t xml:space="preserve"> at a minimum</w:t>
      </w:r>
      <w:r w:rsidR="00ED1D36">
        <w:rPr>
          <w:rFonts w:ascii="Times New Roman" w:hAnsi="Times New Roman"/>
        </w:rPr>
        <w:t>,</w:t>
      </w:r>
      <w:r w:rsidR="00E37DE1">
        <w:rPr>
          <w:rFonts w:ascii="Times New Roman" w:hAnsi="Times New Roman"/>
        </w:rPr>
        <w:t xml:space="preserve"> the same amount of time as a </w:t>
      </w:r>
      <w:r w:rsidR="00227EAA">
        <w:rPr>
          <w:rFonts w:ascii="Times New Roman" w:hAnsi="Times New Roman"/>
        </w:rPr>
        <w:t>§</w:t>
      </w:r>
      <w:r w:rsidR="00E37DE1">
        <w:rPr>
          <w:rFonts w:ascii="Times New Roman" w:hAnsi="Times New Roman"/>
        </w:rPr>
        <w:t xml:space="preserve">40.10 filing. </w:t>
      </w:r>
      <w:r w:rsidR="005462A4">
        <w:rPr>
          <w:rFonts w:ascii="Times New Roman" w:hAnsi="Times New Roman"/>
        </w:rPr>
        <w:t>As noted, the Commission is revising its estimated hour burden for Rule 40.2 and 40.3 filings to 21 hours per filing</w:t>
      </w:r>
      <w:r w:rsidR="00B6268A">
        <w:rPr>
          <w:rFonts w:ascii="Times New Roman" w:hAnsi="Times New Roman"/>
        </w:rPr>
        <w:t>,</w:t>
      </w:r>
      <w:r w:rsidR="00A3457C">
        <w:rPr>
          <w:rFonts w:ascii="Times New Roman" w:hAnsi="Times New Roman"/>
        </w:rPr>
        <w:t xml:space="preserve"> and</w:t>
      </w:r>
      <w:r w:rsidR="000E6888">
        <w:rPr>
          <w:rFonts w:ascii="Times New Roman" w:hAnsi="Times New Roman"/>
        </w:rPr>
        <w:t xml:space="preserve"> the estimated 2 hour burden for 40.5 and 40.6</w:t>
      </w:r>
      <w:r w:rsidR="00815CD7">
        <w:rPr>
          <w:rFonts w:ascii="Times New Roman" w:hAnsi="Times New Roman"/>
        </w:rPr>
        <w:t xml:space="preserve"> filings</w:t>
      </w:r>
      <w:r w:rsidR="00F4338A">
        <w:rPr>
          <w:rFonts w:ascii="Times New Roman" w:hAnsi="Times New Roman"/>
        </w:rPr>
        <w:t xml:space="preserve"> is maintained</w:t>
      </w:r>
      <w:r w:rsidR="005462A4">
        <w:rPr>
          <w:rFonts w:ascii="Times New Roman" w:hAnsi="Times New Roman"/>
        </w:rPr>
        <w:t xml:space="preserve">.  </w:t>
      </w:r>
    </w:p>
    <w:p w:rsidR="00E37DE1" w:rsidRDefault="00603512" w:rsidP="00C05C3F">
      <w:pPr>
        <w:tabs>
          <w:tab w:val="left" w:pos="-720"/>
        </w:tabs>
        <w:suppressAutoHyphens/>
        <w:rPr>
          <w:rFonts w:ascii="Times New Roman" w:hAnsi="Times New Roman"/>
        </w:rPr>
      </w:pPr>
      <w:r>
        <w:rPr>
          <w:rFonts w:ascii="Times New Roman" w:hAnsi="Times New Roman"/>
        </w:rPr>
        <w:tab/>
      </w:r>
    </w:p>
    <w:p w:rsidR="00C05C3F" w:rsidRDefault="00E37DE1" w:rsidP="00C05C3F">
      <w:pPr>
        <w:tabs>
          <w:tab w:val="left" w:pos="-720"/>
        </w:tabs>
        <w:suppressAutoHyphens/>
        <w:rPr>
          <w:rFonts w:ascii="Times New Roman" w:hAnsi="Times New Roman"/>
        </w:rPr>
      </w:pPr>
      <w:r>
        <w:rPr>
          <w:rFonts w:ascii="Times New Roman" w:hAnsi="Times New Roman"/>
        </w:rPr>
        <w:tab/>
      </w:r>
      <w:r w:rsidR="001808E9">
        <w:rPr>
          <w:rFonts w:ascii="Times New Roman" w:hAnsi="Times New Roman"/>
        </w:rPr>
        <w:t>In response to</w:t>
      </w:r>
      <w:r w:rsidR="00A72BCB" w:rsidRPr="00A72BCB">
        <w:rPr>
          <w:rFonts w:ascii="Times New Roman" w:hAnsi="Times New Roman"/>
        </w:rPr>
        <w:t xml:space="preserve"> </w:t>
      </w:r>
      <w:r w:rsidR="00A72BCB">
        <w:rPr>
          <w:rFonts w:ascii="Times New Roman" w:hAnsi="Times New Roman"/>
        </w:rPr>
        <w:t xml:space="preserve">CME’s </w:t>
      </w:r>
      <w:r w:rsidR="00A72BCB" w:rsidRPr="00A72BCB">
        <w:rPr>
          <w:rFonts w:ascii="Times New Roman" w:hAnsi="Times New Roman"/>
        </w:rPr>
        <w:t>comment</w:t>
      </w:r>
      <w:r w:rsidR="00A72BCB">
        <w:rPr>
          <w:rFonts w:ascii="Times New Roman" w:hAnsi="Times New Roman"/>
        </w:rPr>
        <w:t xml:space="preserve"> that each </w:t>
      </w:r>
      <w:r w:rsidR="006840E8">
        <w:rPr>
          <w:rFonts w:ascii="Times New Roman" w:hAnsi="Times New Roman"/>
        </w:rPr>
        <w:t xml:space="preserve">§ 40.10 filing requires </w:t>
      </w:r>
      <w:r w:rsidR="00A72BCB">
        <w:rPr>
          <w:rFonts w:ascii="Times New Roman" w:hAnsi="Times New Roman"/>
        </w:rPr>
        <w:t>between 20 – 60 hours for a</w:t>
      </w:r>
      <w:r w:rsidR="0081595B">
        <w:rPr>
          <w:rFonts w:ascii="Times New Roman" w:hAnsi="Times New Roman"/>
        </w:rPr>
        <w:t>n initial submission, not including</w:t>
      </w:r>
      <w:r w:rsidR="00A72BCB">
        <w:rPr>
          <w:rFonts w:ascii="Times New Roman" w:hAnsi="Times New Roman"/>
        </w:rPr>
        <w:t xml:space="preserve"> </w:t>
      </w:r>
      <w:r w:rsidR="0081595B">
        <w:rPr>
          <w:rFonts w:ascii="Times New Roman" w:hAnsi="Times New Roman"/>
        </w:rPr>
        <w:t xml:space="preserve">follow-up to </w:t>
      </w:r>
      <w:r w:rsidR="00A72BCB">
        <w:rPr>
          <w:rFonts w:ascii="Times New Roman" w:hAnsi="Times New Roman"/>
        </w:rPr>
        <w:t>questions received from Commission staff</w:t>
      </w:r>
      <w:r w:rsidR="0081595B">
        <w:rPr>
          <w:rFonts w:ascii="Times New Roman" w:hAnsi="Times New Roman"/>
        </w:rPr>
        <w:t>,</w:t>
      </w:r>
      <w:r w:rsidR="00A72BCB" w:rsidRPr="00A72BCB">
        <w:rPr>
          <w:rFonts w:ascii="Times New Roman" w:hAnsi="Times New Roman"/>
        </w:rPr>
        <w:t xml:space="preserve"> the Commission is revising the estimated hour burden for </w:t>
      </w:r>
      <w:r w:rsidR="00603512">
        <w:rPr>
          <w:rFonts w:ascii="Times New Roman" w:hAnsi="Times New Roman"/>
        </w:rPr>
        <w:t xml:space="preserve">§ </w:t>
      </w:r>
      <w:r w:rsidR="00A72BCB" w:rsidRPr="00A72BCB">
        <w:rPr>
          <w:rFonts w:ascii="Times New Roman" w:hAnsi="Times New Roman"/>
        </w:rPr>
        <w:t>40.10 submissions to 50 hours per submission</w:t>
      </w:r>
      <w:r w:rsidR="00A72BCB">
        <w:rPr>
          <w:rFonts w:ascii="Times New Roman" w:hAnsi="Times New Roman"/>
        </w:rPr>
        <w:t xml:space="preserve">.  This estimate was </w:t>
      </w:r>
      <w:r w:rsidR="00A72BCB" w:rsidRPr="00A72BCB">
        <w:rPr>
          <w:rFonts w:ascii="Times New Roman" w:hAnsi="Times New Roman"/>
        </w:rPr>
        <w:t xml:space="preserve">calculated by using </w:t>
      </w:r>
      <w:r w:rsidR="00A72BCB">
        <w:rPr>
          <w:rFonts w:ascii="Times New Roman" w:hAnsi="Times New Roman"/>
        </w:rPr>
        <w:t>40 hours</w:t>
      </w:r>
      <w:r w:rsidR="000E6888">
        <w:rPr>
          <w:rFonts w:ascii="Times New Roman" w:hAnsi="Times New Roman"/>
        </w:rPr>
        <w:t>,</w:t>
      </w:r>
      <w:r w:rsidR="00A72BCB">
        <w:rPr>
          <w:rFonts w:ascii="Times New Roman" w:hAnsi="Times New Roman"/>
        </w:rPr>
        <w:t xml:space="preserve"> </w:t>
      </w:r>
      <w:r w:rsidR="00A72BCB" w:rsidRPr="00A72BCB">
        <w:rPr>
          <w:rFonts w:ascii="Times New Roman" w:hAnsi="Times New Roman"/>
        </w:rPr>
        <w:t>the mid-point of CME</w:t>
      </w:r>
      <w:r w:rsidR="00A72BCB">
        <w:rPr>
          <w:rFonts w:ascii="Times New Roman" w:hAnsi="Times New Roman"/>
        </w:rPr>
        <w:t>’s estimate</w:t>
      </w:r>
      <w:r w:rsidR="000E6888">
        <w:rPr>
          <w:rFonts w:ascii="Times New Roman" w:hAnsi="Times New Roman"/>
        </w:rPr>
        <w:t>,</w:t>
      </w:r>
      <w:r w:rsidR="00A72BCB" w:rsidRPr="00A72BCB">
        <w:rPr>
          <w:rFonts w:ascii="Times New Roman" w:hAnsi="Times New Roman"/>
        </w:rPr>
        <w:t xml:space="preserve">  and adding 10 hours to allow for any subsequent edits and responses to staff questions.  </w:t>
      </w:r>
      <w:r w:rsidR="00A72BCB">
        <w:rPr>
          <w:rFonts w:ascii="Times New Roman" w:hAnsi="Times New Roman"/>
        </w:rPr>
        <w:t>In addition, the Commission is reducing</w:t>
      </w:r>
      <w:r w:rsidR="00A72BCB" w:rsidRPr="00A72BCB">
        <w:rPr>
          <w:rFonts w:ascii="Times New Roman" w:hAnsi="Times New Roman"/>
        </w:rPr>
        <w:t xml:space="preserve"> the estimated number of respondents </w:t>
      </w:r>
      <w:r w:rsidR="00603512">
        <w:rPr>
          <w:rFonts w:ascii="Times New Roman" w:hAnsi="Times New Roman"/>
        </w:rPr>
        <w:t xml:space="preserve">for § 40.10 submissions </w:t>
      </w:r>
      <w:r w:rsidR="00A72BCB" w:rsidRPr="00A72BCB">
        <w:rPr>
          <w:rFonts w:ascii="Times New Roman" w:hAnsi="Times New Roman"/>
        </w:rPr>
        <w:t>from three to two, to reflect the current number of SIDCOs.</w:t>
      </w:r>
    </w:p>
    <w:p w:rsidR="003200CF" w:rsidRDefault="003200CF" w:rsidP="00C05C3F">
      <w:pPr>
        <w:tabs>
          <w:tab w:val="left" w:pos="-720"/>
        </w:tabs>
        <w:suppressAutoHyphens/>
        <w:rPr>
          <w:rFonts w:ascii="Times New Roman" w:hAnsi="Times New Roman"/>
        </w:rPr>
      </w:pPr>
    </w:p>
    <w:p w:rsidR="00A72BCB" w:rsidRDefault="00A72BCB"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5C3F" w:rsidRDefault="00C05C3F" w:rsidP="00C05C3F">
      <w:pPr>
        <w:tabs>
          <w:tab w:val="left" w:pos="-720"/>
        </w:tabs>
        <w:suppressAutoHyphens/>
        <w:rPr>
          <w:rFonts w:ascii="Times New Roman" w:hAnsi="Times New Roman"/>
          <w:u w:val="single"/>
        </w:rPr>
      </w:pPr>
    </w:p>
    <w:p w:rsidR="000C220F" w:rsidRPr="006C31EC" w:rsidRDefault="00113EB0" w:rsidP="000C220F">
      <w:pPr>
        <w:tabs>
          <w:tab w:val="left" w:pos="-720"/>
        </w:tabs>
        <w:suppressAutoHyphens/>
        <w:rPr>
          <w:rFonts w:ascii="Times New Roman" w:hAnsi="Times New Roman"/>
        </w:rPr>
      </w:pPr>
      <w:r>
        <w:rPr>
          <w:rFonts w:ascii="Times New Roman" w:hAnsi="Times New Roman"/>
        </w:rPr>
        <w:t xml:space="preserve">The Commission maintains regular contact with regulated entities. </w:t>
      </w:r>
      <w:r w:rsidR="00F96D2C">
        <w:rPr>
          <w:rFonts w:ascii="Times New Roman" w:hAnsi="Times New Roman"/>
        </w:rPr>
        <w:t xml:space="preserve"> </w:t>
      </w:r>
    </w:p>
    <w:p w:rsidR="00C05C3F" w:rsidRDefault="00C05C3F" w:rsidP="00C05C3F">
      <w:pPr>
        <w:tabs>
          <w:tab w:val="left" w:pos="-720"/>
        </w:tabs>
        <w:suppressAutoHyphens/>
        <w:rPr>
          <w:rFonts w:ascii="Times New Roman" w:hAnsi="Times New Roman"/>
          <w:u w:val="single"/>
        </w:rPr>
      </w:pPr>
    </w:p>
    <w:p w:rsidR="00C05C3F" w:rsidRPr="007B55D0" w:rsidRDefault="00C05C3F" w:rsidP="00C05C3F">
      <w:pPr>
        <w:tabs>
          <w:tab w:val="left" w:pos="-720"/>
        </w:tabs>
        <w:suppressAutoHyphens/>
        <w:rPr>
          <w:rFonts w:ascii="Times New Roman" w:hAnsi="Times New Roman"/>
        </w:rPr>
      </w:pPr>
      <w:r>
        <w:rPr>
          <w:rFonts w:ascii="Times New Roman" w:hAnsi="Times New Roman"/>
        </w:rPr>
        <w:tab/>
      </w: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does not apply.  </w:t>
      </w:r>
    </w:p>
    <w:p w:rsidR="006C31EC" w:rsidRDefault="006C31EC"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r>
        <w:rPr>
          <w:rFonts w:ascii="Times New Roman" w:hAnsi="Times New Roman"/>
        </w:rPr>
        <w:t xml:space="preserve">  </w:t>
      </w: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513D9E">
      <w:pPr>
        <w:tabs>
          <w:tab w:val="left" w:pos="-720"/>
          <w:tab w:val="left" w:pos="0"/>
        </w:tabs>
        <w:spacing w:after="240"/>
        <w:rPr>
          <w:rFonts w:ascii="Times New Roman" w:hAnsi="Times New Roman"/>
        </w:rPr>
      </w:pPr>
      <w:r>
        <w:rPr>
          <w:rFonts w:ascii="Times New Roman" w:hAnsi="Times New Roman"/>
        </w:rPr>
        <w:tab/>
      </w:r>
      <w:r w:rsidR="003E2E56">
        <w:rPr>
          <w:rFonts w:ascii="Times New Roman" w:hAnsi="Times New Roman"/>
        </w:rPr>
        <w:t xml:space="preserve">The </w:t>
      </w:r>
      <w:r w:rsidR="00CA24B8">
        <w:rPr>
          <w:rFonts w:ascii="Times New Roman" w:hAnsi="Times New Roman"/>
        </w:rPr>
        <w:t xml:space="preserve">Commission does not provide respondents with an assurance of confidentiality beyond that provided by applicable law.  Additionally, the Commission adheres to the restrictions on data release provided by §8(a)(1) of the CEA. </w:t>
      </w:r>
    </w:p>
    <w:p w:rsidR="00C05C3F" w:rsidRDefault="00C05C3F" w:rsidP="00C05C3F">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C05C3F" w:rsidRDefault="00C05C3F" w:rsidP="00C05C3F">
      <w:pPr>
        <w:tabs>
          <w:tab w:val="left" w:pos="-720"/>
        </w:tabs>
        <w:suppressAutoHyphens/>
        <w:ind w:left="720" w:hanging="720"/>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The regulations covered by the collections do not require the giving of such sensitive information, as that term is used in Question 11.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r>
      <w:r w:rsidRPr="00513D9E">
        <w:rPr>
          <w:rFonts w:ascii="Times New Roman" w:hAnsi="Times New Roman"/>
          <w:u w:val="single"/>
        </w:rPr>
        <w:t>See</w:t>
      </w:r>
      <w:r w:rsidR="00F4338A">
        <w:rPr>
          <w:rFonts w:ascii="Times New Roman" w:hAnsi="Times New Roman"/>
          <w:u w:val="single"/>
        </w:rPr>
        <w:t>,</w:t>
      </w:r>
      <w:r>
        <w:rPr>
          <w:rFonts w:ascii="Times New Roman" w:hAnsi="Times New Roman"/>
        </w:rPr>
        <w:t xml:space="preserve"> Attachment A.  </w:t>
      </w:r>
      <w:r>
        <w:rPr>
          <w:rFonts w:ascii="Times New Roman" w:hAnsi="Times New Roman"/>
        </w:rPr>
        <w:tab/>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Provide an estimate of the total annual cost burden to respondents or recordkeepers resulting from the collection of information.  (Do not include the cost of any hour burden shown in Items 12 and 14)</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See Attachment A.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C05C3F" w:rsidRDefault="00C05C3F" w:rsidP="00C05C3F">
      <w:pPr>
        <w:tabs>
          <w:tab w:val="left" w:pos="-720"/>
        </w:tabs>
        <w:suppressAutoHyphens/>
        <w:rPr>
          <w:rFonts w:ascii="Times New Roman" w:hAnsi="Times New Roman"/>
        </w:rPr>
      </w:pPr>
    </w:p>
    <w:p w:rsidR="00C05C3F" w:rsidRDefault="00C05C3F" w:rsidP="005C7654">
      <w:pPr>
        <w:tabs>
          <w:tab w:val="left" w:pos="-720"/>
        </w:tabs>
        <w:suppressAutoHyphens/>
        <w:ind w:left="720" w:hanging="720"/>
        <w:rPr>
          <w:rFonts w:ascii="Times New Roman" w:hAnsi="Times New Roman"/>
        </w:rPr>
      </w:pPr>
      <w:r>
        <w:rPr>
          <w:rFonts w:ascii="Times New Roman" w:hAnsi="Times New Roman"/>
        </w:rPr>
        <w:tab/>
        <w:t xml:space="preserve">The Federal Government will expend no </w:t>
      </w:r>
      <w:r w:rsidR="00AA5877">
        <w:rPr>
          <w:rFonts w:ascii="Times New Roman" w:hAnsi="Times New Roman"/>
        </w:rPr>
        <w:t xml:space="preserve">more than normal operating </w:t>
      </w:r>
      <w:r>
        <w:rPr>
          <w:rFonts w:ascii="Times New Roman" w:hAnsi="Times New Roman"/>
        </w:rPr>
        <w:t>costs as a result of this collection of</w:t>
      </w:r>
      <w:r w:rsidR="005C7654">
        <w:rPr>
          <w:rFonts w:ascii="Times New Roman" w:hAnsi="Times New Roman"/>
        </w:rPr>
        <w:t xml:space="preserve"> </w:t>
      </w:r>
      <w:r>
        <w:rPr>
          <w:rFonts w:ascii="Times New Roman" w:hAnsi="Times New Roman"/>
        </w:rPr>
        <w:t>information.</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No exceptions exist.  </w:t>
      </w:r>
    </w:p>
    <w:p w:rsidR="00C05C3F" w:rsidRDefault="00C05C3F" w:rsidP="00C05C3F">
      <w:pPr>
        <w:tabs>
          <w:tab w:val="left" w:pos="-720"/>
        </w:tabs>
        <w:suppressAutoHyphens/>
        <w:rPr>
          <w:rFonts w:ascii="Times New Roman" w:hAnsi="Times New Roman"/>
        </w:rPr>
      </w:pPr>
      <w:r>
        <w:rPr>
          <w:rFonts w:ascii="Times New Roman" w:hAnsi="Times New Roman"/>
        </w:rPr>
        <w:tab/>
      </w:r>
    </w:p>
    <w:p w:rsidR="00894F84" w:rsidRDefault="00C05C3F" w:rsidP="00894F84">
      <w:pPr>
        <w:tabs>
          <w:tab w:val="left" w:pos="-720"/>
        </w:tabs>
        <w:suppressAutoHyphens/>
        <w:jc w:val="center"/>
        <w:rPr>
          <w:rFonts w:ascii="Times New Roman" w:hAnsi="Times New Roman"/>
          <w:b/>
          <w:u w:val="single"/>
        </w:rPr>
      </w:pPr>
      <w:r>
        <w:rPr>
          <w:rFonts w:ascii="Times New Roman" w:hAnsi="Times New Roman"/>
        </w:rPr>
        <w:br w:type="page"/>
      </w:r>
      <w:r w:rsidR="00894F84">
        <w:rPr>
          <w:rFonts w:ascii="Times New Roman" w:hAnsi="Times New Roman"/>
          <w:b/>
          <w:u w:val="single"/>
        </w:rPr>
        <w:t>Attachment A</w:t>
      </w:r>
    </w:p>
    <w:p w:rsidR="00894F84" w:rsidRDefault="00894F84" w:rsidP="00894F84">
      <w:pPr>
        <w:tabs>
          <w:tab w:val="left" w:pos="-720"/>
        </w:tabs>
        <w:suppressAutoHyphens/>
        <w:rPr>
          <w:rFonts w:ascii="Times New Roman" w:hAnsi="Times New Roman"/>
        </w:rPr>
      </w:pPr>
    </w:p>
    <w:p w:rsidR="00894F84" w:rsidRDefault="00894F84" w:rsidP="00894F84">
      <w:pPr>
        <w:tabs>
          <w:tab w:val="left" w:pos="-720"/>
        </w:tabs>
        <w:suppressAutoHyphens/>
        <w:rPr>
          <w:rFonts w:ascii="Times New Roman" w:hAnsi="Times New Roman"/>
        </w:rPr>
      </w:pPr>
    </w:p>
    <w:p w:rsidR="00894F84" w:rsidRDefault="00894F84" w:rsidP="00894F84">
      <w:pPr>
        <w:pStyle w:val="BodyTextIndent"/>
        <w:jc w:val="center"/>
        <w:rPr>
          <w:b/>
        </w:rPr>
      </w:pPr>
      <w:r>
        <w:rPr>
          <w:b/>
        </w:rPr>
        <w:t>Provisions Common to Registered Entities Under 745 of the Dodd-Frank Act</w:t>
      </w:r>
    </w:p>
    <w:p w:rsidR="00894F84" w:rsidRDefault="00894F84" w:rsidP="00894F84">
      <w:pPr>
        <w:pStyle w:val="BodyTextIndent"/>
        <w:jc w:val="center"/>
        <w:rPr>
          <w:b/>
          <w:u w:val="single"/>
        </w:rPr>
      </w:pPr>
      <w:r>
        <w:rPr>
          <w:b/>
          <w:u w:val="single"/>
        </w:rPr>
        <w:t>Estimated Annual Hour and Cost Burden of the Collection of Information</w:t>
      </w:r>
    </w:p>
    <w:p w:rsidR="00894F84" w:rsidRDefault="00894F84" w:rsidP="00894F84">
      <w:pPr>
        <w:pStyle w:val="BodyTextIndent"/>
        <w:jc w:val="center"/>
        <w:rPr>
          <w:b/>
          <w:u w:val="single"/>
        </w:rPr>
      </w:pPr>
    </w:p>
    <w:p w:rsidR="00894F84" w:rsidRDefault="00894F84" w:rsidP="00894F84">
      <w:pPr>
        <w:pStyle w:val="BodyTextIndent"/>
        <w:jc w:val="center"/>
        <w:rPr>
          <w:b/>
          <w:u w:val="single"/>
        </w:rPr>
      </w:pPr>
    </w:p>
    <w:p w:rsidR="00894F84" w:rsidRDefault="00894F84" w:rsidP="00894F84">
      <w:pPr>
        <w:pStyle w:val="BodyTextIndent"/>
        <w:jc w:val="center"/>
        <w:rPr>
          <w:b/>
        </w:rPr>
      </w:pPr>
    </w:p>
    <w:tbl>
      <w:tblPr>
        <w:tblW w:w="9951"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975"/>
        <w:gridCol w:w="7"/>
        <w:gridCol w:w="33"/>
        <w:gridCol w:w="1312"/>
        <w:gridCol w:w="1186"/>
        <w:gridCol w:w="11"/>
        <w:gridCol w:w="1792"/>
        <w:gridCol w:w="1066"/>
        <w:gridCol w:w="13"/>
        <w:gridCol w:w="1527"/>
        <w:gridCol w:w="29"/>
      </w:tblGrid>
      <w:tr w:rsidR="00894F84" w:rsidTr="003E3BE1">
        <w:trPr>
          <w:jc w:val="center"/>
        </w:trPr>
        <w:tc>
          <w:tcPr>
            <w:tcW w:w="3015" w:type="dxa"/>
            <w:gridSpan w:val="3"/>
            <w:tcBorders>
              <w:top w:val="single" w:sz="4" w:space="0" w:color="auto"/>
              <w:left w:val="single" w:sz="4" w:space="0" w:color="auto"/>
              <w:bottom w:val="single" w:sz="4" w:space="0" w:color="auto"/>
              <w:right w:val="single" w:sz="4" w:space="0" w:color="auto"/>
            </w:tcBorders>
            <w:hideMark/>
          </w:tcPr>
          <w:p w:rsidR="00894F84" w:rsidRDefault="00894F84">
            <w:pPr>
              <w:pStyle w:val="BodyTextIndent"/>
              <w:spacing w:line="276" w:lineRule="auto"/>
              <w:ind w:left="0" w:firstLine="0"/>
              <w:jc w:val="center"/>
              <w:rPr>
                <w:b/>
                <w:u w:val="single"/>
              </w:rPr>
            </w:pPr>
            <w:r>
              <w:rPr>
                <w:b/>
                <w:u w:val="single"/>
              </w:rPr>
              <w:t xml:space="preserve">Rule 40.2 and 40.3 Submissions </w:t>
            </w:r>
          </w:p>
        </w:tc>
        <w:tc>
          <w:tcPr>
            <w:tcW w:w="1312" w:type="dxa"/>
            <w:tcBorders>
              <w:top w:val="single" w:sz="4" w:space="0" w:color="auto"/>
              <w:left w:val="single" w:sz="4" w:space="0" w:color="auto"/>
              <w:bottom w:val="single" w:sz="4" w:space="0" w:color="auto"/>
              <w:right w:val="single" w:sz="4" w:space="0" w:color="auto"/>
            </w:tcBorders>
          </w:tcPr>
          <w:p w:rsidR="00894F84" w:rsidRDefault="00894F84">
            <w:pPr>
              <w:pStyle w:val="BodyTextIndent"/>
              <w:spacing w:line="276" w:lineRule="auto"/>
              <w:ind w:left="0" w:firstLine="0"/>
              <w:jc w:val="center"/>
            </w:pPr>
            <w:r>
              <w:t>Est’d # of Covered Entities</w:t>
            </w:r>
          </w:p>
          <w:p w:rsidR="00894F84" w:rsidRDefault="00894F84">
            <w:pPr>
              <w:pStyle w:val="BodyTextIndent"/>
              <w:spacing w:line="276" w:lineRule="auto"/>
              <w:ind w:left="0" w:firstLine="0"/>
              <w:jc w:val="center"/>
            </w:pPr>
          </w:p>
        </w:tc>
        <w:tc>
          <w:tcPr>
            <w:tcW w:w="1186" w:type="dxa"/>
            <w:tcBorders>
              <w:top w:val="single" w:sz="4" w:space="0" w:color="auto"/>
              <w:left w:val="single" w:sz="4" w:space="0" w:color="auto"/>
              <w:bottom w:val="single" w:sz="4" w:space="0" w:color="auto"/>
              <w:right w:val="single" w:sz="4" w:space="0" w:color="auto"/>
            </w:tcBorders>
            <w:hideMark/>
          </w:tcPr>
          <w:p w:rsidR="00894F84" w:rsidRDefault="00894F84">
            <w:pPr>
              <w:pStyle w:val="BodyTextIndent"/>
              <w:spacing w:line="276" w:lineRule="auto"/>
              <w:ind w:left="0" w:firstLine="0"/>
              <w:jc w:val="center"/>
            </w:pPr>
            <w:r>
              <w:t xml:space="preserve"># of Annual Reponses from each entity </w:t>
            </w:r>
          </w:p>
        </w:tc>
        <w:tc>
          <w:tcPr>
            <w:tcW w:w="1803" w:type="dxa"/>
            <w:gridSpan w:val="2"/>
            <w:tcBorders>
              <w:top w:val="single" w:sz="4" w:space="0" w:color="auto"/>
              <w:left w:val="single" w:sz="4" w:space="0" w:color="auto"/>
              <w:bottom w:val="single" w:sz="4" w:space="0" w:color="auto"/>
              <w:right w:val="single" w:sz="4" w:space="0" w:color="auto"/>
            </w:tcBorders>
            <w:hideMark/>
          </w:tcPr>
          <w:p w:rsidR="00894F84" w:rsidRDefault="00894F84">
            <w:pPr>
              <w:pStyle w:val="BodyTextIndent"/>
              <w:spacing w:line="276" w:lineRule="auto"/>
              <w:ind w:left="0" w:firstLine="0"/>
              <w:jc w:val="center"/>
            </w:pPr>
            <w:r>
              <w:t xml:space="preserve">Est’d Avg. # of Hrs. to Burden Hours Report </w:t>
            </w:r>
          </w:p>
        </w:tc>
        <w:tc>
          <w:tcPr>
            <w:tcW w:w="1066" w:type="dxa"/>
            <w:tcBorders>
              <w:top w:val="single" w:sz="4" w:space="0" w:color="auto"/>
              <w:left w:val="single" w:sz="4" w:space="0" w:color="auto"/>
              <w:bottom w:val="single" w:sz="4" w:space="0" w:color="auto"/>
              <w:right w:val="single" w:sz="4" w:space="0" w:color="auto"/>
            </w:tcBorders>
          </w:tcPr>
          <w:p w:rsidR="00894F84" w:rsidRDefault="00894F84">
            <w:pPr>
              <w:pStyle w:val="BodyTextIndent"/>
              <w:spacing w:line="276" w:lineRule="auto"/>
              <w:ind w:left="0" w:firstLine="0"/>
              <w:jc w:val="center"/>
            </w:pPr>
            <w:r>
              <w:t>Est’d Total</w:t>
            </w:r>
          </w:p>
          <w:p w:rsidR="00894F84" w:rsidRDefault="00894F84">
            <w:pPr>
              <w:pStyle w:val="BodyTextIndent"/>
              <w:spacing w:line="276" w:lineRule="auto"/>
              <w:ind w:left="0" w:firstLine="0"/>
              <w:jc w:val="center"/>
            </w:pPr>
            <w:r>
              <w:t xml:space="preserve">Annual </w:t>
            </w:r>
          </w:p>
          <w:p w:rsidR="00894F84" w:rsidRDefault="00894F84">
            <w:pPr>
              <w:pStyle w:val="BodyTextIndent"/>
              <w:spacing w:line="276" w:lineRule="auto"/>
              <w:ind w:left="0" w:firstLine="0"/>
              <w:jc w:val="center"/>
            </w:pPr>
            <w:r>
              <w:t xml:space="preserve">Burden Hrs. </w:t>
            </w:r>
          </w:p>
          <w:p w:rsidR="00894F84" w:rsidRDefault="00894F84">
            <w:pPr>
              <w:pStyle w:val="BodyTextIndent"/>
              <w:spacing w:line="276" w:lineRule="auto"/>
              <w:ind w:left="0" w:firstLine="0"/>
              <w:jc w:val="center"/>
            </w:pPr>
          </w:p>
          <w:p w:rsidR="00894F84" w:rsidRDefault="00894F84">
            <w:pPr>
              <w:pStyle w:val="BodyTextIndent"/>
              <w:spacing w:line="276" w:lineRule="auto"/>
              <w:ind w:left="0" w:firstLine="0"/>
              <w:jc w:val="center"/>
            </w:pPr>
          </w:p>
        </w:tc>
        <w:tc>
          <w:tcPr>
            <w:tcW w:w="1569" w:type="dxa"/>
            <w:gridSpan w:val="3"/>
            <w:tcBorders>
              <w:top w:val="single" w:sz="4" w:space="0" w:color="auto"/>
              <w:left w:val="single" w:sz="4" w:space="0" w:color="auto"/>
              <w:bottom w:val="single" w:sz="4" w:space="0" w:color="auto"/>
              <w:right w:val="single" w:sz="4" w:space="0" w:color="auto"/>
            </w:tcBorders>
          </w:tcPr>
          <w:p w:rsidR="00894F84" w:rsidRDefault="00894F84">
            <w:pPr>
              <w:pStyle w:val="BodyTextIndent"/>
              <w:spacing w:line="276" w:lineRule="auto"/>
              <w:ind w:left="0" w:firstLine="0"/>
              <w:jc w:val="center"/>
            </w:pPr>
            <w:r>
              <w:t>Est’d Annual Total</w:t>
            </w:r>
          </w:p>
          <w:p w:rsidR="00894F84" w:rsidRDefault="00894F84">
            <w:pPr>
              <w:pStyle w:val="BodyTextIndent"/>
              <w:spacing w:line="276" w:lineRule="auto"/>
              <w:ind w:left="0" w:firstLine="0"/>
              <w:jc w:val="center"/>
            </w:pPr>
            <w:r>
              <w:t xml:space="preserve">Costs at $70 per hour </w:t>
            </w:r>
          </w:p>
          <w:p w:rsidR="00894F84" w:rsidRDefault="00894F84">
            <w:pPr>
              <w:pStyle w:val="BodyTextIndent"/>
              <w:spacing w:line="276" w:lineRule="auto"/>
              <w:ind w:left="0" w:firstLine="0"/>
              <w:jc w:val="center"/>
            </w:pPr>
          </w:p>
        </w:tc>
      </w:tr>
      <w:tr w:rsidR="00894F84" w:rsidTr="003E3BE1">
        <w:trPr>
          <w:jc w:val="center"/>
        </w:trPr>
        <w:tc>
          <w:tcPr>
            <w:tcW w:w="3015" w:type="dxa"/>
            <w:gridSpan w:val="3"/>
            <w:tcBorders>
              <w:top w:val="single" w:sz="4" w:space="0" w:color="auto"/>
              <w:left w:val="single" w:sz="4" w:space="0" w:color="auto"/>
              <w:bottom w:val="single" w:sz="4" w:space="0" w:color="auto"/>
              <w:right w:val="single" w:sz="4" w:space="0" w:color="auto"/>
            </w:tcBorders>
          </w:tcPr>
          <w:p w:rsidR="00894F84" w:rsidRDefault="00894F84">
            <w:pPr>
              <w:pStyle w:val="BodyTextIndent"/>
              <w:spacing w:line="276" w:lineRule="auto"/>
              <w:ind w:left="0" w:firstLine="0"/>
              <w:jc w:val="center"/>
            </w:pPr>
          </w:p>
        </w:tc>
        <w:tc>
          <w:tcPr>
            <w:tcW w:w="1312" w:type="dxa"/>
            <w:tcBorders>
              <w:top w:val="single" w:sz="4" w:space="0" w:color="auto"/>
              <w:left w:val="single" w:sz="4" w:space="0" w:color="auto"/>
              <w:bottom w:val="single" w:sz="4" w:space="0" w:color="auto"/>
              <w:right w:val="single" w:sz="4" w:space="0" w:color="auto"/>
            </w:tcBorders>
            <w:hideMark/>
          </w:tcPr>
          <w:p w:rsidR="00894F84" w:rsidRDefault="00894F84">
            <w:pPr>
              <w:pStyle w:val="BodyTextIndent"/>
              <w:spacing w:line="276" w:lineRule="auto"/>
              <w:ind w:left="0" w:firstLine="0"/>
              <w:jc w:val="center"/>
            </w:pPr>
            <w:r>
              <w:t>70</w:t>
            </w:r>
          </w:p>
        </w:tc>
        <w:tc>
          <w:tcPr>
            <w:tcW w:w="1186" w:type="dxa"/>
            <w:tcBorders>
              <w:top w:val="single" w:sz="4" w:space="0" w:color="auto"/>
              <w:left w:val="single" w:sz="4" w:space="0" w:color="auto"/>
              <w:bottom w:val="single" w:sz="4" w:space="0" w:color="auto"/>
              <w:right w:val="single" w:sz="4" w:space="0" w:color="auto"/>
            </w:tcBorders>
            <w:hideMark/>
          </w:tcPr>
          <w:p w:rsidR="00894F84" w:rsidRDefault="006B2565">
            <w:pPr>
              <w:pStyle w:val="BodyTextIndent"/>
              <w:spacing w:line="276" w:lineRule="auto"/>
              <w:ind w:left="0" w:firstLine="0"/>
              <w:jc w:val="center"/>
            </w:pPr>
            <w:r>
              <w:t>50</w:t>
            </w:r>
          </w:p>
        </w:tc>
        <w:tc>
          <w:tcPr>
            <w:tcW w:w="1803" w:type="dxa"/>
            <w:gridSpan w:val="2"/>
            <w:tcBorders>
              <w:top w:val="single" w:sz="4" w:space="0" w:color="auto"/>
              <w:left w:val="single" w:sz="4" w:space="0" w:color="auto"/>
              <w:bottom w:val="single" w:sz="4" w:space="0" w:color="auto"/>
              <w:right w:val="single" w:sz="4" w:space="0" w:color="auto"/>
            </w:tcBorders>
            <w:hideMark/>
          </w:tcPr>
          <w:p w:rsidR="00894F84" w:rsidRDefault="00894F84">
            <w:pPr>
              <w:pStyle w:val="BodyTextIndent"/>
              <w:spacing w:line="276" w:lineRule="auto"/>
              <w:ind w:left="0" w:firstLine="0"/>
              <w:jc w:val="center"/>
            </w:pPr>
            <w:r>
              <w:t>21</w:t>
            </w:r>
          </w:p>
        </w:tc>
        <w:tc>
          <w:tcPr>
            <w:tcW w:w="1066" w:type="dxa"/>
            <w:tcBorders>
              <w:top w:val="single" w:sz="4" w:space="0" w:color="auto"/>
              <w:left w:val="single" w:sz="4" w:space="0" w:color="auto"/>
              <w:bottom w:val="single" w:sz="4" w:space="0" w:color="auto"/>
              <w:right w:val="single" w:sz="4" w:space="0" w:color="auto"/>
            </w:tcBorders>
            <w:hideMark/>
          </w:tcPr>
          <w:p w:rsidR="00894F84" w:rsidRDefault="006B2565">
            <w:pPr>
              <w:pStyle w:val="BodyTextIndent"/>
              <w:spacing w:line="276" w:lineRule="auto"/>
              <w:ind w:left="0" w:firstLine="0"/>
              <w:jc w:val="center"/>
            </w:pPr>
            <w:r>
              <w:t>73,500</w:t>
            </w:r>
          </w:p>
        </w:tc>
        <w:tc>
          <w:tcPr>
            <w:tcW w:w="1569" w:type="dxa"/>
            <w:gridSpan w:val="3"/>
            <w:tcBorders>
              <w:top w:val="single" w:sz="4" w:space="0" w:color="auto"/>
              <w:left w:val="single" w:sz="4" w:space="0" w:color="auto"/>
              <w:bottom w:val="single" w:sz="4" w:space="0" w:color="auto"/>
              <w:right w:val="single" w:sz="4" w:space="0" w:color="auto"/>
            </w:tcBorders>
            <w:hideMark/>
          </w:tcPr>
          <w:p w:rsidR="00894F84" w:rsidRDefault="00894F84" w:rsidP="006B2565">
            <w:pPr>
              <w:pStyle w:val="BodyTextIndent"/>
              <w:spacing w:line="276" w:lineRule="auto"/>
              <w:ind w:left="0" w:firstLine="0"/>
            </w:pPr>
            <w:r>
              <w:t xml:space="preserve">$ </w:t>
            </w:r>
            <w:r w:rsidR="006B2565">
              <w:t>5</w:t>
            </w:r>
            <w:r>
              <w:t>,</w:t>
            </w:r>
            <w:r w:rsidR="006B2565">
              <w:t>145</w:t>
            </w:r>
            <w:r>
              <w:t>,000</w:t>
            </w:r>
            <w:r w:rsidR="00CC1218">
              <w:rPr>
                <w:rStyle w:val="FootnoteReference"/>
              </w:rPr>
              <w:footnoteReference w:id="1"/>
            </w:r>
          </w:p>
        </w:tc>
      </w:tr>
      <w:tr w:rsidR="00894F84" w:rsidTr="003E3BE1">
        <w:trPr>
          <w:jc w:val="center"/>
        </w:trPr>
        <w:tc>
          <w:tcPr>
            <w:tcW w:w="3015" w:type="dxa"/>
            <w:gridSpan w:val="3"/>
            <w:tcBorders>
              <w:top w:val="single" w:sz="4" w:space="0" w:color="auto"/>
              <w:left w:val="single" w:sz="4" w:space="0" w:color="auto"/>
              <w:bottom w:val="single" w:sz="4" w:space="0" w:color="auto"/>
              <w:right w:val="single" w:sz="4" w:space="0" w:color="auto"/>
            </w:tcBorders>
            <w:hideMark/>
          </w:tcPr>
          <w:p w:rsidR="00894F84" w:rsidRDefault="00894F84">
            <w:pPr>
              <w:pStyle w:val="BodyTextIndent"/>
              <w:spacing w:line="276" w:lineRule="auto"/>
              <w:ind w:left="0" w:firstLine="0"/>
              <w:jc w:val="center"/>
              <w:rPr>
                <w:b/>
                <w:u w:val="single"/>
              </w:rPr>
            </w:pPr>
            <w:r>
              <w:rPr>
                <w:b/>
                <w:u w:val="single"/>
              </w:rPr>
              <w:t xml:space="preserve">Rule 40.5 and 40.6 Submissions </w:t>
            </w:r>
          </w:p>
        </w:tc>
        <w:tc>
          <w:tcPr>
            <w:tcW w:w="1312" w:type="dxa"/>
            <w:tcBorders>
              <w:top w:val="single" w:sz="4" w:space="0" w:color="auto"/>
              <w:left w:val="single" w:sz="4" w:space="0" w:color="auto"/>
              <w:bottom w:val="single" w:sz="4" w:space="0" w:color="auto"/>
              <w:right w:val="single" w:sz="4" w:space="0" w:color="auto"/>
            </w:tcBorders>
          </w:tcPr>
          <w:p w:rsidR="00894F84" w:rsidRDefault="00894F84">
            <w:pPr>
              <w:pStyle w:val="BodyTextIndent"/>
              <w:spacing w:line="276" w:lineRule="auto"/>
              <w:ind w:left="0" w:firstLine="0"/>
              <w:jc w:val="center"/>
            </w:pPr>
            <w:r>
              <w:t>Est’d # of Covered Entities</w:t>
            </w:r>
          </w:p>
          <w:p w:rsidR="00894F84" w:rsidRDefault="00894F84">
            <w:pPr>
              <w:pStyle w:val="BodyTextIndent"/>
              <w:spacing w:line="276" w:lineRule="auto"/>
              <w:ind w:left="0" w:firstLine="0"/>
              <w:jc w:val="center"/>
            </w:pPr>
          </w:p>
        </w:tc>
        <w:tc>
          <w:tcPr>
            <w:tcW w:w="1186" w:type="dxa"/>
            <w:tcBorders>
              <w:top w:val="single" w:sz="4" w:space="0" w:color="auto"/>
              <w:left w:val="single" w:sz="4" w:space="0" w:color="auto"/>
              <w:bottom w:val="single" w:sz="4" w:space="0" w:color="auto"/>
              <w:right w:val="single" w:sz="4" w:space="0" w:color="auto"/>
            </w:tcBorders>
            <w:hideMark/>
          </w:tcPr>
          <w:p w:rsidR="00894F84" w:rsidRDefault="00894F84">
            <w:pPr>
              <w:pStyle w:val="BodyTextIndent"/>
              <w:spacing w:line="276" w:lineRule="auto"/>
              <w:ind w:left="0" w:firstLine="0"/>
              <w:jc w:val="center"/>
            </w:pPr>
            <w:r>
              <w:t xml:space="preserve"># of Annual Reponses from each entity </w:t>
            </w:r>
          </w:p>
        </w:tc>
        <w:tc>
          <w:tcPr>
            <w:tcW w:w="1803" w:type="dxa"/>
            <w:gridSpan w:val="2"/>
            <w:tcBorders>
              <w:top w:val="single" w:sz="4" w:space="0" w:color="auto"/>
              <w:left w:val="single" w:sz="4" w:space="0" w:color="auto"/>
              <w:bottom w:val="single" w:sz="4" w:space="0" w:color="auto"/>
              <w:right w:val="single" w:sz="4" w:space="0" w:color="auto"/>
            </w:tcBorders>
            <w:hideMark/>
          </w:tcPr>
          <w:p w:rsidR="00894F84" w:rsidRDefault="00894F84">
            <w:pPr>
              <w:pStyle w:val="BodyTextIndent"/>
              <w:spacing w:line="276" w:lineRule="auto"/>
              <w:ind w:left="0" w:firstLine="0"/>
              <w:jc w:val="center"/>
            </w:pPr>
            <w:r>
              <w:t xml:space="preserve">Est’d Avg. # of Hrs. to Burden Hours Report </w:t>
            </w:r>
          </w:p>
        </w:tc>
        <w:tc>
          <w:tcPr>
            <w:tcW w:w="1066" w:type="dxa"/>
            <w:tcBorders>
              <w:top w:val="single" w:sz="4" w:space="0" w:color="auto"/>
              <w:left w:val="single" w:sz="4" w:space="0" w:color="auto"/>
              <w:bottom w:val="single" w:sz="4" w:space="0" w:color="auto"/>
              <w:right w:val="single" w:sz="4" w:space="0" w:color="auto"/>
            </w:tcBorders>
          </w:tcPr>
          <w:p w:rsidR="00894F84" w:rsidRDefault="00894F84">
            <w:pPr>
              <w:pStyle w:val="BodyTextIndent"/>
              <w:spacing w:line="276" w:lineRule="auto"/>
              <w:ind w:left="0" w:firstLine="0"/>
              <w:jc w:val="center"/>
            </w:pPr>
            <w:r>
              <w:t>Est’d Total</w:t>
            </w:r>
          </w:p>
          <w:p w:rsidR="00894F84" w:rsidRDefault="00894F84">
            <w:pPr>
              <w:pStyle w:val="BodyTextIndent"/>
              <w:spacing w:line="276" w:lineRule="auto"/>
              <w:ind w:left="0" w:firstLine="0"/>
              <w:jc w:val="center"/>
            </w:pPr>
            <w:r>
              <w:t xml:space="preserve">Annual </w:t>
            </w:r>
          </w:p>
          <w:p w:rsidR="00894F84" w:rsidRDefault="00894F84">
            <w:pPr>
              <w:pStyle w:val="BodyTextIndent"/>
              <w:spacing w:line="276" w:lineRule="auto"/>
              <w:ind w:left="0" w:firstLine="0"/>
              <w:jc w:val="center"/>
            </w:pPr>
            <w:r>
              <w:t xml:space="preserve">Burden Hrs. </w:t>
            </w:r>
          </w:p>
          <w:p w:rsidR="00894F84" w:rsidRDefault="00894F84">
            <w:pPr>
              <w:pStyle w:val="BodyTextIndent"/>
              <w:spacing w:line="276" w:lineRule="auto"/>
              <w:ind w:left="0" w:firstLine="0"/>
              <w:jc w:val="center"/>
            </w:pPr>
          </w:p>
          <w:p w:rsidR="00894F84" w:rsidRDefault="00894F84">
            <w:pPr>
              <w:pStyle w:val="BodyTextIndent"/>
              <w:spacing w:line="276" w:lineRule="auto"/>
              <w:ind w:left="0" w:firstLine="0"/>
              <w:jc w:val="center"/>
            </w:pPr>
          </w:p>
        </w:tc>
        <w:tc>
          <w:tcPr>
            <w:tcW w:w="1569" w:type="dxa"/>
            <w:gridSpan w:val="3"/>
            <w:tcBorders>
              <w:top w:val="single" w:sz="4" w:space="0" w:color="auto"/>
              <w:left w:val="single" w:sz="4" w:space="0" w:color="auto"/>
              <w:bottom w:val="single" w:sz="4" w:space="0" w:color="auto"/>
              <w:right w:val="single" w:sz="4" w:space="0" w:color="auto"/>
            </w:tcBorders>
          </w:tcPr>
          <w:p w:rsidR="00894F84" w:rsidRDefault="00894F84">
            <w:pPr>
              <w:pStyle w:val="BodyTextIndent"/>
              <w:spacing w:line="276" w:lineRule="auto"/>
              <w:ind w:left="0" w:firstLine="0"/>
              <w:jc w:val="center"/>
            </w:pPr>
            <w:r>
              <w:t>Est’d Annual Total</w:t>
            </w:r>
          </w:p>
          <w:p w:rsidR="00894F84" w:rsidRDefault="00894F84">
            <w:pPr>
              <w:pStyle w:val="BodyTextIndent"/>
              <w:spacing w:line="276" w:lineRule="auto"/>
              <w:ind w:left="0" w:firstLine="0"/>
              <w:jc w:val="center"/>
            </w:pPr>
            <w:r>
              <w:t xml:space="preserve">Costs at $70 per hour </w:t>
            </w:r>
          </w:p>
          <w:p w:rsidR="00894F84" w:rsidRDefault="00894F84">
            <w:pPr>
              <w:pStyle w:val="BodyTextIndent"/>
              <w:spacing w:line="276" w:lineRule="auto"/>
              <w:ind w:left="0" w:firstLine="0"/>
              <w:jc w:val="center"/>
            </w:pPr>
          </w:p>
        </w:tc>
      </w:tr>
      <w:tr w:rsidR="00894F84" w:rsidTr="003E3BE1">
        <w:trPr>
          <w:jc w:val="center"/>
        </w:trPr>
        <w:tc>
          <w:tcPr>
            <w:tcW w:w="3015" w:type="dxa"/>
            <w:gridSpan w:val="3"/>
            <w:tcBorders>
              <w:top w:val="single" w:sz="4" w:space="0" w:color="auto"/>
              <w:left w:val="single" w:sz="4" w:space="0" w:color="auto"/>
              <w:bottom w:val="single" w:sz="4" w:space="0" w:color="auto"/>
              <w:right w:val="single" w:sz="4" w:space="0" w:color="auto"/>
            </w:tcBorders>
          </w:tcPr>
          <w:p w:rsidR="00894F84" w:rsidRDefault="00894F84">
            <w:pPr>
              <w:pStyle w:val="BodyTextIndent"/>
              <w:spacing w:line="276" w:lineRule="auto"/>
              <w:ind w:left="0" w:firstLine="0"/>
              <w:jc w:val="center"/>
            </w:pPr>
          </w:p>
        </w:tc>
        <w:tc>
          <w:tcPr>
            <w:tcW w:w="1312" w:type="dxa"/>
            <w:tcBorders>
              <w:top w:val="single" w:sz="4" w:space="0" w:color="auto"/>
              <w:left w:val="single" w:sz="4" w:space="0" w:color="auto"/>
              <w:bottom w:val="single" w:sz="4" w:space="0" w:color="auto"/>
              <w:right w:val="single" w:sz="4" w:space="0" w:color="auto"/>
            </w:tcBorders>
            <w:hideMark/>
          </w:tcPr>
          <w:p w:rsidR="00894F84" w:rsidRDefault="00894F84">
            <w:pPr>
              <w:pStyle w:val="BodyTextIndent"/>
              <w:spacing w:line="276" w:lineRule="auto"/>
              <w:ind w:left="0" w:firstLine="0"/>
              <w:jc w:val="center"/>
            </w:pPr>
            <w:r>
              <w:t>70</w:t>
            </w:r>
          </w:p>
        </w:tc>
        <w:tc>
          <w:tcPr>
            <w:tcW w:w="1186" w:type="dxa"/>
            <w:tcBorders>
              <w:top w:val="single" w:sz="4" w:space="0" w:color="auto"/>
              <w:left w:val="single" w:sz="4" w:space="0" w:color="auto"/>
              <w:bottom w:val="single" w:sz="4" w:space="0" w:color="auto"/>
              <w:right w:val="single" w:sz="4" w:space="0" w:color="auto"/>
            </w:tcBorders>
            <w:hideMark/>
          </w:tcPr>
          <w:p w:rsidR="00894F84" w:rsidRDefault="006B2565">
            <w:pPr>
              <w:pStyle w:val="BodyTextIndent"/>
              <w:spacing w:line="276" w:lineRule="auto"/>
              <w:ind w:left="0" w:firstLine="0"/>
              <w:jc w:val="center"/>
            </w:pPr>
            <w:r>
              <w:t>50</w:t>
            </w:r>
          </w:p>
        </w:tc>
        <w:tc>
          <w:tcPr>
            <w:tcW w:w="1803" w:type="dxa"/>
            <w:gridSpan w:val="2"/>
            <w:tcBorders>
              <w:top w:val="single" w:sz="4" w:space="0" w:color="auto"/>
              <w:left w:val="single" w:sz="4" w:space="0" w:color="auto"/>
              <w:bottom w:val="single" w:sz="4" w:space="0" w:color="auto"/>
              <w:right w:val="single" w:sz="4" w:space="0" w:color="auto"/>
            </w:tcBorders>
            <w:hideMark/>
          </w:tcPr>
          <w:p w:rsidR="00894F84" w:rsidRDefault="00894F84">
            <w:pPr>
              <w:pStyle w:val="BodyTextIndent"/>
              <w:spacing w:line="276" w:lineRule="auto"/>
              <w:ind w:left="0" w:firstLine="0"/>
              <w:jc w:val="center"/>
            </w:pPr>
            <w:r>
              <w:t>2</w:t>
            </w:r>
          </w:p>
        </w:tc>
        <w:tc>
          <w:tcPr>
            <w:tcW w:w="1066" w:type="dxa"/>
            <w:tcBorders>
              <w:top w:val="single" w:sz="4" w:space="0" w:color="auto"/>
              <w:left w:val="single" w:sz="4" w:space="0" w:color="auto"/>
              <w:bottom w:val="single" w:sz="4" w:space="0" w:color="auto"/>
              <w:right w:val="single" w:sz="4" w:space="0" w:color="auto"/>
            </w:tcBorders>
            <w:hideMark/>
          </w:tcPr>
          <w:p w:rsidR="00894F84" w:rsidRDefault="006B2565">
            <w:pPr>
              <w:pStyle w:val="BodyTextIndent"/>
              <w:spacing w:line="276" w:lineRule="auto"/>
              <w:ind w:left="0" w:firstLine="0"/>
              <w:jc w:val="center"/>
            </w:pPr>
            <w:r>
              <w:t>7,000</w:t>
            </w:r>
          </w:p>
        </w:tc>
        <w:tc>
          <w:tcPr>
            <w:tcW w:w="1569" w:type="dxa"/>
            <w:gridSpan w:val="3"/>
            <w:tcBorders>
              <w:top w:val="single" w:sz="4" w:space="0" w:color="auto"/>
              <w:left w:val="single" w:sz="4" w:space="0" w:color="auto"/>
              <w:bottom w:val="single" w:sz="4" w:space="0" w:color="auto"/>
              <w:right w:val="single" w:sz="4" w:space="0" w:color="auto"/>
            </w:tcBorders>
            <w:hideMark/>
          </w:tcPr>
          <w:p w:rsidR="00894F84" w:rsidRDefault="00894F84" w:rsidP="006B2565">
            <w:pPr>
              <w:pStyle w:val="BodyTextIndent"/>
              <w:spacing w:line="276" w:lineRule="auto"/>
              <w:ind w:left="0" w:firstLine="0"/>
              <w:jc w:val="center"/>
            </w:pPr>
            <w:r>
              <w:t xml:space="preserve">$ </w:t>
            </w:r>
            <w:r w:rsidR="006B2565">
              <w:t>49</w:t>
            </w:r>
            <w:r w:rsidR="00CC1218">
              <w:t>0</w:t>
            </w:r>
            <w:r w:rsidR="006B2565">
              <w:t>,000</w:t>
            </w:r>
            <w:r w:rsidR="00CC1218">
              <w:rPr>
                <w:rStyle w:val="FootnoteReference"/>
              </w:rPr>
              <w:footnoteReference w:id="2"/>
            </w:r>
          </w:p>
        </w:tc>
      </w:tr>
      <w:tr w:rsidR="00227457" w:rsidTr="003E3BE1">
        <w:trPr>
          <w:gridAfter w:val="1"/>
          <w:wAfter w:w="29" w:type="dxa"/>
          <w:jc w:val="center"/>
        </w:trPr>
        <w:tc>
          <w:tcPr>
            <w:tcW w:w="2975" w:type="dxa"/>
            <w:tcBorders>
              <w:top w:val="single" w:sz="4" w:space="0" w:color="auto"/>
              <w:left w:val="single" w:sz="4" w:space="0" w:color="auto"/>
              <w:bottom w:val="single" w:sz="4" w:space="0" w:color="auto"/>
              <w:right w:val="single" w:sz="4" w:space="0" w:color="auto"/>
            </w:tcBorders>
            <w:hideMark/>
          </w:tcPr>
          <w:p w:rsidR="00227457" w:rsidRPr="003E3BE1" w:rsidRDefault="00227457">
            <w:pPr>
              <w:pStyle w:val="BodyTextIndent"/>
              <w:spacing w:line="276" w:lineRule="auto"/>
              <w:ind w:left="0" w:firstLine="0"/>
              <w:jc w:val="center"/>
              <w:rPr>
                <w:u w:val="single"/>
              </w:rPr>
            </w:pPr>
            <w:r w:rsidRPr="003E3BE1">
              <w:rPr>
                <w:b/>
                <w:u w:val="single"/>
              </w:rPr>
              <w:t>Rule 40.10 Submissions</w:t>
            </w:r>
          </w:p>
        </w:tc>
        <w:tc>
          <w:tcPr>
            <w:tcW w:w="1352" w:type="dxa"/>
            <w:gridSpan w:val="3"/>
            <w:tcBorders>
              <w:top w:val="single" w:sz="4" w:space="0" w:color="auto"/>
              <w:left w:val="single" w:sz="4" w:space="0" w:color="auto"/>
              <w:bottom w:val="single" w:sz="4" w:space="0" w:color="auto"/>
              <w:right w:val="single" w:sz="4" w:space="0" w:color="auto"/>
            </w:tcBorders>
            <w:hideMark/>
          </w:tcPr>
          <w:p w:rsidR="00227457" w:rsidRDefault="00227457" w:rsidP="00227457">
            <w:pPr>
              <w:pStyle w:val="BodyTextIndent"/>
              <w:spacing w:line="276" w:lineRule="auto"/>
              <w:ind w:left="0" w:firstLine="0"/>
              <w:jc w:val="center"/>
            </w:pPr>
            <w:r>
              <w:t>Est’d # of Covered Entities</w:t>
            </w:r>
          </w:p>
          <w:p w:rsidR="00227457" w:rsidRDefault="00227457">
            <w:pPr>
              <w:pStyle w:val="BodyTextIndent"/>
              <w:spacing w:line="276" w:lineRule="auto"/>
              <w:ind w:left="0" w:firstLine="0"/>
              <w:jc w:val="center"/>
            </w:pPr>
          </w:p>
        </w:tc>
        <w:tc>
          <w:tcPr>
            <w:tcW w:w="1197" w:type="dxa"/>
            <w:gridSpan w:val="2"/>
            <w:tcBorders>
              <w:top w:val="single" w:sz="4" w:space="0" w:color="auto"/>
              <w:left w:val="single" w:sz="4" w:space="0" w:color="auto"/>
              <w:bottom w:val="single" w:sz="4" w:space="0" w:color="auto"/>
              <w:right w:val="single" w:sz="4" w:space="0" w:color="auto"/>
            </w:tcBorders>
            <w:hideMark/>
          </w:tcPr>
          <w:p w:rsidR="00227457" w:rsidRDefault="00227457">
            <w:pPr>
              <w:pStyle w:val="BodyTextIndent"/>
              <w:spacing w:line="276" w:lineRule="auto"/>
              <w:ind w:left="0" w:firstLine="0"/>
              <w:jc w:val="center"/>
            </w:pPr>
            <w:r>
              <w:t># of Annual Reponses from each entity</w:t>
            </w:r>
          </w:p>
        </w:tc>
        <w:tc>
          <w:tcPr>
            <w:tcW w:w="1792" w:type="dxa"/>
            <w:tcBorders>
              <w:top w:val="single" w:sz="4" w:space="0" w:color="auto"/>
              <w:left w:val="single" w:sz="4" w:space="0" w:color="auto"/>
              <w:bottom w:val="single" w:sz="4" w:space="0" w:color="auto"/>
              <w:right w:val="single" w:sz="4" w:space="0" w:color="auto"/>
            </w:tcBorders>
          </w:tcPr>
          <w:p w:rsidR="00227457" w:rsidRDefault="00227457">
            <w:pPr>
              <w:pStyle w:val="BodyTextIndent"/>
              <w:spacing w:line="276" w:lineRule="auto"/>
              <w:ind w:left="0" w:firstLine="0"/>
              <w:jc w:val="center"/>
            </w:pPr>
          </w:p>
          <w:p w:rsidR="00227457" w:rsidRDefault="00227457">
            <w:pPr>
              <w:pStyle w:val="BodyTextIndent"/>
              <w:spacing w:line="276" w:lineRule="auto"/>
              <w:ind w:left="0" w:firstLine="0"/>
              <w:jc w:val="center"/>
            </w:pPr>
            <w:r>
              <w:t>Est’d Avg. # of Burden Hours Per Response</w:t>
            </w:r>
          </w:p>
        </w:tc>
        <w:tc>
          <w:tcPr>
            <w:tcW w:w="1079" w:type="dxa"/>
            <w:gridSpan w:val="2"/>
            <w:tcBorders>
              <w:top w:val="single" w:sz="4" w:space="0" w:color="auto"/>
              <w:left w:val="single" w:sz="4" w:space="0" w:color="auto"/>
              <w:bottom w:val="single" w:sz="4" w:space="0" w:color="auto"/>
              <w:right w:val="single" w:sz="4" w:space="0" w:color="auto"/>
            </w:tcBorders>
          </w:tcPr>
          <w:p w:rsidR="00227457" w:rsidRDefault="00227457" w:rsidP="00227457">
            <w:pPr>
              <w:pStyle w:val="BodyTextIndent"/>
              <w:spacing w:line="276" w:lineRule="auto"/>
              <w:ind w:left="0" w:firstLine="0"/>
              <w:jc w:val="center"/>
            </w:pPr>
            <w:r>
              <w:t>Est’d Total</w:t>
            </w:r>
          </w:p>
          <w:p w:rsidR="00227457" w:rsidRDefault="00227457" w:rsidP="00227457">
            <w:pPr>
              <w:pStyle w:val="BodyTextIndent"/>
              <w:spacing w:line="276" w:lineRule="auto"/>
              <w:ind w:left="0" w:firstLine="0"/>
              <w:jc w:val="center"/>
            </w:pPr>
            <w:r>
              <w:t xml:space="preserve">Annual </w:t>
            </w:r>
          </w:p>
          <w:p w:rsidR="00227457" w:rsidRDefault="00227457" w:rsidP="00227457">
            <w:pPr>
              <w:pStyle w:val="BodyTextIndent"/>
              <w:spacing w:line="276" w:lineRule="auto"/>
              <w:ind w:left="0" w:firstLine="0"/>
              <w:jc w:val="center"/>
            </w:pPr>
            <w:r>
              <w:t xml:space="preserve">Burden Hrs. </w:t>
            </w:r>
          </w:p>
          <w:p w:rsidR="00227457" w:rsidRDefault="00227457" w:rsidP="00894F84">
            <w:pPr>
              <w:pStyle w:val="BodyTextIndent"/>
              <w:spacing w:line="276" w:lineRule="auto"/>
              <w:ind w:left="0" w:firstLine="0"/>
              <w:jc w:val="center"/>
            </w:pPr>
          </w:p>
        </w:tc>
        <w:tc>
          <w:tcPr>
            <w:tcW w:w="1527" w:type="dxa"/>
            <w:vAlign w:val="center"/>
            <w:hideMark/>
          </w:tcPr>
          <w:p w:rsidR="00227457" w:rsidRDefault="00227457" w:rsidP="00894F84">
            <w:pPr>
              <w:pStyle w:val="BodyTextIndent"/>
              <w:spacing w:line="276" w:lineRule="auto"/>
              <w:ind w:left="0" w:firstLine="0"/>
              <w:jc w:val="center"/>
            </w:pPr>
            <w:r>
              <w:t>Est’d Annual Total</w:t>
            </w:r>
          </w:p>
          <w:p w:rsidR="00227457" w:rsidRDefault="00227457" w:rsidP="00894F84">
            <w:pPr>
              <w:pStyle w:val="BodyTextIndent"/>
              <w:spacing w:line="276" w:lineRule="auto"/>
              <w:ind w:left="0" w:firstLine="0"/>
              <w:jc w:val="center"/>
            </w:pPr>
            <w:r>
              <w:t xml:space="preserve">Costs at $70 per hour </w:t>
            </w:r>
          </w:p>
          <w:p w:rsidR="00227457" w:rsidRDefault="00227457">
            <w:pPr>
              <w:rPr>
                <w:rFonts w:asciiTheme="minorHAnsi" w:eastAsiaTheme="minorHAnsi" w:hAnsiTheme="minorHAnsi" w:cstheme="minorBidi"/>
                <w:sz w:val="20"/>
              </w:rPr>
            </w:pPr>
          </w:p>
        </w:tc>
      </w:tr>
      <w:tr w:rsidR="003E3BE1" w:rsidTr="003E3BE1">
        <w:trPr>
          <w:gridAfter w:val="1"/>
          <w:wAfter w:w="29" w:type="dxa"/>
          <w:jc w:val="center"/>
        </w:trPr>
        <w:tc>
          <w:tcPr>
            <w:tcW w:w="2982" w:type="dxa"/>
            <w:gridSpan w:val="2"/>
            <w:tcBorders>
              <w:top w:val="single" w:sz="4" w:space="0" w:color="auto"/>
              <w:left w:val="single" w:sz="4" w:space="0" w:color="auto"/>
              <w:bottom w:val="single" w:sz="4" w:space="0" w:color="auto"/>
              <w:right w:val="single" w:sz="4" w:space="0" w:color="auto"/>
            </w:tcBorders>
          </w:tcPr>
          <w:p w:rsidR="003E3BE1" w:rsidRDefault="003E3BE1">
            <w:pPr>
              <w:pStyle w:val="BodyTextIndent"/>
              <w:spacing w:line="276" w:lineRule="auto"/>
              <w:ind w:left="0" w:firstLine="0"/>
              <w:jc w:val="center"/>
              <w:rPr>
                <w:b/>
              </w:rPr>
            </w:pPr>
          </w:p>
        </w:tc>
        <w:tc>
          <w:tcPr>
            <w:tcW w:w="1345" w:type="dxa"/>
            <w:gridSpan w:val="2"/>
            <w:tcBorders>
              <w:top w:val="single" w:sz="4" w:space="0" w:color="auto"/>
              <w:left w:val="single" w:sz="4" w:space="0" w:color="auto"/>
              <w:bottom w:val="single" w:sz="4" w:space="0" w:color="auto"/>
              <w:right w:val="single" w:sz="4" w:space="0" w:color="auto"/>
            </w:tcBorders>
          </w:tcPr>
          <w:p w:rsidR="003E3BE1" w:rsidRDefault="003E3BE1" w:rsidP="003E3BE1">
            <w:pPr>
              <w:pStyle w:val="BodyTextIndent"/>
              <w:spacing w:line="276" w:lineRule="auto"/>
              <w:ind w:left="0" w:firstLine="0"/>
            </w:pPr>
            <w:r>
              <w:t xml:space="preserve">     2</w:t>
            </w:r>
          </w:p>
        </w:tc>
        <w:tc>
          <w:tcPr>
            <w:tcW w:w="1197" w:type="dxa"/>
            <w:gridSpan w:val="2"/>
            <w:tcBorders>
              <w:top w:val="single" w:sz="4" w:space="0" w:color="auto"/>
              <w:left w:val="single" w:sz="4" w:space="0" w:color="auto"/>
              <w:bottom w:val="single" w:sz="4" w:space="0" w:color="auto"/>
              <w:right w:val="single" w:sz="4" w:space="0" w:color="auto"/>
            </w:tcBorders>
            <w:hideMark/>
          </w:tcPr>
          <w:p w:rsidR="003E3BE1" w:rsidRDefault="003E3BE1">
            <w:pPr>
              <w:pStyle w:val="BodyTextIndent"/>
              <w:spacing w:line="276" w:lineRule="auto"/>
              <w:ind w:left="0" w:firstLine="0"/>
              <w:jc w:val="center"/>
            </w:pPr>
            <w:r>
              <w:t>2</w:t>
            </w:r>
          </w:p>
        </w:tc>
        <w:tc>
          <w:tcPr>
            <w:tcW w:w="1792" w:type="dxa"/>
            <w:tcBorders>
              <w:top w:val="single" w:sz="4" w:space="0" w:color="auto"/>
              <w:left w:val="single" w:sz="4" w:space="0" w:color="auto"/>
              <w:bottom w:val="single" w:sz="4" w:space="0" w:color="auto"/>
              <w:right w:val="single" w:sz="4" w:space="0" w:color="auto"/>
            </w:tcBorders>
            <w:hideMark/>
          </w:tcPr>
          <w:p w:rsidR="003E3BE1" w:rsidRDefault="003E3BE1">
            <w:pPr>
              <w:pStyle w:val="BodyTextIndent"/>
              <w:spacing w:line="276" w:lineRule="auto"/>
              <w:ind w:left="0" w:firstLine="0"/>
              <w:jc w:val="center"/>
            </w:pPr>
            <w:r>
              <w:t>50</w:t>
            </w:r>
          </w:p>
        </w:tc>
        <w:tc>
          <w:tcPr>
            <w:tcW w:w="1079" w:type="dxa"/>
            <w:gridSpan w:val="2"/>
            <w:tcBorders>
              <w:top w:val="single" w:sz="4" w:space="0" w:color="auto"/>
              <w:left w:val="single" w:sz="4" w:space="0" w:color="auto"/>
              <w:bottom w:val="single" w:sz="4" w:space="0" w:color="auto"/>
              <w:right w:val="single" w:sz="4" w:space="0" w:color="auto"/>
            </w:tcBorders>
            <w:hideMark/>
          </w:tcPr>
          <w:p w:rsidR="003E3BE1" w:rsidRDefault="003E3BE1">
            <w:pPr>
              <w:pStyle w:val="BodyTextIndent"/>
              <w:spacing w:line="276" w:lineRule="auto"/>
              <w:ind w:left="0" w:firstLine="0"/>
              <w:jc w:val="center"/>
            </w:pPr>
            <w:r>
              <w:t>200</w:t>
            </w:r>
          </w:p>
        </w:tc>
        <w:tc>
          <w:tcPr>
            <w:tcW w:w="1527" w:type="dxa"/>
            <w:vAlign w:val="center"/>
            <w:hideMark/>
          </w:tcPr>
          <w:p w:rsidR="003E3BE1" w:rsidRPr="00894F84" w:rsidRDefault="003E3BE1">
            <w:pPr>
              <w:rPr>
                <w:rFonts w:ascii="Times New Roman" w:hAnsi="Times New Roman"/>
                <w:szCs w:val="24"/>
              </w:rPr>
            </w:pPr>
            <w:r>
              <w:rPr>
                <w:rFonts w:ascii="Times New Roman" w:hAnsi="Times New Roman"/>
                <w:szCs w:val="24"/>
              </w:rPr>
              <w:t xml:space="preserve">   </w:t>
            </w:r>
            <w:r w:rsidRPr="00894F84">
              <w:rPr>
                <w:rFonts w:ascii="Times New Roman" w:hAnsi="Times New Roman"/>
                <w:szCs w:val="24"/>
              </w:rPr>
              <w:t>$14,000</w:t>
            </w:r>
            <w:r w:rsidR="00CC1218">
              <w:rPr>
                <w:rStyle w:val="FootnoteReference"/>
                <w:rFonts w:ascii="Times New Roman" w:hAnsi="Times New Roman"/>
                <w:szCs w:val="24"/>
              </w:rPr>
              <w:footnoteReference w:id="3"/>
            </w:r>
          </w:p>
        </w:tc>
      </w:tr>
    </w:tbl>
    <w:p w:rsidR="00894F84" w:rsidRDefault="00894F84" w:rsidP="00894F84">
      <w:pPr>
        <w:pStyle w:val="BodyTextIndent"/>
      </w:pPr>
    </w:p>
    <w:p w:rsidR="00894F84" w:rsidRDefault="00894F84" w:rsidP="00894F84">
      <w:pPr>
        <w:pStyle w:val="BodyTextIndent"/>
        <w:jc w:val="center"/>
      </w:pPr>
    </w:p>
    <w:p w:rsidR="00894F84" w:rsidRDefault="00894F84" w:rsidP="00894F84">
      <w:pPr>
        <w:tabs>
          <w:tab w:val="left" w:pos="-720"/>
        </w:tabs>
        <w:suppressAutoHyphens/>
        <w:jc w:val="center"/>
        <w:rPr>
          <w:rFonts w:ascii="Times New Roman" w:hAnsi="Times New Roman"/>
          <w:szCs w:val="24"/>
        </w:rPr>
      </w:pPr>
      <w:r>
        <w:t xml:space="preserve"> </w:t>
      </w:r>
    </w:p>
    <w:p w:rsidR="00894F84" w:rsidRDefault="00894F84" w:rsidP="00894F84">
      <w:pPr>
        <w:pStyle w:val="BodyTextIndent"/>
        <w:jc w:val="center"/>
      </w:pPr>
    </w:p>
    <w:p w:rsidR="00C05C3F" w:rsidRDefault="00C05C3F" w:rsidP="00894F84">
      <w:pPr>
        <w:tabs>
          <w:tab w:val="left" w:pos="-720"/>
        </w:tabs>
        <w:suppressAutoHyphens/>
        <w:jc w:val="center"/>
      </w:pPr>
    </w:p>
    <w:p w:rsidR="00C05C3F" w:rsidRDefault="00C05C3F" w:rsidP="00C05C3F">
      <w:pPr>
        <w:pStyle w:val="BodyTextIndent"/>
      </w:pPr>
      <w:r>
        <w:tab/>
        <w:t xml:space="preserve">  </w:t>
      </w:r>
    </w:p>
    <w:p w:rsidR="00C05C3F" w:rsidRDefault="00C05C3F" w:rsidP="00C05C3F">
      <w:pPr>
        <w:tabs>
          <w:tab w:val="left" w:pos="-720"/>
        </w:tabs>
        <w:suppressAutoHyphens/>
        <w:rPr>
          <w:rFonts w:ascii="Times New Roman" w:hAnsi="Times New Roman"/>
        </w:rPr>
      </w:pPr>
    </w:p>
    <w:p w:rsidR="00585718" w:rsidRDefault="00585718"/>
    <w:sectPr w:rsidR="00585718" w:rsidSect="00B3385A">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564" w:rsidRDefault="001E6564" w:rsidP="00C05C3F">
      <w:r>
        <w:separator/>
      </w:r>
    </w:p>
  </w:endnote>
  <w:endnote w:type="continuationSeparator" w:id="0">
    <w:p w:rsidR="001E6564" w:rsidRDefault="001E6564" w:rsidP="00C0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564" w:rsidRDefault="001E6564" w:rsidP="00C05C3F">
      <w:r>
        <w:separator/>
      </w:r>
    </w:p>
  </w:footnote>
  <w:footnote w:type="continuationSeparator" w:id="0">
    <w:p w:rsidR="001E6564" w:rsidRDefault="001E6564" w:rsidP="00C05C3F">
      <w:r>
        <w:continuationSeparator/>
      </w:r>
    </w:p>
  </w:footnote>
  <w:footnote w:id="1">
    <w:p w:rsidR="00CC1218" w:rsidRDefault="00CC1218">
      <w:pPr>
        <w:pStyle w:val="FootnoteText"/>
      </w:pPr>
      <w:r>
        <w:rPr>
          <w:rStyle w:val="FootnoteReference"/>
        </w:rPr>
        <w:footnoteRef/>
      </w:r>
      <w:r>
        <w:t xml:space="preserve"> 70 entities x 50 responses each x 21 hours x $70 per hour = $5,145,000</w:t>
      </w:r>
    </w:p>
  </w:footnote>
  <w:footnote w:id="2">
    <w:p w:rsidR="00CC1218" w:rsidRDefault="00CC1218">
      <w:pPr>
        <w:pStyle w:val="FootnoteText"/>
      </w:pPr>
      <w:r>
        <w:rPr>
          <w:rStyle w:val="FootnoteReference"/>
        </w:rPr>
        <w:footnoteRef/>
      </w:r>
      <w:r>
        <w:t xml:space="preserve"> 70 entities x 50 responses each x 2 hours x $70 per hour = $490,000 </w:t>
      </w:r>
    </w:p>
  </w:footnote>
  <w:footnote w:id="3">
    <w:p w:rsidR="00CC1218" w:rsidRDefault="00CC1218">
      <w:pPr>
        <w:pStyle w:val="FootnoteText"/>
      </w:pPr>
      <w:r>
        <w:rPr>
          <w:rStyle w:val="FootnoteReference"/>
        </w:rPr>
        <w:footnoteRef/>
      </w:r>
      <w:r>
        <w:t xml:space="preserve"> 2 entities x 2 responses each x 50 hours x $70 per hour = $14,000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7B"/>
    <w:multiLevelType w:val="hybridMultilevel"/>
    <w:tmpl w:val="DDCA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90971"/>
    <w:multiLevelType w:val="hybridMultilevel"/>
    <w:tmpl w:val="F5EE3FD0"/>
    <w:lvl w:ilvl="0" w:tplc="8C1C9AD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3F"/>
    <w:rsid w:val="00012F85"/>
    <w:rsid w:val="00041996"/>
    <w:rsid w:val="000530F8"/>
    <w:rsid w:val="00054A5F"/>
    <w:rsid w:val="000576BF"/>
    <w:rsid w:val="00072097"/>
    <w:rsid w:val="00072761"/>
    <w:rsid w:val="000803D6"/>
    <w:rsid w:val="00082C11"/>
    <w:rsid w:val="000B727D"/>
    <w:rsid w:val="000C220F"/>
    <w:rsid w:val="000E6888"/>
    <w:rsid w:val="000F700E"/>
    <w:rsid w:val="0010119C"/>
    <w:rsid w:val="00112D2B"/>
    <w:rsid w:val="00113EB0"/>
    <w:rsid w:val="00115369"/>
    <w:rsid w:val="00127E98"/>
    <w:rsid w:val="001417D0"/>
    <w:rsid w:val="001808E9"/>
    <w:rsid w:val="00190283"/>
    <w:rsid w:val="001B0806"/>
    <w:rsid w:val="001E6564"/>
    <w:rsid w:val="0022560D"/>
    <w:rsid w:val="00227457"/>
    <w:rsid w:val="00227EAA"/>
    <w:rsid w:val="002375E8"/>
    <w:rsid w:val="002634DB"/>
    <w:rsid w:val="002819B6"/>
    <w:rsid w:val="002E3635"/>
    <w:rsid w:val="002F6957"/>
    <w:rsid w:val="00307E70"/>
    <w:rsid w:val="003200CF"/>
    <w:rsid w:val="00375F0C"/>
    <w:rsid w:val="00381817"/>
    <w:rsid w:val="003860DE"/>
    <w:rsid w:val="003D29E1"/>
    <w:rsid w:val="003E2E56"/>
    <w:rsid w:val="003E3BE1"/>
    <w:rsid w:val="00411C02"/>
    <w:rsid w:val="00442F8D"/>
    <w:rsid w:val="00481EBF"/>
    <w:rsid w:val="00482A98"/>
    <w:rsid w:val="00493721"/>
    <w:rsid w:val="004B0212"/>
    <w:rsid w:val="004B12D3"/>
    <w:rsid w:val="004B34B9"/>
    <w:rsid w:val="004C71AC"/>
    <w:rsid w:val="004C79B7"/>
    <w:rsid w:val="004D014B"/>
    <w:rsid w:val="004D5495"/>
    <w:rsid w:val="004E43DA"/>
    <w:rsid w:val="00506D74"/>
    <w:rsid w:val="00513D9E"/>
    <w:rsid w:val="0053222D"/>
    <w:rsid w:val="005462A4"/>
    <w:rsid w:val="005570A5"/>
    <w:rsid w:val="00565296"/>
    <w:rsid w:val="00585718"/>
    <w:rsid w:val="005C7654"/>
    <w:rsid w:val="005F4482"/>
    <w:rsid w:val="00603512"/>
    <w:rsid w:val="0060490D"/>
    <w:rsid w:val="00607D38"/>
    <w:rsid w:val="00623913"/>
    <w:rsid w:val="006243BC"/>
    <w:rsid w:val="00625AA1"/>
    <w:rsid w:val="0063622E"/>
    <w:rsid w:val="00654294"/>
    <w:rsid w:val="00667CD6"/>
    <w:rsid w:val="006840E8"/>
    <w:rsid w:val="006921FB"/>
    <w:rsid w:val="006B1BD7"/>
    <w:rsid w:val="006B2565"/>
    <w:rsid w:val="006C31EC"/>
    <w:rsid w:val="006E504E"/>
    <w:rsid w:val="007029A9"/>
    <w:rsid w:val="00706BE8"/>
    <w:rsid w:val="007141E8"/>
    <w:rsid w:val="00743FE9"/>
    <w:rsid w:val="0077280B"/>
    <w:rsid w:val="007750CE"/>
    <w:rsid w:val="007942EE"/>
    <w:rsid w:val="007D0138"/>
    <w:rsid w:val="007F69D0"/>
    <w:rsid w:val="0081595B"/>
    <w:rsid w:val="00815CD7"/>
    <w:rsid w:val="00836497"/>
    <w:rsid w:val="00894F84"/>
    <w:rsid w:val="008A5F62"/>
    <w:rsid w:val="008B3082"/>
    <w:rsid w:val="008B420F"/>
    <w:rsid w:val="008D0A14"/>
    <w:rsid w:val="008D6F48"/>
    <w:rsid w:val="00901D65"/>
    <w:rsid w:val="00915AB0"/>
    <w:rsid w:val="00924B83"/>
    <w:rsid w:val="00927A63"/>
    <w:rsid w:val="009309EC"/>
    <w:rsid w:val="00965DB8"/>
    <w:rsid w:val="0096708A"/>
    <w:rsid w:val="00994495"/>
    <w:rsid w:val="009D6E96"/>
    <w:rsid w:val="009F1472"/>
    <w:rsid w:val="00A05C18"/>
    <w:rsid w:val="00A22A55"/>
    <w:rsid w:val="00A25B88"/>
    <w:rsid w:val="00A3457C"/>
    <w:rsid w:val="00A524A7"/>
    <w:rsid w:val="00A532E6"/>
    <w:rsid w:val="00A53636"/>
    <w:rsid w:val="00A72BCB"/>
    <w:rsid w:val="00A8301A"/>
    <w:rsid w:val="00A97539"/>
    <w:rsid w:val="00AA5877"/>
    <w:rsid w:val="00AB3971"/>
    <w:rsid w:val="00AD013F"/>
    <w:rsid w:val="00AD2E35"/>
    <w:rsid w:val="00AE2934"/>
    <w:rsid w:val="00AE2F40"/>
    <w:rsid w:val="00AE7F0C"/>
    <w:rsid w:val="00AF4C7F"/>
    <w:rsid w:val="00AF5315"/>
    <w:rsid w:val="00B1093F"/>
    <w:rsid w:val="00B3385A"/>
    <w:rsid w:val="00B555DB"/>
    <w:rsid w:val="00B6268A"/>
    <w:rsid w:val="00B63A94"/>
    <w:rsid w:val="00B6782F"/>
    <w:rsid w:val="00B80A18"/>
    <w:rsid w:val="00B91704"/>
    <w:rsid w:val="00BA36C3"/>
    <w:rsid w:val="00BA5069"/>
    <w:rsid w:val="00BB42DD"/>
    <w:rsid w:val="00BE6AC8"/>
    <w:rsid w:val="00C00623"/>
    <w:rsid w:val="00C05C3F"/>
    <w:rsid w:val="00C23A3C"/>
    <w:rsid w:val="00C26F4F"/>
    <w:rsid w:val="00C72912"/>
    <w:rsid w:val="00C740EE"/>
    <w:rsid w:val="00C761C9"/>
    <w:rsid w:val="00CA05F2"/>
    <w:rsid w:val="00CA24B8"/>
    <w:rsid w:val="00CB2EA3"/>
    <w:rsid w:val="00CC1218"/>
    <w:rsid w:val="00CE0598"/>
    <w:rsid w:val="00CE1D7C"/>
    <w:rsid w:val="00CE2BA2"/>
    <w:rsid w:val="00CE4B1A"/>
    <w:rsid w:val="00D2078A"/>
    <w:rsid w:val="00D27AE8"/>
    <w:rsid w:val="00D52338"/>
    <w:rsid w:val="00D52367"/>
    <w:rsid w:val="00D63FF6"/>
    <w:rsid w:val="00D77A91"/>
    <w:rsid w:val="00DA66F3"/>
    <w:rsid w:val="00DA7A5F"/>
    <w:rsid w:val="00DB0E27"/>
    <w:rsid w:val="00DB1AD1"/>
    <w:rsid w:val="00DB4C0C"/>
    <w:rsid w:val="00DB7297"/>
    <w:rsid w:val="00DC5D4B"/>
    <w:rsid w:val="00DD59A2"/>
    <w:rsid w:val="00E056E4"/>
    <w:rsid w:val="00E35B61"/>
    <w:rsid w:val="00E36FC3"/>
    <w:rsid w:val="00E37DE1"/>
    <w:rsid w:val="00E407F9"/>
    <w:rsid w:val="00E42401"/>
    <w:rsid w:val="00E456FF"/>
    <w:rsid w:val="00E562CB"/>
    <w:rsid w:val="00E63C3C"/>
    <w:rsid w:val="00E850CF"/>
    <w:rsid w:val="00E87F90"/>
    <w:rsid w:val="00EC36E4"/>
    <w:rsid w:val="00ED1D36"/>
    <w:rsid w:val="00ED61B7"/>
    <w:rsid w:val="00EF1084"/>
    <w:rsid w:val="00EF64D3"/>
    <w:rsid w:val="00F31EFB"/>
    <w:rsid w:val="00F378A6"/>
    <w:rsid w:val="00F4338A"/>
    <w:rsid w:val="00F47BAB"/>
    <w:rsid w:val="00F5061A"/>
    <w:rsid w:val="00F522CD"/>
    <w:rsid w:val="00F67204"/>
    <w:rsid w:val="00F773F4"/>
    <w:rsid w:val="00F81C8D"/>
    <w:rsid w:val="00F873F2"/>
    <w:rsid w:val="00F96D2C"/>
    <w:rsid w:val="00FA6333"/>
    <w:rsid w:val="00FB184D"/>
    <w:rsid w:val="00FE64EA"/>
    <w:rsid w:val="00FF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05C3F"/>
    <w:rPr>
      <w:rFonts w:ascii="Times New Roman" w:hAnsi="Times New Roman"/>
      <w:sz w:val="20"/>
    </w:rPr>
  </w:style>
  <w:style w:type="character" w:customStyle="1" w:styleId="FootnoteTextChar">
    <w:name w:val="Footnote Text Char"/>
    <w:basedOn w:val="DefaultParagraphFont"/>
    <w:link w:val="FootnoteText"/>
    <w:semiHidden/>
    <w:rsid w:val="00C05C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 w:type="paragraph" w:customStyle="1" w:styleId="Default">
    <w:name w:val="Default"/>
    <w:rsid w:val="002375E8"/>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72BCB"/>
    <w:rPr>
      <w:rFonts w:ascii="Tahoma" w:hAnsi="Tahoma" w:cs="Tahoma"/>
      <w:sz w:val="16"/>
      <w:szCs w:val="16"/>
    </w:rPr>
  </w:style>
  <w:style w:type="character" w:customStyle="1" w:styleId="BalloonTextChar">
    <w:name w:val="Balloon Text Char"/>
    <w:basedOn w:val="DefaultParagraphFont"/>
    <w:link w:val="BalloonText"/>
    <w:uiPriority w:val="99"/>
    <w:semiHidden/>
    <w:rsid w:val="00A72BC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06D74"/>
    <w:rPr>
      <w:sz w:val="16"/>
      <w:szCs w:val="16"/>
    </w:rPr>
  </w:style>
  <w:style w:type="paragraph" w:styleId="CommentText">
    <w:name w:val="annotation text"/>
    <w:basedOn w:val="Normal"/>
    <w:link w:val="CommentTextChar"/>
    <w:uiPriority w:val="99"/>
    <w:semiHidden/>
    <w:unhideWhenUsed/>
    <w:rsid w:val="00506D74"/>
    <w:rPr>
      <w:sz w:val="20"/>
    </w:rPr>
  </w:style>
  <w:style w:type="character" w:customStyle="1" w:styleId="CommentTextChar">
    <w:name w:val="Comment Text Char"/>
    <w:basedOn w:val="DefaultParagraphFont"/>
    <w:link w:val="CommentText"/>
    <w:uiPriority w:val="99"/>
    <w:semiHidden/>
    <w:rsid w:val="00506D7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06D74"/>
    <w:rPr>
      <w:b/>
      <w:bCs/>
    </w:rPr>
  </w:style>
  <w:style w:type="character" w:customStyle="1" w:styleId="CommentSubjectChar">
    <w:name w:val="Comment Subject Char"/>
    <w:basedOn w:val="CommentTextChar"/>
    <w:link w:val="CommentSubject"/>
    <w:uiPriority w:val="99"/>
    <w:semiHidden/>
    <w:rsid w:val="00506D74"/>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05C3F"/>
    <w:rPr>
      <w:rFonts w:ascii="Times New Roman" w:hAnsi="Times New Roman"/>
      <w:sz w:val="20"/>
    </w:rPr>
  </w:style>
  <w:style w:type="character" w:customStyle="1" w:styleId="FootnoteTextChar">
    <w:name w:val="Footnote Text Char"/>
    <w:basedOn w:val="DefaultParagraphFont"/>
    <w:link w:val="FootnoteText"/>
    <w:semiHidden/>
    <w:rsid w:val="00C05C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 w:type="paragraph" w:customStyle="1" w:styleId="Default">
    <w:name w:val="Default"/>
    <w:rsid w:val="002375E8"/>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72BCB"/>
    <w:rPr>
      <w:rFonts w:ascii="Tahoma" w:hAnsi="Tahoma" w:cs="Tahoma"/>
      <w:sz w:val="16"/>
      <w:szCs w:val="16"/>
    </w:rPr>
  </w:style>
  <w:style w:type="character" w:customStyle="1" w:styleId="BalloonTextChar">
    <w:name w:val="Balloon Text Char"/>
    <w:basedOn w:val="DefaultParagraphFont"/>
    <w:link w:val="BalloonText"/>
    <w:uiPriority w:val="99"/>
    <w:semiHidden/>
    <w:rsid w:val="00A72BC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06D74"/>
    <w:rPr>
      <w:sz w:val="16"/>
      <w:szCs w:val="16"/>
    </w:rPr>
  </w:style>
  <w:style w:type="paragraph" w:styleId="CommentText">
    <w:name w:val="annotation text"/>
    <w:basedOn w:val="Normal"/>
    <w:link w:val="CommentTextChar"/>
    <w:uiPriority w:val="99"/>
    <w:semiHidden/>
    <w:unhideWhenUsed/>
    <w:rsid w:val="00506D74"/>
    <w:rPr>
      <w:sz w:val="20"/>
    </w:rPr>
  </w:style>
  <w:style w:type="character" w:customStyle="1" w:styleId="CommentTextChar">
    <w:name w:val="Comment Text Char"/>
    <w:basedOn w:val="DefaultParagraphFont"/>
    <w:link w:val="CommentText"/>
    <w:uiPriority w:val="99"/>
    <w:semiHidden/>
    <w:rsid w:val="00506D7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06D74"/>
    <w:rPr>
      <w:b/>
      <w:bCs/>
    </w:rPr>
  </w:style>
  <w:style w:type="character" w:customStyle="1" w:styleId="CommentSubjectChar">
    <w:name w:val="Comment Subject Char"/>
    <w:basedOn w:val="CommentTextChar"/>
    <w:link w:val="CommentSubject"/>
    <w:uiPriority w:val="99"/>
    <w:semiHidden/>
    <w:rsid w:val="00506D74"/>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5449">
      <w:bodyDiv w:val="1"/>
      <w:marLeft w:val="0"/>
      <w:marRight w:val="0"/>
      <w:marTop w:val="0"/>
      <w:marBottom w:val="0"/>
      <w:divBdr>
        <w:top w:val="none" w:sz="0" w:space="0" w:color="auto"/>
        <w:left w:val="none" w:sz="0" w:space="0" w:color="auto"/>
        <w:bottom w:val="none" w:sz="0" w:space="0" w:color="auto"/>
        <w:right w:val="none" w:sz="0" w:space="0" w:color="auto"/>
      </w:divBdr>
    </w:div>
    <w:div w:id="289747579">
      <w:bodyDiv w:val="1"/>
      <w:marLeft w:val="0"/>
      <w:marRight w:val="0"/>
      <w:marTop w:val="0"/>
      <w:marBottom w:val="0"/>
      <w:divBdr>
        <w:top w:val="none" w:sz="0" w:space="0" w:color="auto"/>
        <w:left w:val="none" w:sz="0" w:space="0" w:color="auto"/>
        <w:bottom w:val="none" w:sz="0" w:space="0" w:color="auto"/>
        <w:right w:val="none" w:sz="0" w:space="0" w:color="auto"/>
      </w:divBdr>
    </w:div>
    <w:div w:id="524175749">
      <w:bodyDiv w:val="1"/>
      <w:marLeft w:val="0"/>
      <w:marRight w:val="0"/>
      <w:marTop w:val="0"/>
      <w:marBottom w:val="0"/>
      <w:divBdr>
        <w:top w:val="none" w:sz="0" w:space="0" w:color="auto"/>
        <w:left w:val="none" w:sz="0" w:space="0" w:color="auto"/>
        <w:bottom w:val="none" w:sz="0" w:space="0" w:color="auto"/>
        <w:right w:val="none" w:sz="0" w:space="0" w:color="auto"/>
      </w:divBdr>
    </w:div>
    <w:div w:id="985939819">
      <w:bodyDiv w:val="1"/>
      <w:marLeft w:val="0"/>
      <w:marRight w:val="0"/>
      <w:marTop w:val="0"/>
      <w:marBottom w:val="0"/>
      <w:divBdr>
        <w:top w:val="none" w:sz="0" w:space="0" w:color="auto"/>
        <w:left w:val="none" w:sz="0" w:space="0" w:color="auto"/>
        <w:bottom w:val="none" w:sz="0" w:space="0" w:color="auto"/>
        <w:right w:val="none" w:sz="0" w:space="0" w:color="auto"/>
      </w:divBdr>
    </w:div>
    <w:div w:id="1154293195">
      <w:bodyDiv w:val="1"/>
      <w:marLeft w:val="0"/>
      <w:marRight w:val="0"/>
      <w:marTop w:val="0"/>
      <w:marBottom w:val="0"/>
      <w:divBdr>
        <w:top w:val="none" w:sz="0" w:space="0" w:color="auto"/>
        <w:left w:val="none" w:sz="0" w:space="0" w:color="auto"/>
        <w:bottom w:val="none" w:sz="0" w:space="0" w:color="auto"/>
        <w:right w:val="none" w:sz="0" w:space="0" w:color="auto"/>
      </w:divBdr>
    </w:div>
    <w:div w:id="1197810190">
      <w:bodyDiv w:val="1"/>
      <w:marLeft w:val="0"/>
      <w:marRight w:val="0"/>
      <w:marTop w:val="0"/>
      <w:marBottom w:val="0"/>
      <w:divBdr>
        <w:top w:val="none" w:sz="0" w:space="0" w:color="auto"/>
        <w:left w:val="none" w:sz="0" w:space="0" w:color="auto"/>
        <w:bottom w:val="none" w:sz="0" w:space="0" w:color="auto"/>
        <w:right w:val="none" w:sz="0" w:space="0" w:color="auto"/>
      </w:divBdr>
    </w:div>
    <w:div w:id="1238632399">
      <w:bodyDiv w:val="1"/>
      <w:marLeft w:val="0"/>
      <w:marRight w:val="0"/>
      <w:marTop w:val="0"/>
      <w:marBottom w:val="0"/>
      <w:divBdr>
        <w:top w:val="none" w:sz="0" w:space="0" w:color="auto"/>
        <w:left w:val="none" w:sz="0" w:space="0" w:color="auto"/>
        <w:bottom w:val="none" w:sz="0" w:space="0" w:color="auto"/>
        <w:right w:val="none" w:sz="0" w:space="0" w:color="auto"/>
      </w:divBdr>
    </w:div>
    <w:div w:id="1247418322">
      <w:bodyDiv w:val="1"/>
      <w:marLeft w:val="0"/>
      <w:marRight w:val="0"/>
      <w:marTop w:val="0"/>
      <w:marBottom w:val="0"/>
      <w:divBdr>
        <w:top w:val="none" w:sz="0" w:space="0" w:color="auto"/>
        <w:left w:val="none" w:sz="0" w:space="0" w:color="auto"/>
        <w:bottom w:val="none" w:sz="0" w:space="0" w:color="auto"/>
        <w:right w:val="none" w:sz="0" w:space="0" w:color="auto"/>
      </w:divBdr>
    </w:div>
    <w:div w:id="20632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8D6EE-47C5-4E7C-9A49-214B3EE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MHargrow</dc:creator>
  <cp:lastModifiedBy>SYSTEM</cp:lastModifiedBy>
  <cp:revision>2</cp:revision>
  <cp:lastPrinted>2018-08-20T18:22:00Z</cp:lastPrinted>
  <dcterms:created xsi:type="dcterms:W3CDTF">2018-08-21T15:43:00Z</dcterms:created>
  <dcterms:modified xsi:type="dcterms:W3CDTF">2018-08-21T15:43:00Z</dcterms:modified>
</cp:coreProperties>
</file>