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5C7B09" w14:textId="59DE7326" w:rsidR="006B459B" w:rsidRDefault="006B459B" w:rsidP="006B459B">
      <w:pPr>
        <w:jc w:val="center"/>
        <w:rPr>
          <w:rFonts w:ascii="Georgia" w:hAnsi="Georgia"/>
          <w:b/>
          <w:bCs/>
          <w:sz w:val="28"/>
          <w:szCs w:val="28"/>
        </w:rPr>
      </w:pPr>
      <w:bookmarkStart w:id="0" w:name="_GoBack"/>
      <w:bookmarkEnd w:id="0"/>
      <w:r>
        <w:rPr>
          <w:rFonts w:ascii="Georgia" w:hAnsi="Georgia"/>
          <w:b/>
          <w:bCs/>
          <w:sz w:val="28"/>
          <w:szCs w:val="28"/>
        </w:rPr>
        <w:t xml:space="preserve">Pre-Separation </w:t>
      </w:r>
      <w:r w:rsidRPr="00B0034B">
        <w:rPr>
          <w:rFonts w:ascii="Georgia" w:hAnsi="Georgia"/>
          <w:b/>
          <w:bCs/>
          <w:sz w:val="28"/>
          <w:szCs w:val="28"/>
        </w:rPr>
        <w:t>Transition Assistance Program</w:t>
      </w:r>
      <w:r w:rsidR="003412F2">
        <w:rPr>
          <w:rFonts w:ascii="Georgia" w:hAnsi="Georgia"/>
          <w:b/>
          <w:bCs/>
          <w:sz w:val="28"/>
          <w:szCs w:val="28"/>
        </w:rPr>
        <w:t xml:space="preserve"> (</w:t>
      </w:r>
      <w:r w:rsidR="005D1DF4">
        <w:rPr>
          <w:rFonts w:ascii="Georgia" w:hAnsi="Georgia"/>
          <w:b/>
          <w:bCs/>
          <w:sz w:val="28"/>
          <w:szCs w:val="28"/>
        </w:rPr>
        <w:t>PSTAP</w:t>
      </w:r>
      <w:r w:rsidR="003412F2">
        <w:rPr>
          <w:rFonts w:ascii="Georgia" w:hAnsi="Georgia"/>
          <w:b/>
          <w:bCs/>
          <w:sz w:val="28"/>
          <w:szCs w:val="28"/>
        </w:rPr>
        <w:t>)</w:t>
      </w:r>
    </w:p>
    <w:p w14:paraId="587B53A6" w14:textId="1951548A" w:rsidR="00AD6763" w:rsidRPr="00B0034B" w:rsidRDefault="00AD6763" w:rsidP="006B459B">
      <w:pPr>
        <w:jc w:val="center"/>
        <w:rPr>
          <w:rFonts w:ascii="Georgia" w:hAnsi="Georgia"/>
          <w:b/>
          <w:bCs/>
          <w:sz w:val="28"/>
          <w:szCs w:val="28"/>
        </w:rPr>
      </w:pPr>
      <w:r>
        <w:rPr>
          <w:rFonts w:ascii="Georgia" w:hAnsi="Georgia"/>
          <w:b/>
          <w:bCs/>
          <w:sz w:val="28"/>
          <w:szCs w:val="28"/>
        </w:rPr>
        <w:t>Assessment</w:t>
      </w:r>
    </w:p>
    <w:p w14:paraId="5E260AB5" w14:textId="77777777" w:rsidR="006B459B" w:rsidRPr="00B0034B" w:rsidRDefault="006B459B" w:rsidP="006B459B">
      <w:pPr>
        <w:jc w:val="center"/>
        <w:rPr>
          <w:rFonts w:ascii="Georgia" w:hAnsi="Georgia"/>
          <w:b/>
          <w:bCs/>
          <w:sz w:val="28"/>
          <w:szCs w:val="28"/>
        </w:rPr>
      </w:pPr>
    </w:p>
    <w:p w14:paraId="4700D35D" w14:textId="66C8302B" w:rsidR="003B4A59" w:rsidRDefault="005D671B" w:rsidP="00636B28">
      <w:pPr>
        <w:jc w:val="center"/>
        <w:rPr>
          <w:rFonts w:ascii="Georgia" w:hAnsi="Georgia"/>
          <w:b/>
          <w:caps/>
          <w:sz w:val="28"/>
          <w:szCs w:val="28"/>
        </w:rPr>
      </w:pPr>
      <w:r w:rsidRPr="0060713B">
        <w:rPr>
          <w:rFonts w:ascii="Georgia" w:hAnsi="Georgia"/>
          <w:b/>
          <w:caps/>
          <w:sz w:val="28"/>
          <w:szCs w:val="28"/>
        </w:rPr>
        <w:t>Supporting Statement</w:t>
      </w:r>
      <w:r w:rsidR="003B4A59" w:rsidRPr="0060713B">
        <w:rPr>
          <w:rFonts w:ascii="Georgia" w:hAnsi="Georgia"/>
          <w:b/>
          <w:caps/>
          <w:sz w:val="28"/>
          <w:szCs w:val="28"/>
        </w:rPr>
        <w:t xml:space="preserve"> B:</w:t>
      </w:r>
    </w:p>
    <w:p w14:paraId="28ECCA5F" w14:textId="77777777" w:rsidR="00636B28" w:rsidRPr="0060713B" w:rsidRDefault="00636B28" w:rsidP="00636B28">
      <w:pPr>
        <w:jc w:val="center"/>
        <w:rPr>
          <w:rFonts w:ascii="Georgia" w:hAnsi="Georgia"/>
          <w:b/>
          <w:caps/>
          <w:sz w:val="28"/>
          <w:szCs w:val="28"/>
        </w:rPr>
      </w:pPr>
    </w:p>
    <w:p w14:paraId="5AF2C5BA" w14:textId="5C170B68" w:rsidR="0060713B" w:rsidRPr="0060713B" w:rsidRDefault="003B4A59" w:rsidP="00636B28">
      <w:pPr>
        <w:jc w:val="center"/>
        <w:rPr>
          <w:rFonts w:ascii="Georgia" w:hAnsi="Georgia"/>
          <w:b/>
          <w:sz w:val="28"/>
          <w:szCs w:val="28"/>
        </w:rPr>
      </w:pPr>
      <w:r w:rsidRPr="0060713B">
        <w:rPr>
          <w:rFonts w:ascii="Georgia" w:hAnsi="Georgia"/>
          <w:b/>
          <w:sz w:val="28"/>
          <w:szCs w:val="28"/>
        </w:rPr>
        <w:t>Collections of Information Employing</w:t>
      </w:r>
    </w:p>
    <w:p w14:paraId="093AA94B" w14:textId="5F18F16D" w:rsidR="003B4A59" w:rsidRPr="0060713B" w:rsidRDefault="003B4A59" w:rsidP="00636B28">
      <w:pPr>
        <w:jc w:val="center"/>
        <w:rPr>
          <w:rFonts w:ascii="Georgia" w:hAnsi="Georgia"/>
          <w:b/>
          <w:sz w:val="28"/>
          <w:szCs w:val="28"/>
        </w:rPr>
      </w:pPr>
      <w:r w:rsidRPr="0060713B">
        <w:rPr>
          <w:rFonts w:ascii="Georgia" w:hAnsi="Georgia"/>
          <w:b/>
          <w:sz w:val="28"/>
          <w:szCs w:val="28"/>
        </w:rPr>
        <w:t>Statistical Methods</w:t>
      </w:r>
    </w:p>
    <w:p w14:paraId="657A7B3D" w14:textId="2AF09728" w:rsidR="003B4A59" w:rsidRPr="00FC5AB1" w:rsidRDefault="003B4A59">
      <w:pPr>
        <w:rPr>
          <w:rFonts w:ascii="Georgia" w:hAnsi="Georgia"/>
          <w:sz w:val="24"/>
          <w:szCs w:val="24"/>
        </w:rPr>
      </w:pPr>
    </w:p>
    <w:p w14:paraId="1996A551" w14:textId="5FFA257F" w:rsidR="003B4A59" w:rsidRPr="00FC5AB1" w:rsidRDefault="003B4A59">
      <w:pPr>
        <w:rPr>
          <w:rFonts w:ascii="Georgia" w:hAnsi="Georgia"/>
          <w:sz w:val="24"/>
          <w:szCs w:val="24"/>
        </w:rPr>
      </w:pPr>
    </w:p>
    <w:p w14:paraId="1A7D7598" w14:textId="3CA45CBF" w:rsidR="003B4A59" w:rsidRPr="00FC5AB1" w:rsidRDefault="003B4A59" w:rsidP="00FC5AB1">
      <w:pPr>
        <w:pStyle w:val="ListParagraph"/>
        <w:numPr>
          <w:ilvl w:val="0"/>
          <w:numId w:val="9"/>
        </w:numPr>
        <w:rPr>
          <w:rFonts w:ascii="Georgia" w:hAnsi="Georgia"/>
          <w:b/>
          <w:sz w:val="24"/>
          <w:szCs w:val="24"/>
        </w:rPr>
      </w:pPr>
      <w:r w:rsidRPr="00FC5AB1">
        <w:rPr>
          <w:rFonts w:ascii="Georgia" w:hAnsi="Georgia"/>
          <w:b/>
          <w:sz w:val="24"/>
          <w:szCs w:val="24"/>
        </w:rPr>
        <w:t>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 and in the corresponding sample are to be provided in tabular form for the universe as a whole and for each of the strata in the proposed sample. Indicated the expected response rates</w:t>
      </w:r>
      <w:r w:rsidR="00EC4A52" w:rsidRPr="00FC5AB1">
        <w:rPr>
          <w:rFonts w:ascii="Georgia" w:hAnsi="Georgia"/>
          <w:b/>
          <w:sz w:val="24"/>
          <w:szCs w:val="24"/>
        </w:rPr>
        <w:t xml:space="preserve"> for the collection as a whole. If the collection has been conducted previously, include the actual response rate achieved during the last collection.</w:t>
      </w:r>
    </w:p>
    <w:p w14:paraId="0886DDE3" w14:textId="65F1BC4A" w:rsidR="00EC4A52" w:rsidRPr="00FC5AB1" w:rsidRDefault="00EC4A52" w:rsidP="00FC5AB1">
      <w:pPr>
        <w:pStyle w:val="ListParagraph"/>
        <w:rPr>
          <w:rFonts w:ascii="Georgia" w:hAnsi="Georgia"/>
          <w:sz w:val="24"/>
          <w:szCs w:val="24"/>
        </w:rPr>
      </w:pPr>
    </w:p>
    <w:p w14:paraId="0837E7BB" w14:textId="129B32EA" w:rsidR="00E420F1" w:rsidRDefault="00E420F1" w:rsidP="00B871BB">
      <w:pPr>
        <w:pStyle w:val="ListParagraph"/>
        <w:rPr>
          <w:rFonts w:ascii="Georgia" w:hAnsi="Georgia"/>
          <w:sz w:val="24"/>
          <w:szCs w:val="24"/>
        </w:rPr>
      </w:pPr>
      <w:r>
        <w:rPr>
          <w:rFonts w:ascii="Georgia" w:hAnsi="Georgia"/>
          <w:sz w:val="24"/>
          <w:szCs w:val="24"/>
        </w:rPr>
        <w:t xml:space="preserve">The design for this study is to draw a census of all Veterans at three points after separation from service, thus making all Veterans eligible who meet the time criteria past separation. After the initial data collection from these three cohorts establishing baseline (cross-sectional) estimates from the </w:t>
      </w:r>
      <w:r w:rsidR="005D1DF4">
        <w:rPr>
          <w:rFonts w:ascii="Georgia" w:hAnsi="Georgia"/>
          <w:sz w:val="24"/>
          <w:szCs w:val="24"/>
        </w:rPr>
        <w:t>PSTAP</w:t>
      </w:r>
      <w:r>
        <w:rPr>
          <w:rFonts w:ascii="Georgia" w:hAnsi="Georgia"/>
          <w:sz w:val="24"/>
          <w:szCs w:val="24"/>
        </w:rPr>
        <w:t xml:space="preserve"> Assessment, the respondents who opt-in for future waves of data collection shall become the Veterans participating in this longitudinal study to be contacted no more than once per year. </w:t>
      </w:r>
    </w:p>
    <w:p w14:paraId="63C199EB" w14:textId="77777777" w:rsidR="00E420F1" w:rsidRDefault="00E420F1" w:rsidP="00B871BB">
      <w:pPr>
        <w:pStyle w:val="ListParagraph"/>
        <w:rPr>
          <w:rFonts w:ascii="Georgia" w:hAnsi="Georgia"/>
          <w:sz w:val="24"/>
          <w:szCs w:val="24"/>
        </w:rPr>
      </w:pPr>
    </w:p>
    <w:p w14:paraId="153AB3ED" w14:textId="1EC223F7" w:rsidR="00E420F1" w:rsidRDefault="00E420F1" w:rsidP="00B871BB">
      <w:pPr>
        <w:pStyle w:val="ListParagraph"/>
        <w:rPr>
          <w:rFonts w:ascii="Georgia" w:hAnsi="Georgia"/>
          <w:sz w:val="24"/>
          <w:szCs w:val="24"/>
        </w:rPr>
      </w:pPr>
      <w:r>
        <w:rPr>
          <w:rFonts w:ascii="Georgia" w:hAnsi="Georgia"/>
          <w:sz w:val="24"/>
          <w:szCs w:val="24"/>
        </w:rPr>
        <w:t xml:space="preserve">To create these three cohorts, </w:t>
      </w:r>
      <w:r w:rsidR="00B871BB">
        <w:rPr>
          <w:rFonts w:ascii="Georgia" w:hAnsi="Georgia"/>
          <w:sz w:val="24"/>
          <w:szCs w:val="24"/>
        </w:rPr>
        <w:t xml:space="preserve">at least </w:t>
      </w:r>
      <w:r w:rsidR="004E74F9">
        <w:rPr>
          <w:rFonts w:ascii="Georgia" w:hAnsi="Georgia"/>
          <w:sz w:val="24"/>
          <w:szCs w:val="24"/>
        </w:rPr>
        <w:t xml:space="preserve">six (6) </w:t>
      </w:r>
      <w:r>
        <w:rPr>
          <w:rFonts w:ascii="Georgia" w:hAnsi="Georgia"/>
          <w:sz w:val="24"/>
          <w:szCs w:val="24"/>
        </w:rPr>
        <w:t xml:space="preserve">months of data shall be requested for the month prior to fielding the survey for each cohort. Although not all of these Veterans shall be included in the study, </w:t>
      </w:r>
      <w:r w:rsidR="006C6AC2">
        <w:rPr>
          <w:rFonts w:ascii="Georgia" w:hAnsi="Georgia"/>
          <w:sz w:val="24"/>
          <w:szCs w:val="24"/>
        </w:rPr>
        <w:t xml:space="preserve">the possibility of </w:t>
      </w:r>
      <w:r w:rsidRPr="006C6AC2">
        <w:rPr>
          <w:rFonts w:ascii="Georgia" w:hAnsi="Georgia"/>
          <w:sz w:val="24"/>
          <w:szCs w:val="24"/>
        </w:rPr>
        <w:t xml:space="preserve">printer vendor delays (external to </w:t>
      </w:r>
      <w:r w:rsidR="0067303D" w:rsidRPr="006C6AC2">
        <w:rPr>
          <w:rFonts w:ascii="Georgia" w:hAnsi="Georgia"/>
          <w:sz w:val="24"/>
          <w:szCs w:val="24"/>
        </w:rPr>
        <w:t>VA</w:t>
      </w:r>
      <w:r w:rsidRPr="006C6AC2">
        <w:rPr>
          <w:rFonts w:ascii="Georgia" w:hAnsi="Georgia"/>
          <w:sz w:val="24"/>
          <w:szCs w:val="24"/>
        </w:rPr>
        <w:t xml:space="preserve"> and </w:t>
      </w:r>
      <w:r w:rsidR="006C6AC2" w:rsidRPr="006C6AC2">
        <w:rPr>
          <w:rFonts w:ascii="Georgia" w:hAnsi="Georgia"/>
          <w:sz w:val="24"/>
          <w:szCs w:val="24"/>
        </w:rPr>
        <w:t>Contractor</w:t>
      </w:r>
      <w:r w:rsidRPr="006C6AC2">
        <w:rPr>
          <w:rFonts w:ascii="Georgia" w:hAnsi="Georgia"/>
          <w:sz w:val="24"/>
          <w:szCs w:val="24"/>
        </w:rPr>
        <w:t xml:space="preserve">) </w:t>
      </w:r>
      <w:r w:rsidR="006C6AC2" w:rsidRPr="006C6AC2">
        <w:rPr>
          <w:rFonts w:ascii="Georgia" w:hAnsi="Georgia"/>
          <w:sz w:val="24"/>
          <w:szCs w:val="24"/>
        </w:rPr>
        <w:t>necessitate r</w:t>
      </w:r>
      <w:r w:rsidRPr="006C6AC2">
        <w:rPr>
          <w:rFonts w:ascii="Georgia" w:hAnsi="Georgia"/>
          <w:sz w:val="24"/>
          <w:szCs w:val="24"/>
        </w:rPr>
        <w:t>equesting</w:t>
      </w:r>
      <w:r>
        <w:rPr>
          <w:rFonts w:ascii="Georgia" w:hAnsi="Georgia"/>
          <w:sz w:val="24"/>
          <w:szCs w:val="24"/>
        </w:rPr>
        <w:t xml:space="preserve"> extra records </w:t>
      </w:r>
      <w:r w:rsidR="006C6AC2">
        <w:rPr>
          <w:rFonts w:ascii="Georgia" w:hAnsi="Georgia"/>
          <w:sz w:val="24"/>
          <w:szCs w:val="24"/>
        </w:rPr>
        <w:t xml:space="preserve">as </w:t>
      </w:r>
      <w:r>
        <w:rPr>
          <w:rFonts w:ascii="Georgia" w:hAnsi="Georgia"/>
          <w:sz w:val="24"/>
          <w:szCs w:val="24"/>
        </w:rPr>
        <w:t>an overall efficiency to have sufficient records that can be restricted prior to mailing.</w:t>
      </w:r>
    </w:p>
    <w:p w14:paraId="08153FA0" w14:textId="77777777" w:rsidR="00E420F1" w:rsidRDefault="00E420F1" w:rsidP="00B871BB">
      <w:pPr>
        <w:pStyle w:val="ListParagraph"/>
        <w:rPr>
          <w:rFonts w:ascii="Georgia" w:hAnsi="Georgia"/>
          <w:sz w:val="24"/>
          <w:szCs w:val="24"/>
        </w:rPr>
      </w:pPr>
    </w:p>
    <w:p w14:paraId="32369D44" w14:textId="73AF7CCF" w:rsidR="00E420F1" w:rsidRDefault="00E420F1" w:rsidP="00B871BB">
      <w:pPr>
        <w:pStyle w:val="ListParagraph"/>
        <w:rPr>
          <w:rFonts w:ascii="Georgia" w:hAnsi="Georgia"/>
          <w:sz w:val="24"/>
          <w:szCs w:val="24"/>
        </w:rPr>
      </w:pPr>
      <w:r>
        <w:rPr>
          <w:rFonts w:ascii="Georgia" w:hAnsi="Georgia"/>
          <w:sz w:val="24"/>
          <w:szCs w:val="24"/>
        </w:rPr>
        <w:t xml:space="preserve">Three cohorts have been identified by </w:t>
      </w:r>
      <w:r w:rsidR="0067303D">
        <w:rPr>
          <w:rFonts w:ascii="Georgia" w:hAnsi="Georgia"/>
          <w:sz w:val="24"/>
          <w:szCs w:val="24"/>
        </w:rPr>
        <w:t>VA</w:t>
      </w:r>
      <w:r w:rsidR="00764D52">
        <w:rPr>
          <w:rFonts w:ascii="Georgia" w:hAnsi="Georgia"/>
          <w:sz w:val="24"/>
          <w:szCs w:val="24"/>
        </w:rPr>
        <w:t xml:space="preserve"> </w:t>
      </w:r>
      <w:r>
        <w:rPr>
          <w:rFonts w:ascii="Georgia" w:hAnsi="Georgia"/>
          <w:sz w:val="24"/>
          <w:szCs w:val="24"/>
        </w:rPr>
        <w:t xml:space="preserve">as the Veterans of interest in this study. The reference points after separating from service for the three cohorts shall approximate </w:t>
      </w:r>
      <w:r w:rsidR="004E74F9">
        <w:rPr>
          <w:rFonts w:ascii="Georgia" w:hAnsi="Georgia"/>
          <w:sz w:val="24"/>
          <w:szCs w:val="24"/>
        </w:rPr>
        <w:t>six (</w:t>
      </w:r>
      <w:r>
        <w:rPr>
          <w:rFonts w:ascii="Georgia" w:hAnsi="Georgia"/>
          <w:sz w:val="24"/>
          <w:szCs w:val="24"/>
        </w:rPr>
        <w:t>6</w:t>
      </w:r>
      <w:r w:rsidR="004E74F9">
        <w:rPr>
          <w:rFonts w:ascii="Georgia" w:hAnsi="Georgia"/>
          <w:sz w:val="24"/>
          <w:szCs w:val="24"/>
        </w:rPr>
        <w:t>)</w:t>
      </w:r>
      <w:r>
        <w:rPr>
          <w:rFonts w:ascii="Georgia" w:hAnsi="Georgia"/>
          <w:sz w:val="24"/>
          <w:szCs w:val="24"/>
        </w:rPr>
        <w:t xml:space="preserve"> months, </w:t>
      </w:r>
      <w:r w:rsidR="004E74F9">
        <w:rPr>
          <w:rFonts w:ascii="Georgia" w:hAnsi="Georgia"/>
          <w:sz w:val="24"/>
          <w:szCs w:val="24"/>
        </w:rPr>
        <w:t xml:space="preserve">one (1) </w:t>
      </w:r>
      <w:r>
        <w:rPr>
          <w:rFonts w:ascii="Georgia" w:hAnsi="Georgia"/>
          <w:sz w:val="24"/>
          <w:szCs w:val="24"/>
        </w:rPr>
        <w:t xml:space="preserve">year, and </w:t>
      </w:r>
      <w:r w:rsidR="004E74F9">
        <w:rPr>
          <w:rFonts w:ascii="Georgia" w:hAnsi="Georgia"/>
          <w:sz w:val="24"/>
          <w:szCs w:val="24"/>
        </w:rPr>
        <w:t>three (</w:t>
      </w:r>
      <w:r w:rsidR="00EB2B4F">
        <w:rPr>
          <w:rFonts w:ascii="Georgia" w:hAnsi="Georgia"/>
          <w:sz w:val="24"/>
          <w:szCs w:val="24"/>
        </w:rPr>
        <w:t>3</w:t>
      </w:r>
      <w:r w:rsidR="004E74F9">
        <w:rPr>
          <w:rFonts w:ascii="Georgia" w:hAnsi="Georgia"/>
          <w:sz w:val="24"/>
          <w:szCs w:val="24"/>
        </w:rPr>
        <w:t>)</w:t>
      </w:r>
      <w:r w:rsidR="00EB2B4F">
        <w:rPr>
          <w:rFonts w:ascii="Georgia" w:hAnsi="Georgia"/>
          <w:sz w:val="24"/>
          <w:szCs w:val="24"/>
        </w:rPr>
        <w:t xml:space="preserve"> </w:t>
      </w:r>
      <w:r>
        <w:rPr>
          <w:rFonts w:ascii="Georgia" w:hAnsi="Georgia"/>
          <w:sz w:val="24"/>
          <w:szCs w:val="24"/>
        </w:rPr>
        <w:t>years as outlined and graphically depicted below:</w:t>
      </w:r>
    </w:p>
    <w:p w14:paraId="743BFFC2" w14:textId="77777777" w:rsidR="00E420F1" w:rsidRPr="00C17729" w:rsidRDefault="00E420F1" w:rsidP="00B871BB">
      <w:pPr>
        <w:pStyle w:val="ListParagraph"/>
        <w:ind w:left="1440"/>
        <w:rPr>
          <w:rFonts w:ascii="Georgia" w:hAnsi="Georgia"/>
          <w:sz w:val="24"/>
          <w:szCs w:val="24"/>
        </w:rPr>
      </w:pPr>
      <w:r>
        <w:rPr>
          <w:rFonts w:ascii="Georgia" w:hAnsi="Georgia"/>
          <w:sz w:val="24"/>
          <w:szCs w:val="24"/>
        </w:rPr>
        <w:t xml:space="preserve"> </w:t>
      </w:r>
    </w:p>
    <w:p w14:paraId="3CCFAF4F" w14:textId="77777777" w:rsidR="00E420F1" w:rsidRPr="00626129" w:rsidRDefault="00E420F1" w:rsidP="00B871BB">
      <w:pPr>
        <w:pStyle w:val="ListParagraph"/>
        <w:ind w:left="1440"/>
        <w:rPr>
          <w:rFonts w:ascii="Georgia" w:hAnsi="Georgia"/>
          <w:b/>
          <w:sz w:val="24"/>
          <w:szCs w:val="24"/>
        </w:rPr>
      </w:pPr>
      <w:r w:rsidRPr="00626129">
        <w:rPr>
          <w:rFonts w:ascii="Georgia" w:hAnsi="Georgia"/>
          <w:b/>
          <w:sz w:val="24"/>
          <w:szCs w:val="24"/>
        </w:rPr>
        <w:t xml:space="preserve">Cohort 1: </w:t>
      </w:r>
    </w:p>
    <w:p w14:paraId="06855107" w14:textId="77777777" w:rsidR="00E420F1" w:rsidRDefault="00E420F1" w:rsidP="00B871BB">
      <w:pPr>
        <w:pStyle w:val="ListParagraph"/>
        <w:ind w:left="1440"/>
        <w:rPr>
          <w:rFonts w:ascii="Georgia" w:hAnsi="Georgia"/>
          <w:sz w:val="24"/>
          <w:szCs w:val="24"/>
        </w:rPr>
      </w:pPr>
      <w:r>
        <w:rPr>
          <w:rFonts w:ascii="Georgia" w:hAnsi="Georgia"/>
          <w:sz w:val="24"/>
          <w:szCs w:val="24"/>
        </w:rPr>
        <w:t xml:space="preserve">Veterans that separated 5-6 months prior to fielding </w:t>
      </w:r>
    </w:p>
    <w:p w14:paraId="43823F87" w14:textId="77777777" w:rsidR="00E420F1" w:rsidRDefault="00E420F1" w:rsidP="00B871BB">
      <w:pPr>
        <w:pStyle w:val="ListParagraph"/>
        <w:ind w:left="1440"/>
        <w:rPr>
          <w:rFonts w:ascii="Georgia" w:hAnsi="Georgia"/>
          <w:sz w:val="24"/>
          <w:szCs w:val="24"/>
        </w:rPr>
      </w:pPr>
      <w:r>
        <w:rPr>
          <w:rFonts w:ascii="Georgia" w:hAnsi="Georgia"/>
          <w:sz w:val="24"/>
          <w:szCs w:val="24"/>
        </w:rPr>
        <w:t>(2 months of annual population)</w:t>
      </w:r>
    </w:p>
    <w:p w14:paraId="76CBEA8B" w14:textId="77777777" w:rsidR="00E420F1" w:rsidRDefault="00E420F1" w:rsidP="00B871BB">
      <w:pPr>
        <w:pStyle w:val="ListParagraph"/>
        <w:ind w:left="1440"/>
        <w:rPr>
          <w:rFonts w:ascii="Georgia" w:hAnsi="Georgia"/>
          <w:sz w:val="24"/>
          <w:szCs w:val="24"/>
        </w:rPr>
      </w:pPr>
    </w:p>
    <w:p w14:paraId="07F1C1CC" w14:textId="77777777" w:rsidR="00E420F1" w:rsidRPr="00626129" w:rsidRDefault="00E420F1" w:rsidP="00B871BB">
      <w:pPr>
        <w:pStyle w:val="ListParagraph"/>
        <w:ind w:left="1440"/>
        <w:rPr>
          <w:rFonts w:ascii="Georgia" w:hAnsi="Georgia"/>
          <w:b/>
          <w:sz w:val="24"/>
          <w:szCs w:val="24"/>
        </w:rPr>
      </w:pPr>
      <w:r w:rsidRPr="00626129">
        <w:rPr>
          <w:rFonts w:ascii="Georgia" w:hAnsi="Georgia"/>
          <w:b/>
          <w:sz w:val="24"/>
          <w:szCs w:val="24"/>
        </w:rPr>
        <w:t xml:space="preserve">Cohort 2: </w:t>
      </w:r>
    </w:p>
    <w:p w14:paraId="60A466C8" w14:textId="77777777" w:rsidR="00E420F1" w:rsidRDefault="00E420F1" w:rsidP="00B871BB">
      <w:pPr>
        <w:pStyle w:val="ListParagraph"/>
        <w:ind w:left="1440"/>
        <w:rPr>
          <w:rFonts w:ascii="Georgia" w:hAnsi="Georgia"/>
          <w:sz w:val="24"/>
          <w:szCs w:val="24"/>
        </w:rPr>
      </w:pPr>
      <w:r>
        <w:rPr>
          <w:rFonts w:ascii="Georgia" w:hAnsi="Georgia"/>
          <w:sz w:val="24"/>
          <w:szCs w:val="24"/>
        </w:rPr>
        <w:t xml:space="preserve">Veterans that separated 11-12 months prior to fielding </w:t>
      </w:r>
    </w:p>
    <w:p w14:paraId="1E07DEED" w14:textId="77777777" w:rsidR="00E420F1" w:rsidRDefault="00E420F1" w:rsidP="00B871BB">
      <w:pPr>
        <w:pStyle w:val="ListParagraph"/>
        <w:ind w:left="1440"/>
        <w:rPr>
          <w:rFonts w:ascii="Georgia" w:hAnsi="Georgia"/>
          <w:sz w:val="24"/>
          <w:szCs w:val="24"/>
        </w:rPr>
      </w:pPr>
      <w:r>
        <w:rPr>
          <w:rFonts w:ascii="Georgia" w:hAnsi="Georgia"/>
          <w:sz w:val="24"/>
          <w:szCs w:val="24"/>
        </w:rPr>
        <w:t>(2 months of annual population)</w:t>
      </w:r>
    </w:p>
    <w:p w14:paraId="2EFFDC87" w14:textId="77777777" w:rsidR="00E420F1" w:rsidRDefault="00E420F1" w:rsidP="00B871BB">
      <w:pPr>
        <w:pStyle w:val="ListParagraph"/>
        <w:ind w:left="1440"/>
        <w:rPr>
          <w:rFonts w:ascii="Georgia" w:hAnsi="Georgia"/>
          <w:sz w:val="24"/>
          <w:szCs w:val="24"/>
        </w:rPr>
      </w:pPr>
    </w:p>
    <w:p w14:paraId="28BBE3E3" w14:textId="77777777" w:rsidR="00E420F1" w:rsidRPr="00560EDF" w:rsidRDefault="00E420F1" w:rsidP="00B871BB">
      <w:pPr>
        <w:pStyle w:val="ListParagraph"/>
        <w:ind w:left="1440"/>
        <w:rPr>
          <w:rFonts w:ascii="Georgia" w:hAnsi="Georgia"/>
          <w:b/>
          <w:sz w:val="24"/>
          <w:szCs w:val="24"/>
        </w:rPr>
      </w:pPr>
      <w:r w:rsidRPr="00560EDF">
        <w:rPr>
          <w:rFonts w:ascii="Georgia" w:hAnsi="Georgia"/>
          <w:b/>
          <w:sz w:val="24"/>
          <w:szCs w:val="24"/>
        </w:rPr>
        <w:lastRenderedPageBreak/>
        <w:t xml:space="preserve">Cohort 3: </w:t>
      </w:r>
    </w:p>
    <w:p w14:paraId="4B2241D2" w14:textId="77777777" w:rsidR="00E420F1" w:rsidRDefault="00E420F1" w:rsidP="00B871BB">
      <w:pPr>
        <w:pStyle w:val="ListParagraph"/>
        <w:ind w:left="1440"/>
        <w:rPr>
          <w:rFonts w:ascii="Georgia" w:hAnsi="Georgia"/>
          <w:sz w:val="24"/>
          <w:szCs w:val="24"/>
        </w:rPr>
      </w:pPr>
      <w:r>
        <w:rPr>
          <w:rFonts w:ascii="Georgia" w:hAnsi="Georgia"/>
          <w:sz w:val="24"/>
          <w:szCs w:val="24"/>
        </w:rPr>
        <w:t xml:space="preserve">Veterans that separated 35-36 months prior to fielding </w:t>
      </w:r>
    </w:p>
    <w:p w14:paraId="7C4404A1" w14:textId="77777777" w:rsidR="00E420F1" w:rsidRDefault="00E420F1" w:rsidP="00B871BB">
      <w:pPr>
        <w:pStyle w:val="ListParagraph"/>
        <w:ind w:left="1440"/>
        <w:rPr>
          <w:rFonts w:ascii="Georgia" w:hAnsi="Georgia"/>
          <w:sz w:val="24"/>
          <w:szCs w:val="24"/>
        </w:rPr>
      </w:pPr>
      <w:r>
        <w:rPr>
          <w:rFonts w:ascii="Georgia" w:hAnsi="Georgia"/>
          <w:sz w:val="24"/>
          <w:szCs w:val="24"/>
        </w:rPr>
        <w:t>(2 months of annual population)</w:t>
      </w:r>
    </w:p>
    <w:p w14:paraId="5872918B" w14:textId="77777777" w:rsidR="00E420F1" w:rsidRDefault="00E420F1" w:rsidP="00E420F1">
      <w:pPr>
        <w:pStyle w:val="ListParagraph"/>
        <w:rPr>
          <w:rFonts w:ascii="Georgia" w:hAnsi="Georgia"/>
          <w:sz w:val="24"/>
          <w:szCs w:val="24"/>
        </w:rPr>
      </w:pPr>
    </w:p>
    <w:p w14:paraId="3E46617B" w14:textId="77777777" w:rsidR="00E420F1" w:rsidRDefault="00E420F1" w:rsidP="00E420F1">
      <w:pPr>
        <w:pStyle w:val="ListParagraph"/>
        <w:rPr>
          <w:rFonts w:ascii="Georgia" w:hAnsi="Georgia"/>
          <w:sz w:val="24"/>
          <w:szCs w:val="24"/>
        </w:rPr>
      </w:pPr>
      <w:r w:rsidRPr="00542AF2">
        <w:rPr>
          <w:noProof/>
        </w:rPr>
        <w:drawing>
          <wp:anchor distT="0" distB="0" distL="114300" distR="114300" simplePos="0" relativeHeight="251666432" behindDoc="0" locked="0" layoutInCell="1" allowOverlap="1" wp14:anchorId="68D54D60" wp14:editId="3AF4F553">
            <wp:simplePos x="0" y="0"/>
            <wp:positionH relativeFrom="column">
              <wp:align>center</wp:align>
            </wp:positionH>
            <wp:positionV relativeFrom="paragraph">
              <wp:posOffset>1905</wp:posOffset>
            </wp:positionV>
            <wp:extent cx="5879592" cy="768096"/>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79592" cy="76809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D167950" w14:textId="77777777" w:rsidR="00E420F1" w:rsidRDefault="00E420F1" w:rsidP="00E420F1">
      <w:pPr>
        <w:pStyle w:val="ListParagraph"/>
        <w:rPr>
          <w:rFonts w:ascii="Georgia" w:hAnsi="Georgia"/>
          <w:sz w:val="24"/>
          <w:szCs w:val="24"/>
        </w:rPr>
      </w:pPr>
    </w:p>
    <w:p w14:paraId="30646EBE" w14:textId="3E1415F9" w:rsidR="004D07BF" w:rsidRDefault="004D07BF" w:rsidP="004D07BF">
      <w:pPr>
        <w:pStyle w:val="ListParagraph"/>
        <w:rPr>
          <w:rFonts w:ascii="Georgia" w:hAnsi="Georgia"/>
          <w:sz w:val="24"/>
          <w:szCs w:val="24"/>
        </w:rPr>
      </w:pPr>
      <w:r>
        <w:rPr>
          <w:rFonts w:ascii="Georgia" w:hAnsi="Georgia"/>
          <w:sz w:val="24"/>
          <w:szCs w:val="24"/>
        </w:rPr>
        <w:t xml:space="preserve">The population size for these three cohorts was estimated using the most recent separation numbers from the Department of Defense. In 2016, there </w:t>
      </w:r>
      <w:r w:rsidR="009E7924">
        <w:rPr>
          <w:rFonts w:ascii="Georgia" w:hAnsi="Georgia"/>
          <w:sz w:val="24"/>
          <w:szCs w:val="24"/>
        </w:rPr>
        <w:t xml:space="preserve">were </w:t>
      </w:r>
      <w:r>
        <w:rPr>
          <w:rFonts w:ascii="Georgia" w:hAnsi="Georgia"/>
          <w:sz w:val="24"/>
          <w:szCs w:val="24"/>
        </w:rPr>
        <w:t xml:space="preserve">211,668 Servicemembers who became Veterans. Given the low response rates and inexact mailing dates, two months of data is required. This equates to about 35,000 for each of the three eligible cohorts (i.e., approximately 210,000 annual Servicemembers who become Veterans equates to 35,000 every two months). </w:t>
      </w:r>
      <w:r w:rsidR="00522389">
        <w:rPr>
          <w:rFonts w:ascii="Georgia" w:hAnsi="Georgia"/>
          <w:sz w:val="24"/>
          <w:szCs w:val="24"/>
        </w:rPr>
        <w:t>T</w:t>
      </w:r>
      <w:r>
        <w:rPr>
          <w:rFonts w:ascii="Georgia" w:hAnsi="Georgia"/>
          <w:sz w:val="24"/>
          <w:szCs w:val="24"/>
        </w:rPr>
        <w:t>hese Veterans will be sent a</w:t>
      </w:r>
      <w:r w:rsidR="008311AA">
        <w:rPr>
          <w:rFonts w:ascii="Georgia" w:hAnsi="Georgia"/>
          <w:sz w:val="24"/>
          <w:szCs w:val="24"/>
        </w:rPr>
        <w:t>n advance</w:t>
      </w:r>
      <w:r>
        <w:rPr>
          <w:rFonts w:ascii="Georgia" w:hAnsi="Georgia"/>
          <w:sz w:val="24"/>
          <w:szCs w:val="24"/>
        </w:rPr>
        <w:t xml:space="preserve"> letter signed by </w:t>
      </w:r>
      <w:r w:rsidR="008311AA">
        <w:rPr>
          <w:rFonts w:ascii="Georgia" w:hAnsi="Georgia"/>
          <w:sz w:val="24"/>
          <w:szCs w:val="24"/>
        </w:rPr>
        <w:t>VA Senior Leadership</w:t>
      </w:r>
      <w:r>
        <w:rPr>
          <w:rFonts w:ascii="Georgia" w:hAnsi="Georgia"/>
          <w:sz w:val="24"/>
          <w:szCs w:val="24"/>
        </w:rPr>
        <w:t xml:space="preserve"> inviting them to participate in the </w:t>
      </w:r>
      <w:r w:rsidRPr="006C6AC2">
        <w:rPr>
          <w:rFonts w:ascii="Georgia" w:hAnsi="Georgia"/>
          <w:sz w:val="24"/>
          <w:szCs w:val="24"/>
        </w:rPr>
        <w:t xml:space="preserve">PSTAP </w:t>
      </w:r>
      <w:r w:rsidR="006C6AC2">
        <w:rPr>
          <w:rFonts w:ascii="Georgia" w:hAnsi="Georgia"/>
          <w:sz w:val="24"/>
          <w:szCs w:val="24"/>
        </w:rPr>
        <w:t xml:space="preserve">Assessment </w:t>
      </w:r>
      <w:r>
        <w:rPr>
          <w:rFonts w:ascii="Georgia" w:hAnsi="Georgia"/>
          <w:sz w:val="24"/>
          <w:szCs w:val="24"/>
        </w:rPr>
        <w:t xml:space="preserve">through a secure portal on the VA.gov website. Due to the heightened political attention to this topic, potential respondents are more likely to reply if the person signing the advance letter is a known individual. </w:t>
      </w:r>
    </w:p>
    <w:p w14:paraId="633BE4E8" w14:textId="77777777" w:rsidR="00E420F1" w:rsidRDefault="00E420F1" w:rsidP="002C07E3">
      <w:pPr>
        <w:pStyle w:val="ListParagraph"/>
        <w:rPr>
          <w:rFonts w:ascii="Georgia" w:hAnsi="Georgia"/>
          <w:sz w:val="24"/>
          <w:szCs w:val="24"/>
        </w:rPr>
      </w:pPr>
    </w:p>
    <w:p w14:paraId="0BC9762B" w14:textId="6C98ADAC" w:rsidR="00E420F1" w:rsidRDefault="00E420F1" w:rsidP="002C07E3">
      <w:pPr>
        <w:pStyle w:val="ListParagraph"/>
        <w:rPr>
          <w:rFonts w:ascii="Georgia" w:hAnsi="Georgia"/>
          <w:sz w:val="24"/>
          <w:szCs w:val="24"/>
        </w:rPr>
      </w:pPr>
      <w:r>
        <w:rPr>
          <w:rFonts w:ascii="Georgia" w:hAnsi="Georgia"/>
          <w:sz w:val="24"/>
          <w:szCs w:val="24"/>
        </w:rPr>
        <w:t xml:space="preserve">The table below shows the estimated response rates at the three stages of data collection: (1) </w:t>
      </w:r>
      <w:r w:rsidR="009E5D66">
        <w:rPr>
          <w:rFonts w:ascii="Georgia" w:hAnsi="Georgia"/>
          <w:sz w:val="24"/>
          <w:szCs w:val="24"/>
        </w:rPr>
        <w:t xml:space="preserve">Web </w:t>
      </w:r>
      <w:r>
        <w:rPr>
          <w:rFonts w:ascii="Georgia" w:hAnsi="Georgia"/>
          <w:sz w:val="24"/>
          <w:szCs w:val="24"/>
        </w:rPr>
        <w:t xml:space="preserve">invitation with advance letter; (2) mailed paper survey package; and (3) postcard reminder as the third and final reminder to participate electronically via the </w:t>
      </w:r>
      <w:r w:rsidR="00FE12D7">
        <w:rPr>
          <w:rFonts w:ascii="Georgia" w:hAnsi="Georgia"/>
          <w:sz w:val="24"/>
          <w:szCs w:val="24"/>
        </w:rPr>
        <w:t xml:space="preserve">Web </w:t>
      </w:r>
      <w:r>
        <w:rPr>
          <w:rFonts w:ascii="Georgia" w:hAnsi="Georgia"/>
          <w:sz w:val="24"/>
          <w:szCs w:val="24"/>
        </w:rPr>
        <w:t xml:space="preserve">portal on VA.gov. These response rates are based on the FY17 response rates for electronic and paper returns for the Compensation Enrollment survey from the VOV data. The final reminder is estimated at half the response rate from the initial invitation. </w:t>
      </w:r>
      <w:r w:rsidRPr="00FE12D7">
        <w:rPr>
          <w:rFonts w:ascii="Georgia" w:hAnsi="Georgia"/>
          <w:sz w:val="24"/>
          <w:szCs w:val="24"/>
        </w:rPr>
        <w:t>Although these</w:t>
      </w:r>
      <w:r w:rsidR="00FE12D7">
        <w:rPr>
          <w:rFonts w:ascii="Georgia" w:hAnsi="Georgia"/>
          <w:sz w:val="24"/>
          <w:szCs w:val="24"/>
        </w:rPr>
        <w:t xml:space="preserve"> estimated</w:t>
      </w:r>
      <w:r w:rsidRPr="00FE12D7">
        <w:rPr>
          <w:rFonts w:ascii="Georgia" w:hAnsi="Georgia"/>
          <w:sz w:val="24"/>
          <w:szCs w:val="24"/>
        </w:rPr>
        <w:t xml:space="preserve"> response rates are lower than those achieved in the TVMI study, </w:t>
      </w:r>
      <w:r w:rsidR="00FE12D7">
        <w:rPr>
          <w:rFonts w:ascii="Georgia" w:hAnsi="Georgia"/>
          <w:sz w:val="24"/>
          <w:szCs w:val="24"/>
        </w:rPr>
        <w:t xml:space="preserve">it should be noted </w:t>
      </w:r>
      <w:r w:rsidRPr="00FE12D7">
        <w:rPr>
          <w:rFonts w:ascii="Georgia" w:hAnsi="Georgia"/>
          <w:sz w:val="24"/>
          <w:szCs w:val="24"/>
        </w:rPr>
        <w:t xml:space="preserve">that </w:t>
      </w:r>
      <w:r w:rsidR="00FE12D7">
        <w:rPr>
          <w:rFonts w:ascii="Georgia" w:hAnsi="Georgia"/>
          <w:sz w:val="24"/>
          <w:szCs w:val="24"/>
        </w:rPr>
        <w:t xml:space="preserve">the TVMI </w:t>
      </w:r>
      <w:r w:rsidRPr="00FE12D7">
        <w:rPr>
          <w:rFonts w:ascii="Georgia" w:hAnsi="Georgia"/>
          <w:sz w:val="24"/>
          <w:szCs w:val="24"/>
        </w:rPr>
        <w:t>study is not federal and uses incentives ranging from $5 to $50</w:t>
      </w:r>
      <w:r w:rsidR="00FE12D7">
        <w:rPr>
          <w:rFonts w:ascii="Georgia" w:hAnsi="Georgia"/>
          <w:sz w:val="24"/>
          <w:szCs w:val="24"/>
        </w:rPr>
        <w:t>, which drive</w:t>
      </w:r>
      <w:r w:rsidR="006C6AC2">
        <w:rPr>
          <w:rFonts w:ascii="Georgia" w:hAnsi="Georgia"/>
          <w:sz w:val="24"/>
          <w:szCs w:val="24"/>
        </w:rPr>
        <w:t xml:space="preserve"> higher</w:t>
      </w:r>
      <w:r w:rsidRPr="00FE12D7">
        <w:rPr>
          <w:rFonts w:ascii="Georgia" w:hAnsi="Georgia"/>
          <w:sz w:val="24"/>
          <w:szCs w:val="24"/>
        </w:rPr>
        <w:t xml:space="preserve"> </w:t>
      </w:r>
      <w:r w:rsidR="00FE12D7">
        <w:rPr>
          <w:rFonts w:ascii="Georgia" w:hAnsi="Georgia"/>
          <w:sz w:val="24"/>
          <w:szCs w:val="24"/>
        </w:rPr>
        <w:t xml:space="preserve">response rates. </w:t>
      </w:r>
    </w:p>
    <w:p w14:paraId="4AC719F3" w14:textId="77777777" w:rsidR="00E420F1" w:rsidRPr="00000D3F" w:rsidRDefault="00E420F1" w:rsidP="00E420F1">
      <w:pPr>
        <w:rPr>
          <w:rFonts w:ascii="Georgia" w:hAnsi="Georgia"/>
          <w:sz w:val="24"/>
          <w:szCs w:val="24"/>
        </w:rPr>
      </w:pPr>
    </w:p>
    <w:p w14:paraId="533B604F" w14:textId="77777777" w:rsidR="00E420F1" w:rsidRPr="0079610A" w:rsidRDefault="00E420F1" w:rsidP="00E420F1">
      <w:pPr>
        <w:pStyle w:val="ListParagraph"/>
        <w:jc w:val="center"/>
        <w:rPr>
          <w:rFonts w:ascii="Georgia" w:hAnsi="Georgia"/>
          <w:b/>
          <w:i/>
          <w:sz w:val="24"/>
          <w:szCs w:val="24"/>
        </w:rPr>
      </w:pPr>
      <w:r w:rsidRPr="0079610A">
        <w:rPr>
          <w:rFonts w:ascii="Georgia" w:hAnsi="Georgia"/>
          <w:b/>
          <w:i/>
          <w:sz w:val="24"/>
          <w:szCs w:val="24"/>
        </w:rPr>
        <w:t>Response Rate Estimates</w:t>
      </w:r>
    </w:p>
    <w:p w14:paraId="27EA9928" w14:textId="77777777" w:rsidR="00E420F1" w:rsidRPr="00597A05" w:rsidRDefault="00E420F1" w:rsidP="00E420F1">
      <w:pPr>
        <w:rPr>
          <w:rFonts w:ascii="Georgia" w:hAnsi="Georgia"/>
          <w:b/>
          <w:sz w:val="24"/>
          <w:szCs w:val="24"/>
        </w:rPr>
      </w:pPr>
    </w:p>
    <w:tbl>
      <w:tblPr>
        <w:tblW w:w="7920" w:type="dxa"/>
        <w:jc w:val="center"/>
        <w:tblLayout w:type="fixed"/>
        <w:tblLook w:val="04A0" w:firstRow="1" w:lastRow="0" w:firstColumn="1" w:lastColumn="0" w:noHBand="0" w:noVBand="1"/>
      </w:tblPr>
      <w:tblGrid>
        <w:gridCol w:w="990"/>
        <w:gridCol w:w="1080"/>
        <w:gridCol w:w="1080"/>
        <w:gridCol w:w="1080"/>
        <w:gridCol w:w="1080"/>
        <w:gridCol w:w="1530"/>
        <w:gridCol w:w="1080"/>
      </w:tblGrid>
      <w:tr w:rsidR="00E420F1" w:rsidRPr="00221C86" w14:paraId="64267D9C" w14:textId="77777777" w:rsidTr="0011467C">
        <w:trPr>
          <w:trHeight w:val="888"/>
          <w:jc w:val="center"/>
        </w:trPr>
        <w:tc>
          <w:tcPr>
            <w:tcW w:w="990" w:type="dxa"/>
            <w:tcBorders>
              <w:top w:val="nil"/>
              <w:left w:val="nil"/>
              <w:bottom w:val="nil"/>
              <w:right w:val="nil"/>
            </w:tcBorders>
            <w:shd w:val="clear" w:color="auto" w:fill="auto"/>
            <w:noWrap/>
            <w:vAlign w:val="bottom"/>
            <w:hideMark/>
          </w:tcPr>
          <w:p w14:paraId="6E0260EE" w14:textId="77777777" w:rsidR="00E420F1" w:rsidRPr="00221C86" w:rsidRDefault="00E420F1" w:rsidP="0011467C">
            <w:pPr>
              <w:rPr>
                <w:rFonts w:ascii="Georgia" w:hAnsi="Georgia"/>
                <w:color w:val="000000"/>
              </w:rPr>
            </w:pPr>
          </w:p>
        </w:tc>
        <w:tc>
          <w:tcPr>
            <w:tcW w:w="1080" w:type="dxa"/>
            <w:tcBorders>
              <w:top w:val="nil"/>
              <w:left w:val="nil"/>
              <w:bottom w:val="nil"/>
              <w:right w:val="nil"/>
            </w:tcBorders>
            <w:shd w:val="clear" w:color="auto" w:fill="auto"/>
            <w:vAlign w:val="bottom"/>
            <w:hideMark/>
          </w:tcPr>
          <w:p w14:paraId="6C4D7CA6" w14:textId="73722705" w:rsidR="00E420F1" w:rsidRPr="00221C86" w:rsidRDefault="00E420F1" w:rsidP="0011467C">
            <w:pPr>
              <w:jc w:val="center"/>
              <w:rPr>
                <w:rFonts w:ascii="Georgia" w:hAnsi="Georgia"/>
                <w:color w:val="000000"/>
              </w:rPr>
            </w:pPr>
            <w:r w:rsidRPr="00221C86">
              <w:rPr>
                <w:rFonts w:ascii="Georgia" w:hAnsi="Georgia"/>
                <w:color w:val="000000"/>
              </w:rPr>
              <w:t xml:space="preserve">Postcard </w:t>
            </w:r>
            <w:r w:rsidR="00586059">
              <w:rPr>
                <w:rFonts w:ascii="Georgia" w:hAnsi="Georgia"/>
                <w:color w:val="000000"/>
              </w:rPr>
              <w:t>W</w:t>
            </w:r>
            <w:r w:rsidR="00586059" w:rsidRPr="00221C86">
              <w:rPr>
                <w:rFonts w:ascii="Georgia" w:hAnsi="Georgia"/>
                <w:color w:val="000000"/>
              </w:rPr>
              <w:t>eb</w:t>
            </w:r>
            <w:r w:rsidRPr="00221C86">
              <w:rPr>
                <w:rFonts w:ascii="Georgia" w:hAnsi="Georgia"/>
                <w:color w:val="000000"/>
              </w:rPr>
              <w:t>-invitation</w:t>
            </w:r>
          </w:p>
        </w:tc>
        <w:tc>
          <w:tcPr>
            <w:tcW w:w="1080" w:type="dxa"/>
            <w:tcBorders>
              <w:top w:val="nil"/>
              <w:left w:val="nil"/>
              <w:bottom w:val="nil"/>
              <w:right w:val="nil"/>
            </w:tcBorders>
            <w:shd w:val="clear" w:color="auto" w:fill="auto"/>
            <w:vAlign w:val="bottom"/>
            <w:hideMark/>
          </w:tcPr>
          <w:p w14:paraId="73B3E59C" w14:textId="77777777" w:rsidR="00E420F1" w:rsidRPr="00221C86" w:rsidRDefault="00E420F1" w:rsidP="0011467C">
            <w:pPr>
              <w:jc w:val="center"/>
              <w:rPr>
                <w:rFonts w:ascii="Georgia" w:hAnsi="Georgia"/>
                <w:color w:val="000000"/>
              </w:rPr>
            </w:pPr>
            <w:r w:rsidRPr="00221C86">
              <w:rPr>
                <w:rFonts w:ascii="Georgia" w:hAnsi="Georgia"/>
                <w:color w:val="000000"/>
              </w:rPr>
              <w:t xml:space="preserve">5% </w:t>
            </w:r>
            <w:r>
              <w:rPr>
                <w:rFonts w:ascii="Georgia" w:hAnsi="Georgia"/>
                <w:color w:val="000000"/>
              </w:rPr>
              <w:t>r</w:t>
            </w:r>
            <w:r w:rsidRPr="00221C86">
              <w:rPr>
                <w:rFonts w:ascii="Georgia" w:hAnsi="Georgia"/>
                <w:color w:val="000000"/>
              </w:rPr>
              <w:t xml:space="preserve">esponse </w:t>
            </w:r>
            <w:r>
              <w:rPr>
                <w:rFonts w:ascii="Georgia" w:hAnsi="Georgia"/>
                <w:color w:val="000000"/>
              </w:rPr>
              <w:t>r</w:t>
            </w:r>
            <w:r w:rsidRPr="00221C86">
              <w:rPr>
                <w:rFonts w:ascii="Georgia" w:hAnsi="Georgia"/>
                <w:color w:val="000000"/>
              </w:rPr>
              <w:t>ate</w:t>
            </w:r>
          </w:p>
        </w:tc>
        <w:tc>
          <w:tcPr>
            <w:tcW w:w="1080" w:type="dxa"/>
            <w:tcBorders>
              <w:top w:val="nil"/>
              <w:left w:val="nil"/>
              <w:bottom w:val="nil"/>
              <w:right w:val="nil"/>
            </w:tcBorders>
            <w:shd w:val="clear" w:color="auto" w:fill="auto"/>
            <w:vAlign w:val="bottom"/>
            <w:hideMark/>
          </w:tcPr>
          <w:p w14:paraId="577C94DF" w14:textId="7D4FE432" w:rsidR="00E420F1" w:rsidRPr="00221C86" w:rsidRDefault="00E420F1" w:rsidP="0011467C">
            <w:pPr>
              <w:jc w:val="center"/>
              <w:rPr>
                <w:rFonts w:ascii="Georgia" w:hAnsi="Georgia"/>
                <w:color w:val="000000"/>
              </w:rPr>
            </w:pPr>
            <w:r w:rsidRPr="00221C86">
              <w:rPr>
                <w:rFonts w:ascii="Georgia" w:hAnsi="Georgia"/>
                <w:color w:val="000000"/>
              </w:rPr>
              <w:t xml:space="preserve">Paper surveys (less </w:t>
            </w:r>
            <w:r w:rsidR="00586059">
              <w:rPr>
                <w:rFonts w:ascii="Georgia" w:hAnsi="Georgia"/>
                <w:color w:val="000000"/>
              </w:rPr>
              <w:t>W</w:t>
            </w:r>
            <w:r w:rsidR="00586059" w:rsidRPr="00221C86">
              <w:rPr>
                <w:rFonts w:ascii="Georgia" w:hAnsi="Georgia"/>
                <w:color w:val="000000"/>
              </w:rPr>
              <w:t xml:space="preserve">eb </w:t>
            </w:r>
            <w:r w:rsidRPr="00221C86">
              <w:rPr>
                <w:rFonts w:ascii="Georgia" w:hAnsi="Georgia"/>
                <w:color w:val="000000"/>
              </w:rPr>
              <w:t>returns)</w:t>
            </w:r>
          </w:p>
        </w:tc>
        <w:tc>
          <w:tcPr>
            <w:tcW w:w="1080" w:type="dxa"/>
            <w:tcBorders>
              <w:top w:val="nil"/>
              <w:left w:val="nil"/>
              <w:bottom w:val="nil"/>
              <w:right w:val="nil"/>
            </w:tcBorders>
            <w:shd w:val="clear" w:color="auto" w:fill="auto"/>
            <w:vAlign w:val="bottom"/>
            <w:hideMark/>
          </w:tcPr>
          <w:p w14:paraId="61680AF2" w14:textId="77777777" w:rsidR="00E420F1" w:rsidRPr="00221C86" w:rsidRDefault="00E420F1" w:rsidP="0011467C">
            <w:pPr>
              <w:jc w:val="center"/>
              <w:rPr>
                <w:rFonts w:ascii="Georgia" w:hAnsi="Georgia"/>
                <w:color w:val="000000"/>
              </w:rPr>
            </w:pPr>
            <w:r w:rsidRPr="00221C86">
              <w:rPr>
                <w:rFonts w:ascii="Georgia" w:hAnsi="Georgia"/>
                <w:color w:val="000000"/>
              </w:rPr>
              <w:t xml:space="preserve">10% </w:t>
            </w:r>
            <w:r>
              <w:rPr>
                <w:rFonts w:ascii="Georgia" w:hAnsi="Georgia"/>
                <w:color w:val="000000"/>
              </w:rPr>
              <w:t>r</w:t>
            </w:r>
            <w:r w:rsidRPr="00221C86">
              <w:rPr>
                <w:rFonts w:ascii="Georgia" w:hAnsi="Georgia"/>
                <w:color w:val="000000"/>
              </w:rPr>
              <w:t xml:space="preserve">esponse </w:t>
            </w:r>
            <w:r>
              <w:rPr>
                <w:rFonts w:ascii="Georgia" w:hAnsi="Georgia"/>
                <w:color w:val="000000"/>
              </w:rPr>
              <w:t>r</w:t>
            </w:r>
            <w:r w:rsidRPr="00221C86">
              <w:rPr>
                <w:rFonts w:ascii="Georgia" w:hAnsi="Georgia"/>
                <w:color w:val="000000"/>
              </w:rPr>
              <w:t>ate</w:t>
            </w:r>
          </w:p>
        </w:tc>
        <w:tc>
          <w:tcPr>
            <w:tcW w:w="1530" w:type="dxa"/>
            <w:tcBorders>
              <w:top w:val="nil"/>
              <w:left w:val="nil"/>
              <w:bottom w:val="nil"/>
              <w:right w:val="nil"/>
            </w:tcBorders>
            <w:shd w:val="clear" w:color="auto" w:fill="auto"/>
            <w:vAlign w:val="bottom"/>
            <w:hideMark/>
          </w:tcPr>
          <w:p w14:paraId="6F78E13E" w14:textId="7CF25C41" w:rsidR="00E420F1" w:rsidRPr="00221C86" w:rsidRDefault="00E420F1" w:rsidP="0011467C">
            <w:pPr>
              <w:jc w:val="center"/>
              <w:rPr>
                <w:rFonts w:ascii="Georgia" w:hAnsi="Georgia"/>
                <w:color w:val="000000"/>
              </w:rPr>
            </w:pPr>
            <w:r w:rsidRPr="00221C86">
              <w:rPr>
                <w:rFonts w:ascii="Georgia" w:hAnsi="Georgia"/>
                <w:color w:val="000000"/>
              </w:rPr>
              <w:t>Postcard web reminder</w:t>
            </w:r>
            <w:r>
              <w:rPr>
                <w:rFonts w:ascii="Georgia" w:hAnsi="Georgia"/>
                <w:color w:val="000000"/>
              </w:rPr>
              <w:t xml:space="preserve"> (less </w:t>
            </w:r>
            <w:r w:rsidR="00586059">
              <w:rPr>
                <w:rFonts w:ascii="Georgia" w:hAnsi="Georgia"/>
                <w:color w:val="000000"/>
              </w:rPr>
              <w:t xml:space="preserve">Web </w:t>
            </w:r>
            <w:r>
              <w:rPr>
                <w:rFonts w:ascii="Georgia" w:hAnsi="Georgia"/>
                <w:color w:val="000000"/>
              </w:rPr>
              <w:t>and paper returns)</w:t>
            </w:r>
          </w:p>
        </w:tc>
        <w:tc>
          <w:tcPr>
            <w:tcW w:w="1080" w:type="dxa"/>
            <w:tcBorders>
              <w:top w:val="nil"/>
              <w:left w:val="nil"/>
              <w:bottom w:val="nil"/>
              <w:right w:val="nil"/>
            </w:tcBorders>
            <w:shd w:val="clear" w:color="auto" w:fill="auto"/>
            <w:vAlign w:val="bottom"/>
            <w:hideMark/>
          </w:tcPr>
          <w:p w14:paraId="0B6606FB" w14:textId="77777777" w:rsidR="00E420F1" w:rsidRPr="00221C86" w:rsidRDefault="00E420F1" w:rsidP="0011467C">
            <w:pPr>
              <w:jc w:val="center"/>
              <w:rPr>
                <w:rFonts w:ascii="Georgia" w:hAnsi="Georgia"/>
                <w:color w:val="000000"/>
              </w:rPr>
            </w:pPr>
            <w:r w:rsidRPr="00221C86">
              <w:rPr>
                <w:rFonts w:ascii="Georgia" w:hAnsi="Georgia"/>
                <w:color w:val="000000"/>
              </w:rPr>
              <w:t xml:space="preserve">2.5% </w:t>
            </w:r>
            <w:r>
              <w:rPr>
                <w:rFonts w:ascii="Georgia" w:hAnsi="Georgia"/>
                <w:color w:val="000000"/>
              </w:rPr>
              <w:t>r</w:t>
            </w:r>
            <w:r w:rsidRPr="00221C86">
              <w:rPr>
                <w:rFonts w:ascii="Georgia" w:hAnsi="Georgia"/>
                <w:color w:val="000000"/>
              </w:rPr>
              <w:t xml:space="preserve">esponse </w:t>
            </w:r>
            <w:r>
              <w:rPr>
                <w:rFonts w:ascii="Georgia" w:hAnsi="Georgia"/>
                <w:color w:val="000000"/>
              </w:rPr>
              <w:t>r</w:t>
            </w:r>
            <w:r w:rsidRPr="00221C86">
              <w:rPr>
                <w:rFonts w:ascii="Georgia" w:hAnsi="Georgia"/>
                <w:color w:val="000000"/>
              </w:rPr>
              <w:t>ate</w:t>
            </w:r>
          </w:p>
        </w:tc>
      </w:tr>
      <w:tr w:rsidR="00E420F1" w:rsidRPr="00221C86" w14:paraId="2820711A" w14:textId="77777777" w:rsidTr="0011467C">
        <w:trPr>
          <w:trHeight w:val="576"/>
          <w:jc w:val="center"/>
        </w:trPr>
        <w:tc>
          <w:tcPr>
            <w:tcW w:w="990" w:type="dxa"/>
            <w:tcBorders>
              <w:top w:val="nil"/>
              <w:left w:val="nil"/>
              <w:bottom w:val="nil"/>
              <w:right w:val="nil"/>
            </w:tcBorders>
            <w:shd w:val="clear" w:color="auto" w:fill="auto"/>
            <w:vAlign w:val="bottom"/>
            <w:hideMark/>
          </w:tcPr>
          <w:p w14:paraId="33ADACE1" w14:textId="77777777" w:rsidR="00E420F1" w:rsidRPr="00221C86" w:rsidRDefault="00E420F1" w:rsidP="0011467C">
            <w:pPr>
              <w:rPr>
                <w:rFonts w:ascii="Georgia" w:hAnsi="Georgia"/>
                <w:color w:val="000000"/>
              </w:rPr>
            </w:pPr>
            <w:r>
              <w:rPr>
                <w:rFonts w:ascii="Georgia" w:hAnsi="Georgia"/>
                <w:color w:val="000000"/>
              </w:rPr>
              <w:t>Cohort 1</w:t>
            </w:r>
          </w:p>
        </w:tc>
        <w:tc>
          <w:tcPr>
            <w:tcW w:w="1080" w:type="dxa"/>
            <w:tcBorders>
              <w:top w:val="nil"/>
              <w:left w:val="nil"/>
              <w:bottom w:val="nil"/>
              <w:right w:val="nil"/>
            </w:tcBorders>
            <w:shd w:val="clear" w:color="auto" w:fill="auto"/>
            <w:noWrap/>
            <w:vAlign w:val="bottom"/>
            <w:hideMark/>
          </w:tcPr>
          <w:p w14:paraId="28CDFA19" w14:textId="77777777" w:rsidR="00E420F1" w:rsidRPr="00221C86" w:rsidRDefault="00E420F1" w:rsidP="0011467C">
            <w:pPr>
              <w:jc w:val="center"/>
              <w:rPr>
                <w:rFonts w:ascii="Georgia" w:hAnsi="Georgia"/>
                <w:color w:val="000000"/>
              </w:rPr>
            </w:pPr>
            <w:r w:rsidRPr="00221C86">
              <w:rPr>
                <w:rFonts w:ascii="Georgia" w:hAnsi="Georgia"/>
                <w:color w:val="000000"/>
              </w:rPr>
              <w:t>35,000</w:t>
            </w:r>
          </w:p>
        </w:tc>
        <w:tc>
          <w:tcPr>
            <w:tcW w:w="1080" w:type="dxa"/>
            <w:tcBorders>
              <w:top w:val="nil"/>
              <w:left w:val="nil"/>
              <w:bottom w:val="nil"/>
              <w:right w:val="nil"/>
            </w:tcBorders>
            <w:shd w:val="clear" w:color="auto" w:fill="auto"/>
            <w:noWrap/>
            <w:vAlign w:val="bottom"/>
            <w:hideMark/>
          </w:tcPr>
          <w:p w14:paraId="01005A11" w14:textId="77777777" w:rsidR="00E420F1" w:rsidRPr="00221C86" w:rsidRDefault="00E420F1" w:rsidP="0011467C">
            <w:pPr>
              <w:jc w:val="center"/>
              <w:rPr>
                <w:rFonts w:ascii="Georgia" w:hAnsi="Georgia"/>
                <w:color w:val="000000"/>
              </w:rPr>
            </w:pPr>
            <w:r w:rsidRPr="00221C86">
              <w:rPr>
                <w:rFonts w:ascii="Georgia" w:hAnsi="Georgia"/>
                <w:color w:val="000000"/>
              </w:rPr>
              <w:t>1,750</w:t>
            </w:r>
          </w:p>
        </w:tc>
        <w:tc>
          <w:tcPr>
            <w:tcW w:w="1080" w:type="dxa"/>
            <w:tcBorders>
              <w:top w:val="nil"/>
              <w:left w:val="nil"/>
              <w:bottom w:val="nil"/>
              <w:right w:val="nil"/>
            </w:tcBorders>
            <w:shd w:val="clear" w:color="auto" w:fill="auto"/>
            <w:noWrap/>
            <w:vAlign w:val="bottom"/>
            <w:hideMark/>
          </w:tcPr>
          <w:p w14:paraId="058BEE82" w14:textId="77777777" w:rsidR="00E420F1" w:rsidRPr="00221C86" w:rsidRDefault="00E420F1" w:rsidP="0011467C">
            <w:pPr>
              <w:jc w:val="center"/>
              <w:rPr>
                <w:rFonts w:ascii="Georgia" w:hAnsi="Georgia"/>
                <w:color w:val="000000"/>
              </w:rPr>
            </w:pPr>
            <w:r w:rsidRPr="00221C86">
              <w:rPr>
                <w:rFonts w:ascii="Georgia" w:hAnsi="Georgia"/>
                <w:color w:val="000000"/>
              </w:rPr>
              <w:t>33,250</w:t>
            </w:r>
          </w:p>
        </w:tc>
        <w:tc>
          <w:tcPr>
            <w:tcW w:w="1080" w:type="dxa"/>
            <w:tcBorders>
              <w:top w:val="nil"/>
              <w:left w:val="nil"/>
              <w:bottom w:val="nil"/>
              <w:right w:val="nil"/>
            </w:tcBorders>
            <w:shd w:val="clear" w:color="auto" w:fill="auto"/>
            <w:noWrap/>
            <w:vAlign w:val="bottom"/>
            <w:hideMark/>
          </w:tcPr>
          <w:p w14:paraId="6449AAC5" w14:textId="77777777" w:rsidR="00E420F1" w:rsidRPr="00221C86" w:rsidRDefault="00E420F1" w:rsidP="0011467C">
            <w:pPr>
              <w:jc w:val="center"/>
              <w:rPr>
                <w:rFonts w:ascii="Georgia" w:hAnsi="Georgia"/>
                <w:color w:val="000000"/>
              </w:rPr>
            </w:pPr>
            <w:r w:rsidRPr="00221C86">
              <w:rPr>
                <w:rFonts w:ascii="Georgia" w:hAnsi="Georgia"/>
                <w:color w:val="000000"/>
              </w:rPr>
              <w:t>3,325</w:t>
            </w:r>
          </w:p>
        </w:tc>
        <w:tc>
          <w:tcPr>
            <w:tcW w:w="1530" w:type="dxa"/>
            <w:tcBorders>
              <w:top w:val="nil"/>
              <w:left w:val="nil"/>
              <w:bottom w:val="nil"/>
              <w:right w:val="nil"/>
            </w:tcBorders>
            <w:shd w:val="clear" w:color="auto" w:fill="auto"/>
            <w:noWrap/>
            <w:vAlign w:val="bottom"/>
            <w:hideMark/>
          </w:tcPr>
          <w:p w14:paraId="79294015" w14:textId="77777777" w:rsidR="00E420F1" w:rsidRPr="00221C86" w:rsidRDefault="00E420F1" w:rsidP="0011467C">
            <w:pPr>
              <w:jc w:val="center"/>
              <w:rPr>
                <w:rFonts w:ascii="Georgia" w:hAnsi="Georgia"/>
                <w:color w:val="000000"/>
              </w:rPr>
            </w:pPr>
            <w:r w:rsidRPr="00221C86">
              <w:rPr>
                <w:rFonts w:ascii="Georgia" w:hAnsi="Georgia"/>
                <w:color w:val="000000"/>
              </w:rPr>
              <w:t>29,925</w:t>
            </w:r>
          </w:p>
        </w:tc>
        <w:tc>
          <w:tcPr>
            <w:tcW w:w="1080" w:type="dxa"/>
            <w:tcBorders>
              <w:top w:val="nil"/>
              <w:left w:val="nil"/>
              <w:bottom w:val="nil"/>
              <w:right w:val="nil"/>
            </w:tcBorders>
            <w:shd w:val="clear" w:color="auto" w:fill="auto"/>
            <w:noWrap/>
            <w:vAlign w:val="bottom"/>
            <w:hideMark/>
          </w:tcPr>
          <w:p w14:paraId="3E8C5187" w14:textId="77777777" w:rsidR="00E420F1" w:rsidRPr="00221C86" w:rsidRDefault="00E420F1" w:rsidP="0011467C">
            <w:pPr>
              <w:jc w:val="center"/>
              <w:rPr>
                <w:rFonts w:ascii="Georgia" w:hAnsi="Georgia"/>
                <w:color w:val="000000"/>
              </w:rPr>
            </w:pPr>
            <w:r w:rsidRPr="00221C86">
              <w:rPr>
                <w:rFonts w:ascii="Georgia" w:hAnsi="Georgia"/>
                <w:color w:val="000000"/>
              </w:rPr>
              <w:t>748</w:t>
            </w:r>
          </w:p>
        </w:tc>
      </w:tr>
      <w:tr w:rsidR="00E420F1" w:rsidRPr="00221C86" w14:paraId="14C253C1" w14:textId="77777777" w:rsidTr="0011467C">
        <w:trPr>
          <w:trHeight w:val="576"/>
          <w:jc w:val="center"/>
        </w:trPr>
        <w:tc>
          <w:tcPr>
            <w:tcW w:w="990" w:type="dxa"/>
            <w:tcBorders>
              <w:top w:val="nil"/>
              <w:left w:val="nil"/>
              <w:right w:val="nil"/>
            </w:tcBorders>
            <w:shd w:val="clear" w:color="auto" w:fill="auto"/>
            <w:vAlign w:val="bottom"/>
            <w:hideMark/>
          </w:tcPr>
          <w:p w14:paraId="7F9FA9BD" w14:textId="77777777" w:rsidR="00E420F1" w:rsidRPr="00221C86" w:rsidRDefault="00E420F1" w:rsidP="0011467C">
            <w:pPr>
              <w:rPr>
                <w:rFonts w:ascii="Georgia" w:hAnsi="Georgia"/>
                <w:color w:val="000000"/>
              </w:rPr>
            </w:pPr>
            <w:r>
              <w:rPr>
                <w:rFonts w:ascii="Georgia" w:hAnsi="Georgia"/>
                <w:color w:val="000000"/>
              </w:rPr>
              <w:t>Cohort 2</w:t>
            </w:r>
          </w:p>
        </w:tc>
        <w:tc>
          <w:tcPr>
            <w:tcW w:w="1080" w:type="dxa"/>
            <w:tcBorders>
              <w:top w:val="nil"/>
              <w:left w:val="nil"/>
              <w:right w:val="nil"/>
            </w:tcBorders>
            <w:shd w:val="clear" w:color="auto" w:fill="auto"/>
            <w:noWrap/>
            <w:vAlign w:val="bottom"/>
            <w:hideMark/>
          </w:tcPr>
          <w:p w14:paraId="2B3FB9D0" w14:textId="77777777" w:rsidR="00E420F1" w:rsidRPr="00221C86" w:rsidRDefault="00E420F1" w:rsidP="0011467C">
            <w:pPr>
              <w:jc w:val="center"/>
              <w:rPr>
                <w:rFonts w:ascii="Georgia" w:hAnsi="Georgia"/>
                <w:color w:val="000000"/>
              </w:rPr>
            </w:pPr>
            <w:r w:rsidRPr="00221C86">
              <w:rPr>
                <w:rFonts w:ascii="Georgia" w:hAnsi="Georgia"/>
                <w:color w:val="000000"/>
              </w:rPr>
              <w:t>35,000</w:t>
            </w:r>
          </w:p>
        </w:tc>
        <w:tc>
          <w:tcPr>
            <w:tcW w:w="1080" w:type="dxa"/>
            <w:tcBorders>
              <w:top w:val="nil"/>
              <w:left w:val="nil"/>
              <w:right w:val="nil"/>
            </w:tcBorders>
            <w:shd w:val="clear" w:color="auto" w:fill="auto"/>
            <w:noWrap/>
            <w:vAlign w:val="bottom"/>
            <w:hideMark/>
          </w:tcPr>
          <w:p w14:paraId="46C827AB" w14:textId="77777777" w:rsidR="00E420F1" w:rsidRPr="00221C86" w:rsidRDefault="00E420F1" w:rsidP="0011467C">
            <w:pPr>
              <w:jc w:val="center"/>
              <w:rPr>
                <w:rFonts w:ascii="Georgia" w:hAnsi="Georgia"/>
                <w:color w:val="000000"/>
              </w:rPr>
            </w:pPr>
            <w:r w:rsidRPr="00221C86">
              <w:rPr>
                <w:rFonts w:ascii="Georgia" w:hAnsi="Georgia"/>
                <w:color w:val="000000"/>
              </w:rPr>
              <w:t>1,750</w:t>
            </w:r>
          </w:p>
        </w:tc>
        <w:tc>
          <w:tcPr>
            <w:tcW w:w="1080" w:type="dxa"/>
            <w:tcBorders>
              <w:top w:val="nil"/>
              <w:left w:val="nil"/>
              <w:right w:val="nil"/>
            </w:tcBorders>
            <w:shd w:val="clear" w:color="auto" w:fill="auto"/>
            <w:noWrap/>
            <w:vAlign w:val="bottom"/>
            <w:hideMark/>
          </w:tcPr>
          <w:p w14:paraId="07A6B36D" w14:textId="77777777" w:rsidR="00E420F1" w:rsidRPr="00221C86" w:rsidRDefault="00E420F1" w:rsidP="0011467C">
            <w:pPr>
              <w:jc w:val="center"/>
              <w:rPr>
                <w:rFonts w:ascii="Georgia" w:hAnsi="Georgia"/>
                <w:color w:val="000000"/>
              </w:rPr>
            </w:pPr>
            <w:r w:rsidRPr="00221C86">
              <w:rPr>
                <w:rFonts w:ascii="Georgia" w:hAnsi="Georgia"/>
                <w:color w:val="000000"/>
              </w:rPr>
              <w:t>33,250</w:t>
            </w:r>
          </w:p>
        </w:tc>
        <w:tc>
          <w:tcPr>
            <w:tcW w:w="1080" w:type="dxa"/>
            <w:tcBorders>
              <w:top w:val="nil"/>
              <w:left w:val="nil"/>
              <w:right w:val="nil"/>
            </w:tcBorders>
            <w:shd w:val="clear" w:color="auto" w:fill="auto"/>
            <w:noWrap/>
            <w:vAlign w:val="bottom"/>
            <w:hideMark/>
          </w:tcPr>
          <w:p w14:paraId="213E0A15" w14:textId="77777777" w:rsidR="00E420F1" w:rsidRPr="00221C86" w:rsidRDefault="00E420F1" w:rsidP="0011467C">
            <w:pPr>
              <w:jc w:val="center"/>
              <w:rPr>
                <w:rFonts w:ascii="Georgia" w:hAnsi="Georgia"/>
                <w:color w:val="000000"/>
              </w:rPr>
            </w:pPr>
            <w:r w:rsidRPr="00221C86">
              <w:rPr>
                <w:rFonts w:ascii="Georgia" w:hAnsi="Georgia"/>
                <w:color w:val="000000"/>
              </w:rPr>
              <w:t>3,325</w:t>
            </w:r>
          </w:p>
        </w:tc>
        <w:tc>
          <w:tcPr>
            <w:tcW w:w="1530" w:type="dxa"/>
            <w:tcBorders>
              <w:top w:val="nil"/>
              <w:left w:val="nil"/>
              <w:right w:val="nil"/>
            </w:tcBorders>
            <w:shd w:val="clear" w:color="auto" w:fill="auto"/>
            <w:noWrap/>
            <w:vAlign w:val="bottom"/>
            <w:hideMark/>
          </w:tcPr>
          <w:p w14:paraId="641584EB" w14:textId="77777777" w:rsidR="00E420F1" w:rsidRPr="00221C86" w:rsidRDefault="00E420F1" w:rsidP="0011467C">
            <w:pPr>
              <w:jc w:val="center"/>
              <w:rPr>
                <w:rFonts w:ascii="Georgia" w:hAnsi="Georgia"/>
                <w:color w:val="000000"/>
              </w:rPr>
            </w:pPr>
            <w:r w:rsidRPr="00221C86">
              <w:rPr>
                <w:rFonts w:ascii="Georgia" w:hAnsi="Georgia"/>
                <w:color w:val="000000"/>
              </w:rPr>
              <w:t>29,925</w:t>
            </w:r>
          </w:p>
        </w:tc>
        <w:tc>
          <w:tcPr>
            <w:tcW w:w="1080" w:type="dxa"/>
            <w:tcBorders>
              <w:top w:val="nil"/>
              <w:left w:val="nil"/>
              <w:right w:val="nil"/>
            </w:tcBorders>
            <w:shd w:val="clear" w:color="auto" w:fill="auto"/>
            <w:noWrap/>
            <w:vAlign w:val="bottom"/>
            <w:hideMark/>
          </w:tcPr>
          <w:p w14:paraId="28991B8A" w14:textId="77777777" w:rsidR="00E420F1" w:rsidRPr="00221C86" w:rsidRDefault="00E420F1" w:rsidP="0011467C">
            <w:pPr>
              <w:jc w:val="center"/>
              <w:rPr>
                <w:rFonts w:ascii="Georgia" w:hAnsi="Georgia"/>
                <w:color w:val="000000"/>
              </w:rPr>
            </w:pPr>
            <w:r w:rsidRPr="00221C86">
              <w:rPr>
                <w:rFonts w:ascii="Georgia" w:hAnsi="Georgia"/>
                <w:color w:val="000000"/>
              </w:rPr>
              <w:t>748</w:t>
            </w:r>
          </w:p>
        </w:tc>
      </w:tr>
      <w:tr w:rsidR="00E420F1" w:rsidRPr="00221C86" w14:paraId="52687B87" w14:textId="77777777" w:rsidTr="0011467C">
        <w:trPr>
          <w:trHeight w:val="576"/>
          <w:jc w:val="center"/>
        </w:trPr>
        <w:tc>
          <w:tcPr>
            <w:tcW w:w="990" w:type="dxa"/>
            <w:tcBorders>
              <w:top w:val="nil"/>
              <w:left w:val="nil"/>
              <w:right w:val="nil"/>
            </w:tcBorders>
            <w:shd w:val="clear" w:color="auto" w:fill="auto"/>
            <w:vAlign w:val="bottom"/>
            <w:hideMark/>
          </w:tcPr>
          <w:p w14:paraId="7E13C5B0" w14:textId="77777777" w:rsidR="00E420F1" w:rsidRPr="00221C86" w:rsidRDefault="00E420F1" w:rsidP="0011467C">
            <w:pPr>
              <w:rPr>
                <w:rFonts w:ascii="Georgia" w:hAnsi="Georgia"/>
                <w:color w:val="000000"/>
              </w:rPr>
            </w:pPr>
            <w:r>
              <w:rPr>
                <w:rFonts w:ascii="Georgia" w:hAnsi="Georgia"/>
                <w:color w:val="000000"/>
              </w:rPr>
              <w:t>Cohort 3</w:t>
            </w:r>
          </w:p>
        </w:tc>
        <w:tc>
          <w:tcPr>
            <w:tcW w:w="1080" w:type="dxa"/>
            <w:tcBorders>
              <w:top w:val="nil"/>
              <w:left w:val="nil"/>
              <w:bottom w:val="single" w:sz="4" w:space="0" w:color="auto"/>
              <w:right w:val="nil"/>
            </w:tcBorders>
            <w:shd w:val="clear" w:color="auto" w:fill="auto"/>
            <w:noWrap/>
            <w:vAlign w:val="bottom"/>
            <w:hideMark/>
          </w:tcPr>
          <w:p w14:paraId="5793E214" w14:textId="77777777" w:rsidR="00E420F1" w:rsidRPr="00221C86" w:rsidRDefault="00E420F1" w:rsidP="0011467C">
            <w:pPr>
              <w:jc w:val="center"/>
              <w:rPr>
                <w:rFonts w:ascii="Georgia" w:hAnsi="Georgia"/>
                <w:color w:val="000000"/>
              </w:rPr>
            </w:pPr>
            <w:r w:rsidRPr="00221C86">
              <w:rPr>
                <w:rFonts w:ascii="Georgia" w:hAnsi="Georgia"/>
                <w:color w:val="000000"/>
              </w:rPr>
              <w:t>35,000</w:t>
            </w:r>
          </w:p>
        </w:tc>
        <w:tc>
          <w:tcPr>
            <w:tcW w:w="1080" w:type="dxa"/>
            <w:tcBorders>
              <w:top w:val="nil"/>
              <w:left w:val="nil"/>
              <w:bottom w:val="single" w:sz="4" w:space="0" w:color="auto"/>
              <w:right w:val="nil"/>
            </w:tcBorders>
            <w:shd w:val="clear" w:color="auto" w:fill="auto"/>
            <w:noWrap/>
            <w:vAlign w:val="bottom"/>
            <w:hideMark/>
          </w:tcPr>
          <w:p w14:paraId="5F54FDE5" w14:textId="77777777" w:rsidR="00E420F1" w:rsidRPr="00221C86" w:rsidRDefault="00E420F1" w:rsidP="0011467C">
            <w:pPr>
              <w:jc w:val="center"/>
              <w:rPr>
                <w:rFonts w:ascii="Georgia" w:hAnsi="Georgia"/>
                <w:color w:val="000000"/>
              </w:rPr>
            </w:pPr>
            <w:r w:rsidRPr="00221C86">
              <w:rPr>
                <w:rFonts w:ascii="Georgia" w:hAnsi="Georgia"/>
                <w:color w:val="000000"/>
              </w:rPr>
              <w:t>1,750</w:t>
            </w:r>
          </w:p>
        </w:tc>
        <w:tc>
          <w:tcPr>
            <w:tcW w:w="1080" w:type="dxa"/>
            <w:tcBorders>
              <w:top w:val="nil"/>
              <w:left w:val="nil"/>
              <w:bottom w:val="single" w:sz="4" w:space="0" w:color="auto"/>
              <w:right w:val="nil"/>
            </w:tcBorders>
            <w:shd w:val="clear" w:color="auto" w:fill="auto"/>
            <w:noWrap/>
            <w:vAlign w:val="bottom"/>
            <w:hideMark/>
          </w:tcPr>
          <w:p w14:paraId="5A9D11DB" w14:textId="77777777" w:rsidR="00E420F1" w:rsidRPr="00221C86" w:rsidRDefault="00E420F1" w:rsidP="0011467C">
            <w:pPr>
              <w:jc w:val="center"/>
              <w:rPr>
                <w:rFonts w:ascii="Georgia" w:hAnsi="Georgia"/>
                <w:color w:val="000000"/>
              </w:rPr>
            </w:pPr>
            <w:r w:rsidRPr="00221C86">
              <w:rPr>
                <w:rFonts w:ascii="Georgia" w:hAnsi="Georgia"/>
                <w:color w:val="000000"/>
              </w:rPr>
              <w:t>33,250</w:t>
            </w:r>
          </w:p>
        </w:tc>
        <w:tc>
          <w:tcPr>
            <w:tcW w:w="1080" w:type="dxa"/>
            <w:tcBorders>
              <w:top w:val="nil"/>
              <w:left w:val="nil"/>
              <w:bottom w:val="single" w:sz="4" w:space="0" w:color="auto"/>
              <w:right w:val="nil"/>
            </w:tcBorders>
            <w:shd w:val="clear" w:color="auto" w:fill="auto"/>
            <w:noWrap/>
            <w:vAlign w:val="bottom"/>
            <w:hideMark/>
          </w:tcPr>
          <w:p w14:paraId="56C2EC54" w14:textId="77777777" w:rsidR="00E420F1" w:rsidRPr="00221C86" w:rsidRDefault="00E420F1" w:rsidP="0011467C">
            <w:pPr>
              <w:jc w:val="center"/>
              <w:rPr>
                <w:rFonts w:ascii="Georgia" w:hAnsi="Georgia"/>
                <w:color w:val="000000"/>
              </w:rPr>
            </w:pPr>
            <w:r w:rsidRPr="00221C86">
              <w:rPr>
                <w:rFonts w:ascii="Georgia" w:hAnsi="Georgia"/>
                <w:color w:val="000000"/>
              </w:rPr>
              <w:t>3,325</w:t>
            </w:r>
          </w:p>
        </w:tc>
        <w:tc>
          <w:tcPr>
            <w:tcW w:w="1530" w:type="dxa"/>
            <w:tcBorders>
              <w:top w:val="nil"/>
              <w:left w:val="nil"/>
              <w:bottom w:val="single" w:sz="4" w:space="0" w:color="auto"/>
              <w:right w:val="nil"/>
            </w:tcBorders>
            <w:shd w:val="clear" w:color="auto" w:fill="auto"/>
            <w:noWrap/>
            <w:vAlign w:val="bottom"/>
            <w:hideMark/>
          </w:tcPr>
          <w:p w14:paraId="0EF13054" w14:textId="77777777" w:rsidR="00E420F1" w:rsidRPr="00221C86" w:rsidRDefault="00E420F1" w:rsidP="0011467C">
            <w:pPr>
              <w:jc w:val="center"/>
              <w:rPr>
                <w:rFonts w:ascii="Georgia" w:hAnsi="Georgia"/>
                <w:color w:val="000000"/>
              </w:rPr>
            </w:pPr>
            <w:r w:rsidRPr="00221C86">
              <w:rPr>
                <w:rFonts w:ascii="Georgia" w:hAnsi="Georgia"/>
                <w:color w:val="000000"/>
              </w:rPr>
              <w:t>29,925</w:t>
            </w:r>
          </w:p>
        </w:tc>
        <w:tc>
          <w:tcPr>
            <w:tcW w:w="1080" w:type="dxa"/>
            <w:tcBorders>
              <w:top w:val="nil"/>
              <w:left w:val="nil"/>
              <w:bottom w:val="single" w:sz="4" w:space="0" w:color="auto"/>
              <w:right w:val="nil"/>
            </w:tcBorders>
            <w:shd w:val="clear" w:color="auto" w:fill="auto"/>
            <w:noWrap/>
            <w:vAlign w:val="bottom"/>
            <w:hideMark/>
          </w:tcPr>
          <w:p w14:paraId="55D7C9E0" w14:textId="77777777" w:rsidR="00E420F1" w:rsidRPr="00221C86" w:rsidRDefault="00E420F1" w:rsidP="0011467C">
            <w:pPr>
              <w:jc w:val="center"/>
              <w:rPr>
                <w:rFonts w:ascii="Georgia" w:hAnsi="Georgia"/>
                <w:color w:val="000000"/>
              </w:rPr>
            </w:pPr>
            <w:r w:rsidRPr="00221C86">
              <w:rPr>
                <w:rFonts w:ascii="Georgia" w:hAnsi="Georgia"/>
                <w:color w:val="000000"/>
              </w:rPr>
              <w:t>748</w:t>
            </w:r>
          </w:p>
        </w:tc>
      </w:tr>
      <w:tr w:rsidR="00E420F1" w:rsidRPr="00221C86" w14:paraId="71F321DA" w14:textId="77777777" w:rsidTr="0011467C">
        <w:trPr>
          <w:trHeight w:val="288"/>
          <w:jc w:val="center"/>
        </w:trPr>
        <w:tc>
          <w:tcPr>
            <w:tcW w:w="990" w:type="dxa"/>
            <w:tcBorders>
              <w:left w:val="nil"/>
              <w:bottom w:val="nil"/>
              <w:right w:val="nil"/>
            </w:tcBorders>
            <w:shd w:val="clear" w:color="auto" w:fill="auto"/>
            <w:vAlign w:val="bottom"/>
          </w:tcPr>
          <w:p w14:paraId="0D57CC21" w14:textId="77777777" w:rsidR="00E420F1" w:rsidRPr="00560EDF" w:rsidRDefault="00E420F1" w:rsidP="0011467C">
            <w:pPr>
              <w:jc w:val="right"/>
              <w:rPr>
                <w:rFonts w:ascii="Georgia" w:hAnsi="Georgia"/>
                <w:b/>
                <w:color w:val="000000"/>
              </w:rPr>
            </w:pPr>
          </w:p>
        </w:tc>
        <w:tc>
          <w:tcPr>
            <w:tcW w:w="1080" w:type="dxa"/>
            <w:tcBorders>
              <w:top w:val="single" w:sz="4" w:space="0" w:color="auto"/>
              <w:left w:val="nil"/>
              <w:bottom w:val="nil"/>
              <w:right w:val="nil"/>
            </w:tcBorders>
            <w:shd w:val="clear" w:color="auto" w:fill="auto"/>
            <w:noWrap/>
            <w:vAlign w:val="bottom"/>
            <w:hideMark/>
          </w:tcPr>
          <w:p w14:paraId="7C3EB88B" w14:textId="77777777" w:rsidR="00E420F1" w:rsidRPr="00560EDF" w:rsidRDefault="00E420F1" w:rsidP="0011467C">
            <w:pPr>
              <w:jc w:val="center"/>
              <w:rPr>
                <w:rFonts w:ascii="Georgia" w:hAnsi="Georgia"/>
                <w:b/>
                <w:color w:val="000000"/>
              </w:rPr>
            </w:pPr>
            <w:r w:rsidRPr="00560EDF">
              <w:rPr>
                <w:rFonts w:ascii="Georgia" w:hAnsi="Georgia"/>
                <w:b/>
                <w:color w:val="000000"/>
              </w:rPr>
              <w:t>105,000</w:t>
            </w:r>
          </w:p>
        </w:tc>
        <w:tc>
          <w:tcPr>
            <w:tcW w:w="1080" w:type="dxa"/>
            <w:tcBorders>
              <w:top w:val="single" w:sz="4" w:space="0" w:color="auto"/>
              <w:left w:val="nil"/>
              <w:bottom w:val="nil"/>
              <w:right w:val="nil"/>
            </w:tcBorders>
            <w:shd w:val="clear" w:color="auto" w:fill="auto"/>
            <w:noWrap/>
            <w:vAlign w:val="bottom"/>
            <w:hideMark/>
          </w:tcPr>
          <w:p w14:paraId="0D3AB34C" w14:textId="77777777" w:rsidR="00E420F1" w:rsidRPr="00560EDF" w:rsidRDefault="00E420F1" w:rsidP="0011467C">
            <w:pPr>
              <w:jc w:val="center"/>
              <w:rPr>
                <w:rFonts w:ascii="Georgia" w:hAnsi="Georgia"/>
                <w:b/>
                <w:color w:val="000000"/>
              </w:rPr>
            </w:pPr>
            <w:r w:rsidRPr="00560EDF">
              <w:rPr>
                <w:rFonts w:ascii="Georgia" w:hAnsi="Georgia"/>
                <w:b/>
                <w:color w:val="000000"/>
              </w:rPr>
              <w:t>5,250</w:t>
            </w:r>
          </w:p>
        </w:tc>
        <w:tc>
          <w:tcPr>
            <w:tcW w:w="1080" w:type="dxa"/>
            <w:tcBorders>
              <w:top w:val="single" w:sz="4" w:space="0" w:color="auto"/>
              <w:left w:val="nil"/>
              <w:bottom w:val="nil"/>
              <w:right w:val="nil"/>
            </w:tcBorders>
            <w:shd w:val="clear" w:color="auto" w:fill="auto"/>
            <w:noWrap/>
            <w:vAlign w:val="bottom"/>
            <w:hideMark/>
          </w:tcPr>
          <w:p w14:paraId="1FFD1565" w14:textId="77777777" w:rsidR="00E420F1" w:rsidRPr="00560EDF" w:rsidRDefault="00E420F1" w:rsidP="0011467C">
            <w:pPr>
              <w:jc w:val="center"/>
              <w:rPr>
                <w:rFonts w:ascii="Georgia" w:hAnsi="Georgia"/>
                <w:b/>
                <w:color w:val="000000"/>
              </w:rPr>
            </w:pPr>
            <w:r w:rsidRPr="00560EDF">
              <w:rPr>
                <w:rFonts w:ascii="Georgia" w:hAnsi="Georgia"/>
                <w:b/>
                <w:color w:val="000000"/>
              </w:rPr>
              <w:t>99,750</w:t>
            </w:r>
          </w:p>
        </w:tc>
        <w:tc>
          <w:tcPr>
            <w:tcW w:w="1080" w:type="dxa"/>
            <w:tcBorders>
              <w:top w:val="single" w:sz="4" w:space="0" w:color="auto"/>
              <w:left w:val="nil"/>
              <w:bottom w:val="nil"/>
              <w:right w:val="nil"/>
            </w:tcBorders>
            <w:shd w:val="clear" w:color="auto" w:fill="auto"/>
            <w:noWrap/>
            <w:vAlign w:val="bottom"/>
            <w:hideMark/>
          </w:tcPr>
          <w:p w14:paraId="4B2A92AA" w14:textId="77777777" w:rsidR="00E420F1" w:rsidRPr="00560EDF" w:rsidRDefault="00E420F1" w:rsidP="0011467C">
            <w:pPr>
              <w:jc w:val="center"/>
              <w:rPr>
                <w:rFonts w:ascii="Georgia" w:hAnsi="Georgia"/>
                <w:b/>
                <w:color w:val="000000"/>
              </w:rPr>
            </w:pPr>
            <w:r w:rsidRPr="00560EDF">
              <w:rPr>
                <w:rFonts w:ascii="Georgia" w:hAnsi="Georgia"/>
                <w:b/>
                <w:color w:val="000000"/>
              </w:rPr>
              <w:t>9,975</w:t>
            </w:r>
          </w:p>
        </w:tc>
        <w:tc>
          <w:tcPr>
            <w:tcW w:w="1530" w:type="dxa"/>
            <w:tcBorders>
              <w:top w:val="single" w:sz="4" w:space="0" w:color="auto"/>
              <w:left w:val="nil"/>
              <w:bottom w:val="nil"/>
              <w:right w:val="nil"/>
            </w:tcBorders>
            <w:shd w:val="clear" w:color="auto" w:fill="auto"/>
            <w:noWrap/>
            <w:vAlign w:val="bottom"/>
            <w:hideMark/>
          </w:tcPr>
          <w:p w14:paraId="3B496ED5" w14:textId="77777777" w:rsidR="00E420F1" w:rsidRPr="00560EDF" w:rsidRDefault="00E420F1" w:rsidP="0011467C">
            <w:pPr>
              <w:jc w:val="center"/>
              <w:rPr>
                <w:rFonts w:ascii="Georgia" w:hAnsi="Georgia"/>
                <w:b/>
                <w:color w:val="000000"/>
              </w:rPr>
            </w:pPr>
            <w:r w:rsidRPr="00560EDF">
              <w:rPr>
                <w:rFonts w:ascii="Georgia" w:hAnsi="Georgia"/>
                <w:b/>
                <w:color w:val="000000"/>
              </w:rPr>
              <w:t>89,775</w:t>
            </w:r>
          </w:p>
        </w:tc>
        <w:tc>
          <w:tcPr>
            <w:tcW w:w="1080" w:type="dxa"/>
            <w:tcBorders>
              <w:top w:val="single" w:sz="4" w:space="0" w:color="auto"/>
              <w:left w:val="nil"/>
              <w:bottom w:val="nil"/>
              <w:right w:val="nil"/>
            </w:tcBorders>
            <w:shd w:val="clear" w:color="auto" w:fill="auto"/>
            <w:noWrap/>
            <w:vAlign w:val="bottom"/>
            <w:hideMark/>
          </w:tcPr>
          <w:p w14:paraId="0B2DAA83" w14:textId="77777777" w:rsidR="00E420F1" w:rsidRPr="00560EDF" w:rsidRDefault="00E420F1" w:rsidP="0011467C">
            <w:pPr>
              <w:jc w:val="center"/>
              <w:rPr>
                <w:rFonts w:ascii="Georgia" w:hAnsi="Georgia"/>
                <w:b/>
                <w:color w:val="000000"/>
              </w:rPr>
            </w:pPr>
            <w:r w:rsidRPr="00560EDF">
              <w:rPr>
                <w:rFonts w:ascii="Georgia" w:hAnsi="Georgia"/>
                <w:b/>
                <w:color w:val="000000"/>
              </w:rPr>
              <w:t>2,244</w:t>
            </w:r>
          </w:p>
        </w:tc>
      </w:tr>
    </w:tbl>
    <w:p w14:paraId="1766A63A" w14:textId="77777777" w:rsidR="00E420F1" w:rsidRDefault="00E420F1" w:rsidP="00E420F1">
      <w:pPr>
        <w:pStyle w:val="ListParagraph"/>
        <w:rPr>
          <w:rFonts w:ascii="Georgia" w:hAnsi="Georgia"/>
          <w:sz w:val="24"/>
          <w:szCs w:val="24"/>
        </w:rPr>
      </w:pPr>
    </w:p>
    <w:p w14:paraId="5803C6A0" w14:textId="77777777" w:rsidR="00E420F1" w:rsidRDefault="00E420F1" w:rsidP="00E420F1">
      <w:pPr>
        <w:pStyle w:val="ListParagraph"/>
        <w:rPr>
          <w:rFonts w:ascii="Georgia" w:hAnsi="Georgia"/>
          <w:sz w:val="24"/>
          <w:szCs w:val="24"/>
        </w:rPr>
      </w:pPr>
    </w:p>
    <w:p w14:paraId="23E7D3E0" w14:textId="04A5B928" w:rsidR="00E420F1" w:rsidRDefault="004E74F9" w:rsidP="002C07E3">
      <w:pPr>
        <w:pStyle w:val="ListParagraph"/>
        <w:rPr>
          <w:rFonts w:ascii="Georgia" w:hAnsi="Georgia"/>
          <w:sz w:val="24"/>
          <w:szCs w:val="24"/>
        </w:rPr>
      </w:pPr>
      <w:r>
        <w:rPr>
          <w:rFonts w:ascii="Georgia" w:hAnsi="Georgia"/>
          <w:sz w:val="24"/>
          <w:szCs w:val="24"/>
        </w:rPr>
        <w:t>T</w:t>
      </w:r>
      <w:r w:rsidR="00E420F1" w:rsidRPr="002C07E3">
        <w:rPr>
          <w:rFonts w:ascii="Georgia" w:hAnsi="Georgia"/>
          <w:sz w:val="24"/>
          <w:szCs w:val="24"/>
        </w:rPr>
        <w:t xml:space="preserve">he </w:t>
      </w:r>
      <w:r w:rsidR="005D1DF4" w:rsidRPr="002C07E3">
        <w:rPr>
          <w:rFonts w:ascii="Georgia" w:hAnsi="Georgia"/>
          <w:sz w:val="24"/>
          <w:szCs w:val="24"/>
        </w:rPr>
        <w:t>PSTAP</w:t>
      </w:r>
      <w:r w:rsidR="00E420F1" w:rsidRPr="002C07E3">
        <w:rPr>
          <w:rFonts w:ascii="Georgia" w:hAnsi="Georgia"/>
          <w:sz w:val="24"/>
          <w:szCs w:val="24"/>
        </w:rPr>
        <w:t xml:space="preserve"> Assessment will be fielded no more than </w:t>
      </w:r>
      <w:r w:rsidR="00E420F1" w:rsidRPr="00586059">
        <w:rPr>
          <w:rFonts w:ascii="Georgia" w:hAnsi="Georgia"/>
          <w:sz w:val="24"/>
          <w:szCs w:val="24"/>
        </w:rPr>
        <w:t xml:space="preserve">once </w:t>
      </w:r>
      <w:r w:rsidR="00586059" w:rsidRPr="00586059">
        <w:rPr>
          <w:rFonts w:ascii="Georgia" w:hAnsi="Georgia"/>
          <w:sz w:val="24"/>
          <w:szCs w:val="24"/>
        </w:rPr>
        <w:t>in a 12-month period</w:t>
      </w:r>
      <w:r w:rsidR="00E420F1" w:rsidRPr="00586059">
        <w:rPr>
          <w:rFonts w:ascii="Georgia" w:hAnsi="Georgia"/>
          <w:sz w:val="24"/>
          <w:szCs w:val="24"/>
        </w:rPr>
        <w:t>.</w:t>
      </w:r>
      <w:r w:rsidR="00E420F1" w:rsidRPr="002C07E3">
        <w:rPr>
          <w:rFonts w:ascii="Georgia" w:hAnsi="Georgia"/>
          <w:sz w:val="24"/>
          <w:szCs w:val="24"/>
        </w:rPr>
        <w:t xml:space="preserve"> For the purposes of this ICR approval of a new collection, the three-year average annual burden calculation is shown in the table below. Attrition is a concern in all longitudinal studies. Attempts to boost participation rates can often be mitigated by using techniques such as</w:t>
      </w:r>
      <w:r w:rsidR="00486B8E">
        <w:rPr>
          <w:rFonts w:ascii="Georgia" w:hAnsi="Georgia"/>
          <w:sz w:val="24"/>
          <w:szCs w:val="24"/>
        </w:rPr>
        <w:t xml:space="preserve"> incentives,</w:t>
      </w:r>
      <w:r w:rsidR="002C07E3">
        <w:rPr>
          <w:rFonts w:ascii="Georgia" w:hAnsi="Georgia"/>
          <w:sz w:val="24"/>
          <w:szCs w:val="24"/>
        </w:rPr>
        <w:t xml:space="preserve"> </w:t>
      </w:r>
      <w:r w:rsidR="00E420F1" w:rsidRPr="002C07E3">
        <w:rPr>
          <w:rFonts w:ascii="Georgia" w:hAnsi="Georgia"/>
          <w:sz w:val="24"/>
          <w:szCs w:val="24"/>
        </w:rPr>
        <w:t xml:space="preserve">personal interviews, telephone reminders, etc., which carry </w:t>
      </w:r>
      <w:r w:rsidR="006C6AC2">
        <w:rPr>
          <w:rFonts w:ascii="Georgia" w:hAnsi="Georgia"/>
          <w:sz w:val="24"/>
          <w:szCs w:val="24"/>
        </w:rPr>
        <w:t xml:space="preserve">an </w:t>
      </w:r>
      <w:r w:rsidR="00E420F1" w:rsidRPr="002C07E3">
        <w:rPr>
          <w:rFonts w:ascii="Georgia" w:hAnsi="Georgia"/>
          <w:sz w:val="24"/>
          <w:szCs w:val="24"/>
        </w:rPr>
        <w:t xml:space="preserve">additional monetary burden. Therefore, the second and third waves of data collection (i.e., Year 2 and Year 3) are estimated using data from a longitudinal </w:t>
      </w:r>
      <w:r w:rsidR="0067303D" w:rsidRPr="002C07E3">
        <w:rPr>
          <w:rFonts w:ascii="Georgia" w:hAnsi="Georgia"/>
          <w:sz w:val="24"/>
          <w:szCs w:val="24"/>
        </w:rPr>
        <w:t>VA</w:t>
      </w:r>
      <w:r w:rsidR="00E420F1" w:rsidRPr="002C07E3">
        <w:rPr>
          <w:rFonts w:ascii="Georgia" w:hAnsi="Georgia"/>
          <w:sz w:val="24"/>
          <w:szCs w:val="24"/>
        </w:rPr>
        <w:t xml:space="preserve"> survey of Veterans.</w:t>
      </w:r>
    </w:p>
    <w:p w14:paraId="0FB7F37F" w14:textId="77777777" w:rsidR="00E420F1" w:rsidRDefault="00E420F1" w:rsidP="00E420F1">
      <w:pPr>
        <w:pStyle w:val="ListParagraph"/>
        <w:rPr>
          <w:rFonts w:ascii="Georgia" w:hAnsi="Georgia"/>
          <w:sz w:val="24"/>
          <w:szCs w:val="24"/>
        </w:rPr>
      </w:pPr>
    </w:p>
    <w:p w14:paraId="1F050EAE" w14:textId="77777777" w:rsidR="00E420F1" w:rsidRPr="00F5204B" w:rsidRDefault="00E420F1" w:rsidP="00E420F1">
      <w:pPr>
        <w:jc w:val="center"/>
        <w:rPr>
          <w:rFonts w:ascii="Georgia" w:hAnsi="Georgia"/>
          <w:b/>
          <w:i/>
          <w:color w:val="000000"/>
          <w:sz w:val="24"/>
          <w:szCs w:val="24"/>
        </w:rPr>
      </w:pPr>
      <w:r w:rsidRPr="008F7814">
        <w:rPr>
          <w:rFonts w:ascii="Georgia" w:hAnsi="Georgia"/>
          <w:b/>
          <w:i/>
          <w:color w:val="000000"/>
          <w:sz w:val="24"/>
          <w:szCs w:val="24"/>
        </w:rPr>
        <w:t xml:space="preserve">Average Annual Hourly </w:t>
      </w:r>
      <w:r w:rsidRPr="00F5204B">
        <w:rPr>
          <w:rFonts w:ascii="Georgia" w:hAnsi="Georgia"/>
          <w:b/>
          <w:i/>
          <w:color w:val="000000"/>
          <w:sz w:val="24"/>
          <w:szCs w:val="24"/>
        </w:rPr>
        <w:t>Burden Calculation</w:t>
      </w:r>
    </w:p>
    <w:p w14:paraId="2010DDE3" w14:textId="77777777" w:rsidR="00E420F1" w:rsidRDefault="00E420F1" w:rsidP="00E420F1">
      <w:pPr>
        <w:pStyle w:val="ListParagraph"/>
        <w:rPr>
          <w:rFonts w:ascii="Georgia" w:hAnsi="Georgia"/>
          <w:sz w:val="24"/>
          <w:szCs w:val="24"/>
        </w:rPr>
      </w:pPr>
    </w:p>
    <w:tbl>
      <w:tblPr>
        <w:tblW w:w="7902" w:type="dxa"/>
        <w:jc w:val="center"/>
        <w:tblLook w:val="04A0" w:firstRow="1" w:lastRow="0" w:firstColumn="1" w:lastColumn="0" w:noHBand="0" w:noVBand="1"/>
      </w:tblPr>
      <w:tblGrid>
        <w:gridCol w:w="990"/>
        <w:gridCol w:w="1728"/>
        <w:gridCol w:w="1728"/>
        <w:gridCol w:w="1728"/>
        <w:gridCol w:w="1728"/>
      </w:tblGrid>
      <w:tr w:rsidR="00E420F1" w:rsidRPr="00591D1C" w14:paraId="198677DA" w14:textId="77777777" w:rsidTr="0011467C">
        <w:trPr>
          <w:trHeight w:val="576"/>
          <w:jc w:val="center"/>
        </w:trPr>
        <w:tc>
          <w:tcPr>
            <w:tcW w:w="990" w:type="dxa"/>
            <w:tcBorders>
              <w:top w:val="nil"/>
              <w:left w:val="nil"/>
              <w:bottom w:val="nil"/>
              <w:right w:val="nil"/>
            </w:tcBorders>
            <w:shd w:val="clear" w:color="auto" w:fill="auto"/>
            <w:noWrap/>
            <w:vAlign w:val="bottom"/>
            <w:hideMark/>
          </w:tcPr>
          <w:p w14:paraId="421D1B8A" w14:textId="77777777" w:rsidR="00E420F1" w:rsidRPr="00591D1C" w:rsidRDefault="00E420F1" w:rsidP="0011467C">
            <w:pPr>
              <w:rPr>
                <w:rFonts w:ascii="Georgia" w:hAnsi="Georgia"/>
              </w:rPr>
            </w:pPr>
          </w:p>
        </w:tc>
        <w:tc>
          <w:tcPr>
            <w:tcW w:w="1728" w:type="dxa"/>
            <w:tcBorders>
              <w:top w:val="nil"/>
              <w:left w:val="nil"/>
              <w:bottom w:val="nil"/>
              <w:right w:val="nil"/>
            </w:tcBorders>
            <w:shd w:val="clear" w:color="auto" w:fill="auto"/>
            <w:noWrap/>
            <w:vAlign w:val="bottom"/>
            <w:hideMark/>
          </w:tcPr>
          <w:p w14:paraId="71B6614F" w14:textId="77777777" w:rsidR="00E420F1" w:rsidRPr="00591D1C" w:rsidRDefault="00E420F1" w:rsidP="0011467C">
            <w:pPr>
              <w:jc w:val="center"/>
              <w:rPr>
                <w:rFonts w:ascii="Georgia" w:hAnsi="Georgia"/>
                <w:color w:val="000000"/>
              </w:rPr>
            </w:pPr>
            <w:r w:rsidRPr="00591D1C">
              <w:rPr>
                <w:rFonts w:ascii="Georgia" w:hAnsi="Georgia"/>
                <w:color w:val="000000"/>
              </w:rPr>
              <w:t>Retention Rate</w:t>
            </w:r>
            <w:r>
              <w:rPr>
                <w:rFonts w:ascii="Georgia" w:hAnsi="Georgia"/>
                <w:color w:val="000000"/>
              </w:rPr>
              <w:t>*</w:t>
            </w:r>
          </w:p>
        </w:tc>
        <w:tc>
          <w:tcPr>
            <w:tcW w:w="1728" w:type="dxa"/>
            <w:tcBorders>
              <w:top w:val="nil"/>
              <w:left w:val="nil"/>
              <w:bottom w:val="nil"/>
              <w:right w:val="nil"/>
            </w:tcBorders>
            <w:shd w:val="clear" w:color="auto" w:fill="auto"/>
            <w:vAlign w:val="bottom"/>
            <w:hideMark/>
          </w:tcPr>
          <w:p w14:paraId="7CC00E47" w14:textId="77777777" w:rsidR="00E420F1" w:rsidRPr="00591D1C" w:rsidRDefault="00E420F1" w:rsidP="0011467C">
            <w:pPr>
              <w:jc w:val="center"/>
              <w:rPr>
                <w:rFonts w:ascii="Georgia" w:hAnsi="Georgia"/>
                <w:color w:val="000000"/>
              </w:rPr>
            </w:pPr>
            <w:r w:rsidRPr="00591D1C">
              <w:rPr>
                <w:rFonts w:ascii="Georgia" w:hAnsi="Georgia"/>
                <w:color w:val="000000"/>
              </w:rPr>
              <w:t>Number of Responses</w:t>
            </w:r>
          </w:p>
        </w:tc>
        <w:tc>
          <w:tcPr>
            <w:tcW w:w="1728" w:type="dxa"/>
            <w:tcBorders>
              <w:top w:val="nil"/>
              <w:left w:val="nil"/>
              <w:bottom w:val="nil"/>
              <w:right w:val="nil"/>
            </w:tcBorders>
            <w:shd w:val="clear" w:color="auto" w:fill="auto"/>
            <w:vAlign w:val="bottom"/>
            <w:hideMark/>
          </w:tcPr>
          <w:p w14:paraId="6EF0C049" w14:textId="77777777" w:rsidR="00E420F1" w:rsidRPr="00591D1C" w:rsidRDefault="00E420F1" w:rsidP="0011467C">
            <w:pPr>
              <w:jc w:val="center"/>
              <w:rPr>
                <w:rFonts w:ascii="Georgia" w:hAnsi="Georgia"/>
                <w:color w:val="000000"/>
              </w:rPr>
            </w:pPr>
            <w:r w:rsidRPr="00591D1C">
              <w:rPr>
                <w:rFonts w:ascii="Georgia" w:hAnsi="Georgia"/>
                <w:color w:val="000000"/>
              </w:rPr>
              <w:t>Minutes</w:t>
            </w:r>
          </w:p>
        </w:tc>
        <w:tc>
          <w:tcPr>
            <w:tcW w:w="1728" w:type="dxa"/>
            <w:tcBorders>
              <w:top w:val="nil"/>
              <w:left w:val="nil"/>
              <w:bottom w:val="nil"/>
              <w:right w:val="nil"/>
            </w:tcBorders>
            <w:shd w:val="clear" w:color="auto" w:fill="auto"/>
            <w:vAlign w:val="bottom"/>
            <w:hideMark/>
          </w:tcPr>
          <w:p w14:paraId="250DB286" w14:textId="54E4A910" w:rsidR="00E420F1" w:rsidRPr="00591D1C" w:rsidRDefault="00E420F1" w:rsidP="0011467C">
            <w:pPr>
              <w:jc w:val="center"/>
              <w:rPr>
                <w:rFonts w:ascii="Georgia" w:hAnsi="Georgia"/>
                <w:color w:val="000000"/>
              </w:rPr>
            </w:pPr>
            <w:r w:rsidRPr="00591D1C">
              <w:rPr>
                <w:rFonts w:ascii="Georgia" w:hAnsi="Georgia"/>
                <w:color w:val="000000"/>
              </w:rPr>
              <w:t xml:space="preserve">Hourly </w:t>
            </w:r>
            <w:r w:rsidR="00B6477F">
              <w:rPr>
                <w:rFonts w:ascii="Georgia" w:hAnsi="Georgia"/>
                <w:color w:val="000000"/>
              </w:rPr>
              <w:t>B</w:t>
            </w:r>
            <w:r w:rsidR="00B6477F" w:rsidRPr="00591D1C">
              <w:rPr>
                <w:rFonts w:ascii="Georgia" w:hAnsi="Georgia"/>
                <w:color w:val="000000"/>
              </w:rPr>
              <w:t>urden</w:t>
            </w:r>
          </w:p>
        </w:tc>
      </w:tr>
      <w:tr w:rsidR="00E420F1" w:rsidRPr="00591D1C" w14:paraId="1FA5B9E5" w14:textId="77777777" w:rsidTr="0011467C">
        <w:trPr>
          <w:trHeight w:val="288"/>
          <w:jc w:val="center"/>
        </w:trPr>
        <w:tc>
          <w:tcPr>
            <w:tcW w:w="990" w:type="dxa"/>
            <w:tcBorders>
              <w:top w:val="nil"/>
              <w:left w:val="nil"/>
              <w:bottom w:val="nil"/>
              <w:right w:val="nil"/>
            </w:tcBorders>
            <w:shd w:val="clear" w:color="auto" w:fill="auto"/>
            <w:noWrap/>
            <w:vAlign w:val="bottom"/>
            <w:hideMark/>
          </w:tcPr>
          <w:p w14:paraId="56B0B060" w14:textId="77777777" w:rsidR="00E420F1" w:rsidRPr="00591D1C" w:rsidRDefault="00E420F1" w:rsidP="0011467C">
            <w:pPr>
              <w:rPr>
                <w:rFonts w:ascii="Georgia" w:hAnsi="Georgia"/>
                <w:color w:val="000000"/>
              </w:rPr>
            </w:pPr>
            <w:r w:rsidRPr="00591D1C">
              <w:rPr>
                <w:rFonts w:ascii="Georgia" w:hAnsi="Georgia"/>
                <w:color w:val="000000"/>
              </w:rPr>
              <w:t>Year 1</w:t>
            </w:r>
          </w:p>
        </w:tc>
        <w:tc>
          <w:tcPr>
            <w:tcW w:w="1728" w:type="dxa"/>
            <w:tcBorders>
              <w:top w:val="nil"/>
              <w:left w:val="nil"/>
              <w:bottom w:val="nil"/>
              <w:right w:val="nil"/>
            </w:tcBorders>
            <w:shd w:val="clear" w:color="auto" w:fill="auto"/>
            <w:vAlign w:val="bottom"/>
            <w:hideMark/>
          </w:tcPr>
          <w:p w14:paraId="536B25F8" w14:textId="77777777" w:rsidR="00E420F1" w:rsidRPr="00591D1C" w:rsidRDefault="00E420F1" w:rsidP="0011467C">
            <w:pPr>
              <w:jc w:val="center"/>
              <w:rPr>
                <w:rFonts w:ascii="Georgia" w:hAnsi="Georgia"/>
                <w:color w:val="000000"/>
              </w:rPr>
            </w:pPr>
            <w:r w:rsidRPr="00591D1C">
              <w:rPr>
                <w:rFonts w:ascii="Georgia" w:hAnsi="Georgia"/>
                <w:color w:val="000000"/>
              </w:rPr>
              <w:t>n/a</w:t>
            </w:r>
          </w:p>
        </w:tc>
        <w:tc>
          <w:tcPr>
            <w:tcW w:w="1728" w:type="dxa"/>
            <w:tcBorders>
              <w:top w:val="nil"/>
              <w:left w:val="nil"/>
              <w:bottom w:val="nil"/>
              <w:right w:val="nil"/>
            </w:tcBorders>
            <w:shd w:val="clear" w:color="auto" w:fill="auto"/>
            <w:vAlign w:val="bottom"/>
            <w:hideMark/>
          </w:tcPr>
          <w:p w14:paraId="509C85CA" w14:textId="77777777" w:rsidR="00E420F1" w:rsidRPr="00F5204B" w:rsidRDefault="00E420F1" w:rsidP="0011467C">
            <w:pPr>
              <w:jc w:val="center"/>
              <w:rPr>
                <w:rFonts w:ascii="Georgia" w:hAnsi="Georgia"/>
                <w:color w:val="000000"/>
              </w:rPr>
            </w:pPr>
            <w:r w:rsidRPr="00F5204B">
              <w:rPr>
                <w:rFonts w:ascii="Georgia" w:hAnsi="Georgia"/>
                <w:color w:val="000000"/>
              </w:rPr>
              <w:t xml:space="preserve">        17,469 </w:t>
            </w:r>
          </w:p>
        </w:tc>
        <w:tc>
          <w:tcPr>
            <w:tcW w:w="1728" w:type="dxa"/>
            <w:tcBorders>
              <w:top w:val="nil"/>
              <w:left w:val="nil"/>
              <w:bottom w:val="nil"/>
              <w:right w:val="nil"/>
            </w:tcBorders>
            <w:shd w:val="clear" w:color="auto" w:fill="auto"/>
            <w:vAlign w:val="bottom"/>
            <w:hideMark/>
          </w:tcPr>
          <w:p w14:paraId="1FC58966" w14:textId="77777777" w:rsidR="00E420F1" w:rsidRPr="00F5204B" w:rsidRDefault="00E420F1" w:rsidP="0011467C">
            <w:pPr>
              <w:jc w:val="center"/>
              <w:rPr>
                <w:rFonts w:ascii="Georgia" w:hAnsi="Georgia"/>
                <w:color w:val="000000"/>
              </w:rPr>
            </w:pPr>
            <w:r w:rsidRPr="00F5204B">
              <w:rPr>
                <w:rFonts w:ascii="Georgia" w:hAnsi="Georgia"/>
                <w:color w:val="000000"/>
              </w:rPr>
              <w:t>18.5</w:t>
            </w:r>
          </w:p>
        </w:tc>
        <w:tc>
          <w:tcPr>
            <w:tcW w:w="1728" w:type="dxa"/>
            <w:tcBorders>
              <w:top w:val="nil"/>
              <w:left w:val="nil"/>
              <w:bottom w:val="nil"/>
              <w:right w:val="nil"/>
            </w:tcBorders>
            <w:shd w:val="clear" w:color="auto" w:fill="auto"/>
            <w:noWrap/>
            <w:vAlign w:val="bottom"/>
            <w:hideMark/>
          </w:tcPr>
          <w:p w14:paraId="7834E0EC" w14:textId="77777777" w:rsidR="00E420F1" w:rsidRPr="00F5204B" w:rsidRDefault="00E420F1" w:rsidP="0011467C">
            <w:pPr>
              <w:rPr>
                <w:rFonts w:ascii="Georgia" w:hAnsi="Georgia"/>
                <w:color w:val="000000"/>
              </w:rPr>
            </w:pPr>
            <w:r w:rsidRPr="00F5204B">
              <w:rPr>
                <w:rFonts w:ascii="Georgia" w:hAnsi="Georgia"/>
                <w:color w:val="000000"/>
              </w:rPr>
              <w:t xml:space="preserve">         5,386 </w:t>
            </w:r>
          </w:p>
        </w:tc>
      </w:tr>
      <w:tr w:rsidR="00E420F1" w:rsidRPr="00591D1C" w14:paraId="2D110F11" w14:textId="77777777" w:rsidTr="0011467C">
        <w:trPr>
          <w:trHeight w:val="288"/>
          <w:jc w:val="center"/>
        </w:trPr>
        <w:tc>
          <w:tcPr>
            <w:tcW w:w="990" w:type="dxa"/>
            <w:tcBorders>
              <w:top w:val="nil"/>
              <w:left w:val="nil"/>
              <w:bottom w:val="nil"/>
              <w:right w:val="nil"/>
            </w:tcBorders>
            <w:shd w:val="clear" w:color="auto" w:fill="auto"/>
            <w:noWrap/>
            <w:vAlign w:val="bottom"/>
            <w:hideMark/>
          </w:tcPr>
          <w:p w14:paraId="33D938EB" w14:textId="77777777" w:rsidR="00E420F1" w:rsidRPr="00591D1C" w:rsidRDefault="00E420F1" w:rsidP="0011467C">
            <w:pPr>
              <w:rPr>
                <w:rFonts w:ascii="Georgia" w:hAnsi="Georgia"/>
                <w:color w:val="000000"/>
              </w:rPr>
            </w:pPr>
            <w:r w:rsidRPr="00591D1C">
              <w:rPr>
                <w:rFonts w:ascii="Georgia" w:hAnsi="Georgia"/>
                <w:color w:val="000000"/>
              </w:rPr>
              <w:t>Year 2</w:t>
            </w:r>
          </w:p>
        </w:tc>
        <w:tc>
          <w:tcPr>
            <w:tcW w:w="1728" w:type="dxa"/>
            <w:tcBorders>
              <w:top w:val="nil"/>
              <w:left w:val="nil"/>
              <w:right w:val="nil"/>
            </w:tcBorders>
            <w:shd w:val="clear" w:color="auto" w:fill="auto"/>
            <w:vAlign w:val="bottom"/>
            <w:hideMark/>
          </w:tcPr>
          <w:p w14:paraId="2F696816" w14:textId="77777777" w:rsidR="00E420F1" w:rsidRPr="00591D1C" w:rsidRDefault="00E420F1" w:rsidP="0011467C">
            <w:pPr>
              <w:jc w:val="center"/>
              <w:rPr>
                <w:rFonts w:ascii="Georgia" w:hAnsi="Georgia"/>
                <w:color w:val="000000"/>
              </w:rPr>
            </w:pPr>
            <w:r w:rsidRPr="00591D1C">
              <w:rPr>
                <w:rFonts w:ascii="Georgia" w:hAnsi="Georgia"/>
                <w:color w:val="000000"/>
              </w:rPr>
              <w:t>74.4%</w:t>
            </w:r>
          </w:p>
        </w:tc>
        <w:tc>
          <w:tcPr>
            <w:tcW w:w="1728" w:type="dxa"/>
            <w:tcBorders>
              <w:top w:val="nil"/>
              <w:left w:val="nil"/>
              <w:right w:val="nil"/>
            </w:tcBorders>
            <w:shd w:val="clear" w:color="auto" w:fill="auto"/>
            <w:vAlign w:val="bottom"/>
            <w:hideMark/>
          </w:tcPr>
          <w:p w14:paraId="79CAF03A" w14:textId="77777777" w:rsidR="00E420F1" w:rsidRPr="00F5204B" w:rsidRDefault="00E420F1" w:rsidP="0011467C">
            <w:pPr>
              <w:jc w:val="center"/>
              <w:rPr>
                <w:rFonts w:ascii="Georgia" w:hAnsi="Georgia"/>
                <w:color w:val="000000"/>
              </w:rPr>
            </w:pPr>
            <w:r w:rsidRPr="00F5204B">
              <w:rPr>
                <w:rFonts w:ascii="Georgia" w:hAnsi="Georgia"/>
                <w:color w:val="000000"/>
              </w:rPr>
              <w:t xml:space="preserve">        12,997 </w:t>
            </w:r>
          </w:p>
        </w:tc>
        <w:tc>
          <w:tcPr>
            <w:tcW w:w="1728" w:type="dxa"/>
            <w:tcBorders>
              <w:top w:val="nil"/>
              <w:left w:val="nil"/>
              <w:right w:val="nil"/>
            </w:tcBorders>
            <w:shd w:val="clear" w:color="auto" w:fill="auto"/>
            <w:vAlign w:val="bottom"/>
            <w:hideMark/>
          </w:tcPr>
          <w:p w14:paraId="796ED1E9" w14:textId="77777777" w:rsidR="00E420F1" w:rsidRPr="00F5204B" w:rsidRDefault="00E420F1" w:rsidP="0011467C">
            <w:pPr>
              <w:jc w:val="center"/>
              <w:rPr>
                <w:rFonts w:ascii="Georgia" w:hAnsi="Georgia"/>
                <w:color w:val="000000"/>
              </w:rPr>
            </w:pPr>
            <w:r w:rsidRPr="00F5204B">
              <w:rPr>
                <w:rFonts w:ascii="Georgia" w:hAnsi="Georgia"/>
                <w:color w:val="000000"/>
              </w:rPr>
              <w:t>18.5</w:t>
            </w:r>
          </w:p>
        </w:tc>
        <w:tc>
          <w:tcPr>
            <w:tcW w:w="1728" w:type="dxa"/>
            <w:tcBorders>
              <w:top w:val="nil"/>
              <w:left w:val="nil"/>
              <w:right w:val="nil"/>
            </w:tcBorders>
            <w:shd w:val="clear" w:color="auto" w:fill="auto"/>
            <w:noWrap/>
            <w:vAlign w:val="bottom"/>
            <w:hideMark/>
          </w:tcPr>
          <w:p w14:paraId="2B77C6C4" w14:textId="77777777" w:rsidR="00E420F1" w:rsidRPr="00F5204B" w:rsidRDefault="00E420F1" w:rsidP="0011467C">
            <w:pPr>
              <w:rPr>
                <w:rFonts w:ascii="Georgia" w:hAnsi="Georgia"/>
                <w:color w:val="000000"/>
              </w:rPr>
            </w:pPr>
            <w:r w:rsidRPr="00F5204B">
              <w:rPr>
                <w:rFonts w:ascii="Georgia" w:hAnsi="Georgia"/>
                <w:color w:val="000000"/>
              </w:rPr>
              <w:t xml:space="preserve">         4,007 </w:t>
            </w:r>
          </w:p>
        </w:tc>
      </w:tr>
      <w:tr w:rsidR="00E420F1" w:rsidRPr="00591D1C" w14:paraId="73709366" w14:textId="77777777" w:rsidTr="0011467C">
        <w:trPr>
          <w:trHeight w:val="288"/>
          <w:jc w:val="center"/>
        </w:trPr>
        <w:tc>
          <w:tcPr>
            <w:tcW w:w="990" w:type="dxa"/>
            <w:tcBorders>
              <w:top w:val="nil"/>
              <w:left w:val="nil"/>
              <w:bottom w:val="nil"/>
              <w:right w:val="nil"/>
            </w:tcBorders>
            <w:shd w:val="clear" w:color="auto" w:fill="auto"/>
            <w:noWrap/>
            <w:vAlign w:val="bottom"/>
            <w:hideMark/>
          </w:tcPr>
          <w:p w14:paraId="027BCC0E" w14:textId="77777777" w:rsidR="00E420F1" w:rsidRPr="00591D1C" w:rsidRDefault="00E420F1" w:rsidP="0011467C">
            <w:pPr>
              <w:rPr>
                <w:rFonts w:ascii="Georgia" w:hAnsi="Georgia"/>
                <w:color w:val="000000"/>
              </w:rPr>
            </w:pPr>
            <w:r w:rsidRPr="00591D1C">
              <w:rPr>
                <w:rFonts w:ascii="Georgia" w:hAnsi="Georgia"/>
                <w:color w:val="000000"/>
              </w:rPr>
              <w:t>Year 3</w:t>
            </w:r>
          </w:p>
        </w:tc>
        <w:tc>
          <w:tcPr>
            <w:tcW w:w="1728" w:type="dxa"/>
            <w:tcBorders>
              <w:top w:val="nil"/>
              <w:left w:val="nil"/>
              <w:bottom w:val="single" w:sz="4" w:space="0" w:color="auto"/>
              <w:right w:val="nil"/>
            </w:tcBorders>
            <w:shd w:val="clear" w:color="auto" w:fill="auto"/>
            <w:vAlign w:val="bottom"/>
            <w:hideMark/>
          </w:tcPr>
          <w:p w14:paraId="624FF67F" w14:textId="77777777" w:rsidR="00E420F1" w:rsidRPr="00591D1C" w:rsidRDefault="00E420F1" w:rsidP="0011467C">
            <w:pPr>
              <w:jc w:val="center"/>
              <w:rPr>
                <w:rFonts w:ascii="Georgia" w:hAnsi="Georgia"/>
                <w:color w:val="000000"/>
              </w:rPr>
            </w:pPr>
            <w:r w:rsidRPr="00591D1C">
              <w:rPr>
                <w:rFonts w:ascii="Georgia" w:hAnsi="Georgia"/>
                <w:color w:val="000000"/>
              </w:rPr>
              <w:t>60.1%</w:t>
            </w:r>
          </w:p>
        </w:tc>
        <w:tc>
          <w:tcPr>
            <w:tcW w:w="1728" w:type="dxa"/>
            <w:tcBorders>
              <w:top w:val="nil"/>
              <w:left w:val="nil"/>
              <w:bottom w:val="single" w:sz="4" w:space="0" w:color="auto"/>
              <w:right w:val="nil"/>
            </w:tcBorders>
            <w:shd w:val="clear" w:color="auto" w:fill="auto"/>
            <w:vAlign w:val="bottom"/>
            <w:hideMark/>
          </w:tcPr>
          <w:p w14:paraId="30B055EF" w14:textId="77777777" w:rsidR="00E420F1" w:rsidRPr="00F5204B" w:rsidRDefault="00E420F1" w:rsidP="0011467C">
            <w:pPr>
              <w:jc w:val="center"/>
              <w:rPr>
                <w:rFonts w:ascii="Georgia" w:hAnsi="Georgia"/>
                <w:color w:val="000000"/>
              </w:rPr>
            </w:pPr>
            <w:r w:rsidRPr="00F5204B">
              <w:rPr>
                <w:rFonts w:ascii="Georgia" w:hAnsi="Georgia"/>
                <w:color w:val="000000"/>
              </w:rPr>
              <w:t xml:space="preserve">        10,499 </w:t>
            </w:r>
          </w:p>
        </w:tc>
        <w:tc>
          <w:tcPr>
            <w:tcW w:w="1728" w:type="dxa"/>
            <w:tcBorders>
              <w:top w:val="nil"/>
              <w:left w:val="nil"/>
              <w:bottom w:val="single" w:sz="4" w:space="0" w:color="auto"/>
              <w:right w:val="nil"/>
            </w:tcBorders>
            <w:shd w:val="clear" w:color="auto" w:fill="auto"/>
            <w:vAlign w:val="bottom"/>
            <w:hideMark/>
          </w:tcPr>
          <w:p w14:paraId="77DD7C99" w14:textId="77777777" w:rsidR="00E420F1" w:rsidRPr="00F5204B" w:rsidRDefault="00E420F1" w:rsidP="0011467C">
            <w:pPr>
              <w:jc w:val="center"/>
              <w:rPr>
                <w:rFonts w:ascii="Georgia" w:hAnsi="Georgia"/>
                <w:color w:val="000000"/>
              </w:rPr>
            </w:pPr>
            <w:r w:rsidRPr="00F5204B">
              <w:rPr>
                <w:rFonts w:ascii="Georgia" w:hAnsi="Georgia"/>
                <w:color w:val="000000"/>
              </w:rPr>
              <w:t>18.5</w:t>
            </w:r>
          </w:p>
        </w:tc>
        <w:tc>
          <w:tcPr>
            <w:tcW w:w="1728" w:type="dxa"/>
            <w:tcBorders>
              <w:top w:val="nil"/>
              <w:left w:val="nil"/>
              <w:bottom w:val="single" w:sz="4" w:space="0" w:color="auto"/>
              <w:right w:val="nil"/>
            </w:tcBorders>
            <w:shd w:val="clear" w:color="auto" w:fill="auto"/>
            <w:noWrap/>
            <w:vAlign w:val="bottom"/>
            <w:hideMark/>
          </w:tcPr>
          <w:p w14:paraId="0702046E" w14:textId="77777777" w:rsidR="00E420F1" w:rsidRPr="00F5204B" w:rsidRDefault="00E420F1" w:rsidP="0011467C">
            <w:pPr>
              <w:rPr>
                <w:rFonts w:ascii="Georgia" w:hAnsi="Georgia"/>
                <w:color w:val="000000"/>
              </w:rPr>
            </w:pPr>
            <w:r w:rsidRPr="00F5204B">
              <w:rPr>
                <w:rFonts w:ascii="Georgia" w:hAnsi="Georgia"/>
                <w:color w:val="000000"/>
              </w:rPr>
              <w:t xml:space="preserve">         3,237 </w:t>
            </w:r>
          </w:p>
        </w:tc>
      </w:tr>
      <w:tr w:rsidR="00E420F1" w:rsidRPr="009F3520" w14:paraId="7D82981F" w14:textId="77777777" w:rsidTr="0011467C">
        <w:trPr>
          <w:trHeight w:val="288"/>
          <w:jc w:val="center"/>
        </w:trPr>
        <w:tc>
          <w:tcPr>
            <w:tcW w:w="990" w:type="dxa"/>
            <w:tcBorders>
              <w:top w:val="nil"/>
              <w:left w:val="nil"/>
              <w:bottom w:val="nil"/>
              <w:right w:val="nil"/>
            </w:tcBorders>
            <w:shd w:val="clear" w:color="auto" w:fill="auto"/>
            <w:noWrap/>
            <w:vAlign w:val="bottom"/>
            <w:hideMark/>
          </w:tcPr>
          <w:p w14:paraId="40D3AD09" w14:textId="77777777" w:rsidR="00E420F1" w:rsidRPr="009F3520" w:rsidRDefault="00E420F1" w:rsidP="0011467C">
            <w:pPr>
              <w:rPr>
                <w:rFonts w:ascii="Georgia" w:hAnsi="Georgia"/>
                <w:color w:val="000000"/>
              </w:rPr>
            </w:pPr>
          </w:p>
        </w:tc>
        <w:tc>
          <w:tcPr>
            <w:tcW w:w="1728" w:type="dxa"/>
            <w:tcBorders>
              <w:top w:val="single" w:sz="4" w:space="0" w:color="auto"/>
              <w:left w:val="nil"/>
              <w:right w:val="nil"/>
            </w:tcBorders>
            <w:shd w:val="clear" w:color="auto" w:fill="auto"/>
            <w:vAlign w:val="bottom"/>
            <w:hideMark/>
          </w:tcPr>
          <w:p w14:paraId="13A20B36" w14:textId="77777777" w:rsidR="00E420F1" w:rsidRPr="009F3520" w:rsidRDefault="00E420F1" w:rsidP="0011467C">
            <w:pPr>
              <w:rPr>
                <w:rFonts w:ascii="Georgia" w:hAnsi="Georgia"/>
              </w:rPr>
            </w:pPr>
          </w:p>
        </w:tc>
        <w:tc>
          <w:tcPr>
            <w:tcW w:w="3456" w:type="dxa"/>
            <w:gridSpan w:val="2"/>
            <w:tcBorders>
              <w:top w:val="single" w:sz="4" w:space="0" w:color="auto"/>
              <w:left w:val="nil"/>
              <w:right w:val="nil"/>
            </w:tcBorders>
            <w:shd w:val="clear" w:color="auto" w:fill="auto"/>
            <w:noWrap/>
            <w:vAlign w:val="bottom"/>
            <w:hideMark/>
          </w:tcPr>
          <w:p w14:paraId="4A94E165" w14:textId="77777777" w:rsidR="00E420F1" w:rsidRDefault="00E420F1" w:rsidP="0011467C">
            <w:pPr>
              <w:jc w:val="right"/>
              <w:rPr>
                <w:rFonts w:ascii="Georgia" w:hAnsi="Georgia"/>
                <w:b/>
                <w:color w:val="000000"/>
              </w:rPr>
            </w:pPr>
            <w:r w:rsidRPr="009F3520">
              <w:rPr>
                <w:rFonts w:ascii="Georgia" w:hAnsi="Georgia"/>
                <w:b/>
                <w:color w:val="000000"/>
              </w:rPr>
              <w:t>Average Annual</w:t>
            </w:r>
          </w:p>
          <w:p w14:paraId="4C97C42B" w14:textId="77777777" w:rsidR="00E420F1" w:rsidRPr="009F3520" w:rsidRDefault="00E420F1" w:rsidP="0011467C">
            <w:pPr>
              <w:jc w:val="right"/>
              <w:rPr>
                <w:rFonts w:ascii="Georgia" w:hAnsi="Georgia"/>
                <w:b/>
                <w:color w:val="000000"/>
              </w:rPr>
            </w:pPr>
          </w:p>
        </w:tc>
        <w:tc>
          <w:tcPr>
            <w:tcW w:w="1728" w:type="dxa"/>
            <w:tcBorders>
              <w:top w:val="single" w:sz="4" w:space="0" w:color="auto"/>
              <w:left w:val="nil"/>
              <w:right w:val="nil"/>
            </w:tcBorders>
            <w:shd w:val="clear" w:color="auto" w:fill="auto"/>
            <w:noWrap/>
            <w:vAlign w:val="bottom"/>
            <w:hideMark/>
          </w:tcPr>
          <w:p w14:paraId="754D95B6" w14:textId="77777777" w:rsidR="00E420F1" w:rsidRDefault="00E420F1" w:rsidP="0011467C">
            <w:pPr>
              <w:rPr>
                <w:rFonts w:ascii="Georgia" w:hAnsi="Georgia"/>
                <w:b/>
                <w:color w:val="000000"/>
              </w:rPr>
            </w:pPr>
            <w:r w:rsidRPr="009F3520">
              <w:rPr>
                <w:rFonts w:ascii="Georgia" w:hAnsi="Georgia"/>
                <w:b/>
                <w:color w:val="000000"/>
              </w:rPr>
              <w:t xml:space="preserve">         4,</w:t>
            </w:r>
            <w:r>
              <w:rPr>
                <w:rFonts w:ascii="Georgia" w:hAnsi="Georgia"/>
                <w:b/>
                <w:color w:val="000000"/>
              </w:rPr>
              <w:t>210</w:t>
            </w:r>
            <w:r w:rsidRPr="009F3520">
              <w:rPr>
                <w:rFonts w:ascii="Georgia" w:hAnsi="Georgia"/>
                <w:b/>
                <w:color w:val="000000"/>
              </w:rPr>
              <w:t xml:space="preserve"> </w:t>
            </w:r>
          </w:p>
          <w:p w14:paraId="3C755D21" w14:textId="77777777" w:rsidR="00E420F1" w:rsidRPr="009F3520" w:rsidRDefault="00E420F1" w:rsidP="0011467C">
            <w:pPr>
              <w:rPr>
                <w:rFonts w:ascii="Georgia" w:hAnsi="Georgia"/>
                <w:b/>
                <w:color w:val="000000"/>
              </w:rPr>
            </w:pPr>
          </w:p>
        </w:tc>
      </w:tr>
      <w:tr w:rsidR="00E420F1" w:rsidRPr="009F3520" w14:paraId="6B821EAA" w14:textId="77777777" w:rsidTr="0011467C">
        <w:trPr>
          <w:trHeight w:val="288"/>
          <w:jc w:val="center"/>
        </w:trPr>
        <w:tc>
          <w:tcPr>
            <w:tcW w:w="7902" w:type="dxa"/>
            <w:gridSpan w:val="5"/>
            <w:tcBorders>
              <w:top w:val="nil"/>
              <w:left w:val="nil"/>
              <w:bottom w:val="nil"/>
              <w:right w:val="nil"/>
            </w:tcBorders>
            <w:shd w:val="clear" w:color="auto" w:fill="auto"/>
            <w:noWrap/>
            <w:vAlign w:val="bottom"/>
          </w:tcPr>
          <w:p w14:paraId="1612D500" w14:textId="77777777" w:rsidR="00E420F1" w:rsidRPr="009F3520" w:rsidRDefault="00E420F1" w:rsidP="0011467C">
            <w:pPr>
              <w:jc w:val="both"/>
              <w:rPr>
                <w:rFonts w:ascii="Georgia" w:hAnsi="Georgia"/>
                <w:color w:val="000000"/>
              </w:rPr>
            </w:pPr>
            <w:r w:rsidRPr="009F3520">
              <w:rPr>
                <w:rFonts w:ascii="Georgia" w:hAnsi="Georgia"/>
                <w:color w:val="000000"/>
              </w:rPr>
              <w:t>*</w:t>
            </w:r>
            <w:r>
              <w:rPr>
                <w:rFonts w:ascii="Georgia" w:hAnsi="Georgia"/>
                <w:color w:val="000000"/>
              </w:rPr>
              <w:t xml:space="preserve"> </w:t>
            </w:r>
            <w:r w:rsidRPr="009F3520">
              <w:rPr>
                <w:rFonts w:ascii="Georgia" w:hAnsi="Georgia"/>
                <w:color w:val="000000"/>
              </w:rPr>
              <w:t>Retention rates are derived from the attrition rates reported in the VR&amp;E longitudinal study for follow-up at one and two years. The upper bound of the 95% confidence interval was to estimate the maximum burden to the public for this ICR.</w:t>
            </w:r>
          </w:p>
        </w:tc>
      </w:tr>
    </w:tbl>
    <w:p w14:paraId="79DF4C67" w14:textId="77777777" w:rsidR="00E420F1" w:rsidRPr="00000D3F" w:rsidRDefault="00E420F1" w:rsidP="00E420F1">
      <w:pPr>
        <w:rPr>
          <w:rFonts w:ascii="Georgia" w:hAnsi="Georgia"/>
          <w:sz w:val="24"/>
          <w:szCs w:val="24"/>
        </w:rPr>
      </w:pPr>
    </w:p>
    <w:p w14:paraId="022854C2" w14:textId="77777777" w:rsidR="0002657D" w:rsidRPr="0017123D" w:rsidRDefault="0002657D" w:rsidP="0017123D">
      <w:pPr>
        <w:rPr>
          <w:rFonts w:ascii="Georgia" w:hAnsi="Georgia"/>
          <w:sz w:val="24"/>
          <w:szCs w:val="24"/>
        </w:rPr>
      </w:pPr>
    </w:p>
    <w:p w14:paraId="3C3A8F20" w14:textId="43E2113E" w:rsidR="00EC4A52" w:rsidRPr="00FC5AB1" w:rsidRDefault="00EC4A52" w:rsidP="00FC5AB1">
      <w:pPr>
        <w:pStyle w:val="ListParagraph"/>
        <w:numPr>
          <w:ilvl w:val="0"/>
          <w:numId w:val="9"/>
        </w:numPr>
        <w:rPr>
          <w:rFonts w:ascii="Georgia" w:hAnsi="Georgia"/>
          <w:b/>
          <w:sz w:val="24"/>
          <w:szCs w:val="24"/>
        </w:rPr>
      </w:pPr>
      <w:r w:rsidRPr="00FC5AB1">
        <w:rPr>
          <w:rFonts w:ascii="Georgia" w:hAnsi="Georgia"/>
          <w:b/>
          <w:sz w:val="24"/>
          <w:szCs w:val="24"/>
        </w:rPr>
        <w:t>Describe the procedures for the collection of information including:</w:t>
      </w:r>
    </w:p>
    <w:p w14:paraId="52BC48AC" w14:textId="035ACE70" w:rsidR="00EC4A52" w:rsidRPr="0060713B" w:rsidRDefault="00EC4A52" w:rsidP="00FC5AB1">
      <w:pPr>
        <w:pStyle w:val="ListParagraph"/>
        <w:numPr>
          <w:ilvl w:val="1"/>
          <w:numId w:val="9"/>
        </w:numPr>
        <w:rPr>
          <w:rFonts w:ascii="Georgia" w:hAnsi="Georgia"/>
          <w:b/>
        </w:rPr>
      </w:pPr>
      <w:r w:rsidRPr="0060713B">
        <w:rPr>
          <w:rFonts w:ascii="Georgia" w:hAnsi="Georgia"/>
          <w:b/>
        </w:rPr>
        <w:t>Statistical methodology for stratification and sample selection</w:t>
      </w:r>
      <w:r w:rsidR="003E11B1">
        <w:rPr>
          <w:rFonts w:ascii="Georgia" w:hAnsi="Georgia"/>
          <w:b/>
        </w:rPr>
        <w:t>;</w:t>
      </w:r>
    </w:p>
    <w:p w14:paraId="12F5FF37" w14:textId="7B473056" w:rsidR="00EC4A52" w:rsidRPr="0060713B" w:rsidRDefault="00EC4A52" w:rsidP="00FC5AB1">
      <w:pPr>
        <w:pStyle w:val="ListParagraph"/>
        <w:numPr>
          <w:ilvl w:val="1"/>
          <w:numId w:val="9"/>
        </w:numPr>
        <w:rPr>
          <w:rFonts w:ascii="Georgia" w:hAnsi="Georgia"/>
          <w:b/>
        </w:rPr>
      </w:pPr>
      <w:r w:rsidRPr="0060713B">
        <w:rPr>
          <w:rFonts w:ascii="Georgia" w:hAnsi="Georgia"/>
          <w:b/>
        </w:rPr>
        <w:t>Estimation procedure</w:t>
      </w:r>
      <w:r w:rsidR="003E11B1">
        <w:rPr>
          <w:rFonts w:ascii="Georgia" w:hAnsi="Georgia"/>
          <w:b/>
        </w:rPr>
        <w:t>;</w:t>
      </w:r>
    </w:p>
    <w:p w14:paraId="5471C875" w14:textId="2366C2D2" w:rsidR="00EC4A52" w:rsidRPr="0060713B" w:rsidRDefault="00EC4A52" w:rsidP="00FC5AB1">
      <w:pPr>
        <w:pStyle w:val="ListParagraph"/>
        <w:numPr>
          <w:ilvl w:val="1"/>
          <w:numId w:val="9"/>
        </w:numPr>
        <w:rPr>
          <w:rFonts w:ascii="Georgia" w:hAnsi="Georgia"/>
          <w:b/>
        </w:rPr>
      </w:pPr>
      <w:r w:rsidRPr="0060713B">
        <w:rPr>
          <w:rFonts w:ascii="Georgia" w:hAnsi="Georgia"/>
          <w:b/>
        </w:rPr>
        <w:t>Degree of accuracy needed for the purpose described in the justification</w:t>
      </w:r>
      <w:r w:rsidR="00CC6DC4">
        <w:rPr>
          <w:rFonts w:ascii="Georgia" w:hAnsi="Georgia"/>
          <w:b/>
        </w:rPr>
        <w:t>;</w:t>
      </w:r>
    </w:p>
    <w:p w14:paraId="3080A466" w14:textId="5466CAD9" w:rsidR="00EC4A52" w:rsidRPr="0060713B" w:rsidRDefault="00EC4A52" w:rsidP="00FC5AB1">
      <w:pPr>
        <w:pStyle w:val="ListParagraph"/>
        <w:numPr>
          <w:ilvl w:val="1"/>
          <w:numId w:val="9"/>
        </w:numPr>
        <w:rPr>
          <w:rFonts w:ascii="Georgia" w:hAnsi="Georgia"/>
          <w:b/>
        </w:rPr>
      </w:pPr>
      <w:r w:rsidRPr="0060713B">
        <w:rPr>
          <w:rFonts w:ascii="Georgia" w:hAnsi="Georgia"/>
          <w:b/>
        </w:rPr>
        <w:t>Unusual problems requiring specialized sampling procedures</w:t>
      </w:r>
      <w:r w:rsidR="003E11B1">
        <w:rPr>
          <w:rFonts w:ascii="Georgia" w:hAnsi="Georgia"/>
          <w:b/>
        </w:rPr>
        <w:t>;</w:t>
      </w:r>
      <w:r w:rsidRPr="0060713B">
        <w:rPr>
          <w:rFonts w:ascii="Georgia" w:hAnsi="Georgia"/>
          <w:b/>
        </w:rPr>
        <w:t xml:space="preserve"> and </w:t>
      </w:r>
    </w:p>
    <w:p w14:paraId="1FED52B8" w14:textId="3E1FB528" w:rsidR="00EC4A52" w:rsidRPr="0060713B" w:rsidRDefault="00EC4A52" w:rsidP="00FC5AB1">
      <w:pPr>
        <w:pStyle w:val="ListParagraph"/>
        <w:numPr>
          <w:ilvl w:val="1"/>
          <w:numId w:val="9"/>
        </w:numPr>
        <w:rPr>
          <w:rFonts w:ascii="Georgia" w:hAnsi="Georgia"/>
          <w:b/>
        </w:rPr>
      </w:pPr>
      <w:r w:rsidRPr="0060713B">
        <w:rPr>
          <w:rFonts w:ascii="Georgia" w:hAnsi="Georgia"/>
          <w:b/>
        </w:rPr>
        <w:t>Any use of periodic (less frequent than annual) data collection cycles to reduce burden.</w:t>
      </w:r>
    </w:p>
    <w:p w14:paraId="61759B2B" w14:textId="786BF683" w:rsidR="00447883" w:rsidRPr="00FC5AB1" w:rsidRDefault="00447883" w:rsidP="00FC5AB1">
      <w:pPr>
        <w:pStyle w:val="ListParagraph"/>
        <w:rPr>
          <w:rFonts w:ascii="Georgia" w:hAnsi="Georgia"/>
          <w:sz w:val="24"/>
          <w:szCs w:val="24"/>
        </w:rPr>
      </w:pPr>
    </w:p>
    <w:p w14:paraId="60DCEB8F" w14:textId="30DED9D7" w:rsidR="00447883" w:rsidRDefault="00CC6DC4" w:rsidP="00FC5AB1">
      <w:pPr>
        <w:pStyle w:val="ListParagraph"/>
        <w:rPr>
          <w:rFonts w:ascii="Georgia" w:hAnsi="Georgia"/>
          <w:sz w:val="24"/>
          <w:szCs w:val="24"/>
        </w:rPr>
      </w:pPr>
      <w:r>
        <w:rPr>
          <w:rFonts w:ascii="Georgia" w:hAnsi="Georgia"/>
          <w:sz w:val="24"/>
          <w:szCs w:val="24"/>
        </w:rPr>
        <w:t>As discussed in the previous question (</w:t>
      </w:r>
      <w:r w:rsidR="00486B8E">
        <w:rPr>
          <w:rFonts w:ascii="Georgia" w:hAnsi="Georgia"/>
          <w:sz w:val="24"/>
          <w:szCs w:val="24"/>
        </w:rPr>
        <w:t>Item 1</w:t>
      </w:r>
      <w:r>
        <w:rPr>
          <w:rFonts w:ascii="Georgia" w:hAnsi="Georgia"/>
          <w:sz w:val="24"/>
          <w:szCs w:val="24"/>
        </w:rPr>
        <w:t xml:space="preserve">), all eligible Veterans at </w:t>
      </w:r>
      <w:r w:rsidR="004E74F9">
        <w:rPr>
          <w:rFonts w:ascii="Georgia" w:hAnsi="Georgia"/>
          <w:sz w:val="24"/>
          <w:szCs w:val="24"/>
        </w:rPr>
        <w:t>six (6) months, one (1) year, and three (3) years</w:t>
      </w:r>
      <w:r>
        <w:rPr>
          <w:rFonts w:ascii="Georgia" w:hAnsi="Georgia"/>
          <w:sz w:val="24"/>
          <w:szCs w:val="24"/>
        </w:rPr>
        <w:t xml:space="preserve"> post-separation will be invited to participate in the study resulting in a census. As a result, sampling or stratification procedures will not be utilized. When findings from the survey are available</w:t>
      </w:r>
      <w:r w:rsidR="006C6AC2">
        <w:rPr>
          <w:rFonts w:ascii="Georgia" w:hAnsi="Georgia"/>
          <w:sz w:val="24"/>
          <w:szCs w:val="24"/>
        </w:rPr>
        <w:t>,</w:t>
      </w:r>
      <w:r>
        <w:rPr>
          <w:rFonts w:ascii="Georgia" w:hAnsi="Georgia"/>
          <w:sz w:val="24"/>
          <w:szCs w:val="24"/>
        </w:rPr>
        <w:t xml:space="preserve"> differences shall undergo significance testing at the 95% confidence level. </w:t>
      </w:r>
    </w:p>
    <w:p w14:paraId="235B37B0" w14:textId="05BBF3E8" w:rsidR="00CC6DC4" w:rsidRDefault="00CC6DC4" w:rsidP="00FC5AB1">
      <w:pPr>
        <w:pStyle w:val="ListParagraph"/>
        <w:rPr>
          <w:rFonts w:ascii="Georgia" w:hAnsi="Georgia"/>
          <w:sz w:val="24"/>
          <w:szCs w:val="24"/>
        </w:rPr>
      </w:pPr>
    </w:p>
    <w:p w14:paraId="1688B34C" w14:textId="73FC8B2C" w:rsidR="00CC6DC4" w:rsidRDefault="00CC6DC4" w:rsidP="00FC5AB1">
      <w:pPr>
        <w:pStyle w:val="ListParagraph"/>
        <w:rPr>
          <w:rFonts w:ascii="Georgia" w:hAnsi="Georgia"/>
          <w:sz w:val="24"/>
          <w:szCs w:val="24"/>
        </w:rPr>
      </w:pPr>
      <w:r>
        <w:rPr>
          <w:rFonts w:ascii="Georgia" w:hAnsi="Georgia"/>
          <w:sz w:val="24"/>
          <w:szCs w:val="24"/>
        </w:rPr>
        <w:t>In the even</w:t>
      </w:r>
      <w:r w:rsidR="00F244AE">
        <w:rPr>
          <w:rFonts w:ascii="Georgia" w:hAnsi="Georgia"/>
          <w:sz w:val="24"/>
          <w:szCs w:val="24"/>
        </w:rPr>
        <w:t>t</w:t>
      </w:r>
      <w:r>
        <w:rPr>
          <w:rFonts w:ascii="Georgia" w:hAnsi="Georgia"/>
          <w:sz w:val="24"/>
          <w:szCs w:val="24"/>
        </w:rPr>
        <w:t xml:space="preserve"> response rates are too low to produce sufficient sample sizes from which to draw estimates, post-stratification weights shall be used drawing upon the population file.</w:t>
      </w:r>
      <w:r w:rsidR="006040B1">
        <w:rPr>
          <w:rFonts w:ascii="Georgia" w:hAnsi="Georgia"/>
          <w:sz w:val="24"/>
          <w:szCs w:val="24"/>
        </w:rPr>
        <w:t xml:space="preserve"> The</w:t>
      </w:r>
      <w:r>
        <w:rPr>
          <w:rFonts w:ascii="Georgia" w:hAnsi="Georgia"/>
          <w:sz w:val="24"/>
          <w:szCs w:val="24"/>
        </w:rPr>
        <w:t xml:space="preserve"> Contractor shall discuss these instances </w:t>
      </w:r>
      <w:r w:rsidRPr="002C07E3">
        <w:rPr>
          <w:rFonts w:ascii="Georgia" w:hAnsi="Georgia"/>
          <w:sz w:val="24"/>
          <w:szCs w:val="24"/>
        </w:rPr>
        <w:t xml:space="preserve">with </w:t>
      </w:r>
      <w:r w:rsidR="0067303D" w:rsidRPr="002C07E3">
        <w:rPr>
          <w:rFonts w:ascii="Georgia" w:hAnsi="Georgia"/>
          <w:sz w:val="24"/>
          <w:szCs w:val="24"/>
        </w:rPr>
        <w:t>VA</w:t>
      </w:r>
      <w:r>
        <w:rPr>
          <w:rFonts w:ascii="Georgia" w:hAnsi="Georgia"/>
          <w:sz w:val="24"/>
          <w:szCs w:val="24"/>
        </w:rPr>
        <w:t xml:space="preserve"> to determine if such analyses are necessary. For example, given that the longest reference point is 3 years post-separation, it is unlikely that Veterans will be older than age </w:t>
      </w:r>
      <w:r w:rsidR="00F244AE">
        <w:rPr>
          <w:rFonts w:ascii="Georgia" w:hAnsi="Georgia"/>
          <w:sz w:val="24"/>
          <w:szCs w:val="24"/>
        </w:rPr>
        <w:t>5</w:t>
      </w:r>
      <w:r>
        <w:rPr>
          <w:rFonts w:ascii="Georgia" w:hAnsi="Georgia"/>
          <w:sz w:val="24"/>
          <w:szCs w:val="24"/>
        </w:rPr>
        <w:t xml:space="preserve">0. To the extent that estimates are needed for small cell sizes like these and not collapsed into a larger category (such as Veterans age </w:t>
      </w:r>
      <w:r w:rsidR="00F244AE">
        <w:rPr>
          <w:rFonts w:ascii="Georgia" w:hAnsi="Georgia"/>
          <w:sz w:val="24"/>
          <w:szCs w:val="24"/>
        </w:rPr>
        <w:t>45</w:t>
      </w:r>
      <w:r>
        <w:rPr>
          <w:rFonts w:ascii="Georgia" w:hAnsi="Georgia"/>
          <w:sz w:val="24"/>
          <w:szCs w:val="24"/>
        </w:rPr>
        <w:t xml:space="preserve"> or older), then weights will be derived from the population file to adjust the estimates accordingly.</w:t>
      </w:r>
    </w:p>
    <w:p w14:paraId="062B8AE3" w14:textId="4E7EF510" w:rsidR="0011467C" w:rsidRDefault="0011467C" w:rsidP="00FC5AB1">
      <w:pPr>
        <w:pStyle w:val="ListParagraph"/>
        <w:rPr>
          <w:rFonts w:ascii="Georgia" w:hAnsi="Georgia"/>
          <w:sz w:val="24"/>
          <w:szCs w:val="24"/>
        </w:rPr>
      </w:pPr>
    </w:p>
    <w:p w14:paraId="778C4AC4" w14:textId="38CFEED9" w:rsidR="0011467C" w:rsidRPr="00FC5AB1" w:rsidRDefault="0011467C" w:rsidP="00FC5AB1">
      <w:pPr>
        <w:pStyle w:val="ListParagraph"/>
        <w:rPr>
          <w:rFonts w:ascii="Georgia" w:hAnsi="Georgia"/>
          <w:sz w:val="24"/>
          <w:szCs w:val="24"/>
        </w:rPr>
      </w:pPr>
      <w:r>
        <w:rPr>
          <w:rFonts w:ascii="Georgia" w:hAnsi="Georgia"/>
          <w:sz w:val="24"/>
          <w:szCs w:val="24"/>
        </w:rPr>
        <w:t xml:space="preserve">This </w:t>
      </w:r>
      <w:r w:rsidR="005D1DF4">
        <w:rPr>
          <w:rFonts w:ascii="Georgia" w:hAnsi="Georgia"/>
          <w:sz w:val="24"/>
          <w:szCs w:val="24"/>
        </w:rPr>
        <w:t>PSTAP</w:t>
      </w:r>
      <w:r>
        <w:rPr>
          <w:rFonts w:ascii="Georgia" w:hAnsi="Georgia"/>
          <w:sz w:val="24"/>
          <w:szCs w:val="24"/>
        </w:rPr>
        <w:t xml:space="preserve"> Assessment is not planned to be conducted more frequently than once </w:t>
      </w:r>
      <w:r w:rsidR="006C6AC2">
        <w:rPr>
          <w:rFonts w:ascii="Georgia" w:hAnsi="Georgia"/>
          <w:sz w:val="24"/>
          <w:szCs w:val="24"/>
        </w:rPr>
        <w:t>in a 12-month period</w:t>
      </w:r>
      <w:r>
        <w:rPr>
          <w:rFonts w:ascii="Georgia" w:hAnsi="Georgia"/>
          <w:sz w:val="24"/>
          <w:szCs w:val="24"/>
        </w:rPr>
        <w:t xml:space="preserve">. At the end of the instrument, Veterans are requested to </w:t>
      </w:r>
      <w:r w:rsidR="00EB2B4F">
        <w:rPr>
          <w:rFonts w:ascii="Georgia" w:hAnsi="Georgia"/>
          <w:sz w:val="24"/>
          <w:szCs w:val="24"/>
        </w:rPr>
        <w:t>opt into</w:t>
      </w:r>
      <w:r>
        <w:rPr>
          <w:rFonts w:ascii="Georgia" w:hAnsi="Georgia"/>
          <w:sz w:val="24"/>
          <w:szCs w:val="24"/>
        </w:rPr>
        <w:t xml:space="preserve"> future waves of data collection and are informed in writing that they shall not be </w:t>
      </w:r>
      <w:r w:rsidRPr="006C6AC2">
        <w:rPr>
          <w:rFonts w:ascii="Georgia" w:hAnsi="Georgia"/>
          <w:sz w:val="24"/>
          <w:szCs w:val="24"/>
        </w:rPr>
        <w:t xml:space="preserve">contracted more than once </w:t>
      </w:r>
      <w:r w:rsidR="006C6AC2" w:rsidRPr="006C6AC2">
        <w:rPr>
          <w:rFonts w:ascii="Georgia" w:hAnsi="Georgia"/>
          <w:sz w:val="24"/>
          <w:szCs w:val="24"/>
        </w:rPr>
        <w:t>in a 12-month period</w:t>
      </w:r>
      <w:r w:rsidRPr="006C6AC2">
        <w:rPr>
          <w:rFonts w:ascii="Georgia" w:hAnsi="Georgia"/>
          <w:sz w:val="24"/>
          <w:szCs w:val="24"/>
        </w:rPr>
        <w:t>.</w:t>
      </w:r>
    </w:p>
    <w:p w14:paraId="3A0C4526" w14:textId="6A62B27B" w:rsidR="00447883" w:rsidRDefault="00447883" w:rsidP="00FC5AB1">
      <w:pPr>
        <w:pStyle w:val="ListParagraph"/>
        <w:rPr>
          <w:rFonts w:ascii="Georgia" w:hAnsi="Georgia"/>
          <w:sz w:val="24"/>
          <w:szCs w:val="24"/>
        </w:rPr>
      </w:pPr>
    </w:p>
    <w:p w14:paraId="67660421" w14:textId="77777777" w:rsidR="00636B28" w:rsidRPr="00FC5AB1" w:rsidRDefault="00636B28" w:rsidP="00FC5AB1">
      <w:pPr>
        <w:pStyle w:val="ListParagraph"/>
        <w:rPr>
          <w:rFonts w:ascii="Georgia" w:hAnsi="Georgia"/>
          <w:sz w:val="24"/>
          <w:szCs w:val="24"/>
        </w:rPr>
      </w:pPr>
    </w:p>
    <w:p w14:paraId="0880D719" w14:textId="21A70BD5" w:rsidR="00EC4A52" w:rsidRPr="00FC5AB1" w:rsidRDefault="00EC4A52" w:rsidP="00FC5AB1">
      <w:pPr>
        <w:pStyle w:val="ListParagraph"/>
        <w:numPr>
          <w:ilvl w:val="0"/>
          <w:numId w:val="9"/>
        </w:numPr>
        <w:rPr>
          <w:rFonts w:ascii="Georgia" w:hAnsi="Georgia"/>
          <w:b/>
          <w:sz w:val="24"/>
          <w:szCs w:val="24"/>
        </w:rPr>
      </w:pPr>
      <w:r w:rsidRPr="00FC5AB1">
        <w:rPr>
          <w:rFonts w:ascii="Georgia" w:hAnsi="Georgia"/>
          <w:b/>
          <w:sz w:val="24"/>
          <w:szCs w:val="24"/>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to be generalized to the universe studied.</w:t>
      </w:r>
    </w:p>
    <w:p w14:paraId="207DA81F" w14:textId="45E8000B" w:rsidR="00447883" w:rsidRPr="00FC5AB1" w:rsidRDefault="00447883" w:rsidP="00FC5AB1">
      <w:pPr>
        <w:pStyle w:val="ListParagraph"/>
        <w:rPr>
          <w:rFonts w:ascii="Georgia" w:hAnsi="Georgia"/>
          <w:sz w:val="24"/>
          <w:szCs w:val="24"/>
        </w:rPr>
      </w:pPr>
    </w:p>
    <w:p w14:paraId="10C039C3" w14:textId="28A35FB3" w:rsidR="001511D4" w:rsidRDefault="007346FA" w:rsidP="00FC5AB1">
      <w:pPr>
        <w:pStyle w:val="ListParagraph"/>
        <w:rPr>
          <w:rFonts w:ascii="Georgia" w:hAnsi="Georgia"/>
          <w:sz w:val="24"/>
          <w:szCs w:val="24"/>
        </w:rPr>
      </w:pPr>
      <w:r>
        <w:rPr>
          <w:rFonts w:ascii="Georgia" w:hAnsi="Georgia"/>
          <w:sz w:val="24"/>
          <w:szCs w:val="24"/>
        </w:rPr>
        <w:t xml:space="preserve">Nonresponse is mitigated for the </w:t>
      </w:r>
      <w:r w:rsidR="005D1DF4">
        <w:rPr>
          <w:rFonts w:ascii="Georgia" w:hAnsi="Georgia"/>
          <w:sz w:val="24"/>
          <w:szCs w:val="24"/>
        </w:rPr>
        <w:t>PSTAP</w:t>
      </w:r>
      <w:r>
        <w:rPr>
          <w:rFonts w:ascii="Georgia" w:hAnsi="Georgia"/>
          <w:sz w:val="24"/>
          <w:szCs w:val="24"/>
        </w:rPr>
        <w:t xml:space="preserve"> Assessment in</w:t>
      </w:r>
      <w:r w:rsidR="001511D4">
        <w:rPr>
          <w:rFonts w:ascii="Georgia" w:hAnsi="Georgia"/>
          <w:sz w:val="24"/>
          <w:szCs w:val="24"/>
        </w:rPr>
        <w:t xml:space="preserve"> </w:t>
      </w:r>
      <w:r w:rsidR="00F84839">
        <w:rPr>
          <w:rFonts w:ascii="Georgia" w:hAnsi="Georgia"/>
          <w:sz w:val="24"/>
          <w:szCs w:val="24"/>
        </w:rPr>
        <w:t>four</w:t>
      </w:r>
      <w:r>
        <w:rPr>
          <w:rFonts w:ascii="Georgia" w:hAnsi="Georgia"/>
          <w:sz w:val="24"/>
          <w:szCs w:val="24"/>
        </w:rPr>
        <w:t xml:space="preserve"> primary ways: (1) </w:t>
      </w:r>
      <w:r w:rsidR="00F84839">
        <w:rPr>
          <w:rFonts w:ascii="Georgia" w:hAnsi="Georgia"/>
          <w:sz w:val="24"/>
          <w:szCs w:val="24"/>
        </w:rPr>
        <w:t xml:space="preserve">offering two modes; (2) </w:t>
      </w:r>
      <w:r>
        <w:rPr>
          <w:rFonts w:ascii="Georgia" w:hAnsi="Georgia"/>
          <w:sz w:val="24"/>
          <w:szCs w:val="24"/>
        </w:rPr>
        <w:t>multiple contact attempts; (</w:t>
      </w:r>
      <w:r w:rsidR="00F84839">
        <w:rPr>
          <w:rFonts w:ascii="Georgia" w:hAnsi="Georgia"/>
          <w:sz w:val="24"/>
          <w:szCs w:val="24"/>
        </w:rPr>
        <w:t>3</w:t>
      </w:r>
      <w:r>
        <w:rPr>
          <w:rFonts w:ascii="Georgia" w:hAnsi="Georgia"/>
          <w:sz w:val="24"/>
          <w:szCs w:val="24"/>
        </w:rPr>
        <w:t>) minimizing the instrument length; and (</w:t>
      </w:r>
      <w:r w:rsidR="00F84839">
        <w:rPr>
          <w:rFonts w:ascii="Georgia" w:hAnsi="Georgia"/>
          <w:sz w:val="24"/>
          <w:szCs w:val="24"/>
        </w:rPr>
        <w:t>4</w:t>
      </w:r>
      <w:r>
        <w:rPr>
          <w:rFonts w:ascii="Georgia" w:hAnsi="Georgia"/>
          <w:sz w:val="24"/>
          <w:szCs w:val="24"/>
        </w:rPr>
        <w:t xml:space="preserve">) </w:t>
      </w:r>
      <w:r w:rsidR="00F84839">
        <w:rPr>
          <w:rFonts w:ascii="Georgia" w:hAnsi="Georgia"/>
          <w:sz w:val="24"/>
          <w:szCs w:val="24"/>
        </w:rPr>
        <w:t xml:space="preserve">increasing the ease of completing a paper questionnaire by optimizing the </w:t>
      </w:r>
      <w:r w:rsidR="001511D4">
        <w:rPr>
          <w:rFonts w:ascii="Georgia" w:hAnsi="Georgia"/>
          <w:sz w:val="24"/>
          <w:szCs w:val="24"/>
        </w:rPr>
        <w:t>visual layou</w:t>
      </w:r>
      <w:r w:rsidR="00F84839">
        <w:rPr>
          <w:rFonts w:ascii="Georgia" w:hAnsi="Georgia"/>
          <w:sz w:val="24"/>
          <w:szCs w:val="24"/>
        </w:rPr>
        <w:t>t</w:t>
      </w:r>
      <w:r w:rsidR="001511D4">
        <w:rPr>
          <w:rFonts w:ascii="Georgia" w:hAnsi="Georgia"/>
          <w:sz w:val="24"/>
          <w:szCs w:val="24"/>
        </w:rPr>
        <w:t xml:space="preserve">. </w:t>
      </w:r>
    </w:p>
    <w:p w14:paraId="3FB27A6E" w14:textId="77777777" w:rsidR="001511D4" w:rsidRDefault="001511D4" w:rsidP="00FC5AB1">
      <w:pPr>
        <w:pStyle w:val="ListParagraph"/>
        <w:rPr>
          <w:rFonts w:ascii="Georgia" w:hAnsi="Georgia"/>
          <w:sz w:val="24"/>
          <w:szCs w:val="24"/>
        </w:rPr>
      </w:pPr>
    </w:p>
    <w:p w14:paraId="6559D2BF" w14:textId="7BA817FD" w:rsidR="00F84839" w:rsidRDefault="00F84839" w:rsidP="00FC5AB1">
      <w:pPr>
        <w:pStyle w:val="ListParagraph"/>
        <w:rPr>
          <w:rFonts w:ascii="Georgia" w:hAnsi="Georgia"/>
          <w:sz w:val="24"/>
          <w:szCs w:val="24"/>
        </w:rPr>
      </w:pPr>
      <w:r>
        <w:rPr>
          <w:rFonts w:ascii="Georgia" w:hAnsi="Georgia"/>
          <w:sz w:val="24"/>
          <w:szCs w:val="24"/>
        </w:rPr>
        <w:t>Survey response rates have been dropping over the last few decades. Some of the ways response rates are boosted include offering multiple modes. While some survey modes</w:t>
      </w:r>
      <w:r w:rsidR="00037D0C">
        <w:rPr>
          <w:rFonts w:ascii="Georgia" w:hAnsi="Georgia"/>
          <w:sz w:val="24"/>
          <w:szCs w:val="24"/>
        </w:rPr>
        <w:t>,</w:t>
      </w:r>
      <w:r>
        <w:rPr>
          <w:rFonts w:ascii="Georgia" w:hAnsi="Georgia"/>
          <w:sz w:val="24"/>
          <w:szCs w:val="24"/>
        </w:rPr>
        <w:t xml:space="preserve"> such as those involving personal interviews</w:t>
      </w:r>
      <w:r w:rsidR="002F1880">
        <w:rPr>
          <w:rFonts w:ascii="Georgia" w:hAnsi="Georgia"/>
          <w:sz w:val="24"/>
          <w:szCs w:val="24"/>
        </w:rPr>
        <w:t>,</w:t>
      </w:r>
      <w:r>
        <w:rPr>
          <w:rFonts w:ascii="Georgia" w:hAnsi="Georgia"/>
          <w:sz w:val="24"/>
          <w:szCs w:val="24"/>
        </w:rPr>
        <w:t xml:space="preserve"> can also come at significant cost</w:t>
      </w:r>
      <w:r w:rsidR="00037D0C">
        <w:rPr>
          <w:rFonts w:ascii="Georgia" w:hAnsi="Georgia"/>
          <w:sz w:val="24"/>
          <w:szCs w:val="24"/>
        </w:rPr>
        <w:t>, a</w:t>
      </w:r>
      <w:r>
        <w:rPr>
          <w:rFonts w:ascii="Georgia" w:hAnsi="Georgia"/>
          <w:sz w:val="24"/>
          <w:szCs w:val="24"/>
        </w:rPr>
        <w:t xml:space="preserve"> combination mode of </w:t>
      </w:r>
      <w:r w:rsidR="00037D0C">
        <w:rPr>
          <w:rFonts w:ascii="Georgia" w:hAnsi="Georgia"/>
          <w:sz w:val="24"/>
          <w:szCs w:val="24"/>
        </w:rPr>
        <w:t xml:space="preserve">Web </w:t>
      </w:r>
      <w:r>
        <w:rPr>
          <w:rFonts w:ascii="Georgia" w:hAnsi="Georgia"/>
          <w:sz w:val="24"/>
          <w:szCs w:val="24"/>
        </w:rPr>
        <w:t xml:space="preserve">and paper is both </w:t>
      </w:r>
      <w:r w:rsidR="00AA08F1">
        <w:rPr>
          <w:rFonts w:ascii="Georgia" w:hAnsi="Georgia"/>
          <w:sz w:val="24"/>
          <w:szCs w:val="24"/>
        </w:rPr>
        <w:t>cost-</w:t>
      </w:r>
      <w:r>
        <w:rPr>
          <w:rFonts w:ascii="Georgia" w:hAnsi="Georgia"/>
          <w:sz w:val="24"/>
          <w:szCs w:val="24"/>
        </w:rPr>
        <w:t xml:space="preserve">effective and assures anonymity for the respondent. The </w:t>
      </w:r>
      <w:r w:rsidR="00AA08F1">
        <w:rPr>
          <w:rFonts w:ascii="Georgia" w:hAnsi="Georgia"/>
          <w:sz w:val="24"/>
          <w:szCs w:val="24"/>
        </w:rPr>
        <w:t xml:space="preserve">Web </w:t>
      </w:r>
      <w:r>
        <w:rPr>
          <w:rFonts w:ascii="Georgia" w:hAnsi="Georgia"/>
          <w:sz w:val="24"/>
          <w:szCs w:val="24"/>
        </w:rPr>
        <w:t xml:space="preserve">option for the </w:t>
      </w:r>
      <w:r w:rsidR="005D1DF4">
        <w:rPr>
          <w:rFonts w:ascii="Georgia" w:hAnsi="Georgia"/>
          <w:sz w:val="24"/>
          <w:szCs w:val="24"/>
        </w:rPr>
        <w:t>PSTAP</w:t>
      </w:r>
      <w:r>
        <w:rPr>
          <w:rFonts w:ascii="Georgia" w:hAnsi="Georgia"/>
          <w:sz w:val="24"/>
          <w:szCs w:val="24"/>
        </w:rPr>
        <w:t xml:space="preserve"> Assessment is being offered first to reduce the number of paper surveys that need to be mailed to Veterans who do not respond after the first attempt. </w:t>
      </w:r>
    </w:p>
    <w:p w14:paraId="245E0810" w14:textId="77777777" w:rsidR="00F84839" w:rsidRDefault="00F84839" w:rsidP="00FC5AB1">
      <w:pPr>
        <w:pStyle w:val="ListParagraph"/>
        <w:rPr>
          <w:rFonts w:ascii="Georgia" w:hAnsi="Georgia"/>
          <w:sz w:val="24"/>
          <w:szCs w:val="24"/>
        </w:rPr>
      </w:pPr>
    </w:p>
    <w:p w14:paraId="4F72C485" w14:textId="62CFD7B1" w:rsidR="0074294C" w:rsidRDefault="00F84839" w:rsidP="00FC5AB1">
      <w:pPr>
        <w:pStyle w:val="ListParagraph"/>
        <w:rPr>
          <w:rFonts w:ascii="Georgia" w:hAnsi="Georgia"/>
          <w:sz w:val="24"/>
          <w:szCs w:val="24"/>
        </w:rPr>
      </w:pPr>
      <w:r>
        <w:rPr>
          <w:rFonts w:ascii="Georgia" w:hAnsi="Georgia"/>
          <w:sz w:val="24"/>
          <w:szCs w:val="24"/>
        </w:rPr>
        <w:t>The final instrument is</w:t>
      </w:r>
      <w:r w:rsidR="00FF59C9">
        <w:rPr>
          <w:rFonts w:ascii="Georgia" w:hAnsi="Georgia"/>
          <w:sz w:val="24"/>
          <w:szCs w:val="24"/>
        </w:rPr>
        <w:t xml:space="preserve"> the culmination of cognitive int</w:t>
      </w:r>
      <w:r>
        <w:rPr>
          <w:rFonts w:ascii="Georgia" w:hAnsi="Georgia"/>
          <w:sz w:val="24"/>
          <w:szCs w:val="24"/>
        </w:rPr>
        <w:t xml:space="preserve">erviews as well as close coordination </w:t>
      </w:r>
      <w:r w:rsidRPr="00580711">
        <w:rPr>
          <w:rFonts w:ascii="Georgia" w:hAnsi="Georgia"/>
          <w:sz w:val="24"/>
          <w:szCs w:val="24"/>
        </w:rPr>
        <w:t>between</w:t>
      </w:r>
      <w:r w:rsidR="0019299E" w:rsidRPr="00580711">
        <w:rPr>
          <w:rFonts w:ascii="Georgia" w:hAnsi="Georgia"/>
          <w:sz w:val="24"/>
          <w:szCs w:val="24"/>
        </w:rPr>
        <w:t xml:space="preserve"> </w:t>
      </w:r>
      <w:r w:rsidR="0067303D" w:rsidRPr="00580711">
        <w:rPr>
          <w:rFonts w:ascii="Georgia" w:hAnsi="Georgia"/>
          <w:sz w:val="24"/>
          <w:szCs w:val="24"/>
        </w:rPr>
        <w:t>VA</w:t>
      </w:r>
      <w:r w:rsidR="0019299E" w:rsidRPr="00580711">
        <w:rPr>
          <w:rFonts w:ascii="Georgia" w:hAnsi="Georgia"/>
          <w:sz w:val="24"/>
          <w:szCs w:val="24"/>
        </w:rPr>
        <w:t>,</w:t>
      </w:r>
      <w:r w:rsidR="0019299E">
        <w:rPr>
          <w:rFonts w:ascii="Georgia" w:hAnsi="Georgia"/>
          <w:sz w:val="24"/>
          <w:szCs w:val="24"/>
        </w:rPr>
        <w:t xml:space="preserve"> the </w:t>
      </w:r>
      <w:r w:rsidR="009257AE">
        <w:rPr>
          <w:rFonts w:ascii="Georgia" w:hAnsi="Georgia"/>
          <w:sz w:val="24"/>
          <w:szCs w:val="24"/>
        </w:rPr>
        <w:t>Interagency Partners</w:t>
      </w:r>
      <w:r w:rsidR="0019299E">
        <w:rPr>
          <w:rFonts w:ascii="Georgia" w:hAnsi="Georgia"/>
          <w:sz w:val="24"/>
          <w:szCs w:val="24"/>
        </w:rPr>
        <w:t>, and the</w:t>
      </w:r>
      <w:r w:rsidR="0019299E" w:rsidRPr="0019299E">
        <w:rPr>
          <w:rFonts w:ascii="Georgia" w:hAnsi="Georgia"/>
          <w:sz w:val="24"/>
          <w:szCs w:val="24"/>
        </w:rPr>
        <w:t xml:space="preserve"> </w:t>
      </w:r>
      <w:r w:rsidR="00AA08F1">
        <w:rPr>
          <w:rFonts w:ascii="Georgia" w:hAnsi="Georgia"/>
          <w:sz w:val="24"/>
          <w:szCs w:val="24"/>
        </w:rPr>
        <w:t>Contractor</w:t>
      </w:r>
      <w:r w:rsidR="0019299E">
        <w:rPr>
          <w:rFonts w:ascii="Georgia" w:hAnsi="Georgia"/>
          <w:sz w:val="24"/>
          <w:szCs w:val="24"/>
        </w:rPr>
        <w:t xml:space="preserve">. As with any survey development, there is often a desire to include more questions than is feasible without jeopardizing response rates. </w:t>
      </w:r>
      <w:r w:rsidR="00691615">
        <w:rPr>
          <w:rFonts w:ascii="Georgia" w:hAnsi="Georgia"/>
          <w:sz w:val="24"/>
          <w:szCs w:val="24"/>
        </w:rPr>
        <w:t xml:space="preserve">At all junctures, there was close coordination to ensure that both the concepts being </w:t>
      </w:r>
      <w:r w:rsidR="00691615" w:rsidRPr="00DD3077">
        <w:rPr>
          <w:rFonts w:ascii="Georgia" w:hAnsi="Georgia"/>
          <w:sz w:val="24"/>
          <w:szCs w:val="24"/>
        </w:rPr>
        <w:t xml:space="preserve">measured and the </w:t>
      </w:r>
      <w:r w:rsidR="00DD3077" w:rsidRPr="00DD3077">
        <w:rPr>
          <w:rFonts w:ascii="Georgia" w:hAnsi="Georgia"/>
          <w:sz w:val="24"/>
          <w:szCs w:val="24"/>
        </w:rPr>
        <w:t xml:space="preserve">number of questions </w:t>
      </w:r>
      <w:r w:rsidR="00691615" w:rsidRPr="00DD3077">
        <w:rPr>
          <w:rFonts w:ascii="Georgia" w:hAnsi="Georgia"/>
          <w:sz w:val="24"/>
          <w:szCs w:val="24"/>
        </w:rPr>
        <w:t>were kept a</w:t>
      </w:r>
      <w:r w:rsidR="00691615">
        <w:rPr>
          <w:rFonts w:ascii="Georgia" w:hAnsi="Georgia"/>
          <w:sz w:val="24"/>
          <w:szCs w:val="24"/>
        </w:rPr>
        <w:t xml:space="preserve">t a minimum to decrease respondent burden. </w:t>
      </w:r>
      <w:r>
        <w:rPr>
          <w:rFonts w:ascii="Georgia" w:hAnsi="Georgia"/>
          <w:sz w:val="24"/>
          <w:szCs w:val="24"/>
        </w:rPr>
        <w:t xml:space="preserve"> </w:t>
      </w:r>
    </w:p>
    <w:p w14:paraId="5EBEF12A" w14:textId="77777777" w:rsidR="0074294C" w:rsidRDefault="0074294C" w:rsidP="00FC5AB1">
      <w:pPr>
        <w:pStyle w:val="ListParagraph"/>
        <w:rPr>
          <w:rFonts w:ascii="Georgia" w:hAnsi="Georgia"/>
          <w:sz w:val="24"/>
          <w:szCs w:val="24"/>
        </w:rPr>
      </w:pPr>
    </w:p>
    <w:p w14:paraId="1F900084" w14:textId="7CA9D102" w:rsidR="0074294C" w:rsidRDefault="0074294C" w:rsidP="00FC5AB1">
      <w:pPr>
        <w:pStyle w:val="ListParagraph"/>
        <w:rPr>
          <w:rFonts w:ascii="Georgia" w:hAnsi="Georgia"/>
          <w:sz w:val="24"/>
          <w:szCs w:val="24"/>
        </w:rPr>
      </w:pPr>
      <w:r>
        <w:rPr>
          <w:rFonts w:ascii="Georgia" w:hAnsi="Georgia"/>
          <w:sz w:val="24"/>
          <w:szCs w:val="24"/>
        </w:rPr>
        <w:t xml:space="preserve">Visual layout can reduce the effort required by a respondent to encode their responses to a question and mark the right category. </w:t>
      </w:r>
      <w:r w:rsidR="00AA08F1">
        <w:rPr>
          <w:rFonts w:ascii="Georgia" w:hAnsi="Georgia"/>
          <w:sz w:val="24"/>
          <w:szCs w:val="24"/>
        </w:rPr>
        <w:t xml:space="preserve">Such techniques </w:t>
      </w:r>
      <w:r>
        <w:rPr>
          <w:rFonts w:ascii="Georgia" w:hAnsi="Georgia"/>
          <w:sz w:val="24"/>
          <w:szCs w:val="24"/>
        </w:rPr>
        <w:t xml:space="preserve">as </w:t>
      </w:r>
      <w:r w:rsidR="00FF59C9">
        <w:rPr>
          <w:rFonts w:ascii="Georgia" w:hAnsi="Georgia"/>
          <w:sz w:val="24"/>
          <w:szCs w:val="24"/>
        </w:rPr>
        <w:t xml:space="preserve">using grids and alternate shading can decrease this burden. </w:t>
      </w:r>
    </w:p>
    <w:p w14:paraId="27E35393" w14:textId="69998B17" w:rsidR="00FF59C9" w:rsidRDefault="00FF59C9" w:rsidP="00FC5AB1">
      <w:pPr>
        <w:pStyle w:val="ListParagraph"/>
        <w:rPr>
          <w:rFonts w:ascii="Georgia" w:hAnsi="Georgia"/>
          <w:sz w:val="24"/>
          <w:szCs w:val="24"/>
        </w:rPr>
      </w:pPr>
    </w:p>
    <w:p w14:paraId="4279E592" w14:textId="66FCFB2F" w:rsidR="00FF59C9" w:rsidRDefault="00FF59C9" w:rsidP="00FC5AB1">
      <w:pPr>
        <w:pStyle w:val="ListParagraph"/>
        <w:rPr>
          <w:rFonts w:ascii="Georgia" w:hAnsi="Georgia"/>
          <w:sz w:val="24"/>
          <w:szCs w:val="24"/>
        </w:rPr>
      </w:pPr>
      <w:r>
        <w:rPr>
          <w:rFonts w:ascii="Georgia" w:hAnsi="Georgia"/>
          <w:sz w:val="24"/>
          <w:szCs w:val="24"/>
        </w:rPr>
        <w:t xml:space="preserve">Despite this multi-pronged strategy, achieving an 80% response has been difficult to achieve for even the largest federal surveys. Consequently, </w:t>
      </w:r>
      <w:r w:rsidRPr="00F07179">
        <w:rPr>
          <w:rFonts w:ascii="Georgia" w:hAnsi="Georgia"/>
          <w:sz w:val="24"/>
          <w:szCs w:val="24"/>
        </w:rPr>
        <w:t>nonresponse</w:t>
      </w:r>
      <w:r>
        <w:rPr>
          <w:rFonts w:ascii="Georgia" w:hAnsi="Georgia"/>
          <w:sz w:val="24"/>
          <w:szCs w:val="24"/>
        </w:rPr>
        <w:t xml:space="preserve"> bias reports will be conducted to ensure that </w:t>
      </w:r>
      <w:r w:rsidR="00226E1C">
        <w:rPr>
          <w:rFonts w:ascii="Georgia" w:hAnsi="Georgia"/>
          <w:sz w:val="24"/>
          <w:szCs w:val="24"/>
        </w:rPr>
        <w:t xml:space="preserve">this </w:t>
      </w:r>
      <w:r>
        <w:rPr>
          <w:rFonts w:ascii="Georgia" w:hAnsi="Georgia"/>
          <w:sz w:val="24"/>
          <w:szCs w:val="24"/>
        </w:rPr>
        <w:t>data produce</w:t>
      </w:r>
      <w:r w:rsidR="00226E1C">
        <w:rPr>
          <w:rFonts w:ascii="Georgia" w:hAnsi="Georgia"/>
          <w:sz w:val="24"/>
          <w:szCs w:val="24"/>
        </w:rPr>
        <w:t>s</w:t>
      </w:r>
      <w:r>
        <w:rPr>
          <w:rFonts w:ascii="Georgia" w:hAnsi="Georgia"/>
          <w:sz w:val="24"/>
          <w:szCs w:val="24"/>
        </w:rPr>
        <w:t xml:space="preserve"> valid estimates. Despite response</w:t>
      </w:r>
      <w:r w:rsidR="008311AA">
        <w:rPr>
          <w:rFonts w:ascii="Georgia" w:hAnsi="Georgia"/>
          <w:sz w:val="24"/>
          <w:szCs w:val="24"/>
        </w:rPr>
        <w:t xml:space="preserve"> rate</w:t>
      </w:r>
      <w:r w:rsidR="00486B8E">
        <w:rPr>
          <w:rFonts w:ascii="Georgia" w:hAnsi="Georgia"/>
          <w:sz w:val="24"/>
          <w:szCs w:val="24"/>
        </w:rPr>
        <w:t>s</w:t>
      </w:r>
      <w:r>
        <w:rPr>
          <w:rFonts w:ascii="Georgia" w:hAnsi="Georgia"/>
          <w:sz w:val="24"/>
          <w:szCs w:val="24"/>
        </w:rPr>
        <w:t xml:space="preserve"> to VOV surveys as low as single</w:t>
      </w:r>
      <w:r w:rsidR="00207CC2">
        <w:rPr>
          <w:rFonts w:ascii="Georgia" w:hAnsi="Georgia"/>
          <w:sz w:val="24"/>
          <w:szCs w:val="24"/>
        </w:rPr>
        <w:t xml:space="preserve"> </w:t>
      </w:r>
      <w:r>
        <w:rPr>
          <w:rFonts w:ascii="Georgia" w:hAnsi="Georgia"/>
          <w:sz w:val="24"/>
          <w:szCs w:val="24"/>
        </w:rPr>
        <w:t xml:space="preserve">digits, </w:t>
      </w:r>
      <w:r w:rsidR="00F06766">
        <w:rPr>
          <w:rFonts w:ascii="Georgia" w:hAnsi="Georgia"/>
          <w:sz w:val="24"/>
          <w:szCs w:val="24"/>
        </w:rPr>
        <w:t xml:space="preserve">such </w:t>
      </w:r>
      <w:r w:rsidR="00580711">
        <w:rPr>
          <w:rFonts w:ascii="Georgia" w:hAnsi="Georgia"/>
          <w:sz w:val="24"/>
          <w:szCs w:val="24"/>
        </w:rPr>
        <w:t xml:space="preserve">statistical procedures as </w:t>
      </w:r>
      <w:r>
        <w:rPr>
          <w:rFonts w:ascii="Georgia" w:hAnsi="Georgia"/>
          <w:sz w:val="24"/>
          <w:szCs w:val="24"/>
        </w:rPr>
        <w:t xml:space="preserve">survey raking </w:t>
      </w:r>
      <w:r w:rsidR="00580711">
        <w:rPr>
          <w:rFonts w:ascii="Georgia" w:hAnsi="Georgia"/>
          <w:sz w:val="24"/>
          <w:szCs w:val="24"/>
        </w:rPr>
        <w:t xml:space="preserve">(also used for OPM’s Federal Employee Viewpoint survey) </w:t>
      </w:r>
      <w:r>
        <w:rPr>
          <w:rFonts w:ascii="Georgia" w:hAnsi="Georgia"/>
          <w:sz w:val="24"/>
          <w:szCs w:val="24"/>
        </w:rPr>
        <w:t xml:space="preserve">have consistently shown the data to be valid. </w:t>
      </w:r>
    </w:p>
    <w:p w14:paraId="3CB79D13" w14:textId="29CA9C91" w:rsidR="00447883" w:rsidRDefault="00447883" w:rsidP="00FC5AB1">
      <w:pPr>
        <w:pStyle w:val="ListParagraph"/>
        <w:rPr>
          <w:rFonts w:ascii="Georgia" w:hAnsi="Georgia"/>
          <w:sz w:val="24"/>
          <w:szCs w:val="24"/>
        </w:rPr>
      </w:pPr>
    </w:p>
    <w:p w14:paraId="5CE5380C" w14:textId="5BF66A6C" w:rsidR="002851D6" w:rsidRDefault="002851D6">
      <w:pPr>
        <w:rPr>
          <w:rFonts w:ascii="Georgia" w:hAnsi="Georgia"/>
          <w:sz w:val="24"/>
          <w:szCs w:val="24"/>
        </w:rPr>
      </w:pPr>
      <w:r>
        <w:rPr>
          <w:rFonts w:ascii="Georgia" w:hAnsi="Georgia"/>
          <w:sz w:val="24"/>
          <w:szCs w:val="24"/>
        </w:rPr>
        <w:br w:type="page"/>
      </w:r>
    </w:p>
    <w:p w14:paraId="175D9F28" w14:textId="77777777" w:rsidR="00636B28" w:rsidRPr="00FC5AB1" w:rsidRDefault="00636B28" w:rsidP="00FC5AB1">
      <w:pPr>
        <w:pStyle w:val="ListParagraph"/>
        <w:rPr>
          <w:rFonts w:ascii="Georgia" w:hAnsi="Georgia"/>
          <w:sz w:val="24"/>
          <w:szCs w:val="24"/>
        </w:rPr>
      </w:pPr>
    </w:p>
    <w:p w14:paraId="5210E677" w14:textId="5A36AAB8" w:rsidR="00EC4A52" w:rsidRPr="00FC5AB1" w:rsidRDefault="00EC4A52" w:rsidP="00FC5AB1">
      <w:pPr>
        <w:pStyle w:val="ListParagraph"/>
        <w:numPr>
          <w:ilvl w:val="0"/>
          <w:numId w:val="9"/>
        </w:numPr>
        <w:rPr>
          <w:rFonts w:ascii="Georgia" w:hAnsi="Georgia"/>
          <w:b/>
          <w:sz w:val="24"/>
          <w:szCs w:val="24"/>
        </w:rPr>
      </w:pPr>
      <w:r w:rsidRPr="00FC5AB1">
        <w:rPr>
          <w:rFonts w:ascii="Georgia" w:hAnsi="Georgia"/>
          <w:b/>
          <w:sz w:val="24"/>
          <w:szCs w:val="24"/>
        </w:rPr>
        <w:t>Des</w:t>
      </w:r>
      <w:r w:rsidR="00447883" w:rsidRPr="00FC5AB1">
        <w:rPr>
          <w:rFonts w:ascii="Georgia" w:hAnsi="Georgia"/>
          <w:b/>
          <w:sz w:val="24"/>
          <w:szCs w:val="24"/>
        </w:rPr>
        <w:t>c</w:t>
      </w:r>
      <w:r w:rsidRPr="00FC5AB1">
        <w:rPr>
          <w:rFonts w:ascii="Georgia" w:hAnsi="Georgia"/>
          <w:b/>
          <w:sz w:val="24"/>
          <w:szCs w:val="24"/>
        </w:rPr>
        <w:t>ribe any tests of procedures or methods to be undertaken. Testing is encourage</w:t>
      </w:r>
      <w:r w:rsidR="003E11B1">
        <w:rPr>
          <w:rFonts w:ascii="Georgia" w:hAnsi="Georgia"/>
          <w:b/>
          <w:sz w:val="24"/>
          <w:szCs w:val="24"/>
        </w:rPr>
        <w:t>d</w:t>
      </w:r>
      <w:r w:rsidRPr="00FC5AB1">
        <w:rPr>
          <w:rFonts w:ascii="Georgia" w:hAnsi="Georgia"/>
          <w:b/>
          <w:sz w:val="24"/>
          <w:szCs w:val="24"/>
        </w:rPr>
        <w:t xml:space="preserve">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14:paraId="439C079B" w14:textId="712D4BF3" w:rsidR="00447883" w:rsidRPr="00FC5AB1" w:rsidRDefault="00447883" w:rsidP="00FC5AB1">
      <w:pPr>
        <w:pStyle w:val="ListParagraph"/>
        <w:rPr>
          <w:rFonts w:ascii="Georgia" w:hAnsi="Georgia"/>
          <w:b/>
          <w:sz w:val="24"/>
          <w:szCs w:val="24"/>
        </w:rPr>
      </w:pPr>
    </w:p>
    <w:p w14:paraId="4DAB9694" w14:textId="38BC8BDB" w:rsidR="002D2DF2" w:rsidRPr="0052416F" w:rsidRDefault="00420825" w:rsidP="0052416F">
      <w:pPr>
        <w:pStyle w:val="ListParagraph"/>
        <w:rPr>
          <w:rFonts w:ascii="Georgia" w:hAnsi="Georgia"/>
          <w:sz w:val="24"/>
          <w:szCs w:val="24"/>
        </w:rPr>
      </w:pPr>
      <w:r w:rsidRPr="0052416F">
        <w:rPr>
          <w:rFonts w:ascii="Georgia" w:hAnsi="Georgia"/>
          <w:sz w:val="24"/>
          <w:szCs w:val="24"/>
        </w:rPr>
        <w:t xml:space="preserve">The </w:t>
      </w:r>
      <w:r w:rsidR="005D1DF4" w:rsidRPr="0052416F">
        <w:rPr>
          <w:rFonts w:ascii="Georgia" w:hAnsi="Georgia"/>
          <w:sz w:val="24"/>
          <w:szCs w:val="24"/>
        </w:rPr>
        <w:t>PSTAP</w:t>
      </w:r>
      <w:r w:rsidRPr="0052416F">
        <w:rPr>
          <w:rFonts w:ascii="Georgia" w:hAnsi="Georgia"/>
          <w:sz w:val="24"/>
          <w:szCs w:val="24"/>
        </w:rPr>
        <w:t xml:space="preserve"> Assessment was pretest</w:t>
      </w:r>
      <w:r w:rsidR="00A22F51" w:rsidRPr="0052416F">
        <w:rPr>
          <w:rFonts w:ascii="Georgia" w:hAnsi="Georgia"/>
          <w:sz w:val="24"/>
          <w:szCs w:val="24"/>
        </w:rPr>
        <w:t>ed</w:t>
      </w:r>
      <w:r w:rsidRPr="0052416F">
        <w:rPr>
          <w:rFonts w:ascii="Georgia" w:hAnsi="Georgia"/>
          <w:sz w:val="24"/>
          <w:szCs w:val="24"/>
        </w:rPr>
        <w:t xml:space="preserve"> using cognitive interviews to employ the “think aloud” method. </w:t>
      </w:r>
      <w:r w:rsidR="002D2DF2" w:rsidRPr="0052416F">
        <w:rPr>
          <w:rFonts w:ascii="Georgia" w:hAnsi="Georgia"/>
          <w:sz w:val="24"/>
          <w:szCs w:val="24"/>
        </w:rPr>
        <w:t xml:space="preserve">Referrals for the pretesting subjects were obtained by the </w:t>
      </w:r>
      <w:r w:rsidR="009257AE" w:rsidRPr="0052416F">
        <w:rPr>
          <w:rFonts w:ascii="Georgia" w:hAnsi="Georgia"/>
          <w:sz w:val="24"/>
          <w:szCs w:val="24"/>
        </w:rPr>
        <w:t>Interagency Partners</w:t>
      </w:r>
      <w:r w:rsidR="002D2DF2" w:rsidRPr="0052416F">
        <w:rPr>
          <w:rFonts w:ascii="Georgia" w:hAnsi="Georgia"/>
          <w:sz w:val="24"/>
          <w:szCs w:val="24"/>
        </w:rPr>
        <w:t xml:space="preserve">, </w:t>
      </w:r>
      <w:r w:rsidR="0067303D" w:rsidRPr="0052416F">
        <w:rPr>
          <w:rFonts w:ascii="Georgia" w:hAnsi="Georgia"/>
          <w:sz w:val="24"/>
          <w:szCs w:val="24"/>
        </w:rPr>
        <w:t>VA</w:t>
      </w:r>
      <w:r w:rsidR="002D2DF2" w:rsidRPr="0052416F">
        <w:rPr>
          <w:rFonts w:ascii="Georgia" w:hAnsi="Georgia"/>
          <w:sz w:val="24"/>
          <w:szCs w:val="24"/>
        </w:rPr>
        <w:t xml:space="preserve"> </w:t>
      </w:r>
      <w:r w:rsidR="00B2571F">
        <w:rPr>
          <w:rFonts w:ascii="Georgia" w:hAnsi="Georgia"/>
          <w:sz w:val="24"/>
          <w:szCs w:val="24"/>
        </w:rPr>
        <w:t>program</w:t>
      </w:r>
      <w:r w:rsidR="00B2571F" w:rsidRPr="0052416F">
        <w:rPr>
          <w:rFonts w:ascii="Georgia" w:hAnsi="Georgia"/>
          <w:sz w:val="24"/>
          <w:szCs w:val="24"/>
        </w:rPr>
        <w:t xml:space="preserve"> </w:t>
      </w:r>
      <w:r w:rsidR="002D2DF2" w:rsidRPr="0052416F">
        <w:rPr>
          <w:rFonts w:ascii="Georgia" w:hAnsi="Georgia"/>
          <w:sz w:val="24"/>
          <w:szCs w:val="24"/>
        </w:rPr>
        <w:t>staff, an email sent to Veteran Service Organizations (VSOs) by VA</w:t>
      </w:r>
      <w:r w:rsidR="00DD3077">
        <w:rPr>
          <w:rFonts w:ascii="Georgia" w:hAnsi="Georgia"/>
          <w:sz w:val="24"/>
          <w:szCs w:val="24"/>
        </w:rPr>
        <w:t>’s TAP subject matter expert (SME)</w:t>
      </w:r>
      <w:r w:rsidR="002D2DF2" w:rsidRPr="0052416F">
        <w:rPr>
          <w:rFonts w:ascii="Georgia" w:hAnsi="Georgia"/>
          <w:sz w:val="24"/>
          <w:szCs w:val="24"/>
        </w:rPr>
        <w:t xml:space="preserve">, and </w:t>
      </w:r>
      <w:r w:rsidR="0006537E">
        <w:rPr>
          <w:rFonts w:ascii="Georgia" w:hAnsi="Georgia"/>
          <w:sz w:val="24"/>
          <w:szCs w:val="24"/>
        </w:rPr>
        <w:t xml:space="preserve">an </w:t>
      </w:r>
      <w:r w:rsidR="002D2DF2" w:rsidRPr="0052416F">
        <w:rPr>
          <w:rFonts w:ascii="Georgia" w:hAnsi="Georgia"/>
          <w:sz w:val="24"/>
          <w:szCs w:val="24"/>
        </w:rPr>
        <w:t xml:space="preserve">email sent by a </w:t>
      </w:r>
      <w:r w:rsidR="0006537E">
        <w:rPr>
          <w:rFonts w:ascii="Georgia" w:hAnsi="Georgia"/>
          <w:sz w:val="24"/>
          <w:szCs w:val="24"/>
        </w:rPr>
        <w:t>v</w:t>
      </w:r>
      <w:r w:rsidR="0006537E" w:rsidRPr="0052416F">
        <w:rPr>
          <w:rFonts w:ascii="Georgia" w:hAnsi="Georgia"/>
          <w:sz w:val="24"/>
          <w:szCs w:val="24"/>
        </w:rPr>
        <w:t xml:space="preserve">ice </w:t>
      </w:r>
      <w:r w:rsidR="0006537E">
        <w:rPr>
          <w:rFonts w:ascii="Georgia" w:hAnsi="Georgia"/>
          <w:sz w:val="24"/>
          <w:szCs w:val="24"/>
        </w:rPr>
        <w:t>p</w:t>
      </w:r>
      <w:r w:rsidR="0006537E" w:rsidRPr="0052416F">
        <w:rPr>
          <w:rFonts w:ascii="Georgia" w:hAnsi="Georgia"/>
          <w:sz w:val="24"/>
          <w:szCs w:val="24"/>
        </w:rPr>
        <w:t xml:space="preserve">resident </w:t>
      </w:r>
      <w:r w:rsidR="002D2DF2" w:rsidRPr="0052416F">
        <w:rPr>
          <w:rFonts w:ascii="Georgia" w:hAnsi="Georgia"/>
          <w:sz w:val="24"/>
          <w:szCs w:val="24"/>
        </w:rPr>
        <w:t xml:space="preserve">at J.D. Power to over 500 </w:t>
      </w:r>
      <w:r w:rsidR="00DD3077">
        <w:rPr>
          <w:rFonts w:ascii="Georgia" w:hAnsi="Georgia"/>
          <w:sz w:val="24"/>
          <w:szCs w:val="24"/>
        </w:rPr>
        <w:t>of its employees</w:t>
      </w:r>
      <w:r w:rsidR="002D2DF2" w:rsidRPr="0052416F">
        <w:rPr>
          <w:rFonts w:ascii="Georgia" w:hAnsi="Georgia"/>
          <w:sz w:val="24"/>
          <w:szCs w:val="24"/>
        </w:rPr>
        <w:t xml:space="preserve"> based in the </w:t>
      </w:r>
      <w:r w:rsidR="00AE0AA6">
        <w:rPr>
          <w:rFonts w:ascii="Georgia" w:hAnsi="Georgia"/>
          <w:sz w:val="24"/>
          <w:szCs w:val="24"/>
        </w:rPr>
        <w:t>Unites States</w:t>
      </w:r>
      <w:r w:rsidR="002D2DF2" w:rsidRPr="0052416F">
        <w:rPr>
          <w:rFonts w:ascii="Georgia" w:hAnsi="Georgia"/>
          <w:sz w:val="24"/>
          <w:szCs w:val="24"/>
        </w:rPr>
        <w:t xml:space="preserve"> for family or acquaintance referrals.</w:t>
      </w:r>
    </w:p>
    <w:p w14:paraId="3B69B1DE" w14:textId="686264E1" w:rsidR="00062576" w:rsidRPr="0052416F" w:rsidRDefault="00062576" w:rsidP="0052416F">
      <w:pPr>
        <w:ind w:left="720"/>
        <w:rPr>
          <w:rFonts w:ascii="Georgia" w:hAnsi="Georgia"/>
          <w:sz w:val="24"/>
          <w:szCs w:val="24"/>
        </w:rPr>
      </w:pPr>
    </w:p>
    <w:p w14:paraId="6D7C3714" w14:textId="33295571" w:rsidR="00674176" w:rsidRPr="0052416F" w:rsidRDefault="00062576" w:rsidP="0052416F">
      <w:pPr>
        <w:pStyle w:val="ListParagraph"/>
      </w:pPr>
      <w:r w:rsidRPr="0052416F">
        <w:rPr>
          <w:rFonts w:ascii="Georgia" w:hAnsi="Georgia"/>
          <w:sz w:val="24"/>
          <w:szCs w:val="24"/>
        </w:rPr>
        <w:t xml:space="preserve">Cognitive interviews were conducted with six (6) members of the public consistent with OMB regulations that state testing shall not exceed nine (9) members of the public without applying for a generic clearance. These interviews were conducted December 1, 2017 through January </w:t>
      </w:r>
      <w:r w:rsidR="0052416F" w:rsidRPr="0052416F">
        <w:rPr>
          <w:rFonts w:ascii="Georgia" w:hAnsi="Georgia"/>
          <w:sz w:val="24"/>
          <w:szCs w:val="24"/>
        </w:rPr>
        <w:t>17</w:t>
      </w:r>
      <w:r w:rsidRPr="0052416F">
        <w:rPr>
          <w:rFonts w:ascii="Georgia" w:hAnsi="Georgia"/>
          <w:sz w:val="24"/>
          <w:szCs w:val="24"/>
        </w:rPr>
        <w:t xml:space="preserve">, 2018. To supplement these interviews, an additional six (6) interviews were conducted with VA employees permissible for testing purposes as federal employees. </w:t>
      </w:r>
    </w:p>
    <w:p w14:paraId="673E2C30" w14:textId="422A102F" w:rsidR="00062576" w:rsidRPr="0052416F" w:rsidRDefault="00062576" w:rsidP="0052416F">
      <w:pPr>
        <w:ind w:left="720"/>
        <w:rPr>
          <w:rFonts w:ascii="Georgia" w:hAnsi="Georgia"/>
          <w:sz w:val="24"/>
          <w:szCs w:val="24"/>
        </w:rPr>
      </w:pPr>
    </w:p>
    <w:p w14:paraId="71EDE861" w14:textId="2480BC56" w:rsidR="008568A7" w:rsidRPr="0052416F" w:rsidRDefault="00DD3077" w:rsidP="0052416F">
      <w:pPr>
        <w:pStyle w:val="ListParagraph"/>
      </w:pPr>
      <w:r>
        <w:rPr>
          <w:rFonts w:ascii="Georgia" w:hAnsi="Georgia"/>
          <w:sz w:val="24"/>
          <w:szCs w:val="24"/>
        </w:rPr>
        <w:t>All of the</w:t>
      </w:r>
      <w:r w:rsidRPr="0052416F">
        <w:rPr>
          <w:rFonts w:ascii="Georgia" w:hAnsi="Georgia"/>
          <w:sz w:val="24"/>
          <w:szCs w:val="24"/>
        </w:rPr>
        <w:t xml:space="preserve"> </w:t>
      </w:r>
      <w:r w:rsidR="00062576" w:rsidRPr="0052416F">
        <w:rPr>
          <w:rFonts w:ascii="Georgia" w:hAnsi="Georgia"/>
          <w:sz w:val="24"/>
          <w:szCs w:val="24"/>
        </w:rPr>
        <w:t xml:space="preserve">pretesting subjects </w:t>
      </w:r>
      <w:r w:rsidR="0006537E">
        <w:rPr>
          <w:rFonts w:ascii="Georgia" w:hAnsi="Georgia"/>
          <w:sz w:val="24"/>
          <w:szCs w:val="24"/>
        </w:rPr>
        <w:t>ranged in age from</w:t>
      </w:r>
      <w:r w:rsidR="00062576" w:rsidRPr="0052416F">
        <w:rPr>
          <w:rFonts w:ascii="Georgia" w:hAnsi="Georgia"/>
          <w:sz w:val="24"/>
          <w:szCs w:val="24"/>
        </w:rPr>
        <w:t xml:space="preserve"> 28 to 57</w:t>
      </w:r>
      <w:r w:rsidR="0006537E">
        <w:rPr>
          <w:rFonts w:ascii="Georgia" w:hAnsi="Georgia"/>
          <w:sz w:val="24"/>
          <w:szCs w:val="24"/>
        </w:rPr>
        <w:t xml:space="preserve"> years</w:t>
      </w:r>
      <w:r w:rsidR="008A7DAD">
        <w:rPr>
          <w:rFonts w:ascii="Georgia" w:hAnsi="Georgia"/>
          <w:sz w:val="24"/>
          <w:szCs w:val="24"/>
        </w:rPr>
        <w:t>, two (2) were female Veterans,</w:t>
      </w:r>
      <w:r w:rsidR="00062576" w:rsidRPr="0052416F">
        <w:rPr>
          <w:rFonts w:ascii="Georgia" w:hAnsi="Georgia"/>
          <w:sz w:val="24"/>
          <w:szCs w:val="24"/>
        </w:rPr>
        <w:t xml:space="preserve"> and </w:t>
      </w:r>
      <w:r w:rsidR="008A7DAD">
        <w:rPr>
          <w:rFonts w:ascii="Georgia" w:hAnsi="Georgia"/>
          <w:sz w:val="24"/>
          <w:szCs w:val="24"/>
        </w:rPr>
        <w:t>the branches of service spann</w:t>
      </w:r>
      <w:r w:rsidR="008A7DAD" w:rsidRPr="0052416F">
        <w:rPr>
          <w:rFonts w:ascii="Georgia" w:hAnsi="Georgia"/>
          <w:sz w:val="24"/>
          <w:szCs w:val="24"/>
        </w:rPr>
        <w:t xml:space="preserve">ed </w:t>
      </w:r>
      <w:r w:rsidR="00062576" w:rsidRPr="0052416F">
        <w:rPr>
          <w:rFonts w:ascii="Georgia" w:hAnsi="Georgia"/>
          <w:sz w:val="24"/>
          <w:szCs w:val="24"/>
        </w:rPr>
        <w:t xml:space="preserve">the </w:t>
      </w:r>
      <w:r w:rsidR="00D332F6" w:rsidRPr="0052416F">
        <w:rPr>
          <w:rFonts w:ascii="Georgia" w:hAnsi="Georgia"/>
          <w:sz w:val="24"/>
          <w:szCs w:val="24"/>
        </w:rPr>
        <w:t>Air Force,</w:t>
      </w:r>
      <w:r w:rsidR="00062576" w:rsidRPr="0052416F">
        <w:rPr>
          <w:rFonts w:ascii="Georgia" w:hAnsi="Georgia"/>
          <w:sz w:val="24"/>
          <w:szCs w:val="24"/>
        </w:rPr>
        <w:t xml:space="preserve"> Army, </w:t>
      </w:r>
      <w:r w:rsidR="00D332F6" w:rsidRPr="0052416F">
        <w:rPr>
          <w:rFonts w:ascii="Georgia" w:hAnsi="Georgia"/>
          <w:sz w:val="24"/>
          <w:szCs w:val="24"/>
        </w:rPr>
        <w:t xml:space="preserve">Marine Corps, </w:t>
      </w:r>
      <w:r w:rsidR="008A7DAD">
        <w:rPr>
          <w:rFonts w:ascii="Georgia" w:hAnsi="Georgia"/>
          <w:sz w:val="24"/>
          <w:szCs w:val="24"/>
        </w:rPr>
        <w:t>and</w:t>
      </w:r>
      <w:r w:rsidR="008A7DAD" w:rsidRPr="0052416F">
        <w:rPr>
          <w:rFonts w:ascii="Georgia" w:hAnsi="Georgia"/>
          <w:sz w:val="24"/>
          <w:szCs w:val="24"/>
        </w:rPr>
        <w:t xml:space="preserve"> </w:t>
      </w:r>
      <w:r w:rsidR="00062576" w:rsidRPr="0052416F">
        <w:rPr>
          <w:rFonts w:ascii="Georgia" w:hAnsi="Georgia"/>
          <w:sz w:val="24"/>
          <w:szCs w:val="24"/>
        </w:rPr>
        <w:t xml:space="preserve">Navy. </w:t>
      </w:r>
      <w:r w:rsidR="00D332F6" w:rsidRPr="0052416F">
        <w:rPr>
          <w:rFonts w:ascii="Georgia" w:hAnsi="Georgia"/>
          <w:sz w:val="24"/>
          <w:szCs w:val="24"/>
        </w:rPr>
        <w:t>Four</w:t>
      </w:r>
      <w:r w:rsidR="00062576" w:rsidRPr="0052416F">
        <w:rPr>
          <w:rFonts w:ascii="Georgia" w:hAnsi="Georgia"/>
          <w:sz w:val="24"/>
          <w:szCs w:val="24"/>
        </w:rPr>
        <w:t xml:space="preserve"> </w:t>
      </w:r>
      <w:r w:rsidR="008A7DAD">
        <w:rPr>
          <w:rFonts w:ascii="Georgia" w:hAnsi="Georgia"/>
          <w:sz w:val="24"/>
          <w:szCs w:val="24"/>
        </w:rPr>
        <w:t xml:space="preserve">(4) </w:t>
      </w:r>
      <w:r w:rsidR="00062576" w:rsidRPr="0052416F">
        <w:rPr>
          <w:rFonts w:ascii="Georgia" w:hAnsi="Georgia"/>
          <w:sz w:val="24"/>
          <w:szCs w:val="24"/>
        </w:rPr>
        <w:t xml:space="preserve">members of the public completed their TAP training during the target reference period of </w:t>
      </w:r>
      <w:r w:rsidR="00486B8E">
        <w:rPr>
          <w:rFonts w:ascii="Georgia" w:hAnsi="Georgia"/>
          <w:sz w:val="24"/>
          <w:szCs w:val="24"/>
        </w:rPr>
        <w:t>three (3)</w:t>
      </w:r>
      <w:r w:rsidR="00486B8E" w:rsidRPr="0052416F">
        <w:rPr>
          <w:rFonts w:ascii="Georgia" w:hAnsi="Georgia"/>
          <w:sz w:val="24"/>
          <w:szCs w:val="24"/>
        </w:rPr>
        <w:t xml:space="preserve"> </w:t>
      </w:r>
      <w:r w:rsidR="00062576" w:rsidRPr="0052416F">
        <w:rPr>
          <w:rFonts w:ascii="Georgia" w:hAnsi="Georgia"/>
          <w:sz w:val="24"/>
          <w:szCs w:val="24"/>
        </w:rPr>
        <w:t xml:space="preserve">years, while the remaining </w:t>
      </w:r>
      <w:r w:rsidR="00486B8E">
        <w:rPr>
          <w:rFonts w:ascii="Georgia" w:hAnsi="Georgia"/>
          <w:sz w:val="24"/>
          <w:szCs w:val="24"/>
        </w:rPr>
        <w:t>eight (</w:t>
      </w:r>
      <w:r w:rsidR="00D332F6" w:rsidRPr="0052416F">
        <w:rPr>
          <w:rFonts w:ascii="Georgia" w:hAnsi="Georgia"/>
          <w:sz w:val="24"/>
          <w:szCs w:val="24"/>
        </w:rPr>
        <w:t>8</w:t>
      </w:r>
      <w:r w:rsidR="00486B8E">
        <w:rPr>
          <w:rFonts w:ascii="Georgia" w:hAnsi="Georgia"/>
          <w:sz w:val="24"/>
          <w:szCs w:val="24"/>
        </w:rPr>
        <w:t>)</w:t>
      </w:r>
      <w:r w:rsidR="00062576" w:rsidRPr="0052416F">
        <w:rPr>
          <w:rFonts w:ascii="Georgia" w:hAnsi="Georgia"/>
          <w:sz w:val="24"/>
          <w:szCs w:val="24"/>
        </w:rPr>
        <w:t xml:space="preserve"> subjects exceeded this reference period</w:t>
      </w:r>
      <w:r w:rsidR="0006537E">
        <w:rPr>
          <w:rFonts w:ascii="Georgia" w:hAnsi="Georgia"/>
          <w:sz w:val="24"/>
          <w:szCs w:val="24"/>
        </w:rPr>
        <w:t>; however</w:t>
      </w:r>
      <w:r w:rsidR="009257AE" w:rsidRPr="0052416F">
        <w:rPr>
          <w:rFonts w:ascii="Georgia" w:hAnsi="Georgia"/>
          <w:sz w:val="24"/>
          <w:szCs w:val="24"/>
        </w:rPr>
        <w:t>, all pre-testing subjects had sufficient knowledge of the TAP curriculum to provide applicable feedback</w:t>
      </w:r>
      <w:r w:rsidR="00062576" w:rsidRPr="0052416F">
        <w:rPr>
          <w:rFonts w:ascii="Georgia" w:hAnsi="Georgia"/>
          <w:sz w:val="24"/>
          <w:szCs w:val="24"/>
        </w:rPr>
        <w:t>. Of the 12 subjects, one subject (</w:t>
      </w:r>
      <w:r w:rsidR="0014638C" w:rsidRPr="0052416F">
        <w:rPr>
          <w:rFonts w:ascii="Georgia" w:hAnsi="Georgia"/>
          <w:sz w:val="24"/>
          <w:szCs w:val="24"/>
        </w:rPr>
        <w:t xml:space="preserve">from the </w:t>
      </w:r>
      <w:r w:rsidR="00062576" w:rsidRPr="0052416F">
        <w:rPr>
          <w:rFonts w:ascii="Georgia" w:hAnsi="Georgia"/>
          <w:sz w:val="24"/>
          <w:szCs w:val="24"/>
        </w:rPr>
        <w:t xml:space="preserve">public) considered </w:t>
      </w:r>
      <w:r w:rsidR="0014638C" w:rsidRPr="0052416F">
        <w:rPr>
          <w:rFonts w:ascii="Georgia" w:hAnsi="Georgia"/>
          <w:sz w:val="24"/>
          <w:szCs w:val="24"/>
        </w:rPr>
        <w:t xml:space="preserve">himself </w:t>
      </w:r>
      <w:r w:rsidR="00486B8E" w:rsidRPr="0052416F">
        <w:rPr>
          <w:rFonts w:ascii="Georgia" w:hAnsi="Georgia"/>
          <w:sz w:val="24"/>
          <w:szCs w:val="24"/>
        </w:rPr>
        <w:t xml:space="preserve">Hispanic </w:t>
      </w:r>
      <w:r w:rsidR="00062576" w:rsidRPr="0052416F">
        <w:rPr>
          <w:rFonts w:ascii="Georgia" w:hAnsi="Georgia"/>
          <w:sz w:val="24"/>
          <w:szCs w:val="24"/>
        </w:rPr>
        <w:t xml:space="preserve">or </w:t>
      </w:r>
      <w:r w:rsidR="00486B8E" w:rsidRPr="0052416F">
        <w:rPr>
          <w:rFonts w:ascii="Georgia" w:hAnsi="Georgia"/>
          <w:sz w:val="24"/>
          <w:szCs w:val="24"/>
        </w:rPr>
        <w:t xml:space="preserve">Latino </w:t>
      </w:r>
      <w:r w:rsidR="00062576" w:rsidRPr="0052416F">
        <w:rPr>
          <w:rFonts w:ascii="Georgia" w:hAnsi="Georgia"/>
          <w:sz w:val="24"/>
          <w:szCs w:val="24"/>
        </w:rPr>
        <w:t xml:space="preserve">and </w:t>
      </w:r>
      <w:r w:rsidR="008A7DAD">
        <w:rPr>
          <w:rFonts w:ascii="Georgia" w:hAnsi="Georgia"/>
          <w:sz w:val="24"/>
          <w:szCs w:val="24"/>
        </w:rPr>
        <w:t>six (6)</w:t>
      </w:r>
      <w:r w:rsidR="008A7DAD" w:rsidRPr="0052416F">
        <w:rPr>
          <w:rFonts w:ascii="Georgia" w:hAnsi="Georgia"/>
          <w:sz w:val="24"/>
          <w:szCs w:val="24"/>
        </w:rPr>
        <w:t xml:space="preserve"> </w:t>
      </w:r>
      <w:r w:rsidR="00062576" w:rsidRPr="0052416F">
        <w:rPr>
          <w:rFonts w:ascii="Georgia" w:hAnsi="Georgia"/>
          <w:sz w:val="24"/>
          <w:szCs w:val="24"/>
        </w:rPr>
        <w:t xml:space="preserve">respondents self-identified as African American. All ethnicity and race questions </w:t>
      </w:r>
      <w:r w:rsidR="00C516A4">
        <w:rPr>
          <w:rFonts w:ascii="Georgia" w:hAnsi="Georgia"/>
          <w:sz w:val="24"/>
          <w:szCs w:val="24"/>
        </w:rPr>
        <w:t>to establish</w:t>
      </w:r>
      <w:r w:rsidR="00062576" w:rsidRPr="0052416F">
        <w:rPr>
          <w:rFonts w:ascii="Georgia" w:hAnsi="Georgia"/>
          <w:sz w:val="24"/>
          <w:szCs w:val="24"/>
        </w:rPr>
        <w:t xml:space="preserve"> demographics were compliant with OMB </w:t>
      </w:r>
      <w:r>
        <w:rPr>
          <w:rFonts w:ascii="Georgia" w:hAnsi="Georgia"/>
          <w:sz w:val="24"/>
          <w:szCs w:val="24"/>
        </w:rPr>
        <w:t>guidelines</w:t>
      </w:r>
      <w:r w:rsidRPr="0052416F">
        <w:rPr>
          <w:rFonts w:ascii="Georgia" w:hAnsi="Georgia"/>
          <w:sz w:val="24"/>
          <w:szCs w:val="24"/>
        </w:rPr>
        <w:t xml:space="preserve"> </w:t>
      </w:r>
      <w:r w:rsidR="00062576" w:rsidRPr="0052416F">
        <w:rPr>
          <w:rFonts w:ascii="Georgia" w:hAnsi="Georgia"/>
          <w:sz w:val="24"/>
          <w:szCs w:val="24"/>
        </w:rPr>
        <w:t xml:space="preserve">whereby ethnicity questions </w:t>
      </w:r>
      <w:r w:rsidR="00D332F6" w:rsidRPr="0052416F">
        <w:rPr>
          <w:rFonts w:ascii="Georgia" w:hAnsi="Georgia"/>
          <w:sz w:val="24"/>
          <w:szCs w:val="24"/>
        </w:rPr>
        <w:t>are</w:t>
      </w:r>
      <w:r w:rsidR="00062576" w:rsidRPr="0052416F">
        <w:rPr>
          <w:rFonts w:ascii="Georgia" w:hAnsi="Georgia"/>
          <w:sz w:val="24"/>
          <w:szCs w:val="24"/>
        </w:rPr>
        <w:t xml:space="preserve"> asked first followed by a </w:t>
      </w:r>
      <w:r w:rsidR="00D332F6" w:rsidRPr="0052416F">
        <w:rPr>
          <w:rFonts w:ascii="Georgia" w:hAnsi="Georgia"/>
          <w:sz w:val="24"/>
          <w:szCs w:val="24"/>
        </w:rPr>
        <w:t xml:space="preserve">multiple response </w:t>
      </w:r>
      <w:r w:rsidR="00062576" w:rsidRPr="0052416F">
        <w:rPr>
          <w:rFonts w:ascii="Georgia" w:hAnsi="Georgia"/>
          <w:sz w:val="24"/>
          <w:szCs w:val="24"/>
        </w:rPr>
        <w:t xml:space="preserve">racial category question. The remainder of </w:t>
      </w:r>
      <w:r w:rsidR="00D332F6" w:rsidRPr="0052416F">
        <w:rPr>
          <w:rFonts w:ascii="Georgia" w:hAnsi="Georgia"/>
          <w:sz w:val="24"/>
          <w:szCs w:val="24"/>
        </w:rPr>
        <w:t xml:space="preserve">the </w:t>
      </w:r>
      <w:r w:rsidR="00062576" w:rsidRPr="0052416F">
        <w:rPr>
          <w:rFonts w:ascii="Georgia" w:hAnsi="Georgia"/>
          <w:sz w:val="24"/>
          <w:szCs w:val="24"/>
        </w:rPr>
        <w:t xml:space="preserve">respondents were </w:t>
      </w:r>
      <w:r w:rsidR="00F07179">
        <w:rPr>
          <w:rFonts w:ascii="Georgia" w:hAnsi="Georgia"/>
          <w:sz w:val="24"/>
          <w:szCs w:val="24"/>
        </w:rPr>
        <w:t>Caucasian</w:t>
      </w:r>
      <w:r w:rsidR="00062576" w:rsidRPr="0052416F">
        <w:rPr>
          <w:rFonts w:ascii="Georgia" w:hAnsi="Georgia"/>
          <w:sz w:val="24"/>
          <w:szCs w:val="24"/>
        </w:rPr>
        <w:t>. With the exception of one respondent who had a “side hobby/entrepreneurial activity”</w:t>
      </w:r>
      <w:r w:rsidR="00D332F6" w:rsidRPr="0052416F">
        <w:rPr>
          <w:rFonts w:ascii="Georgia" w:hAnsi="Georgia"/>
          <w:sz w:val="24"/>
          <w:szCs w:val="24"/>
        </w:rPr>
        <w:t xml:space="preserve"> (not considered as self-employment by the respondent)</w:t>
      </w:r>
      <w:r w:rsidR="00062576" w:rsidRPr="0052416F">
        <w:rPr>
          <w:rFonts w:ascii="Georgia" w:hAnsi="Georgia"/>
          <w:sz w:val="24"/>
          <w:szCs w:val="24"/>
        </w:rPr>
        <w:t xml:space="preserve"> </w:t>
      </w:r>
      <w:r w:rsidR="00522389">
        <w:rPr>
          <w:rFonts w:ascii="Georgia" w:hAnsi="Georgia"/>
          <w:sz w:val="24"/>
          <w:szCs w:val="24"/>
        </w:rPr>
        <w:t>all</w:t>
      </w:r>
      <w:r w:rsidR="00522389" w:rsidRPr="0052416F">
        <w:rPr>
          <w:rFonts w:ascii="Georgia" w:hAnsi="Georgia"/>
          <w:sz w:val="24"/>
          <w:szCs w:val="24"/>
        </w:rPr>
        <w:t xml:space="preserve"> </w:t>
      </w:r>
      <w:r w:rsidR="00062576" w:rsidRPr="0052416F">
        <w:rPr>
          <w:rFonts w:ascii="Georgia" w:hAnsi="Georgia"/>
          <w:sz w:val="24"/>
          <w:szCs w:val="24"/>
        </w:rPr>
        <w:t xml:space="preserve">other 11 respondents were employed. </w:t>
      </w:r>
    </w:p>
    <w:p w14:paraId="1AB356AE" w14:textId="4AB2444C" w:rsidR="008568A7" w:rsidRPr="0052416F" w:rsidRDefault="008568A7" w:rsidP="0052416F">
      <w:pPr>
        <w:pStyle w:val="ListParagraph"/>
        <w:rPr>
          <w:rFonts w:ascii="Georgia" w:hAnsi="Georgia"/>
          <w:sz w:val="24"/>
          <w:szCs w:val="24"/>
        </w:rPr>
      </w:pPr>
    </w:p>
    <w:p w14:paraId="33F2F2F3" w14:textId="76376228" w:rsidR="008568A7" w:rsidRDefault="00E23403" w:rsidP="0052416F">
      <w:pPr>
        <w:pStyle w:val="ListParagraph"/>
        <w:rPr>
          <w:rFonts w:ascii="Georgia" w:hAnsi="Georgia"/>
          <w:sz w:val="24"/>
          <w:szCs w:val="24"/>
        </w:rPr>
      </w:pPr>
      <w:r w:rsidRPr="0052416F">
        <w:rPr>
          <w:rFonts w:ascii="Georgia" w:hAnsi="Georgia"/>
          <w:sz w:val="24"/>
          <w:szCs w:val="24"/>
        </w:rPr>
        <w:t>Co</w:t>
      </w:r>
      <w:r w:rsidR="008568A7" w:rsidRPr="0052416F">
        <w:rPr>
          <w:rFonts w:ascii="Georgia" w:hAnsi="Georgia"/>
          <w:sz w:val="24"/>
          <w:szCs w:val="24"/>
        </w:rPr>
        <w:t>g</w:t>
      </w:r>
      <w:r w:rsidRPr="0052416F">
        <w:rPr>
          <w:rFonts w:ascii="Georgia" w:hAnsi="Georgia"/>
          <w:sz w:val="24"/>
          <w:szCs w:val="24"/>
        </w:rPr>
        <w:t>n</w:t>
      </w:r>
      <w:r w:rsidR="008568A7" w:rsidRPr="0052416F">
        <w:rPr>
          <w:rFonts w:ascii="Georgia" w:hAnsi="Georgia"/>
          <w:sz w:val="24"/>
          <w:szCs w:val="24"/>
        </w:rPr>
        <w:t xml:space="preserve">itive interviews </w:t>
      </w:r>
      <w:r w:rsidRPr="0052416F">
        <w:rPr>
          <w:rFonts w:ascii="Georgia" w:hAnsi="Georgia"/>
          <w:sz w:val="24"/>
          <w:szCs w:val="24"/>
        </w:rPr>
        <w:t>lasted</w:t>
      </w:r>
      <w:r w:rsidR="008568A7" w:rsidRPr="0052416F">
        <w:rPr>
          <w:rFonts w:ascii="Georgia" w:hAnsi="Georgia"/>
          <w:sz w:val="24"/>
          <w:szCs w:val="24"/>
        </w:rPr>
        <w:t xml:space="preserve"> one hour</w:t>
      </w:r>
      <w:r w:rsidR="00095473">
        <w:rPr>
          <w:rFonts w:ascii="Georgia" w:hAnsi="Georgia"/>
          <w:sz w:val="24"/>
          <w:szCs w:val="24"/>
        </w:rPr>
        <w:t>,</w:t>
      </w:r>
      <w:r w:rsidR="008568A7" w:rsidRPr="0052416F">
        <w:rPr>
          <w:rFonts w:ascii="Georgia" w:hAnsi="Georgia"/>
          <w:sz w:val="24"/>
          <w:szCs w:val="24"/>
        </w:rPr>
        <w:t xml:space="preserve"> on average</w:t>
      </w:r>
      <w:r w:rsidR="00095473">
        <w:rPr>
          <w:rFonts w:ascii="Georgia" w:hAnsi="Georgia"/>
          <w:sz w:val="24"/>
          <w:szCs w:val="24"/>
        </w:rPr>
        <w:t>,</w:t>
      </w:r>
      <w:r w:rsidR="008568A7" w:rsidRPr="0052416F">
        <w:rPr>
          <w:rFonts w:ascii="Georgia" w:hAnsi="Georgia"/>
          <w:sz w:val="24"/>
          <w:szCs w:val="24"/>
        </w:rPr>
        <w:t xml:space="preserve"> with a minimum of 30 minutes for one interview </w:t>
      </w:r>
      <w:r w:rsidRPr="0052416F">
        <w:rPr>
          <w:rFonts w:ascii="Georgia" w:hAnsi="Georgia"/>
          <w:sz w:val="24"/>
          <w:szCs w:val="24"/>
        </w:rPr>
        <w:t>(</w:t>
      </w:r>
      <w:r w:rsidR="008568A7" w:rsidRPr="0052416F">
        <w:rPr>
          <w:rFonts w:ascii="Georgia" w:hAnsi="Georgia"/>
          <w:sz w:val="24"/>
          <w:szCs w:val="24"/>
        </w:rPr>
        <w:t>a VA employee who had to leave for an unscheduled meeting</w:t>
      </w:r>
      <w:r w:rsidRPr="0052416F">
        <w:rPr>
          <w:rFonts w:ascii="Georgia" w:hAnsi="Georgia"/>
          <w:sz w:val="24"/>
          <w:szCs w:val="24"/>
        </w:rPr>
        <w:t>)</w:t>
      </w:r>
      <w:r w:rsidR="00C42C28">
        <w:rPr>
          <w:rFonts w:ascii="Georgia" w:hAnsi="Georgia"/>
          <w:sz w:val="24"/>
          <w:szCs w:val="24"/>
        </w:rPr>
        <w:t>,</w:t>
      </w:r>
      <w:r w:rsidR="008568A7" w:rsidRPr="0052416F">
        <w:rPr>
          <w:rFonts w:ascii="Georgia" w:hAnsi="Georgia"/>
          <w:sz w:val="24"/>
          <w:szCs w:val="24"/>
        </w:rPr>
        <w:t xml:space="preserve"> and the longest interview was 93 minutes</w:t>
      </w:r>
      <w:r w:rsidR="00C42C28">
        <w:rPr>
          <w:rFonts w:ascii="Georgia" w:hAnsi="Georgia"/>
          <w:sz w:val="24"/>
          <w:szCs w:val="24"/>
        </w:rPr>
        <w:t>,</w:t>
      </w:r>
      <w:r w:rsidR="008568A7" w:rsidRPr="0052416F">
        <w:rPr>
          <w:rFonts w:ascii="Georgia" w:hAnsi="Georgia"/>
          <w:sz w:val="24"/>
          <w:szCs w:val="24"/>
        </w:rPr>
        <w:t xml:space="preserve"> which occurred early in the testing phase</w:t>
      </w:r>
      <w:r w:rsidR="00DD3077">
        <w:rPr>
          <w:rFonts w:ascii="Georgia" w:hAnsi="Georgia"/>
          <w:sz w:val="24"/>
          <w:szCs w:val="24"/>
        </w:rPr>
        <w:t xml:space="preserve"> when the instrument was longer</w:t>
      </w:r>
      <w:r w:rsidR="008568A7" w:rsidRPr="0052416F">
        <w:rPr>
          <w:rFonts w:ascii="Georgia" w:hAnsi="Georgia"/>
          <w:sz w:val="24"/>
          <w:szCs w:val="24"/>
        </w:rPr>
        <w:t xml:space="preserve">. </w:t>
      </w:r>
      <w:r w:rsidR="0014638C" w:rsidRPr="0052416F">
        <w:rPr>
          <w:rFonts w:ascii="Georgia" w:hAnsi="Georgia"/>
          <w:sz w:val="24"/>
          <w:szCs w:val="24"/>
        </w:rPr>
        <w:t>Three iterations of the survey instrument were used during pretesting.</w:t>
      </w:r>
    </w:p>
    <w:p w14:paraId="5C80E85B" w14:textId="4C478264" w:rsidR="00447883" w:rsidRDefault="00447883" w:rsidP="00FC5AB1">
      <w:pPr>
        <w:pStyle w:val="ListParagraph"/>
        <w:rPr>
          <w:rFonts w:ascii="Georgia" w:hAnsi="Georgia"/>
          <w:sz w:val="24"/>
          <w:szCs w:val="24"/>
        </w:rPr>
      </w:pPr>
    </w:p>
    <w:p w14:paraId="0AF67D6B" w14:textId="23B0AEE5" w:rsidR="0014638C" w:rsidRDefault="0014638C" w:rsidP="00FC5AB1">
      <w:pPr>
        <w:pStyle w:val="ListParagraph"/>
        <w:rPr>
          <w:rFonts w:ascii="Georgia" w:hAnsi="Georgia"/>
          <w:sz w:val="24"/>
          <w:szCs w:val="24"/>
        </w:rPr>
      </w:pPr>
      <w:r>
        <w:rPr>
          <w:rFonts w:ascii="Georgia" w:hAnsi="Georgia"/>
          <w:sz w:val="24"/>
          <w:szCs w:val="24"/>
        </w:rPr>
        <w:t xml:space="preserve">All interviews were conducted by phone and participants were informed about the interview being voluntary, the Privacy Act, and </w:t>
      </w:r>
      <w:r w:rsidR="006C026D">
        <w:rPr>
          <w:rFonts w:ascii="Georgia" w:hAnsi="Georgia"/>
          <w:sz w:val="24"/>
          <w:szCs w:val="24"/>
        </w:rPr>
        <w:t xml:space="preserve">assured that </w:t>
      </w:r>
      <w:r>
        <w:rPr>
          <w:rFonts w:ascii="Georgia" w:hAnsi="Georgia"/>
          <w:sz w:val="24"/>
          <w:szCs w:val="24"/>
        </w:rPr>
        <w:t xml:space="preserve">their information would not be attributed to them even to other researchers on the team or </w:t>
      </w:r>
      <w:r w:rsidR="006C026D">
        <w:rPr>
          <w:rFonts w:ascii="Georgia" w:hAnsi="Georgia"/>
          <w:sz w:val="24"/>
          <w:szCs w:val="24"/>
        </w:rPr>
        <w:t xml:space="preserve">program </w:t>
      </w:r>
      <w:r>
        <w:rPr>
          <w:rFonts w:ascii="Georgia" w:hAnsi="Georgia"/>
          <w:sz w:val="24"/>
          <w:szCs w:val="24"/>
        </w:rPr>
        <w:t xml:space="preserve">staff. When findings were discussed, </w:t>
      </w:r>
      <w:r w:rsidR="004E105D">
        <w:rPr>
          <w:rFonts w:ascii="Georgia" w:hAnsi="Georgia"/>
          <w:sz w:val="24"/>
          <w:szCs w:val="24"/>
        </w:rPr>
        <w:t xml:space="preserve">all respondents were referred to either by gender and branch of service or by their date of interview. At no point have their names been provided to anyone on the team in conjunction with their responses. </w:t>
      </w:r>
    </w:p>
    <w:p w14:paraId="537492DD" w14:textId="0334A6CA" w:rsidR="004E105D" w:rsidRDefault="004E105D" w:rsidP="00FC5AB1">
      <w:pPr>
        <w:pStyle w:val="ListParagraph"/>
        <w:rPr>
          <w:rFonts w:ascii="Georgia" w:hAnsi="Georgia"/>
          <w:sz w:val="24"/>
          <w:szCs w:val="24"/>
        </w:rPr>
      </w:pPr>
    </w:p>
    <w:p w14:paraId="15EF4DFB" w14:textId="123D16CD" w:rsidR="004E105D" w:rsidRDefault="004E105D" w:rsidP="00FC5AB1">
      <w:pPr>
        <w:pStyle w:val="ListParagraph"/>
        <w:rPr>
          <w:rFonts w:ascii="Georgia" w:hAnsi="Georgia"/>
          <w:sz w:val="24"/>
          <w:szCs w:val="24"/>
        </w:rPr>
      </w:pPr>
      <w:r>
        <w:rPr>
          <w:rFonts w:ascii="Georgia" w:hAnsi="Georgia"/>
          <w:sz w:val="24"/>
          <w:szCs w:val="24"/>
        </w:rPr>
        <w:t>The types of changes that were made during pretesting before finalizing the instrument draft are described below. It is important to note that</w:t>
      </w:r>
      <w:r w:rsidR="00C02933">
        <w:rPr>
          <w:rFonts w:ascii="Georgia" w:hAnsi="Georgia"/>
          <w:sz w:val="24"/>
          <w:szCs w:val="24"/>
        </w:rPr>
        <w:t>,</w:t>
      </w:r>
      <w:r>
        <w:rPr>
          <w:rFonts w:ascii="Georgia" w:hAnsi="Georgia"/>
          <w:sz w:val="24"/>
          <w:szCs w:val="24"/>
        </w:rPr>
        <w:t xml:space="preserve"> as with any research, there are limitation</w:t>
      </w:r>
      <w:r w:rsidR="009257AE">
        <w:rPr>
          <w:rFonts w:ascii="Georgia" w:hAnsi="Georgia"/>
          <w:sz w:val="24"/>
          <w:szCs w:val="24"/>
        </w:rPr>
        <w:t>s</w:t>
      </w:r>
      <w:r>
        <w:rPr>
          <w:rFonts w:ascii="Georgia" w:hAnsi="Georgia"/>
          <w:sz w:val="24"/>
          <w:szCs w:val="24"/>
        </w:rPr>
        <w:t xml:space="preserve"> in the findings. For this testing, the primary threat to validity is that the pretesting pool was not representative of the overall Veteran</w:t>
      </w:r>
      <w:r w:rsidR="009E7924">
        <w:rPr>
          <w:rFonts w:ascii="Georgia" w:hAnsi="Georgia"/>
          <w:sz w:val="24"/>
          <w:szCs w:val="24"/>
        </w:rPr>
        <w:t xml:space="preserve"> population</w:t>
      </w:r>
      <w:r>
        <w:rPr>
          <w:rFonts w:ascii="Georgia" w:hAnsi="Georgia"/>
          <w:sz w:val="24"/>
          <w:szCs w:val="24"/>
        </w:rPr>
        <w:t xml:space="preserve">. Specifically, the majority of the pretesting pool had </w:t>
      </w:r>
      <w:r w:rsidR="009257AE">
        <w:rPr>
          <w:rFonts w:ascii="Georgia" w:hAnsi="Georgia"/>
          <w:sz w:val="24"/>
          <w:szCs w:val="24"/>
        </w:rPr>
        <w:t xml:space="preserve">advanced </w:t>
      </w:r>
      <w:r>
        <w:rPr>
          <w:rFonts w:ascii="Georgia" w:hAnsi="Georgia"/>
          <w:sz w:val="24"/>
          <w:szCs w:val="24"/>
        </w:rPr>
        <w:t>degree</w:t>
      </w:r>
      <w:r w:rsidR="009257AE">
        <w:rPr>
          <w:rFonts w:ascii="Georgia" w:hAnsi="Georgia"/>
          <w:sz w:val="24"/>
          <w:szCs w:val="24"/>
        </w:rPr>
        <w:t>s</w:t>
      </w:r>
      <w:r>
        <w:rPr>
          <w:rFonts w:ascii="Georgia" w:hAnsi="Georgia"/>
          <w:sz w:val="24"/>
          <w:szCs w:val="24"/>
        </w:rPr>
        <w:t xml:space="preserve">. Many of the subjects had been officers which is </w:t>
      </w:r>
      <w:r w:rsidR="00DD3077">
        <w:rPr>
          <w:rFonts w:ascii="Georgia" w:hAnsi="Georgia"/>
          <w:sz w:val="24"/>
          <w:szCs w:val="24"/>
        </w:rPr>
        <w:t>disp</w:t>
      </w:r>
      <w:r w:rsidR="00486B8E">
        <w:rPr>
          <w:rFonts w:ascii="Georgia" w:hAnsi="Georgia"/>
          <w:sz w:val="24"/>
          <w:szCs w:val="24"/>
        </w:rPr>
        <w:t>r</w:t>
      </w:r>
      <w:r w:rsidR="00DD3077">
        <w:rPr>
          <w:rFonts w:ascii="Georgia" w:hAnsi="Georgia"/>
          <w:sz w:val="24"/>
          <w:szCs w:val="24"/>
        </w:rPr>
        <w:t>o</w:t>
      </w:r>
      <w:r w:rsidR="00486B8E">
        <w:rPr>
          <w:rFonts w:ascii="Georgia" w:hAnsi="Georgia"/>
          <w:sz w:val="24"/>
          <w:szCs w:val="24"/>
        </w:rPr>
        <w:t>po</w:t>
      </w:r>
      <w:r w:rsidR="00DD3077">
        <w:rPr>
          <w:rFonts w:ascii="Georgia" w:hAnsi="Georgia"/>
          <w:sz w:val="24"/>
          <w:szCs w:val="24"/>
        </w:rPr>
        <w:t>rtionate to the</w:t>
      </w:r>
      <w:r>
        <w:rPr>
          <w:rFonts w:ascii="Georgia" w:hAnsi="Georgia"/>
          <w:sz w:val="24"/>
          <w:szCs w:val="24"/>
        </w:rPr>
        <w:t xml:space="preserve"> 6% of Veterans </w:t>
      </w:r>
      <w:r w:rsidR="00DD3077">
        <w:rPr>
          <w:rFonts w:ascii="Georgia" w:hAnsi="Georgia"/>
          <w:sz w:val="24"/>
          <w:szCs w:val="24"/>
        </w:rPr>
        <w:t xml:space="preserve">overall </w:t>
      </w:r>
      <w:r>
        <w:rPr>
          <w:rFonts w:ascii="Georgia" w:hAnsi="Georgia"/>
          <w:sz w:val="24"/>
          <w:szCs w:val="24"/>
        </w:rPr>
        <w:t>who had been officers.</w:t>
      </w:r>
      <w:r w:rsidR="008A7DAD">
        <w:rPr>
          <w:rStyle w:val="FootnoteReference"/>
          <w:rFonts w:ascii="Georgia" w:hAnsi="Georgia"/>
          <w:sz w:val="24"/>
          <w:szCs w:val="24"/>
        </w:rPr>
        <w:footnoteReference w:id="1"/>
      </w:r>
      <w:r>
        <w:rPr>
          <w:rFonts w:ascii="Georgia" w:hAnsi="Georgia"/>
          <w:sz w:val="24"/>
          <w:szCs w:val="24"/>
        </w:rPr>
        <w:t xml:space="preserve"> These </w:t>
      </w:r>
      <w:r w:rsidR="00DB13C6">
        <w:rPr>
          <w:rFonts w:ascii="Georgia" w:hAnsi="Georgia"/>
          <w:sz w:val="24"/>
          <w:szCs w:val="24"/>
        </w:rPr>
        <w:t>disparate proportions</w:t>
      </w:r>
      <w:r>
        <w:rPr>
          <w:rFonts w:ascii="Georgia" w:hAnsi="Georgia"/>
          <w:sz w:val="24"/>
          <w:szCs w:val="24"/>
        </w:rPr>
        <w:t xml:space="preserve"> are offset by the fact that recent Servicemembers are required to have a high school equivalent, so the literacy rate and English fluency is expected to be higher </w:t>
      </w:r>
      <w:r w:rsidR="0070674E">
        <w:rPr>
          <w:rFonts w:ascii="Georgia" w:hAnsi="Georgia"/>
          <w:sz w:val="24"/>
          <w:szCs w:val="24"/>
        </w:rPr>
        <w:t xml:space="preserve">among Servicemembers </w:t>
      </w:r>
      <w:r>
        <w:rPr>
          <w:rFonts w:ascii="Georgia" w:hAnsi="Georgia"/>
          <w:sz w:val="24"/>
          <w:szCs w:val="24"/>
        </w:rPr>
        <w:t>than the general population.</w:t>
      </w:r>
    </w:p>
    <w:p w14:paraId="3BEFA267" w14:textId="77777777" w:rsidR="0052416F" w:rsidRDefault="0052416F" w:rsidP="00FC5AB1">
      <w:pPr>
        <w:pStyle w:val="ListParagraph"/>
        <w:rPr>
          <w:rFonts w:ascii="Georgia" w:hAnsi="Georgia"/>
          <w:sz w:val="24"/>
          <w:szCs w:val="24"/>
        </w:rPr>
      </w:pPr>
    </w:p>
    <w:p w14:paraId="788AAF47" w14:textId="52A24A08" w:rsidR="0057438F" w:rsidRDefault="0057438F" w:rsidP="00FC5AB1">
      <w:pPr>
        <w:pStyle w:val="ListParagraph"/>
        <w:rPr>
          <w:rFonts w:ascii="Georgia" w:hAnsi="Georgia"/>
          <w:sz w:val="24"/>
          <w:szCs w:val="24"/>
        </w:rPr>
      </w:pPr>
      <w:r>
        <w:rPr>
          <w:rFonts w:ascii="Georgia" w:hAnsi="Georgia"/>
          <w:sz w:val="24"/>
          <w:szCs w:val="24"/>
        </w:rPr>
        <w:t xml:space="preserve">Another limitation is that only </w:t>
      </w:r>
      <w:r w:rsidRPr="00BC1E07">
        <w:rPr>
          <w:rFonts w:ascii="Georgia" w:hAnsi="Georgia"/>
          <w:sz w:val="24"/>
          <w:szCs w:val="24"/>
        </w:rPr>
        <w:t>three</w:t>
      </w:r>
      <w:r w:rsidR="00486B8E">
        <w:rPr>
          <w:rFonts w:ascii="Georgia" w:hAnsi="Georgia"/>
          <w:sz w:val="24"/>
          <w:szCs w:val="24"/>
        </w:rPr>
        <w:t xml:space="preserve"> (3)</w:t>
      </w:r>
      <w:r>
        <w:rPr>
          <w:rFonts w:ascii="Georgia" w:hAnsi="Georgia"/>
          <w:sz w:val="24"/>
          <w:szCs w:val="24"/>
        </w:rPr>
        <w:t xml:space="preserve"> people had </w:t>
      </w:r>
      <w:r w:rsidR="006C05C7">
        <w:rPr>
          <w:rFonts w:ascii="Georgia" w:hAnsi="Georgia"/>
          <w:sz w:val="24"/>
          <w:szCs w:val="24"/>
        </w:rPr>
        <w:t xml:space="preserve">attended </w:t>
      </w:r>
      <w:r>
        <w:rPr>
          <w:rFonts w:ascii="Georgia" w:hAnsi="Georgia"/>
          <w:sz w:val="24"/>
          <w:szCs w:val="24"/>
        </w:rPr>
        <w:t xml:space="preserve">TAP </w:t>
      </w:r>
      <w:r w:rsidR="006C05C7" w:rsidRPr="00486B8E">
        <w:rPr>
          <w:rFonts w:ascii="Georgia" w:hAnsi="Georgia"/>
          <w:sz w:val="24"/>
          <w:szCs w:val="24"/>
        </w:rPr>
        <w:t>training</w:t>
      </w:r>
      <w:r w:rsidR="006C05C7">
        <w:rPr>
          <w:rFonts w:ascii="Georgia" w:hAnsi="Georgia"/>
          <w:sz w:val="24"/>
          <w:szCs w:val="24"/>
        </w:rPr>
        <w:t xml:space="preserve"> </w:t>
      </w:r>
      <w:r>
        <w:rPr>
          <w:rFonts w:ascii="Georgia" w:hAnsi="Georgia"/>
          <w:sz w:val="24"/>
          <w:szCs w:val="24"/>
        </w:rPr>
        <w:t xml:space="preserve">within the </w:t>
      </w:r>
      <w:r w:rsidR="002F1880">
        <w:rPr>
          <w:rFonts w:ascii="Georgia" w:hAnsi="Georgia"/>
          <w:sz w:val="24"/>
          <w:szCs w:val="24"/>
        </w:rPr>
        <w:t>3</w:t>
      </w:r>
      <w:r>
        <w:rPr>
          <w:rFonts w:ascii="Georgia" w:hAnsi="Georgia"/>
          <w:sz w:val="24"/>
          <w:szCs w:val="24"/>
        </w:rPr>
        <w:t>-year reference period targeted for this study.</w:t>
      </w:r>
      <w:r w:rsidR="00DD3077">
        <w:rPr>
          <w:rFonts w:ascii="Georgia" w:hAnsi="Georgia"/>
          <w:sz w:val="24"/>
          <w:szCs w:val="24"/>
        </w:rPr>
        <w:t xml:space="preserve"> The</w:t>
      </w:r>
      <w:r w:rsidR="009E7924">
        <w:rPr>
          <w:rFonts w:ascii="Georgia" w:hAnsi="Georgia"/>
          <w:sz w:val="24"/>
          <w:szCs w:val="24"/>
        </w:rPr>
        <w:t xml:space="preserve"> current</w:t>
      </w:r>
      <w:r w:rsidR="00DD3077">
        <w:rPr>
          <w:rFonts w:ascii="Georgia" w:hAnsi="Georgia"/>
          <w:sz w:val="24"/>
          <w:szCs w:val="24"/>
        </w:rPr>
        <w:t xml:space="preserve"> TAP curriculum differs </w:t>
      </w:r>
      <w:r w:rsidR="009E7924">
        <w:rPr>
          <w:rFonts w:ascii="Georgia" w:hAnsi="Georgia"/>
          <w:sz w:val="24"/>
          <w:szCs w:val="24"/>
        </w:rPr>
        <w:t>from</w:t>
      </w:r>
      <w:r w:rsidR="00DD3077">
        <w:rPr>
          <w:rFonts w:ascii="Georgia" w:hAnsi="Georgia"/>
          <w:sz w:val="24"/>
          <w:szCs w:val="24"/>
        </w:rPr>
        <w:t xml:space="preserve"> earlier versions.</w:t>
      </w:r>
      <w:r>
        <w:rPr>
          <w:rFonts w:ascii="Georgia" w:hAnsi="Georgia"/>
          <w:sz w:val="24"/>
          <w:szCs w:val="24"/>
        </w:rPr>
        <w:t xml:space="preserve"> </w:t>
      </w:r>
      <w:r w:rsidR="00DD3077">
        <w:rPr>
          <w:rFonts w:ascii="Georgia" w:hAnsi="Georgia"/>
          <w:sz w:val="24"/>
          <w:szCs w:val="24"/>
        </w:rPr>
        <w:t xml:space="preserve">There </w:t>
      </w:r>
      <w:r>
        <w:rPr>
          <w:rFonts w:ascii="Georgia" w:hAnsi="Georgia"/>
          <w:sz w:val="24"/>
          <w:szCs w:val="24"/>
        </w:rPr>
        <w:t xml:space="preserve">is also recall bias with much of the content occurring </w:t>
      </w:r>
      <w:r w:rsidR="00483F02">
        <w:rPr>
          <w:rFonts w:ascii="Georgia" w:hAnsi="Georgia"/>
          <w:sz w:val="24"/>
          <w:szCs w:val="24"/>
        </w:rPr>
        <w:t>in the past</w:t>
      </w:r>
      <w:r>
        <w:rPr>
          <w:rFonts w:ascii="Georgia" w:hAnsi="Georgia"/>
          <w:sz w:val="24"/>
          <w:szCs w:val="24"/>
        </w:rPr>
        <w:t xml:space="preserve">. However, </w:t>
      </w:r>
      <w:r w:rsidR="00483F02">
        <w:rPr>
          <w:rFonts w:ascii="Georgia" w:hAnsi="Georgia"/>
          <w:sz w:val="24"/>
          <w:szCs w:val="24"/>
        </w:rPr>
        <w:t xml:space="preserve">all test subjects </w:t>
      </w:r>
      <w:r w:rsidR="008712ED">
        <w:rPr>
          <w:rFonts w:ascii="Georgia" w:hAnsi="Georgia"/>
          <w:sz w:val="24"/>
          <w:szCs w:val="24"/>
        </w:rPr>
        <w:t>had sufficient recall of</w:t>
      </w:r>
      <w:r w:rsidR="00483F02">
        <w:rPr>
          <w:rFonts w:ascii="Georgia" w:hAnsi="Georgia"/>
          <w:sz w:val="24"/>
          <w:szCs w:val="24"/>
        </w:rPr>
        <w:t xml:space="preserve"> the TAP curriculum that </w:t>
      </w:r>
      <w:r w:rsidR="0052416F">
        <w:rPr>
          <w:rFonts w:ascii="Georgia" w:hAnsi="Georgia"/>
          <w:sz w:val="24"/>
          <w:szCs w:val="24"/>
        </w:rPr>
        <w:t>their feedback</w:t>
      </w:r>
      <w:r w:rsidR="00483F02">
        <w:rPr>
          <w:rFonts w:ascii="Georgia" w:hAnsi="Georgia"/>
          <w:sz w:val="24"/>
          <w:szCs w:val="24"/>
        </w:rPr>
        <w:t xml:space="preserve"> provided </w:t>
      </w:r>
      <w:r w:rsidR="0052416F">
        <w:rPr>
          <w:rFonts w:ascii="Georgia" w:hAnsi="Georgia"/>
          <w:sz w:val="24"/>
          <w:szCs w:val="24"/>
        </w:rPr>
        <w:t>was</w:t>
      </w:r>
      <w:r w:rsidR="00483F02">
        <w:rPr>
          <w:rFonts w:ascii="Georgia" w:hAnsi="Georgia"/>
          <w:sz w:val="24"/>
          <w:szCs w:val="24"/>
        </w:rPr>
        <w:t xml:space="preserve"> applicable</w:t>
      </w:r>
      <w:r>
        <w:rPr>
          <w:rFonts w:ascii="Georgia" w:hAnsi="Georgia"/>
          <w:sz w:val="24"/>
          <w:szCs w:val="24"/>
        </w:rPr>
        <w:t>.</w:t>
      </w:r>
    </w:p>
    <w:p w14:paraId="019F8744" w14:textId="524EA503" w:rsidR="0057438F" w:rsidRDefault="0057438F" w:rsidP="00FC5AB1">
      <w:pPr>
        <w:pStyle w:val="ListParagraph"/>
        <w:rPr>
          <w:rFonts w:ascii="Georgia" w:hAnsi="Georgia"/>
          <w:sz w:val="24"/>
          <w:szCs w:val="24"/>
        </w:rPr>
      </w:pPr>
    </w:p>
    <w:p w14:paraId="2E1D52FC" w14:textId="2DA9F2AF" w:rsidR="0057438F" w:rsidRDefault="0057438F" w:rsidP="00FC5AB1">
      <w:pPr>
        <w:pStyle w:val="ListParagraph"/>
        <w:rPr>
          <w:rFonts w:ascii="Georgia" w:hAnsi="Georgia"/>
          <w:sz w:val="24"/>
          <w:szCs w:val="24"/>
        </w:rPr>
      </w:pPr>
      <w:r>
        <w:rPr>
          <w:rFonts w:ascii="Georgia" w:hAnsi="Georgia"/>
          <w:sz w:val="24"/>
          <w:szCs w:val="24"/>
        </w:rPr>
        <w:t>The overarching concern from all respondents was the length of the survey itself. Although the subjects were informed that cognitive interviews by nature are longer than the time it takes to complete a self-administered survey, a frequent comment was that there were too many topics being covered in the survey. As a result</w:t>
      </w:r>
      <w:r w:rsidR="00486B8E">
        <w:rPr>
          <w:rFonts w:ascii="Georgia" w:hAnsi="Georgia"/>
          <w:sz w:val="24"/>
          <w:szCs w:val="24"/>
        </w:rPr>
        <w:t>,</w:t>
      </w:r>
      <w:r w:rsidR="008311AA">
        <w:rPr>
          <w:rFonts w:ascii="Georgia" w:hAnsi="Georgia"/>
          <w:sz w:val="24"/>
          <w:szCs w:val="24"/>
        </w:rPr>
        <w:t xml:space="preserve"> </w:t>
      </w:r>
      <w:r>
        <w:rPr>
          <w:rFonts w:ascii="Georgia" w:hAnsi="Georgia"/>
          <w:sz w:val="24"/>
          <w:szCs w:val="24"/>
        </w:rPr>
        <w:t>questions were cut from certain sections.</w:t>
      </w:r>
    </w:p>
    <w:p w14:paraId="0DED333C" w14:textId="26220C0A" w:rsidR="0014638C" w:rsidRDefault="0014638C" w:rsidP="00FC5AB1">
      <w:pPr>
        <w:pStyle w:val="ListParagraph"/>
        <w:rPr>
          <w:rFonts w:ascii="Georgia" w:hAnsi="Georgia"/>
          <w:sz w:val="24"/>
          <w:szCs w:val="24"/>
        </w:rPr>
      </w:pPr>
    </w:p>
    <w:p w14:paraId="42445175" w14:textId="5EFCEE29" w:rsidR="00862B83" w:rsidRDefault="0057438F" w:rsidP="00FC5AB1">
      <w:pPr>
        <w:pStyle w:val="ListParagraph"/>
        <w:rPr>
          <w:rFonts w:ascii="Georgia" w:hAnsi="Georgia"/>
          <w:sz w:val="24"/>
          <w:szCs w:val="24"/>
        </w:rPr>
      </w:pPr>
      <w:r>
        <w:rPr>
          <w:rFonts w:ascii="Georgia" w:hAnsi="Georgia"/>
          <w:sz w:val="24"/>
          <w:szCs w:val="24"/>
        </w:rPr>
        <w:t>Another technique was used to minimize the cognitive burden was to add language to make a transition clearer when the instrument switched from questions focused on TAP to the outcome portion. The final transition now reads:</w:t>
      </w:r>
    </w:p>
    <w:p w14:paraId="57AE2AA1" w14:textId="5CC07206" w:rsidR="00CB5FA3" w:rsidRDefault="00CB5FA3" w:rsidP="00FC5AB1">
      <w:pPr>
        <w:pStyle w:val="ListParagraph"/>
        <w:rPr>
          <w:rFonts w:ascii="Georgia" w:hAnsi="Georgia"/>
          <w:sz w:val="24"/>
          <w:szCs w:val="24"/>
        </w:rPr>
      </w:pPr>
    </w:p>
    <w:p w14:paraId="1386CD0C" w14:textId="4EA01756" w:rsidR="00CB5FA3" w:rsidRPr="00F244AE" w:rsidRDefault="00314F80" w:rsidP="00F244AE">
      <w:pPr>
        <w:pStyle w:val="NoSpacing"/>
        <w:ind w:left="1440" w:right="720"/>
        <w:rPr>
          <w:rFonts w:ascii="Georgia" w:hAnsi="Georgia"/>
          <w:i/>
          <w:sz w:val="24"/>
          <w:szCs w:val="24"/>
        </w:rPr>
      </w:pPr>
      <w:r>
        <w:rPr>
          <w:rFonts w:ascii="Georgia" w:hAnsi="Georgia"/>
          <w:i/>
          <w:sz w:val="24"/>
          <w:szCs w:val="24"/>
        </w:rPr>
        <w:t>“</w:t>
      </w:r>
      <w:r w:rsidR="00CB5FA3" w:rsidRPr="00F244AE">
        <w:rPr>
          <w:rFonts w:ascii="Georgia" w:hAnsi="Georgia"/>
          <w:i/>
          <w:sz w:val="24"/>
          <w:szCs w:val="24"/>
        </w:rPr>
        <w:t xml:space="preserve">The transition process is much more than just what you learned in the classroom. VA is not only interested in what you learned but more importantly, how the information you received is impacting your life as a civilian. Our goal is to make sure that we provide you the necessary information and support to make a successful transition from a military member to part of the civilian population.  </w:t>
      </w:r>
    </w:p>
    <w:p w14:paraId="3575013A" w14:textId="77777777" w:rsidR="00CB5FA3" w:rsidRPr="00F244AE" w:rsidRDefault="00CB5FA3" w:rsidP="00F244AE">
      <w:pPr>
        <w:pStyle w:val="NoSpacing"/>
        <w:ind w:left="1440" w:right="720"/>
        <w:rPr>
          <w:rFonts w:ascii="Georgia" w:hAnsi="Georgia"/>
          <w:i/>
          <w:sz w:val="24"/>
          <w:szCs w:val="24"/>
        </w:rPr>
      </w:pPr>
    </w:p>
    <w:p w14:paraId="64BCECED" w14:textId="35D3E637" w:rsidR="00CB5FA3" w:rsidRPr="00F244AE" w:rsidRDefault="00CB5FA3" w:rsidP="00F244AE">
      <w:pPr>
        <w:pStyle w:val="NoSpacing"/>
        <w:ind w:left="1440" w:right="720"/>
        <w:rPr>
          <w:rFonts w:ascii="Georgia" w:hAnsi="Georgia"/>
          <w:i/>
          <w:sz w:val="24"/>
          <w:szCs w:val="24"/>
        </w:rPr>
      </w:pPr>
      <w:r w:rsidRPr="00F244AE">
        <w:rPr>
          <w:rFonts w:ascii="Georgia" w:hAnsi="Georgia"/>
          <w:i/>
          <w:sz w:val="24"/>
          <w:szCs w:val="24"/>
        </w:rPr>
        <w:t xml:space="preserve">To help us determine how we can better serve Veterans and transitioning </w:t>
      </w:r>
      <w:r w:rsidR="00F244AE">
        <w:rPr>
          <w:rFonts w:ascii="Georgia" w:hAnsi="Georgia"/>
          <w:i/>
          <w:sz w:val="24"/>
          <w:szCs w:val="24"/>
        </w:rPr>
        <w:t>S</w:t>
      </w:r>
      <w:r w:rsidR="00F244AE" w:rsidRPr="00F244AE">
        <w:rPr>
          <w:rFonts w:ascii="Georgia" w:hAnsi="Georgia"/>
          <w:i/>
          <w:sz w:val="24"/>
          <w:szCs w:val="24"/>
        </w:rPr>
        <w:t>ervicemembers</w:t>
      </w:r>
      <w:r w:rsidRPr="00F244AE">
        <w:rPr>
          <w:rFonts w:ascii="Georgia" w:hAnsi="Georgia"/>
          <w:i/>
          <w:sz w:val="24"/>
          <w:szCs w:val="24"/>
        </w:rPr>
        <w:t>, these next sections will be asking about some key life areas, such as employment, education, and training after separation, retirement, or release from active duty service as well as some health, financial, and social relationship questions.</w:t>
      </w:r>
      <w:r w:rsidR="00314F80">
        <w:rPr>
          <w:rFonts w:ascii="Georgia" w:hAnsi="Georgia"/>
          <w:i/>
          <w:sz w:val="24"/>
          <w:szCs w:val="24"/>
        </w:rPr>
        <w:t>”</w:t>
      </w:r>
      <w:r w:rsidRPr="00F244AE">
        <w:rPr>
          <w:rFonts w:ascii="Georgia" w:hAnsi="Georgia"/>
          <w:i/>
          <w:sz w:val="24"/>
          <w:szCs w:val="24"/>
        </w:rPr>
        <w:t xml:space="preserve"> </w:t>
      </w:r>
    </w:p>
    <w:p w14:paraId="5DE32C57" w14:textId="77777777" w:rsidR="00CB5FA3" w:rsidRDefault="00CB5FA3" w:rsidP="00FC5AB1">
      <w:pPr>
        <w:pStyle w:val="ListParagraph"/>
        <w:rPr>
          <w:rFonts w:ascii="Georgia" w:hAnsi="Georgia"/>
          <w:sz w:val="24"/>
          <w:szCs w:val="24"/>
        </w:rPr>
      </w:pPr>
    </w:p>
    <w:p w14:paraId="37367783" w14:textId="166CAE84" w:rsidR="00AE10F7" w:rsidRDefault="00314F80" w:rsidP="00FC5AB1">
      <w:pPr>
        <w:pStyle w:val="ListParagraph"/>
        <w:rPr>
          <w:rFonts w:ascii="Georgia" w:hAnsi="Georgia"/>
          <w:sz w:val="24"/>
          <w:szCs w:val="24"/>
        </w:rPr>
      </w:pPr>
      <w:r>
        <w:rPr>
          <w:rFonts w:ascii="Georgia" w:hAnsi="Georgia"/>
          <w:sz w:val="24"/>
          <w:szCs w:val="24"/>
        </w:rPr>
        <w:t xml:space="preserve">Other areas of the survey that were modified </w:t>
      </w:r>
      <w:r w:rsidR="00AE10F7">
        <w:rPr>
          <w:rFonts w:ascii="Georgia" w:hAnsi="Georgia"/>
          <w:sz w:val="24"/>
          <w:szCs w:val="24"/>
        </w:rPr>
        <w:t xml:space="preserve">include: </w:t>
      </w:r>
    </w:p>
    <w:p w14:paraId="130531EF" w14:textId="77777777" w:rsidR="00314F80" w:rsidRPr="00AE10F7" w:rsidRDefault="00314F80" w:rsidP="00AE10F7">
      <w:pPr>
        <w:rPr>
          <w:rFonts w:ascii="Georgia" w:hAnsi="Georgia"/>
          <w:sz w:val="24"/>
          <w:szCs w:val="24"/>
        </w:rPr>
      </w:pPr>
    </w:p>
    <w:p w14:paraId="08B5F99D" w14:textId="3F402BF4" w:rsidR="005A408B" w:rsidRDefault="00AE10F7" w:rsidP="005A408B">
      <w:pPr>
        <w:pStyle w:val="ListParagraph"/>
        <w:numPr>
          <w:ilvl w:val="0"/>
          <w:numId w:val="13"/>
        </w:numPr>
        <w:rPr>
          <w:rFonts w:ascii="Georgia" w:hAnsi="Georgia"/>
          <w:sz w:val="24"/>
          <w:szCs w:val="24"/>
        </w:rPr>
      </w:pPr>
      <w:r>
        <w:rPr>
          <w:rFonts w:ascii="Georgia" w:hAnsi="Georgia"/>
          <w:sz w:val="24"/>
          <w:szCs w:val="24"/>
        </w:rPr>
        <w:t xml:space="preserve">Utilizing more cues to help respondent recall. For example, official TAP modules were listed in the instrument, but parenthetical examples were added such as “Boots to Business” </w:t>
      </w:r>
      <w:r w:rsidR="005A408B">
        <w:rPr>
          <w:rFonts w:ascii="Georgia" w:hAnsi="Georgia"/>
          <w:sz w:val="24"/>
          <w:szCs w:val="24"/>
        </w:rPr>
        <w:t xml:space="preserve">to help the Entrepreneurship track resonate for respondents. Similarly, </w:t>
      </w:r>
      <w:r w:rsidR="005A408B" w:rsidRPr="00CB5FA3">
        <w:rPr>
          <w:rFonts w:ascii="Georgia" w:hAnsi="Georgia"/>
          <w:sz w:val="24"/>
          <w:szCs w:val="24"/>
        </w:rPr>
        <w:t xml:space="preserve">“GI Bill” </w:t>
      </w:r>
      <w:r w:rsidR="005A408B">
        <w:rPr>
          <w:rFonts w:ascii="Georgia" w:hAnsi="Georgia"/>
          <w:sz w:val="24"/>
          <w:szCs w:val="24"/>
        </w:rPr>
        <w:t xml:space="preserve">was added as an example in the section on the instrument measuring knowledge and utilization of </w:t>
      </w:r>
      <w:r w:rsidR="005A408B" w:rsidRPr="00CB5FA3">
        <w:rPr>
          <w:rFonts w:ascii="Georgia" w:hAnsi="Georgia"/>
          <w:sz w:val="24"/>
          <w:szCs w:val="24"/>
        </w:rPr>
        <w:t>VA benefits</w:t>
      </w:r>
      <w:r w:rsidR="005A408B">
        <w:rPr>
          <w:rFonts w:ascii="Georgia" w:hAnsi="Georgia"/>
          <w:sz w:val="24"/>
          <w:szCs w:val="24"/>
        </w:rPr>
        <w:t>.</w:t>
      </w:r>
      <w:r w:rsidR="005A408B" w:rsidRPr="00CB5FA3">
        <w:rPr>
          <w:rFonts w:ascii="Georgia" w:hAnsi="Georgia"/>
          <w:sz w:val="24"/>
          <w:szCs w:val="24"/>
        </w:rPr>
        <w:t xml:space="preserve"> </w:t>
      </w:r>
    </w:p>
    <w:p w14:paraId="3658111D" w14:textId="5588A7E0" w:rsidR="007D7757" w:rsidRPr="007D7757" w:rsidRDefault="007D7757" w:rsidP="007D7757">
      <w:pPr>
        <w:pStyle w:val="ListParagraph"/>
        <w:numPr>
          <w:ilvl w:val="0"/>
          <w:numId w:val="13"/>
        </w:numPr>
        <w:rPr>
          <w:rFonts w:ascii="Georgia" w:hAnsi="Georgia"/>
          <w:sz w:val="24"/>
          <w:szCs w:val="24"/>
        </w:rPr>
      </w:pPr>
      <w:r>
        <w:rPr>
          <w:rFonts w:ascii="Georgia" w:hAnsi="Georgia"/>
          <w:sz w:val="24"/>
          <w:szCs w:val="24"/>
        </w:rPr>
        <w:t xml:space="preserve">Career training has the formal name of </w:t>
      </w:r>
      <w:r w:rsidRPr="007D7757">
        <w:rPr>
          <w:rFonts w:ascii="Georgia" w:hAnsi="Georgia"/>
          <w:sz w:val="24"/>
          <w:szCs w:val="24"/>
        </w:rPr>
        <w:t xml:space="preserve">Career Credentialing and Apprenticeship </w:t>
      </w:r>
      <w:r w:rsidR="002F1880">
        <w:rPr>
          <w:rFonts w:ascii="Georgia" w:hAnsi="Georgia"/>
          <w:sz w:val="24"/>
          <w:szCs w:val="24"/>
        </w:rPr>
        <w:t>t</w:t>
      </w:r>
      <w:r w:rsidR="002F1880" w:rsidRPr="007D7757">
        <w:rPr>
          <w:rFonts w:ascii="Georgia" w:hAnsi="Georgia"/>
          <w:sz w:val="24"/>
          <w:szCs w:val="24"/>
        </w:rPr>
        <w:t>rack</w:t>
      </w:r>
      <w:r>
        <w:rPr>
          <w:rFonts w:ascii="Georgia" w:hAnsi="Georgia"/>
          <w:sz w:val="24"/>
          <w:szCs w:val="24"/>
        </w:rPr>
        <w:t>, but it has changed names several times. As a result, the parenthetical for this item now includes all titles elicited from pretesting subjects. The examples now include:</w:t>
      </w:r>
      <w:r w:rsidRPr="007D7757">
        <w:rPr>
          <w:rFonts w:ascii="Georgia" w:hAnsi="Georgia"/>
          <w:sz w:val="24"/>
          <w:szCs w:val="24"/>
        </w:rPr>
        <w:t xml:space="preserve"> </w:t>
      </w:r>
      <w:r>
        <w:rPr>
          <w:rFonts w:ascii="Georgia" w:hAnsi="Georgia"/>
          <w:sz w:val="24"/>
          <w:szCs w:val="24"/>
        </w:rPr>
        <w:t>“</w:t>
      </w:r>
      <w:r w:rsidRPr="007D7757">
        <w:rPr>
          <w:rFonts w:ascii="Georgia" w:hAnsi="Georgia"/>
          <w:sz w:val="24"/>
          <w:szCs w:val="24"/>
        </w:rPr>
        <w:t>CT3, previously called CTT or sometimes “career training track</w:t>
      </w:r>
      <w:r>
        <w:rPr>
          <w:rFonts w:ascii="Georgia" w:hAnsi="Georgia"/>
          <w:sz w:val="24"/>
          <w:szCs w:val="24"/>
        </w:rPr>
        <w:t>.</w:t>
      </w:r>
      <w:r w:rsidRPr="007D7757">
        <w:rPr>
          <w:rFonts w:ascii="Georgia" w:hAnsi="Georgia"/>
          <w:sz w:val="24"/>
          <w:szCs w:val="24"/>
        </w:rPr>
        <w:t>”</w:t>
      </w:r>
    </w:p>
    <w:p w14:paraId="4869AA53" w14:textId="0CB9B7B4" w:rsidR="00AE10F7" w:rsidRDefault="005A408B" w:rsidP="00AE10F7">
      <w:pPr>
        <w:pStyle w:val="ListParagraph"/>
        <w:numPr>
          <w:ilvl w:val="0"/>
          <w:numId w:val="13"/>
        </w:numPr>
        <w:rPr>
          <w:rFonts w:ascii="Georgia" w:hAnsi="Georgia"/>
          <w:sz w:val="24"/>
          <w:szCs w:val="24"/>
        </w:rPr>
      </w:pPr>
      <w:r>
        <w:rPr>
          <w:rFonts w:ascii="Georgia" w:hAnsi="Georgia"/>
          <w:sz w:val="24"/>
          <w:szCs w:val="24"/>
        </w:rPr>
        <w:t>VA Advisor was ultimately changed to “VA Benefits Advisor (VA Rep).” These advisors were generally not understood by most respondents, but inserting “benefits” before advisor helped to clarify the person who most respondents called a “VA Rep” when this item was included as a probe for all testing subjects.</w:t>
      </w:r>
    </w:p>
    <w:p w14:paraId="1326EB87" w14:textId="0575361E" w:rsidR="005A408B" w:rsidRDefault="005A408B" w:rsidP="005A408B">
      <w:pPr>
        <w:pStyle w:val="ListParagraph"/>
        <w:numPr>
          <w:ilvl w:val="0"/>
          <w:numId w:val="13"/>
        </w:numPr>
        <w:rPr>
          <w:rFonts w:ascii="Georgia" w:hAnsi="Georgia"/>
          <w:sz w:val="24"/>
          <w:szCs w:val="24"/>
        </w:rPr>
      </w:pPr>
      <w:r>
        <w:rPr>
          <w:rFonts w:ascii="Georgia" w:hAnsi="Georgia"/>
          <w:sz w:val="24"/>
          <w:szCs w:val="24"/>
        </w:rPr>
        <w:t>When asking about the Veteran’s “job” initial consideration was whether this should be “first” job or “current” job. When this was left as simply “job” for respondents</w:t>
      </w:r>
      <w:r w:rsidR="00E017F2">
        <w:rPr>
          <w:rFonts w:ascii="Georgia" w:hAnsi="Georgia"/>
          <w:sz w:val="24"/>
          <w:szCs w:val="24"/>
        </w:rPr>
        <w:t>,</w:t>
      </w:r>
      <w:r>
        <w:rPr>
          <w:rFonts w:ascii="Georgia" w:hAnsi="Georgia"/>
          <w:sz w:val="24"/>
          <w:szCs w:val="24"/>
        </w:rPr>
        <w:t xml:space="preserve"> it was not clear if this could be what was described </w:t>
      </w:r>
      <w:r w:rsidR="00E017F2">
        <w:rPr>
          <w:rFonts w:ascii="Georgia" w:hAnsi="Georgia"/>
          <w:sz w:val="24"/>
          <w:szCs w:val="24"/>
        </w:rPr>
        <w:t xml:space="preserve">by </w:t>
      </w:r>
      <w:r>
        <w:rPr>
          <w:rFonts w:ascii="Georgia" w:hAnsi="Georgia"/>
          <w:sz w:val="24"/>
          <w:szCs w:val="24"/>
        </w:rPr>
        <w:t>one respondent as, “It didn’t take me long to find odd jobs to pay for school, but I now have what I consider to be my career after completing college and graduate school after leaving service.” The final phrasing of this question states “current” job.</w:t>
      </w:r>
    </w:p>
    <w:p w14:paraId="675715B8" w14:textId="42A76286" w:rsidR="005A408B" w:rsidRPr="007D7757" w:rsidRDefault="005A408B" w:rsidP="007D7757">
      <w:pPr>
        <w:pStyle w:val="ListParagraph"/>
        <w:numPr>
          <w:ilvl w:val="0"/>
          <w:numId w:val="13"/>
        </w:numPr>
        <w:rPr>
          <w:rFonts w:ascii="Georgia" w:hAnsi="Georgia"/>
          <w:sz w:val="24"/>
          <w:szCs w:val="24"/>
        </w:rPr>
      </w:pPr>
      <w:r>
        <w:rPr>
          <w:rFonts w:ascii="Georgia" w:hAnsi="Georgia"/>
          <w:sz w:val="24"/>
          <w:szCs w:val="24"/>
        </w:rPr>
        <w:t>Response options for reasons for looking for a new job</w:t>
      </w:r>
      <w:r w:rsidR="0095612F">
        <w:rPr>
          <w:rFonts w:ascii="Georgia" w:hAnsi="Georgia"/>
          <w:sz w:val="24"/>
          <w:szCs w:val="24"/>
        </w:rPr>
        <w:t xml:space="preserve"> </w:t>
      </w:r>
      <w:r>
        <w:rPr>
          <w:rFonts w:ascii="Georgia" w:hAnsi="Georgia"/>
          <w:sz w:val="24"/>
          <w:szCs w:val="24"/>
        </w:rPr>
        <w:t xml:space="preserve">were revised from “closer to home” to </w:t>
      </w:r>
      <w:r w:rsidR="0095612F">
        <w:rPr>
          <w:rFonts w:ascii="Georgia" w:hAnsi="Georgia"/>
          <w:sz w:val="24"/>
          <w:szCs w:val="24"/>
        </w:rPr>
        <w:t xml:space="preserve">“shorter commute” since it was explained that </w:t>
      </w:r>
      <w:r w:rsidR="00E017F2">
        <w:rPr>
          <w:rFonts w:ascii="Georgia" w:hAnsi="Georgia"/>
          <w:sz w:val="24"/>
          <w:szCs w:val="24"/>
        </w:rPr>
        <w:t>when travel</w:t>
      </w:r>
      <w:r w:rsidR="004F6DF1">
        <w:rPr>
          <w:rFonts w:ascii="Georgia" w:hAnsi="Georgia"/>
          <w:sz w:val="24"/>
          <w:szCs w:val="24"/>
        </w:rPr>
        <w:t>l</w:t>
      </w:r>
      <w:r w:rsidR="00E017F2">
        <w:rPr>
          <w:rFonts w:ascii="Georgia" w:hAnsi="Georgia"/>
          <w:sz w:val="24"/>
          <w:szCs w:val="24"/>
        </w:rPr>
        <w:t xml:space="preserve">ing </w:t>
      </w:r>
      <w:r>
        <w:rPr>
          <w:rFonts w:ascii="Georgia" w:hAnsi="Georgia"/>
          <w:sz w:val="24"/>
          <w:szCs w:val="24"/>
        </w:rPr>
        <w:t xml:space="preserve">a short </w:t>
      </w:r>
      <w:r w:rsidR="0095612F">
        <w:rPr>
          <w:rFonts w:ascii="Georgia" w:hAnsi="Georgia"/>
          <w:sz w:val="24"/>
          <w:szCs w:val="24"/>
        </w:rPr>
        <w:t xml:space="preserve">distance </w:t>
      </w:r>
      <w:r>
        <w:rPr>
          <w:rFonts w:ascii="Georgia" w:hAnsi="Georgia"/>
          <w:sz w:val="24"/>
          <w:szCs w:val="24"/>
        </w:rPr>
        <w:t>in a metropolitan area</w:t>
      </w:r>
      <w:r w:rsidR="00E017F2">
        <w:rPr>
          <w:rFonts w:ascii="Georgia" w:hAnsi="Georgia"/>
          <w:sz w:val="24"/>
          <w:szCs w:val="24"/>
        </w:rPr>
        <w:t>, it</w:t>
      </w:r>
      <w:r>
        <w:rPr>
          <w:rFonts w:ascii="Georgia" w:hAnsi="Georgia"/>
          <w:sz w:val="24"/>
          <w:szCs w:val="24"/>
        </w:rPr>
        <w:t xml:space="preserve"> can still take a very long time to get to work.</w:t>
      </w:r>
    </w:p>
    <w:p w14:paraId="51E3030C" w14:textId="0AB08F66" w:rsidR="00D47145" w:rsidRPr="007D7757" w:rsidRDefault="00D47145" w:rsidP="007D7757">
      <w:pPr>
        <w:pStyle w:val="ListParagraph"/>
        <w:numPr>
          <w:ilvl w:val="0"/>
          <w:numId w:val="13"/>
        </w:numPr>
        <w:rPr>
          <w:rFonts w:ascii="Georgia" w:hAnsi="Georgia"/>
          <w:sz w:val="24"/>
          <w:szCs w:val="24"/>
        </w:rPr>
      </w:pPr>
      <w:r>
        <w:rPr>
          <w:rFonts w:ascii="Georgia" w:hAnsi="Georgia"/>
          <w:sz w:val="24"/>
          <w:szCs w:val="24"/>
        </w:rPr>
        <w:t>Civilian employment</w:t>
      </w:r>
      <w:r w:rsidR="005A408B">
        <w:rPr>
          <w:rFonts w:ascii="Georgia" w:hAnsi="Georgia"/>
          <w:sz w:val="24"/>
          <w:szCs w:val="24"/>
        </w:rPr>
        <w:t xml:space="preserve"> was changed to transition to civilian </w:t>
      </w:r>
      <w:r>
        <w:rPr>
          <w:rFonts w:ascii="Georgia" w:hAnsi="Georgia"/>
          <w:sz w:val="24"/>
          <w:szCs w:val="24"/>
        </w:rPr>
        <w:t>“life</w:t>
      </w:r>
      <w:r w:rsidR="00A42F6C">
        <w:rPr>
          <w:rFonts w:ascii="Georgia" w:hAnsi="Georgia"/>
          <w:sz w:val="24"/>
          <w:szCs w:val="24"/>
        </w:rPr>
        <w:t>,</w:t>
      </w:r>
      <w:r>
        <w:rPr>
          <w:rFonts w:ascii="Georgia" w:hAnsi="Georgia"/>
          <w:sz w:val="24"/>
          <w:szCs w:val="24"/>
        </w:rPr>
        <w:t>”</w:t>
      </w:r>
      <w:r w:rsidR="005A408B">
        <w:rPr>
          <w:rFonts w:ascii="Georgia" w:hAnsi="Georgia"/>
          <w:sz w:val="24"/>
          <w:szCs w:val="24"/>
        </w:rPr>
        <w:t xml:space="preserve"> which helped the flow of the instrument since it is not limited to employment.</w:t>
      </w:r>
    </w:p>
    <w:p w14:paraId="587784E5" w14:textId="0EC42504" w:rsidR="00D47145" w:rsidRDefault="00D47145" w:rsidP="00AE10F7">
      <w:pPr>
        <w:pStyle w:val="ListParagraph"/>
        <w:numPr>
          <w:ilvl w:val="0"/>
          <w:numId w:val="13"/>
        </w:numPr>
        <w:rPr>
          <w:rFonts w:ascii="Georgia" w:hAnsi="Georgia"/>
          <w:sz w:val="24"/>
          <w:szCs w:val="24"/>
        </w:rPr>
      </w:pPr>
      <w:r>
        <w:rPr>
          <w:rFonts w:ascii="Georgia" w:hAnsi="Georgia"/>
          <w:sz w:val="24"/>
          <w:szCs w:val="24"/>
        </w:rPr>
        <w:t>Likert scale questions</w:t>
      </w:r>
      <w:r w:rsidR="007D7757">
        <w:rPr>
          <w:rFonts w:ascii="Georgia" w:hAnsi="Georgia"/>
          <w:sz w:val="24"/>
          <w:szCs w:val="24"/>
        </w:rPr>
        <w:t xml:space="preserve"> recommended by the PMWG were included after being shortened and modified through tested. </w:t>
      </w:r>
    </w:p>
    <w:p w14:paraId="6BD8AA93" w14:textId="77777777" w:rsidR="00862B83" w:rsidRPr="007D7757" w:rsidRDefault="00862B83" w:rsidP="007D7757">
      <w:pPr>
        <w:rPr>
          <w:rFonts w:ascii="Georgia" w:hAnsi="Georgia"/>
          <w:sz w:val="24"/>
          <w:szCs w:val="24"/>
        </w:rPr>
      </w:pPr>
    </w:p>
    <w:p w14:paraId="391D45B0" w14:textId="77777777" w:rsidR="00862B83" w:rsidRPr="00FC5AB1" w:rsidRDefault="00862B83" w:rsidP="00FC5AB1">
      <w:pPr>
        <w:pStyle w:val="ListParagraph"/>
        <w:rPr>
          <w:rFonts w:ascii="Georgia" w:hAnsi="Georgia"/>
          <w:sz w:val="24"/>
          <w:szCs w:val="24"/>
        </w:rPr>
      </w:pPr>
      <w:bookmarkStart w:id="1" w:name="_Hlk505154647"/>
    </w:p>
    <w:p w14:paraId="696EA311" w14:textId="63CA074D" w:rsidR="00EC4A52" w:rsidRPr="00FC5AB1" w:rsidRDefault="00EC4A52" w:rsidP="00FC5AB1">
      <w:pPr>
        <w:pStyle w:val="ListParagraph"/>
        <w:numPr>
          <w:ilvl w:val="0"/>
          <w:numId w:val="9"/>
        </w:numPr>
        <w:rPr>
          <w:rFonts w:ascii="Georgia" w:hAnsi="Georgia"/>
          <w:b/>
          <w:sz w:val="24"/>
          <w:szCs w:val="24"/>
        </w:rPr>
      </w:pPr>
      <w:bookmarkStart w:id="2" w:name="_Hlk505074780"/>
      <w:r w:rsidRPr="00FC5AB1">
        <w:rPr>
          <w:rFonts w:ascii="Georgia" w:hAnsi="Georgia"/>
          <w:b/>
          <w:sz w:val="24"/>
          <w:szCs w:val="24"/>
        </w:rPr>
        <w:t>Provide the name and telephone numbers of individuals consulted on statistical aspects of the design and the name of the agency unit, contractor(s), grantee(s), or other person(s) who actually collect and/or analyze the information for the agency.</w:t>
      </w:r>
    </w:p>
    <w:p w14:paraId="5886F0C2" w14:textId="4345498E" w:rsidR="00447883" w:rsidRDefault="00447883" w:rsidP="00FC5AB1">
      <w:pPr>
        <w:pStyle w:val="ListParagraph"/>
        <w:rPr>
          <w:rFonts w:ascii="Georgia" w:hAnsi="Georgia"/>
          <w:sz w:val="24"/>
          <w:szCs w:val="24"/>
        </w:rPr>
      </w:pPr>
    </w:p>
    <w:p w14:paraId="54239591" w14:textId="2151E32D" w:rsidR="006B4D52" w:rsidRDefault="006B4D52" w:rsidP="00FC5AB1">
      <w:pPr>
        <w:pStyle w:val="ListParagraph"/>
        <w:rPr>
          <w:rFonts w:ascii="Georgia" w:hAnsi="Georgia"/>
          <w:sz w:val="24"/>
          <w:szCs w:val="24"/>
        </w:rPr>
      </w:pPr>
      <w:r>
        <w:rPr>
          <w:rFonts w:ascii="Georgia" w:hAnsi="Georgia"/>
          <w:sz w:val="24"/>
          <w:szCs w:val="24"/>
        </w:rPr>
        <w:t xml:space="preserve">The </w:t>
      </w:r>
      <w:r w:rsidR="005D1DF4">
        <w:rPr>
          <w:rFonts w:ascii="Georgia" w:hAnsi="Georgia"/>
          <w:sz w:val="24"/>
          <w:szCs w:val="24"/>
        </w:rPr>
        <w:t>PSTAP</w:t>
      </w:r>
      <w:r>
        <w:rPr>
          <w:rFonts w:ascii="Georgia" w:hAnsi="Georgia"/>
          <w:sz w:val="24"/>
          <w:szCs w:val="24"/>
        </w:rPr>
        <w:t xml:space="preserve"> Assessment is the culmination of significant federal planning and interagency coordination. In May 2017</w:t>
      </w:r>
      <w:r w:rsidR="006D7C8C">
        <w:rPr>
          <w:rFonts w:ascii="Georgia" w:hAnsi="Georgia"/>
          <w:sz w:val="24"/>
          <w:szCs w:val="24"/>
        </w:rPr>
        <w:t>,</w:t>
      </w:r>
      <w:r>
        <w:rPr>
          <w:rFonts w:ascii="Georgia" w:hAnsi="Georgia"/>
          <w:sz w:val="24"/>
          <w:szCs w:val="24"/>
        </w:rPr>
        <w:t xml:space="preserve"> a contract was awarded to the </w:t>
      </w:r>
      <w:r w:rsidR="00A22F51">
        <w:rPr>
          <w:rFonts w:ascii="Georgia" w:hAnsi="Georgia"/>
          <w:sz w:val="24"/>
          <w:szCs w:val="24"/>
        </w:rPr>
        <w:t xml:space="preserve">global </w:t>
      </w:r>
      <w:r>
        <w:rPr>
          <w:rFonts w:ascii="Georgia" w:hAnsi="Georgia"/>
          <w:sz w:val="24"/>
          <w:szCs w:val="24"/>
        </w:rPr>
        <w:t>survey research firm J.D. Power to refine the instrument</w:t>
      </w:r>
      <w:r w:rsidR="00A22F51">
        <w:rPr>
          <w:rFonts w:ascii="Georgia" w:hAnsi="Georgia"/>
          <w:sz w:val="24"/>
          <w:szCs w:val="24"/>
        </w:rPr>
        <w:t>, conduct pretesting,</w:t>
      </w:r>
      <w:r>
        <w:rPr>
          <w:rFonts w:ascii="Georgia" w:hAnsi="Georgia"/>
          <w:sz w:val="24"/>
          <w:szCs w:val="24"/>
        </w:rPr>
        <w:t xml:space="preserve"> and prepare for submission to OMB. </w:t>
      </w:r>
      <w:r w:rsidR="00A22F51">
        <w:rPr>
          <w:rFonts w:ascii="Georgia" w:hAnsi="Georgia"/>
          <w:sz w:val="24"/>
          <w:szCs w:val="24"/>
        </w:rPr>
        <w:t xml:space="preserve">The cost estimates in this clearance are based on optional tasks in a </w:t>
      </w:r>
      <w:r w:rsidR="00E574A2">
        <w:rPr>
          <w:rFonts w:ascii="Georgia" w:hAnsi="Georgia"/>
          <w:sz w:val="24"/>
          <w:szCs w:val="24"/>
        </w:rPr>
        <w:t xml:space="preserve">current </w:t>
      </w:r>
      <w:r w:rsidR="00A22F51">
        <w:rPr>
          <w:rFonts w:ascii="Georgia" w:hAnsi="Georgia"/>
          <w:sz w:val="24"/>
          <w:szCs w:val="24"/>
        </w:rPr>
        <w:t>contract to J.D. Power</w:t>
      </w:r>
      <w:r w:rsidR="00E574A2">
        <w:rPr>
          <w:rFonts w:ascii="Georgia" w:hAnsi="Georgia"/>
          <w:sz w:val="24"/>
          <w:szCs w:val="24"/>
        </w:rPr>
        <w:t xml:space="preserve"> that expires on April 30, 2018.</w:t>
      </w:r>
      <w:r w:rsidR="00A22F51">
        <w:rPr>
          <w:rFonts w:ascii="Georgia" w:hAnsi="Georgia"/>
          <w:sz w:val="24"/>
          <w:szCs w:val="24"/>
        </w:rPr>
        <w:t xml:space="preserve"> </w:t>
      </w:r>
      <w:r>
        <w:rPr>
          <w:rFonts w:ascii="Georgia" w:hAnsi="Georgia"/>
          <w:sz w:val="24"/>
          <w:szCs w:val="24"/>
        </w:rPr>
        <w:t xml:space="preserve">Key personnel involved in the final stages of the </w:t>
      </w:r>
      <w:r w:rsidR="00A22F51">
        <w:rPr>
          <w:rFonts w:ascii="Georgia" w:hAnsi="Georgia"/>
          <w:sz w:val="24"/>
          <w:szCs w:val="24"/>
        </w:rPr>
        <w:t xml:space="preserve">design of the </w:t>
      </w:r>
      <w:r>
        <w:rPr>
          <w:rFonts w:ascii="Georgia" w:hAnsi="Georgia"/>
          <w:sz w:val="24"/>
          <w:szCs w:val="24"/>
        </w:rPr>
        <w:t>survey instrument</w:t>
      </w:r>
      <w:r w:rsidR="00A22F51">
        <w:rPr>
          <w:rFonts w:ascii="Georgia" w:hAnsi="Georgia"/>
          <w:sz w:val="24"/>
          <w:szCs w:val="24"/>
        </w:rPr>
        <w:t xml:space="preserve"> and statistical planning of the study</w:t>
      </w:r>
      <w:r>
        <w:rPr>
          <w:rFonts w:ascii="Georgia" w:hAnsi="Georgia"/>
          <w:sz w:val="24"/>
          <w:szCs w:val="24"/>
        </w:rPr>
        <w:t xml:space="preserve"> include:</w:t>
      </w:r>
    </w:p>
    <w:p w14:paraId="38EC3F39" w14:textId="77777777" w:rsidR="006B4D52" w:rsidRPr="00FC5AB1" w:rsidRDefault="006B4D52" w:rsidP="00FC5AB1">
      <w:pPr>
        <w:pStyle w:val="ListParagraph"/>
        <w:rPr>
          <w:rFonts w:ascii="Georgia" w:hAnsi="Georgia"/>
          <w:sz w:val="24"/>
          <w:szCs w:val="24"/>
        </w:rPr>
      </w:pPr>
    </w:p>
    <w:p w14:paraId="2F62B82B" w14:textId="1D96D952" w:rsidR="00B0034B" w:rsidRPr="00687358" w:rsidRDefault="00B0034B" w:rsidP="00DF29F8">
      <w:pPr>
        <w:pStyle w:val="ListParagraph"/>
        <w:ind w:left="1152"/>
        <w:rPr>
          <w:rFonts w:ascii="Georgia" w:hAnsi="Georgia"/>
          <w:b/>
          <w:sz w:val="24"/>
          <w:szCs w:val="24"/>
          <w:u w:val="single"/>
        </w:rPr>
      </w:pPr>
      <w:r w:rsidRPr="00687358">
        <w:rPr>
          <w:rFonts w:ascii="Georgia" w:hAnsi="Georgia"/>
          <w:b/>
          <w:sz w:val="24"/>
          <w:szCs w:val="24"/>
          <w:u w:val="single"/>
        </w:rPr>
        <w:t>V</w:t>
      </w:r>
      <w:r w:rsidR="00687358" w:rsidRPr="00687358">
        <w:rPr>
          <w:rFonts w:ascii="Georgia" w:hAnsi="Georgia"/>
          <w:b/>
          <w:sz w:val="24"/>
          <w:szCs w:val="24"/>
          <w:u w:val="single"/>
        </w:rPr>
        <w:t xml:space="preserve">eterans Benefits </w:t>
      </w:r>
      <w:r w:rsidRPr="00687358">
        <w:rPr>
          <w:rFonts w:ascii="Georgia" w:hAnsi="Georgia"/>
          <w:b/>
          <w:sz w:val="24"/>
          <w:szCs w:val="24"/>
          <w:u w:val="single"/>
        </w:rPr>
        <w:t>A</w:t>
      </w:r>
      <w:r w:rsidR="00687358" w:rsidRPr="00687358">
        <w:rPr>
          <w:rFonts w:ascii="Georgia" w:hAnsi="Georgia"/>
          <w:b/>
          <w:sz w:val="24"/>
          <w:szCs w:val="24"/>
          <w:u w:val="single"/>
        </w:rPr>
        <w:t>dministration</w:t>
      </w:r>
      <w:r w:rsidR="006B4D52">
        <w:rPr>
          <w:rFonts w:ascii="Georgia" w:hAnsi="Georgia"/>
          <w:b/>
          <w:sz w:val="24"/>
          <w:szCs w:val="24"/>
          <w:u w:val="single"/>
        </w:rPr>
        <w:t xml:space="preserve"> </w:t>
      </w:r>
      <w:r w:rsidR="0052416F">
        <w:rPr>
          <w:rFonts w:ascii="Georgia" w:hAnsi="Georgia"/>
          <w:b/>
          <w:sz w:val="24"/>
          <w:szCs w:val="24"/>
          <w:u w:val="single"/>
        </w:rPr>
        <w:t>(</w:t>
      </w:r>
      <w:r w:rsidR="00483F02">
        <w:rPr>
          <w:rFonts w:ascii="Georgia" w:hAnsi="Georgia"/>
          <w:b/>
          <w:sz w:val="24"/>
          <w:szCs w:val="24"/>
          <w:u w:val="single"/>
        </w:rPr>
        <w:t>202-</w:t>
      </w:r>
      <w:r w:rsidR="00483F02" w:rsidRPr="00483F02">
        <w:rPr>
          <w:rFonts w:ascii="Georgia" w:hAnsi="Georgia"/>
          <w:b/>
          <w:sz w:val="24"/>
          <w:szCs w:val="24"/>
          <w:u w:val="single"/>
        </w:rPr>
        <w:t>530-9053</w:t>
      </w:r>
      <w:r w:rsidR="0052416F">
        <w:rPr>
          <w:rFonts w:ascii="Georgia" w:hAnsi="Georgia"/>
          <w:b/>
          <w:sz w:val="24"/>
          <w:szCs w:val="24"/>
          <w:u w:val="single"/>
        </w:rPr>
        <w:t>)</w:t>
      </w:r>
    </w:p>
    <w:p w14:paraId="794023C2" w14:textId="7E76DFD4" w:rsidR="00B0034B" w:rsidRDefault="00B0034B" w:rsidP="00DF29F8">
      <w:pPr>
        <w:pStyle w:val="ListParagraph"/>
        <w:ind w:left="1152"/>
        <w:rPr>
          <w:rFonts w:ascii="Georgia" w:hAnsi="Georgia"/>
          <w:i/>
          <w:sz w:val="24"/>
          <w:szCs w:val="24"/>
        </w:rPr>
      </w:pPr>
      <w:r w:rsidRPr="00687358">
        <w:rPr>
          <w:rFonts w:ascii="Georgia" w:hAnsi="Georgia"/>
          <w:sz w:val="24"/>
          <w:szCs w:val="24"/>
        </w:rPr>
        <w:t>Meredith</w:t>
      </w:r>
      <w:r w:rsidR="00D50C75" w:rsidRPr="00687358">
        <w:rPr>
          <w:rFonts w:ascii="Georgia" w:hAnsi="Georgia"/>
          <w:sz w:val="24"/>
          <w:szCs w:val="24"/>
        </w:rPr>
        <w:t xml:space="preserve"> </w:t>
      </w:r>
      <w:r w:rsidR="00687358" w:rsidRPr="00687358">
        <w:rPr>
          <w:rFonts w:ascii="Georgia" w:hAnsi="Georgia"/>
          <w:sz w:val="24"/>
          <w:szCs w:val="24"/>
        </w:rPr>
        <w:t xml:space="preserve">Bedenbaugh-Thomas, </w:t>
      </w:r>
      <w:r w:rsidR="00D0791F">
        <w:rPr>
          <w:rFonts w:ascii="Georgia" w:hAnsi="Georgia"/>
          <w:i/>
          <w:sz w:val="24"/>
          <w:szCs w:val="24"/>
        </w:rPr>
        <w:t>Assistant Director Transition</w:t>
      </w:r>
    </w:p>
    <w:p w14:paraId="51F64E62" w14:textId="5631EDF0" w:rsidR="00D0791F" w:rsidRPr="00687358" w:rsidRDefault="00D0791F" w:rsidP="00DF29F8">
      <w:pPr>
        <w:pStyle w:val="ListParagraph"/>
        <w:ind w:left="1152"/>
        <w:rPr>
          <w:rFonts w:ascii="Georgia" w:hAnsi="Georgia"/>
          <w:sz w:val="24"/>
          <w:szCs w:val="24"/>
        </w:rPr>
      </w:pPr>
      <w:r w:rsidRPr="00D0791F">
        <w:rPr>
          <w:rFonts w:ascii="Georgia" w:hAnsi="Georgia"/>
          <w:sz w:val="24"/>
          <w:szCs w:val="24"/>
        </w:rPr>
        <w:t>Kenyonna Power,</w:t>
      </w:r>
      <w:r>
        <w:rPr>
          <w:rFonts w:ascii="Georgia" w:hAnsi="Georgia"/>
          <w:i/>
          <w:sz w:val="24"/>
          <w:szCs w:val="24"/>
        </w:rPr>
        <w:t xml:space="preserve"> Contracting Officer</w:t>
      </w:r>
      <w:r w:rsidR="007E4452">
        <w:rPr>
          <w:rFonts w:ascii="Georgia" w:hAnsi="Georgia"/>
          <w:i/>
          <w:sz w:val="24"/>
          <w:szCs w:val="24"/>
        </w:rPr>
        <w:t>’s</w:t>
      </w:r>
      <w:r>
        <w:rPr>
          <w:rFonts w:ascii="Georgia" w:hAnsi="Georgia"/>
          <w:i/>
          <w:sz w:val="24"/>
          <w:szCs w:val="24"/>
        </w:rPr>
        <w:t xml:space="preserve"> Representative</w:t>
      </w:r>
    </w:p>
    <w:p w14:paraId="54CD5FBA" w14:textId="1C0B7B87" w:rsidR="00D50C75" w:rsidRPr="00687358" w:rsidRDefault="00D50C75" w:rsidP="00DF29F8">
      <w:pPr>
        <w:pStyle w:val="ListParagraph"/>
        <w:ind w:left="1152"/>
        <w:rPr>
          <w:rFonts w:ascii="Georgia" w:hAnsi="Georgia"/>
          <w:sz w:val="24"/>
          <w:szCs w:val="24"/>
        </w:rPr>
      </w:pPr>
      <w:r w:rsidRPr="00687358">
        <w:rPr>
          <w:rFonts w:ascii="Georgia" w:hAnsi="Georgia"/>
          <w:sz w:val="24"/>
          <w:szCs w:val="24"/>
        </w:rPr>
        <w:t xml:space="preserve">William Brinley, </w:t>
      </w:r>
      <w:r w:rsidR="00687358" w:rsidRPr="00687358">
        <w:rPr>
          <w:rFonts w:ascii="Georgia" w:hAnsi="Georgia"/>
          <w:i/>
          <w:sz w:val="24"/>
          <w:szCs w:val="24"/>
        </w:rPr>
        <w:t xml:space="preserve">Lead </w:t>
      </w:r>
      <w:r w:rsidRPr="00687358">
        <w:rPr>
          <w:rFonts w:ascii="Georgia" w:hAnsi="Georgia"/>
          <w:i/>
          <w:sz w:val="24"/>
          <w:szCs w:val="24"/>
        </w:rPr>
        <w:t>Program Analyst</w:t>
      </w:r>
    </w:p>
    <w:p w14:paraId="5F822A3C" w14:textId="7868DE0F" w:rsidR="00B0034B" w:rsidRPr="00687358" w:rsidRDefault="00B0034B" w:rsidP="00DF29F8">
      <w:pPr>
        <w:pStyle w:val="ListParagraph"/>
        <w:ind w:left="1152"/>
        <w:rPr>
          <w:rFonts w:ascii="Georgia" w:hAnsi="Georgia"/>
          <w:sz w:val="24"/>
          <w:szCs w:val="24"/>
        </w:rPr>
      </w:pPr>
    </w:p>
    <w:p w14:paraId="18E89486" w14:textId="2D96A149" w:rsidR="00687358" w:rsidRPr="008F73F5" w:rsidRDefault="008C6407" w:rsidP="00DF29F8">
      <w:pPr>
        <w:ind w:left="1152"/>
        <w:rPr>
          <w:rFonts w:ascii="Georgia" w:hAnsi="Georgia"/>
          <w:b/>
          <w:sz w:val="24"/>
          <w:szCs w:val="24"/>
          <w:u w:val="single"/>
        </w:rPr>
      </w:pPr>
      <w:r w:rsidRPr="008F73F5">
        <w:rPr>
          <w:rFonts w:ascii="Georgia" w:hAnsi="Georgia"/>
          <w:b/>
          <w:sz w:val="24"/>
          <w:szCs w:val="24"/>
          <w:u w:val="single"/>
        </w:rPr>
        <w:t>Interagenc</w:t>
      </w:r>
      <w:r w:rsidR="00687358" w:rsidRPr="008F73F5">
        <w:rPr>
          <w:rFonts w:ascii="Georgia" w:hAnsi="Georgia"/>
          <w:b/>
          <w:sz w:val="24"/>
          <w:szCs w:val="24"/>
          <w:u w:val="single"/>
        </w:rPr>
        <w:t>y Performance Management Working Group (PMWG)</w:t>
      </w:r>
    </w:p>
    <w:p w14:paraId="1CC5ED4B" w14:textId="465EE9C1" w:rsidR="00B0034B" w:rsidRPr="008F73F5" w:rsidRDefault="00B0034B" w:rsidP="00A22F51">
      <w:pPr>
        <w:pStyle w:val="ListParagraph"/>
        <w:ind w:left="1152"/>
        <w:rPr>
          <w:rFonts w:ascii="Georgia" w:hAnsi="Georgia"/>
          <w:sz w:val="24"/>
          <w:szCs w:val="24"/>
        </w:rPr>
      </w:pPr>
      <w:r w:rsidRPr="008F73F5">
        <w:rPr>
          <w:rFonts w:ascii="Georgia" w:hAnsi="Georgia"/>
          <w:sz w:val="24"/>
          <w:szCs w:val="24"/>
        </w:rPr>
        <w:t>Lynn</w:t>
      </w:r>
      <w:r w:rsidR="008311AA">
        <w:rPr>
          <w:rFonts w:ascii="Georgia" w:hAnsi="Georgia"/>
          <w:sz w:val="24"/>
          <w:szCs w:val="24"/>
        </w:rPr>
        <w:t>e</w:t>
      </w:r>
      <w:r w:rsidR="00687358" w:rsidRPr="008F73F5">
        <w:rPr>
          <w:rFonts w:ascii="Georgia" w:hAnsi="Georgia"/>
          <w:sz w:val="24"/>
          <w:szCs w:val="24"/>
        </w:rPr>
        <w:t xml:space="preserve"> Kelley, Ph.D., </w:t>
      </w:r>
      <w:r w:rsidR="00687358" w:rsidRPr="008F73F5">
        <w:rPr>
          <w:rFonts w:ascii="Georgia" w:hAnsi="Georgia"/>
          <w:i/>
          <w:sz w:val="24"/>
          <w:szCs w:val="24"/>
        </w:rPr>
        <w:t>PMWG Chair</w:t>
      </w:r>
      <w:r w:rsidR="006B4D52">
        <w:rPr>
          <w:rFonts w:ascii="Georgia" w:hAnsi="Georgia"/>
          <w:i/>
          <w:sz w:val="24"/>
          <w:szCs w:val="24"/>
        </w:rPr>
        <w:t xml:space="preserve"> </w:t>
      </w:r>
      <w:r w:rsidR="0052416F" w:rsidRPr="0052416F">
        <w:rPr>
          <w:rFonts w:ascii="Georgia" w:hAnsi="Georgia"/>
          <w:sz w:val="24"/>
          <w:szCs w:val="24"/>
        </w:rPr>
        <w:t>(</w:t>
      </w:r>
      <w:r w:rsidR="00483F02" w:rsidRPr="0052416F">
        <w:rPr>
          <w:rFonts w:ascii="Georgia" w:hAnsi="Georgia"/>
          <w:sz w:val="24"/>
          <w:szCs w:val="24"/>
        </w:rPr>
        <w:t>703- 614-8676</w:t>
      </w:r>
      <w:r w:rsidR="0052416F" w:rsidRPr="0052416F">
        <w:rPr>
          <w:rFonts w:ascii="Georgia" w:hAnsi="Georgia"/>
          <w:sz w:val="24"/>
          <w:szCs w:val="24"/>
        </w:rPr>
        <w:t>)</w:t>
      </w:r>
    </w:p>
    <w:p w14:paraId="0F3F2121" w14:textId="137309F7" w:rsidR="0060713B" w:rsidRDefault="00D0791F" w:rsidP="00DF29F8">
      <w:pPr>
        <w:pStyle w:val="ListParagraph"/>
        <w:ind w:left="1152"/>
        <w:rPr>
          <w:rFonts w:ascii="Georgia" w:hAnsi="Georgia"/>
          <w:sz w:val="24"/>
          <w:szCs w:val="24"/>
        </w:rPr>
      </w:pPr>
      <w:r>
        <w:rPr>
          <w:rFonts w:ascii="Georgia" w:hAnsi="Georgia"/>
          <w:sz w:val="24"/>
          <w:szCs w:val="24"/>
        </w:rPr>
        <w:t>More than 40 r</w:t>
      </w:r>
      <w:r w:rsidRPr="00687358">
        <w:rPr>
          <w:rFonts w:ascii="Georgia" w:hAnsi="Georgia"/>
          <w:sz w:val="24"/>
          <w:szCs w:val="24"/>
        </w:rPr>
        <w:t xml:space="preserve">epresentatives </w:t>
      </w:r>
      <w:r w:rsidR="00687358" w:rsidRPr="00687358">
        <w:rPr>
          <w:rFonts w:ascii="Georgia" w:hAnsi="Georgia"/>
          <w:sz w:val="24"/>
          <w:szCs w:val="24"/>
        </w:rPr>
        <w:t>from</w:t>
      </w:r>
      <w:r w:rsidR="008B2666" w:rsidRPr="008B2666">
        <w:rPr>
          <w:rFonts w:ascii="Georgia" w:hAnsi="Georgia"/>
          <w:sz w:val="24"/>
          <w:szCs w:val="24"/>
        </w:rPr>
        <w:t xml:space="preserve"> </w:t>
      </w:r>
      <w:r w:rsidR="008B2666">
        <w:rPr>
          <w:rFonts w:ascii="Georgia" w:hAnsi="Georgia"/>
          <w:sz w:val="24"/>
          <w:szCs w:val="24"/>
        </w:rPr>
        <w:t>the 7 federal agencies in this group.</w:t>
      </w:r>
      <w:r w:rsidR="008B2666" w:rsidDel="008B2666">
        <w:rPr>
          <w:rFonts w:ascii="Georgia" w:hAnsi="Georgia"/>
          <w:sz w:val="24"/>
          <w:szCs w:val="24"/>
        </w:rPr>
        <w:t xml:space="preserve"> </w:t>
      </w:r>
    </w:p>
    <w:p w14:paraId="3F51F6A9" w14:textId="77777777" w:rsidR="00486B8E" w:rsidRPr="00687358" w:rsidRDefault="00486B8E" w:rsidP="00DF29F8">
      <w:pPr>
        <w:pStyle w:val="ListParagraph"/>
        <w:ind w:left="1152"/>
        <w:rPr>
          <w:rFonts w:ascii="Georgia" w:hAnsi="Georgia"/>
          <w:sz w:val="24"/>
          <w:szCs w:val="24"/>
        </w:rPr>
      </w:pPr>
    </w:p>
    <w:p w14:paraId="53D60206" w14:textId="268579F3" w:rsidR="0060713B" w:rsidRPr="00687358" w:rsidRDefault="0060713B" w:rsidP="00DF29F8">
      <w:pPr>
        <w:pStyle w:val="ListParagraph"/>
        <w:ind w:left="1152"/>
        <w:rPr>
          <w:rFonts w:ascii="Georgia" w:hAnsi="Georgia"/>
          <w:b/>
          <w:sz w:val="24"/>
          <w:szCs w:val="24"/>
          <w:u w:val="single"/>
        </w:rPr>
      </w:pPr>
      <w:r w:rsidRPr="00687358">
        <w:rPr>
          <w:rFonts w:ascii="Georgia" w:hAnsi="Georgia"/>
          <w:b/>
          <w:sz w:val="24"/>
          <w:szCs w:val="24"/>
          <w:u w:val="single"/>
        </w:rPr>
        <w:t>J</w:t>
      </w:r>
      <w:r w:rsidR="00D50C75" w:rsidRPr="00687358">
        <w:rPr>
          <w:rFonts w:ascii="Georgia" w:hAnsi="Georgia"/>
          <w:b/>
          <w:sz w:val="24"/>
          <w:szCs w:val="24"/>
          <w:u w:val="single"/>
        </w:rPr>
        <w:t>.D. Power</w:t>
      </w:r>
      <w:r w:rsidR="006B4D52">
        <w:rPr>
          <w:rFonts w:ascii="Georgia" w:hAnsi="Georgia"/>
          <w:b/>
          <w:sz w:val="24"/>
          <w:szCs w:val="24"/>
          <w:u w:val="single"/>
        </w:rPr>
        <w:t xml:space="preserve"> 805-418-</w:t>
      </w:r>
      <w:r w:rsidR="004F6DF1">
        <w:rPr>
          <w:rFonts w:ascii="Georgia" w:hAnsi="Georgia"/>
          <w:b/>
          <w:sz w:val="24"/>
          <w:szCs w:val="24"/>
          <w:u w:val="single"/>
        </w:rPr>
        <w:t>8000</w:t>
      </w:r>
    </w:p>
    <w:p w14:paraId="27AF000A" w14:textId="47F2F132" w:rsidR="00B0034B" w:rsidRPr="00687358" w:rsidRDefault="00B0034B" w:rsidP="00DF29F8">
      <w:pPr>
        <w:pStyle w:val="ListParagraph"/>
        <w:ind w:left="1152"/>
        <w:rPr>
          <w:rFonts w:ascii="Georgia" w:hAnsi="Georgia"/>
          <w:sz w:val="24"/>
          <w:szCs w:val="24"/>
        </w:rPr>
      </w:pPr>
      <w:r w:rsidRPr="00687358">
        <w:rPr>
          <w:rFonts w:ascii="Georgia" w:hAnsi="Georgia"/>
          <w:sz w:val="24"/>
          <w:szCs w:val="24"/>
        </w:rPr>
        <w:t>Greg</w:t>
      </w:r>
      <w:r w:rsidR="00D50C75" w:rsidRPr="00687358">
        <w:rPr>
          <w:rFonts w:ascii="Georgia" w:hAnsi="Georgia"/>
          <w:sz w:val="24"/>
          <w:szCs w:val="24"/>
        </w:rPr>
        <w:t xml:space="preserve"> Truex, </w:t>
      </w:r>
      <w:r w:rsidR="00D50C75" w:rsidRPr="00687358">
        <w:rPr>
          <w:rFonts w:ascii="Georgia" w:hAnsi="Georgia"/>
          <w:i/>
          <w:sz w:val="24"/>
          <w:szCs w:val="24"/>
        </w:rPr>
        <w:t>Senior Director</w:t>
      </w:r>
    </w:p>
    <w:p w14:paraId="43BDEDF4" w14:textId="48FC3C72" w:rsidR="00447883" w:rsidRPr="00687358" w:rsidRDefault="00447883" w:rsidP="00DF29F8">
      <w:pPr>
        <w:pStyle w:val="ListParagraph"/>
        <w:ind w:left="1152"/>
        <w:rPr>
          <w:rFonts w:ascii="Georgia" w:hAnsi="Georgia"/>
          <w:sz w:val="24"/>
          <w:szCs w:val="24"/>
        </w:rPr>
      </w:pPr>
      <w:r w:rsidRPr="00687358">
        <w:rPr>
          <w:rFonts w:ascii="Georgia" w:hAnsi="Georgia"/>
          <w:sz w:val="24"/>
          <w:szCs w:val="24"/>
        </w:rPr>
        <w:t>Katrina</w:t>
      </w:r>
      <w:r w:rsidR="00687358" w:rsidRPr="00687358">
        <w:rPr>
          <w:rFonts w:ascii="Georgia" w:hAnsi="Georgia"/>
          <w:sz w:val="24"/>
          <w:szCs w:val="24"/>
        </w:rPr>
        <w:t xml:space="preserve"> B. Stone, Ph.D.</w:t>
      </w:r>
      <w:r w:rsidR="00D50C75" w:rsidRPr="00687358">
        <w:rPr>
          <w:rFonts w:ascii="Georgia" w:hAnsi="Georgia"/>
          <w:sz w:val="24"/>
          <w:szCs w:val="24"/>
        </w:rPr>
        <w:t xml:space="preserve">, </w:t>
      </w:r>
      <w:r w:rsidR="00D50C75" w:rsidRPr="00687358">
        <w:rPr>
          <w:rFonts w:ascii="Georgia" w:hAnsi="Georgia"/>
          <w:i/>
          <w:sz w:val="24"/>
          <w:szCs w:val="24"/>
        </w:rPr>
        <w:t>Government Program Director</w:t>
      </w:r>
    </w:p>
    <w:p w14:paraId="736F78B5" w14:textId="73435F92" w:rsidR="00447883" w:rsidRDefault="00447883" w:rsidP="00DF29F8">
      <w:pPr>
        <w:pStyle w:val="ListParagraph"/>
        <w:ind w:left="1152"/>
        <w:rPr>
          <w:rFonts w:ascii="Georgia" w:hAnsi="Georgia"/>
          <w:i/>
          <w:sz w:val="24"/>
          <w:szCs w:val="24"/>
        </w:rPr>
      </w:pPr>
      <w:r w:rsidRPr="00687358">
        <w:rPr>
          <w:rFonts w:ascii="Georgia" w:hAnsi="Georgia"/>
          <w:sz w:val="24"/>
          <w:szCs w:val="24"/>
        </w:rPr>
        <w:t>Tara</w:t>
      </w:r>
      <w:r w:rsidR="00687358" w:rsidRPr="00687358">
        <w:rPr>
          <w:rFonts w:ascii="Georgia" w:hAnsi="Georgia"/>
          <w:sz w:val="24"/>
          <w:szCs w:val="24"/>
        </w:rPr>
        <w:t xml:space="preserve"> Porter</w:t>
      </w:r>
      <w:r w:rsidR="00D50C75" w:rsidRPr="00687358">
        <w:rPr>
          <w:rFonts w:ascii="Georgia" w:hAnsi="Georgia"/>
          <w:sz w:val="24"/>
          <w:szCs w:val="24"/>
        </w:rPr>
        <w:t xml:space="preserve">, </w:t>
      </w:r>
      <w:r w:rsidR="00D50C75" w:rsidRPr="00687358">
        <w:rPr>
          <w:rFonts w:ascii="Georgia" w:hAnsi="Georgia"/>
          <w:i/>
          <w:sz w:val="24"/>
          <w:szCs w:val="24"/>
        </w:rPr>
        <w:t>Government Program Deputy Director</w:t>
      </w:r>
    </w:p>
    <w:p w14:paraId="7AB65ACC" w14:textId="508AA591" w:rsidR="0052416F" w:rsidRPr="00687358" w:rsidRDefault="0052416F" w:rsidP="00DF29F8">
      <w:pPr>
        <w:pStyle w:val="ListParagraph"/>
        <w:ind w:left="1152"/>
        <w:rPr>
          <w:rFonts w:ascii="Georgia" w:hAnsi="Georgia"/>
          <w:sz w:val="24"/>
          <w:szCs w:val="24"/>
        </w:rPr>
      </w:pPr>
      <w:r w:rsidRPr="0052416F">
        <w:rPr>
          <w:rFonts w:ascii="Georgia" w:hAnsi="Georgia"/>
          <w:sz w:val="24"/>
          <w:szCs w:val="24"/>
        </w:rPr>
        <w:t>Judy Gottlieb</w:t>
      </w:r>
      <w:r>
        <w:rPr>
          <w:rFonts w:ascii="Georgia" w:hAnsi="Georgia"/>
          <w:i/>
          <w:sz w:val="24"/>
          <w:szCs w:val="24"/>
        </w:rPr>
        <w:t>, Global Research Operations Director</w:t>
      </w:r>
    </w:p>
    <w:bookmarkEnd w:id="1"/>
    <w:bookmarkEnd w:id="2"/>
    <w:p w14:paraId="5B753E75" w14:textId="0C1E3BE7" w:rsidR="000E4274" w:rsidRPr="00636B28" w:rsidRDefault="000E4274" w:rsidP="00636B28">
      <w:pPr>
        <w:rPr>
          <w:rFonts w:ascii="Georgia" w:hAnsi="Georgia"/>
          <w:sz w:val="24"/>
          <w:szCs w:val="24"/>
          <w:highlight w:val="yellow"/>
        </w:rPr>
      </w:pPr>
    </w:p>
    <w:sectPr w:rsidR="000E4274" w:rsidRPr="00636B28">
      <w:headerReference w:type="even" r:id="rId10"/>
      <w:headerReference w:type="default" r:id="rId11"/>
      <w:footerReference w:type="default" r:id="rId12"/>
      <w:headerReference w:type="first" r:id="rId1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8343B2" w14:textId="77777777" w:rsidR="00E30600" w:rsidRDefault="00E30600">
      <w:r>
        <w:separator/>
      </w:r>
    </w:p>
  </w:endnote>
  <w:endnote w:type="continuationSeparator" w:id="0">
    <w:p w14:paraId="3D451FC2" w14:textId="77777777" w:rsidR="00E30600" w:rsidRDefault="00E30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old">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5267627"/>
      <w:docPartObj>
        <w:docPartGallery w:val="Page Numbers (Bottom of Page)"/>
        <w:docPartUnique/>
      </w:docPartObj>
    </w:sdtPr>
    <w:sdtEndPr/>
    <w:sdtContent>
      <w:sdt>
        <w:sdtPr>
          <w:id w:val="-1705238520"/>
          <w:docPartObj>
            <w:docPartGallery w:val="Page Numbers (Top of Page)"/>
            <w:docPartUnique/>
          </w:docPartObj>
        </w:sdtPr>
        <w:sdtEndPr/>
        <w:sdtContent>
          <w:p w14:paraId="6582E403" w14:textId="1149255D" w:rsidR="00BE214D" w:rsidRDefault="00BE214D">
            <w:pPr>
              <w:pStyle w:val="Footer"/>
            </w:pPr>
            <w:r w:rsidRPr="00B0034B">
              <w:rPr>
                <w:rFonts w:ascii="Georgia" w:hAnsi="Georgia"/>
                <w:sz w:val="22"/>
                <w:szCs w:val="22"/>
              </w:rPr>
              <w:t xml:space="preserve">Page </w:t>
            </w:r>
            <w:r w:rsidRPr="00B0034B">
              <w:rPr>
                <w:rFonts w:ascii="Georgia" w:hAnsi="Georgia"/>
                <w:b/>
                <w:bCs/>
                <w:sz w:val="22"/>
                <w:szCs w:val="22"/>
              </w:rPr>
              <w:fldChar w:fldCharType="begin"/>
            </w:r>
            <w:r w:rsidRPr="00B0034B">
              <w:rPr>
                <w:rFonts w:ascii="Georgia" w:hAnsi="Georgia"/>
                <w:b/>
                <w:bCs/>
                <w:sz w:val="22"/>
                <w:szCs w:val="22"/>
              </w:rPr>
              <w:instrText xml:space="preserve"> PAGE </w:instrText>
            </w:r>
            <w:r w:rsidRPr="00B0034B">
              <w:rPr>
                <w:rFonts w:ascii="Georgia" w:hAnsi="Georgia"/>
                <w:b/>
                <w:bCs/>
                <w:sz w:val="22"/>
                <w:szCs w:val="22"/>
              </w:rPr>
              <w:fldChar w:fldCharType="separate"/>
            </w:r>
            <w:r w:rsidR="00CC76CE">
              <w:rPr>
                <w:rFonts w:ascii="Georgia" w:hAnsi="Georgia"/>
                <w:b/>
                <w:bCs/>
                <w:noProof/>
                <w:sz w:val="22"/>
                <w:szCs w:val="22"/>
              </w:rPr>
              <w:t>1</w:t>
            </w:r>
            <w:r w:rsidRPr="00B0034B">
              <w:rPr>
                <w:rFonts w:ascii="Georgia" w:hAnsi="Georgia"/>
                <w:b/>
                <w:bCs/>
                <w:sz w:val="22"/>
                <w:szCs w:val="22"/>
              </w:rPr>
              <w:fldChar w:fldCharType="end"/>
            </w:r>
            <w:r w:rsidRPr="00B0034B">
              <w:rPr>
                <w:rFonts w:ascii="Georgia" w:hAnsi="Georgia"/>
                <w:sz w:val="22"/>
                <w:szCs w:val="22"/>
              </w:rPr>
              <w:t xml:space="preserve"> of </w:t>
            </w:r>
            <w:r w:rsidRPr="00B0034B">
              <w:rPr>
                <w:rFonts w:ascii="Georgia" w:hAnsi="Georgia"/>
                <w:b/>
                <w:bCs/>
                <w:sz w:val="22"/>
                <w:szCs w:val="22"/>
              </w:rPr>
              <w:fldChar w:fldCharType="begin"/>
            </w:r>
            <w:r w:rsidRPr="00B0034B">
              <w:rPr>
                <w:rFonts w:ascii="Georgia" w:hAnsi="Georgia"/>
                <w:b/>
                <w:bCs/>
                <w:sz w:val="22"/>
                <w:szCs w:val="22"/>
              </w:rPr>
              <w:instrText xml:space="preserve"> NUMPAGES  </w:instrText>
            </w:r>
            <w:r w:rsidRPr="00B0034B">
              <w:rPr>
                <w:rFonts w:ascii="Georgia" w:hAnsi="Georgia"/>
                <w:b/>
                <w:bCs/>
                <w:sz w:val="22"/>
                <w:szCs w:val="22"/>
              </w:rPr>
              <w:fldChar w:fldCharType="separate"/>
            </w:r>
            <w:r w:rsidR="00CC76CE">
              <w:rPr>
                <w:rFonts w:ascii="Georgia" w:hAnsi="Georgia"/>
                <w:b/>
                <w:bCs/>
                <w:noProof/>
                <w:sz w:val="22"/>
                <w:szCs w:val="22"/>
              </w:rPr>
              <w:t>2</w:t>
            </w:r>
            <w:r w:rsidRPr="00B0034B">
              <w:rPr>
                <w:rFonts w:ascii="Georgia" w:hAnsi="Georgia"/>
                <w:b/>
                <w:bCs/>
                <w:sz w:val="22"/>
                <w:szCs w:val="22"/>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2B6E72" w14:textId="77777777" w:rsidR="00E30600" w:rsidRDefault="00E30600">
      <w:r>
        <w:separator/>
      </w:r>
    </w:p>
  </w:footnote>
  <w:footnote w:type="continuationSeparator" w:id="0">
    <w:p w14:paraId="7D9C93CB" w14:textId="77777777" w:rsidR="00E30600" w:rsidRDefault="00E30600">
      <w:r>
        <w:continuationSeparator/>
      </w:r>
    </w:p>
  </w:footnote>
  <w:footnote w:id="1">
    <w:p w14:paraId="2D077061" w14:textId="6AA3052B" w:rsidR="008A7DAD" w:rsidRPr="008A7DAD" w:rsidRDefault="008A7DAD">
      <w:pPr>
        <w:pStyle w:val="FootnoteText"/>
        <w:rPr>
          <w:rFonts w:ascii="Georgia" w:hAnsi="Georgia"/>
        </w:rPr>
      </w:pPr>
      <w:r w:rsidRPr="008A7DAD">
        <w:rPr>
          <w:rStyle w:val="FootnoteReference"/>
          <w:rFonts w:ascii="Georgia" w:hAnsi="Georgia"/>
        </w:rPr>
        <w:footnoteRef/>
      </w:r>
      <w:r w:rsidRPr="008A7DAD">
        <w:rPr>
          <w:rFonts w:ascii="Georgia" w:hAnsi="Georgia"/>
        </w:rPr>
        <w:t xml:space="preserve"> https://www.va.gov/vetdata/veteran_population.asp</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2C76CC" w14:textId="547A4ABC" w:rsidR="00BE214D" w:rsidRDefault="00BE214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1E6919" w14:textId="7291E5CF" w:rsidR="00BE214D" w:rsidRDefault="00BE214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73E035" w14:textId="1F3F24FA" w:rsidR="00BE214D" w:rsidRDefault="00BE214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B443838"/>
    <w:lvl w:ilvl="0">
      <w:start w:val="1"/>
      <w:numFmt w:val="bullet"/>
      <w:pStyle w:val="ListBullet"/>
      <w:lvlText w:val=""/>
      <w:lvlJc w:val="left"/>
      <w:pPr>
        <w:tabs>
          <w:tab w:val="num" w:pos="360"/>
        </w:tabs>
        <w:ind w:left="360" w:hanging="360"/>
      </w:pPr>
      <w:rPr>
        <w:rFonts w:ascii="Wingdings" w:hAnsi="Wingdings" w:hint="default"/>
        <w:b w:val="0"/>
        <w:i w:val="0"/>
        <w:color w:val="0068C6"/>
        <w:sz w:val="22"/>
        <w:szCs w:val="22"/>
      </w:rPr>
    </w:lvl>
  </w:abstractNum>
  <w:abstractNum w:abstractNumId="1">
    <w:nsid w:val="01567031"/>
    <w:multiLevelType w:val="hybridMultilevel"/>
    <w:tmpl w:val="B3AA1262"/>
    <w:lvl w:ilvl="0" w:tplc="477A8A6A">
      <w:start w:val="12"/>
      <w:numFmt w:val="decimal"/>
      <w:lvlText w:val="%1."/>
      <w:lvlJc w:val="left"/>
      <w:pPr>
        <w:tabs>
          <w:tab w:val="num" w:pos="480"/>
        </w:tabs>
        <w:ind w:left="480" w:hanging="420"/>
      </w:pPr>
      <w:rPr>
        <w:rFonts w:hint="default"/>
      </w:rPr>
    </w:lvl>
    <w:lvl w:ilvl="1" w:tplc="04090001">
      <w:start w:val="1"/>
      <w:numFmt w:val="bullet"/>
      <w:lvlText w:val=""/>
      <w:lvlJc w:val="left"/>
      <w:pPr>
        <w:tabs>
          <w:tab w:val="num" w:pos="1140"/>
        </w:tabs>
        <w:ind w:left="1140" w:hanging="360"/>
      </w:pPr>
      <w:rPr>
        <w:rFonts w:ascii="Symbol" w:hAnsi="Symbol" w:hint="default"/>
      </w:r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
    <w:nsid w:val="0757402F"/>
    <w:multiLevelType w:val="hybridMultilevel"/>
    <w:tmpl w:val="0FE652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BD46AB0"/>
    <w:multiLevelType w:val="hybridMultilevel"/>
    <w:tmpl w:val="7A822A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nsid w:val="1BDD219D"/>
    <w:multiLevelType w:val="hybridMultilevel"/>
    <w:tmpl w:val="6422FFE6"/>
    <w:lvl w:ilvl="0" w:tplc="6B84312E">
      <w:start w:val="1"/>
      <w:numFmt w:val="bullet"/>
      <w:lvlText w:val=""/>
      <w:lvlJc w:val="left"/>
      <w:pPr>
        <w:tabs>
          <w:tab w:val="num" w:pos="1080"/>
        </w:tabs>
        <w:ind w:left="108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2FC493B"/>
    <w:multiLevelType w:val="hybridMultilevel"/>
    <w:tmpl w:val="2F0439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3775233"/>
    <w:multiLevelType w:val="hybridMultilevel"/>
    <w:tmpl w:val="9F7E3EA0"/>
    <w:lvl w:ilvl="0" w:tplc="D15A0E02">
      <w:start w:val="1"/>
      <w:numFmt w:val="bullet"/>
      <w:lvlText w:val=""/>
      <w:lvlJc w:val="left"/>
      <w:pPr>
        <w:tabs>
          <w:tab w:val="num" w:pos="360"/>
        </w:tabs>
        <w:ind w:left="360" w:hanging="360"/>
      </w:pPr>
      <w:rPr>
        <w:rFonts w:ascii="Symbol" w:hAnsi="Symbol" w:hint="default"/>
        <w:color w:val="auto"/>
        <w:sz w:val="26"/>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25FE35BD"/>
    <w:multiLevelType w:val="hybridMultilevel"/>
    <w:tmpl w:val="7CFE7F44"/>
    <w:lvl w:ilvl="0" w:tplc="F21CDDF4">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C9E2D40"/>
    <w:multiLevelType w:val="hybridMultilevel"/>
    <w:tmpl w:val="7CBE0DC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nsid w:val="4DFA373E"/>
    <w:multiLevelType w:val="hybridMultilevel"/>
    <w:tmpl w:val="2BDE40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692159B2"/>
    <w:multiLevelType w:val="hybridMultilevel"/>
    <w:tmpl w:val="893656E4"/>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1">
    <w:nsid w:val="6C333EE5"/>
    <w:multiLevelType w:val="hybridMultilevel"/>
    <w:tmpl w:val="8D64CED6"/>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7B5E0921"/>
    <w:multiLevelType w:val="hybridMultilevel"/>
    <w:tmpl w:val="D974D198"/>
    <w:lvl w:ilvl="0" w:tplc="04090011">
      <w:start w:val="1"/>
      <w:numFmt w:val="decimal"/>
      <w:lvlText w:val="%1)"/>
      <w:lvlJc w:val="left"/>
      <w:pPr>
        <w:ind w:left="1584" w:hanging="360"/>
      </w:pPr>
      <w:rPr>
        <w:rFonts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num w:numId="1">
    <w:abstractNumId w:val="0"/>
  </w:num>
  <w:num w:numId="2">
    <w:abstractNumId w:val="6"/>
  </w:num>
  <w:num w:numId="3">
    <w:abstractNumId w:val="4"/>
  </w:num>
  <w:num w:numId="4">
    <w:abstractNumId w:val="1"/>
  </w:num>
  <w:num w:numId="5">
    <w:abstractNumId w:val="7"/>
  </w:num>
  <w:num w:numId="6">
    <w:abstractNumId w:val="8"/>
  </w:num>
  <w:num w:numId="7">
    <w:abstractNumId w:val="5"/>
  </w:num>
  <w:num w:numId="8">
    <w:abstractNumId w:val="2"/>
  </w:num>
  <w:num w:numId="9">
    <w:abstractNumId w:val="11"/>
  </w:num>
  <w:num w:numId="10">
    <w:abstractNumId w:val="10"/>
  </w:num>
  <w:num w:numId="11">
    <w:abstractNumId w:val="3"/>
  </w:num>
  <w:num w:numId="12">
    <w:abstractNumId w:val="3"/>
  </w:num>
  <w:num w:numId="13">
    <w:abstractNumId w:val="9"/>
  </w:num>
  <w:num w:numId="14">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04D"/>
    <w:rsid w:val="000013FC"/>
    <w:rsid w:val="00003BC3"/>
    <w:rsid w:val="0000462C"/>
    <w:rsid w:val="00006F93"/>
    <w:rsid w:val="00012D5F"/>
    <w:rsid w:val="00021A37"/>
    <w:rsid w:val="0002657D"/>
    <w:rsid w:val="0002715C"/>
    <w:rsid w:val="000320A4"/>
    <w:rsid w:val="00037D0C"/>
    <w:rsid w:val="00045FF2"/>
    <w:rsid w:val="00047EBB"/>
    <w:rsid w:val="00054C7B"/>
    <w:rsid w:val="00057031"/>
    <w:rsid w:val="000574FC"/>
    <w:rsid w:val="00062576"/>
    <w:rsid w:val="0006537E"/>
    <w:rsid w:val="00070BFD"/>
    <w:rsid w:val="00074C5B"/>
    <w:rsid w:val="00075B4F"/>
    <w:rsid w:val="00081461"/>
    <w:rsid w:val="00090BCD"/>
    <w:rsid w:val="000936B0"/>
    <w:rsid w:val="00095473"/>
    <w:rsid w:val="000A30F8"/>
    <w:rsid w:val="000B2F15"/>
    <w:rsid w:val="000B5275"/>
    <w:rsid w:val="000B6AD0"/>
    <w:rsid w:val="000C1302"/>
    <w:rsid w:val="000C15E5"/>
    <w:rsid w:val="000C4B02"/>
    <w:rsid w:val="000E0130"/>
    <w:rsid w:val="000E1BA6"/>
    <w:rsid w:val="000E338E"/>
    <w:rsid w:val="000E4274"/>
    <w:rsid w:val="000E59F0"/>
    <w:rsid w:val="000F132D"/>
    <w:rsid w:val="000F23A0"/>
    <w:rsid w:val="00103582"/>
    <w:rsid w:val="00107473"/>
    <w:rsid w:val="001075D3"/>
    <w:rsid w:val="00113C00"/>
    <w:rsid w:val="0011467C"/>
    <w:rsid w:val="001224A2"/>
    <w:rsid w:val="001228B3"/>
    <w:rsid w:val="001254E6"/>
    <w:rsid w:val="00131E15"/>
    <w:rsid w:val="001359FE"/>
    <w:rsid w:val="00140E86"/>
    <w:rsid w:val="00141EF1"/>
    <w:rsid w:val="001461CF"/>
    <w:rsid w:val="0014638C"/>
    <w:rsid w:val="0014778B"/>
    <w:rsid w:val="00147BE8"/>
    <w:rsid w:val="001511D4"/>
    <w:rsid w:val="001534E5"/>
    <w:rsid w:val="00153E89"/>
    <w:rsid w:val="00156E21"/>
    <w:rsid w:val="001614DE"/>
    <w:rsid w:val="00161D52"/>
    <w:rsid w:val="00166DD1"/>
    <w:rsid w:val="001701FA"/>
    <w:rsid w:val="0017123D"/>
    <w:rsid w:val="00171673"/>
    <w:rsid w:val="001766E7"/>
    <w:rsid w:val="0018069B"/>
    <w:rsid w:val="00184DA4"/>
    <w:rsid w:val="0019299E"/>
    <w:rsid w:val="00192B35"/>
    <w:rsid w:val="001A47DF"/>
    <w:rsid w:val="001A7FF8"/>
    <w:rsid w:val="001B1A1A"/>
    <w:rsid w:val="001B4793"/>
    <w:rsid w:val="001B527C"/>
    <w:rsid w:val="001C0F2F"/>
    <w:rsid w:val="001C23F9"/>
    <w:rsid w:val="001C5929"/>
    <w:rsid w:val="001C64BF"/>
    <w:rsid w:val="001D3654"/>
    <w:rsid w:val="001E0538"/>
    <w:rsid w:val="001F2671"/>
    <w:rsid w:val="00203B46"/>
    <w:rsid w:val="0020511B"/>
    <w:rsid w:val="002072EB"/>
    <w:rsid w:val="00207CC2"/>
    <w:rsid w:val="00210A73"/>
    <w:rsid w:val="00216160"/>
    <w:rsid w:val="00217513"/>
    <w:rsid w:val="00220678"/>
    <w:rsid w:val="002219E9"/>
    <w:rsid w:val="00222863"/>
    <w:rsid w:val="00226E1C"/>
    <w:rsid w:val="00236152"/>
    <w:rsid w:val="0024096B"/>
    <w:rsid w:val="002510D1"/>
    <w:rsid w:val="00265788"/>
    <w:rsid w:val="00265965"/>
    <w:rsid w:val="00265987"/>
    <w:rsid w:val="002669CF"/>
    <w:rsid w:val="002674DF"/>
    <w:rsid w:val="00272033"/>
    <w:rsid w:val="002761D9"/>
    <w:rsid w:val="0028004D"/>
    <w:rsid w:val="002851D6"/>
    <w:rsid w:val="00286F16"/>
    <w:rsid w:val="00290C1C"/>
    <w:rsid w:val="00291B69"/>
    <w:rsid w:val="002933B0"/>
    <w:rsid w:val="0029481D"/>
    <w:rsid w:val="00296B30"/>
    <w:rsid w:val="002B294E"/>
    <w:rsid w:val="002C05D2"/>
    <w:rsid w:val="002C07E3"/>
    <w:rsid w:val="002C23A0"/>
    <w:rsid w:val="002D2DF2"/>
    <w:rsid w:val="002D38E4"/>
    <w:rsid w:val="002D4DC2"/>
    <w:rsid w:val="002D5CF4"/>
    <w:rsid w:val="002D7AEF"/>
    <w:rsid w:val="002E057A"/>
    <w:rsid w:val="002E0719"/>
    <w:rsid w:val="002E5D4A"/>
    <w:rsid w:val="002F07F6"/>
    <w:rsid w:val="002F1880"/>
    <w:rsid w:val="002F2416"/>
    <w:rsid w:val="003014C1"/>
    <w:rsid w:val="00303951"/>
    <w:rsid w:val="00312514"/>
    <w:rsid w:val="00314F80"/>
    <w:rsid w:val="0031556C"/>
    <w:rsid w:val="0032717D"/>
    <w:rsid w:val="003412F2"/>
    <w:rsid w:val="00344002"/>
    <w:rsid w:val="00344DEF"/>
    <w:rsid w:val="003503A3"/>
    <w:rsid w:val="00353EAA"/>
    <w:rsid w:val="00357467"/>
    <w:rsid w:val="00364A8F"/>
    <w:rsid w:val="00364DD8"/>
    <w:rsid w:val="00367E37"/>
    <w:rsid w:val="003711F8"/>
    <w:rsid w:val="00371872"/>
    <w:rsid w:val="0037355F"/>
    <w:rsid w:val="00391D8D"/>
    <w:rsid w:val="0039514E"/>
    <w:rsid w:val="003A17BD"/>
    <w:rsid w:val="003A330A"/>
    <w:rsid w:val="003B4A59"/>
    <w:rsid w:val="003B7029"/>
    <w:rsid w:val="003C14E6"/>
    <w:rsid w:val="003C2A9F"/>
    <w:rsid w:val="003C4BA5"/>
    <w:rsid w:val="003C725C"/>
    <w:rsid w:val="003D132D"/>
    <w:rsid w:val="003D38FB"/>
    <w:rsid w:val="003E11B1"/>
    <w:rsid w:val="003E1240"/>
    <w:rsid w:val="003E43F1"/>
    <w:rsid w:val="003F790D"/>
    <w:rsid w:val="004023D1"/>
    <w:rsid w:val="00403B79"/>
    <w:rsid w:val="00405AFB"/>
    <w:rsid w:val="0040677D"/>
    <w:rsid w:val="004131A4"/>
    <w:rsid w:val="00415EA4"/>
    <w:rsid w:val="00416CE5"/>
    <w:rsid w:val="00420193"/>
    <w:rsid w:val="00420825"/>
    <w:rsid w:val="004238F0"/>
    <w:rsid w:val="0042647F"/>
    <w:rsid w:val="00430381"/>
    <w:rsid w:val="004330F5"/>
    <w:rsid w:val="00434877"/>
    <w:rsid w:val="00435CEB"/>
    <w:rsid w:val="0044043B"/>
    <w:rsid w:val="0044152F"/>
    <w:rsid w:val="0044318E"/>
    <w:rsid w:val="00444A55"/>
    <w:rsid w:val="004454B8"/>
    <w:rsid w:val="00447883"/>
    <w:rsid w:val="004518C6"/>
    <w:rsid w:val="00457DDF"/>
    <w:rsid w:val="00462797"/>
    <w:rsid w:val="00467B03"/>
    <w:rsid w:val="00470167"/>
    <w:rsid w:val="0047032D"/>
    <w:rsid w:val="0047257B"/>
    <w:rsid w:val="00474C0A"/>
    <w:rsid w:val="00481470"/>
    <w:rsid w:val="00483F02"/>
    <w:rsid w:val="00484C31"/>
    <w:rsid w:val="004858C9"/>
    <w:rsid w:val="004859C8"/>
    <w:rsid w:val="00486B8E"/>
    <w:rsid w:val="00486C3B"/>
    <w:rsid w:val="00491286"/>
    <w:rsid w:val="00492720"/>
    <w:rsid w:val="004935A1"/>
    <w:rsid w:val="004A002C"/>
    <w:rsid w:val="004A3447"/>
    <w:rsid w:val="004A61D5"/>
    <w:rsid w:val="004B00AD"/>
    <w:rsid w:val="004B6016"/>
    <w:rsid w:val="004C0A34"/>
    <w:rsid w:val="004C1620"/>
    <w:rsid w:val="004C31DD"/>
    <w:rsid w:val="004C6BF0"/>
    <w:rsid w:val="004D07BF"/>
    <w:rsid w:val="004D3C5E"/>
    <w:rsid w:val="004D3DDB"/>
    <w:rsid w:val="004E09C0"/>
    <w:rsid w:val="004E105D"/>
    <w:rsid w:val="004E16A9"/>
    <w:rsid w:val="004E5418"/>
    <w:rsid w:val="004E74F9"/>
    <w:rsid w:val="004E7D6D"/>
    <w:rsid w:val="004F2609"/>
    <w:rsid w:val="004F5104"/>
    <w:rsid w:val="004F6DF1"/>
    <w:rsid w:val="005001E0"/>
    <w:rsid w:val="0050110C"/>
    <w:rsid w:val="00505043"/>
    <w:rsid w:val="005055DD"/>
    <w:rsid w:val="00515C53"/>
    <w:rsid w:val="00520F34"/>
    <w:rsid w:val="00522389"/>
    <w:rsid w:val="00523AC1"/>
    <w:rsid w:val="0052416F"/>
    <w:rsid w:val="0052473A"/>
    <w:rsid w:val="00531256"/>
    <w:rsid w:val="005333C3"/>
    <w:rsid w:val="005356EF"/>
    <w:rsid w:val="005370DF"/>
    <w:rsid w:val="00537AC0"/>
    <w:rsid w:val="00543203"/>
    <w:rsid w:val="0055189F"/>
    <w:rsid w:val="0055333F"/>
    <w:rsid w:val="005553FF"/>
    <w:rsid w:val="005643D9"/>
    <w:rsid w:val="0057438F"/>
    <w:rsid w:val="0057600E"/>
    <w:rsid w:val="00577C38"/>
    <w:rsid w:val="00580711"/>
    <w:rsid w:val="00582357"/>
    <w:rsid w:val="00586059"/>
    <w:rsid w:val="005877D0"/>
    <w:rsid w:val="00597F7E"/>
    <w:rsid w:val="005A3FB6"/>
    <w:rsid w:val="005A408B"/>
    <w:rsid w:val="005A43C5"/>
    <w:rsid w:val="005A7718"/>
    <w:rsid w:val="005B0D66"/>
    <w:rsid w:val="005B2FA5"/>
    <w:rsid w:val="005B4859"/>
    <w:rsid w:val="005C1968"/>
    <w:rsid w:val="005C3507"/>
    <w:rsid w:val="005D12D5"/>
    <w:rsid w:val="005D1DF4"/>
    <w:rsid w:val="005D2F2A"/>
    <w:rsid w:val="005D410D"/>
    <w:rsid w:val="005D671B"/>
    <w:rsid w:val="005E303E"/>
    <w:rsid w:val="005E67E2"/>
    <w:rsid w:val="005F2C88"/>
    <w:rsid w:val="005F41BC"/>
    <w:rsid w:val="006040B1"/>
    <w:rsid w:val="006044C1"/>
    <w:rsid w:val="0060713B"/>
    <w:rsid w:val="00612DA8"/>
    <w:rsid w:val="00616385"/>
    <w:rsid w:val="006167C0"/>
    <w:rsid w:val="00626A38"/>
    <w:rsid w:val="00627DE2"/>
    <w:rsid w:val="00633969"/>
    <w:rsid w:val="00633E12"/>
    <w:rsid w:val="00636B28"/>
    <w:rsid w:val="00641B47"/>
    <w:rsid w:val="006514D3"/>
    <w:rsid w:val="00651A0F"/>
    <w:rsid w:val="00654BB7"/>
    <w:rsid w:val="00656D5A"/>
    <w:rsid w:val="00665637"/>
    <w:rsid w:val="0066590D"/>
    <w:rsid w:val="0067303D"/>
    <w:rsid w:val="00673866"/>
    <w:rsid w:val="00674176"/>
    <w:rsid w:val="00684506"/>
    <w:rsid w:val="00687358"/>
    <w:rsid w:val="0068769D"/>
    <w:rsid w:val="00691615"/>
    <w:rsid w:val="00692D2F"/>
    <w:rsid w:val="006A54C4"/>
    <w:rsid w:val="006A7EE5"/>
    <w:rsid w:val="006B0AB9"/>
    <w:rsid w:val="006B1BB3"/>
    <w:rsid w:val="006B24FD"/>
    <w:rsid w:val="006B459B"/>
    <w:rsid w:val="006B4D52"/>
    <w:rsid w:val="006C026D"/>
    <w:rsid w:val="006C05C7"/>
    <w:rsid w:val="006C1D0E"/>
    <w:rsid w:val="006C1FE9"/>
    <w:rsid w:val="006C2F88"/>
    <w:rsid w:val="006C2FD9"/>
    <w:rsid w:val="006C311E"/>
    <w:rsid w:val="006C58FD"/>
    <w:rsid w:val="006C6741"/>
    <w:rsid w:val="006C6AC2"/>
    <w:rsid w:val="006D4450"/>
    <w:rsid w:val="006D624F"/>
    <w:rsid w:val="006D7C8C"/>
    <w:rsid w:val="006F0F24"/>
    <w:rsid w:val="006F2710"/>
    <w:rsid w:val="006F286C"/>
    <w:rsid w:val="006F4934"/>
    <w:rsid w:val="0070185D"/>
    <w:rsid w:val="007020C1"/>
    <w:rsid w:val="0070674E"/>
    <w:rsid w:val="007143C0"/>
    <w:rsid w:val="007157B6"/>
    <w:rsid w:val="00717DEB"/>
    <w:rsid w:val="00720CC5"/>
    <w:rsid w:val="00725860"/>
    <w:rsid w:val="00726174"/>
    <w:rsid w:val="00733CBD"/>
    <w:rsid w:val="007346FA"/>
    <w:rsid w:val="00735C4A"/>
    <w:rsid w:val="00736F3A"/>
    <w:rsid w:val="00741B58"/>
    <w:rsid w:val="0074294C"/>
    <w:rsid w:val="007464A9"/>
    <w:rsid w:val="00750799"/>
    <w:rsid w:val="00757F11"/>
    <w:rsid w:val="00761615"/>
    <w:rsid w:val="00763AB5"/>
    <w:rsid w:val="00764D52"/>
    <w:rsid w:val="00771740"/>
    <w:rsid w:val="00772AB7"/>
    <w:rsid w:val="007777D0"/>
    <w:rsid w:val="00777823"/>
    <w:rsid w:val="007804A4"/>
    <w:rsid w:val="0078363B"/>
    <w:rsid w:val="0078709F"/>
    <w:rsid w:val="007874FD"/>
    <w:rsid w:val="00792830"/>
    <w:rsid w:val="00792A0E"/>
    <w:rsid w:val="007942E4"/>
    <w:rsid w:val="00795235"/>
    <w:rsid w:val="00795D22"/>
    <w:rsid w:val="007A2E46"/>
    <w:rsid w:val="007B4E96"/>
    <w:rsid w:val="007B5C73"/>
    <w:rsid w:val="007C03B9"/>
    <w:rsid w:val="007C20E5"/>
    <w:rsid w:val="007C4AD4"/>
    <w:rsid w:val="007D4372"/>
    <w:rsid w:val="007D7757"/>
    <w:rsid w:val="007E1546"/>
    <w:rsid w:val="007E2E4E"/>
    <w:rsid w:val="007E4452"/>
    <w:rsid w:val="007F00CD"/>
    <w:rsid w:val="007F5BB5"/>
    <w:rsid w:val="00800279"/>
    <w:rsid w:val="008003A5"/>
    <w:rsid w:val="00804C7B"/>
    <w:rsid w:val="008067FB"/>
    <w:rsid w:val="00810ADA"/>
    <w:rsid w:val="0081147C"/>
    <w:rsid w:val="0081196B"/>
    <w:rsid w:val="00812211"/>
    <w:rsid w:val="008253BF"/>
    <w:rsid w:val="00825AA4"/>
    <w:rsid w:val="008311AA"/>
    <w:rsid w:val="008568A7"/>
    <w:rsid w:val="00856B37"/>
    <w:rsid w:val="00857E96"/>
    <w:rsid w:val="00862631"/>
    <w:rsid w:val="00862B83"/>
    <w:rsid w:val="008709D7"/>
    <w:rsid w:val="00870B92"/>
    <w:rsid w:val="008712ED"/>
    <w:rsid w:val="00871791"/>
    <w:rsid w:val="00873303"/>
    <w:rsid w:val="00875BDF"/>
    <w:rsid w:val="00884D7C"/>
    <w:rsid w:val="00887CA7"/>
    <w:rsid w:val="008924A6"/>
    <w:rsid w:val="00893CB7"/>
    <w:rsid w:val="008A4253"/>
    <w:rsid w:val="008A7DAD"/>
    <w:rsid w:val="008B2666"/>
    <w:rsid w:val="008B64B6"/>
    <w:rsid w:val="008C3DEA"/>
    <w:rsid w:val="008C59C9"/>
    <w:rsid w:val="008C6407"/>
    <w:rsid w:val="008E18B5"/>
    <w:rsid w:val="008E31F9"/>
    <w:rsid w:val="008E4A96"/>
    <w:rsid w:val="008E50D3"/>
    <w:rsid w:val="008F08D1"/>
    <w:rsid w:val="008F73F5"/>
    <w:rsid w:val="00911D3A"/>
    <w:rsid w:val="00912E29"/>
    <w:rsid w:val="00922E25"/>
    <w:rsid w:val="00924543"/>
    <w:rsid w:val="00924ECB"/>
    <w:rsid w:val="009257AE"/>
    <w:rsid w:val="00925DD1"/>
    <w:rsid w:val="00931BFE"/>
    <w:rsid w:val="00936F7E"/>
    <w:rsid w:val="009372E0"/>
    <w:rsid w:val="00952C89"/>
    <w:rsid w:val="00954DEB"/>
    <w:rsid w:val="0095612F"/>
    <w:rsid w:val="00956531"/>
    <w:rsid w:val="009577E8"/>
    <w:rsid w:val="00972785"/>
    <w:rsid w:val="00980FAF"/>
    <w:rsid w:val="009828BD"/>
    <w:rsid w:val="00984F05"/>
    <w:rsid w:val="00987EA4"/>
    <w:rsid w:val="00990388"/>
    <w:rsid w:val="009903C0"/>
    <w:rsid w:val="00996DFD"/>
    <w:rsid w:val="009A039F"/>
    <w:rsid w:val="009A706E"/>
    <w:rsid w:val="009B248D"/>
    <w:rsid w:val="009B3CEF"/>
    <w:rsid w:val="009B485A"/>
    <w:rsid w:val="009B5E41"/>
    <w:rsid w:val="009B671E"/>
    <w:rsid w:val="009C3D3A"/>
    <w:rsid w:val="009C5D2A"/>
    <w:rsid w:val="009E4BD9"/>
    <w:rsid w:val="009E552A"/>
    <w:rsid w:val="009E5D66"/>
    <w:rsid w:val="009E7924"/>
    <w:rsid w:val="009F34EA"/>
    <w:rsid w:val="009F5D56"/>
    <w:rsid w:val="00A074CF"/>
    <w:rsid w:val="00A1797B"/>
    <w:rsid w:val="00A22F51"/>
    <w:rsid w:val="00A27A96"/>
    <w:rsid w:val="00A30B19"/>
    <w:rsid w:val="00A33099"/>
    <w:rsid w:val="00A3449D"/>
    <w:rsid w:val="00A36A0A"/>
    <w:rsid w:val="00A37F78"/>
    <w:rsid w:val="00A41451"/>
    <w:rsid w:val="00A42F6C"/>
    <w:rsid w:val="00A44AF7"/>
    <w:rsid w:val="00A50F0B"/>
    <w:rsid w:val="00A525F6"/>
    <w:rsid w:val="00A5656B"/>
    <w:rsid w:val="00A620CC"/>
    <w:rsid w:val="00A63241"/>
    <w:rsid w:val="00A634DE"/>
    <w:rsid w:val="00A67AAB"/>
    <w:rsid w:val="00A73A85"/>
    <w:rsid w:val="00A756AD"/>
    <w:rsid w:val="00A769D1"/>
    <w:rsid w:val="00A83936"/>
    <w:rsid w:val="00A85A9B"/>
    <w:rsid w:val="00A87BBB"/>
    <w:rsid w:val="00AA08F1"/>
    <w:rsid w:val="00AA2B30"/>
    <w:rsid w:val="00AA430D"/>
    <w:rsid w:val="00AB188D"/>
    <w:rsid w:val="00AB6EA9"/>
    <w:rsid w:val="00AC004E"/>
    <w:rsid w:val="00AD0FAC"/>
    <w:rsid w:val="00AD6763"/>
    <w:rsid w:val="00AD6EAC"/>
    <w:rsid w:val="00AE0175"/>
    <w:rsid w:val="00AE0AA6"/>
    <w:rsid w:val="00AE10F7"/>
    <w:rsid w:val="00AE17B6"/>
    <w:rsid w:val="00AE5E87"/>
    <w:rsid w:val="00AF111C"/>
    <w:rsid w:val="00AF41BC"/>
    <w:rsid w:val="00AF42F5"/>
    <w:rsid w:val="00B0034B"/>
    <w:rsid w:val="00B0274A"/>
    <w:rsid w:val="00B044B7"/>
    <w:rsid w:val="00B12263"/>
    <w:rsid w:val="00B15966"/>
    <w:rsid w:val="00B23595"/>
    <w:rsid w:val="00B24932"/>
    <w:rsid w:val="00B2571F"/>
    <w:rsid w:val="00B26466"/>
    <w:rsid w:val="00B26636"/>
    <w:rsid w:val="00B34C5C"/>
    <w:rsid w:val="00B36B85"/>
    <w:rsid w:val="00B4433C"/>
    <w:rsid w:val="00B44C65"/>
    <w:rsid w:val="00B545E2"/>
    <w:rsid w:val="00B63766"/>
    <w:rsid w:val="00B63E6E"/>
    <w:rsid w:val="00B6477F"/>
    <w:rsid w:val="00B71743"/>
    <w:rsid w:val="00B7424D"/>
    <w:rsid w:val="00B7441B"/>
    <w:rsid w:val="00B76B9F"/>
    <w:rsid w:val="00B812DE"/>
    <w:rsid w:val="00B8145E"/>
    <w:rsid w:val="00B82711"/>
    <w:rsid w:val="00B82FF6"/>
    <w:rsid w:val="00B83AE6"/>
    <w:rsid w:val="00B871BB"/>
    <w:rsid w:val="00B95F14"/>
    <w:rsid w:val="00B9629A"/>
    <w:rsid w:val="00BA2706"/>
    <w:rsid w:val="00BA4B57"/>
    <w:rsid w:val="00BC03E1"/>
    <w:rsid w:val="00BC1E07"/>
    <w:rsid w:val="00BC76C4"/>
    <w:rsid w:val="00BD1518"/>
    <w:rsid w:val="00BD6E49"/>
    <w:rsid w:val="00BD7AAE"/>
    <w:rsid w:val="00BE214D"/>
    <w:rsid w:val="00BE5810"/>
    <w:rsid w:val="00BF5019"/>
    <w:rsid w:val="00BF7152"/>
    <w:rsid w:val="00BF75C5"/>
    <w:rsid w:val="00C02933"/>
    <w:rsid w:val="00C04A84"/>
    <w:rsid w:val="00C059B0"/>
    <w:rsid w:val="00C07069"/>
    <w:rsid w:val="00C15509"/>
    <w:rsid w:val="00C30281"/>
    <w:rsid w:val="00C30700"/>
    <w:rsid w:val="00C32205"/>
    <w:rsid w:val="00C34EA7"/>
    <w:rsid w:val="00C37078"/>
    <w:rsid w:val="00C40178"/>
    <w:rsid w:val="00C41C49"/>
    <w:rsid w:val="00C42C28"/>
    <w:rsid w:val="00C4312C"/>
    <w:rsid w:val="00C4613D"/>
    <w:rsid w:val="00C516A4"/>
    <w:rsid w:val="00C56E36"/>
    <w:rsid w:val="00C56E73"/>
    <w:rsid w:val="00C60EE1"/>
    <w:rsid w:val="00C74E6C"/>
    <w:rsid w:val="00C758AF"/>
    <w:rsid w:val="00C86B96"/>
    <w:rsid w:val="00C912CF"/>
    <w:rsid w:val="00C96567"/>
    <w:rsid w:val="00C97BBA"/>
    <w:rsid w:val="00C97D7A"/>
    <w:rsid w:val="00CA77AC"/>
    <w:rsid w:val="00CA7EEB"/>
    <w:rsid w:val="00CB2AEF"/>
    <w:rsid w:val="00CB2D0B"/>
    <w:rsid w:val="00CB4B26"/>
    <w:rsid w:val="00CB5FA3"/>
    <w:rsid w:val="00CC5C96"/>
    <w:rsid w:val="00CC6008"/>
    <w:rsid w:val="00CC60AB"/>
    <w:rsid w:val="00CC6DC4"/>
    <w:rsid w:val="00CC76CE"/>
    <w:rsid w:val="00CD1E37"/>
    <w:rsid w:val="00CD4BBE"/>
    <w:rsid w:val="00CD7E6B"/>
    <w:rsid w:val="00CE6B34"/>
    <w:rsid w:val="00CF2ECA"/>
    <w:rsid w:val="00CF3FE1"/>
    <w:rsid w:val="00CF738B"/>
    <w:rsid w:val="00D06D34"/>
    <w:rsid w:val="00D0791F"/>
    <w:rsid w:val="00D14033"/>
    <w:rsid w:val="00D2298B"/>
    <w:rsid w:val="00D230DC"/>
    <w:rsid w:val="00D25FF9"/>
    <w:rsid w:val="00D32976"/>
    <w:rsid w:val="00D332F6"/>
    <w:rsid w:val="00D348A6"/>
    <w:rsid w:val="00D4200A"/>
    <w:rsid w:val="00D4298B"/>
    <w:rsid w:val="00D466A6"/>
    <w:rsid w:val="00D46A0A"/>
    <w:rsid w:val="00D47145"/>
    <w:rsid w:val="00D50C75"/>
    <w:rsid w:val="00D62D79"/>
    <w:rsid w:val="00D70854"/>
    <w:rsid w:val="00D7454C"/>
    <w:rsid w:val="00D775A4"/>
    <w:rsid w:val="00D80042"/>
    <w:rsid w:val="00D809ED"/>
    <w:rsid w:val="00D839D0"/>
    <w:rsid w:val="00D83FD3"/>
    <w:rsid w:val="00D92693"/>
    <w:rsid w:val="00D9346D"/>
    <w:rsid w:val="00D93AD3"/>
    <w:rsid w:val="00D96EFD"/>
    <w:rsid w:val="00DA656D"/>
    <w:rsid w:val="00DB13C6"/>
    <w:rsid w:val="00DB1466"/>
    <w:rsid w:val="00DC023C"/>
    <w:rsid w:val="00DC6F89"/>
    <w:rsid w:val="00DD1656"/>
    <w:rsid w:val="00DD3077"/>
    <w:rsid w:val="00DD3DE7"/>
    <w:rsid w:val="00DD5091"/>
    <w:rsid w:val="00DD6244"/>
    <w:rsid w:val="00DF29F8"/>
    <w:rsid w:val="00DF454E"/>
    <w:rsid w:val="00DF497F"/>
    <w:rsid w:val="00DF6DB1"/>
    <w:rsid w:val="00DF74B9"/>
    <w:rsid w:val="00E017F2"/>
    <w:rsid w:val="00E01C49"/>
    <w:rsid w:val="00E021D4"/>
    <w:rsid w:val="00E0291C"/>
    <w:rsid w:val="00E049F3"/>
    <w:rsid w:val="00E06119"/>
    <w:rsid w:val="00E075F8"/>
    <w:rsid w:val="00E07829"/>
    <w:rsid w:val="00E11E0F"/>
    <w:rsid w:val="00E14052"/>
    <w:rsid w:val="00E15751"/>
    <w:rsid w:val="00E2337C"/>
    <w:rsid w:val="00E23403"/>
    <w:rsid w:val="00E30600"/>
    <w:rsid w:val="00E31542"/>
    <w:rsid w:val="00E31FC3"/>
    <w:rsid w:val="00E367A2"/>
    <w:rsid w:val="00E36D46"/>
    <w:rsid w:val="00E37C51"/>
    <w:rsid w:val="00E420F1"/>
    <w:rsid w:val="00E42AD9"/>
    <w:rsid w:val="00E45372"/>
    <w:rsid w:val="00E574A2"/>
    <w:rsid w:val="00E60148"/>
    <w:rsid w:val="00E614C3"/>
    <w:rsid w:val="00E667C2"/>
    <w:rsid w:val="00E66B2C"/>
    <w:rsid w:val="00E66CBC"/>
    <w:rsid w:val="00E75ABD"/>
    <w:rsid w:val="00E76BCA"/>
    <w:rsid w:val="00E8413E"/>
    <w:rsid w:val="00E85AF6"/>
    <w:rsid w:val="00E86644"/>
    <w:rsid w:val="00E86998"/>
    <w:rsid w:val="00E9749C"/>
    <w:rsid w:val="00EA045D"/>
    <w:rsid w:val="00EA5A84"/>
    <w:rsid w:val="00EA61BD"/>
    <w:rsid w:val="00EB0F25"/>
    <w:rsid w:val="00EB14BE"/>
    <w:rsid w:val="00EB2B4F"/>
    <w:rsid w:val="00EB56DA"/>
    <w:rsid w:val="00EB61F4"/>
    <w:rsid w:val="00EC4A52"/>
    <w:rsid w:val="00EC54A2"/>
    <w:rsid w:val="00EC5D99"/>
    <w:rsid w:val="00ED4134"/>
    <w:rsid w:val="00ED5F0A"/>
    <w:rsid w:val="00ED6973"/>
    <w:rsid w:val="00EE2467"/>
    <w:rsid w:val="00EE287E"/>
    <w:rsid w:val="00EE36B7"/>
    <w:rsid w:val="00EE6E3F"/>
    <w:rsid w:val="00EE6F68"/>
    <w:rsid w:val="00F01563"/>
    <w:rsid w:val="00F06766"/>
    <w:rsid w:val="00F07179"/>
    <w:rsid w:val="00F07F33"/>
    <w:rsid w:val="00F15379"/>
    <w:rsid w:val="00F16515"/>
    <w:rsid w:val="00F20E73"/>
    <w:rsid w:val="00F244AE"/>
    <w:rsid w:val="00F25021"/>
    <w:rsid w:val="00F26CB2"/>
    <w:rsid w:val="00F30452"/>
    <w:rsid w:val="00F357F7"/>
    <w:rsid w:val="00F42B3A"/>
    <w:rsid w:val="00F46BB4"/>
    <w:rsid w:val="00F50143"/>
    <w:rsid w:val="00F542D0"/>
    <w:rsid w:val="00F54541"/>
    <w:rsid w:val="00F6174B"/>
    <w:rsid w:val="00F626E8"/>
    <w:rsid w:val="00F726C7"/>
    <w:rsid w:val="00F73756"/>
    <w:rsid w:val="00F74E74"/>
    <w:rsid w:val="00F75FBF"/>
    <w:rsid w:val="00F80EA3"/>
    <w:rsid w:val="00F8126C"/>
    <w:rsid w:val="00F84839"/>
    <w:rsid w:val="00F84E7D"/>
    <w:rsid w:val="00F8505A"/>
    <w:rsid w:val="00F85801"/>
    <w:rsid w:val="00F86402"/>
    <w:rsid w:val="00F86454"/>
    <w:rsid w:val="00F902CA"/>
    <w:rsid w:val="00F91411"/>
    <w:rsid w:val="00F95642"/>
    <w:rsid w:val="00F95790"/>
    <w:rsid w:val="00FB0505"/>
    <w:rsid w:val="00FB4DEA"/>
    <w:rsid w:val="00FB5065"/>
    <w:rsid w:val="00FB6913"/>
    <w:rsid w:val="00FB6F5C"/>
    <w:rsid w:val="00FC1CA8"/>
    <w:rsid w:val="00FC5AB1"/>
    <w:rsid w:val="00FC5D2A"/>
    <w:rsid w:val="00FC6377"/>
    <w:rsid w:val="00FD0190"/>
    <w:rsid w:val="00FD1938"/>
    <w:rsid w:val="00FD20E1"/>
    <w:rsid w:val="00FD23D1"/>
    <w:rsid w:val="00FD3394"/>
    <w:rsid w:val="00FD6F56"/>
    <w:rsid w:val="00FD727D"/>
    <w:rsid w:val="00FE12D7"/>
    <w:rsid w:val="00FE3393"/>
    <w:rsid w:val="00FF1E1A"/>
    <w:rsid w:val="00FF59C9"/>
    <w:rsid w:val="00FF74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B7A8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outlineLvl w:val="0"/>
    </w:pPr>
    <w:rPr>
      <w:rFonts w:ascii="Arial" w:hAnsi="Arial" w:cs="Arial"/>
      <w:b/>
      <w:bCs/>
      <w:sz w:val="24"/>
    </w:rPr>
  </w:style>
  <w:style w:type="paragraph" w:styleId="Heading2">
    <w:name w:val="heading 2"/>
    <w:basedOn w:val="Normal"/>
    <w:next w:val="Normal"/>
    <w:qFormat/>
    <w:pPr>
      <w:keepNext/>
      <w:tabs>
        <w:tab w:val="num" w:pos="360"/>
      </w:tabs>
      <w:ind w:left="360" w:hanging="360"/>
      <w:outlineLvl w:val="1"/>
    </w:pPr>
    <w:rPr>
      <w:rFonts w:ascii="Arial" w:hAnsi="Arial" w:cs="Arial"/>
      <w:b/>
      <w:bCs/>
      <w:sz w:val="24"/>
    </w:rPr>
  </w:style>
  <w:style w:type="paragraph" w:styleId="Heading3">
    <w:name w:val="heading 3"/>
    <w:basedOn w:val="Normal"/>
    <w:next w:val="Normal"/>
    <w:qFormat/>
    <w:pPr>
      <w:keepNext/>
      <w:ind w:hanging="990"/>
      <w:outlineLvl w:val="2"/>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4"/>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character" w:styleId="FollowedHyperlink">
    <w:name w:val="FollowedHyperlink"/>
    <w:rPr>
      <w:color w:val="800080"/>
      <w:u w:val="single"/>
    </w:rPr>
  </w:style>
  <w:style w:type="paragraph" w:customStyle="1" w:styleId="CaliberBodyText">
    <w:name w:val="Caliber Body Text"/>
    <w:basedOn w:val="Normal"/>
    <w:pPr>
      <w:spacing w:after="240" w:line="288" w:lineRule="auto"/>
      <w:ind w:firstLine="720"/>
    </w:pPr>
    <w:rPr>
      <w:sz w:val="24"/>
    </w:rPr>
  </w:style>
  <w:style w:type="character" w:customStyle="1" w:styleId="CaliberBodyTextChar">
    <w:name w:val="Caliber Body Text Char"/>
    <w:rPr>
      <w:sz w:val="24"/>
      <w:lang w:val="en-US" w:eastAsia="en-US" w:bidi="ar-SA"/>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FootnoteText">
    <w:name w:val="footnote text"/>
    <w:aliases w:val="F1"/>
    <w:basedOn w:val="Normal"/>
    <w:link w:val="FootnoteTextChar"/>
    <w:uiPriority w:val="99"/>
    <w:semiHidden/>
    <w:pPr>
      <w:spacing w:after="120"/>
    </w:pPr>
  </w:style>
  <w:style w:type="character" w:styleId="FootnoteReference">
    <w:name w:val="footnote reference"/>
    <w:semiHidden/>
    <w:rPr>
      <w:vertAlign w:val="superscript"/>
    </w:rPr>
  </w:style>
  <w:style w:type="character" w:styleId="Hyperlink">
    <w:name w:val="Hyperlink"/>
    <w:rPr>
      <w:color w:val="0000FF"/>
      <w:u w:val="single"/>
    </w:rPr>
  </w:style>
  <w:style w:type="paragraph" w:styleId="NormalWeb">
    <w:name w:val="Normal (Web)"/>
    <w:basedOn w:val="Normal"/>
    <w:uiPriority w:val="99"/>
    <w:pPr>
      <w:spacing w:before="100" w:beforeAutospacing="1" w:after="100" w:afterAutospacing="1"/>
    </w:pPr>
    <w:rPr>
      <w:sz w:val="24"/>
      <w:szCs w:val="24"/>
    </w:rPr>
  </w:style>
  <w:style w:type="paragraph" w:styleId="ListBullet">
    <w:name w:val="List Bullet"/>
    <w:basedOn w:val="Normal"/>
    <w:pPr>
      <w:numPr>
        <w:numId w:val="1"/>
      </w:numPr>
      <w:spacing w:after="120"/>
    </w:pPr>
    <w:rPr>
      <w:rFonts w:ascii="Arial" w:hAnsi="Arial"/>
      <w:sz w:val="22"/>
      <w:szCs w:val="22"/>
    </w:rPr>
  </w:style>
  <w:style w:type="paragraph" w:customStyle="1" w:styleId="CaliberICFText">
    <w:name w:val="Caliber ICF Text"/>
    <w:basedOn w:val="Normal"/>
    <w:pPr>
      <w:spacing w:before="240" w:after="240"/>
    </w:pPr>
    <w:rPr>
      <w:rFonts w:ascii="Arial" w:hAnsi="Arial" w:cs="Arial"/>
      <w:sz w:val="22"/>
      <w:szCs w:val="22"/>
    </w:rPr>
  </w:style>
  <w:style w:type="paragraph" w:customStyle="1" w:styleId="CaliberICFHeading3">
    <w:name w:val="Caliber ICF Heading 3"/>
    <w:basedOn w:val="Heading3"/>
    <w:pPr>
      <w:spacing w:after="240"/>
      <w:ind w:firstLine="0"/>
    </w:pPr>
    <w:rPr>
      <w:rFonts w:ascii="Arial Bold" w:hAnsi="Arial Bold"/>
      <w:color w:val="0072C6"/>
    </w:rPr>
  </w:style>
  <w:style w:type="character" w:customStyle="1" w:styleId="CaliberICFHeading3Char">
    <w:name w:val="Caliber ICF Heading 3 Char"/>
    <w:rPr>
      <w:rFonts w:ascii="Arial Bold" w:hAnsi="Arial Bold"/>
      <w:b/>
      <w:bCs/>
      <w:color w:val="0072C6"/>
      <w:sz w:val="24"/>
      <w:lang w:val="en-US" w:eastAsia="en-US" w:bidi="ar-SA"/>
    </w:rPr>
  </w:style>
  <w:style w:type="character" w:customStyle="1" w:styleId="CaliberICFTextChar">
    <w:name w:val="Caliber ICF Text Char"/>
    <w:rPr>
      <w:rFonts w:ascii="Arial" w:hAnsi="Arial" w:cs="Arial"/>
      <w:sz w:val="22"/>
      <w:szCs w:val="22"/>
      <w:lang w:val="en-US" w:eastAsia="en-US" w:bidi="ar-SA"/>
    </w:rPr>
  </w:style>
  <w:style w:type="paragraph" w:styleId="BodyText2">
    <w:name w:val="Body Text 2"/>
    <w:basedOn w:val="Normal"/>
  </w:style>
  <w:style w:type="paragraph" w:styleId="Title">
    <w:name w:val="Title"/>
    <w:basedOn w:val="Normal"/>
    <w:qFormat/>
    <w:pPr>
      <w:jc w:val="center"/>
    </w:pPr>
    <w:rPr>
      <w:b/>
      <w:bCs/>
      <w:sz w:val="24"/>
      <w:szCs w:val="24"/>
    </w:rPr>
  </w:style>
  <w:style w:type="paragraph" w:styleId="Header">
    <w:name w:val="header"/>
    <w:basedOn w:val="Normal"/>
    <w:rsid w:val="00CC60AB"/>
    <w:pPr>
      <w:tabs>
        <w:tab w:val="center" w:pos="4320"/>
        <w:tab w:val="right" w:pos="8640"/>
      </w:tabs>
    </w:pPr>
  </w:style>
  <w:style w:type="paragraph" w:styleId="Footer">
    <w:name w:val="footer"/>
    <w:basedOn w:val="Normal"/>
    <w:link w:val="FooterChar"/>
    <w:uiPriority w:val="99"/>
    <w:rsid w:val="00CC60AB"/>
    <w:pPr>
      <w:tabs>
        <w:tab w:val="center" w:pos="4320"/>
        <w:tab w:val="right" w:pos="8640"/>
      </w:tabs>
    </w:pPr>
  </w:style>
  <w:style w:type="paragraph" w:styleId="Revision">
    <w:name w:val="Revision"/>
    <w:hidden/>
    <w:uiPriority w:val="99"/>
    <w:semiHidden/>
    <w:rsid w:val="00654BB7"/>
  </w:style>
  <w:style w:type="paragraph" w:customStyle="1" w:styleId="Default">
    <w:name w:val="Default"/>
    <w:rsid w:val="003F790D"/>
    <w:pPr>
      <w:autoSpaceDE w:val="0"/>
      <w:autoSpaceDN w:val="0"/>
      <w:adjustRightInd w:val="0"/>
    </w:pPr>
    <w:rPr>
      <w:color w:val="000000"/>
      <w:sz w:val="24"/>
      <w:szCs w:val="24"/>
    </w:rPr>
  </w:style>
  <w:style w:type="paragraph" w:styleId="ListParagraph">
    <w:name w:val="List Paragraph"/>
    <w:basedOn w:val="Normal"/>
    <w:uiPriority w:val="34"/>
    <w:qFormat/>
    <w:rsid w:val="00113C00"/>
    <w:pPr>
      <w:ind w:left="720"/>
      <w:contextualSpacing/>
    </w:pPr>
  </w:style>
  <w:style w:type="character" w:customStyle="1" w:styleId="FooterChar">
    <w:name w:val="Footer Char"/>
    <w:basedOn w:val="DefaultParagraphFont"/>
    <w:link w:val="Footer"/>
    <w:uiPriority w:val="99"/>
    <w:rsid w:val="0078363B"/>
  </w:style>
  <w:style w:type="paragraph" w:customStyle="1" w:styleId="TableParagraph">
    <w:name w:val="Table Paragraph"/>
    <w:basedOn w:val="Normal"/>
    <w:uiPriority w:val="1"/>
    <w:qFormat/>
    <w:rsid w:val="004B00AD"/>
    <w:pPr>
      <w:widowControl w:val="0"/>
      <w:autoSpaceDE w:val="0"/>
      <w:autoSpaceDN w:val="0"/>
    </w:pPr>
    <w:rPr>
      <w:sz w:val="22"/>
      <w:szCs w:val="22"/>
      <w:lang w:bidi="en-US"/>
    </w:rPr>
  </w:style>
  <w:style w:type="paragraph" w:styleId="NoSpacing">
    <w:name w:val="No Spacing"/>
    <w:uiPriority w:val="1"/>
    <w:qFormat/>
    <w:rsid w:val="00CB5FA3"/>
    <w:rPr>
      <w:rFonts w:asciiTheme="minorHAnsi" w:eastAsiaTheme="minorHAnsi" w:hAnsiTheme="minorHAnsi" w:cstheme="minorBidi"/>
      <w:sz w:val="22"/>
      <w:szCs w:val="22"/>
    </w:rPr>
  </w:style>
  <w:style w:type="paragraph" w:customStyle="1" w:styleId="rteindent1">
    <w:name w:val="rteindent1"/>
    <w:basedOn w:val="Normal"/>
    <w:rsid w:val="001C64BF"/>
    <w:pPr>
      <w:spacing w:after="240" w:line="332" w:lineRule="atLeast"/>
      <w:ind w:left="600"/>
    </w:pPr>
    <w:rPr>
      <w:rFonts w:ascii="Arial" w:hAnsi="Arial" w:cs="Arial"/>
      <w:color w:val="434343"/>
      <w:spacing w:val="2"/>
      <w:sz w:val="24"/>
      <w:szCs w:val="24"/>
    </w:rPr>
  </w:style>
  <w:style w:type="character" w:customStyle="1" w:styleId="FootnoteTextChar">
    <w:name w:val="Footnote Text Char"/>
    <w:aliases w:val="F1 Char"/>
    <w:basedOn w:val="DefaultParagraphFont"/>
    <w:link w:val="FootnoteText"/>
    <w:uiPriority w:val="99"/>
    <w:semiHidden/>
    <w:rsid w:val="005333C3"/>
  </w:style>
  <w:style w:type="paragraph" w:customStyle="1" w:styleId="CM10">
    <w:name w:val="CM10"/>
    <w:basedOn w:val="Normal"/>
    <w:next w:val="Normal"/>
    <w:uiPriority w:val="99"/>
    <w:rsid w:val="00C34EA7"/>
    <w:pPr>
      <w:widowControl w:val="0"/>
      <w:autoSpaceDE w:val="0"/>
      <w:autoSpaceDN w:val="0"/>
      <w:adjustRightInd w:val="0"/>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outlineLvl w:val="0"/>
    </w:pPr>
    <w:rPr>
      <w:rFonts w:ascii="Arial" w:hAnsi="Arial" w:cs="Arial"/>
      <w:b/>
      <w:bCs/>
      <w:sz w:val="24"/>
    </w:rPr>
  </w:style>
  <w:style w:type="paragraph" w:styleId="Heading2">
    <w:name w:val="heading 2"/>
    <w:basedOn w:val="Normal"/>
    <w:next w:val="Normal"/>
    <w:qFormat/>
    <w:pPr>
      <w:keepNext/>
      <w:tabs>
        <w:tab w:val="num" w:pos="360"/>
      </w:tabs>
      <w:ind w:left="360" w:hanging="360"/>
      <w:outlineLvl w:val="1"/>
    </w:pPr>
    <w:rPr>
      <w:rFonts w:ascii="Arial" w:hAnsi="Arial" w:cs="Arial"/>
      <w:b/>
      <w:bCs/>
      <w:sz w:val="24"/>
    </w:rPr>
  </w:style>
  <w:style w:type="paragraph" w:styleId="Heading3">
    <w:name w:val="heading 3"/>
    <w:basedOn w:val="Normal"/>
    <w:next w:val="Normal"/>
    <w:qFormat/>
    <w:pPr>
      <w:keepNext/>
      <w:ind w:hanging="990"/>
      <w:outlineLvl w:val="2"/>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4"/>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character" w:styleId="FollowedHyperlink">
    <w:name w:val="FollowedHyperlink"/>
    <w:rPr>
      <w:color w:val="800080"/>
      <w:u w:val="single"/>
    </w:rPr>
  </w:style>
  <w:style w:type="paragraph" w:customStyle="1" w:styleId="CaliberBodyText">
    <w:name w:val="Caliber Body Text"/>
    <w:basedOn w:val="Normal"/>
    <w:pPr>
      <w:spacing w:after="240" w:line="288" w:lineRule="auto"/>
      <w:ind w:firstLine="720"/>
    </w:pPr>
    <w:rPr>
      <w:sz w:val="24"/>
    </w:rPr>
  </w:style>
  <w:style w:type="character" w:customStyle="1" w:styleId="CaliberBodyTextChar">
    <w:name w:val="Caliber Body Text Char"/>
    <w:rPr>
      <w:sz w:val="24"/>
      <w:lang w:val="en-US" w:eastAsia="en-US" w:bidi="ar-SA"/>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FootnoteText">
    <w:name w:val="footnote text"/>
    <w:aliases w:val="F1"/>
    <w:basedOn w:val="Normal"/>
    <w:link w:val="FootnoteTextChar"/>
    <w:uiPriority w:val="99"/>
    <w:semiHidden/>
    <w:pPr>
      <w:spacing w:after="120"/>
    </w:pPr>
  </w:style>
  <w:style w:type="character" w:styleId="FootnoteReference">
    <w:name w:val="footnote reference"/>
    <w:semiHidden/>
    <w:rPr>
      <w:vertAlign w:val="superscript"/>
    </w:rPr>
  </w:style>
  <w:style w:type="character" w:styleId="Hyperlink">
    <w:name w:val="Hyperlink"/>
    <w:rPr>
      <w:color w:val="0000FF"/>
      <w:u w:val="single"/>
    </w:rPr>
  </w:style>
  <w:style w:type="paragraph" w:styleId="NormalWeb">
    <w:name w:val="Normal (Web)"/>
    <w:basedOn w:val="Normal"/>
    <w:uiPriority w:val="99"/>
    <w:pPr>
      <w:spacing w:before="100" w:beforeAutospacing="1" w:after="100" w:afterAutospacing="1"/>
    </w:pPr>
    <w:rPr>
      <w:sz w:val="24"/>
      <w:szCs w:val="24"/>
    </w:rPr>
  </w:style>
  <w:style w:type="paragraph" w:styleId="ListBullet">
    <w:name w:val="List Bullet"/>
    <w:basedOn w:val="Normal"/>
    <w:pPr>
      <w:numPr>
        <w:numId w:val="1"/>
      </w:numPr>
      <w:spacing w:after="120"/>
    </w:pPr>
    <w:rPr>
      <w:rFonts w:ascii="Arial" w:hAnsi="Arial"/>
      <w:sz w:val="22"/>
      <w:szCs w:val="22"/>
    </w:rPr>
  </w:style>
  <w:style w:type="paragraph" w:customStyle="1" w:styleId="CaliberICFText">
    <w:name w:val="Caliber ICF Text"/>
    <w:basedOn w:val="Normal"/>
    <w:pPr>
      <w:spacing w:before="240" w:after="240"/>
    </w:pPr>
    <w:rPr>
      <w:rFonts w:ascii="Arial" w:hAnsi="Arial" w:cs="Arial"/>
      <w:sz w:val="22"/>
      <w:szCs w:val="22"/>
    </w:rPr>
  </w:style>
  <w:style w:type="paragraph" w:customStyle="1" w:styleId="CaliberICFHeading3">
    <w:name w:val="Caliber ICF Heading 3"/>
    <w:basedOn w:val="Heading3"/>
    <w:pPr>
      <w:spacing w:after="240"/>
      <w:ind w:firstLine="0"/>
    </w:pPr>
    <w:rPr>
      <w:rFonts w:ascii="Arial Bold" w:hAnsi="Arial Bold"/>
      <w:color w:val="0072C6"/>
    </w:rPr>
  </w:style>
  <w:style w:type="character" w:customStyle="1" w:styleId="CaliberICFHeading3Char">
    <w:name w:val="Caliber ICF Heading 3 Char"/>
    <w:rPr>
      <w:rFonts w:ascii="Arial Bold" w:hAnsi="Arial Bold"/>
      <w:b/>
      <w:bCs/>
      <w:color w:val="0072C6"/>
      <w:sz w:val="24"/>
      <w:lang w:val="en-US" w:eastAsia="en-US" w:bidi="ar-SA"/>
    </w:rPr>
  </w:style>
  <w:style w:type="character" w:customStyle="1" w:styleId="CaliberICFTextChar">
    <w:name w:val="Caliber ICF Text Char"/>
    <w:rPr>
      <w:rFonts w:ascii="Arial" w:hAnsi="Arial" w:cs="Arial"/>
      <w:sz w:val="22"/>
      <w:szCs w:val="22"/>
      <w:lang w:val="en-US" w:eastAsia="en-US" w:bidi="ar-SA"/>
    </w:rPr>
  </w:style>
  <w:style w:type="paragraph" w:styleId="BodyText2">
    <w:name w:val="Body Text 2"/>
    <w:basedOn w:val="Normal"/>
  </w:style>
  <w:style w:type="paragraph" w:styleId="Title">
    <w:name w:val="Title"/>
    <w:basedOn w:val="Normal"/>
    <w:qFormat/>
    <w:pPr>
      <w:jc w:val="center"/>
    </w:pPr>
    <w:rPr>
      <w:b/>
      <w:bCs/>
      <w:sz w:val="24"/>
      <w:szCs w:val="24"/>
    </w:rPr>
  </w:style>
  <w:style w:type="paragraph" w:styleId="Header">
    <w:name w:val="header"/>
    <w:basedOn w:val="Normal"/>
    <w:rsid w:val="00CC60AB"/>
    <w:pPr>
      <w:tabs>
        <w:tab w:val="center" w:pos="4320"/>
        <w:tab w:val="right" w:pos="8640"/>
      </w:tabs>
    </w:pPr>
  </w:style>
  <w:style w:type="paragraph" w:styleId="Footer">
    <w:name w:val="footer"/>
    <w:basedOn w:val="Normal"/>
    <w:link w:val="FooterChar"/>
    <w:uiPriority w:val="99"/>
    <w:rsid w:val="00CC60AB"/>
    <w:pPr>
      <w:tabs>
        <w:tab w:val="center" w:pos="4320"/>
        <w:tab w:val="right" w:pos="8640"/>
      </w:tabs>
    </w:pPr>
  </w:style>
  <w:style w:type="paragraph" w:styleId="Revision">
    <w:name w:val="Revision"/>
    <w:hidden/>
    <w:uiPriority w:val="99"/>
    <w:semiHidden/>
    <w:rsid w:val="00654BB7"/>
  </w:style>
  <w:style w:type="paragraph" w:customStyle="1" w:styleId="Default">
    <w:name w:val="Default"/>
    <w:rsid w:val="003F790D"/>
    <w:pPr>
      <w:autoSpaceDE w:val="0"/>
      <w:autoSpaceDN w:val="0"/>
      <w:adjustRightInd w:val="0"/>
    </w:pPr>
    <w:rPr>
      <w:color w:val="000000"/>
      <w:sz w:val="24"/>
      <w:szCs w:val="24"/>
    </w:rPr>
  </w:style>
  <w:style w:type="paragraph" w:styleId="ListParagraph">
    <w:name w:val="List Paragraph"/>
    <w:basedOn w:val="Normal"/>
    <w:uiPriority w:val="34"/>
    <w:qFormat/>
    <w:rsid w:val="00113C00"/>
    <w:pPr>
      <w:ind w:left="720"/>
      <w:contextualSpacing/>
    </w:pPr>
  </w:style>
  <w:style w:type="character" w:customStyle="1" w:styleId="FooterChar">
    <w:name w:val="Footer Char"/>
    <w:basedOn w:val="DefaultParagraphFont"/>
    <w:link w:val="Footer"/>
    <w:uiPriority w:val="99"/>
    <w:rsid w:val="0078363B"/>
  </w:style>
  <w:style w:type="paragraph" w:customStyle="1" w:styleId="TableParagraph">
    <w:name w:val="Table Paragraph"/>
    <w:basedOn w:val="Normal"/>
    <w:uiPriority w:val="1"/>
    <w:qFormat/>
    <w:rsid w:val="004B00AD"/>
    <w:pPr>
      <w:widowControl w:val="0"/>
      <w:autoSpaceDE w:val="0"/>
      <w:autoSpaceDN w:val="0"/>
    </w:pPr>
    <w:rPr>
      <w:sz w:val="22"/>
      <w:szCs w:val="22"/>
      <w:lang w:bidi="en-US"/>
    </w:rPr>
  </w:style>
  <w:style w:type="paragraph" w:styleId="NoSpacing">
    <w:name w:val="No Spacing"/>
    <w:uiPriority w:val="1"/>
    <w:qFormat/>
    <w:rsid w:val="00CB5FA3"/>
    <w:rPr>
      <w:rFonts w:asciiTheme="minorHAnsi" w:eastAsiaTheme="minorHAnsi" w:hAnsiTheme="minorHAnsi" w:cstheme="minorBidi"/>
      <w:sz w:val="22"/>
      <w:szCs w:val="22"/>
    </w:rPr>
  </w:style>
  <w:style w:type="paragraph" w:customStyle="1" w:styleId="rteindent1">
    <w:name w:val="rteindent1"/>
    <w:basedOn w:val="Normal"/>
    <w:rsid w:val="001C64BF"/>
    <w:pPr>
      <w:spacing w:after="240" w:line="332" w:lineRule="atLeast"/>
      <w:ind w:left="600"/>
    </w:pPr>
    <w:rPr>
      <w:rFonts w:ascii="Arial" w:hAnsi="Arial" w:cs="Arial"/>
      <w:color w:val="434343"/>
      <w:spacing w:val="2"/>
      <w:sz w:val="24"/>
      <w:szCs w:val="24"/>
    </w:rPr>
  </w:style>
  <w:style w:type="character" w:customStyle="1" w:styleId="FootnoteTextChar">
    <w:name w:val="Footnote Text Char"/>
    <w:aliases w:val="F1 Char"/>
    <w:basedOn w:val="DefaultParagraphFont"/>
    <w:link w:val="FootnoteText"/>
    <w:uiPriority w:val="99"/>
    <w:semiHidden/>
    <w:rsid w:val="005333C3"/>
  </w:style>
  <w:style w:type="paragraph" w:customStyle="1" w:styleId="CM10">
    <w:name w:val="CM10"/>
    <w:basedOn w:val="Normal"/>
    <w:next w:val="Normal"/>
    <w:uiPriority w:val="99"/>
    <w:rsid w:val="00C34EA7"/>
    <w:pPr>
      <w:widowControl w:val="0"/>
      <w:autoSpaceDE w:val="0"/>
      <w:autoSpaceDN w:val="0"/>
      <w:adjustRightInd w:val="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152768">
      <w:bodyDiv w:val="1"/>
      <w:marLeft w:val="0"/>
      <w:marRight w:val="0"/>
      <w:marTop w:val="0"/>
      <w:marBottom w:val="0"/>
      <w:divBdr>
        <w:top w:val="none" w:sz="0" w:space="0" w:color="auto"/>
        <w:left w:val="none" w:sz="0" w:space="0" w:color="auto"/>
        <w:bottom w:val="none" w:sz="0" w:space="0" w:color="auto"/>
        <w:right w:val="none" w:sz="0" w:space="0" w:color="auto"/>
      </w:divBdr>
    </w:div>
    <w:div w:id="351956474">
      <w:bodyDiv w:val="1"/>
      <w:marLeft w:val="0"/>
      <w:marRight w:val="0"/>
      <w:marTop w:val="0"/>
      <w:marBottom w:val="0"/>
      <w:divBdr>
        <w:top w:val="none" w:sz="0" w:space="0" w:color="auto"/>
        <w:left w:val="none" w:sz="0" w:space="0" w:color="auto"/>
        <w:bottom w:val="none" w:sz="0" w:space="0" w:color="auto"/>
        <w:right w:val="none" w:sz="0" w:space="0" w:color="auto"/>
      </w:divBdr>
      <w:divsChild>
        <w:div w:id="1474105486">
          <w:marLeft w:val="0"/>
          <w:marRight w:val="0"/>
          <w:marTop w:val="0"/>
          <w:marBottom w:val="0"/>
          <w:divBdr>
            <w:top w:val="none" w:sz="0" w:space="0" w:color="auto"/>
            <w:left w:val="none" w:sz="0" w:space="0" w:color="auto"/>
            <w:bottom w:val="none" w:sz="0" w:space="0" w:color="auto"/>
            <w:right w:val="none" w:sz="0" w:space="0" w:color="auto"/>
          </w:divBdr>
          <w:divsChild>
            <w:div w:id="271673327">
              <w:marLeft w:val="0"/>
              <w:marRight w:val="0"/>
              <w:marTop w:val="0"/>
              <w:marBottom w:val="0"/>
              <w:divBdr>
                <w:top w:val="none" w:sz="0" w:space="0" w:color="auto"/>
                <w:left w:val="single" w:sz="6" w:space="0" w:color="E2E2E2"/>
                <w:bottom w:val="none" w:sz="0" w:space="0" w:color="auto"/>
                <w:right w:val="single" w:sz="6" w:space="0" w:color="E2E2E2"/>
              </w:divBdr>
              <w:divsChild>
                <w:div w:id="1090274092">
                  <w:marLeft w:val="0"/>
                  <w:marRight w:val="0"/>
                  <w:marTop w:val="0"/>
                  <w:marBottom w:val="0"/>
                  <w:divBdr>
                    <w:top w:val="none" w:sz="0" w:space="0" w:color="auto"/>
                    <w:left w:val="none" w:sz="0" w:space="0" w:color="auto"/>
                    <w:bottom w:val="none" w:sz="0" w:space="0" w:color="auto"/>
                    <w:right w:val="none" w:sz="0" w:space="0" w:color="auto"/>
                  </w:divBdr>
                  <w:divsChild>
                    <w:div w:id="212286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9908811">
      <w:bodyDiv w:val="1"/>
      <w:marLeft w:val="0"/>
      <w:marRight w:val="0"/>
      <w:marTop w:val="0"/>
      <w:marBottom w:val="0"/>
      <w:divBdr>
        <w:top w:val="none" w:sz="0" w:space="0" w:color="auto"/>
        <w:left w:val="none" w:sz="0" w:space="0" w:color="auto"/>
        <w:bottom w:val="none" w:sz="0" w:space="0" w:color="auto"/>
        <w:right w:val="none" w:sz="0" w:space="0" w:color="auto"/>
      </w:divBdr>
    </w:div>
    <w:div w:id="528182037">
      <w:bodyDiv w:val="1"/>
      <w:marLeft w:val="0"/>
      <w:marRight w:val="0"/>
      <w:marTop w:val="0"/>
      <w:marBottom w:val="0"/>
      <w:divBdr>
        <w:top w:val="none" w:sz="0" w:space="0" w:color="auto"/>
        <w:left w:val="none" w:sz="0" w:space="0" w:color="auto"/>
        <w:bottom w:val="none" w:sz="0" w:space="0" w:color="auto"/>
        <w:right w:val="none" w:sz="0" w:space="0" w:color="auto"/>
      </w:divBdr>
    </w:div>
    <w:div w:id="676083069">
      <w:bodyDiv w:val="1"/>
      <w:marLeft w:val="0"/>
      <w:marRight w:val="0"/>
      <w:marTop w:val="0"/>
      <w:marBottom w:val="0"/>
      <w:divBdr>
        <w:top w:val="none" w:sz="0" w:space="0" w:color="auto"/>
        <w:left w:val="none" w:sz="0" w:space="0" w:color="auto"/>
        <w:bottom w:val="none" w:sz="0" w:space="0" w:color="auto"/>
        <w:right w:val="none" w:sz="0" w:space="0" w:color="auto"/>
      </w:divBdr>
    </w:div>
    <w:div w:id="991762172">
      <w:bodyDiv w:val="1"/>
      <w:marLeft w:val="0"/>
      <w:marRight w:val="0"/>
      <w:marTop w:val="0"/>
      <w:marBottom w:val="0"/>
      <w:divBdr>
        <w:top w:val="none" w:sz="0" w:space="0" w:color="auto"/>
        <w:left w:val="none" w:sz="0" w:space="0" w:color="auto"/>
        <w:bottom w:val="none" w:sz="0" w:space="0" w:color="auto"/>
        <w:right w:val="none" w:sz="0" w:space="0" w:color="auto"/>
      </w:divBdr>
      <w:divsChild>
        <w:div w:id="598179016">
          <w:marLeft w:val="0"/>
          <w:marRight w:val="0"/>
          <w:marTop w:val="0"/>
          <w:marBottom w:val="0"/>
          <w:divBdr>
            <w:top w:val="none" w:sz="0" w:space="0" w:color="auto"/>
            <w:left w:val="none" w:sz="0" w:space="0" w:color="auto"/>
            <w:bottom w:val="none" w:sz="0" w:space="0" w:color="auto"/>
            <w:right w:val="none" w:sz="0" w:space="0" w:color="auto"/>
          </w:divBdr>
          <w:divsChild>
            <w:div w:id="1477650345">
              <w:marLeft w:val="0"/>
              <w:marRight w:val="0"/>
              <w:marTop w:val="0"/>
              <w:marBottom w:val="0"/>
              <w:divBdr>
                <w:top w:val="none" w:sz="0" w:space="0" w:color="auto"/>
                <w:left w:val="none" w:sz="0" w:space="0" w:color="auto"/>
                <w:bottom w:val="none" w:sz="0" w:space="0" w:color="auto"/>
                <w:right w:val="none" w:sz="0" w:space="0" w:color="auto"/>
              </w:divBdr>
              <w:divsChild>
                <w:div w:id="1820993538">
                  <w:marLeft w:val="0"/>
                  <w:marRight w:val="0"/>
                  <w:marTop w:val="0"/>
                  <w:marBottom w:val="0"/>
                  <w:divBdr>
                    <w:top w:val="none" w:sz="0" w:space="0" w:color="auto"/>
                    <w:left w:val="none" w:sz="0" w:space="0" w:color="auto"/>
                    <w:bottom w:val="none" w:sz="0" w:space="0" w:color="auto"/>
                    <w:right w:val="none" w:sz="0" w:space="0" w:color="auto"/>
                  </w:divBdr>
                  <w:divsChild>
                    <w:div w:id="452795206">
                      <w:marLeft w:val="0"/>
                      <w:marRight w:val="0"/>
                      <w:marTop w:val="0"/>
                      <w:marBottom w:val="0"/>
                      <w:divBdr>
                        <w:top w:val="none" w:sz="0" w:space="0" w:color="auto"/>
                        <w:left w:val="none" w:sz="0" w:space="0" w:color="auto"/>
                        <w:bottom w:val="none" w:sz="0" w:space="0" w:color="auto"/>
                        <w:right w:val="none" w:sz="0" w:space="0" w:color="auto"/>
                      </w:divBdr>
                      <w:divsChild>
                        <w:div w:id="1126309578">
                          <w:marLeft w:val="0"/>
                          <w:marRight w:val="0"/>
                          <w:marTop w:val="0"/>
                          <w:marBottom w:val="0"/>
                          <w:divBdr>
                            <w:top w:val="none" w:sz="0" w:space="0" w:color="auto"/>
                            <w:left w:val="none" w:sz="0" w:space="0" w:color="auto"/>
                            <w:bottom w:val="none" w:sz="0" w:space="0" w:color="auto"/>
                            <w:right w:val="none" w:sz="0" w:space="0" w:color="auto"/>
                          </w:divBdr>
                          <w:divsChild>
                            <w:div w:id="885721467">
                              <w:marLeft w:val="0"/>
                              <w:marRight w:val="0"/>
                              <w:marTop w:val="0"/>
                              <w:marBottom w:val="0"/>
                              <w:divBdr>
                                <w:top w:val="none" w:sz="0" w:space="0" w:color="auto"/>
                                <w:left w:val="none" w:sz="0" w:space="0" w:color="auto"/>
                                <w:bottom w:val="none" w:sz="0" w:space="0" w:color="auto"/>
                                <w:right w:val="none" w:sz="0" w:space="0" w:color="auto"/>
                              </w:divBdr>
                              <w:divsChild>
                                <w:div w:id="1142620782">
                                  <w:marLeft w:val="0"/>
                                  <w:marRight w:val="0"/>
                                  <w:marTop w:val="0"/>
                                  <w:marBottom w:val="0"/>
                                  <w:divBdr>
                                    <w:top w:val="none" w:sz="0" w:space="0" w:color="auto"/>
                                    <w:left w:val="none" w:sz="0" w:space="0" w:color="auto"/>
                                    <w:bottom w:val="none" w:sz="0" w:space="0" w:color="auto"/>
                                    <w:right w:val="none" w:sz="0" w:space="0" w:color="auto"/>
                                  </w:divBdr>
                                  <w:divsChild>
                                    <w:div w:id="574366210">
                                      <w:marLeft w:val="0"/>
                                      <w:marRight w:val="0"/>
                                      <w:marTop w:val="0"/>
                                      <w:marBottom w:val="0"/>
                                      <w:divBdr>
                                        <w:top w:val="none" w:sz="0" w:space="0" w:color="auto"/>
                                        <w:left w:val="none" w:sz="0" w:space="0" w:color="auto"/>
                                        <w:bottom w:val="none" w:sz="0" w:space="0" w:color="auto"/>
                                        <w:right w:val="none" w:sz="0" w:space="0" w:color="auto"/>
                                      </w:divBdr>
                                      <w:divsChild>
                                        <w:div w:id="222105881">
                                          <w:marLeft w:val="0"/>
                                          <w:marRight w:val="0"/>
                                          <w:marTop w:val="0"/>
                                          <w:marBottom w:val="0"/>
                                          <w:divBdr>
                                            <w:top w:val="none" w:sz="0" w:space="0" w:color="auto"/>
                                            <w:left w:val="none" w:sz="0" w:space="0" w:color="auto"/>
                                            <w:bottom w:val="none" w:sz="0" w:space="0" w:color="auto"/>
                                            <w:right w:val="none" w:sz="0" w:space="0" w:color="auto"/>
                                          </w:divBdr>
                                          <w:divsChild>
                                            <w:div w:id="976761402">
                                              <w:marLeft w:val="0"/>
                                              <w:marRight w:val="0"/>
                                              <w:marTop w:val="0"/>
                                              <w:marBottom w:val="0"/>
                                              <w:divBdr>
                                                <w:top w:val="none" w:sz="0" w:space="0" w:color="auto"/>
                                                <w:left w:val="none" w:sz="0" w:space="0" w:color="auto"/>
                                                <w:bottom w:val="none" w:sz="0" w:space="0" w:color="auto"/>
                                                <w:right w:val="none" w:sz="0" w:space="0" w:color="auto"/>
                                              </w:divBdr>
                                            </w:div>
                                            <w:div w:id="1772510241">
                                              <w:marLeft w:val="0"/>
                                              <w:marRight w:val="0"/>
                                              <w:marTop w:val="0"/>
                                              <w:marBottom w:val="0"/>
                                              <w:divBdr>
                                                <w:top w:val="none" w:sz="0" w:space="0" w:color="auto"/>
                                                <w:left w:val="none" w:sz="0" w:space="0" w:color="auto"/>
                                                <w:bottom w:val="none" w:sz="0" w:space="0" w:color="auto"/>
                                                <w:right w:val="none" w:sz="0" w:space="0" w:color="auto"/>
                                              </w:divBdr>
                                            </w:div>
                                          </w:divsChild>
                                        </w:div>
                                        <w:div w:id="691995285">
                                          <w:marLeft w:val="0"/>
                                          <w:marRight w:val="0"/>
                                          <w:marTop w:val="0"/>
                                          <w:marBottom w:val="0"/>
                                          <w:divBdr>
                                            <w:top w:val="none" w:sz="0" w:space="0" w:color="auto"/>
                                            <w:left w:val="none" w:sz="0" w:space="0" w:color="auto"/>
                                            <w:bottom w:val="none" w:sz="0" w:space="0" w:color="auto"/>
                                            <w:right w:val="none" w:sz="0" w:space="0" w:color="auto"/>
                                          </w:divBdr>
                                          <w:divsChild>
                                            <w:div w:id="2023437152">
                                              <w:marLeft w:val="0"/>
                                              <w:marRight w:val="0"/>
                                              <w:marTop w:val="0"/>
                                              <w:marBottom w:val="0"/>
                                              <w:divBdr>
                                                <w:top w:val="none" w:sz="0" w:space="0" w:color="auto"/>
                                                <w:left w:val="none" w:sz="0" w:space="0" w:color="auto"/>
                                                <w:bottom w:val="none" w:sz="0" w:space="0" w:color="auto"/>
                                                <w:right w:val="none" w:sz="0" w:space="0" w:color="auto"/>
                                              </w:divBdr>
                                            </w:div>
                                            <w:div w:id="186929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9295104">
                          <w:marLeft w:val="0"/>
                          <w:marRight w:val="0"/>
                          <w:marTop w:val="0"/>
                          <w:marBottom w:val="0"/>
                          <w:divBdr>
                            <w:top w:val="none" w:sz="0" w:space="0" w:color="auto"/>
                            <w:left w:val="none" w:sz="0" w:space="0" w:color="auto"/>
                            <w:bottom w:val="none" w:sz="0" w:space="0" w:color="auto"/>
                            <w:right w:val="none" w:sz="0" w:space="0" w:color="auto"/>
                          </w:divBdr>
                        </w:div>
                        <w:div w:id="713843943">
                          <w:marLeft w:val="0"/>
                          <w:marRight w:val="0"/>
                          <w:marTop w:val="0"/>
                          <w:marBottom w:val="0"/>
                          <w:divBdr>
                            <w:top w:val="none" w:sz="0" w:space="0" w:color="auto"/>
                            <w:left w:val="none" w:sz="0" w:space="0" w:color="auto"/>
                            <w:bottom w:val="none" w:sz="0" w:space="0" w:color="auto"/>
                            <w:right w:val="none" w:sz="0" w:space="0" w:color="auto"/>
                          </w:divBdr>
                          <w:divsChild>
                            <w:div w:id="2044017112">
                              <w:marLeft w:val="0"/>
                              <w:marRight w:val="0"/>
                              <w:marTop w:val="0"/>
                              <w:marBottom w:val="0"/>
                              <w:divBdr>
                                <w:top w:val="none" w:sz="0" w:space="0" w:color="auto"/>
                                <w:left w:val="none" w:sz="0" w:space="0" w:color="auto"/>
                                <w:bottom w:val="none" w:sz="0" w:space="0" w:color="auto"/>
                                <w:right w:val="none" w:sz="0" w:space="0" w:color="auto"/>
                              </w:divBdr>
                              <w:divsChild>
                                <w:div w:id="1710258568">
                                  <w:marLeft w:val="0"/>
                                  <w:marRight w:val="0"/>
                                  <w:marTop w:val="0"/>
                                  <w:marBottom w:val="0"/>
                                  <w:divBdr>
                                    <w:top w:val="none" w:sz="0" w:space="0" w:color="auto"/>
                                    <w:left w:val="none" w:sz="0" w:space="0" w:color="auto"/>
                                    <w:bottom w:val="none" w:sz="0" w:space="0" w:color="auto"/>
                                    <w:right w:val="none" w:sz="0" w:space="0" w:color="auto"/>
                                  </w:divBdr>
                                  <w:divsChild>
                                    <w:div w:id="54232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555965">
      <w:bodyDiv w:val="1"/>
      <w:marLeft w:val="0"/>
      <w:marRight w:val="0"/>
      <w:marTop w:val="0"/>
      <w:marBottom w:val="0"/>
      <w:divBdr>
        <w:top w:val="none" w:sz="0" w:space="0" w:color="auto"/>
        <w:left w:val="none" w:sz="0" w:space="0" w:color="auto"/>
        <w:bottom w:val="none" w:sz="0" w:space="0" w:color="auto"/>
        <w:right w:val="none" w:sz="0" w:space="0" w:color="auto"/>
      </w:divBdr>
    </w:div>
    <w:div w:id="1366372700">
      <w:bodyDiv w:val="1"/>
      <w:marLeft w:val="0"/>
      <w:marRight w:val="0"/>
      <w:marTop w:val="0"/>
      <w:marBottom w:val="0"/>
      <w:divBdr>
        <w:top w:val="none" w:sz="0" w:space="0" w:color="auto"/>
        <w:left w:val="none" w:sz="0" w:space="0" w:color="auto"/>
        <w:bottom w:val="none" w:sz="0" w:space="0" w:color="auto"/>
        <w:right w:val="none" w:sz="0" w:space="0" w:color="auto"/>
      </w:divBdr>
    </w:div>
    <w:div w:id="1486049720">
      <w:bodyDiv w:val="1"/>
      <w:marLeft w:val="0"/>
      <w:marRight w:val="0"/>
      <w:marTop w:val="0"/>
      <w:marBottom w:val="0"/>
      <w:divBdr>
        <w:top w:val="none" w:sz="0" w:space="0" w:color="auto"/>
        <w:left w:val="none" w:sz="0" w:space="0" w:color="auto"/>
        <w:bottom w:val="none" w:sz="0" w:space="0" w:color="auto"/>
        <w:right w:val="none" w:sz="0" w:space="0" w:color="auto"/>
      </w:divBdr>
    </w:div>
    <w:div w:id="1691568300">
      <w:bodyDiv w:val="1"/>
      <w:marLeft w:val="0"/>
      <w:marRight w:val="0"/>
      <w:marTop w:val="0"/>
      <w:marBottom w:val="0"/>
      <w:divBdr>
        <w:top w:val="none" w:sz="0" w:space="0" w:color="auto"/>
        <w:left w:val="none" w:sz="0" w:space="0" w:color="auto"/>
        <w:bottom w:val="none" w:sz="0" w:space="0" w:color="auto"/>
        <w:right w:val="none" w:sz="0" w:space="0" w:color="auto"/>
      </w:divBdr>
      <w:divsChild>
        <w:div w:id="643320049">
          <w:marLeft w:val="288"/>
          <w:marRight w:val="0"/>
          <w:marTop w:val="173"/>
          <w:marBottom w:val="0"/>
          <w:divBdr>
            <w:top w:val="none" w:sz="0" w:space="0" w:color="auto"/>
            <w:left w:val="none" w:sz="0" w:space="0" w:color="auto"/>
            <w:bottom w:val="none" w:sz="0" w:space="0" w:color="auto"/>
            <w:right w:val="none" w:sz="0" w:space="0" w:color="auto"/>
          </w:divBdr>
        </w:div>
      </w:divsChild>
    </w:div>
    <w:div w:id="1708603922">
      <w:bodyDiv w:val="1"/>
      <w:marLeft w:val="0"/>
      <w:marRight w:val="0"/>
      <w:marTop w:val="0"/>
      <w:marBottom w:val="0"/>
      <w:divBdr>
        <w:top w:val="none" w:sz="0" w:space="0" w:color="auto"/>
        <w:left w:val="none" w:sz="0" w:space="0" w:color="auto"/>
        <w:bottom w:val="none" w:sz="0" w:space="0" w:color="auto"/>
        <w:right w:val="none" w:sz="0" w:space="0" w:color="auto"/>
      </w:divBdr>
    </w:div>
    <w:div w:id="1712223362">
      <w:bodyDiv w:val="1"/>
      <w:marLeft w:val="0"/>
      <w:marRight w:val="0"/>
      <w:marTop w:val="0"/>
      <w:marBottom w:val="0"/>
      <w:divBdr>
        <w:top w:val="none" w:sz="0" w:space="0" w:color="auto"/>
        <w:left w:val="none" w:sz="0" w:space="0" w:color="auto"/>
        <w:bottom w:val="none" w:sz="0" w:space="0" w:color="auto"/>
        <w:right w:val="none" w:sz="0" w:space="0" w:color="auto"/>
      </w:divBdr>
    </w:div>
    <w:div w:id="1817607745">
      <w:bodyDiv w:val="1"/>
      <w:marLeft w:val="0"/>
      <w:marRight w:val="0"/>
      <w:marTop w:val="0"/>
      <w:marBottom w:val="0"/>
      <w:divBdr>
        <w:top w:val="none" w:sz="0" w:space="0" w:color="auto"/>
        <w:left w:val="none" w:sz="0" w:space="0" w:color="auto"/>
        <w:bottom w:val="none" w:sz="0" w:space="0" w:color="auto"/>
        <w:right w:val="none" w:sz="0" w:space="0" w:color="auto"/>
      </w:divBdr>
    </w:div>
    <w:div w:id="1950624346">
      <w:bodyDiv w:val="1"/>
      <w:marLeft w:val="0"/>
      <w:marRight w:val="0"/>
      <w:marTop w:val="0"/>
      <w:marBottom w:val="0"/>
      <w:divBdr>
        <w:top w:val="none" w:sz="0" w:space="0" w:color="auto"/>
        <w:left w:val="none" w:sz="0" w:space="0" w:color="auto"/>
        <w:bottom w:val="none" w:sz="0" w:space="0" w:color="auto"/>
        <w:right w:val="none" w:sz="0" w:space="0" w:color="auto"/>
      </w:divBdr>
      <w:divsChild>
        <w:div w:id="1994984218">
          <w:marLeft w:val="288"/>
          <w:marRight w:val="0"/>
          <w:marTop w:val="173"/>
          <w:marBottom w:val="0"/>
          <w:divBdr>
            <w:top w:val="none" w:sz="0" w:space="0" w:color="auto"/>
            <w:left w:val="none" w:sz="0" w:space="0" w:color="auto"/>
            <w:bottom w:val="none" w:sz="0" w:space="0" w:color="auto"/>
            <w:right w:val="none" w:sz="0" w:space="0" w:color="auto"/>
          </w:divBdr>
        </w:div>
      </w:divsChild>
    </w:div>
    <w:div w:id="2083796725">
      <w:bodyDiv w:val="1"/>
      <w:marLeft w:val="0"/>
      <w:marRight w:val="0"/>
      <w:marTop w:val="0"/>
      <w:marBottom w:val="0"/>
      <w:divBdr>
        <w:top w:val="none" w:sz="0" w:space="0" w:color="auto"/>
        <w:left w:val="none" w:sz="0" w:space="0" w:color="auto"/>
        <w:bottom w:val="none" w:sz="0" w:space="0" w:color="auto"/>
        <w:right w:val="none" w:sz="0" w:space="0" w:color="auto"/>
      </w:divBdr>
    </w:div>
    <w:div w:id="2114592753">
      <w:bodyDiv w:val="1"/>
      <w:marLeft w:val="0"/>
      <w:marRight w:val="0"/>
      <w:marTop w:val="0"/>
      <w:marBottom w:val="0"/>
      <w:divBdr>
        <w:top w:val="none" w:sz="0" w:space="0" w:color="auto"/>
        <w:left w:val="none" w:sz="0" w:space="0" w:color="auto"/>
        <w:bottom w:val="none" w:sz="0" w:space="0" w:color="auto"/>
        <w:right w:val="none" w:sz="0" w:space="0" w:color="auto"/>
      </w:divBdr>
    </w:div>
    <w:div w:id="2121996459">
      <w:bodyDiv w:val="1"/>
      <w:marLeft w:val="0"/>
      <w:marRight w:val="0"/>
      <w:marTop w:val="0"/>
      <w:marBottom w:val="0"/>
      <w:divBdr>
        <w:top w:val="none" w:sz="0" w:space="0" w:color="auto"/>
        <w:left w:val="none" w:sz="0" w:space="0" w:color="auto"/>
        <w:bottom w:val="none" w:sz="0" w:space="0" w:color="auto"/>
        <w:right w:val="none" w:sz="0" w:space="0" w:color="auto"/>
      </w:divBdr>
      <w:divsChild>
        <w:div w:id="840586703">
          <w:marLeft w:val="0"/>
          <w:marRight w:val="0"/>
          <w:marTop w:val="0"/>
          <w:marBottom w:val="0"/>
          <w:divBdr>
            <w:top w:val="none" w:sz="0" w:space="0" w:color="auto"/>
            <w:left w:val="none" w:sz="0" w:space="0" w:color="auto"/>
            <w:bottom w:val="none" w:sz="0" w:space="0" w:color="auto"/>
            <w:right w:val="none" w:sz="0" w:space="0" w:color="auto"/>
          </w:divBdr>
          <w:divsChild>
            <w:div w:id="1141845106">
              <w:marLeft w:val="0"/>
              <w:marRight w:val="0"/>
              <w:marTop w:val="0"/>
              <w:marBottom w:val="0"/>
              <w:divBdr>
                <w:top w:val="none" w:sz="0" w:space="0" w:color="auto"/>
                <w:left w:val="single" w:sz="6" w:space="0" w:color="E2E2E2"/>
                <w:bottom w:val="none" w:sz="0" w:space="0" w:color="auto"/>
                <w:right w:val="single" w:sz="6" w:space="0" w:color="E2E2E2"/>
              </w:divBdr>
              <w:divsChild>
                <w:div w:id="666439479">
                  <w:marLeft w:val="0"/>
                  <w:marRight w:val="0"/>
                  <w:marTop w:val="0"/>
                  <w:marBottom w:val="0"/>
                  <w:divBdr>
                    <w:top w:val="none" w:sz="0" w:space="0" w:color="auto"/>
                    <w:left w:val="none" w:sz="0" w:space="0" w:color="auto"/>
                    <w:bottom w:val="none" w:sz="0" w:space="0" w:color="auto"/>
                    <w:right w:val="none" w:sz="0" w:space="0" w:color="auto"/>
                  </w:divBdr>
                  <w:divsChild>
                    <w:div w:id="144653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0DA710-EA13-4A87-B7A0-D96DFE66C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2749</Words>
  <Characters>15671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Supporting Statement for VBA Generic Customer Survey Clearance</vt:lpstr>
    </vt:vector>
  </TitlesOfParts>
  <Company>VA</Company>
  <LinksUpToDate>false</LinksUpToDate>
  <CharactersWithSpaces>18384</CharactersWithSpaces>
  <SharedDoc>false</SharedDoc>
  <HLinks>
    <vt:vector size="6" baseType="variant">
      <vt:variant>
        <vt:i4>262258</vt:i4>
      </vt:variant>
      <vt:variant>
        <vt:i4>0</vt:i4>
      </vt:variant>
      <vt:variant>
        <vt:i4>0</vt:i4>
      </vt:variant>
      <vt:variant>
        <vt:i4>5</vt:i4>
      </vt:variant>
      <vt:variant>
        <vt:lpwstr>http://www.bls.gov/oes/current/oes_nat.htm</vt:lpwstr>
      </vt:variant>
      <vt:variant>
        <vt:lpwstr>00-0000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VBA Generic Customer Survey Clearance</dc:title>
  <dc:creator>VBA</dc:creator>
  <cp:lastModifiedBy>SYSTEM</cp:lastModifiedBy>
  <cp:revision>2</cp:revision>
  <cp:lastPrinted>2018-02-07T19:22:00Z</cp:lastPrinted>
  <dcterms:created xsi:type="dcterms:W3CDTF">2018-08-28T16:37:00Z</dcterms:created>
  <dcterms:modified xsi:type="dcterms:W3CDTF">2018-08-28T16:37:00Z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