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6B" w:rsidRDefault="00D61EE0">
      <w:pPr>
        <w:ind w:firstLine="2880"/>
        <w:rPr>
          <w:b/>
          <w:bCs/>
          <w:sz w:val="26"/>
          <w:szCs w:val="26"/>
        </w:rPr>
      </w:pPr>
      <w:bookmarkStart w:id="0" w:name="_GoBack"/>
      <w:bookmarkEnd w:id="0"/>
      <w:r>
        <w:rPr>
          <w:b/>
          <w:bCs/>
          <w:sz w:val="26"/>
          <w:szCs w:val="26"/>
        </w:rPr>
        <w:t xml:space="preserve"> </w:t>
      </w:r>
      <w:r w:rsidR="00827698">
        <w:rPr>
          <w:b/>
          <w:bCs/>
          <w:sz w:val="26"/>
          <w:szCs w:val="26"/>
        </w:rPr>
        <w:t xml:space="preserve">        </w:t>
      </w:r>
    </w:p>
    <w:p w:rsidR="00EE286B" w:rsidRDefault="00EE286B">
      <w:pPr>
        <w:ind w:firstLine="2880"/>
        <w:rPr>
          <w:b/>
          <w:bCs/>
          <w:sz w:val="26"/>
          <w:szCs w:val="26"/>
        </w:rPr>
      </w:pPr>
    </w:p>
    <w:p w:rsidR="007B3A70" w:rsidRPr="006C4049" w:rsidRDefault="007B3A70">
      <w:pPr>
        <w:ind w:firstLine="2880"/>
        <w:rPr>
          <w:sz w:val="26"/>
          <w:szCs w:val="26"/>
        </w:rPr>
      </w:pPr>
      <w:r w:rsidRPr="006C4049">
        <w:rPr>
          <w:b/>
          <w:bCs/>
          <w:sz w:val="26"/>
          <w:szCs w:val="26"/>
        </w:rPr>
        <w:t>SUPPORTING STATEMENT</w:t>
      </w:r>
      <w:r w:rsidRPr="006C4049">
        <w:rPr>
          <w:sz w:val="26"/>
          <w:szCs w:val="26"/>
        </w:rPr>
        <w:tab/>
      </w:r>
      <w:r w:rsidRPr="006C4049">
        <w:rPr>
          <w:sz w:val="26"/>
          <w:szCs w:val="26"/>
        </w:rPr>
        <w:tab/>
      </w:r>
      <w:r w:rsidRPr="006C4049">
        <w:rPr>
          <w:sz w:val="26"/>
          <w:szCs w:val="26"/>
        </w:rPr>
        <w:tab/>
      </w:r>
      <w:r w:rsidRPr="006C4049">
        <w:rPr>
          <w:sz w:val="26"/>
          <w:szCs w:val="26"/>
        </w:rPr>
        <w:tab/>
      </w:r>
    </w:p>
    <w:p w:rsidR="007B3A70" w:rsidRPr="006C4049" w:rsidRDefault="007B3A70">
      <w:pPr>
        <w:rPr>
          <w:sz w:val="26"/>
          <w:szCs w:val="26"/>
        </w:rPr>
      </w:pPr>
    </w:p>
    <w:p w:rsidR="007B3A70" w:rsidRPr="006C4049" w:rsidRDefault="007B3A70">
      <w:pPr>
        <w:rPr>
          <w:sz w:val="24"/>
        </w:rPr>
      </w:pPr>
      <w:r w:rsidRPr="006C4049">
        <w:rPr>
          <w:sz w:val="24"/>
        </w:rPr>
        <w:t xml:space="preserve">A. </w:t>
      </w:r>
      <w:r w:rsidRPr="006C4049">
        <w:rPr>
          <w:sz w:val="24"/>
          <w:u w:val="single"/>
        </w:rPr>
        <w:t>Justification</w:t>
      </w:r>
    </w:p>
    <w:p w:rsidR="007B3A70" w:rsidRDefault="007B3A70">
      <w:pPr>
        <w:rPr>
          <w:sz w:val="24"/>
        </w:rPr>
      </w:pPr>
    </w:p>
    <w:p w:rsidR="004C7DB0" w:rsidRDefault="004C7DB0">
      <w:pPr>
        <w:rPr>
          <w:sz w:val="24"/>
        </w:rPr>
      </w:pPr>
      <w:r>
        <w:rPr>
          <w:sz w:val="24"/>
        </w:rPr>
        <w:t>In August 2013, the Bureau of Safety and Environmental Enforcement (BSEE) and BTS signed an Interagency Agreement to develop and implement SafeOCS, a voluntary program for confidential reporting of ‘near misses’ occurring on the Outer Continental Shelf (OCS).  The Oil and Gas Ind</w:t>
      </w:r>
      <w:r w:rsidR="00DF4837">
        <w:rPr>
          <w:sz w:val="24"/>
        </w:rPr>
        <w:t>ustry Safety Data (ISD) program</w:t>
      </w:r>
      <w:r>
        <w:rPr>
          <w:sz w:val="24"/>
        </w:rPr>
        <w:t xml:space="preserve"> is a component of BTS’s</w:t>
      </w:r>
      <w:r w:rsidR="00BB6DCC">
        <w:rPr>
          <w:sz w:val="24"/>
        </w:rPr>
        <w:t xml:space="preserve"> SafeOCS data sharing framework</w:t>
      </w:r>
      <w:r>
        <w:rPr>
          <w:sz w:val="24"/>
        </w:rPr>
        <w:t xml:space="preserve"> that provides a trusted, proactive means for the oil and gas industry to report sensitive and proprietary safety information</w:t>
      </w:r>
      <w:r w:rsidR="000D4900">
        <w:rPr>
          <w:sz w:val="24"/>
        </w:rPr>
        <w:t>. The ISD program is also a tool that aids in identifying</w:t>
      </w:r>
      <w:r>
        <w:rPr>
          <w:sz w:val="24"/>
        </w:rPr>
        <w:t xml:space="preserve"> early warnings of safety problems and potential safety issues by uncovering hidden, at-risk conditions not previously exposed from analysis of repor</w:t>
      </w:r>
      <w:r w:rsidR="000D4900">
        <w:rPr>
          <w:sz w:val="24"/>
        </w:rPr>
        <w:t xml:space="preserve">table accidents and incidents. </w:t>
      </w:r>
      <w:r>
        <w:rPr>
          <w:sz w:val="24"/>
        </w:rPr>
        <w:t xml:space="preserve">Companies </w:t>
      </w:r>
      <w:r w:rsidR="00DF4837">
        <w:rPr>
          <w:sz w:val="24"/>
        </w:rPr>
        <w:t>participating</w:t>
      </w:r>
      <w:r>
        <w:rPr>
          <w:sz w:val="24"/>
        </w:rPr>
        <w:t xml:space="preserve"> in the ISD are </w:t>
      </w:r>
      <w:r w:rsidR="00DF4837">
        <w:rPr>
          <w:sz w:val="24"/>
        </w:rPr>
        <w:t>voluntarily</w:t>
      </w:r>
      <w:r>
        <w:rPr>
          <w:sz w:val="24"/>
        </w:rPr>
        <w:t xml:space="preserve"> submitting safety data. There is no regulatory requirement to </w:t>
      </w:r>
      <w:r w:rsidR="00DF4837">
        <w:rPr>
          <w:sz w:val="24"/>
        </w:rPr>
        <w:t xml:space="preserve">submit such data. </w:t>
      </w:r>
    </w:p>
    <w:p w:rsidR="00DF4837" w:rsidRPr="006C4049" w:rsidRDefault="00DF4837">
      <w:pPr>
        <w:rPr>
          <w:sz w:val="24"/>
        </w:rPr>
      </w:pPr>
    </w:p>
    <w:p w:rsidR="008063D5" w:rsidRPr="006C4049" w:rsidRDefault="007B3A70" w:rsidP="008063D5">
      <w:pPr>
        <w:rPr>
          <w:b/>
          <w:sz w:val="24"/>
        </w:rPr>
      </w:pPr>
      <w:r w:rsidRPr="006C4049">
        <w:rPr>
          <w:b/>
          <w:sz w:val="24"/>
        </w:rPr>
        <w:t>1.  Explain the circumstances that make the collection of information necessary.  Identify any legal or administrative requirements that necessitate the collection.</w:t>
      </w:r>
    </w:p>
    <w:p w:rsidR="008063D5" w:rsidRPr="006C4049" w:rsidRDefault="008063D5" w:rsidP="008063D5">
      <w:pPr>
        <w:rPr>
          <w:sz w:val="24"/>
        </w:rPr>
      </w:pPr>
    </w:p>
    <w:p w:rsidR="004969E7" w:rsidRPr="006C4049" w:rsidRDefault="001D4DF8" w:rsidP="00E23E19">
      <w:pPr>
        <w:rPr>
          <w:i/>
          <w:sz w:val="24"/>
          <w:lang w:val="en"/>
        </w:rPr>
      </w:pPr>
      <w:r w:rsidRPr="006C4049">
        <w:rPr>
          <w:sz w:val="24"/>
        </w:rPr>
        <w:t>Collecting transportation</w:t>
      </w:r>
      <w:r w:rsidR="00E05C68" w:rsidRPr="006C4049">
        <w:rPr>
          <w:sz w:val="24"/>
        </w:rPr>
        <w:t xml:space="preserve"> safety data, including data on precursors </w:t>
      </w:r>
      <w:r w:rsidR="00F463C2" w:rsidRPr="006C4049">
        <w:rPr>
          <w:sz w:val="24"/>
        </w:rPr>
        <w:t>to adverse events</w:t>
      </w:r>
      <w:r w:rsidR="00113C02" w:rsidRPr="006C4049">
        <w:rPr>
          <w:sz w:val="24"/>
        </w:rPr>
        <w:t>, is</w:t>
      </w:r>
      <w:r w:rsidRPr="006C4049">
        <w:rPr>
          <w:sz w:val="24"/>
        </w:rPr>
        <w:t xml:space="preserve"> an important component of </w:t>
      </w:r>
      <w:r w:rsidR="00010C4C" w:rsidRPr="006C4049">
        <w:rPr>
          <w:sz w:val="24"/>
        </w:rPr>
        <w:t>Bureau of Transportation Statistics’ (</w:t>
      </w:r>
      <w:r w:rsidR="00287130" w:rsidRPr="006C4049">
        <w:rPr>
          <w:sz w:val="24"/>
        </w:rPr>
        <w:t>BTS</w:t>
      </w:r>
      <w:r w:rsidR="00010C4C" w:rsidRPr="006C4049">
        <w:rPr>
          <w:sz w:val="24"/>
        </w:rPr>
        <w:t>)</w:t>
      </w:r>
      <w:r w:rsidRPr="006C4049">
        <w:rPr>
          <w:sz w:val="24"/>
        </w:rPr>
        <w:t xml:space="preserve"> responsibility to the transportation community</w:t>
      </w:r>
      <w:r w:rsidR="00DF023F" w:rsidRPr="006C4049">
        <w:rPr>
          <w:sz w:val="24"/>
        </w:rPr>
        <w:t>,</w:t>
      </w:r>
      <w:r w:rsidRPr="006C4049">
        <w:rPr>
          <w:sz w:val="24"/>
        </w:rPr>
        <w:t xml:space="preserve"> and is authorized in </w:t>
      </w:r>
      <w:r w:rsidR="00287130" w:rsidRPr="006C4049">
        <w:rPr>
          <w:sz w:val="24"/>
        </w:rPr>
        <w:t>BTS’s</w:t>
      </w:r>
      <w:r w:rsidRPr="006C4049">
        <w:rPr>
          <w:sz w:val="24"/>
        </w:rPr>
        <w:t xml:space="preserve"> </w:t>
      </w:r>
      <w:r w:rsidR="0039665F" w:rsidRPr="006C4049">
        <w:rPr>
          <w:sz w:val="24"/>
        </w:rPr>
        <w:t>authorizing statute</w:t>
      </w:r>
      <w:r w:rsidRPr="006C4049">
        <w:rPr>
          <w:sz w:val="24"/>
        </w:rPr>
        <w:t xml:space="preserve">. </w:t>
      </w:r>
      <w:r w:rsidR="00855675" w:rsidRPr="006C4049">
        <w:rPr>
          <w:sz w:val="24"/>
        </w:rPr>
        <w:t xml:space="preserve">Title 49 U.S.C. Chapter 63 </w:t>
      </w:r>
      <w:r w:rsidRPr="006C4049">
        <w:rPr>
          <w:sz w:val="24"/>
        </w:rPr>
        <w:t xml:space="preserve">Section </w:t>
      </w:r>
      <w:r w:rsidR="00855675" w:rsidRPr="006C4049">
        <w:rPr>
          <w:sz w:val="24"/>
        </w:rPr>
        <w:t>6306 authorizes the BTS Director to enter a</w:t>
      </w:r>
      <w:r w:rsidR="00E41C12" w:rsidRPr="006C4049">
        <w:rPr>
          <w:sz w:val="24"/>
        </w:rPr>
        <w:t>greements with Federal, state, l</w:t>
      </w:r>
      <w:r w:rsidR="00855675" w:rsidRPr="006C4049">
        <w:rPr>
          <w:sz w:val="24"/>
        </w:rPr>
        <w:t>ocal</w:t>
      </w:r>
      <w:r w:rsidR="009F367B" w:rsidRPr="006C4049">
        <w:rPr>
          <w:sz w:val="24"/>
        </w:rPr>
        <w:t>,</w:t>
      </w:r>
      <w:r w:rsidR="00855675" w:rsidRPr="006C4049">
        <w:rPr>
          <w:sz w:val="24"/>
        </w:rPr>
        <w:t xml:space="preserve"> or private agencies for the purposes of transportation data col</w:t>
      </w:r>
      <w:r w:rsidRPr="006C4049">
        <w:rPr>
          <w:sz w:val="24"/>
        </w:rPr>
        <w:t>lection and analysis.</w:t>
      </w:r>
      <w:r w:rsidR="00855675" w:rsidRPr="006C4049">
        <w:rPr>
          <w:sz w:val="24"/>
        </w:rPr>
        <w:t xml:space="preserve"> </w:t>
      </w:r>
      <w:r w:rsidR="00010C4C" w:rsidRPr="006C4049">
        <w:rPr>
          <w:sz w:val="24"/>
        </w:rPr>
        <w:t>T</w:t>
      </w:r>
      <w:r w:rsidR="00855675" w:rsidRPr="006C4049">
        <w:rPr>
          <w:sz w:val="24"/>
        </w:rPr>
        <w:t>o</w:t>
      </w:r>
      <w:r w:rsidR="00855675" w:rsidRPr="006C4049">
        <w:rPr>
          <w:sz w:val="24"/>
          <w:lang w:val="en"/>
        </w:rPr>
        <w:t xml:space="preserve"> ensure that all transportation statistical collection, analysis, and dissemination is carried out in a coordinat</w:t>
      </w:r>
      <w:r w:rsidRPr="006C4049">
        <w:rPr>
          <w:sz w:val="24"/>
          <w:lang w:val="en"/>
        </w:rPr>
        <w:t>ed manner, the BTS Director may-</w:t>
      </w:r>
      <w:r w:rsidR="00855675" w:rsidRPr="006C4049">
        <w:rPr>
          <w:sz w:val="24"/>
          <w:lang w:val="en"/>
        </w:rPr>
        <w:t xml:space="preserve"> </w:t>
      </w:r>
      <w:bookmarkStart w:id="1" w:name="1"/>
      <w:bookmarkEnd w:id="1"/>
      <w:r w:rsidR="00855675" w:rsidRPr="006C4049">
        <w:rPr>
          <w:bCs/>
          <w:i/>
          <w:sz w:val="24"/>
          <w:lang w:val="en"/>
        </w:rPr>
        <w:t>(1)</w:t>
      </w:r>
      <w:r w:rsidR="00855675" w:rsidRPr="006C4049">
        <w:rPr>
          <w:i/>
          <w:sz w:val="24"/>
          <w:lang w:val="en"/>
        </w:rPr>
        <w:t xml:space="preserve"> use the services, equipment, records, personnel, information, and facilities of other Federal agencies, or State, local, and private agencies and instrumentalities, subject to the conditions that the applicable agency or instrumentality consents to that use and with or without reimbursement for such use; </w:t>
      </w:r>
      <w:bookmarkStart w:id="2" w:name="2"/>
      <w:bookmarkEnd w:id="2"/>
      <w:r w:rsidR="00855675" w:rsidRPr="006C4049">
        <w:rPr>
          <w:bCs/>
          <w:i/>
          <w:sz w:val="24"/>
          <w:lang w:val="en"/>
        </w:rPr>
        <w:t>(2)</w:t>
      </w:r>
      <w:r w:rsidR="00855675" w:rsidRPr="006C4049">
        <w:rPr>
          <w:i/>
          <w:sz w:val="24"/>
          <w:lang w:val="en"/>
        </w:rPr>
        <w:t xml:space="preserve"> enter into agreements with the agencies and instrumentalities described in paragraph (1) for purposes of data collection and analysis</w:t>
      </w:r>
      <w:r w:rsidR="007B1F44" w:rsidRPr="006C4049">
        <w:rPr>
          <w:i/>
          <w:sz w:val="24"/>
          <w:lang w:val="en"/>
        </w:rPr>
        <w:t>.</w:t>
      </w:r>
      <w:bookmarkStart w:id="3" w:name="3"/>
      <w:bookmarkEnd w:id="3"/>
      <w:r w:rsidR="00DF023F" w:rsidRPr="006C4049">
        <w:rPr>
          <w:i/>
          <w:sz w:val="24"/>
          <w:lang w:val="en"/>
        </w:rPr>
        <w:t xml:space="preserve"> </w:t>
      </w:r>
      <w:bookmarkStart w:id="4" w:name="4"/>
      <w:bookmarkStart w:id="5" w:name="5"/>
      <w:bookmarkStart w:id="6" w:name="6"/>
      <w:bookmarkEnd w:id="4"/>
      <w:bookmarkEnd w:id="5"/>
      <w:bookmarkEnd w:id="6"/>
    </w:p>
    <w:p w:rsidR="004969E7" w:rsidRPr="006C4049" w:rsidRDefault="004969E7" w:rsidP="00E23E19">
      <w:pPr>
        <w:rPr>
          <w:i/>
          <w:sz w:val="24"/>
          <w:lang w:val="en"/>
        </w:rPr>
      </w:pPr>
    </w:p>
    <w:p w:rsidR="00C35766" w:rsidRPr="006C4049" w:rsidRDefault="008063D5" w:rsidP="00E23E19">
      <w:pPr>
        <w:rPr>
          <w:sz w:val="24"/>
        </w:rPr>
      </w:pPr>
      <w:r w:rsidRPr="006C4049">
        <w:rPr>
          <w:sz w:val="24"/>
        </w:rPr>
        <w:t>To</w:t>
      </w:r>
      <w:r w:rsidR="00F00E6B" w:rsidRPr="006C4049">
        <w:rPr>
          <w:sz w:val="24"/>
        </w:rPr>
        <w:t>ward</w:t>
      </w:r>
      <w:r w:rsidRPr="006C4049">
        <w:rPr>
          <w:sz w:val="24"/>
        </w:rPr>
        <w:t xml:space="preserve"> that end, </w:t>
      </w:r>
      <w:r w:rsidR="00C35766" w:rsidRPr="006C4049">
        <w:rPr>
          <w:sz w:val="24"/>
        </w:rPr>
        <w:t xml:space="preserve">in 2013 </w:t>
      </w:r>
      <w:r w:rsidRPr="006C4049">
        <w:rPr>
          <w:sz w:val="24"/>
        </w:rPr>
        <w:t xml:space="preserve">BTS </w:t>
      </w:r>
      <w:r w:rsidR="00EC001C" w:rsidRPr="006C4049">
        <w:rPr>
          <w:sz w:val="24"/>
        </w:rPr>
        <w:t xml:space="preserve">signed </w:t>
      </w:r>
      <w:r w:rsidR="00092966" w:rsidRPr="006C4049">
        <w:rPr>
          <w:sz w:val="24"/>
        </w:rPr>
        <w:t xml:space="preserve">an interagency agreement (IAA) with </w:t>
      </w:r>
      <w:r w:rsidR="0051218D" w:rsidRPr="006C4049">
        <w:rPr>
          <w:sz w:val="24"/>
        </w:rPr>
        <w:t>the Department of Interior</w:t>
      </w:r>
      <w:r w:rsidR="00DF023F" w:rsidRPr="006C4049">
        <w:rPr>
          <w:sz w:val="24"/>
        </w:rPr>
        <w:t>,</w:t>
      </w:r>
      <w:r w:rsidR="0051218D" w:rsidRPr="006C4049">
        <w:rPr>
          <w:sz w:val="24"/>
        </w:rPr>
        <w:t xml:space="preserve"> Bureau of </w:t>
      </w:r>
      <w:r w:rsidR="00E4631D" w:rsidRPr="006C4049">
        <w:rPr>
          <w:sz w:val="24"/>
        </w:rPr>
        <w:t xml:space="preserve">Safety and Environmental Enforcement </w:t>
      </w:r>
      <w:r w:rsidR="00811BC6" w:rsidRPr="006C4049">
        <w:rPr>
          <w:sz w:val="24"/>
        </w:rPr>
        <w:t xml:space="preserve">(BSEE) </w:t>
      </w:r>
      <w:r w:rsidR="000345E6" w:rsidRPr="006C4049">
        <w:rPr>
          <w:sz w:val="24"/>
        </w:rPr>
        <w:t xml:space="preserve">to </w:t>
      </w:r>
      <w:r w:rsidR="007E4AF3" w:rsidRPr="006C4049">
        <w:rPr>
          <w:sz w:val="24"/>
        </w:rPr>
        <w:t xml:space="preserve">develop and implement </w:t>
      </w:r>
      <w:r w:rsidR="00DF3836" w:rsidRPr="006C4049">
        <w:rPr>
          <w:sz w:val="24"/>
        </w:rPr>
        <w:t xml:space="preserve">SafeOCS, </w:t>
      </w:r>
      <w:r w:rsidR="007E4AF3" w:rsidRPr="006C4049">
        <w:rPr>
          <w:sz w:val="24"/>
        </w:rPr>
        <w:t>a voluntary program for confidential reporting of “near miss” events</w:t>
      </w:r>
      <w:r w:rsidR="00C74CEB" w:rsidRPr="006C4049">
        <w:rPr>
          <w:sz w:val="24"/>
        </w:rPr>
        <w:t xml:space="preserve"> in oil and gas operations </w:t>
      </w:r>
      <w:r w:rsidR="007E4AF3" w:rsidRPr="006C4049">
        <w:rPr>
          <w:sz w:val="24"/>
        </w:rPr>
        <w:t xml:space="preserve">on the </w:t>
      </w:r>
      <w:r w:rsidR="00F67582" w:rsidRPr="006C4049">
        <w:rPr>
          <w:sz w:val="24"/>
        </w:rPr>
        <w:t>outer continental shelf (OCS)</w:t>
      </w:r>
      <w:r w:rsidR="000345E6" w:rsidRPr="006C4049">
        <w:rPr>
          <w:sz w:val="24"/>
        </w:rPr>
        <w:t>.</w:t>
      </w:r>
      <w:r w:rsidR="00A441CF" w:rsidRPr="006C4049">
        <w:rPr>
          <w:sz w:val="24"/>
        </w:rPr>
        <w:t xml:space="preserve"> </w:t>
      </w:r>
      <w:r w:rsidR="008F06D0" w:rsidRPr="006C4049">
        <w:rPr>
          <w:sz w:val="24"/>
        </w:rPr>
        <w:t xml:space="preserve">The confidentiality of reports submitted directly to BTS will be protected in accordance with the Confidential Information Protection and Statistical Efficiency Act of 2002 (CIPSEA) (44 U.S.C. § 3501 note). </w:t>
      </w:r>
      <w:r w:rsidR="00A441CF" w:rsidRPr="006C4049">
        <w:rPr>
          <w:sz w:val="24"/>
        </w:rPr>
        <w:t xml:space="preserve">The data </w:t>
      </w:r>
      <w:r w:rsidR="008F06D0" w:rsidRPr="006C4049">
        <w:rPr>
          <w:sz w:val="24"/>
        </w:rPr>
        <w:t xml:space="preserve">is </w:t>
      </w:r>
      <w:r w:rsidR="00A441CF" w:rsidRPr="006C4049">
        <w:rPr>
          <w:sz w:val="24"/>
        </w:rPr>
        <w:t>submitted directly to BTS</w:t>
      </w:r>
      <w:r w:rsidR="008F06D0" w:rsidRPr="006C4049">
        <w:rPr>
          <w:sz w:val="24"/>
        </w:rPr>
        <w:t>. A</w:t>
      </w:r>
      <w:r w:rsidR="00A441CF" w:rsidRPr="006C4049">
        <w:rPr>
          <w:sz w:val="24"/>
        </w:rPr>
        <w:t xml:space="preserve">s a statistical agency, BTS can invoke CIPSEA to collect safety data. </w:t>
      </w:r>
    </w:p>
    <w:p w:rsidR="00C35766" w:rsidRPr="006C4049" w:rsidRDefault="00C35766" w:rsidP="00E23E19">
      <w:pPr>
        <w:rPr>
          <w:sz w:val="24"/>
        </w:rPr>
      </w:pPr>
    </w:p>
    <w:p w:rsidR="00C21D3B" w:rsidRPr="006C4049" w:rsidRDefault="00C35766" w:rsidP="00E23E19">
      <w:pPr>
        <w:rPr>
          <w:i/>
          <w:sz w:val="24"/>
          <w:lang w:val="en"/>
        </w:rPr>
      </w:pPr>
      <w:r w:rsidRPr="006C4049">
        <w:rPr>
          <w:sz w:val="24"/>
        </w:rPr>
        <w:t>While the collection of voluntary near miss reports has been previously approved by OMB (</w:t>
      </w:r>
      <w:r w:rsidR="008A478B" w:rsidRPr="006C4049">
        <w:rPr>
          <w:sz w:val="24"/>
        </w:rPr>
        <w:t>2138-0046</w:t>
      </w:r>
      <w:r w:rsidR="00DF3836" w:rsidRPr="006C4049">
        <w:rPr>
          <w:sz w:val="24"/>
        </w:rPr>
        <w:t>, exp. d</w:t>
      </w:r>
      <w:r w:rsidR="009B2CEF" w:rsidRPr="006C4049">
        <w:rPr>
          <w:sz w:val="24"/>
        </w:rPr>
        <w:t xml:space="preserve">ate 09/30/2018) </w:t>
      </w:r>
      <w:r w:rsidRPr="006C4049">
        <w:rPr>
          <w:sz w:val="24"/>
        </w:rPr>
        <w:t>and is not the subject of this supporting statement, the collection at</w:t>
      </w:r>
      <w:r w:rsidR="00DF023F" w:rsidRPr="006C4049">
        <w:rPr>
          <w:sz w:val="24"/>
        </w:rPr>
        <w:t xml:space="preserve"> hand</w:t>
      </w:r>
      <w:r w:rsidRPr="006C4049">
        <w:rPr>
          <w:sz w:val="24"/>
        </w:rPr>
        <w:t xml:space="preserve"> builds on SafeOCS.</w:t>
      </w:r>
      <w:r w:rsidR="00EC70ED" w:rsidRPr="006C4049">
        <w:rPr>
          <w:sz w:val="24"/>
        </w:rPr>
        <w:t xml:space="preserve"> The oil and gas Industry Safety Data (ISD) program is a </w:t>
      </w:r>
      <w:r w:rsidR="00EC70ED" w:rsidRPr="006C4049">
        <w:rPr>
          <w:sz w:val="24"/>
        </w:rPr>
        <w:lastRenderedPageBreak/>
        <w:t xml:space="preserve">component of BTS’ SafeOCS data sharing framework that provides a trusted and proactive means for the oil and gas industry to report sensitive and proprietary safety information, to identify the early warnings signs of unsafe circumstances and potential safety issues by uncovering those hidden, at risk conditions not previously identified from analysis of reportable accidents, and incidents. Companies who participate in the ISD are voluntarily submitting safety data.  There is no regulatory requirement to submit such data.  ISD identifies a broader range of data categories to ensure safety and appropriate risk management, which adds a learning component to assist the oil and gas industry in achieving improved safety performance.   </w:t>
      </w:r>
      <w:r w:rsidRPr="006C4049">
        <w:rPr>
          <w:sz w:val="24"/>
        </w:rPr>
        <w:t xml:space="preserve"> </w:t>
      </w:r>
      <w:r w:rsidR="009F6A84" w:rsidRPr="006C4049">
        <w:rPr>
          <w:sz w:val="24"/>
        </w:rPr>
        <w:t xml:space="preserve">Thus, it is </w:t>
      </w:r>
      <w:r w:rsidR="00DF023F" w:rsidRPr="006C4049">
        <w:rPr>
          <w:sz w:val="24"/>
        </w:rPr>
        <w:t xml:space="preserve">pertinent </w:t>
      </w:r>
      <w:r w:rsidR="009F6A84" w:rsidRPr="006C4049">
        <w:rPr>
          <w:sz w:val="24"/>
        </w:rPr>
        <w:t>to provide the following concise background information about the</w:t>
      </w:r>
      <w:r w:rsidR="00DF3836" w:rsidRPr="006C4049">
        <w:rPr>
          <w:sz w:val="24"/>
        </w:rPr>
        <w:t xml:space="preserve"> SafeOCS program. </w:t>
      </w:r>
      <w:r w:rsidRPr="006C4049">
        <w:rPr>
          <w:sz w:val="24"/>
        </w:rPr>
        <w:t xml:space="preserve">The goal of the </w:t>
      </w:r>
      <w:r w:rsidR="009F6A84" w:rsidRPr="006C4049">
        <w:rPr>
          <w:sz w:val="24"/>
        </w:rPr>
        <w:t xml:space="preserve">program </w:t>
      </w:r>
      <w:r w:rsidRPr="006C4049">
        <w:rPr>
          <w:sz w:val="24"/>
        </w:rPr>
        <w:t>is to provide BTS with essential information about accident precursors and other hazards associated with OCS oil and gas operations. Under the program, BTS will develop and publish aggregate reports that BSEE, the industry, and all OCS stakeholders can use—in conjunction with incident reports and other sources of information—to reduce safety and environmental risks</w:t>
      </w:r>
      <w:r w:rsidR="00B103DF" w:rsidRPr="006C4049">
        <w:rPr>
          <w:sz w:val="24"/>
        </w:rPr>
        <w:t>,</w:t>
      </w:r>
      <w:r w:rsidRPr="006C4049">
        <w:rPr>
          <w:sz w:val="24"/>
        </w:rPr>
        <w:t xml:space="preserve"> and continue building a more robust OCS safety culture.</w:t>
      </w:r>
    </w:p>
    <w:p w:rsidR="00C21D3B" w:rsidRPr="006C4049" w:rsidRDefault="00C21D3B" w:rsidP="00E23E19">
      <w:pPr>
        <w:rPr>
          <w:sz w:val="24"/>
        </w:rPr>
      </w:pPr>
    </w:p>
    <w:p w:rsidR="003F30F8" w:rsidRPr="006C4049" w:rsidRDefault="003F30F8" w:rsidP="00B82808">
      <w:pPr>
        <w:rPr>
          <w:sz w:val="24"/>
        </w:rPr>
      </w:pPr>
    </w:p>
    <w:p w:rsidR="003F30F8" w:rsidRPr="006C4049" w:rsidRDefault="009F6A84" w:rsidP="00B82808">
      <w:pPr>
        <w:rPr>
          <w:sz w:val="24"/>
        </w:rPr>
      </w:pPr>
      <w:r w:rsidRPr="006C4049">
        <w:rPr>
          <w:sz w:val="24"/>
        </w:rPr>
        <w:t xml:space="preserve">Both BTS and BSEE agree that </w:t>
      </w:r>
      <w:r w:rsidR="000D201C" w:rsidRPr="006C4049">
        <w:rPr>
          <w:sz w:val="24"/>
        </w:rPr>
        <w:t xml:space="preserve">the data submitted within the ISD </w:t>
      </w:r>
      <w:r w:rsidR="00792AD8" w:rsidRPr="006C4049">
        <w:rPr>
          <w:sz w:val="24"/>
        </w:rPr>
        <w:t xml:space="preserve">program </w:t>
      </w:r>
      <w:r w:rsidRPr="006C4049">
        <w:rPr>
          <w:sz w:val="24"/>
        </w:rPr>
        <w:t>are considered precursor safety information</w:t>
      </w:r>
      <w:r w:rsidR="00E43DD7" w:rsidRPr="006C4049">
        <w:rPr>
          <w:sz w:val="24"/>
        </w:rPr>
        <w:t>,</w:t>
      </w:r>
      <w:r w:rsidRPr="006C4049">
        <w:rPr>
          <w:sz w:val="24"/>
        </w:rPr>
        <w:t xml:space="preserve"> and can be included in</w:t>
      </w:r>
      <w:r w:rsidR="00E43DD7" w:rsidRPr="006C4049">
        <w:rPr>
          <w:sz w:val="24"/>
        </w:rPr>
        <w:t xml:space="preserve"> the global industry endeavor to provide </w:t>
      </w:r>
      <w:r w:rsidR="00792AD8" w:rsidRPr="006C4049">
        <w:rPr>
          <w:sz w:val="24"/>
        </w:rPr>
        <w:t xml:space="preserve">a </w:t>
      </w:r>
      <w:r w:rsidR="00E43DD7" w:rsidRPr="006C4049">
        <w:rPr>
          <w:sz w:val="24"/>
        </w:rPr>
        <w:t xml:space="preserve">clear-cut </w:t>
      </w:r>
      <w:r w:rsidRPr="006C4049">
        <w:rPr>
          <w:sz w:val="24"/>
        </w:rPr>
        <w:t xml:space="preserve">means of identifying industry-wide </w:t>
      </w:r>
      <w:r w:rsidR="00E43DD7" w:rsidRPr="006C4049">
        <w:rPr>
          <w:sz w:val="24"/>
        </w:rPr>
        <w:t xml:space="preserve">safety </w:t>
      </w:r>
      <w:r w:rsidRPr="006C4049">
        <w:rPr>
          <w:sz w:val="24"/>
        </w:rPr>
        <w:t>data trends</w:t>
      </w:r>
      <w:r w:rsidR="00E43DD7" w:rsidRPr="006C4049">
        <w:rPr>
          <w:sz w:val="24"/>
        </w:rPr>
        <w:t xml:space="preserve"> through analysis.</w:t>
      </w:r>
      <w:r w:rsidRPr="006C4049">
        <w:rPr>
          <w:sz w:val="24"/>
        </w:rPr>
        <w:t xml:space="preserve">  BTS </w:t>
      </w:r>
      <w:r w:rsidR="00E43DD7" w:rsidRPr="006C4049">
        <w:rPr>
          <w:sz w:val="24"/>
        </w:rPr>
        <w:t>entered a</w:t>
      </w:r>
      <w:r w:rsidRPr="006C4049">
        <w:rPr>
          <w:sz w:val="24"/>
        </w:rPr>
        <w:t xml:space="preserve"> memorandum of understanding (MOU) with BSEE describing the agencies’ agreement to expand the scope of SafeOCS as summarized above. </w:t>
      </w:r>
      <w:r w:rsidR="00E330A2" w:rsidRPr="006C4049">
        <w:rPr>
          <w:sz w:val="24"/>
        </w:rPr>
        <w:t xml:space="preserve">BTS </w:t>
      </w:r>
      <w:r w:rsidR="009E4400" w:rsidRPr="006C4049">
        <w:rPr>
          <w:sz w:val="24"/>
        </w:rPr>
        <w:t>formed a Phase I. Planning Team consisting of representatives from companies working in the Gulf of Mexico (GOM) who expressed interest in participating as ‘early implementers’ for the suggested enhancements to the SafeOCS program. This team discussed the type of data that should be submitted to ensure that data captured has the appropriate teaching/learning value. The scope of data discussed includes incidents, near misses, stop work events, and asso</w:t>
      </w:r>
      <w:r w:rsidR="003B29E7" w:rsidRPr="006C4049">
        <w:rPr>
          <w:sz w:val="24"/>
        </w:rPr>
        <w:t>ciated metadata for the period</w:t>
      </w:r>
      <w:r w:rsidR="009E4400" w:rsidRPr="006C4049">
        <w:rPr>
          <w:sz w:val="24"/>
        </w:rPr>
        <w:t xml:space="preserve"> 2014 through 2017. The ag</w:t>
      </w:r>
      <w:r w:rsidR="00645DA8" w:rsidRPr="006C4049">
        <w:rPr>
          <w:sz w:val="24"/>
        </w:rPr>
        <w:t>gregated data will be reviewed</w:t>
      </w:r>
      <w:r w:rsidR="009E4400" w:rsidRPr="006C4049">
        <w:rPr>
          <w:sz w:val="24"/>
        </w:rPr>
        <w:t xml:space="preserve"> </w:t>
      </w:r>
      <w:r w:rsidR="00645DA8" w:rsidRPr="006C4049">
        <w:rPr>
          <w:sz w:val="24"/>
        </w:rPr>
        <w:t xml:space="preserve">and </w:t>
      </w:r>
      <w:r w:rsidR="009E4400" w:rsidRPr="006C4049">
        <w:rPr>
          <w:sz w:val="24"/>
        </w:rPr>
        <w:t>analyzed</w:t>
      </w:r>
      <w:r w:rsidR="00645DA8" w:rsidRPr="006C4049">
        <w:rPr>
          <w:sz w:val="24"/>
        </w:rPr>
        <w:t>,</w:t>
      </w:r>
      <w:r w:rsidR="009E4400" w:rsidRPr="006C4049">
        <w:rPr>
          <w:sz w:val="24"/>
        </w:rPr>
        <w:t xml:space="preserve"> and the results will be shared with the public in a report to be released no later than January 2019.</w:t>
      </w:r>
      <w:r w:rsidR="00E141FD" w:rsidRPr="006C4049">
        <w:rPr>
          <w:sz w:val="24"/>
        </w:rPr>
        <w:t xml:space="preserve"> </w:t>
      </w:r>
      <w:r w:rsidR="00E330A2" w:rsidRPr="006C4049">
        <w:rPr>
          <w:sz w:val="24"/>
        </w:rPr>
        <w:t xml:space="preserve">BTS intends to continue </w:t>
      </w:r>
      <w:r w:rsidRPr="006C4049">
        <w:rPr>
          <w:sz w:val="24"/>
        </w:rPr>
        <w:t>publish</w:t>
      </w:r>
      <w:r w:rsidR="00E330A2" w:rsidRPr="006C4049">
        <w:rPr>
          <w:sz w:val="24"/>
        </w:rPr>
        <w:t>ing</w:t>
      </w:r>
      <w:r w:rsidRPr="006C4049">
        <w:rPr>
          <w:sz w:val="24"/>
        </w:rPr>
        <w:t xml:space="preserve"> reports</w:t>
      </w:r>
      <w:r w:rsidR="00E330A2" w:rsidRPr="006C4049">
        <w:rPr>
          <w:sz w:val="24"/>
        </w:rPr>
        <w:t xml:space="preserve"> on aggregate statistics and trends based on the reported data.  The purpose of those reports is to</w:t>
      </w:r>
      <w:r w:rsidRPr="006C4049">
        <w:rPr>
          <w:sz w:val="24"/>
        </w:rPr>
        <w:t xml:space="preserve"> provide BSEE, the industry, and all OCS stakeholders with essential information about </w:t>
      </w:r>
      <w:r w:rsidR="009E4400" w:rsidRPr="006C4049">
        <w:rPr>
          <w:sz w:val="24"/>
        </w:rPr>
        <w:t>industry safety data.</w:t>
      </w:r>
      <w:r w:rsidR="00CB1679" w:rsidRPr="006C4049">
        <w:rPr>
          <w:sz w:val="24"/>
        </w:rPr>
        <w:t xml:space="preserve"> </w:t>
      </w:r>
      <w:r w:rsidRPr="006C4049">
        <w:rPr>
          <w:sz w:val="24"/>
        </w:rPr>
        <w:t xml:space="preserve">The confidentiality of reports submitted directly to BTS will be protected in accordance with the Confidential Information Protection and Statistical Efficiency Act of 2002 (CIPSEA) (44 U.S.C. § 3501 note). This data collection will provide </w:t>
      </w:r>
      <w:r w:rsidR="00E141FD" w:rsidRPr="006C4049">
        <w:rPr>
          <w:sz w:val="24"/>
        </w:rPr>
        <w:t xml:space="preserve">participating </w:t>
      </w:r>
      <w:r w:rsidR="003F30F8" w:rsidRPr="006C4049">
        <w:rPr>
          <w:sz w:val="24"/>
        </w:rPr>
        <w:t>companies</w:t>
      </w:r>
      <w:r w:rsidRPr="006C4049">
        <w:rPr>
          <w:sz w:val="24"/>
        </w:rPr>
        <w:t xml:space="preserve"> in the oil and gas industry a trusted means to report sensitive proprietary safety information</w:t>
      </w:r>
      <w:r w:rsidR="00E141FD" w:rsidRPr="006C4049">
        <w:rPr>
          <w:sz w:val="24"/>
        </w:rPr>
        <w:t>,</w:t>
      </w:r>
      <w:r w:rsidR="003F30F8" w:rsidRPr="006C4049">
        <w:rPr>
          <w:sz w:val="24"/>
        </w:rPr>
        <w:t xml:space="preserve"> and </w:t>
      </w:r>
      <w:r w:rsidRPr="006C4049">
        <w:rPr>
          <w:sz w:val="24"/>
        </w:rPr>
        <w:t>foster trust in the confidential collection, handling, and storage of the raw data</w:t>
      </w:r>
      <w:r w:rsidR="00E141FD" w:rsidRPr="006C4049">
        <w:rPr>
          <w:sz w:val="24"/>
        </w:rPr>
        <w:t xml:space="preserve"> under BTS stewardship</w:t>
      </w:r>
      <w:r w:rsidRPr="006C4049">
        <w:rPr>
          <w:sz w:val="24"/>
        </w:rPr>
        <w:t xml:space="preserve">. </w:t>
      </w:r>
      <w:r w:rsidR="003F30F8" w:rsidRPr="006C4049">
        <w:rPr>
          <w:sz w:val="24"/>
        </w:rPr>
        <w:t>The value proposition of the ISD program is its focus on the continual im</w:t>
      </w:r>
      <w:r w:rsidR="00792AD8" w:rsidRPr="006C4049">
        <w:rPr>
          <w:sz w:val="24"/>
        </w:rPr>
        <w:t>provement in safety performance</w:t>
      </w:r>
      <w:r w:rsidR="003F30F8" w:rsidRPr="006C4049">
        <w:rPr>
          <w:sz w:val="24"/>
        </w:rPr>
        <w:t xml:space="preserve"> and its implementation of lessons learned from incidents and events that occur within the oil and gas industry. Several key aspects of this effort include:</w:t>
      </w:r>
    </w:p>
    <w:p w:rsidR="003F30F8" w:rsidRPr="006C4049" w:rsidRDefault="003F30F8" w:rsidP="00B82808">
      <w:pPr>
        <w:pStyle w:val="ListParagraph"/>
        <w:numPr>
          <w:ilvl w:val="0"/>
          <w:numId w:val="11"/>
        </w:numPr>
        <w:rPr>
          <w:rFonts w:ascii="Times New Roman" w:hAnsi="Times New Roman"/>
          <w:sz w:val="24"/>
          <w:szCs w:val="24"/>
        </w:rPr>
      </w:pPr>
      <w:r w:rsidRPr="006C4049">
        <w:rPr>
          <w:rFonts w:ascii="Times New Roman" w:hAnsi="Times New Roman"/>
          <w:sz w:val="24"/>
          <w:szCs w:val="24"/>
        </w:rPr>
        <w:t>Providing a solution for a central repository for collection, collaboration, and sharing of lessons learned from collected safety-related data,</w:t>
      </w:r>
    </w:p>
    <w:p w:rsidR="003F30F8" w:rsidRPr="006C4049" w:rsidRDefault="003F30F8" w:rsidP="00B82808">
      <w:pPr>
        <w:pStyle w:val="ListParagraph"/>
        <w:numPr>
          <w:ilvl w:val="0"/>
          <w:numId w:val="11"/>
        </w:numPr>
        <w:rPr>
          <w:rFonts w:ascii="Times New Roman" w:hAnsi="Times New Roman"/>
          <w:sz w:val="24"/>
          <w:szCs w:val="24"/>
        </w:rPr>
      </w:pPr>
      <w:r w:rsidRPr="006C4049">
        <w:rPr>
          <w:rFonts w:ascii="Times New Roman" w:hAnsi="Times New Roman"/>
          <w:sz w:val="24"/>
          <w:szCs w:val="24"/>
        </w:rPr>
        <w:t>Identifying the type of data that will provide valuable information,</w:t>
      </w:r>
    </w:p>
    <w:p w:rsidR="003F30F8" w:rsidRPr="006C4049" w:rsidRDefault="003F30F8" w:rsidP="00B82808">
      <w:pPr>
        <w:pStyle w:val="ListParagraph"/>
        <w:numPr>
          <w:ilvl w:val="0"/>
          <w:numId w:val="11"/>
        </w:numPr>
        <w:rPr>
          <w:rFonts w:ascii="Times New Roman" w:hAnsi="Times New Roman"/>
          <w:sz w:val="24"/>
          <w:szCs w:val="24"/>
        </w:rPr>
      </w:pPr>
      <w:r w:rsidRPr="006C4049">
        <w:rPr>
          <w:rFonts w:ascii="Times New Roman" w:hAnsi="Times New Roman"/>
          <w:sz w:val="24"/>
          <w:szCs w:val="24"/>
        </w:rPr>
        <w:t>Gaining alignment on incident and indicator definitions,</w:t>
      </w:r>
    </w:p>
    <w:p w:rsidR="003F30F8" w:rsidRPr="006C4049" w:rsidRDefault="003F30F8" w:rsidP="00B82808">
      <w:pPr>
        <w:pStyle w:val="ListParagraph"/>
        <w:numPr>
          <w:ilvl w:val="0"/>
          <w:numId w:val="11"/>
        </w:numPr>
        <w:rPr>
          <w:rFonts w:ascii="Times New Roman" w:hAnsi="Times New Roman"/>
          <w:sz w:val="24"/>
          <w:szCs w:val="24"/>
        </w:rPr>
      </w:pPr>
      <w:r w:rsidRPr="006C4049">
        <w:rPr>
          <w:rFonts w:ascii="Times New Roman" w:hAnsi="Times New Roman"/>
          <w:sz w:val="24"/>
          <w:szCs w:val="24"/>
        </w:rPr>
        <w:t>Utilizing a secure process for collection and analysis of the data,</w:t>
      </w:r>
    </w:p>
    <w:p w:rsidR="003F30F8" w:rsidRPr="006C4049" w:rsidRDefault="003F30F8" w:rsidP="00B82808">
      <w:pPr>
        <w:pStyle w:val="ListParagraph"/>
        <w:numPr>
          <w:ilvl w:val="0"/>
          <w:numId w:val="11"/>
        </w:numPr>
        <w:rPr>
          <w:rFonts w:ascii="Times New Roman" w:hAnsi="Times New Roman"/>
          <w:sz w:val="24"/>
          <w:szCs w:val="24"/>
        </w:rPr>
      </w:pPr>
      <w:r w:rsidRPr="006C4049">
        <w:rPr>
          <w:rFonts w:ascii="Times New Roman" w:hAnsi="Times New Roman"/>
          <w:sz w:val="24"/>
          <w:szCs w:val="24"/>
        </w:rPr>
        <w:t>Implementing a robust methodology for identifying systemic issues,</w:t>
      </w:r>
    </w:p>
    <w:p w:rsidR="003F30F8" w:rsidRPr="006C4049" w:rsidRDefault="003F30F8" w:rsidP="00B82808">
      <w:pPr>
        <w:pStyle w:val="ListParagraph"/>
        <w:numPr>
          <w:ilvl w:val="0"/>
          <w:numId w:val="11"/>
        </w:numPr>
        <w:rPr>
          <w:rFonts w:ascii="Times New Roman" w:hAnsi="Times New Roman"/>
          <w:sz w:val="24"/>
          <w:szCs w:val="24"/>
        </w:rPr>
      </w:pPr>
      <w:r w:rsidRPr="006C4049">
        <w:rPr>
          <w:rFonts w:ascii="Times New Roman" w:hAnsi="Times New Roman"/>
          <w:sz w:val="24"/>
          <w:szCs w:val="24"/>
        </w:rPr>
        <w:lastRenderedPageBreak/>
        <w:t>Disseminating the results to stakeholders who can then take actions to reduce or eliminate the risk of recurrence</w:t>
      </w:r>
      <w:r w:rsidR="002707DC" w:rsidRPr="006C4049">
        <w:rPr>
          <w:rFonts w:ascii="Times New Roman" w:hAnsi="Times New Roman"/>
          <w:sz w:val="24"/>
          <w:szCs w:val="24"/>
        </w:rPr>
        <w:t>s of near-misses,</w:t>
      </w:r>
    </w:p>
    <w:p w:rsidR="003F30F8" w:rsidRPr="006C4049" w:rsidRDefault="003F30F8" w:rsidP="00B82808">
      <w:pPr>
        <w:pStyle w:val="ListParagraph"/>
        <w:numPr>
          <w:ilvl w:val="0"/>
          <w:numId w:val="11"/>
        </w:numPr>
        <w:rPr>
          <w:rFonts w:ascii="Times New Roman" w:hAnsi="Times New Roman"/>
          <w:sz w:val="24"/>
          <w:szCs w:val="24"/>
        </w:rPr>
      </w:pPr>
      <w:r w:rsidRPr="006C4049">
        <w:rPr>
          <w:rFonts w:ascii="Times New Roman" w:hAnsi="Times New Roman"/>
          <w:sz w:val="24"/>
          <w:szCs w:val="24"/>
        </w:rPr>
        <w:t>Providing opportunities for stakeholders to network and benchmark performance, both individually and as an organization, and</w:t>
      </w:r>
    </w:p>
    <w:p w:rsidR="003F30F8" w:rsidRPr="006C4049" w:rsidRDefault="003F30F8" w:rsidP="00B82808">
      <w:pPr>
        <w:pStyle w:val="ListParagraph"/>
        <w:numPr>
          <w:ilvl w:val="0"/>
          <w:numId w:val="11"/>
        </w:numPr>
        <w:rPr>
          <w:rFonts w:ascii="Times New Roman" w:hAnsi="Times New Roman"/>
          <w:sz w:val="24"/>
          <w:szCs w:val="24"/>
        </w:rPr>
      </w:pPr>
      <w:r w:rsidRPr="006C4049">
        <w:rPr>
          <w:rFonts w:ascii="Times New Roman" w:hAnsi="Times New Roman"/>
          <w:sz w:val="24"/>
          <w:szCs w:val="24"/>
        </w:rPr>
        <w:t>Establishing a framework wherein adverse actions cannot legally be taken against data submitters nor can raw data be used for regulatory development purposes.</w:t>
      </w:r>
    </w:p>
    <w:p w:rsidR="003F30F8" w:rsidRPr="006C4049" w:rsidRDefault="003F30F8" w:rsidP="00B82808">
      <w:pPr>
        <w:rPr>
          <w:sz w:val="24"/>
        </w:rPr>
      </w:pPr>
      <w:r w:rsidRPr="006C4049">
        <w:rPr>
          <w:sz w:val="24"/>
        </w:rPr>
        <w:t>One other related goal of the ISD program is to provide a mechanism whereby participating companies can submit safety data in whatever format they currently use to minimize incremental effort on the company’s part.</w:t>
      </w:r>
      <w:r w:rsidR="003B29E7" w:rsidRPr="006C4049">
        <w:rPr>
          <w:sz w:val="24"/>
        </w:rPr>
        <w:t xml:space="preserve">  There are no legal or administrative requirements for this collection. </w:t>
      </w:r>
    </w:p>
    <w:p w:rsidR="009F6A84" w:rsidRPr="006C4049" w:rsidRDefault="009F6A84" w:rsidP="00B82808">
      <w:pPr>
        <w:rPr>
          <w:sz w:val="24"/>
        </w:rPr>
      </w:pPr>
    </w:p>
    <w:p w:rsidR="00803680" w:rsidRPr="006C4049" w:rsidRDefault="00803680" w:rsidP="00B82808">
      <w:pPr>
        <w:rPr>
          <w:sz w:val="24"/>
        </w:rPr>
      </w:pPr>
    </w:p>
    <w:p w:rsidR="007B3A70" w:rsidRPr="006C4049" w:rsidRDefault="007B3A70" w:rsidP="00B82808">
      <w:pPr>
        <w:rPr>
          <w:b/>
          <w:bCs/>
          <w:sz w:val="24"/>
        </w:rPr>
      </w:pPr>
      <w:r w:rsidRPr="006C4049">
        <w:rPr>
          <w:b/>
          <w:bCs/>
          <w:sz w:val="24"/>
        </w:rPr>
        <w:t>2.  Indicate how, by whom, and for what purpose the information is to be used.  Indicate the actual use the agency has made of the information received from the current collection.</w:t>
      </w:r>
    </w:p>
    <w:p w:rsidR="007B3A70" w:rsidRPr="006C4049" w:rsidRDefault="007B3A70" w:rsidP="00B82808">
      <w:pPr>
        <w:rPr>
          <w:sz w:val="26"/>
          <w:szCs w:val="26"/>
        </w:rPr>
      </w:pPr>
    </w:p>
    <w:p w:rsidR="00742CD5" w:rsidRPr="006C4049" w:rsidRDefault="00F94720" w:rsidP="00B82808">
      <w:pPr>
        <w:rPr>
          <w:sz w:val="24"/>
        </w:rPr>
      </w:pPr>
      <w:r w:rsidRPr="006C4049">
        <w:rPr>
          <w:sz w:val="24"/>
        </w:rPr>
        <w:t xml:space="preserve">BTS will </w:t>
      </w:r>
      <w:r w:rsidR="00654BCA" w:rsidRPr="006C4049">
        <w:rPr>
          <w:sz w:val="24"/>
        </w:rPr>
        <w:t>collect</w:t>
      </w:r>
      <w:r w:rsidRPr="006C4049">
        <w:rPr>
          <w:sz w:val="24"/>
        </w:rPr>
        <w:t xml:space="preserve">, store, process, and analyze </w:t>
      </w:r>
      <w:r w:rsidR="00645DA8" w:rsidRPr="006C4049">
        <w:rPr>
          <w:sz w:val="24"/>
        </w:rPr>
        <w:t xml:space="preserve">the </w:t>
      </w:r>
      <w:r w:rsidR="007952A5" w:rsidRPr="006C4049">
        <w:rPr>
          <w:sz w:val="24"/>
        </w:rPr>
        <w:t xml:space="preserve">ISD </w:t>
      </w:r>
      <w:r w:rsidRPr="006C4049">
        <w:rPr>
          <w:sz w:val="24"/>
        </w:rPr>
        <w:t xml:space="preserve">while assuring </w:t>
      </w:r>
      <w:r w:rsidR="00654BCA" w:rsidRPr="006C4049">
        <w:rPr>
          <w:sz w:val="24"/>
        </w:rPr>
        <w:t xml:space="preserve">data </w:t>
      </w:r>
      <w:r w:rsidRPr="006C4049">
        <w:rPr>
          <w:sz w:val="24"/>
        </w:rPr>
        <w:t>confidentiality.</w:t>
      </w:r>
      <w:r w:rsidR="00BE27A4" w:rsidRPr="006C4049">
        <w:rPr>
          <w:sz w:val="24"/>
        </w:rPr>
        <w:t xml:space="preserve"> The information provided will be used for statistical purposes only</w:t>
      </w:r>
      <w:r w:rsidR="00742CD5" w:rsidRPr="006C4049">
        <w:rPr>
          <w:sz w:val="24"/>
        </w:rPr>
        <w:t>,</w:t>
      </w:r>
      <w:r w:rsidR="00F9072D" w:rsidRPr="006C4049">
        <w:rPr>
          <w:sz w:val="24"/>
        </w:rPr>
        <w:t xml:space="preserve"> i</w:t>
      </w:r>
      <w:r w:rsidR="00BE27A4" w:rsidRPr="006C4049">
        <w:rPr>
          <w:sz w:val="24"/>
        </w:rPr>
        <w:t>n accordance with the BTS confidentiality statute (49 U.S.C.</w:t>
      </w:r>
      <w:r w:rsidR="00BE27A4" w:rsidRPr="006C4049">
        <w:t xml:space="preserve"> </w:t>
      </w:r>
      <w:r w:rsidR="00BE27A4" w:rsidRPr="006C4049">
        <w:rPr>
          <w:sz w:val="24"/>
        </w:rPr>
        <w:t>§ 6307)</w:t>
      </w:r>
      <w:r w:rsidR="00F9072D" w:rsidRPr="006C4049">
        <w:rPr>
          <w:sz w:val="24"/>
        </w:rPr>
        <w:t>,</w:t>
      </w:r>
      <w:r w:rsidR="00BE27A4" w:rsidRPr="006C4049">
        <w:rPr>
          <w:sz w:val="24"/>
        </w:rPr>
        <w:t xml:space="preserve"> CIPSEA,</w:t>
      </w:r>
      <w:r w:rsidR="00F9072D" w:rsidRPr="006C4049">
        <w:rPr>
          <w:sz w:val="24"/>
        </w:rPr>
        <w:t xml:space="preserve"> and</w:t>
      </w:r>
      <w:r w:rsidR="00BE27A4" w:rsidRPr="006C4049">
        <w:rPr>
          <w:sz w:val="24"/>
        </w:rPr>
        <w:t xml:space="preserve"> the Confidential Information Protection provisions of Title V, Subtitle A, Public Law 107-347</w:t>
      </w:r>
      <w:r w:rsidR="00F9072D" w:rsidRPr="006C4049">
        <w:rPr>
          <w:sz w:val="24"/>
        </w:rPr>
        <w:t>.  I</w:t>
      </w:r>
      <w:r w:rsidR="00BE27A4" w:rsidRPr="006C4049">
        <w:rPr>
          <w:sz w:val="24"/>
        </w:rPr>
        <w:t xml:space="preserve">nformation voluntarily submitted </w:t>
      </w:r>
      <w:r w:rsidR="003B29E7" w:rsidRPr="006C4049">
        <w:rPr>
          <w:sz w:val="24"/>
        </w:rPr>
        <w:t xml:space="preserve">by operators </w:t>
      </w:r>
      <w:r w:rsidR="00BE27A4" w:rsidRPr="006C4049">
        <w:rPr>
          <w:sz w:val="24"/>
        </w:rPr>
        <w:t>will be kept confidential</w:t>
      </w:r>
      <w:r w:rsidR="00742CD5" w:rsidRPr="006C4049">
        <w:rPr>
          <w:sz w:val="24"/>
        </w:rPr>
        <w:t>,</w:t>
      </w:r>
      <w:r w:rsidR="00BE27A4" w:rsidRPr="006C4049">
        <w:rPr>
          <w:sz w:val="24"/>
        </w:rPr>
        <w:t xml:space="preserve"> and will not be disclosed to anyone other than BTS employees or BTS agents</w:t>
      </w:r>
      <w:r w:rsidR="005E36F1" w:rsidRPr="006C4049">
        <w:rPr>
          <w:sz w:val="24"/>
        </w:rPr>
        <w:t xml:space="preserve">. </w:t>
      </w:r>
      <w:r w:rsidR="00BE27A4" w:rsidRPr="006C4049">
        <w:rPr>
          <w:sz w:val="24"/>
        </w:rPr>
        <w:t xml:space="preserve"> In accord</w:t>
      </w:r>
      <w:r w:rsidR="007952A5" w:rsidRPr="006C4049">
        <w:rPr>
          <w:sz w:val="24"/>
        </w:rPr>
        <w:t>ance with these confidentiality statutes, only statistical and non-identifying data will be made publicly available through aggregate reports.</w:t>
      </w:r>
      <w:r w:rsidR="00BE27A4" w:rsidRPr="006C4049">
        <w:rPr>
          <w:sz w:val="24"/>
        </w:rPr>
        <w:t xml:space="preserve"> BTS will</w:t>
      </w:r>
      <w:r w:rsidR="00726BE1" w:rsidRPr="006C4049">
        <w:rPr>
          <w:sz w:val="24"/>
        </w:rPr>
        <w:t xml:space="preserve"> develop an analytical database using the reported data and other pertinent information; conduct statistical analyses and develop public reports</w:t>
      </w:r>
      <w:r w:rsidR="00F9072D" w:rsidRPr="006C4049">
        <w:rPr>
          <w:sz w:val="24"/>
        </w:rPr>
        <w:t xml:space="preserve">. </w:t>
      </w:r>
      <w:r w:rsidR="00726BE1" w:rsidRPr="006C4049">
        <w:rPr>
          <w:sz w:val="24"/>
        </w:rPr>
        <w:t>BTS will not release to BSEE or any other public or private entity</w:t>
      </w:r>
      <w:r w:rsidR="00DF2B9D" w:rsidRPr="006C4049">
        <w:rPr>
          <w:sz w:val="24"/>
        </w:rPr>
        <w:t>,</w:t>
      </w:r>
      <w:r w:rsidR="00726BE1" w:rsidRPr="006C4049">
        <w:rPr>
          <w:sz w:val="24"/>
        </w:rPr>
        <w:t xml:space="preserve"> any information that might reveal the identity</w:t>
      </w:r>
      <w:r w:rsidR="00742CD5" w:rsidRPr="006C4049">
        <w:rPr>
          <w:sz w:val="24"/>
        </w:rPr>
        <w:t xml:space="preserve"> of</w:t>
      </w:r>
      <w:r w:rsidR="00726BE1" w:rsidRPr="006C4049">
        <w:rPr>
          <w:sz w:val="24"/>
        </w:rPr>
        <w:t xml:space="preserve"> </w:t>
      </w:r>
      <w:r w:rsidR="00DF2B9D" w:rsidRPr="006C4049">
        <w:rPr>
          <w:sz w:val="24"/>
        </w:rPr>
        <w:t xml:space="preserve">participating companies or entities </w:t>
      </w:r>
      <w:r w:rsidR="00726BE1" w:rsidRPr="006C4049">
        <w:rPr>
          <w:sz w:val="24"/>
        </w:rPr>
        <w:t xml:space="preserve">mentioned in </w:t>
      </w:r>
      <w:r w:rsidR="00DF2B9D" w:rsidRPr="006C4049">
        <w:rPr>
          <w:sz w:val="24"/>
        </w:rPr>
        <w:t xml:space="preserve">the original </w:t>
      </w:r>
      <w:r w:rsidR="00726BE1" w:rsidRPr="006C4049">
        <w:rPr>
          <w:sz w:val="24"/>
        </w:rPr>
        <w:t>reports</w:t>
      </w:r>
      <w:r w:rsidR="00DF2B9D" w:rsidRPr="006C4049">
        <w:rPr>
          <w:sz w:val="24"/>
        </w:rPr>
        <w:t xml:space="preserve">.  </w:t>
      </w:r>
      <w:bookmarkStart w:id="7" w:name="OLE_LINK1"/>
      <w:r w:rsidR="00CB1679" w:rsidRPr="006C4049">
        <w:rPr>
          <w:sz w:val="24"/>
        </w:rPr>
        <w:t>This data collection process will provide</w:t>
      </w:r>
      <w:r w:rsidR="00742CD5" w:rsidRPr="006C4049">
        <w:rPr>
          <w:sz w:val="24"/>
        </w:rPr>
        <w:t xml:space="preserve"> </w:t>
      </w:r>
      <w:r w:rsidR="00CB1679" w:rsidRPr="006C4049">
        <w:rPr>
          <w:sz w:val="24"/>
        </w:rPr>
        <w:t xml:space="preserve">a trusted means to report sensitive proprietary </w:t>
      </w:r>
      <w:r w:rsidR="005E36F1" w:rsidRPr="006C4049">
        <w:rPr>
          <w:sz w:val="24"/>
        </w:rPr>
        <w:t xml:space="preserve">and </w:t>
      </w:r>
      <w:r w:rsidR="00CB1679" w:rsidRPr="006C4049">
        <w:rPr>
          <w:sz w:val="24"/>
        </w:rPr>
        <w:t>safety information.</w:t>
      </w:r>
      <w:r w:rsidR="00A23FD7" w:rsidRPr="006C4049">
        <w:rPr>
          <w:sz w:val="24"/>
        </w:rPr>
        <w:t xml:space="preserve"> </w:t>
      </w:r>
      <w:r w:rsidR="00742CD5" w:rsidRPr="006C4049">
        <w:rPr>
          <w:sz w:val="24"/>
        </w:rPr>
        <w:t>Oil and gas companies working in the GOM, will provide information that is likely to promote new or modified training programs, assess risk and allocate resources to address those risks, and to engage in informed discussions among BSEE, oil and gas operators, their contractors, and other stakeholders</w:t>
      </w:r>
      <w:r w:rsidR="00183A69" w:rsidRPr="006C4049">
        <w:rPr>
          <w:sz w:val="24"/>
        </w:rPr>
        <w:t xml:space="preserve"> thus </w:t>
      </w:r>
      <w:r w:rsidR="00742CD5" w:rsidRPr="006C4049">
        <w:rPr>
          <w:sz w:val="24"/>
        </w:rPr>
        <w:t xml:space="preserve">promoting an industry-wide </w:t>
      </w:r>
      <w:r w:rsidR="00A23FD7" w:rsidRPr="006C4049">
        <w:rPr>
          <w:sz w:val="24"/>
        </w:rPr>
        <w:t xml:space="preserve">culture of </w:t>
      </w:r>
      <w:r w:rsidR="00742CD5" w:rsidRPr="006C4049">
        <w:rPr>
          <w:sz w:val="24"/>
        </w:rPr>
        <w:t>safety</w:t>
      </w:r>
      <w:r w:rsidR="00A23FD7" w:rsidRPr="006C4049">
        <w:rPr>
          <w:sz w:val="24"/>
        </w:rPr>
        <w:t>.</w:t>
      </w:r>
      <w:r w:rsidR="00742CD5" w:rsidRPr="006C4049">
        <w:rPr>
          <w:sz w:val="24"/>
        </w:rPr>
        <w:t xml:space="preserve"> </w:t>
      </w:r>
    </w:p>
    <w:p w:rsidR="00643524" w:rsidRPr="006C4049" w:rsidRDefault="00643524" w:rsidP="00B82808">
      <w:pPr>
        <w:rPr>
          <w:sz w:val="24"/>
        </w:rPr>
      </w:pPr>
    </w:p>
    <w:p w:rsidR="007B3A70" w:rsidRPr="006C4049" w:rsidRDefault="007B3A70" w:rsidP="00B82808">
      <w:pPr>
        <w:rPr>
          <w:sz w:val="24"/>
        </w:rPr>
      </w:pPr>
      <w:r w:rsidRPr="006C4049">
        <w:rPr>
          <w:b/>
          <w:bCs/>
          <w:sz w:val="26"/>
          <w:szCs w:val="26"/>
        </w:rPr>
        <w:t xml:space="preserve">3. </w:t>
      </w:r>
      <w:r w:rsidRPr="006C4049">
        <w:rPr>
          <w:b/>
          <w:bCs/>
          <w:sz w:val="24"/>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7B3A70" w:rsidRPr="006C4049" w:rsidRDefault="007B3A70" w:rsidP="00B82808">
      <w:pPr>
        <w:rPr>
          <w:sz w:val="26"/>
          <w:szCs w:val="26"/>
        </w:rPr>
      </w:pPr>
    </w:p>
    <w:p w:rsidR="004B6E25" w:rsidRPr="006C4049" w:rsidRDefault="00DF3CCF" w:rsidP="00B82808">
      <w:pPr>
        <w:rPr>
          <w:sz w:val="24"/>
        </w:rPr>
      </w:pPr>
      <w:r w:rsidRPr="006C4049">
        <w:rPr>
          <w:sz w:val="24"/>
        </w:rPr>
        <w:t xml:space="preserve">BTS is promoting electronic reporting and has developed tutorials and </w:t>
      </w:r>
      <w:r w:rsidR="005E36F1" w:rsidRPr="006C4049">
        <w:rPr>
          <w:sz w:val="24"/>
        </w:rPr>
        <w:t>u</w:t>
      </w:r>
      <w:r w:rsidRPr="006C4049">
        <w:rPr>
          <w:sz w:val="24"/>
        </w:rPr>
        <w:t xml:space="preserve">ser </w:t>
      </w:r>
      <w:r w:rsidR="005E36F1" w:rsidRPr="006C4049">
        <w:rPr>
          <w:sz w:val="24"/>
        </w:rPr>
        <w:t>g</w:t>
      </w:r>
      <w:r w:rsidRPr="006C4049">
        <w:rPr>
          <w:sz w:val="24"/>
        </w:rPr>
        <w:t>uide</w:t>
      </w:r>
      <w:r w:rsidR="005E36F1" w:rsidRPr="006C4049">
        <w:rPr>
          <w:sz w:val="24"/>
        </w:rPr>
        <w:t>s</w:t>
      </w:r>
      <w:r w:rsidRPr="006C4049">
        <w:rPr>
          <w:sz w:val="24"/>
        </w:rPr>
        <w:t xml:space="preserve"> </w:t>
      </w:r>
      <w:r w:rsidR="00183A69" w:rsidRPr="006C4049">
        <w:rPr>
          <w:sz w:val="24"/>
        </w:rPr>
        <w:t xml:space="preserve">to </w:t>
      </w:r>
      <w:r w:rsidRPr="006C4049">
        <w:rPr>
          <w:sz w:val="24"/>
        </w:rPr>
        <w:t>document</w:t>
      </w:r>
      <w:r w:rsidR="00183A69" w:rsidRPr="006C4049">
        <w:rPr>
          <w:sz w:val="24"/>
        </w:rPr>
        <w:t xml:space="preserve"> and</w:t>
      </w:r>
      <w:r w:rsidRPr="006C4049">
        <w:rPr>
          <w:sz w:val="24"/>
        </w:rPr>
        <w:t xml:space="preserve"> assist resp</w:t>
      </w:r>
      <w:r w:rsidR="005E36F1" w:rsidRPr="006C4049">
        <w:rPr>
          <w:sz w:val="24"/>
        </w:rPr>
        <w:t xml:space="preserve">ondents with filing electronic near-miss </w:t>
      </w:r>
      <w:r w:rsidRPr="006C4049">
        <w:rPr>
          <w:sz w:val="24"/>
        </w:rPr>
        <w:t>and root cause analysis reports.</w:t>
      </w:r>
      <w:r w:rsidR="00036B91" w:rsidRPr="006C4049">
        <w:rPr>
          <w:sz w:val="24"/>
        </w:rPr>
        <w:t xml:space="preserve"> </w:t>
      </w:r>
      <w:r w:rsidR="007B3A70" w:rsidRPr="006C4049">
        <w:rPr>
          <w:sz w:val="24"/>
        </w:rPr>
        <w:t xml:space="preserve">In developing the reporting requirements, </w:t>
      </w:r>
      <w:r w:rsidR="00272F55" w:rsidRPr="006C4049">
        <w:rPr>
          <w:sz w:val="24"/>
        </w:rPr>
        <w:t>BTS has</w:t>
      </w:r>
      <w:r w:rsidR="007B3A70" w:rsidRPr="006C4049">
        <w:rPr>
          <w:sz w:val="24"/>
        </w:rPr>
        <w:t xml:space="preserve"> attempted to ensure that the form and format </w:t>
      </w:r>
      <w:r w:rsidR="00B714E8" w:rsidRPr="006C4049">
        <w:rPr>
          <w:sz w:val="24"/>
        </w:rPr>
        <w:t>of all data collection tools</w:t>
      </w:r>
      <w:r w:rsidR="007B3A70" w:rsidRPr="006C4049">
        <w:rPr>
          <w:sz w:val="24"/>
        </w:rPr>
        <w:t xml:space="preserve"> are designed to minimize the burden of the </w:t>
      </w:r>
      <w:r w:rsidR="008E5CC9" w:rsidRPr="006C4049">
        <w:rPr>
          <w:sz w:val="24"/>
        </w:rPr>
        <w:t xml:space="preserve">respondents while increasing the confidence and trust in the </w:t>
      </w:r>
      <w:r w:rsidR="005312CB" w:rsidRPr="006C4049">
        <w:rPr>
          <w:sz w:val="24"/>
        </w:rPr>
        <w:t>failure</w:t>
      </w:r>
      <w:r w:rsidR="00B714E8" w:rsidRPr="006C4049">
        <w:rPr>
          <w:sz w:val="24"/>
        </w:rPr>
        <w:t xml:space="preserve"> reporting s</w:t>
      </w:r>
      <w:r w:rsidR="00121D05" w:rsidRPr="006C4049">
        <w:rPr>
          <w:sz w:val="24"/>
        </w:rPr>
        <w:t>ystem</w:t>
      </w:r>
      <w:r w:rsidR="008E5CC9" w:rsidRPr="006C4049">
        <w:rPr>
          <w:sz w:val="24"/>
        </w:rPr>
        <w:t>.</w:t>
      </w:r>
      <w:r w:rsidR="00296393" w:rsidRPr="006C4049">
        <w:rPr>
          <w:sz w:val="24"/>
        </w:rPr>
        <w:t xml:space="preserve">  </w:t>
      </w:r>
    </w:p>
    <w:p w:rsidR="004B6E25" w:rsidRPr="006C4049" w:rsidRDefault="004B6E25" w:rsidP="00B82808">
      <w:pPr>
        <w:rPr>
          <w:sz w:val="24"/>
        </w:rPr>
      </w:pPr>
    </w:p>
    <w:p w:rsidR="004B6E25" w:rsidRPr="006C4049" w:rsidRDefault="004B6E25" w:rsidP="00B82808">
      <w:pPr>
        <w:rPr>
          <w:sz w:val="24"/>
        </w:rPr>
      </w:pPr>
      <w:r w:rsidRPr="006C4049">
        <w:rPr>
          <w:sz w:val="24"/>
        </w:rPr>
        <w:t xml:space="preserve">Reports may be submitted individually, through a block transfer of multiple reports, or through a database transfer. Companies will work with BTS to determine a method for transfer, with the goal of allowing for submission of data in whatever format already in place to minimize incremental effort on the company’s part. </w:t>
      </w:r>
    </w:p>
    <w:p w:rsidR="008E5CC9" w:rsidRPr="006C4049" w:rsidRDefault="008E5CC9" w:rsidP="00B82808">
      <w:pPr>
        <w:rPr>
          <w:sz w:val="26"/>
          <w:szCs w:val="26"/>
        </w:rPr>
      </w:pPr>
    </w:p>
    <w:p w:rsidR="007B3A70" w:rsidRPr="006C4049" w:rsidRDefault="007B3A70" w:rsidP="00B82808">
      <w:pPr>
        <w:rPr>
          <w:sz w:val="26"/>
          <w:szCs w:val="26"/>
        </w:rPr>
      </w:pPr>
      <w:r w:rsidRPr="006C4049">
        <w:rPr>
          <w:b/>
          <w:bCs/>
          <w:sz w:val="26"/>
          <w:szCs w:val="26"/>
        </w:rPr>
        <w:t>4.  Describe efforts to identify duplication.  Show specifically why similar information already available cannot be used or modified for use for the purposes described in Item 2 above</w:t>
      </w:r>
      <w:r w:rsidRPr="006C4049">
        <w:rPr>
          <w:sz w:val="26"/>
          <w:szCs w:val="26"/>
        </w:rPr>
        <w:t>.</w:t>
      </w:r>
    </w:p>
    <w:p w:rsidR="001569C0" w:rsidRPr="006C4049" w:rsidRDefault="001569C0" w:rsidP="00B82808">
      <w:pPr>
        <w:rPr>
          <w:sz w:val="26"/>
          <w:szCs w:val="26"/>
        </w:rPr>
      </w:pPr>
    </w:p>
    <w:p w:rsidR="002D6BCD" w:rsidRPr="006C4049" w:rsidRDefault="00067837" w:rsidP="00B82808">
      <w:pPr>
        <w:widowControl/>
        <w:autoSpaceDE/>
        <w:autoSpaceDN/>
        <w:adjustRightInd/>
        <w:spacing w:after="200"/>
        <w:contextualSpacing/>
        <w:rPr>
          <w:sz w:val="24"/>
        </w:rPr>
      </w:pPr>
      <w:r w:rsidRPr="006C4049">
        <w:rPr>
          <w:sz w:val="24"/>
        </w:rPr>
        <w:t xml:space="preserve">This information collection is </w:t>
      </w:r>
      <w:r w:rsidR="000E76AC" w:rsidRPr="006C4049">
        <w:rPr>
          <w:sz w:val="24"/>
        </w:rPr>
        <w:t xml:space="preserve">an expansion of </w:t>
      </w:r>
      <w:r w:rsidRPr="006C4049">
        <w:rPr>
          <w:sz w:val="24"/>
        </w:rPr>
        <w:t xml:space="preserve">the establishment of BTS as an authorized repository for the previously approved information collections (OMB Control Number </w:t>
      </w:r>
      <w:r w:rsidR="00256626" w:rsidRPr="006C4049">
        <w:rPr>
          <w:sz w:val="24"/>
        </w:rPr>
        <w:t>2138-0046</w:t>
      </w:r>
      <w:r w:rsidR="00CA0B97" w:rsidRPr="006C4049">
        <w:rPr>
          <w:sz w:val="24"/>
        </w:rPr>
        <w:t xml:space="preserve">.) There is no duplication of effort </w:t>
      </w:r>
      <w:r w:rsidR="003B29E7" w:rsidRPr="006C4049">
        <w:rPr>
          <w:sz w:val="24"/>
        </w:rPr>
        <w:t>within this collection, because it is a new collection and a first attempt to establish an ISD repository ac</w:t>
      </w:r>
      <w:r w:rsidR="00B82808" w:rsidRPr="006C4049">
        <w:rPr>
          <w:sz w:val="24"/>
        </w:rPr>
        <w:t xml:space="preserve">ross the oil and gas industry. </w:t>
      </w:r>
      <w:r w:rsidR="00F5082F" w:rsidRPr="006C4049">
        <w:rPr>
          <w:sz w:val="24"/>
        </w:rPr>
        <w:t>As part of BSEE’s efforts to promote this p</w:t>
      </w:r>
      <w:r w:rsidR="008E391E" w:rsidRPr="006C4049">
        <w:rPr>
          <w:sz w:val="24"/>
        </w:rPr>
        <w:t>rocess</w:t>
      </w:r>
      <w:r w:rsidR="00F5082F" w:rsidRPr="006C4049">
        <w:rPr>
          <w:sz w:val="24"/>
        </w:rPr>
        <w:t xml:space="preserve">, they </w:t>
      </w:r>
      <w:r w:rsidR="008E391E" w:rsidRPr="006C4049">
        <w:rPr>
          <w:sz w:val="24"/>
        </w:rPr>
        <w:t>took steps</w:t>
      </w:r>
      <w:r w:rsidR="00F5082F" w:rsidRPr="006C4049">
        <w:rPr>
          <w:sz w:val="24"/>
        </w:rPr>
        <w:t xml:space="preserve"> necessary</w:t>
      </w:r>
      <w:r w:rsidR="008E391E" w:rsidRPr="006C4049">
        <w:rPr>
          <w:sz w:val="24"/>
        </w:rPr>
        <w:t xml:space="preserve"> to ensure that similar </w:t>
      </w:r>
      <w:r w:rsidR="00F5082F" w:rsidRPr="006C4049">
        <w:rPr>
          <w:sz w:val="24"/>
        </w:rPr>
        <w:t xml:space="preserve">ISD </w:t>
      </w:r>
      <w:r w:rsidR="008E391E" w:rsidRPr="006C4049">
        <w:rPr>
          <w:sz w:val="24"/>
        </w:rPr>
        <w:t>was not being collected elsewhere</w:t>
      </w:r>
      <w:r w:rsidR="002D6BCD" w:rsidRPr="006C4049">
        <w:rPr>
          <w:sz w:val="24"/>
        </w:rPr>
        <w:t xml:space="preserve"> by a public entity. The </w:t>
      </w:r>
      <w:r w:rsidR="00325178" w:rsidRPr="006C4049">
        <w:rPr>
          <w:sz w:val="24"/>
        </w:rPr>
        <w:t xml:space="preserve">BTS </w:t>
      </w:r>
      <w:r w:rsidR="004B6E25" w:rsidRPr="006C4049">
        <w:rPr>
          <w:sz w:val="24"/>
        </w:rPr>
        <w:t xml:space="preserve">ISD </w:t>
      </w:r>
      <w:r w:rsidR="002D6BCD" w:rsidRPr="006C4049">
        <w:rPr>
          <w:sz w:val="24"/>
        </w:rPr>
        <w:t>database will serve as an industry-wide repository</w:t>
      </w:r>
      <w:r w:rsidR="00256626" w:rsidRPr="006C4049">
        <w:rPr>
          <w:sz w:val="24"/>
        </w:rPr>
        <w:t xml:space="preserve"> for</w:t>
      </w:r>
      <w:r w:rsidR="00D83247" w:rsidRPr="006C4049">
        <w:rPr>
          <w:sz w:val="24"/>
        </w:rPr>
        <w:t xml:space="preserve"> identifying human injury/fatality, damage (loss) of assets, or negative environmental impact related to quality information sharing on incidents, near-misses</w:t>
      </w:r>
      <w:r w:rsidR="00183A69" w:rsidRPr="006C4049">
        <w:rPr>
          <w:sz w:val="24"/>
        </w:rPr>
        <w:t>,</w:t>
      </w:r>
      <w:r w:rsidR="00D83247" w:rsidRPr="006C4049">
        <w:rPr>
          <w:sz w:val="24"/>
        </w:rPr>
        <w:t xml:space="preserve"> and stop work events for overall safety improvements on the OCS.</w:t>
      </w:r>
      <w:r w:rsidR="002D6BCD" w:rsidRPr="006C4049">
        <w:rPr>
          <w:sz w:val="24"/>
        </w:rPr>
        <w:t xml:space="preserve"> </w:t>
      </w:r>
    </w:p>
    <w:p w:rsidR="00C56E43" w:rsidRPr="006C4049" w:rsidRDefault="00C56E43" w:rsidP="00B82808">
      <w:pPr>
        <w:rPr>
          <w:sz w:val="26"/>
          <w:szCs w:val="26"/>
        </w:rPr>
      </w:pPr>
    </w:p>
    <w:bookmarkEnd w:id="7"/>
    <w:p w:rsidR="007B3A70" w:rsidRPr="006C4049" w:rsidRDefault="007B3A70" w:rsidP="00B82808">
      <w:pPr>
        <w:rPr>
          <w:b/>
          <w:bCs/>
          <w:sz w:val="26"/>
          <w:szCs w:val="26"/>
        </w:rPr>
      </w:pPr>
      <w:r w:rsidRPr="006C4049">
        <w:rPr>
          <w:b/>
          <w:bCs/>
          <w:sz w:val="26"/>
          <w:szCs w:val="26"/>
        </w:rPr>
        <w:t>5.  If the collection of information impacts small businesses or other small entities, describe efforts to minimize burden.</w:t>
      </w:r>
    </w:p>
    <w:p w:rsidR="007B3A70" w:rsidRPr="006C4049" w:rsidRDefault="007B3A70" w:rsidP="00B82808">
      <w:pPr>
        <w:rPr>
          <w:sz w:val="26"/>
          <w:szCs w:val="26"/>
        </w:rPr>
      </w:pPr>
    </w:p>
    <w:p w:rsidR="00325571" w:rsidRPr="006C4049" w:rsidRDefault="00763A28" w:rsidP="00B82808">
      <w:pPr>
        <w:rPr>
          <w:sz w:val="24"/>
        </w:rPr>
      </w:pPr>
      <w:r w:rsidRPr="006C4049">
        <w:rPr>
          <w:sz w:val="24"/>
        </w:rPr>
        <w:t xml:space="preserve">This information collection is limited to the establishment of BTS as an authorized repository for the previously approved information collections (OMB Control Number </w:t>
      </w:r>
      <w:r w:rsidR="0011754B" w:rsidRPr="006C4049">
        <w:rPr>
          <w:sz w:val="24"/>
        </w:rPr>
        <w:t>2138-NEW</w:t>
      </w:r>
      <w:r w:rsidRPr="006C4049">
        <w:rPr>
          <w:sz w:val="24"/>
        </w:rPr>
        <w:t xml:space="preserve">, expiration </w:t>
      </w:r>
      <w:r w:rsidR="0011754B" w:rsidRPr="006C4049">
        <w:rPr>
          <w:sz w:val="24"/>
        </w:rPr>
        <w:t>0/00/0000</w:t>
      </w:r>
      <w:r w:rsidR="003B29E7" w:rsidRPr="006C4049">
        <w:rPr>
          <w:sz w:val="24"/>
        </w:rPr>
        <w:t>)</w:t>
      </w:r>
      <w:r w:rsidRPr="006C4049">
        <w:rPr>
          <w:sz w:val="24"/>
        </w:rPr>
        <w:t xml:space="preserve">. </w:t>
      </w:r>
      <w:r w:rsidR="00D83247" w:rsidRPr="006C4049">
        <w:rPr>
          <w:sz w:val="24"/>
        </w:rPr>
        <w:t xml:space="preserve"> </w:t>
      </w:r>
      <w:r w:rsidRPr="006C4049">
        <w:rPr>
          <w:sz w:val="24"/>
        </w:rPr>
        <w:t>For the purposes of this collection BTS has identified</w:t>
      </w:r>
      <w:r w:rsidR="00D45AF8" w:rsidRPr="006C4049">
        <w:rPr>
          <w:sz w:val="24"/>
        </w:rPr>
        <w:t xml:space="preserve"> the oil and gas companies, drilling contractors and service companies as the sole </w:t>
      </w:r>
      <w:r w:rsidRPr="006C4049">
        <w:rPr>
          <w:sz w:val="24"/>
        </w:rPr>
        <w:t>respondent</w:t>
      </w:r>
      <w:r w:rsidR="00D45AF8" w:rsidRPr="006C4049">
        <w:rPr>
          <w:sz w:val="24"/>
        </w:rPr>
        <w:t>s</w:t>
      </w:r>
      <w:r w:rsidRPr="006C4049">
        <w:rPr>
          <w:sz w:val="24"/>
        </w:rPr>
        <w:t xml:space="preserve">; </w:t>
      </w:r>
      <w:r w:rsidR="00D45AF8" w:rsidRPr="006C4049">
        <w:rPr>
          <w:sz w:val="24"/>
        </w:rPr>
        <w:t xml:space="preserve">and the </w:t>
      </w:r>
      <w:r w:rsidRPr="006C4049">
        <w:rPr>
          <w:sz w:val="24"/>
        </w:rPr>
        <w:t>collection does not impact small business or other small entities.</w:t>
      </w:r>
    </w:p>
    <w:p w:rsidR="00763A28" w:rsidRPr="006C4049" w:rsidRDefault="00763A28" w:rsidP="00B82808">
      <w:pPr>
        <w:rPr>
          <w:b/>
          <w:bCs/>
          <w:sz w:val="26"/>
          <w:szCs w:val="26"/>
        </w:rPr>
      </w:pPr>
    </w:p>
    <w:p w:rsidR="00325571" w:rsidRPr="006C4049" w:rsidRDefault="00325571" w:rsidP="00B82808">
      <w:pPr>
        <w:rPr>
          <w:b/>
          <w:bCs/>
          <w:sz w:val="26"/>
          <w:szCs w:val="26"/>
        </w:rPr>
      </w:pPr>
    </w:p>
    <w:p w:rsidR="007B3A70" w:rsidRPr="006C4049" w:rsidRDefault="007B3A70" w:rsidP="00B82808">
      <w:pPr>
        <w:rPr>
          <w:b/>
          <w:bCs/>
          <w:sz w:val="26"/>
          <w:szCs w:val="26"/>
        </w:rPr>
      </w:pPr>
      <w:r w:rsidRPr="006C4049">
        <w:rPr>
          <w:b/>
          <w:bCs/>
          <w:sz w:val="26"/>
          <w:szCs w:val="26"/>
        </w:rPr>
        <w:t>6.  Describe the consequence to the Federal Program or policy activities if the collection were not collected or conducted less frequently.</w:t>
      </w:r>
    </w:p>
    <w:p w:rsidR="007B3A70" w:rsidRPr="006C4049" w:rsidRDefault="007B3A70" w:rsidP="00B82808">
      <w:pPr>
        <w:rPr>
          <w:b/>
          <w:bCs/>
          <w:sz w:val="26"/>
          <w:szCs w:val="26"/>
        </w:rPr>
        <w:sectPr w:rsidR="007B3A70" w:rsidRPr="006C4049">
          <w:footerReference w:type="default" r:id="rId8"/>
          <w:endnotePr>
            <w:numFmt w:val="decimal"/>
          </w:endnotePr>
          <w:type w:val="continuous"/>
          <w:pgSz w:w="12240" w:h="15840"/>
          <w:pgMar w:top="1440" w:right="1440" w:bottom="1440" w:left="1440" w:header="1440" w:footer="1440" w:gutter="0"/>
          <w:cols w:space="720"/>
          <w:noEndnote/>
        </w:sectPr>
      </w:pPr>
    </w:p>
    <w:p w:rsidR="007B3A70" w:rsidRPr="006C4049" w:rsidRDefault="007B3A70" w:rsidP="00B82808">
      <w:pPr>
        <w:rPr>
          <w:sz w:val="26"/>
          <w:szCs w:val="26"/>
        </w:rPr>
      </w:pPr>
    </w:p>
    <w:p w:rsidR="00763A28" w:rsidRPr="006C4049" w:rsidRDefault="00763A28" w:rsidP="00B82808">
      <w:pPr>
        <w:rPr>
          <w:rFonts w:cs="Arial"/>
          <w:sz w:val="24"/>
        </w:rPr>
      </w:pPr>
      <w:r w:rsidRPr="006C4049">
        <w:rPr>
          <w:rFonts w:cs="Arial"/>
          <w:sz w:val="24"/>
        </w:rPr>
        <w:t>Currently</w:t>
      </w:r>
      <w:r w:rsidR="003629B2" w:rsidRPr="006C4049">
        <w:rPr>
          <w:rFonts w:cs="Arial"/>
          <w:sz w:val="24"/>
        </w:rPr>
        <w:t xml:space="preserve">, ISD facilitates the capture of essential information about accident precursors and potential hazards associated with human injury fatality, damage (loss) of assets, or negative environmental impact. </w:t>
      </w:r>
    </w:p>
    <w:p w:rsidR="003629B2" w:rsidRPr="006C4049" w:rsidRDefault="003629B2" w:rsidP="00B82808">
      <w:pPr>
        <w:rPr>
          <w:rFonts w:cs="Arial"/>
          <w:sz w:val="24"/>
        </w:rPr>
      </w:pPr>
    </w:p>
    <w:p w:rsidR="008774E3" w:rsidRPr="006C4049" w:rsidRDefault="00763A28" w:rsidP="00B82808">
      <w:pPr>
        <w:rPr>
          <w:rFonts w:cs="Arial"/>
          <w:sz w:val="24"/>
        </w:rPr>
      </w:pPr>
      <w:r w:rsidRPr="006C4049">
        <w:rPr>
          <w:rFonts w:cs="Arial"/>
          <w:sz w:val="24"/>
        </w:rPr>
        <w:t xml:space="preserve">Reports submitted directly to BTS under CIPSEA will use </w:t>
      </w:r>
      <w:r w:rsidR="003629B2" w:rsidRPr="006C4049">
        <w:rPr>
          <w:rFonts w:cs="Arial"/>
          <w:sz w:val="24"/>
        </w:rPr>
        <w:t xml:space="preserve">voluntary data </w:t>
      </w:r>
      <w:r w:rsidR="00183A69" w:rsidRPr="006C4049">
        <w:rPr>
          <w:rFonts w:cs="Arial"/>
          <w:sz w:val="24"/>
        </w:rPr>
        <w:t xml:space="preserve">from </w:t>
      </w:r>
      <w:r w:rsidR="003629B2" w:rsidRPr="006C4049">
        <w:rPr>
          <w:rFonts w:cs="Arial"/>
          <w:sz w:val="24"/>
        </w:rPr>
        <w:t xml:space="preserve">industry </w:t>
      </w:r>
      <w:r w:rsidRPr="006C4049">
        <w:rPr>
          <w:rFonts w:cs="Arial"/>
          <w:sz w:val="24"/>
        </w:rPr>
        <w:t>that includes additional essential detail about</w:t>
      </w:r>
      <w:r w:rsidR="003629B2" w:rsidRPr="006C4049">
        <w:rPr>
          <w:rFonts w:cs="Arial"/>
          <w:sz w:val="24"/>
        </w:rPr>
        <w:t xml:space="preserve"> incidents, near-misses and stop work events </w:t>
      </w:r>
      <w:r w:rsidRPr="006C4049">
        <w:rPr>
          <w:rFonts w:cs="Arial"/>
          <w:sz w:val="24"/>
        </w:rPr>
        <w:t xml:space="preserve">for risk estimates, in service of BSEE’s mission to protect safety and prevent environmental harm. If </w:t>
      </w:r>
      <w:r w:rsidR="003629B2" w:rsidRPr="006C4049">
        <w:rPr>
          <w:rFonts w:cs="Arial"/>
          <w:sz w:val="24"/>
        </w:rPr>
        <w:t xml:space="preserve">this voluntary industry safety data </w:t>
      </w:r>
      <w:r w:rsidRPr="006C4049">
        <w:rPr>
          <w:rFonts w:cs="Arial"/>
          <w:sz w:val="24"/>
        </w:rPr>
        <w:t xml:space="preserve">were not collected, it will inhibit the comprehensive assessment of </w:t>
      </w:r>
      <w:r w:rsidR="008774E3" w:rsidRPr="006C4049">
        <w:rPr>
          <w:rFonts w:cs="Arial"/>
          <w:sz w:val="24"/>
        </w:rPr>
        <w:t>leading indicators within environmental failures and risks, identification of trends and patterns</w:t>
      </w:r>
      <w:r w:rsidR="005E36F1" w:rsidRPr="006C4049">
        <w:rPr>
          <w:rFonts w:cs="Arial"/>
          <w:sz w:val="24"/>
        </w:rPr>
        <w:t xml:space="preserve"> </w:t>
      </w:r>
      <w:r w:rsidR="008774E3" w:rsidRPr="006C4049">
        <w:rPr>
          <w:rFonts w:cs="Arial"/>
          <w:sz w:val="24"/>
        </w:rPr>
        <w:t xml:space="preserve">before safety is compromised. </w:t>
      </w:r>
    </w:p>
    <w:p w:rsidR="004C2CE3" w:rsidRPr="006C4049" w:rsidRDefault="004C2CE3">
      <w:pPr>
        <w:rPr>
          <w:b/>
          <w:bCs/>
          <w:sz w:val="26"/>
          <w:szCs w:val="26"/>
        </w:rPr>
      </w:pPr>
    </w:p>
    <w:p w:rsidR="007B3A70" w:rsidRPr="006C4049" w:rsidRDefault="007B3A70">
      <w:pPr>
        <w:rPr>
          <w:b/>
          <w:bCs/>
          <w:sz w:val="26"/>
          <w:szCs w:val="26"/>
        </w:rPr>
      </w:pPr>
      <w:r w:rsidRPr="006C4049">
        <w:rPr>
          <w:b/>
          <w:bCs/>
          <w:sz w:val="26"/>
          <w:szCs w:val="26"/>
        </w:rPr>
        <w:t>7.  Explain any special circumstances that would cause an information collection to be conducted in a manner:</w:t>
      </w:r>
    </w:p>
    <w:p w:rsidR="007B3A70" w:rsidRPr="006C4049" w:rsidRDefault="007B3A70">
      <w:pPr>
        <w:rPr>
          <w:b/>
          <w:bCs/>
          <w:sz w:val="26"/>
          <w:szCs w:val="26"/>
        </w:rPr>
      </w:pPr>
    </w:p>
    <w:p w:rsidR="007B3A70" w:rsidRPr="006C4049" w:rsidRDefault="007B3A70">
      <w:pPr>
        <w:pStyle w:val="Level1"/>
        <w:numPr>
          <w:ilvl w:val="0"/>
          <w:numId w:val="1"/>
        </w:numPr>
        <w:tabs>
          <w:tab w:val="left" w:pos="-1440"/>
        </w:tabs>
        <w:jc w:val="both"/>
        <w:rPr>
          <w:b/>
          <w:bCs/>
          <w:sz w:val="26"/>
          <w:szCs w:val="26"/>
        </w:rPr>
      </w:pPr>
      <w:r w:rsidRPr="006C4049">
        <w:rPr>
          <w:b/>
          <w:bCs/>
          <w:sz w:val="26"/>
          <w:szCs w:val="26"/>
        </w:rPr>
        <w:t>requiring respondents to report information to the agency more often than quarterly;</w:t>
      </w:r>
    </w:p>
    <w:p w:rsidR="00763A28" w:rsidRPr="006C4049" w:rsidRDefault="00763A28">
      <w:pPr>
        <w:jc w:val="both"/>
        <w:rPr>
          <w:b/>
          <w:bCs/>
          <w:sz w:val="26"/>
          <w:szCs w:val="26"/>
        </w:rPr>
      </w:pPr>
    </w:p>
    <w:p w:rsidR="007B3A70" w:rsidRPr="006C4049" w:rsidRDefault="007B3A70">
      <w:pPr>
        <w:pStyle w:val="Level1"/>
        <w:numPr>
          <w:ilvl w:val="0"/>
          <w:numId w:val="1"/>
        </w:numPr>
        <w:tabs>
          <w:tab w:val="left" w:pos="-1440"/>
        </w:tabs>
        <w:jc w:val="both"/>
        <w:rPr>
          <w:b/>
          <w:bCs/>
          <w:sz w:val="26"/>
          <w:szCs w:val="26"/>
        </w:rPr>
      </w:pPr>
      <w:r w:rsidRPr="006C4049">
        <w:rPr>
          <w:b/>
          <w:bCs/>
          <w:sz w:val="26"/>
          <w:szCs w:val="26"/>
        </w:rPr>
        <w:t>requiring respondents to prepare a written response to a collection of information in fewer than 30 days after receipt of it;</w:t>
      </w:r>
    </w:p>
    <w:p w:rsidR="007B3A70" w:rsidRPr="006C4049" w:rsidRDefault="007B3A70">
      <w:pPr>
        <w:jc w:val="both"/>
        <w:rPr>
          <w:b/>
          <w:bCs/>
          <w:sz w:val="26"/>
          <w:szCs w:val="26"/>
        </w:rPr>
      </w:pPr>
    </w:p>
    <w:p w:rsidR="007B3A70" w:rsidRPr="006C4049" w:rsidRDefault="007B3A70">
      <w:pPr>
        <w:pStyle w:val="Level1"/>
        <w:numPr>
          <w:ilvl w:val="0"/>
          <w:numId w:val="1"/>
        </w:numPr>
        <w:tabs>
          <w:tab w:val="left" w:pos="-1440"/>
        </w:tabs>
        <w:jc w:val="both"/>
        <w:rPr>
          <w:sz w:val="26"/>
          <w:szCs w:val="26"/>
        </w:rPr>
      </w:pPr>
      <w:r w:rsidRPr="006C4049">
        <w:rPr>
          <w:b/>
          <w:bCs/>
          <w:sz w:val="26"/>
          <w:szCs w:val="26"/>
        </w:rPr>
        <w:t>requiring respondents to submit more than an original and two copies of any document;</w:t>
      </w:r>
    </w:p>
    <w:p w:rsidR="007B3A70" w:rsidRPr="006C4049" w:rsidRDefault="007B3A70">
      <w:pPr>
        <w:jc w:val="both"/>
        <w:rPr>
          <w:sz w:val="26"/>
          <w:szCs w:val="26"/>
        </w:rPr>
      </w:pPr>
    </w:p>
    <w:p w:rsidR="007B3A70" w:rsidRPr="006C4049" w:rsidRDefault="007B3A70">
      <w:pPr>
        <w:pStyle w:val="Level1"/>
        <w:numPr>
          <w:ilvl w:val="0"/>
          <w:numId w:val="1"/>
        </w:numPr>
        <w:tabs>
          <w:tab w:val="left" w:pos="-1440"/>
        </w:tabs>
        <w:jc w:val="both"/>
        <w:rPr>
          <w:b/>
          <w:bCs/>
          <w:sz w:val="26"/>
          <w:szCs w:val="26"/>
        </w:rPr>
      </w:pPr>
      <w:r w:rsidRPr="006C4049">
        <w:rPr>
          <w:b/>
          <w:bCs/>
          <w:sz w:val="26"/>
          <w:szCs w:val="26"/>
        </w:rPr>
        <w:t>requiring respondents to retain records, other than health, government contracts, grant-in-aid, or tax records for more than 3 years;</w:t>
      </w:r>
    </w:p>
    <w:p w:rsidR="007B3A70" w:rsidRPr="006C4049" w:rsidRDefault="007B3A70">
      <w:pPr>
        <w:jc w:val="both"/>
        <w:rPr>
          <w:b/>
          <w:bCs/>
          <w:sz w:val="26"/>
          <w:szCs w:val="26"/>
        </w:rPr>
      </w:pPr>
    </w:p>
    <w:p w:rsidR="007B3A70" w:rsidRPr="006C4049" w:rsidRDefault="00FC5E94">
      <w:pPr>
        <w:pStyle w:val="Level1"/>
        <w:numPr>
          <w:ilvl w:val="0"/>
          <w:numId w:val="1"/>
        </w:numPr>
        <w:tabs>
          <w:tab w:val="left" w:pos="-1440"/>
        </w:tabs>
        <w:jc w:val="both"/>
        <w:rPr>
          <w:b/>
          <w:bCs/>
          <w:sz w:val="26"/>
          <w:szCs w:val="26"/>
        </w:rPr>
      </w:pPr>
      <w:r w:rsidRPr="006C4049">
        <w:rPr>
          <w:b/>
          <w:bCs/>
          <w:sz w:val="26"/>
          <w:szCs w:val="26"/>
        </w:rPr>
        <w:t xml:space="preserve">in </w:t>
      </w:r>
      <w:r w:rsidR="007B3A70" w:rsidRPr="006C4049">
        <w:rPr>
          <w:b/>
          <w:bCs/>
          <w:sz w:val="26"/>
          <w:szCs w:val="26"/>
        </w:rPr>
        <w:t>connection with a statistical survey, that is not designed to produce valid and reliable results that can be generalized to the universe of study;</w:t>
      </w:r>
    </w:p>
    <w:p w:rsidR="007B3A70" w:rsidRPr="006C4049" w:rsidRDefault="007B3A70">
      <w:pPr>
        <w:jc w:val="both"/>
        <w:rPr>
          <w:b/>
          <w:bCs/>
          <w:sz w:val="26"/>
          <w:szCs w:val="26"/>
        </w:rPr>
      </w:pPr>
    </w:p>
    <w:p w:rsidR="007B3A70" w:rsidRPr="006C4049" w:rsidRDefault="007B3A70">
      <w:pPr>
        <w:pStyle w:val="Level1"/>
        <w:numPr>
          <w:ilvl w:val="0"/>
          <w:numId w:val="1"/>
        </w:numPr>
        <w:tabs>
          <w:tab w:val="left" w:pos="-1440"/>
        </w:tabs>
        <w:jc w:val="both"/>
        <w:rPr>
          <w:b/>
          <w:bCs/>
          <w:sz w:val="26"/>
          <w:szCs w:val="26"/>
        </w:rPr>
      </w:pPr>
      <w:r w:rsidRPr="006C4049">
        <w:rPr>
          <w:b/>
          <w:bCs/>
          <w:sz w:val="26"/>
          <w:szCs w:val="26"/>
        </w:rPr>
        <w:t>requiring the use of statistical data classification that has not been reviewed and approved by OMB;</w:t>
      </w:r>
    </w:p>
    <w:p w:rsidR="007B3A70" w:rsidRPr="006C4049" w:rsidRDefault="007B3A70">
      <w:pPr>
        <w:jc w:val="both"/>
        <w:rPr>
          <w:b/>
          <w:bCs/>
          <w:sz w:val="26"/>
          <w:szCs w:val="26"/>
        </w:rPr>
      </w:pPr>
    </w:p>
    <w:p w:rsidR="007B3A70" w:rsidRPr="006C4049" w:rsidRDefault="007B3A70">
      <w:pPr>
        <w:pStyle w:val="Level1"/>
        <w:numPr>
          <w:ilvl w:val="0"/>
          <w:numId w:val="1"/>
        </w:numPr>
        <w:tabs>
          <w:tab w:val="left" w:pos="-1440"/>
        </w:tabs>
        <w:jc w:val="both"/>
        <w:rPr>
          <w:b/>
          <w:bCs/>
          <w:sz w:val="26"/>
          <w:szCs w:val="26"/>
        </w:rPr>
      </w:pPr>
      <w:r w:rsidRPr="006C4049">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Pr="006C4049" w:rsidRDefault="007B3A70">
      <w:pPr>
        <w:jc w:val="both"/>
        <w:rPr>
          <w:b/>
          <w:bCs/>
          <w:sz w:val="26"/>
          <w:szCs w:val="26"/>
        </w:rPr>
      </w:pPr>
    </w:p>
    <w:p w:rsidR="007B3A70" w:rsidRPr="006C4049" w:rsidRDefault="007B3A70">
      <w:pPr>
        <w:pStyle w:val="Level1"/>
        <w:numPr>
          <w:ilvl w:val="0"/>
          <w:numId w:val="1"/>
        </w:numPr>
        <w:tabs>
          <w:tab w:val="left" w:pos="-1440"/>
        </w:tabs>
        <w:jc w:val="both"/>
        <w:rPr>
          <w:sz w:val="26"/>
          <w:szCs w:val="26"/>
        </w:rPr>
      </w:pPr>
      <w:r w:rsidRPr="006C4049">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020DEC" w:rsidRPr="006C4049" w:rsidRDefault="00020DEC" w:rsidP="00020DEC">
      <w:pPr>
        <w:pStyle w:val="Level1"/>
        <w:tabs>
          <w:tab w:val="left" w:pos="-1440"/>
        </w:tabs>
        <w:jc w:val="both"/>
        <w:rPr>
          <w:b/>
          <w:bCs/>
          <w:sz w:val="26"/>
          <w:szCs w:val="26"/>
        </w:rPr>
      </w:pPr>
    </w:p>
    <w:p w:rsidR="00020DEC" w:rsidRPr="006C4049" w:rsidRDefault="00020DEC" w:rsidP="00020DEC">
      <w:pPr>
        <w:rPr>
          <w:sz w:val="24"/>
        </w:rPr>
      </w:pPr>
      <w:r w:rsidRPr="006C4049">
        <w:rPr>
          <w:sz w:val="24"/>
        </w:rPr>
        <w:t xml:space="preserve">There are no special circumstances that pertain to this </w:t>
      </w:r>
      <w:r w:rsidR="006969D9" w:rsidRPr="006C4049">
        <w:rPr>
          <w:sz w:val="24"/>
        </w:rPr>
        <w:t>information</w:t>
      </w:r>
      <w:r w:rsidRPr="006C4049">
        <w:rPr>
          <w:sz w:val="24"/>
        </w:rPr>
        <w:t xml:space="preserve"> collection.</w:t>
      </w:r>
    </w:p>
    <w:p w:rsidR="00020DEC" w:rsidRPr="006C4049" w:rsidRDefault="00020DEC" w:rsidP="00020DEC">
      <w:pPr>
        <w:pStyle w:val="Level1"/>
        <w:tabs>
          <w:tab w:val="left" w:pos="-1440"/>
        </w:tabs>
        <w:jc w:val="both"/>
        <w:rPr>
          <w:sz w:val="26"/>
          <w:szCs w:val="26"/>
        </w:rPr>
      </w:pPr>
    </w:p>
    <w:p w:rsidR="00E64BAC" w:rsidRPr="006C4049" w:rsidRDefault="007B3A70">
      <w:pPr>
        <w:rPr>
          <w:sz w:val="26"/>
          <w:szCs w:val="26"/>
        </w:rPr>
      </w:pPr>
      <w:r w:rsidRPr="006C4049">
        <w:rPr>
          <w:b/>
          <w:bCs/>
          <w:sz w:val="26"/>
          <w:szCs w:val="26"/>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sidRPr="006C4049">
        <w:rPr>
          <w:sz w:val="26"/>
          <w:szCs w:val="26"/>
        </w:rPr>
        <w:t>.</w:t>
      </w:r>
    </w:p>
    <w:p w:rsidR="00EC001C" w:rsidRPr="006C4049" w:rsidRDefault="00EC001C">
      <w:pPr>
        <w:rPr>
          <w:sz w:val="24"/>
        </w:rPr>
      </w:pPr>
    </w:p>
    <w:p w:rsidR="007B3A70" w:rsidRPr="006C4049" w:rsidRDefault="00EC001C">
      <w:pPr>
        <w:rPr>
          <w:sz w:val="24"/>
        </w:rPr>
      </w:pPr>
      <w:r w:rsidRPr="006C4049">
        <w:rPr>
          <w:sz w:val="24"/>
        </w:rPr>
        <w:t xml:space="preserve">There were </w:t>
      </w:r>
      <w:r w:rsidR="00B35B35" w:rsidRPr="006C4049">
        <w:rPr>
          <w:sz w:val="24"/>
        </w:rPr>
        <w:t xml:space="preserve">no pertinent </w:t>
      </w:r>
      <w:r w:rsidRPr="006C4049">
        <w:rPr>
          <w:sz w:val="24"/>
        </w:rPr>
        <w:t xml:space="preserve">public comments to the 60-day Notice.  </w:t>
      </w:r>
      <w:r w:rsidR="00E64BAC" w:rsidRPr="006C4049">
        <w:rPr>
          <w:sz w:val="24"/>
        </w:rPr>
        <w:t xml:space="preserve">BTS published a </w:t>
      </w:r>
      <w:r w:rsidRPr="006C4049">
        <w:rPr>
          <w:sz w:val="24"/>
        </w:rPr>
        <w:t xml:space="preserve">30-day </w:t>
      </w:r>
      <w:r w:rsidR="00E64BAC" w:rsidRPr="006C4049">
        <w:rPr>
          <w:sz w:val="24"/>
        </w:rPr>
        <w:t xml:space="preserve">Federal Register notice on </w:t>
      </w:r>
      <w:r w:rsidR="00B35B35" w:rsidRPr="006C4049">
        <w:rPr>
          <w:sz w:val="24"/>
        </w:rPr>
        <w:t>July18, 2018</w:t>
      </w:r>
      <w:r w:rsidR="00D6640E">
        <w:rPr>
          <w:sz w:val="24"/>
        </w:rPr>
        <w:t>, Vol 83. FR 33974</w:t>
      </w:r>
      <w:r w:rsidR="00E64BAC" w:rsidRPr="006C4049">
        <w:rPr>
          <w:sz w:val="24"/>
        </w:rPr>
        <w:t>. The public was invited to submit comments directly to the Office of Information and Regulatory Affairs (OIRA), Office of Management and Budget (OMB).</w:t>
      </w:r>
    </w:p>
    <w:p w:rsidR="001D202A" w:rsidRPr="006C4049" w:rsidRDefault="001D202A" w:rsidP="001D202A">
      <w:pPr>
        <w:rPr>
          <w:sz w:val="26"/>
          <w:szCs w:val="26"/>
        </w:rPr>
      </w:pPr>
    </w:p>
    <w:p w:rsidR="007B3A70" w:rsidRPr="006C4049" w:rsidRDefault="007B3A70">
      <w:pPr>
        <w:rPr>
          <w:b/>
          <w:bCs/>
          <w:sz w:val="26"/>
          <w:szCs w:val="26"/>
        </w:rPr>
      </w:pPr>
      <w:r w:rsidRPr="006C4049">
        <w:rPr>
          <w:b/>
          <w:bCs/>
          <w:sz w:val="26"/>
          <w:szCs w:val="26"/>
        </w:rPr>
        <w:t>9. Explain any decision to provide any payment or gift to respondents, other than re-enumeration of contractors or grantees.</w:t>
      </w:r>
    </w:p>
    <w:p w:rsidR="007B3A70" w:rsidRPr="006C4049" w:rsidRDefault="007B3A70">
      <w:pPr>
        <w:rPr>
          <w:sz w:val="26"/>
          <w:szCs w:val="26"/>
        </w:rPr>
      </w:pPr>
    </w:p>
    <w:p w:rsidR="007B3A70" w:rsidRPr="006C4049" w:rsidRDefault="007B3A70">
      <w:pPr>
        <w:rPr>
          <w:sz w:val="26"/>
          <w:szCs w:val="26"/>
        </w:rPr>
      </w:pPr>
      <w:r w:rsidRPr="006C4049">
        <w:rPr>
          <w:sz w:val="26"/>
          <w:szCs w:val="26"/>
        </w:rPr>
        <w:t>No payment or gift of any kind is being made to respondents.</w:t>
      </w:r>
    </w:p>
    <w:p w:rsidR="007B3A70" w:rsidRPr="006C4049" w:rsidRDefault="007B3A70">
      <w:pPr>
        <w:rPr>
          <w:sz w:val="26"/>
          <w:szCs w:val="26"/>
        </w:rPr>
      </w:pPr>
    </w:p>
    <w:p w:rsidR="007B3A70" w:rsidRPr="006C4049" w:rsidRDefault="007B3A70">
      <w:pPr>
        <w:rPr>
          <w:b/>
          <w:bCs/>
          <w:sz w:val="26"/>
          <w:szCs w:val="26"/>
        </w:rPr>
      </w:pPr>
      <w:r w:rsidRPr="006C4049">
        <w:rPr>
          <w:b/>
          <w:bCs/>
          <w:sz w:val="26"/>
          <w:szCs w:val="26"/>
        </w:rPr>
        <w:t>10.  Describe any assurances of confidentiality provided to respondents.</w:t>
      </w:r>
    </w:p>
    <w:p w:rsidR="00FB7D19" w:rsidRPr="006C4049" w:rsidRDefault="00FB7D19">
      <w:pPr>
        <w:rPr>
          <w:b/>
          <w:bCs/>
          <w:sz w:val="26"/>
          <w:szCs w:val="26"/>
        </w:rPr>
      </w:pPr>
    </w:p>
    <w:p w:rsidR="00FB7D19" w:rsidRPr="006C4049" w:rsidRDefault="00FB7D19" w:rsidP="00FB7D19">
      <w:pPr>
        <w:rPr>
          <w:bCs/>
          <w:sz w:val="24"/>
        </w:rPr>
      </w:pPr>
      <w:r w:rsidRPr="006C4049">
        <w:rPr>
          <w:bCs/>
          <w:sz w:val="24"/>
        </w:rPr>
        <w:t xml:space="preserve">The confidentiality of </w:t>
      </w:r>
      <w:r w:rsidR="007F19F2" w:rsidRPr="006C4049">
        <w:rPr>
          <w:bCs/>
          <w:sz w:val="24"/>
        </w:rPr>
        <w:t>industry safety d</w:t>
      </w:r>
      <w:r w:rsidRPr="006C4049">
        <w:rPr>
          <w:bCs/>
          <w:sz w:val="24"/>
        </w:rPr>
        <w:t xml:space="preserve">ata is protected under the BTS confidentiality statute (49 U.S.C. </w:t>
      </w:r>
      <w:r w:rsidR="00094E2F" w:rsidRPr="006C4049">
        <w:rPr>
          <w:bCs/>
          <w:sz w:val="24"/>
        </w:rPr>
        <w:t>6302</w:t>
      </w:r>
      <w:r w:rsidR="00E06035" w:rsidRPr="006C4049">
        <w:rPr>
          <w:bCs/>
          <w:sz w:val="24"/>
        </w:rPr>
        <w:t>)</w:t>
      </w:r>
      <w:r w:rsidRPr="006C4049">
        <w:rPr>
          <w:bCs/>
          <w:sz w:val="24"/>
        </w:rPr>
        <w:t xml:space="preserve"> and CIPSEA (Public Law 107-347, Title V).  In accordance with these confidentiality statutes, only statistical and non-identifying data will be made publicly available through reports.  Further, BTS will not release to any public or private entity any information that might re</w:t>
      </w:r>
      <w:r w:rsidR="00447D60" w:rsidRPr="006C4049">
        <w:rPr>
          <w:bCs/>
          <w:sz w:val="24"/>
        </w:rPr>
        <w:t>veal the identity of participating companies</w:t>
      </w:r>
      <w:r w:rsidRPr="006C4049">
        <w:rPr>
          <w:bCs/>
          <w:sz w:val="24"/>
        </w:rPr>
        <w:t xml:space="preserve"> </w:t>
      </w:r>
      <w:r w:rsidR="00094E2F" w:rsidRPr="006C4049">
        <w:rPr>
          <w:bCs/>
          <w:sz w:val="24"/>
        </w:rPr>
        <w:t>reporting</w:t>
      </w:r>
      <w:r w:rsidR="002E1297" w:rsidRPr="006C4049">
        <w:rPr>
          <w:bCs/>
          <w:sz w:val="24"/>
        </w:rPr>
        <w:t xml:space="preserve"> </w:t>
      </w:r>
      <w:r w:rsidR="007F19F2" w:rsidRPr="006C4049">
        <w:rPr>
          <w:bCs/>
          <w:sz w:val="24"/>
        </w:rPr>
        <w:t xml:space="preserve">near-miss </w:t>
      </w:r>
      <w:r w:rsidR="002E1297" w:rsidRPr="006C4049">
        <w:rPr>
          <w:bCs/>
          <w:sz w:val="24"/>
        </w:rPr>
        <w:t xml:space="preserve">events </w:t>
      </w:r>
      <w:r w:rsidR="008B34B9" w:rsidRPr="006C4049">
        <w:rPr>
          <w:bCs/>
          <w:sz w:val="24"/>
        </w:rPr>
        <w:t xml:space="preserve">or </w:t>
      </w:r>
      <w:r w:rsidR="00075CD6" w:rsidRPr="006C4049">
        <w:rPr>
          <w:bCs/>
          <w:sz w:val="24"/>
        </w:rPr>
        <w:t xml:space="preserve">individuals </w:t>
      </w:r>
      <w:r w:rsidRPr="006C4049">
        <w:rPr>
          <w:bCs/>
          <w:sz w:val="24"/>
        </w:rPr>
        <w:t xml:space="preserve">mentioned in </w:t>
      </w:r>
      <w:r w:rsidR="00094E2F" w:rsidRPr="006C4049">
        <w:rPr>
          <w:bCs/>
          <w:sz w:val="24"/>
        </w:rPr>
        <w:t>these reports</w:t>
      </w:r>
      <w:r w:rsidRPr="006C4049">
        <w:rPr>
          <w:bCs/>
          <w:sz w:val="24"/>
        </w:rPr>
        <w:t>.</w:t>
      </w:r>
    </w:p>
    <w:p w:rsidR="007B3A70" w:rsidRPr="006C4049" w:rsidRDefault="007B3A70">
      <w:pPr>
        <w:rPr>
          <w:sz w:val="24"/>
        </w:rPr>
      </w:pPr>
    </w:p>
    <w:p w:rsidR="008B34B9" w:rsidRPr="006C4049" w:rsidRDefault="008B34B9" w:rsidP="008B34B9">
      <w:pPr>
        <w:rPr>
          <w:sz w:val="24"/>
        </w:rPr>
      </w:pPr>
      <w:r w:rsidRPr="006C4049">
        <w:rPr>
          <w:sz w:val="24"/>
        </w:rPr>
        <w:t>BTS operates SafeOCS under the Confidential Information Protection and Statistical Efficiency Act (CIPSEA) (44 U.S.C. § 3501 note). Under CIPSEA, it is a felony, punishable by up to $250,000 in fines and up to 5 years in jail, for BTS or its agents to release identifiable data confidentially submitted in reports by individuals, companies or other entities. BTS has very strict protocols in place for collecting and protecting such data. CIPSEA protections include, but are not limited to:</w:t>
      </w:r>
    </w:p>
    <w:p w:rsidR="008B34B9" w:rsidRPr="006C4049" w:rsidRDefault="008B34B9" w:rsidP="008B34B9">
      <w:pPr>
        <w:rPr>
          <w:sz w:val="24"/>
        </w:rPr>
      </w:pPr>
      <w:r w:rsidRPr="006C4049">
        <w:rPr>
          <w:sz w:val="24"/>
        </w:rPr>
        <w:t xml:space="preserve">    • protection from subpoenas and Freedom of Information Act disclosure</w:t>
      </w:r>
    </w:p>
    <w:p w:rsidR="008B34B9" w:rsidRPr="006C4049" w:rsidRDefault="008B34B9" w:rsidP="008B34B9">
      <w:pPr>
        <w:rPr>
          <w:sz w:val="24"/>
        </w:rPr>
      </w:pPr>
      <w:r w:rsidRPr="006C4049">
        <w:rPr>
          <w:sz w:val="24"/>
        </w:rPr>
        <w:t xml:space="preserve">    • protection from release to the public, BSEE, or any other government agency</w:t>
      </w:r>
    </w:p>
    <w:p w:rsidR="008B34B9" w:rsidRPr="006C4049" w:rsidRDefault="008B34B9" w:rsidP="008B34B9">
      <w:pPr>
        <w:rPr>
          <w:sz w:val="24"/>
        </w:rPr>
      </w:pPr>
      <w:r w:rsidRPr="006C4049">
        <w:rPr>
          <w:sz w:val="24"/>
        </w:rPr>
        <w:t xml:space="preserve">    • protection from uses other than statistical purposes</w:t>
      </w:r>
    </w:p>
    <w:p w:rsidR="008B34B9" w:rsidRPr="006C4049" w:rsidRDefault="008B34B9">
      <w:pPr>
        <w:rPr>
          <w:sz w:val="24"/>
        </w:rPr>
      </w:pPr>
    </w:p>
    <w:p w:rsidR="007B3A70" w:rsidRPr="006C4049" w:rsidRDefault="007B3A70">
      <w:pPr>
        <w:rPr>
          <w:b/>
          <w:bCs/>
          <w:sz w:val="26"/>
          <w:szCs w:val="26"/>
        </w:rPr>
      </w:pPr>
      <w:r w:rsidRPr="006C4049">
        <w:rPr>
          <w:b/>
          <w:bCs/>
          <w:sz w:val="26"/>
          <w:szCs w:val="26"/>
        </w:rPr>
        <w:t>11.  Are there any questions of a sensitive nature?</w:t>
      </w:r>
    </w:p>
    <w:p w:rsidR="002C26F7" w:rsidRPr="006C4049" w:rsidRDefault="002C26F7" w:rsidP="002C26F7">
      <w:pPr>
        <w:rPr>
          <w:sz w:val="24"/>
        </w:rPr>
      </w:pPr>
    </w:p>
    <w:p w:rsidR="002C26F7" w:rsidRPr="006C4049" w:rsidRDefault="00AF0E48" w:rsidP="002C26F7">
      <w:pPr>
        <w:rPr>
          <w:sz w:val="24"/>
        </w:rPr>
      </w:pPr>
      <w:r w:rsidRPr="006C4049">
        <w:rPr>
          <w:sz w:val="24"/>
        </w:rPr>
        <w:t>T</w:t>
      </w:r>
      <w:r w:rsidR="002266DB" w:rsidRPr="006C4049">
        <w:rPr>
          <w:sz w:val="24"/>
        </w:rPr>
        <w:t xml:space="preserve">here are no </w:t>
      </w:r>
      <w:r w:rsidR="007B3A70" w:rsidRPr="006C4049">
        <w:rPr>
          <w:sz w:val="24"/>
        </w:rPr>
        <w:t xml:space="preserve">questions of </w:t>
      </w:r>
      <w:r w:rsidRPr="006C4049">
        <w:rPr>
          <w:sz w:val="24"/>
        </w:rPr>
        <w:t xml:space="preserve">a </w:t>
      </w:r>
      <w:r w:rsidR="007B3A70" w:rsidRPr="006C4049">
        <w:rPr>
          <w:sz w:val="24"/>
        </w:rPr>
        <w:t>sensitive</w:t>
      </w:r>
      <w:r w:rsidRPr="006C4049">
        <w:rPr>
          <w:sz w:val="24"/>
        </w:rPr>
        <w:t xml:space="preserve"> or </w:t>
      </w:r>
      <w:r w:rsidR="002C26F7" w:rsidRPr="006C4049">
        <w:rPr>
          <w:sz w:val="24"/>
        </w:rPr>
        <w:t>personal</w:t>
      </w:r>
      <w:r w:rsidR="007B3A70" w:rsidRPr="006C4049">
        <w:rPr>
          <w:sz w:val="24"/>
        </w:rPr>
        <w:t xml:space="preserve"> nature</w:t>
      </w:r>
      <w:r w:rsidR="00763A28" w:rsidRPr="006C4049">
        <w:rPr>
          <w:sz w:val="24"/>
        </w:rPr>
        <w:t>.</w:t>
      </w:r>
    </w:p>
    <w:p w:rsidR="002266DB" w:rsidRPr="006C4049" w:rsidRDefault="002266DB">
      <w:pPr>
        <w:rPr>
          <w:sz w:val="24"/>
        </w:rPr>
      </w:pPr>
    </w:p>
    <w:p w:rsidR="007B3A70" w:rsidRPr="006C4049" w:rsidRDefault="007B3A70">
      <w:pPr>
        <w:rPr>
          <w:sz w:val="26"/>
          <w:szCs w:val="26"/>
        </w:rPr>
      </w:pPr>
      <w:r w:rsidRPr="006C4049">
        <w:rPr>
          <w:b/>
          <w:bCs/>
          <w:sz w:val="26"/>
          <w:szCs w:val="26"/>
        </w:rPr>
        <w:t>12.  Provide estimates of reporting burden</w:t>
      </w:r>
      <w:r w:rsidRPr="006C4049">
        <w:rPr>
          <w:sz w:val="26"/>
          <w:szCs w:val="26"/>
        </w:rPr>
        <w:t>.</w:t>
      </w:r>
    </w:p>
    <w:p w:rsidR="00DE7392" w:rsidRPr="006C4049" w:rsidRDefault="00DE7392" w:rsidP="006F20C0">
      <w:pPr>
        <w:rPr>
          <w:sz w:val="24"/>
        </w:rPr>
      </w:pPr>
    </w:p>
    <w:p w:rsidR="00E551B1" w:rsidRPr="006C4049" w:rsidRDefault="00E551B1" w:rsidP="00E551B1">
      <w:pPr>
        <w:rPr>
          <w:sz w:val="24"/>
        </w:rPr>
      </w:pPr>
      <w:r w:rsidRPr="006C4049">
        <w:rPr>
          <w:sz w:val="24"/>
        </w:rPr>
        <w:t>This information collection is limited to the establishment of BTS as an authorized repository for the previously approved information collections (</w:t>
      </w:r>
      <w:r w:rsidR="007F19F2" w:rsidRPr="006C4049">
        <w:rPr>
          <w:sz w:val="24"/>
        </w:rPr>
        <w:t xml:space="preserve">OMB Control Number </w:t>
      </w:r>
      <w:r w:rsidR="0011754B" w:rsidRPr="006C4049">
        <w:rPr>
          <w:sz w:val="24"/>
        </w:rPr>
        <w:t>2138-NEW</w:t>
      </w:r>
      <w:r w:rsidR="007F19F2" w:rsidRPr="006C4049">
        <w:rPr>
          <w:sz w:val="24"/>
        </w:rPr>
        <w:t xml:space="preserve">, expiration </w:t>
      </w:r>
      <w:r w:rsidR="0011754B" w:rsidRPr="006C4049">
        <w:rPr>
          <w:sz w:val="24"/>
        </w:rPr>
        <w:t>00/00/0000</w:t>
      </w:r>
      <w:r w:rsidR="007F19F2" w:rsidRPr="006C4049">
        <w:rPr>
          <w:sz w:val="24"/>
        </w:rPr>
        <w:t>)</w:t>
      </w:r>
      <w:r w:rsidRPr="006C4049">
        <w:rPr>
          <w:sz w:val="24"/>
        </w:rPr>
        <w:t xml:space="preserve">, in order to ensure the confidentiality of submissions under CIPSEA. </w:t>
      </w:r>
    </w:p>
    <w:p w:rsidR="00E551B1" w:rsidRPr="006C4049" w:rsidRDefault="00E551B1" w:rsidP="00E551B1">
      <w:pPr>
        <w:rPr>
          <w:sz w:val="24"/>
        </w:rPr>
      </w:pPr>
    </w:p>
    <w:p w:rsidR="00E551B1" w:rsidRPr="006C4049" w:rsidRDefault="00E551B1" w:rsidP="00E551B1">
      <w:pPr>
        <w:rPr>
          <w:sz w:val="24"/>
        </w:rPr>
      </w:pPr>
      <w:r w:rsidRPr="006C4049">
        <w:rPr>
          <w:sz w:val="24"/>
        </w:rPr>
        <w:t xml:space="preserve">BTS </w:t>
      </w:r>
      <w:r w:rsidR="004969E7" w:rsidRPr="006C4049">
        <w:rPr>
          <w:sz w:val="24"/>
        </w:rPr>
        <w:t>entered a</w:t>
      </w:r>
      <w:r w:rsidRPr="006C4049">
        <w:rPr>
          <w:sz w:val="24"/>
        </w:rPr>
        <w:t xml:space="preserve"> MOU with BSEE to facilitate the collection of information from respondents identified in the BSEE notices for OMB Control Numbers </w:t>
      </w:r>
      <w:r w:rsidR="0011754B" w:rsidRPr="006C4049">
        <w:rPr>
          <w:sz w:val="24"/>
        </w:rPr>
        <w:t>2138-NEW, expiration 00/00/0000</w:t>
      </w:r>
      <w:r w:rsidRPr="006C4049">
        <w:rPr>
          <w:sz w:val="24"/>
        </w:rPr>
        <w:t xml:space="preserve">. Responsibility for establishing the actual scope and burden for this collection resides with BSEE.  </w:t>
      </w:r>
    </w:p>
    <w:p w:rsidR="00E551B1" w:rsidRPr="006C4049" w:rsidRDefault="00E551B1" w:rsidP="00E551B1">
      <w:pPr>
        <w:rPr>
          <w:sz w:val="24"/>
        </w:rPr>
      </w:pPr>
    </w:p>
    <w:p w:rsidR="00FF5E72" w:rsidRPr="006C4049" w:rsidRDefault="00E551B1" w:rsidP="00FF5E72">
      <w:pPr>
        <w:rPr>
          <w:sz w:val="24"/>
        </w:rPr>
      </w:pPr>
      <w:r w:rsidRPr="006C4049">
        <w:rPr>
          <w:sz w:val="24"/>
        </w:rPr>
        <w:t xml:space="preserve">This BTS information collection request does not create any additional burden for respondents. For the purposes of this collection </w:t>
      </w:r>
      <w:r w:rsidR="00FF5E72" w:rsidRPr="006C4049">
        <w:rPr>
          <w:sz w:val="24"/>
        </w:rPr>
        <w:t>BTS has identified the oil and gas companies, drilling contractors and service companies as the sole respondents; and the collection does not impact small business or other small entities.</w:t>
      </w:r>
    </w:p>
    <w:p w:rsidR="00E551B1" w:rsidRPr="006C4049" w:rsidRDefault="00E551B1" w:rsidP="00E551B1">
      <w:pPr>
        <w:rPr>
          <w:sz w:val="24"/>
        </w:rPr>
      </w:pPr>
    </w:p>
    <w:p w:rsidR="00106F7E" w:rsidRPr="006C4049" w:rsidRDefault="00106F7E" w:rsidP="00106F7E">
      <w:pPr>
        <w:rPr>
          <w:sz w:val="24"/>
        </w:rPr>
      </w:pPr>
      <w:r w:rsidRPr="006C4049">
        <w:rPr>
          <w:sz w:val="24"/>
        </w:rPr>
        <w:t xml:space="preserve">Number of </w:t>
      </w:r>
      <w:r w:rsidR="007446BD" w:rsidRPr="006C4049">
        <w:rPr>
          <w:sz w:val="24"/>
        </w:rPr>
        <w:t>Maxium</w:t>
      </w:r>
      <w:r w:rsidRPr="006C4049">
        <w:rPr>
          <w:sz w:val="24"/>
        </w:rPr>
        <w:t xml:space="preserve"> Responses:  One hundred.</w:t>
      </w:r>
    </w:p>
    <w:p w:rsidR="00106F7E" w:rsidRPr="00A41DCF" w:rsidRDefault="00A4308F" w:rsidP="00106F7E">
      <w:pPr>
        <w:rPr>
          <w:sz w:val="24"/>
        </w:rPr>
      </w:pPr>
      <w:r w:rsidRPr="006C4049">
        <w:rPr>
          <w:sz w:val="24"/>
        </w:rPr>
        <w:t>Estimated Time per Response: 4</w:t>
      </w:r>
      <w:r w:rsidR="00106F7E" w:rsidRPr="006C4049">
        <w:rPr>
          <w:sz w:val="24"/>
        </w:rPr>
        <w:t xml:space="preserve"> hours.</w:t>
      </w:r>
    </w:p>
    <w:p w:rsidR="00106F7E" w:rsidRPr="00A41DCF" w:rsidRDefault="00106F7E" w:rsidP="00106F7E">
      <w:pPr>
        <w:rPr>
          <w:sz w:val="24"/>
        </w:rPr>
      </w:pPr>
      <w:r w:rsidRPr="00A41DCF">
        <w:rPr>
          <w:sz w:val="24"/>
        </w:rPr>
        <w:t>Frequency: Annual.</w:t>
      </w:r>
    </w:p>
    <w:p w:rsidR="00E551B1" w:rsidRPr="00A41DCF" w:rsidRDefault="00106F7E" w:rsidP="00106F7E">
      <w:pPr>
        <w:rPr>
          <w:sz w:val="24"/>
        </w:rPr>
      </w:pPr>
      <w:r w:rsidRPr="00A41DCF">
        <w:rPr>
          <w:sz w:val="24"/>
        </w:rPr>
        <w:t>Total Annual Burden: 400 hours.</w:t>
      </w:r>
    </w:p>
    <w:tbl>
      <w:tblPr>
        <w:tblStyle w:val="TableGrid"/>
        <w:tblW w:w="0" w:type="auto"/>
        <w:jc w:val="center"/>
        <w:tblLook w:val="04A0" w:firstRow="1" w:lastRow="0" w:firstColumn="1" w:lastColumn="0" w:noHBand="0" w:noVBand="1"/>
      </w:tblPr>
      <w:tblGrid>
        <w:gridCol w:w="2563"/>
        <w:gridCol w:w="1076"/>
      </w:tblGrid>
      <w:tr w:rsidR="00C2601B" w:rsidRPr="00A41DCF" w:rsidTr="00737C44">
        <w:trPr>
          <w:jc w:val="center"/>
        </w:trPr>
        <w:tc>
          <w:tcPr>
            <w:tcW w:w="0" w:type="auto"/>
          </w:tcPr>
          <w:p w:rsidR="00C2601B" w:rsidRPr="00A41DCF" w:rsidRDefault="00C2601B">
            <w:pPr>
              <w:rPr>
                <w:sz w:val="24"/>
              </w:rPr>
            </w:pPr>
            <w:r w:rsidRPr="00A41DCF">
              <w:rPr>
                <w:sz w:val="24"/>
              </w:rPr>
              <w:t>Number of Responses</w:t>
            </w:r>
          </w:p>
        </w:tc>
        <w:tc>
          <w:tcPr>
            <w:tcW w:w="0" w:type="auto"/>
          </w:tcPr>
          <w:p w:rsidR="00C2601B" w:rsidRPr="00A41DCF" w:rsidRDefault="00471C1F">
            <w:pPr>
              <w:rPr>
                <w:sz w:val="24"/>
              </w:rPr>
            </w:pPr>
            <w:r>
              <w:rPr>
                <w:sz w:val="24"/>
              </w:rPr>
              <w:t>100</w:t>
            </w:r>
          </w:p>
        </w:tc>
      </w:tr>
      <w:tr w:rsidR="00C2601B" w:rsidRPr="00A41DCF" w:rsidTr="00737C44">
        <w:trPr>
          <w:jc w:val="center"/>
        </w:trPr>
        <w:tc>
          <w:tcPr>
            <w:tcW w:w="0" w:type="auto"/>
          </w:tcPr>
          <w:p w:rsidR="00C2601B" w:rsidRPr="00A41DCF" w:rsidRDefault="00C2601B">
            <w:pPr>
              <w:rPr>
                <w:sz w:val="24"/>
              </w:rPr>
            </w:pPr>
            <w:r w:rsidRPr="00A41DCF">
              <w:rPr>
                <w:sz w:val="24"/>
              </w:rPr>
              <w:t>Number of Respondents</w:t>
            </w:r>
          </w:p>
        </w:tc>
        <w:tc>
          <w:tcPr>
            <w:tcW w:w="0" w:type="auto"/>
          </w:tcPr>
          <w:p w:rsidR="00C2601B" w:rsidRPr="00A41DCF" w:rsidRDefault="00471C1F">
            <w:pPr>
              <w:rPr>
                <w:sz w:val="24"/>
              </w:rPr>
            </w:pPr>
            <w:r>
              <w:rPr>
                <w:sz w:val="24"/>
              </w:rPr>
              <w:t>100</w:t>
            </w:r>
          </w:p>
        </w:tc>
      </w:tr>
      <w:tr w:rsidR="00C2601B" w:rsidRPr="00A41DCF" w:rsidTr="00737C44">
        <w:trPr>
          <w:jc w:val="center"/>
        </w:trPr>
        <w:tc>
          <w:tcPr>
            <w:tcW w:w="0" w:type="auto"/>
          </w:tcPr>
          <w:p w:rsidR="00C2601B" w:rsidRPr="00A41DCF" w:rsidRDefault="00737C44">
            <w:pPr>
              <w:rPr>
                <w:sz w:val="24"/>
              </w:rPr>
            </w:pPr>
            <w:r w:rsidRPr="00A41DCF">
              <w:rPr>
                <w:sz w:val="24"/>
              </w:rPr>
              <w:t>Frequency of Responses</w:t>
            </w:r>
          </w:p>
        </w:tc>
        <w:tc>
          <w:tcPr>
            <w:tcW w:w="0" w:type="auto"/>
          </w:tcPr>
          <w:p w:rsidR="00C2601B" w:rsidRPr="00A41DCF" w:rsidRDefault="00106F7E" w:rsidP="00E551B1">
            <w:pPr>
              <w:rPr>
                <w:sz w:val="24"/>
              </w:rPr>
            </w:pPr>
            <w:r w:rsidRPr="00A41DCF">
              <w:rPr>
                <w:sz w:val="24"/>
              </w:rPr>
              <w:t>Annual</w:t>
            </w:r>
          </w:p>
        </w:tc>
      </w:tr>
      <w:tr w:rsidR="00C2601B" w:rsidRPr="00A41DCF" w:rsidTr="00737C44">
        <w:trPr>
          <w:jc w:val="center"/>
        </w:trPr>
        <w:tc>
          <w:tcPr>
            <w:tcW w:w="0" w:type="auto"/>
          </w:tcPr>
          <w:p w:rsidR="00C2601B" w:rsidRPr="00A41DCF" w:rsidRDefault="00737C44">
            <w:pPr>
              <w:rPr>
                <w:sz w:val="24"/>
              </w:rPr>
            </w:pPr>
            <w:r w:rsidRPr="00A41DCF">
              <w:rPr>
                <w:sz w:val="24"/>
              </w:rPr>
              <w:t>Burden per Respondent</w:t>
            </w:r>
          </w:p>
        </w:tc>
        <w:tc>
          <w:tcPr>
            <w:tcW w:w="0" w:type="auto"/>
          </w:tcPr>
          <w:p w:rsidR="00C2601B" w:rsidRPr="00A41DCF" w:rsidRDefault="00471C1F" w:rsidP="00E551B1">
            <w:pPr>
              <w:rPr>
                <w:sz w:val="24"/>
              </w:rPr>
            </w:pPr>
            <w:r>
              <w:rPr>
                <w:sz w:val="24"/>
              </w:rPr>
              <w:t>4</w:t>
            </w:r>
          </w:p>
        </w:tc>
      </w:tr>
      <w:tr w:rsidR="00C2601B" w:rsidRPr="00A41DCF" w:rsidTr="00737C44">
        <w:trPr>
          <w:jc w:val="center"/>
        </w:trPr>
        <w:tc>
          <w:tcPr>
            <w:tcW w:w="0" w:type="auto"/>
          </w:tcPr>
          <w:p w:rsidR="00C2601B" w:rsidRPr="00A41DCF" w:rsidRDefault="00737C44">
            <w:pPr>
              <w:rPr>
                <w:sz w:val="24"/>
              </w:rPr>
            </w:pPr>
            <w:r w:rsidRPr="00A41DCF">
              <w:rPr>
                <w:sz w:val="24"/>
              </w:rPr>
              <w:t xml:space="preserve">Annual burden hours        </w:t>
            </w:r>
          </w:p>
        </w:tc>
        <w:tc>
          <w:tcPr>
            <w:tcW w:w="0" w:type="auto"/>
          </w:tcPr>
          <w:p w:rsidR="00C2601B" w:rsidRPr="00A41DCF" w:rsidRDefault="00106F7E">
            <w:pPr>
              <w:rPr>
                <w:sz w:val="24"/>
              </w:rPr>
            </w:pPr>
            <w:r w:rsidRPr="00A41DCF">
              <w:rPr>
                <w:sz w:val="24"/>
              </w:rPr>
              <w:t>400</w:t>
            </w:r>
            <w:r w:rsidR="00E551B1" w:rsidRPr="00A41DCF">
              <w:rPr>
                <w:sz w:val="24"/>
              </w:rPr>
              <w:t xml:space="preserve"> hour</w:t>
            </w:r>
          </w:p>
        </w:tc>
      </w:tr>
    </w:tbl>
    <w:p w:rsidR="00DD297B" w:rsidRDefault="00DD297B" w:rsidP="00F92E5C">
      <w:pPr>
        <w:rPr>
          <w:sz w:val="24"/>
        </w:rPr>
      </w:pPr>
    </w:p>
    <w:p w:rsidR="00571BD7" w:rsidRDefault="00571BD7" w:rsidP="00F92E5C">
      <w:pPr>
        <w:rPr>
          <w:sz w:val="24"/>
        </w:rPr>
      </w:pPr>
    </w:p>
    <w:p w:rsidR="00571BD7" w:rsidRDefault="00571BD7" w:rsidP="00F92E5C">
      <w:pPr>
        <w:rPr>
          <w:sz w:val="24"/>
        </w:rPr>
      </w:pPr>
    </w:p>
    <w:p w:rsidR="00571BD7" w:rsidRPr="00571BD7" w:rsidRDefault="00571BD7" w:rsidP="00571BD7">
      <w:pPr>
        <w:jc w:val="center"/>
        <w:rPr>
          <w:sz w:val="24"/>
        </w:rPr>
      </w:pPr>
      <w:r w:rsidRPr="00571BD7">
        <w:rPr>
          <w:sz w:val="24"/>
        </w:rPr>
        <w:t>May 2017 National Industry-Specific Occupational Employment and Wage Estimates</w:t>
      </w:r>
    </w:p>
    <w:p w:rsidR="00571BD7" w:rsidRPr="00571BD7" w:rsidRDefault="00571BD7" w:rsidP="00571BD7">
      <w:pPr>
        <w:jc w:val="center"/>
        <w:rPr>
          <w:sz w:val="24"/>
        </w:rPr>
      </w:pPr>
    </w:p>
    <w:p w:rsidR="00571BD7" w:rsidRDefault="00571BD7" w:rsidP="00571BD7">
      <w:pPr>
        <w:jc w:val="center"/>
        <w:rPr>
          <w:sz w:val="24"/>
        </w:rPr>
      </w:pPr>
      <w:r w:rsidRPr="00571BD7">
        <w:rPr>
          <w:sz w:val="24"/>
        </w:rPr>
        <w:t>NAICS 211100 - Oil and Gas Extraction</w:t>
      </w:r>
    </w:p>
    <w:p w:rsidR="00571BD7" w:rsidRDefault="00571BD7" w:rsidP="00F92E5C">
      <w:pPr>
        <w:rPr>
          <w:sz w:val="24"/>
        </w:rPr>
      </w:pPr>
    </w:p>
    <w:tbl>
      <w:tblPr>
        <w:tblStyle w:val="TableGrid"/>
        <w:tblW w:w="0" w:type="auto"/>
        <w:tblLook w:val="04A0" w:firstRow="1" w:lastRow="0" w:firstColumn="1" w:lastColumn="0" w:noHBand="0" w:noVBand="1"/>
      </w:tblPr>
      <w:tblGrid>
        <w:gridCol w:w="1091"/>
        <w:gridCol w:w="1199"/>
        <w:gridCol w:w="703"/>
        <w:gridCol w:w="1199"/>
        <w:gridCol w:w="1199"/>
        <w:gridCol w:w="1166"/>
        <w:gridCol w:w="797"/>
        <w:gridCol w:w="739"/>
        <w:gridCol w:w="834"/>
        <w:gridCol w:w="649"/>
      </w:tblGrid>
      <w:tr w:rsidR="00571BD7" w:rsidRPr="00571BD7" w:rsidTr="00571BD7">
        <w:tc>
          <w:tcPr>
            <w:tcW w:w="1137" w:type="dxa"/>
            <w:hideMark/>
          </w:tcPr>
          <w:p w:rsidR="00571BD7" w:rsidRPr="00571BD7" w:rsidRDefault="00571BD7" w:rsidP="00571BD7">
            <w:pPr>
              <w:widowControl/>
              <w:autoSpaceDE/>
              <w:autoSpaceDN/>
              <w:adjustRightInd/>
              <w:jc w:val="center"/>
              <w:rPr>
                <w:bCs/>
                <w:szCs w:val="20"/>
              </w:rPr>
            </w:pPr>
            <w:r w:rsidRPr="00571BD7">
              <w:rPr>
                <w:bCs/>
                <w:szCs w:val="20"/>
              </w:rPr>
              <w:t>Occupation code</w:t>
            </w:r>
          </w:p>
        </w:tc>
        <w:tc>
          <w:tcPr>
            <w:tcW w:w="1457" w:type="dxa"/>
            <w:hideMark/>
          </w:tcPr>
          <w:p w:rsidR="00571BD7" w:rsidRPr="00571BD7" w:rsidRDefault="00571BD7" w:rsidP="00571BD7">
            <w:pPr>
              <w:widowControl/>
              <w:autoSpaceDE/>
              <w:autoSpaceDN/>
              <w:adjustRightInd/>
              <w:jc w:val="center"/>
              <w:rPr>
                <w:bCs/>
                <w:szCs w:val="20"/>
              </w:rPr>
            </w:pPr>
            <w:r w:rsidRPr="00571BD7">
              <w:rPr>
                <w:bCs/>
                <w:szCs w:val="20"/>
              </w:rPr>
              <w:t>Occupation title (click on the occupation title to view an occupational profile)</w:t>
            </w:r>
          </w:p>
        </w:tc>
        <w:tc>
          <w:tcPr>
            <w:tcW w:w="1039" w:type="dxa"/>
            <w:hideMark/>
          </w:tcPr>
          <w:p w:rsidR="00571BD7" w:rsidRPr="00571BD7" w:rsidRDefault="00571BD7" w:rsidP="00571BD7">
            <w:pPr>
              <w:widowControl/>
              <w:autoSpaceDE/>
              <w:autoSpaceDN/>
              <w:adjustRightInd/>
              <w:jc w:val="center"/>
              <w:rPr>
                <w:bCs/>
                <w:szCs w:val="20"/>
              </w:rPr>
            </w:pPr>
            <w:r w:rsidRPr="00571BD7">
              <w:rPr>
                <w:bCs/>
                <w:szCs w:val="20"/>
              </w:rPr>
              <w:t>Group</w:t>
            </w:r>
          </w:p>
        </w:tc>
        <w:tc>
          <w:tcPr>
            <w:tcW w:w="1249" w:type="dxa"/>
            <w:hideMark/>
          </w:tcPr>
          <w:p w:rsidR="00571BD7" w:rsidRPr="00571BD7" w:rsidRDefault="00571BD7" w:rsidP="00571BD7">
            <w:pPr>
              <w:widowControl/>
              <w:autoSpaceDE/>
              <w:autoSpaceDN/>
              <w:adjustRightInd/>
              <w:jc w:val="center"/>
              <w:rPr>
                <w:bCs/>
                <w:szCs w:val="20"/>
              </w:rPr>
            </w:pPr>
            <w:r w:rsidRPr="00571BD7">
              <w:rPr>
                <w:bCs/>
                <w:szCs w:val="20"/>
              </w:rPr>
              <w:t>Employment</w:t>
            </w:r>
          </w:p>
        </w:tc>
        <w:tc>
          <w:tcPr>
            <w:tcW w:w="1249" w:type="dxa"/>
            <w:hideMark/>
          </w:tcPr>
          <w:p w:rsidR="00571BD7" w:rsidRPr="00571BD7" w:rsidRDefault="00571BD7" w:rsidP="00571BD7">
            <w:pPr>
              <w:widowControl/>
              <w:autoSpaceDE/>
              <w:autoSpaceDN/>
              <w:adjustRightInd/>
              <w:jc w:val="center"/>
              <w:rPr>
                <w:bCs/>
                <w:szCs w:val="20"/>
              </w:rPr>
            </w:pPr>
            <w:r w:rsidRPr="00571BD7">
              <w:rPr>
                <w:bCs/>
                <w:szCs w:val="20"/>
              </w:rPr>
              <w:t>Employment RSE</w:t>
            </w:r>
          </w:p>
        </w:tc>
        <w:tc>
          <w:tcPr>
            <w:tcW w:w="1215" w:type="dxa"/>
            <w:hideMark/>
          </w:tcPr>
          <w:p w:rsidR="00571BD7" w:rsidRPr="00571BD7" w:rsidRDefault="00571BD7" w:rsidP="00571BD7">
            <w:pPr>
              <w:widowControl/>
              <w:autoSpaceDE/>
              <w:autoSpaceDN/>
              <w:adjustRightInd/>
              <w:jc w:val="center"/>
              <w:rPr>
                <w:bCs/>
                <w:szCs w:val="20"/>
              </w:rPr>
            </w:pPr>
            <w:r w:rsidRPr="00571BD7">
              <w:rPr>
                <w:bCs/>
                <w:szCs w:val="20"/>
              </w:rPr>
              <w:t>Percent of total employment</w:t>
            </w:r>
          </w:p>
        </w:tc>
        <w:tc>
          <w:tcPr>
            <w:tcW w:w="1039" w:type="dxa"/>
            <w:hideMark/>
          </w:tcPr>
          <w:p w:rsidR="00571BD7" w:rsidRPr="00571BD7" w:rsidRDefault="00571BD7" w:rsidP="00571BD7">
            <w:pPr>
              <w:widowControl/>
              <w:autoSpaceDE/>
              <w:autoSpaceDN/>
              <w:adjustRightInd/>
              <w:jc w:val="center"/>
              <w:rPr>
                <w:bCs/>
                <w:szCs w:val="20"/>
              </w:rPr>
            </w:pPr>
            <w:r w:rsidRPr="00571BD7">
              <w:rPr>
                <w:bCs/>
                <w:szCs w:val="20"/>
              </w:rPr>
              <w:t>Median hourly wage</w:t>
            </w:r>
          </w:p>
        </w:tc>
        <w:tc>
          <w:tcPr>
            <w:tcW w:w="1039" w:type="dxa"/>
            <w:hideMark/>
          </w:tcPr>
          <w:p w:rsidR="00571BD7" w:rsidRPr="00571BD7" w:rsidRDefault="00571BD7" w:rsidP="00571BD7">
            <w:pPr>
              <w:widowControl/>
              <w:autoSpaceDE/>
              <w:autoSpaceDN/>
              <w:adjustRightInd/>
              <w:jc w:val="center"/>
              <w:rPr>
                <w:bCs/>
                <w:szCs w:val="20"/>
              </w:rPr>
            </w:pPr>
            <w:r w:rsidRPr="00571BD7">
              <w:rPr>
                <w:bCs/>
                <w:szCs w:val="20"/>
              </w:rPr>
              <w:t>Mean hourly wage</w:t>
            </w:r>
          </w:p>
        </w:tc>
        <w:tc>
          <w:tcPr>
            <w:tcW w:w="1039" w:type="dxa"/>
            <w:hideMark/>
          </w:tcPr>
          <w:p w:rsidR="00571BD7" w:rsidRPr="00571BD7" w:rsidRDefault="00571BD7" w:rsidP="00571BD7">
            <w:pPr>
              <w:widowControl/>
              <w:autoSpaceDE/>
              <w:autoSpaceDN/>
              <w:adjustRightInd/>
              <w:jc w:val="center"/>
              <w:rPr>
                <w:bCs/>
                <w:szCs w:val="20"/>
              </w:rPr>
            </w:pPr>
            <w:r w:rsidRPr="00571BD7">
              <w:rPr>
                <w:bCs/>
                <w:szCs w:val="20"/>
              </w:rPr>
              <w:t>Annual mean wage</w:t>
            </w:r>
          </w:p>
        </w:tc>
        <w:tc>
          <w:tcPr>
            <w:tcW w:w="1039" w:type="dxa"/>
          </w:tcPr>
          <w:p w:rsidR="00571BD7" w:rsidRPr="00571BD7" w:rsidRDefault="00571BD7" w:rsidP="00571BD7">
            <w:pPr>
              <w:widowControl/>
              <w:autoSpaceDE/>
              <w:autoSpaceDN/>
              <w:adjustRightInd/>
              <w:jc w:val="center"/>
              <w:rPr>
                <w:bCs/>
                <w:szCs w:val="20"/>
              </w:rPr>
            </w:pPr>
            <w:r w:rsidRPr="00571BD7">
              <w:rPr>
                <w:bCs/>
                <w:szCs w:val="20"/>
              </w:rPr>
              <w:t>Mean wage RSE</w:t>
            </w:r>
          </w:p>
        </w:tc>
      </w:tr>
      <w:tr w:rsidR="00571BD7" w:rsidRPr="00571BD7" w:rsidTr="00571BD7">
        <w:tc>
          <w:tcPr>
            <w:tcW w:w="1137" w:type="dxa"/>
          </w:tcPr>
          <w:p w:rsidR="00571BD7" w:rsidRPr="00B82808" w:rsidRDefault="00571BD7" w:rsidP="00F92E5C">
            <w:pPr>
              <w:rPr>
                <w:szCs w:val="20"/>
              </w:rPr>
            </w:pPr>
            <w:r w:rsidRPr="00B82808">
              <w:rPr>
                <w:szCs w:val="20"/>
              </w:rPr>
              <w:t>47-2073</w:t>
            </w:r>
          </w:p>
        </w:tc>
        <w:tc>
          <w:tcPr>
            <w:tcW w:w="1457" w:type="dxa"/>
          </w:tcPr>
          <w:p w:rsidR="00571BD7" w:rsidRPr="00B82808" w:rsidRDefault="00571BD7" w:rsidP="00F92E5C">
            <w:pPr>
              <w:rPr>
                <w:szCs w:val="20"/>
              </w:rPr>
            </w:pPr>
            <w:r w:rsidRPr="00B82808">
              <w:rPr>
                <w:szCs w:val="20"/>
              </w:rPr>
              <w:t>Operating Engineers and Other Construction Equipment Operators</w:t>
            </w:r>
          </w:p>
        </w:tc>
        <w:tc>
          <w:tcPr>
            <w:tcW w:w="1039" w:type="dxa"/>
          </w:tcPr>
          <w:p w:rsidR="00571BD7" w:rsidRPr="00B82808" w:rsidRDefault="00571BD7" w:rsidP="00F92E5C">
            <w:pPr>
              <w:rPr>
                <w:szCs w:val="20"/>
              </w:rPr>
            </w:pPr>
            <w:r w:rsidRPr="00B82808">
              <w:rPr>
                <w:szCs w:val="20"/>
              </w:rPr>
              <w:t>detail</w:t>
            </w:r>
          </w:p>
        </w:tc>
        <w:tc>
          <w:tcPr>
            <w:tcW w:w="1249" w:type="dxa"/>
          </w:tcPr>
          <w:p w:rsidR="00571BD7" w:rsidRPr="00B82808" w:rsidRDefault="00571BD7" w:rsidP="00F92E5C">
            <w:pPr>
              <w:rPr>
                <w:szCs w:val="20"/>
              </w:rPr>
            </w:pPr>
            <w:r w:rsidRPr="00B82808">
              <w:rPr>
                <w:szCs w:val="20"/>
              </w:rPr>
              <w:t>440</w:t>
            </w:r>
          </w:p>
        </w:tc>
        <w:tc>
          <w:tcPr>
            <w:tcW w:w="1249" w:type="dxa"/>
          </w:tcPr>
          <w:p w:rsidR="00571BD7" w:rsidRPr="00B82808" w:rsidRDefault="00571BD7" w:rsidP="00F92E5C">
            <w:pPr>
              <w:rPr>
                <w:szCs w:val="20"/>
              </w:rPr>
            </w:pPr>
            <w:r w:rsidRPr="00B82808">
              <w:rPr>
                <w:szCs w:val="20"/>
              </w:rPr>
              <w:t>20.0%</w:t>
            </w:r>
          </w:p>
        </w:tc>
        <w:tc>
          <w:tcPr>
            <w:tcW w:w="1215" w:type="dxa"/>
          </w:tcPr>
          <w:p w:rsidR="00571BD7" w:rsidRPr="00B82808" w:rsidRDefault="00571BD7" w:rsidP="00F92E5C">
            <w:pPr>
              <w:rPr>
                <w:szCs w:val="20"/>
              </w:rPr>
            </w:pPr>
            <w:r w:rsidRPr="00B82808">
              <w:rPr>
                <w:szCs w:val="20"/>
              </w:rPr>
              <w:t>0.32%</w:t>
            </w:r>
          </w:p>
        </w:tc>
        <w:tc>
          <w:tcPr>
            <w:tcW w:w="1039" w:type="dxa"/>
          </w:tcPr>
          <w:p w:rsidR="00571BD7" w:rsidRPr="00B82808" w:rsidRDefault="00571BD7" w:rsidP="00F92E5C">
            <w:pPr>
              <w:rPr>
                <w:szCs w:val="20"/>
              </w:rPr>
            </w:pPr>
            <w:r w:rsidRPr="00B82808">
              <w:rPr>
                <w:szCs w:val="20"/>
              </w:rPr>
              <w:t>$19.93</w:t>
            </w:r>
          </w:p>
        </w:tc>
        <w:tc>
          <w:tcPr>
            <w:tcW w:w="1039" w:type="dxa"/>
          </w:tcPr>
          <w:p w:rsidR="00571BD7" w:rsidRPr="00B82808" w:rsidRDefault="00571BD7" w:rsidP="00F92E5C">
            <w:pPr>
              <w:rPr>
                <w:szCs w:val="20"/>
              </w:rPr>
            </w:pPr>
            <w:r w:rsidRPr="00B82808">
              <w:rPr>
                <w:szCs w:val="20"/>
              </w:rPr>
              <w:t>$21.26</w:t>
            </w:r>
          </w:p>
        </w:tc>
        <w:tc>
          <w:tcPr>
            <w:tcW w:w="1039" w:type="dxa"/>
          </w:tcPr>
          <w:p w:rsidR="00571BD7" w:rsidRPr="00B82808" w:rsidRDefault="00571BD7" w:rsidP="00F92E5C">
            <w:pPr>
              <w:rPr>
                <w:szCs w:val="20"/>
              </w:rPr>
            </w:pPr>
            <w:r w:rsidRPr="00B82808">
              <w:rPr>
                <w:szCs w:val="20"/>
              </w:rPr>
              <w:t>$44,230</w:t>
            </w:r>
          </w:p>
        </w:tc>
        <w:tc>
          <w:tcPr>
            <w:tcW w:w="1039" w:type="dxa"/>
          </w:tcPr>
          <w:p w:rsidR="00571BD7" w:rsidRPr="00B82808" w:rsidRDefault="00571BD7" w:rsidP="00571BD7">
            <w:pPr>
              <w:rPr>
                <w:szCs w:val="20"/>
              </w:rPr>
            </w:pPr>
            <w:r w:rsidRPr="00B82808">
              <w:rPr>
                <w:szCs w:val="20"/>
              </w:rPr>
              <w:t>4.0%</w:t>
            </w:r>
          </w:p>
          <w:p w:rsidR="00571BD7" w:rsidRPr="00B82808" w:rsidRDefault="00571BD7" w:rsidP="00F92E5C">
            <w:pPr>
              <w:rPr>
                <w:szCs w:val="20"/>
              </w:rPr>
            </w:pPr>
          </w:p>
        </w:tc>
      </w:tr>
    </w:tbl>
    <w:p w:rsidR="00571BD7" w:rsidRDefault="00571BD7" w:rsidP="00F92E5C">
      <w:pPr>
        <w:rPr>
          <w:sz w:val="24"/>
        </w:rPr>
      </w:pPr>
    </w:p>
    <w:p w:rsidR="00202E91" w:rsidRPr="00A41DCF" w:rsidRDefault="00F62477" w:rsidP="00924239">
      <w:pPr>
        <w:rPr>
          <w:sz w:val="24"/>
        </w:rPr>
      </w:pPr>
      <w:r>
        <w:rPr>
          <w:sz w:val="24"/>
        </w:rPr>
        <w:t xml:space="preserve">Based on the occupation title, </w:t>
      </w:r>
      <w:r w:rsidRPr="000D4900">
        <w:rPr>
          <w:i/>
          <w:sz w:val="24"/>
        </w:rPr>
        <w:t>Operating Engineers and Other Construction Equipment Operators</w:t>
      </w:r>
      <w:r>
        <w:rPr>
          <w:sz w:val="24"/>
        </w:rPr>
        <w:t>, and their mean hourly wage of $21.26</w:t>
      </w:r>
      <w:r w:rsidR="006C4049">
        <w:rPr>
          <w:sz w:val="24"/>
        </w:rPr>
        <w:t xml:space="preserve">, the </w:t>
      </w:r>
      <w:r w:rsidR="000D4900">
        <w:rPr>
          <w:sz w:val="24"/>
        </w:rPr>
        <w:t xml:space="preserve">cost for the </w:t>
      </w:r>
      <w:r w:rsidR="006C4049">
        <w:rPr>
          <w:sz w:val="24"/>
        </w:rPr>
        <w:t>total burden hours</w:t>
      </w:r>
      <w:r w:rsidR="000D4900">
        <w:rPr>
          <w:sz w:val="24"/>
        </w:rPr>
        <w:t xml:space="preserve"> for this collection</w:t>
      </w:r>
      <w:r w:rsidR="006C4049">
        <w:rPr>
          <w:sz w:val="24"/>
        </w:rPr>
        <w:t xml:space="preserve"> is $8,504.</w:t>
      </w:r>
      <w:r w:rsidR="00E551B1" w:rsidRPr="00A41DCF">
        <w:rPr>
          <w:sz w:val="24"/>
        </w:rPr>
        <w:t xml:space="preserve"> </w:t>
      </w:r>
    </w:p>
    <w:p w:rsidR="002F56B1" w:rsidRPr="00A41DCF" w:rsidRDefault="002F56B1" w:rsidP="004B4451">
      <w:pPr>
        <w:rPr>
          <w:sz w:val="24"/>
        </w:rPr>
      </w:pPr>
    </w:p>
    <w:p w:rsidR="00850AD6" w:rsidRPr="00A41DCF" w:rsidRDefault="00850AD6" w:rsidP="00850AD6">
      <w:pPr>
        <w:rPr>
          <w:sz w:val="26"/>
          <w:szCs w:val="26"/>
        </w:rPr>
      </w:pPr>
    </w:p>
    <w:p w:rsidR="007B3A70" w:rsidRPr="00A41DCF" w:rsidRDefault="007B3A70">
      <w:pPr>
        <w:rPr>
          <w:sz w:val="26"/>
          <w:szCs w:val="26"/>
        </w:rPr>
      </w:pPr>
      <w:r w:rsidRPr="00A41DCF">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7B3A70" w:rsidRPr="00A41DCF" w:rsidRDefault="007B3A70">
      <w:pPr>
        <w:rPr>
          <w:sz w:val="26"/>
          <w:szCs w:val="26"/>
        </w:rPr>
      </w:pPr>
    </w:p>
    <w:p w:rsidR="007B3A70" w:rsidRPr="00A41DCF" w:rsidRDefault="00BA3F27">
      <w:pPr>
        <w:rPr>
          <w:sz w:val="24"/>
        </w:rPr>
      </w:pPr>
      <w:r w:rsidRPr="00A41DCF">
        <w:rPr>
          <w:sz w:val="24"/>
        </w:rPr>
        <w:t>There is no additional cost to the respondent.</w:t>
      </w:r>
    </w:p>
    <w:p w:rsidR="00BA3F27" w:rsidRPr="00A41DCF" w:rsidRDefault="00BA3F27">
      <w:pPr>
        <w:rPr>
          <w:b/>
          <w:bCs/>
          <w:sz w:val="26"/>
          <w:szCs w:val="26"/>
        </w:rPr>
      </w:pPr>
    </w:p>
    <w:p w:rsidR="007B3A70" w:rsidRPr="00A41DCF" w:rsidRDefault="007B3A70">
      <w:pPr>
        <w:rPr>
          <w:b/>
          <w:bCs/>
          <w:sz w:val="26"/>
          <w:szCs w:val="26"/>
        </w:rPr>
      </w:pPr>
      <w:r w:rsidRPr="00A41DCF">
        <w:rPr>
          <w:b/>
          <w:bCs/>
          <w:sz w:val="26"/>
          <w:szCs w:val="26"/>
        </w:rPr>
        <w:t>14.  Provide estimates of annualized cost to the Federal Government.</w:t>
      </w:r>
    </w:p>
    <w:p w:rsidR="007B3A70" w:rsidRPr="00A41DCF" w:rsidRDefault="007B3A70">
      <w:pPr>
        <w:rPr>
          <w:sz w:val="26"/>
          <w:szCs w:val="26"/>
        </w:rPr>
      </w:pPr>
    </w:p>
    <w:p w:rsidR="007B3A70" w:rsidRPr="00A41DCF" w:rsidRDefault="007B3A70">
      <w:pPr>
        <w:rPr>
          <w:sz w:val="24"/>
          <w:u w:val="single"/>
        </w:rPr>
      </w:pPr>
      <w:r w:rsidRPr="00A41DCF">
        <w:rPr>
          <w:sz w:val="24"/>
          <w:u w:val="single"/>
        </w:rPr>
        <w:t>Federal Costs</w:t>
      </w:r>
    </w:p>
    <w:p w:rsidR="00681697" w:rsidRPr="00A41DCF" w:rsidRDefault="00681697">
      <w:pPr>
        <w:rPr>
          <w:sz w:val="24"/>
        </w:rPr>
      </w:pPr>
    </w:p>
    <w:p w:rsidR="007B3A70" w:rsidRPr="00A41DCF" w:rsidRDefault="00681697">
      <w:pPr>
        <w:rPr>
          <w:sz w:val="24"/>
        </w:rPr>
      </w:pPr>
      <w:r w:rsidRPr="00A41DCF">
        <w:rPr>
          <w:sz w:val="24"/>
        </w:rPr>
        <w:t xml:space="preserve">This project is funded by </w:t>
      </w:r>
      <w:r w:rsidR="00487787" w:rsidRPr="00A41DCF">
        <w:rPr>
          <w:sz w:val="24"/>
        </w:rPr>
        <w:t>BSEE</w:t>
      </w:r>
      <w:r w:rsidRPr="00A41DCF">
        <w:rPr>
          <w:sz w:val="24"/>
        </w:rPr>
        <w:t xml:space="preserve"> on a reimbursable basis to BTS</w:t>
      </w:r>
      <w:r w:rsidR="002743F5">
        <w:rPr>
          <w:sz w:val="24"/>
        </w:rPr>
        <w:t xml:space="preserve"> at a cost of $8,504.00</w:t>
      </w:r>
    </w:p>
    <w:p w:rsidR="00681697" w:rsidRPr="00A41DCF" w:rsidRDefault="00681697">
      <w:pPr>
        <w:rPr>
          <w:sz w:val="26"/>
          <w:szCs w:val="26"/>
        </w:rPr>
      </w:pPr>
    </w:p>
    <w:p w:rsidR="007B3A70" w:rsidRPr="00A41DCF" w:rsidRDefault="007B3A70">
      <w:pPr>
        <w:rPr>
          <w:sz w:val="26"/>
          <w:szCs w:val="26"/>
        </w:rPr>
      </w:pPr>
      <w:r w:rsidRPr="00A41DCF">
        <w:rPr>
          <w:b/>
          <w:bCs/>
          <w:sz w:val="26"/>
          <w:szCs w:val="26"/>
        </w:rPr>
        <w:t>15. Explain the reasons for any program changes or adjustments in Items 13 or 14 of OMB 83-I</w:t>
      </w:r>
      <w:r w:rsidRPr="00A41DCF">
        <w:rPr>
          <w:sz w:val="26"/>
          <w:szCs w:val="26"/>
        </w:rPr>
        <w:t>.</w:t>
      </w:r>
    </w:p>
    <w:p w:rsidR="007B3A70" w:rsidRPr="00A41DCF" w:rsidRDefault="007B3A70">
      <w:pPr>
        <w:ind w:firstLine="6480"/>
        <w:rPr>
          <w:sz w:val="26"/>
          <w:szCs w:val="26"/>
        </w:rPr>
      </w:pPr>
    </w:p>
    <w:p w:rsidR="007B3A70" w:rsidRPr="00A41DCF" w:rsidRDefault="005973EC">
      <w:pPr>
        <w:rPr>
          <w:sz w:val="24"/>
        </w:rPr>
      </w:pPr>
      <w:r w:rsidRPr="00A41DCF">
        <w:rPr>
          <w:sz w:val="24"/>
        </w:rPr>
        <w:t xml:space="preserve">The reason for </w:t>
      </w:r>
      <w:r w:rsidR="0061307E" w:rsidRPr="00A41DCF">
        <w:rPr>
          <w:sz w:val="24"/>
        </w:rPr>
        <w:t>no program c</w:t>
      </w:r>
      <w:r w:rsidRPr="00A41DCF">
        <w:rPr>
          <w:sz w:val="24"/>
        </w:rPr>
        <w:t xml:space="preserve">hange is that the proposed </w:t>
      </w:r>
      <w:r w:rsidR="00E551B1" w:rsidRPr="00A41DCF">
        <w:rPr>
          <w:sz w:val="24"/>
        </w:rPr>
        <w:t>collection</w:t>
      </w:r>
      <w:r w:rsidRPr="00A41DCF">
        <w:rPr>
          <w:sz w:val="24"/>
        </w:rPr>
        <w:t xml:space="preserve"> is</w:t>
      </w:r>
      <w:r w:rsidR="004B4451" w:rsidRPr="00A41DCF">
        <w:rPr>
          <w:sz w:val="24"/>
        </w:rPr>
        <w:t xml:space="preserve"> a new data collection.</w:t>
      </w:r>
    </w:p>
    <w:p w:rsidR="004B4451" w:rsidRPr="00A41DCF" w:rsidRDefault="004B4451">
      <w:pPr>
        <w:rPr>
          <w:b/>
          <w:bCs/>
          <w:sz w:val="26"/>
          <w:szCs w:val="26"/>
        </w:rPr>
      </w:pPr>
    </w:p>
    <w:p w:rsidR="007B3A70" w:rsidRPr="00A41DCF" w:rsidRDefault="007B3A70">
      <w:pPr>
        <w:rPr>
          <w:sz w:val="26"/>
          <w:szCs w:val="26"/>
        </w:rPr>
      </w:pPr>
      <w:r w:rsidRPr="00A41DCF">
        <w:rPr>
          <w:b/>
          <w:bCs/>
          <w:sz w:val="26"/>
          <w:szCs w:val="26"/>
        </w:rPr>
        <w:t>16.  Is the information received published?</w:t>
      </w:r>
    </w:p>
    <w:p w:rsidR="007B3A70" w:rsidRPr="00A41DCF" w:rsidRDefault="007B3A70">
      <w:pPr>
        <w:rPr>
          <w:sz w:val="26"/>
          <w:szCs w:val="26"/>
        </w:rPr>
      </w:pPr>
    </w:p>
    <w:p w:rsidR="000A0BF8" w:rsidRPr="00A41DCF" w:rsidRDefault="00681697" w:rsidP="00B82808">
      <w:pPr>
        <w:rPr>
          <w:sz w:val="24"/>
        </w:rPr>
      </w:pPr>
      <w:r w:rsidRPr="00A41DCF">
        <w:rPr>
          <w:sz w:val="24"/>
        </w:rPr>
        <w:t>Micro-data received through this data collection will not be made public.</w:t>
      </w:r>
      <w:r w:rsidR="000A0BF8" w:rsidRPr="00A41DCF">
        <w:rPr>
          <w:sz w:val="24"/>
        </w:rPr>
        <w:t xml:space="preserve">  The information received through this data collection will be used</w:t>
      </w:r>
      <w:r w:rsidRPr="00A41DCF">
        <w:rPr>
          <w:sz w:val="24"/>
        </w:rPr>
        <w:t xml:space="preserve"> to</w:t>
      </w:r>
      <w:r w:rsidR="00003EBD" w:rsidRPr="00A41DCF">
        <w:rPr>
          <w:sz w:val="24"/>
        </w:rPr>
        <w:t xml:space="preserve"> </w:t>
      </w:r>
      <w:r w:rsidRPr="00A41DCF">
        <w:rPr>
          <w:sz w:val="24"/>
        </w:rPr>
        <w:t>identify</w:t>
      </w:r>
      <w:r w:rsidR="00024874" w:rsidRPr="00A41DCF">
        <w:rPr>
          <w:sz w:val="24"/>
        </w:rPr>
        <w:t xml:space="preserve"> </w:t>
      </w:r>
      <w:r w:rsidR="00106F7E" w:rsidRPr="00A41DCF">
        <w:rPr>
          <w:sz w:val="24"/>
        </w:rPr>
        <w:t xml:space="preserve">near-miss </w:t>
      </w:r>
      <w:r w:rsidR="00024874" w:rsidRPr="00A41DCF">
        <w:rPr>
          <w:sz w:val="24"/>
        </w:rPr>
        <w:t>precursors and</w:t>
      </w:r>
      <w:r w:rsidRPr="00A41DCF">
        <w:rPr>
          <w:sz w:val="24"/>
        </w:rPr>
        <w:t xml:space="preserve"> trends </w:t>
      </w:r>
      <w:r w:rsidR="00024874" w:rsidRPr="00A41DCF">
        <w:rPr>
          <w:sz w:val="24"/>
        </w:rPr>
        <w:t>in</w:t>
      </w:r>
      <w:r w:rsidRPr="00A41DCF">
        <w:rPr>
          <w:sz w:val="24"/>
        </w:rPr>
        <w:t xml:space="preserve"> unsafe situations through</w:t>
      </w:r>
      <w:r w:rsidR="0061307E" w:rsidRPr="00A41DCF">
        <w:rPr>
          <w:sz w:val="24"/>
        </w:rPr>
        <w:t xml:space="preserve"> multiple cause incident analyse</w:t>
      </w:r>
      <w:r w:rsidRPr="00A41DCF">
        <w:rPr>
          <w:sz w:val="24"/>
        </w:rPr>
        <w:t xml:space="preserve">s conducted by a limited number of BTS staff and </w:t>
      </w:r>
      <w:r w:rsidR="00053373" w:rsidRPr="00A41DCF">
        <w:rPr>
          <w:sz w:val="24"/>
        </w:rPr>
        <w:t xml:space="preserve">SMEs serving as BTS </w:t>
      </w:r>
      <w:r w:rsidR="00E551B1" w:rsidRPr="00A41DCF">
        <w:rPr>
          <w:sz w:val="24"/>
        </w:rPr>
        <w:t>a</w:t>
      </w:r>
      <w:r w:rsidRPr="00A41DCF">
        <w:rPr>
          <w:sz w:val="24"/>
        </w:rPr>
        <w:t xml:space="preserve">gents.  Results of such analyses in aggregate format </w:t>
      </w:r>
      <w:r w:rsidR="00A736EA" w:rsidRPr="00A41DCF">
        <w:rPr>
          <w:sz w:val="24"/>
        </w:rPr>
        <w:t>will be</w:t>
      </w:r>
      <w:r w:rsidRPr="00A41DCF">
        <w:rPr>
          <w:sz w:val="24"/>
        </w:rPr>
        <w:t xml:space="preserve"> published in annual progress reports. </w:t>
      </w:r>
      <w:r w:rsidR="00D94D93" w:rsidRPr="00A41DCF">
        <w:rPr>
          <w:sz w:val="24"/>
        </w:rPr>
        <w:t xml:space="preserve"> </w:t>
      </w:r>
      <w:r w:rsidR="00084C26" w:rsidRPr="00A41DCF">
        <w:rPr>
          <w:sz w:val="24"/>
        </w:rPr>
        <w:t>A</w:t>
      </w:r>
      <w:r w:rsidR="005579FF" w:rsidRPr="00A41DCF">
        <w:rPr>
          <w:sz w:val="24"/>
        </w:rPr>
        <w:t xml:space="preserve">ll </w:t>
      </w:r>
      <w:r w:rsidR="00053373" w:rsidRPr="00A41DCF">
        <w:rPr>
          <w:sz w:val="24"/>
        </w:rPr>
        <w:t>SMEs</w:t>
      </w:r>
      <w:r w:rsidR="005579FF" w:rsidRPr="00A41DCF">
        <w:rPr>
          <w:sz w:val="24"/>
        </w:rPr>
        <w:t xml:space="preserve"> will </w:t>
      </w:r>
      <w:r w:rsidR="00084C26" w:rsidRPr="00A41DCF">
        <w:rPr>
          <w:sz w:val="24"/>
        </w:rPr>
        <w:t>participate in confidentiality training, sign non-disclosure agreements</w:t>
      </w:r>
      <w:r w:rsidR="00053373" w:rsidRPr="00A41DCF">
        <w:rPr>
          <w:sz w:val="24"/>
        </w:rPr>
        <w:t>,</w:t>
      </w:r>
      <w:r w:rsidR="00084C26" w:rsidRPr="00A41DCF">
        <w:rPr>
          <w:sz w:val="24"/>
        </w:rPr>
        <w:t xml:space="preserve"> </w:t>
      </w:r>
      <w:r w:rsidR="005579FF" w:rsidRPr="00A41DCF">
        <w:rPr>
          <w:sz w:val="24"/>
        </w:rPr>
        <w:t>and be consider</w:t>
      </w:r>
      <w:r w:rsidR="006F20C0" w:rsidRPr="00A41DCF">
        <w:rPr>
          <w:sz w:val="24"/>
        </w:rPr>
        <w:t>ed</w:t>
      </w:r>
      <w:r w:rsidR="00053373" w:rsidRPr="00A41DCF">
        <w:rPr>
          <w:sz w:val="24"/>
        </w:rPr>
        <w:t xml:space="preserve"> BTS </w:t>
      </w:r>
      <w:r w:rsidR="00E551B1" w:rsidRPr="00A41DCF">
        <w:rPr>
          <w:sz w:val="24"/>
        </w:rPr>
        <w:t>a</w:t>
      </w:r>
      <w:r w:rsidR="005579FF" w:rsidRPr="00A41DCF">
        <w:rPr>
          <w:sz w:val="24"/>
        </w:rPr>
        <w:t>gents</w:t>
      </w:r>
      <w:r w:rsidR="006F20C0" w:rsidRPr="00A41DCF">
        <w:rPr>
          <w:sz w:val="24"/>
        </w:rPr>
        <w:t xml:space="preserve"> under CIPSEA</w:t>
      </w:r>
      <w:r w:rsidR="005579FF" w:rsidRPr="00A41DCF">
        <w:rPr>
          <w:sz w:val="24"/>
        </w:rPr>
        <w:t>.</w:t>
      </w:r>
    </w:p>
    <w:p w:rsidR="007B3A70" w:rsidRPr="00A41DCF" w:rsidRDefault="007B3A70">
      <w:pPr>
        <w:numPr>
          <w:ilvl w:val="0"/>
          <w:numId w:val="6"/>
        </w:numPr>
        <w:rPr>
          <w:sz w:val="26"/>
          <w:szCs w:val="26"/>
        </w:rPr>
      </w:pPr>
      <w:r w:rsidRPr="00A41DCF">
        <w:rPr>
          <w:b/>
          <w:sz w:val="26"/>
          <w:szCs w:val="26"/>
        </w:rPr>
        <w:t>Is the agency seeking approval not to display the e</w:t>
      </w:r>
      <w:r w:rsidR="00D87D4C" w:rsidRPr="00A41DCF">
        <w:rPr>
          <w:b/>
          <w:sz w:val="26"/>
          <w:szCs w:val="26"/>
        </w:rPr>
        <w:t>xpiration date for OMB approval?</w:t>
      </w:r>
      <w:r w:rsidR="000A0BF8" w:rsidRPr="00A41DCF">
        <w:rPr>
          <w:b/>
          <w:sz w:val="26"/>
          <w:szCs w:val="26"/>
        </w:rPr>
        <w:t xml:space="preserve">  </w:t>
      </w:r>
    </w:p>
    <w:p w:rsidR="00E551B1" w:rsidRPr="00A41DCF" w:rsidRDefault="00E551B1">
      <w:pPr>
        <w:rPr>
          <w:sz w:val="24"/>
        </w:rPr>
      </w:pPr>
    </w:p>
    <w:p w:rsidR="007B3A70" w:rsidRPr="00A41DCF" w:rsidRDefault="00857AB4">
      <w:pPr>
        <w:rPr>
          <w:sz w:val="24"/>
        </w:rPr>
      </w:pPr>
      <w:r w:rsidRPr="00A41DCF">
        <w:rPr>
          <w:sz w:val="24"/>
        </w:rPr>
        <w:t>No.</w:t>
      </w:r>
    </w:p>
    <w:p w:rsidR="00521812" w:rsidRPr="00A41DCF" w:rsidRDefault="00521812">
      <w:pPr>
        <w:rPr>
          <w:sz w:val="26"/>
          <w:szCs w:val="26"/>
        </w:rPr>
      </w:pPr>
    </w:p>
    <w:p w:rsidR="00521812" w:rsidRPr="00A41DCF" w:rsidRDefault="00521812" w:rsidP="00521812">
      <w:pPr>
        <w:pStyle w:val="ListParagraph"/>
        <w:numPr>
          <w:ilvl w:val="0"/>
          <w:numId w:val="6"/>
        </w:numPr>
        <w:rPr>
          <w:b/>
          <w:sz w:val="26"/>
          <w:szCs w:val="26"/>
        </w:rPr>
      </w:pPr>
      <w:r w:rsidRPr="00A41DCF">
        <w:rPr>
          <w:sz w:val="26"/>
          <w:szCs w:val="26"/>
        </w:rPr>
        <w:t xml:space="preserve"> </w:t>
      </w:r>
      <w:r w:rsidRPr="00A41DCF">
        <w:rPr>
          <w:b/>
          <w:sz w:val="26"/>
          <w:szCs w:val="26"/>
        </w:rPr>
        <w:t xml:space="preserve">Explain each exception to the certification statement identified in Item 19, “Certification for paperwork reduction act submissions” of OMB Form </w:t>
      </w:r>
      <w:r w:rsidR="00D751DD" w:rsidRPr="00A41DCF">
        <w:rPr>
          <w:b/>
          <w:sz w:val="26"/>
          <w:szCs w:val="26"/>
        </w:rPr>
        <w:br/>
      </w:r>
      <w:r w:rsidRPr="00A41DCF">
        <w:rPr>
          <w:b/>
          <w:sz w:val="26"/>
          <w:szCs w:val="26"/>
        </w:rPr>
        <w:t>83-I.</w:t>
      </w:r>
    </w:p>
    <w:p w:rsidR="00E551B1" w:rsidRPr="00A41DCF" w:rsidRDefault="00E551B1" w:rsidP="00E551B1">
      <w:pPr>
        <w:rPr>
          <w:sz w:val="24"/>
        </w:rPr>
      </w:pPr>
    </w:p>
    <w:p w:rsidR="00521812" w:rsidRPr="00E551B1" w:rsidRDefault="00F265A9" w:rsidP="00E551B1">
      <w:pPr>
        <w:rPr>
          <w:sz w:val="24"/>
        </w:rPr>
      </w:pPr>
      <w:r w:rsidRPr="00A41DCF">
        <w:rPr>
          <w:sz w:val="24"/>
        </w:rPr>
        <w:t>None</w:t>
      </w:r>
      <w:r w:rsidR="00D751DD" w:rsidRPr="00A41DCF">
        <w:rPr>
          <w:sz w:val="24"/>
        </w:rPr>
        <w:t>.</w:t>
      </w:r>
    </w:p>
    <w:p w:rsidR="00857AB4" w:rsidRDefault="00857AB4">
      <w:pPr>
        <w:rPr>
          <w:sz w:val="26"/>
          <w:szCs w:val="26"/>
        </w:rPr>
      </w:pPr>
    </w:p>
    <w:p w:rsidR="00370662" w:rsidRDefault="00370662">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sectPr w:rsidR="0023083C" w:rsidSect="008253F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679" w:rsidRDefault="00977679" w:rsidP="002C3010">
      <w:r>
        <w:separator/>
      </w:r>
    </w:p>
  </w:endnote>
  <w:endnote w:type="continuationSeparator" w:id="0">
    <w:p w:rsidR="00977679" w:rsidRDefault="00977679" w:rsidP="002C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C12443">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AA592D">
      <w:rPr>
        <w:noProof/>
        <w:sz w:val="24"/>
      </w:rPr>
      <w:t>1</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679" w:rsidRDefault="00977679" w:rsidP="002C3010">
      <w:r>
        <w:separator/>
      </w:r>
    </w:p>
  </w:footnote>
  <w:footnote w:type="continuationSeparator" w:id="0">
    <w:p w:rsidR="00977679" w:rsidRDefault="00977679" w:rsidP="002C3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0948420A"/>
    <w:multiLevelType w:val="hybridMultilevel"/>
    <w:tmpl w:val="B6CC1E78"/>
    <w:lvl w:ilvl="0" w:tplc="04090015">
      <w:start w:val="1"/>
      <w:numFmt w:val="upperLetter"/>
      <w:lvlText w:val="%1."/>
      <w:lvlJc w:val="left"/>
      <w:pPr>
        <w:ind w:left="720" w:hanging="360"/>
      </w:pPr>
      <w:rPr>
        <w:rFonts w:hint="default"/>
      </w:rPr>
    </w:lvl>
    <w:lvl w:ilvl="1" w:tplc="6026FEC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5B6105"/>
    <w:multiLevelType w:val="hybridMultilevel"/>
    <w:tmpl w:val="D588575E"/>
    <w:lvl w:ilvl="0" w:tplc="B0A42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235094"/>
    <w:multiLevelType w:val="hybridMultilevel"/>
    <w:tmpl w:val="DB56FD32"/>
    <w:lvl w:ilvl="0" w:tplc="D1C05444">
      <w:start w:val="1"/>
      <w:numFmt w:val="upperRoman"/>
      <w:lvlText w:val="%1."/>
      <w:lvlJc w:val="right"/>
      <w:pPr>
        <w:ind w:left="720" w:hanging="360"/>
      </w:pPr>
      <w:rPr>
        <w:b/>
      </w:rPr>
    </w:lvl>
    <w:lvl w:ilvl="1" w:tplc="C564463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275F8"/>
    <w:multiLevelType w:val="hybridMultilevel"/>
    <w:tmpl w:val="E888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1E66D9"/>
    <w:multiLevelType w:val="hybridMultilevel"/>
    <w:tmpl w:val="270C40A0"/>
    <w:lvl w:ilvl="0" w:tplc="B0B00640">
      <w:start w:val="17"/>
      <w:numFmt w:val="decimal"/>
      <w:lvlText w:val="%1."/>
      <w:lvlJc w:val="left"/>
      <w:pPr>
        <w:tabs>
          <w:tab w:val="num" w:pos="450"/>
        </w:tabs>
        <w:ind w:left="450" w:hanging="450"/>
      </w:pPr>
      <w:rPr>
        <w:rFonts w:hint="default"/>
        <w:b/>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6"/>
  </w:num>
  <w:num w:numId="3">
    <w:abstractNumId w:val="2"/>
  </w:num>
  <w:num w:numId="4">
    <w:abstractNumId w:val="3"/>
  </w:num>
  <w:num w:numId="5">
    <w:abstractNumId w:val="10"/>
  </w:num>
  <w:num w:numId="6">
    <w:abstractNumId w:val="11"/>
  </w:num>
  <w:num w:numId="7">
    <w:abstractNumId w:val="7"/>
  </w:num>
  <w:num w:numId="8">
    <w:abstractNumId w:val="5"/>
  </w:num>
  <w:num w:numId="9">
    <w:abstractNumId w:val="8"/>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00021"/>
    <w:rsid w:val="00000A5F"/>
    <w:rsid w:val="00003EBD"/>
    <w:rsid w:val="0000463D"/>
    <w:rsid w:val="00010C4C"/>
    <w:rsid w:val="00012720"/>
    <w:rsid w:val="00015EDA"/>
    <w:rsid w:val="00020DEC"/>
    <w:rsid w:val="00024874"/>
    <w:rsid w:val="00025C10"/>
    <w:rsid w:val="000345E6"/>
    <w:rsid w:val="00036B91"/>
    <w:rsid w:val="00036CAF"/>
    <w:rsid w:val="00040D74"/>
    <w:rsid w:val="00053373"/>
    <w:rsid w:val="00053510"/>
    <w:rsid w:val="00054739"/>
    <w:rsid w:val="00067837"/>
    <w:rsid w:val="00075CD6"/>
    <w:rsid w:val="00076B05"/>
    <w:rsid w:val="00077BA3"/>
    <w:rsid w:val="00077C29"/>
    <w:rsid w:val="0008137C"/>
    <w:rsid w:val="00081A55"/>
    <w:rsid w:val="00081EB1"/>
    <w:rsid w:val="00084C26"/>
    <w:rsid w:val="00085C20"/>
    <w:rsid w:val="00092966"/>
    <w:rsid w:val="00094206"/>
    <w:rsid w:val="00094E2F"/>
    <w:rsid w:val="00096826"/>
    <w:rsid w:val="00096BAF"/>
    <w:rsid w:val="00097B33"/>
    <w:rsid w:val="000A0BF8"/>
    <w:rsid w:val="000A627F"/>
    <w:rsid w:val="000B35FD"/>
    <w:rsid w:val="000C088F"/>
    <w:rsid w:val="000C4FDF"/>
    <w:rsid w:val="000C51F2"/>
    <w:rsid w:val="000D201C"/>
    <w:rsid w:val="000D3698"/>
    <w:rsid w:val="000D39B4"/>
    <w:rsid w:val="000D4900"/>
    <w:rsid w:val="000D66B3"/>
    <w:rsid w:val="000E4D35"/>
    <w:rsid w:val="000E76AC"/>
    <w:rsid w:val="000F3722"/>
    <w:rsid w:val="000F7E14"/>
    <w:rsid w:val="00103295"/>
    <w:rsid w:val="00106F7E"/>
    <w:rsid w:val="001073CC"/>
    <w:rsid w:val="00107851"/>
    <w:rsid w:val="00113C02"/>
    <w:rsid w:val="0011754B"/>
    <w:rsid w:val="00121D05"/>
    <w:rsid w:val="001258F6"/>
    <w:rsid w:val="001265D6"/>
    <w:rsid w:val="0014349D"/>
    <w:rsid w:val="00146A50"/>
    <w:rsid w:val="00152C28"/>
    <w:rsid w:val="00153641"/>
    <w:rsid w:val="001555AB"/>
    <w:rsid w:val="001569C0"/>
    <w:rsid w:val="001673B3"/>
    <w:rsid w:val="00167E3C"/>
    <w:rsid w:val="00172C9D"/>
    <w:rsid w:val="00180C3F"/>
    <w:rsid w:val="001810D2"/>
    <w:rsid w:val="001823D5"/>
    <w:rsid w:val="00183A69"/>
    <w:rsid w:val="001861A7"/>
    <w:rsid w:val="00187D5C"/>
    <w:rsid w:val="00190D95"/>
    <w:rsid w:val="001A0136"/>
    <w:rsid w:val="001A4DCC"/>
    <w:rsid w:val="001B1D69"/>
    <w:rsid w:val="001B27AD"/>
    <w:rsid w:val="001B4141"/>
    <w:rsid w:val="001B56F2"/>
    <w:rsid w:val="001B5C8F"/>
    <w:rsid w:val="001D1592"/>
    <w:rsid w:val="001D1A45"/>
    <w:rsid w:val="001D202A"/>
    <w:rsid w:val="001D4DF8"/>
    <w:rsid w:val="001E30C9"/>
    <w:rsid w:val="001F4308"/>
    <w:rsid w:val="002009B5"/>
    <w:rsid w:val="00202E91"/>
    <w:rsid w:val="00207423"/>
    <w:rsid w:val="00207998"/>
    <w:rsid w:val="002156F1"/>
    <w:rsid w:val="00216F90"/>
    <w:rsid w:val="002265D3"/>
    <w:rsid w:val="002266DB"/>
    <w:rsid w:val="0023083C"/>
    <w:rsid w:val="002359AB"/>
    <w:rsid w:val="002405CF"/>
    <w:rsid w:val="00243E84"/>
    <w:rsid w:val="00246E27"/>
    <w:rsid w:val="00250FAB"/>
    <w:rsid w:val="002535C2"/>
    <w:rsid w:val="00256626"/>
    <w:rsid w:val="00260DBC"/>
    <w:rsid w:val="00263B21"/>
    <w:rsid w:val="00266346"/>
    <w:rsid w:val="002701BA"/>
    <w:rsid w:val="002707DC"/>
    <w:rsid w:val="002708DC"/>
    <w:rsid w:val="00271B59"/>
    <w:rsid w:val="00272F55"/>
    <w:rsid w:val="002743F5"/>
    <w:rsid w:val="00282926"/>
    <w:rsid w:val="0028392E"/>
    <w:rsid w:val="00284FB4"/>
    <w:rsid w:val="00287130"/>
    <w:rsid w:val="00292E53"/>
    <w:rsid w:val="00293C83"/>
    <w:rsid w:val="00296393"/>
    <w:rsid w:val="00296B08"/>
    <w:rsid w:val="00297132"/>
    <w:rsid w:val="002A2D47"/>
    <w:rsid w:val="002A4E21"/>
    <w:rsid w:val="002A7701"/>
    <w:rsid w:val="002A781F"/>
    <w:rsid w:val="002B1E1B"/>
    <w:rsid w:val="002B6508"/>
    <w:rsid w:val="002C0DF1"/>
    <w:rsid w:val="002C26F7"/>
    <w:rsid w:val="002C3010"/>
    <w:rsid w:val="002C6BEB"/>
    <w:rsid w:val="002C720B"/>
    <w:rsid w:val="002D57CE"/>
    <w:rsid w:val="002D6BCD"/>
    <w:rsid w:val="002E1297"/>
    <w:rsid w:val="002E2424"/>
    <w:rsid w:val="002F02AE"/>
    <w:rsid w:val="002F06DE"/>
    <w:rsid w:val="002F135D"/>
    <w:rsid w:val="002F4159"/>
    <w:rsid w:val="002F56B1"/>
    <w:rsid w:val="00305B79"/>
    <w:rsid w:val="00305FDA"/>
    <w:rsid w:val="00310843"/>
    <w:rsid w:val="00313D04"/>
    <w:rsid w:val="00314807"/>
    <w:rsid w:val="003202F4"/>
    <w:rsid w:val="003209DD"/>
    <w:rsid w:val="00325178"/>
    <w:rsid w:val="00325571"/>
    <w:rsid w:val="003255FD"/>
    <w:rsid w:val="00327199"/>
    <w:rsid w:val="00342B79"/>
    <w:rsid w:val="00345AE0"/>
    <w:rsid w:val="003521CE"/>
    <w:rsid w:val="003629B2"/>
    <w:rsid w:val="00363589"/>
    <w:rsid w:val="003659A5"/>
    <w:rsid w:val="00370662"/>
    <w:rsid w:val="00373B55"/>
    <w:rsid w:val="00376DBE"/>
    <w:rsid w:val="003926B7"/>
    <w:rsid w:val="0039665F"/>
    <w:rsid w:val="003A06DB"/>
    <w:rsid w:val="003A0E24"/>
    <w:rsid w:val="003A6150"/>
    <w:rsid w:val="003A794B"/>
    <w:rsid w:val="003B1C54"/>
    <w:rsid w:val="003B2920"/>
    <w:rsid w:val="003B29E7"/>
    <w:rsid w:val="003B3174"/>
    <w:rsid w:val="003B323A"/>
    <w:rsid w:val="003B53DA"/>
    <w:rsid w:val="003C12EE"/>
    <w:rsid w:val="003C41F6"/>
    <w:rsid w:val="003C6E58"/>
    <w:rsid w:val="003D197D"/>
    <w:rsid w:val="003E0C56"/>
    <w:rsid w:val="003E2161"/>
    <w:rsid w:val="003E5358"/>
    <w:rsid w:val="003F1AC8"/>
    <w:rsid w:val="003F30F8"/>
    <w:rsid w:val="003F5667"/>
    <w:rsid w:val="003F6279"/>
    <w:rsid w:val="00400B67"/>
    <w:rsid w:val="00406CA0"/>
    <w:rsid w:val="004206C4"/>
    <w:rsid w:val="00436035"/>
    <w:rsid w:val="00436CF8"/>
    <w:rsid w:val="004401C0"/>
    <w:rsid w:val="00440AA7"/>
    <w:rsid w:val="00444891"/>
    <w:rsid w:val="00447D60"/>
    <w:rsid w:val="00455E7F"/>
    <w:rsid w:val="00464EB3"/>
    <w:rsid w:val="00465502"/>
    <w:rsid w:val="00471C1F"/>
    <w:rsid w:val="004729F0"/>
    <w:rsid w:val="00482B8F"/>
    <w:rsid w:val="00486B29"/>
    <w:rsid w:val="00487787"/>
    <w:rsid w:val="00490C8C"/>
    <w:rsid w:val="004914D0"/>
    <w:rsid w:val="00491796"/>
    <w:rsid w:val="0049274B"/>
    <w:rsid w:val="00495220"/>
    <w:rsid w:val="004969E7"/>
    <w:rsid w:val="004A0A66"/>
    <w:rsid w:val="004A7A8D"/>
    <w:rsid w:val="004B4451"/>
    <w:rsid w:val="004B6E25"/>
    <w:rsid w:val="004C0DB8"/>
    <w:rsid w:val="004C2725"/>
    <w:rsid w:val="004C2CE3"/>
    <w:rsid w:val="004C31C0"/>
    <w:rsid w:val="004C6BC7"/>
    <w:rsid w:val="004C7DB0"/>
    <w:rsid w:val="004D5266"/>
    <w:rsid w:val="004D6E76"/>
    <w:rsid w:val="004D6FCF"/>
    <w:rsid w:val="004E05E1"/>
    <w:rsid w:val="004E35F8"/>
    <w:rsid w:val="004E5C70"/>
    <w:rsid w:val="004E7699"/>
    <w:rsid w:val="004E7761"/>
    <w:rsid w:val="004E7C36"/>
    <w:rsid w:val="004F0F4E"/>
    <w:rsid w:val="004F422F"/>
    <w:rsid w:val="004F47D8"/>
    <w:rsid w:val="004F523B"/>
    <w:rsid w:val="00505B77"/>
    <w:rsid w:val="0051218D"/>
    <w:rsid w:val="0051261F"/>
    <w:rsid w:val="005147EE"/>
    <w:rsid w:val="00521812"/>
    <w:rsid w:val="00521BBF"/>
    <w:rsid w:val="00524783"/>
    <w:rsid w:val="005312CB"/>
    <w:rsid w:val="00531651"/>
    <w:rsid w:val="00532FC5"/>
    <w:rsid w:val="00542E09"/>
    <w:rsid w:val="00555FD7"/>
    <w:rsid w:val="005579FF"/>
    <w:rsid w:val="00571BD7"/>
    <w:rsid w:val="00572A30"/>
    <w:rsid w:val="005741AB"/>
    <w:rsid w:val="0058211A"/>
    <w:rsid w:val="00593196"/>
    <w:rsid w:val="00594BE9"/>
    <w:rsid w:val="005973EC"/>
    <w:rsid w:val="005A0D46"/>
    <w:rsid w:val="005A76C2"/>
    <w:rsid w:val="005A7CE3"/>
    <w:rsid w:val="005B74D1"/>
    <w:rsid w:val="005C2151"/>
    <w:rsid w:val="005C2556"/>
    <w:rsid w:val="005D4CE6"/>
    <w:rsid w:val="005E0E1D"/>
    <w:rsid w:val="005E0F6E"/>
    <w:rsid w:val="005E36F1"/>
    <w:rsid w:val="005E6F22"/>
    <w:rsid w:val="00603FE1"/>
    <w:rsid w:val="00605200"/>
    <w:rsid w:val="0061307E"/>
    <w:rsid w:val="006135ED"/>
    <w:rsid w:val="0061587A"/>
    <w:rsid w:val="00616E53"/>
    <w:rsid w:val="006211C6"/>
    <w:rsid w:val="0063131E"/>
    <w:rsid w:val="00643524"/>
    <w:rsid w:val="0064543C"/>
    <w:rsid w:val="00645DA8"/>
    <w:rsid w:val="00647C79"/>
    <w:rsid w:val="006530EF"/>
    <w:rsid w:val="00654BCA"/>
    <w:rsid w:val="00660188"/>
    <w:rsid w:val="00665E40"/>
    <w:rsid w:val="00681697"/>
    <w:rsid w:val="00684773"/>
    <w:rsid w:val="006869D9"/>
    <w:rsid w:val="00690E90"/>
    <w:rsid w:val="006931BA"/>
    <w:rsid w:val="006933D0"/>
    <w:rsid w:val="00695D52"/>
    <w:rsid w:val="006969D9"/>
    <w:rsid w:val="006A02B8"/>
    <w:rsid w:val="006A1406"/>
    <w:rsid w:val="006A5680"/>
    <w:rsid w:val="006A6372"/>
    <w:rsid w:val="006B0FFA"/>
    <w:rsid w:val="006B1BFE"/>
    <w:rsid w:val="006C4049"/>
    <w:rsid w:val="006C5C37"/>
    <w:rsid w:val="006D1493"/>
    <w:rsid w:val="006D1B7E"/>
    <w:rsid w:val="006D299D"/>
    <w:rsid w:val="006D4B46"/>
    <w:rsid w:val="006E0697"/>
    <w:rsid w:val="006E7E88"/>
    <w:rsid w:val="006F0E1D"/>
    <w:rsid w:val="006F20C0"/>
    <w:rsid w:val="006F3718"/>
    <w:rsid w:val="00702E5B"/>
    <w:rsid w:val="00711F2A"/>
    <w:rsid w:val="007213BF"/>
    <w:rsid w:val="00726BE1"/>
    <w:rsid w:val="00737C44"/>
    <w:rsid w:val="00741547"/>
    <w:rsid w:val="00742CD5"/>
    <w:rsid w:val="007438B9"/>
    <w:rsid w:val="00743A7B"/>
    <w:rsid w:val="007446BD"/>
    <w:rsid w:val="007457D7"/>
    <w:rsid w:val="00752982"/>
    <w:rsid w:val="007529FE"/>
    <w:rsid w:val="007554A2"/>
    <w:rsid w:val="0075585D"/>
    <w:rsid w:val="00762F63"/>
    <w:rsid w:val="00763A28"/>
    <w:rsid w:val="00765D93"/>
    <w:rsid w:val="00766D25"/>
    <w:rsid w:val="00772B2A"/>
    <w:rsid w:val="0078580A"/>
    <w:rsid w:val="0078645E"/>
    <w:rsid w:val="007865E2"/>
    <w:rsid w:val="00790226"/>
    <w:rsid w:val="007907B1"/>
    <w:rsid w:val="00792AD8"/>
    <w:rsid w:val="007944A3"/>
    <w:rsid w:val="007952A5"/>
    <w:rsid w:val="00796EAF"/>
    <w:rsid w:val="007A05E1"/>
    <w:rsid w:val="007A53D9"/>
    <w:rsid w:val="007B1E4F"/>
    <w:rsid w:val="007B1F44"/>
    <w:rsid w:val="007B202C"/>
    <w:rsid w:val="007B3A70"/>
    <w:rsid w:val="007B6EAF"/>
    <w:rsid w:val="007C133D"/>
    <w:rsid w:val="007C138C"/>
    <w:rsid w:val="007C5D0C"/>
    <w:rsid w:val="007C7718"/>
    <w:rsid w:val="007D35EE"/>
    <w:rsid w:val="007E2659"/>
    <w:rsid w:val="007E4AF3"/>
    <w:rsid w:val="007E6948"/>
    <w:rsid w:val="007E7004"/>
    <w:rsid w:val="007E7734"/>
    <w:rsid w:val="007F19F2"/>
    <w:rsid w:val="007F6434"/>
    <w:rsid w:val="00803680"/>
    <w:rsid w:val="00803B42"/>
    <w:rsid w:val="008063D5"/>
    <w:rsid w:val="00807FBB"/>
    <w:rsid w:val="00811BC6"/>
    <w:rsid w:val="008164DB"/>
    <w:rsid w:val="008179DF"/>
    <w:rsid w:val="00821542"/>
    <w:rsid w:val="008215BD"/>
    <w:rsid w:val="0082465E"/>
    <w:rsid w:val="008250EE"/>
    <w:rsid w:val="008253F1"/>
    <w:rsid w:val="00826CA6"/>
    <w:rsid w:val="00827698"/>
    <w:rsid w:val="008317A6"/>
    <w:rsid w:val="00832D2E"/>
    <w:rsid w:val="008338AD"/>
    <w:rsid w:val="00836481"/>
    <w:rsid w:val="00837D7B"/>
    <w:rsid w:val="00850AD6"/>
    <w:rsid w:val="00851318"/>
    <w:rsid w:val="00852218"/>
    <w:rsid w:val="00855675"/>
    <w:rsid w:val="00855B6E"/>
    <w:rsid w:val="00857AB4"/>
    <w:rsid w:val="008607F3"/>
    <w:rsid w:val="0087178C"/>
    <w:rsid w:val="00871CF9"/>
    <w:rsid w:val="008728A2"/>
    <w:rsid w:val="008732D5"/>
    <w:rsid w:val="008762CA"/>
    <w:rsid w:val="008774E3"/>
    <w:rsid w:val="00896965"/>
    <w:rsid w:val="008970D7"/>
    <w:rsid w:val="00897B8C"/>
    <w:rsid w:val="008A1C85"/>
    <w:rsid w:val="008A3ECD"/>
    <w:rsid w:val="008A478B"/>
    <w:rsid w:val="008A500B"/>
    <w:rsid w:val="008A6278"/>
    <w:rsid w:val="008B094E"/>
    <w:rsid w:val="008B34B9"/>
    <w:rsid w:val="008B575F"/>
    <w:rsid w:val="008B5A40"/>
    <w:rsid w:val="008B7947"/>
    <w:rsid w:val="008C2596"/>
    <w:rsid w:val="008C4919"/>
    <w:rsid w:val="008D49CA"/>
    <w:rsid w:val="008D5242"/>
    <w:rsid w:val="008D6993"/>
    <w:rsid w:val="008E19F1"/>
    <w:rsid w:val="008E21B5"/>
    <w:rsid w:val="008E391E"/>
    <w:rsid w:val="008E3E0D"/>
    <w:rsid w:val="008E561C"/>
    <w:rsid w:val="008E5CC9"/>
    <w:rsid w:val="008F06D0"/>
    <w:rsid w:val="008F194D"/>
    <w:rsid w:val="008F19EF"/>
    <w:rsid w:val="009048B9"/>
    <w:rsid w:val="0090604F"/>
    <w:rsid w:val="00915B12"/>
    <w:rsid w:val="00916169"/>
    <w:rsid w:val="0092111D"/>
    <w:rsid w:val="0092160F"/>
    <w:rsid w:val="00924239"/>
    <w:rsid w:val="009407F5"/>
    <w:rsid w:val="00942BEB"/>
    <w:rsid w:val="009444A7"/>
    <w:rsid w:val="00944DD0"/>
    <w:rsid w:val="00953523"/>
    <w:rsid w:val="00954B25"/>
    <w:rsid w:val="009616C9"/>
    <w:rsid w:val="00964A1A"/>
    <w:rsid w:val="00965BE6"/>
    <w:rsid w:val="00974E79"/>
    <w:rsid w:val="00977679"/>
    <w:rsid w:val="00986A7B"/>
    <w:rsid w:val="00992FDD"/>
    <w:rsid w:val="009A0AE1"/>
    <w:rsid w:val="009B1A18"/>
    <w:rsid w:val="009B2CEF"/>
    <w:rsid w:val="009B5FBC"/>
    <w:rsid w:val="009C2FEB"/>
    <w:rsid w:val="009C497B"/>
    <w:rsid w:val="009C58FD"/>
    <w:rsid w:val="009C7314"/>
    <w:rsid w:val="009E4400"/>
    <w:rsid w:val="009E588E"/>
    <w:rsid w:val="009F0720"/>
    <w:rsid w:val="009F0A94"/>
    <w:rsid w:val="009F367B"/>
    <w:rsid w:val="009F5543"/>
    <w:rsid w:val="009F6A84"/>
    <w:rsid w:val="009F7962"/>
    <w:rsid w:val="00A02A71"/>
    <w:rsid w:val="00A031CE"/>
    <w:rsid w:val="00A0613E"/>
    <w:rsid w:val="00A10BF6"/>
    <w:rsid w:val="00A15EDB"/>
    <w:rsid w:val="00A23FD7"/>
    <w:rsid w:val="00A24B80"/>
    <w:rsid w:val="00A26548"/>
    <w:rsid w:val="00A4113A"/>
    <w:rsid w:val="00A41DCF"/>
    <w:rsid w:val="00A4308F"/>
    <w:rsid w:val="00A441CF"/>
    <w:rsid w:val="00A44494"/>
    <w:rsid w:val="00A44CC6"/>
    <w:rsid w:val="00A47D4F"/>
    <w:rsid w:val="00A539C6"/>
    <w:rsid w:val="00A57341"/>
    <w:rsid w:val="00A654EA"/>
    <w:rsid w:val="00A71994"/>
    <w:rsid w:val="00A736EA"/>
    <w:rsid w:val="00A737A8"/>
    <w:rsid w:val="00A74A6B"/>
    <w:rsid w:val="00A851D6"/>
    <w:rsid w:val="00A9034A"/>
    <w:rsid w:val="00A958DA"/>
    <w:rsid w:val="00AA035F"/>
    <w:rsid w:val="00AA2473"/>
    <w:rsid w:val="00AA24B7"/>
    <w:rsid w:val="00AA436C"/>
    <w:rsid w:val="00AA592D"/>
    <w:rsid w:val="00AB3D22"/>
    <w:rsid w:val="00AB5B06"/>
    <w:rsid w:val="00AD5113"/>
    <w:rsid w:val="00AE0A81"/>
    <w:rsid w:val="00AE21C7"/>
    <w:rsid w:val="00AE35C8"/>
    <w:rsid w:val="00AF0E48"/>
    <w:rsid w:val="00AF3057"/>
    <w:rsid w:val="00AF7573"/>
    <w:rsid w:val="00AF7C5A"/>
    <w:rsid w:val="00B03EB3"/>
    <w:rsid w:val="00B103DF"/>
    <w:rsid w:val="00B10AE8"/>
    <w:rsid w:val="00B11277"/>
    <w:rsid w:val="00B12BC4"/>
    <w:rsid w:val="00B22B2E"/>
    <w:rsid w:val="00B35B35"/>
    <w:rsid w:val="00B36664"/>
    <w:rsid w:val="00B43059"/>
    <w:rsid w:val="00B502D6"/>
    <w:rsid w:val="00B54FF2"/>
    <w:rsid w:val="00B56C95"/>
    <w:rsid w:val="00B57583"/>
    <w:rsid w:val="00B714E8"/>
    <w:rsid w:val="00B71947"/>
    <w:rsid w:val="00B82808"/>
    <w:rsid w:val="00B83E17"/>
    <w:rsid w:val="00B93F29"/>
    <w:rsid w:val="00B96243"/>
    <w:rsid w:val="00BA2AA8"/>
    <w:rsid w:val="00BA3F27"/>
    <w:rsid w:val="00BB071A"/>
    <w:rsid w:val="00BB2129"/>
    <w:rsid w:val="00BB6DCC"/>
    <w:rsid w:val="00BC014F"/>
    <w:rsid w:val="00BC14D6"/>
    <w:rsid w:val="00BC222D"/>
    <w:rsid w:val="00BC264D"/>
    <w:rsid w:val="00BC4019"/>
    <w:rsid w:val="00BC4FC7"/>
    <w:rsid w:val="00BC6D69"/>
    <w:rsid w:val="00BD65AE"/>
    <w:rsid w:val="00BE27A4"/>
    <w:rsid w:val="00BE7DED"/>
    <w:rsid w:val="00BF4522"/>
    <w:rsid w:val="00BF63D5"/>
    <w:rsid w:val="00BF7476"/>
    <w:rsid w:val="00C04D53"/>
    <w:rsid w:val="00C12334"/>
    <w:rsid w:val="00C12443"/>
    <w:rsid w:val="00C21D3B"/>
    <w:rsid w:val="00C25E3F"/>
    <w:rsid w:val="00C2601B"/>
    <w:rsid w:val="00C27831"/>
    <w:rsid w:val="00C30E04"/>
    <w:rsid w:val="00C33898"/>
    <w:rsid w:val="00C34868"/>
    <w:rsid w:val="00C35766"/>
    <w:rsid w:val="00C4374E"/>
    <w:rsid w:val="00C44283"/>
    <w:rsid w:val="00C464AD"/>
    <w:rsid w:val="00C47662"/>
    <w:rsid w:val="00C47ACD"/>
    <w:rsid w:val="00C56E43"/>
    <w:rsid w:val="00C57D75"/>
    <w:rsid w:val="00C650EE"/>
    <w:rsid w:val="00C6572C"/>
    <w:rsid w:val="00C67A60"/>
    <w:rsid w:val="00C70F8D"/>
    <w:rsid w:val="00C748D7"/>
    <w:rsid w:val="00C74CEB"/>
    <w:rsid w:val="00C7734A"/>
    <w:rsid w:val="00C82D47"/>
    <w:rsid w:val="00C83116"/>
    <w:rsid w:val="00CA0B97"/>
    <w:rsid w:val="00CA4D55"/>
    <w:rsid w:val="00CA6B10"/>
    <w:rsid w:val="00CB1679"/>
    <w:rsid w:val="00CB4527"/>
    <w:rsid w:val="00CB497D"/>
    <w:rsid w:val="00CB4D45"/>
    <w:rsid w:val="00CC17B2"/>
    <w:rsid w:val="00CC777E"/>
    <w:rsid w:val="00CD1916"/>
    <w:rsid w:val="00CD2D63"/>
    <w:rsid w:val="00CF1E1B"/>
    <w:rsid w:val="00CF343F"/>
    <w:rsid w:val="00CF3878"/>
    <w:rsid w:val="00D21501"/>
    <w:rsid w:val="00D244C7"/>
    <w:rsid w:val="00D325CD"/>
    <w:rsid w:val="00D33AD1"/>
    <w:rsid w:val="00D34760"/>
    <w:rsid w:val="00D40343"/>
    <w:rsid w:val="00D45AF8"/>
    <w:rsid w:val="00D506D9"/>
    <w:rsid w:val="00D519D4"/>
    <w:rsid w:val="00D57C62"/>
    <w:rsid w:val="00D61797"/>
    <w:rsid w:val="00D6181F"/>
    <w:rsid w:val="00D61EE0"/>
    <w:rsid w:val="00D6580B"/>
    <w:rsid w:val="00D65E36"/>
    <w:rsid w:val="00D6640E"/>
    <w:rsid w:val="00D66471"/>
    <w:rsid w:val="00D7282A"/>
    <w:rsid w:val="00D738CD"/>
    <w:rsid w:val="00D751DD"/>
    <w:rsid w:val="00D81371"/>
    <w:rsid w:val="00D83247"/>
    <w:rsid w:val="00D840F0"/>
    <w:rsid w:val="00D87D4C"/>
    <w:rsid w:val="00D90DEE"/>
    <w:rsid w:val="00D92D83"/>
    <w:rsid w:val="00D94D93"/>
    <w:rsid w:val="00DA68C0"/>
    <w:rsid w:val="00DB3A77"/>
    <w:rsid w:val="00DB5E78"/>
    <w:rsid w:val="00DD28EF"/>
    <w:rsid w:val="00DD297B"/>
    <w:rsid w:val="00DD6F38"/>
    <w:rsid w:val="00DE1301"/>
    <w:rsid w:val="00DE7105"/>
    <w:rsid w:val="00DE7392"/>
    <w:rsid w:val="00DF023F"/>
    <w:rsid w:val="00DF2B9D"/>
    <w:rsid w:val="00DF355E"/>
    <w:rsid w:val="00DF3836"/>
    <w:rsid w:val="00DF3CCF"/>
    <w:rsid w:val="00DF4837"/>
    <w:rsid w:val="00DF633D"/>
    <w:rsid w:val="00E0358A"/>
    <w:rsid w:val="00E05C68"/>
    <w:rsid w:val="00E06035"/>
    <w:rsid w:val="00E064B1"/>
    <w:rsid w:val="00E06588"/>
    <w:rsid w:val="00E06780"/>
    <w:rsid w:val="00E141FD"/>
    <w:rsid w:val="00E168DB"/>
    <w:rsid w:val="00E23E19"/>
    <w:rsid w:val="00E31082"/>
    <w:rsid w:val="00E32F48"/>
    <w:rsid w:val="00E330A2"/>
    <w:rsid w:val="00E35025"/>
    <w:rsid w:val="00E41C12"/>
    <w:rsid w:val="00E42AAF"/>
    <w:rsid w:val="00E43DD7"/>
    <w:rsid w:val="00E446D6"/>
    <w:rsid w:val="00E4631D"/>
    <w:rsid w:val="00E46C2D"/>
    <w:rsid w:val="00E5117F"/>
    <w:rsid w:val="00E516E5"/>
    <w:rsid w:val="00E551B1"/>
    <w:rsid w:val="00E64BAC"/>
    <w:rsid w:val="00E71722"/>
    <w:rsid w:val="00E7430F"/>
    <w:rsid w:val="00E9670B"/>
    <w:rsid w:val="00EA2EC5"/>
    <w:rsid w:val="00EA7D5A"/>
    <w:rsid w:val="00EB26E1"/>
    <w:rsid w:val="00EB3B90"/>
    <w:rsid w:val="00EC001C"/>
    <w:rsid w:val="00EC0211"/>
    <w:rsid w:val="00EC059E"/>
    <w:rsid w:val="00EC1E36"/>
    <w:rsid w:val="00EC5547"/>
    <w:rsid w:val="00EC6F22"/>
    <w:rsid w:val="00EC70ED"/>
    <w:rsid w:val="00EC71F5"/>
    <w:rsid w:val="00ED4F73"/>
    <w:rsid w:val="00EE2132"/>
    <w:rsid w:val="00EE24A5"/>
    <w:rsid w:val="00EE286B"/>
    <w:rsid w:val="00EE381E"/>
    <w:rsid w:val="00EE45BD"/>
    <w:rsid w:val="00EE6AB3"/>
    <w:rsid w:val="00EE7F31"/>
    <w:rsid w:val="00EF27F1"/>
    <w:rsid w:val="00EF3B31"/>
    <w:rsid w:val="00EF5C84"/>
    <w:rsid w:val="00F00E6B"/>
    <w:rsid w:val="00F05140"/>
    <w:rsid w:val="00F05326"/>
    <w:rsid w:val="00F065F2"/>
    <w:rsid w:val="00F076D1"/>
    <w:rsid w:val="00F10E3B"/>
    <w:rsid w:val="00F13211"/>
    <w:rsid w:val="00F265A9"/>
    <w:rsid w:val="00F31BC2"/>
    <w:rsid w:val="00F33595"/>
    <w:rsid w:val="00F349B2"/>
    <w:rsid w:val="00F352AF"/>
    <w:rsid w:val="00F358AE"/>
    <w:rsid w:val="00F463C2"/>
    <w:rsid w:val="00F5082F"/>
    <w:rsid w:val="00F60F6B"/>
    <w:rsid w:val="00F62477"/>
    <w:rsid w:val="00F62B36"/>
    <w:rsid w:val="00F67582"/>
    <w:rsid w:val="00F81505"/>
    <w:rsid w:val="00F84899"/>
    <w:rsid w:val="00F9072D"/>
    <w:rsid w:val="00F90FD8"/>
    <w:rsid w:val="00F911CC"/>
    <w:rsid w:val="00F92E5C"/>
    <w:rsid w:val="00F94720"/>
    <w:rsid w:val="00FA07E0"/>
    <w:rsid w:val="00FA5123"/>
    <w:rsid w:val="00FA6C4C"/>
    <w:rsid w:val="00FB2B49"/>
    <w:rsid w:val="00FB7D19"/>
    <w:rsid w:val="00FC585E"/>
    <w:rsid w:val="00FC5E94"/>
    <w:rsid w:val="00FC7F66"/>
    <w:rsid w:val="00FE53EF"/>
    <w:rsid w:val="00FE7614"/>
    <w:rsid w:val="00FF5E72"/>
    <w:rsid w:val="00FF5EB3"/>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 w:type="character" w:customStyle="1" w:styleId="num2">
    <w:name w:val="num2"/>
    <w:basedOn w:val="DefaultParagraphFont"/>
    <w:rsid w:val="00010C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 w:type="character" w:customStyle="1" w:styleId="num2">
    <w:name w:val="num2"/>
    <w:basedOn w:val="DefaultParagraphFont"/>
    <w:rsid w:val="00010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716">
      <w:bodyDiv w:val="1"/>
      <w:marLeft w:val="720"/>
      <w:marRight w:val="0"/>
      <w:marTop w:val="0"/>
      <w:marBottom w:val="0"/>
      <w:divBdr>
        <w:top w:val="none" w:sz="0" w:space="0" w:color="auto"/>
        <w:left w:val="none" w:sz="0" w:space="0" w:color="auto"/>
        <w:bottom w:val="none" w:sz="0" w:space="0" w:color="auto"/>
        <w:right w:val="none" w:sz="0" w:space="0" w:color="auto"/>
      </w:divBdr>
      <w:divsChild>
        <w:div w:id="2097050466">
          <w:marLeft w:val="75"/>
          <w:marRight w:val="75"/>
          <w:marTop w:val="75"/>
          <w:marBottom w:val="75"/>
          <w:divBdr>
            <w:top w:val="none" w:sz="0" w:space="0" w:color="auto"/>
            <w:left w:val="none" w:sz="0" w:space="0" w:color="auto"/>
            <w:bottom w:val="none" w:sz="0" w:space="0" w:color="auto"/>
            <w:right w:val="none" w:sz="0" w:space="0" w:color="auto"/>
          </w:divBdr>
          <w:divsChild>
            <w:div w:id="1798909918">
              <w:marLeft w:val="0"/>
              <w:marRight w:val="0"/>
              <w:marTop w:val="0"/>
              <w:marBottom w:val="0"/>
              <w:divBdr>
                <w:top w:val="none" w:sz="0" w:space="0" w:color="auto"/>
                <w:left w:val="none" w:sz="0" w:space="0" w:color="auto"/>
                <w:bottom w:val="none" w:sz="0" w:space="0" w:color="auto"/>
                <w:right w:val="none" w:sz="0" w:space="0" w:color="auto"/>
              </w:divBdr>
              <w:divsChild>
                <w:div w:id="1524517289">
                  <w:marLeft w:val="0"/>
                  <w:marRight w:val="0"/>
                  <w:marTop w:val="0"/>
                  <w:marBottom w:val="0"/>
                  <w:divBdr>
                    <w:top w:val="none" w:sz="0" w:space="0" w:color="auto"/>
                    <w:left w:val="none" w:sz="0" w:space="0" w:color="auto"/>
                    <w:bottom w:val="none" w:sz="0" w:space="0" w:color="auto"/>
                    <w:right w:val="none" w:sz="0" w:space="0" w:color="auto"/>
                  </w:divBdr>
                  <w:divsChild>
                    <w:div w:id="1584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38834">
      <w:bodyDiv w:val="1"/>
      <w:marLeft w:val="0"/>
      <w:marRight w:val="0"/>
      <w:marTop w:val="0"/>
      <w:marBottom w:val="0"/>
      <w:divBdr>
        <w:top w:val="none" w:sz="0" w:space="0" w:color="auto"/>
        <w:left w:val="none" w:sz="0" w:space="0" w:color="auto"/>
        <w:bottom w:val="none" w:sz="0" w:space="0" w:color="auto"/>
        <w:right w:val="none" w:sz="0" w:space="0" w:color="auto"/>
      </w:divBdr>
      <w:divsChild>
        <w:div w:id="2048987745">
          <w:marLeft w:val="0"/>
          <w:marRight w:val="0"/>
          <w:marTop w:val="0"/>
          <w:marBottom w:val="0"/>
          <w:divBdr>
            <w:top w:val="none" w:sz="0" w:space="0" w:color="auto"/>
            <w:left w:val="none" w:sz="0" w:space="0" w:color="auto"/>
            <w:bottom w:val="none" w:sz="0" w:space="0" w:color="auto"/>
            <w:right w:val="none" w:sz="0" w:space="0" w:color="auto"/>
          </w:divBdr>
          <w:divsChild>
            <w:div w:id="131026115">
              <w:marLeft w:val="0"/>
              <w:marRight w:val="0"/>
              <w:marTop w:val="0"/>
              <w:marBottom w:val="0"/>
              <w:divBdr>
                <w:top w:val="none" w:sz="0" w:space="0" w:color="auto"/>
                <w:left w:val="single" w:sz="6" w:space="0" w:color="E2E2E2"/>
                <w:bottom w:val="none" w:sz="0" w:space="0" w:color="auto"/>
                <w:right w:val="single" w:sz="6" w:space="0" w:color="E2E2E2"/>
              </w:divBdr>
              <w:divsChild>
                <w:div w:id="1402681178">
                  <w:marLeft w:val="0"/>
                  <w:marRight w:val="0"/>
                  <w:marTop w:val="0"/>
                  <w:marBottom w:val="0"/>
                  <w:divBdr>
                    <w:top w:val="none" w:sz="0" w:space="0" w:color="auto"/>
                    <w:left w:val="none" w:sz="0" w:space="0" w:color="auto"/>
                    <w:bottom w:val="none" w:sz="0" w:space="0" w:color="auto"/>
                    <w:right w:val="none" w:sz="0" w:space="0" w:color="auto"/>
                  </w:divBdr>
                  <w:divsChild>
                    <w:div w:id="10356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19329">
      <w:bodyDiv w:val="1"/>
      <w:marLeft w:val="0"/>
      <w:marRight w:val="0"/>
      <w:marTop w:val="0"/>
      <w:marBottom w:val="0"/>
      <w:divBdr>
        <w:top w:val="none" w:sz="0" w:space="0" w:color="auto"/>
        <w:left w:val="none" w:sz="0" w:space="0" w:color="auto"/>
        <w:bottom w:val="none" w:sz="0" w:space="0" w:color="auto"/>
        <w:right w:val="none" w:sz="0" w:space="0" w:color="auto"/>
      </w:divBdr>
    </w:div>
    <w:div w:id="723333129">
      <w:bodyDiv w:val="1"/>
      <w:marLeft w:val="0"/>
      <w:marRight w:val="0"/>
      <w:marTop w:val="0"/>
      <w:marBottom w:val="0"/>
      <w:divBdr>
        <w:top w:val="none" w:sz="0" w:space="0" w:color="auto"/>
        <w:left w:val="none" w:sz="0" w:space="0" w:color="auto"/>
        <w:bottom w:val="none" w:sz="0" w:space="0" w:color="auto"/>
        <w:right w:val="none" w:sz="0" w:space="0" w:color="auto"/>
      </w:divBdr>
      <w:divsChild>
        <w:div w:id="1014185092">
          <w:marLeft w:val="0"/>
          <w:marRight w:val="0"/>
          <w:marTop w:val="0"/>
          <w:marBottom w:val="0"/>
          <w:divBdr>
            <w:top w:val="none" w:sz="0" w:space="0" w:color="auto"/>
            <w:left w:val="none" w:sz="0" w:space="0" w:color="auto"/>
            <w:bottom w:val="none" w:sz="0" w:space="0" w:color="auto"/>
            <w:right w:val="none" w:sz="0" w:space="0" w:color="auto"/>
          </w:divBdr>
          <w:divsChild>
            <w:div w:id="1967272655">
              <w:marLeft w:val="0"/>
              <w:marRight w:val="0"/>
              <w:marTop w:val="0"/>
              <w:marBottom w:val="0"/>
              <w:divBdr>
                <w:top w:val="none" w:sz="0" w:space="0" w:color="auto"/>
                <w:left w:val="single" w:sz="6" w:space="0" w:color="E2E2E2"/>
                <w:bottom w:val="none" w:sz="0" w:space="0" w:color="auto"/>
                <w:right w:val="single" w:sz="6" w:space="0" w:color="E2E2E2"/>
              </w:divBdr>
              <w:divsChild>
                <w:div w:id="539052727">
                  <w:marLeft w:val="0"/>
                  <w:marRight w:val="0"/>
                  <w:marTop w:val="0"/>
                  <w:marBottom w:val="0"/>
                  <w:divBdr>
                    <w:top w:val="none" w:sz="0" w:space="0" w:color="auto"/>
                    <w:left w:val="none" w:sz="0" w:space="0" w:color="auto"/>
                    <w:bottom w:val="none" w:sz="0" w:space="0" w:color="auto"/>
                    <w:right w:val="none" w:sz="0" w:space="0" w:color="auto"/>
                  </w:divBdr>
                  <w:divsChild>
                    <w:div w:id="17279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9054">
      <w:bodyDiv w:val="1"/>
      <w:marLeft w:val="0"/>
      <w:marRight w:val="0"/>
      <w:marTop w:val="0"/>
      <w:marBottom w:val="0"/>
      <w:divBdr>
        <w:top w:val="none" w:sz="0" w:space="0" w:color="auto"/>
        <w:left w:val="none" w:sz="0" w:space="0" w:color="auto"/>
        <w:bottom w:val="none" w:sz="0" w:space="0" w:color="auto"/>
        <w:right w:val="none" w:sz="0" w:space="0" w:color="auto"/>
      </w:divBdr>
      <w:divsChild>
        <w:div w:id="586302743">
          <w:marLeft w:val="0"/>
          <w:marRight w:val="0"/>
          <w:marTop w:val="0"/>
          <w:marBottom w:val="0"/>
          <w:divBdr>
            <w:top w:val="none" w:sz="0" w:space="0" w:color="auto"/>
            <w:left w:val="none" w:sz="0" w:space="0" w:color="auto"/>
            <w:bottom w:val="none" w:sz="0" w:space="0" w:color="auto"/>
            <w:right w:val="none" w:sz="0" w:space="0" w:color="auto"/>
          </w:divBdr>
          <w:divsChild>
            <w:div w:id="234125378">
              <w:marLeft w:val="0"/>
              <w:marRight w:val="0"/>
              <w:marTop w:val="0"/>
              <w:marBottom w:val="0"/>
              <w:divBdr>
                <w:top w:val="none" w:sz="0" w:space="0" w:color="auto"/>
                <w:left w:val="none" w:sz="0" w:space="0" w:color="auto"/>
                <w:bottom w:val="none" w:sz="0" w:space="0" w:color="auto"/>
                <w:right w:val="none" w:sz="0" w:space="0" w:color="auto"/>
              </w:divBdr>
              <w:divsChild>
                <w:div w:id="1109158823">
                  <w:marLeft w:val="0"/>
                  <w:marRight w:val="0"/>
                  <w:marTop w:val="0"/>
                  <w:marBottom w:val="0"/>
                  <w:divBdr>
                    <w:top w:val="none" w:sz="0" w:space="0" w:color="auto"/>
                    <w:left w:val="none" w:sz="0" w:space="0" w:color="auto"/>
                    <w:bottom w:val="none" w:sz="0" w:space="0" w:color="auto"/>
                    <w:right w:val="none" w:sz="0" w:space="0" w:color="auto"/>
                  </w:divBdr>
                  <w:divsChild>
                    <w:div w:id="2054231643">
                      <w:marLeft w:val="0"/>
                      <w:marRight w:val="0"/>
                      <w:marTop w:val="0"/>
                      <w:marBottom w:val="0"/>
                      <w:divBdr>
                        <w:top w:val="none" w:sz="0" w:space="0" w:color="auto"/>
                        <w:left w:val="none" w:sz="0" w:space="0" w:color="auto"/>
                        <w:bottom w:val="none" w:sz="0" w:space="0" w:color="auto"/>
                        <w:right w:val="none" w:sz="0" w:space="0" w:color="auto"/>
                      </w:divBdr>
                      <w:divsChild>
                        <w:div w:id="1244147555">
                          <w:marLeft w:val="0"/>
                          <w:marRight w:val="0"/>
                          <w:marTop w:val="0"/>
                          <w:marBottom w:val="0"/>
                          <w:divBdr>
                            <w:top w:val="none" w:sz="0" w:space="0" w:color="auto"/>
                            <w:left w:val="none" w:sz="0" w:space="0" w:color="auto"/>
                            <w:bottom w:val="none" w:sz="0" w:space="0" w:color="auto"/>
                            <w:right w:val="none" w:sz="0" w:space="0" w:color="auto"/>
                          </w:divBdr>
                          <w:divsChild>
                            <w:div w:id="1815832368">
                              <w:marLeft w:val="0"/>
                              <w:marRight w:val="0"/>
                              <w:marTop w:val="0"/>
                              <w:marBottom w:val="0"/>
                              <w:divBdr>
                                <w:top w:val="none" w:sz="0" w:space="0" w:color="auto"/>
                                <w:left w:val="none" w:sz="0" w:space="0" w:color="auto"/>
                                <w:bottom w:val="none" w:sz="0" w:space="0" w:color="auto"/>
                                <w:right w:val="none" w:sz="0" w:space="0" w:color="auto"/>
                              </w:divBdr>
                              <w:divsChild>
                                <w:div w:id="1141270938">
                                  <w:marLeft w:val="0"/>
                                  <w:marRight w:val="0"/>
                                  <w:marTop w:val="0"/>
                                  <w:marBottom w:val="0"/>
                                  <w:divBdr>
                                    <w:top w:val="none" w:sz="0" w:space="0" w:color="auto"/>
                                    <w:left w:val="none" w:sz="0" w:space="0" w:color="auto"/>
                                    <w:bottom w:val="none" w:sz="0" w:space="0" w:color="auto"/>
                                    <w:right w:val="none" w:sz="0" w:space="0" w:color="auto"/>
                                  </w:divBdr>
                                  <w:divsChild>
                                    <w:div w:id="1970814405">
                                      <w:marLeft w:val="0"/>
                                      <w:marRight w:val="0"/>
                                      <w:marTop w:val="0"/>
                                      <w:marBottom w:val="0"/>
                                      <w:divBdr>
                                        <w:top w:val="none" w:sz="0" w:space="0" w:color="auto"/>
                                        <w:left w:val="none" w:sz="0" w:space="0" w:color="auto"/>
                                        <w:bottom w:val="none" w:sz="0" w:space="0" w:color="auto"/>
                                        <w:right w:val="none" w:sz="0" w:space="0" w:color="auto"/>
                                      </w:divBdr>
                                      <w:divsChild>
                                        <w:div w:id="1940062838">
                                          <w:marLeft w:val="0"/>
                                          <w:marRight w:val="0"/>
                                          <w:marTop w:val="0"/>
                                          <w:marBottom w:val="0"/>
                                          <w:divBdr>
                                            <w:top w:val="none" w:sz="0" w:space="0" w:color="auto"/>
                                            <w:left w:val="none" w:sz="0" w:space="0" w:color="auto"/>
                                            <w:bottom w:val="none" w:sz="0" w:space="0" w:color="auto"/>
                                            <w:right w:val="none" w:sz="0" w:space="0" w:color="auto"/>
                                          </w:divBdr>
                                          <w:divsChild>
                                            <w:div w:id="1698191529">
                                              <w:marLeft w:val="0"/>
                                              <w:marRight w:val="0"/>
                                              <w:marTop w:val="0"/>
                                              <w:marBottom w:val="0"/>
                                              <w:divBdr>
                                                <w:top w:val="none" w:sz="0" w:space="0" w:color="auto"/>
                                                <w:left w:val="none" w:sz="0" w:space="0" w:color="auto"/>
                                                <w:bottom w:val="none" w:sz="0" w:space="0" w:color="auto"/>
                                                <w:right w:val="none" w:sz="0" w:space="0" w:color="auto"/>
                                              </w:divBdr>
                                              <w:divsChild>
                                                <w:div w:id="1679119512">
                                                  <w:marLeft w:val="0"/>
                                                  <w:marRight w:val="0"/>
                                                  <w:marTop w:val="0"/>
                                                  <w:marBottom w:val="0"/>
                                                  <w:divBdr>
                                                    <w:top w:val="none" w:sz="0" w:space="0" w:color="auto"/>
                                                    <w:left w:val="none" w:sz="0" w:space="0" w:color="auto"/>
                                                    <w:bottom w:val="none" w:sz="0" w:space="0" w:color="auto"/>
                                                    <w:right w:val="none" w:sz="0" w:space="0" w:color="auto"/>
                                                  </w:divBdr>
                                                  <w:divsChild>
                                                    <w:div w:id="828054269">
                                                      <w:marLeft w:val="0"/>
                                                      <w:marRight w:val="0"/>
                                                      <w:marTop w:val="240"/>
                                                      <w:marBottom w:val="60"/>
                                                      <w:divBdr>
                                                        <w:top w:val="none" w:sz="0" w:space="0" w:color="auto"/>
                                                        <w:left w:val="none" w:sz="0" w:space="0" w:color="auto"/>
                                                        <w:bottom w:val="none" w:sz="0" w:space="0" w:color="auto"/>
                                                        <w:right w:val="none" w:sz="0" w:space="0" w:color="auto"/>
                                                      </w:divBdr>
                                                      <w:divsChild>
                                                        <w:div w:id="684097306">
                                                          <w:marLeft w:val="240"/>
                                                          <w:marRight w:val="0"/>
                                                          <w:marTop w:val="60"/>
                                                          <w:marBottom w:val="60"/>
                                                          <w:divBdr>
                                                            <w:top w:val="none" w:sz="0" w:space="0" w:color="auto"/>
                                                            <w:left w:val="none" w:sz="0" w:space="0" w:color="auto"/>
                                                            <w:bottom w:val="none" w:sz="0" w:space="0" w:color="auto"/>
                                                            <w:right w:val="none" w:sz="0" w:space="0" w:color="auto"/>
                                                          </w:divBdr>
                                                          <w:divsChild>
                                                            <w:div w:id="1360662573">
                                                              <w:marLeft w:val="0"/>
                                                              <w:marRight w:val="0"/>
                                                              <w:marTop w:val="0"/>
                                                              <w:marBottom w:val="0"/>
                                                              <w:divBdr>
                                                                <w:top w:val="none" w:sz="0" w:space="0" w:color="auto"/>
                                                                <w:left w:val="none" w:sz="0" w:space="0" w:color="auto"/>
                                                                <w:bottom w:val="none" w:sz="0" w:space="0" w:color="auto"/>
                                                                <w:right w:val="none" w:sz="0" w:space="0" w:color="auto"/>
                                                              </w:divBdr>
                                                            </w:div>
                                                          </w:divsChild>
                                                        </w:div>
                                                        <w:div w:id="2074884307">
                                                          <w:marLeft w:val="240"/>
                                                          <w:marRight w:val="0"/>
                                                          <w:marTop w:val="60"/>
                                                          <w:marBottom w:val="60"/>
                                                          <w:divBdr>
                                                            <w:top w:val="none" w:sz="0" w:space="0" w:color="auto"/>
                                                            <w:left w:val="none" w:sz="0" w:space="0" w:color="auto"/>
                                                            <w:bottom w:val="none" w:sz="0" w:space="0" w:color="auto"/>
                                                            <w:right w:val="none" w:sz="0" w:space="0" w:color="auto"/>
                                                          </w:divBdr>
                                                          <w:divsChild>
                                                            <w:div w:id="744910962">
                                                              <w:marLeft w:val="0"/>
                                                              <w:marRight w:val="0"/>
                                                              <w:marTop w:val="0"/>
                                                              <w:marBottom w:val="0"/>
                                                              <w:divBdr>
                                                                <w:top w:val="none" w:sz="0" w:space="0" w:color="auto"/>
                                                                <w:left w:val="none" w:sz="0" w:space="0" w:color="auto"/>
                                                                <w:bottom w:val="none" w:sz="0" w:space="0" w:color="auto"/>
                                                                <w:right w:val="none" w:sz="0" w:space="0" w:color="auto"/>
                                                              </w:divBdr>
                                                            </w:div>
                                                          </w:divsChild>
                                                        </w:div>
                                                        <w:div w:id="288827508">
                                                          <w:marLeft w:val="240"/>
                                                          <w:marRight w:val="0"/>
                                                          <w:marTop w:val="60"/>
                                                          <w:marBottom w:val="60"/>
                                                          <w:divBdr>
                                                            <w:top w:val="none" w:sz="0" w:space="0" w:color="auto"/>
                                                            <w:left w:val="none" w:sz="0" w:space="0" w:color="auto"/>
                                                            <w:bottom w:val="none" w:sz="0" w:space="0" w:color="auto"/>
                                                            <w:right w:val="none" w:sz="0" w:space="0" w:color="auto"/>
                                                          </w:divBdr>
                                                          <w:divsChild>
                                                            <w:div w:id="534082088">
                                                              <w:marLeft w:val="0"/>
                                                              <w:marRight w:val="0"/>
                                                              <w:marTop w:val="0"/>
                                                              <w:marBottom w:val="0"/>
                                                              <w:divBdr>
                                                                <w:top w:val="none" w:sz="0" w:space="0" w:color="auto"/>
                                                                <w:left w:val="none" w:sz="0" w:space="0" w:color="auto"/>
                                                                <w:bottom w:val="none" w:sz="0" w:space="0" w:color="auto"/>
                                                                <w:right w:val="none" w:sz="0" w:space="0" w:color="auto"/>
                                                              </w:divBdr>
                                                            </w:div>
                                                          </w:divsChild>
                                                        </w:div>
                                                        <w:div w:id="1223711771">
                                                          <w:marLeft w:val="240"/>
                                                          <w:marRight w:val="0"/>
                                                          <w:marTop w:val="60"/>
                                                          <w:marBottom w:val="60"/>
                                                          <w:divBdr>
                                                            <w:top w:val="none" w:sz="0" w:space="0" w:color="auto"/>
                                                            <w:left w:val="none" w:sz="0" w:space="0" w:color="auto"/>
                                                            <w:bottom w:val="none" w:sz="0" w:space="0" w:color="auto"/>
                                                            <w:right w:val="none" w:sz="0" w:space="0" w:color="auto"/>
                                                          </w:divBdr>
                                                          <w:divsChild>
                                                            <w:div w:id="1971206947">
                                                              <w:marLeft w:val="0"/>
                                                              <w:marRight w:val="0"/>
                                                              <w:marTop w:val="0"/>
                                                              <w:marBottom w:val="0"/>
                                                              <w:divBdr>
                                                                <w:top w:val="none" w:sz="0" w:space="0" w:color="auto"/>
                                                                <w:left w:val="none" w:sz="0" w:space="0" w:color="auto"/>
                                                                <w:bottom w:val="none" w:sz="0" w:space="0" w:color="auto"/>
                                                                <w:right w:val="none" w:sz="0" w:space="0" w:color="auto"/>
                                                              </w:divBdr>
                                                            </w:div>
                                                          </w:divsChild>
                                                        </w:div>
                                                        <w:div w:id="1020938459">
                                                          <w:marLeft w:val="240"/>
                                                          <w:marRight w:val="0"/>
                                                          <w:marTop w:val="60"/>
                                                          <w:marBottom w:val="60"/>
                                                          <w:divBdr>
                                                            <w:top w:val="none" w:sz="0" w:space="0" w:color="auto"/>
                                                            <w:left w:val="none" w:sz="0" w:space="0" w:color="auto"/>
                                                            <w:bottom w:val="none" w:sz="0" w:space="0" w:color="auto"/>
                                                            <w:right w:val="none" w:sz="0" w:space="0" w:color="auto"/>
                                                          </w:divBdr>
                                                          <w:divsChild>
                                                            <w:div w:id="409930928">
                                                              <w:marLeft w:val="0"/>
                                                              <w:marRight w:val="0"/>
                                                              <w:marTop w:val="0"/>
                                                              <w:marBottom w:val="0"/>
                                                              <w:divBdr>
                                                                <w:top w:val="none" w:sz="0" w:space="0" w:color="auto"/>
                                                                <w:left w:val="none" w:sz="0" w:space="0" w:color="auto"/>
                                                                <w:bottom w:val="none" w:sz="0" w:space="0" w:color="auto"/>
                                                                <w:right w:val="none" w:sz="0" w:space="0" w:color="auto"/>
                                                              </w:divBdr>
                                                            </w:div>
                                                          </w:divsChild>
                                                        </w:div>
                                                        <w:div w:id="1295982238">
                                                          <w:marLeft w:val="240"/>
                                                          <w:marRight w:val="0"/>
                                                          <w:marTop w:val="60"/>
                                                          <w:marBottom w:val="60"/>
                                                          <w:divBdr>
                                                            <w:top w:val="none" w:sz="0" w:space="0" w:color="auto"/>
                                                            <w:left w:val="none" w:sz="0" w:space="0" w:color="auto"/>
                                                            <w:bottom w:val="none" w:sz="0" w:space="0" w:color="auto"/>
                                                            <w:right w:val="none" w:sz="0" w:space="0" w:color="auto"/>
                                                          </w:divBdr>
                                                          <w:divsChild>
                                                            <w:div w:id="5327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0119131">
      <w:bodyDiv w:val="1"/>
      <w:marLeft w:val="0"/>
      <w:marRight w:val="0"/>
      <w:marTop w:val="0"/>
      <w:marBottom w:val="0"/>
      <w:divBdr>
        <w:top w:val="none" w:sz="0" w:space="0" w:color="auto"/>
        <w:left w:val="none" w:sz="0" w:space="0" w:color="auto"/>
        <w:bottom w:val="none" w:sz="0" w:space="0" w:color="auto"/>
        <w:right w:val="none" w:sz="0" w:space="0" w:color="auto"/>
      </w:divBdr>
      <w:divsChild>
        <w:div w:id="1655983878">
          <w:marLeft w:val="0"/>
          <w:marRight w:val="0"/>
          <w:marTop w:val="0"/>
          <w:marBottom w:val="0"/>
          <w:divBdr>
            <w:top w:val="none" w:sz="0" w:space="0" w:color="auto"/>
            <w:left w:val="none" w:sz="0" w:space="0" w:color="auto"/>
            <w:bottom w:val="none" w:sz="0" w:space="0" w:color="auto"/>
            <w:right w:val="none" w:sz="0" w:space="0" w:color="auto"/>
          </w:divBdr>
          <w:divsChild>
            <w:div w:id="1969774334">
              <w:marLeft w:val="0"/>
              <w:marRight w:val="0"/>
              <w:marTop w:val="0"/>
              <w:marBottom w:val="0"/>
              <w:divBdr>
                <w:top w:val="none" w:sz="0" w:space="0" w:color="auto"/>
                <w:left w:val="single" w:sz="6" w:space="0" w:color="E2E2E2"/>
                <w:bottom w:val="none" w:sz="0" w:space="0" w:color="auto"/>
                <w:right w:val="single" w:sz="6" w:space="0" w:color="E2E2E2"/>
              </w:divBdr>
              <w:divsChild>
                <w:div w:id="595406340">
                  <w:marLeft w:val="0"/>
                  <w:marRight w:val="0"/>
                  <w:marTop w:val="0"/>
                  <w:marBottom w:val="0"/>
                  <w:divBdr>
                    <w:top w:val="none" w:sz="0" w:space="0" w:color="auto"/>
                    <w:left w:val="none" w:sz="0" w:space="0" w:color="auto"/>
                    <w:bottom w:val="none" w:sz="0" w:space="0" w:color="auto"/>
                    <w:right w:val="none" w:sz="0" w:space="0" w:color="auto"/>
                  </w:divBdr>
                  <w:divsChild>
                    <w:div w:id="643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89214">
      <w:bodyDiv w:val="1"/>
      <w:marLeft w:val="0"/>
      <w:marRight w:val="0"/>
      <w:marTop w:val="0"/>
      <w:marBottom w:val="0"/>
      <w:divBdr>
        <w:top w:val="none" w:sz="0" w:space="0" w:color="auto"/>
        <w:left w:val="none" w:sz="0" w:space="0" w:color="auto"/>
        <w:bottom w:val="none" w:sz="0" w:space="0" w:color="auto"/>
        <w:right w:val="none" w:sz="0" w:space="0" w:color="auto"/>
      </w:divBdr>
      <w:divsChild>
        <w:div w:id="980772402">
          <w:marLeft w:val="0"/>
          <w:marRight w:val="0"/>
          <w:marTop w:val="0"/>
          <w:marBottom w:val="0"/>
          <w:divBdr>
            <w:top w:val="none" w:sz="0" w:space="0" w:color="auto"/>
            <w:left w:val="none" w:sz="0" w:space="0" w:color="auto"/>
            <w:bottom w:val="none" w:sz="0" w:space="0" w:color="auto"/>
            <w:right w:val="none" w:sz="0" w:space="0" w:color="auto"/>
          </w:divBdr>
          <w:divsChild>
            <w:div w:id="1380126926">
              <w:marLeft w:val="0"/>
              <w:marRight w:val="0"/>
              <w:marTop w:val="0"/>
              <w:marBottom w:val="0"/>
              <w:divBdr>
                <w:top w:val="none" w:sz="0" w:space="0" w:color="auto"/>
                <w:left w:val="single" w:sz="6" w:space="0" w:color="E2E2E2"/>
                <w:bottom w:val="none" w:sz="0" w:space="0" w:color="auto"/>
                <w:right w:val="single" w:sz="6" w:space="0" w:color="E2E2E2"/>
              </w:divBdr>
              <w:divsChild>
                <w:div w:id="406265109">
                  <w:marLeft w:val="0"/>
                  <w:marRight w:val="0"/>
                  <w:marTop w:val="0"/>
                  <w:marBottom w:val="0"/>
                  <w:divBdr>
                    <w:top w:val="none" w:sz="0" w:space="0" w:color="auto"/>
                    <w:left w:val="none" w:sz="0" w:space="0" w:color="auto"/>
                    <w:bottom w:val="none" w:sz="0" w:space="0" w:color="auto"/>
                    <w:right w:val="none" w:sz="0" w:space="0" w:color="auto"/>
                  </w:divBdr>
                  <w:divsChild>
                    <w:div w:id="15466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62625">
      <w:bodyDiv w:val="1"/>
      <w:marLeft w:val="0"/>
      <w:marRight w:val="0"/>
      <w:marTop w:val="0"/>
      <w:marBottom w:val="0"/>
      <w:divBdr>
        <w:top w:val="none" w:sz="0" w:space="0" w:color="auto"/>
        <w:left w:val="none" w:sz="0" w:space="0" w:color="auto"/>
        <w:bottom w:val="none" w:sz="0" w:space="0" w:color="auto"/>
        <w:right w:val="none" w:sz="0" w:space="0" w:color="auto"/>
      </w:divBdr>
      <w:divsChild>
        <w:div w:id="1501236186">
          <w:marLeft w:val="0"/>
          <w:marRight w:val="0"/>
          <w:marTop w:val="0"/>
          <w:marBottom w:val="0"/>
          <w:divBdr>
            <w:top w:val="none" w:sz="0" w:space="0" w:color="auto"/>
            <w:left w:val="none" w:sz="0" w:space="0" w:color="auto"/>
            <w:bottom w:val="none" w:sz="0" w:space="0" w:color="auto"/>
            <w:right w:val="none" w:sz="0" w:space="0" w:color="auto"/>
          </w:divBdr>
          <w:divsChild>
            <w:div w:id="2063366755">
              <w:marLeft w:val="0"/>
              <w:marRight w:val="0"/>
              <w:marTop w:val="0"/>
              <w:marBottom w:val="0"/>
              <w:divBdr>
                <w:top w:val="none" w:sz="0" w:space="0" w:color="auto"/>
                <w:left w:val="single" w:sz="6" w:space="0" w:color="E2E2E2"/>
                <w:bottom w:val="none" w:sz="0" w:space="0" w:color="auto"/>
                <w:right w:val="single" w:sz="6" w:space="0" w:color="E2E2E2"/>
              </w:divBdr>
              <w:divsChild>
                <w:div w:id="1901864325">
                  <w:marLeft w:val="0"/>
                  <w:marRight w:val="0"/>
                  <w:marTop w:val="0"/>
                  <w:marBottom w:val="0"/>
                  <w:divBdr>
                    <w:top w:val="none" w:sz="0" w:space="0" w:color="auto"/>
                    <w:left w:val="none" w:sz="0" w:space="0" w:color="auto"/>
                    <w:bottom w:val="none" w:sz="0" w:space="0" w:color="auto"/>
                    <w:right w:val="none" w:sz="0" w:space="0" w:color="auto"/>
                  </w:divBdr>
                  <w:divsChild>
                    <w:div w:id="1271157335">
                      <w:marLeft w:val="0"/>
                      <w:marRight w:val="0"/>
                      <w:marTop w:val="0"/>
                      <w:marBottom w:val="0"/>
                      <w:divBdr>
                        <w:top w:val="none" w:sz="0" w:space="0" w:color="auto"/>
                        <w:left w:val="none" w:sz="0" w:space="0" w:color="auto"/>
                        <w:bottom w:val="none" w:sz="0" w:space="0" w:color="auto"/>
                        <w:right w:val="none" w:sz="0" w:space="0" w:color="auto"/>
                      </w:divBdr>
                      <w:divsChild>
                        <w:div w:id="6753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9705">
      <w:bodyDiv w:val="1"/>
      <w:marLeft w:val="0"/>
      <w:marRight w:val="0"/>
      <w:marTop w:val="0"/>
      <w:marBottom w:val="0"/>
      <w:divBdr>
        <w:top w:val="none" w:sz="0" w:space="0" w:color="auto"/>
        <w:left w:val="none" w:sz="0" w:space="0" w:color="auto"/>
        <w:bottom w:val="none" w:sz="0" w:space="0" w:color="auto"/>
        <w:right w:val="none" w:sz="0" w:space="0" w:color="auto"/>
      </w:divBdr>
    </w:div>
    <w:div w:id="1777868679">
      <w:bodyDiv w:val="1"/>
      <w:marLeft w:val="0"/>
      <w:marRight w:val="0"/>
      <w:marTop w:val="0"/>
      <w:marBottom w:val="0"/>
      <w:divBdr>
        <w:top w:val="none" w:sz="0" w:space="0" w:color="auto"/>
        <w:left w:val="none" w:sz="0" w:space="0" w:color="auto"/>
        <w:bottom w:val="none" w:sz="0" w:space="0" w:color="auto"/>
        <w:right w:val="none" w:sz="0" w:space="0" w:color="auto"/>
      </w:divBdr>
    </w:div>
    <w:div w:id="1817599189">
      <w:bodyDiv w:val="1"/>
      <w:marLeft w:val="0"/>
      <w:marRight w:val="0"/>
      <w:marTop w:val="0"/>
      <w:marBottom w:val="0"/>
      <w:divBdr>
        <w:top w:val="none" w:sz="0" w:space="0" w:color="auto"/>
        <w:left w:val="none" w:sz="0" w:space="0" w:color="auto"/>
        <w:bottom w:val="none" w:sz="0" w:space="0" w:color="auto"/>
        <w:right w:val="none" w:sz="0" w:space="0" w:color="auto"/>
      </w:divBdr>
    </w:div>
    <w:div w:id="1888182182">
      <w:bodyDiv w:val="1"/>
      <w:marLeft w:val="720"/>
      <w:marRight w:val="0"/>
      <w:marTop w:val="0"/>
      <w:marBottom w:val="0"/>
      <w:divBdr>
        <w:top w:val="none" w:sz="0" w:space="0" w:color="auto"/>
        <w:left w:val="none" w:sz="0" w:space="0" w:color="auto"/>
        <w:bottom w:val="none" w:sz="0" w:space="0" w:color="auto"/>
        <w:right w:val="none" w:sz="0" w:space="0" w:color="auto"/>
      </w:divBdr>
      <w:divsChild>
        <w:div w:id="882525402">
          <w:marLeft w:val="75"/>
          <w:marRight w:val="75"/>
          <w:marTop w:val="75"/>
          <w:marBottom w:val="75"/>
          <w:divBdr>
            <w:top w:val="none" w:sz="0" w:space="0" w:color="auto"/>
            <w:left w:val="none" w:sz="0" w:space="0" w:color="auto"/>
            <w:bottom w:val="none" w:sz="0" w:space="0" w:color="auto"/>
            <w:right w:val="none" w:sz="0" w:space="0" w:color="auto"/>
          </w:divBdr>
          <w:divsChild>
            <w:div w:id="1602256359">
              <w:marLeft w:val="0"/>
              <w:marRight w:val="0"/>
              <w:marTop w:val="0"/>
              <w:marBottom w:val="0"/>
              <w:divBdr>
                <w:top w:val="none" w:sz="0" w:space="0" w:color="auto"/>
                <w:left w:val="none" w:sz="0" w:space="0" w:color="auto"/>
                <w:bottom w:val="none" w:sz="0" w:space="0" w:color="auto"/>
                <w:right w:val="none" w:sz="0" w:space="0" w:color="auto"/>
              </w:divBdr>
              <w:divsChild>
                <w:div w:id="288360865">
                  <w:marLeft w:val="0"/>
                  <w:marRight w:val="0"/>
                  <w:marTop w:val="0"/>
                  <w:marBottom w:val="0"/>
                  <w:divBdr>
                    <w:top w:val="none" w:sz="0" w:space="0" w:color="auto"/>
                    <w:left w:val="none" w:sz="0" w:space="0" w:color="auto"/>
                    <w:bottom w:val="none" w:sz="0" w:space="0" w:color="auto"/>
                    <w:right w:val="none" w:sz="0" w:space="0" w:color="auto"/>
                  </w:divBdr>
                  <w:divsChild>
                    <w:div w:id="221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19769</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SYSTEM</cp:lastModifiedBy>
  <cp:revision>2</cp:revision>
  <cp:lastPrinted>2018-08-08T12:00:00Z</cp:lastPrinted>
  <dcterms:created xsi:type="dcterms:W3CDTF">2018-08-29T14:25:00Z</dcterms:created>
  <dcterms:modified xsi:type="dcterms:W3CDTF">2018-08-29T14:25:00Z</dcterms:modified>
</cp:coreProperties>
</file>