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7F" w:rsidRPr="00EA513B" w:rsidRDefault="0097207F" w:rsidP="0097207F">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EA513B">
        <w:rPr>
          <w:rFonts w:ascii="Arial" w:eastAsia="Times New Roman" w:hAnsi="Arial" w:cs="Arial"/>
          <w:b/>
          <w:bCs/>
          <w:color w:val="555555"/>
          <w:sz w:val="24"/>
          <w:szCs w:val="24"/>
        </w:rPr>
        <w:t>Supporting Statement A</w:t>
      </w:r>
    </w:p>
    <w:p w:rsidR="0097207F" w:rsidRDefault="0097207F" w:rsidP="0097207F">
      <w:pPr>
        <w:spacing w:after="0" w:line="480" w:lineRule="auto"/>
        <w:jc w:val="center"/>
        <w:rPr>
          <w:rFonts w:ascii="Arial" w:eastAsia="Times New Roman" w:hAnsi="Arial" w:cs="Arial"/>
          <w:b/>
          <w:bCs/>
          <w:color w:val="555555"/>
          <w:sz w:val="24"/>
          <w:szCs w:val="24"/>
        </w:rPr>
      </w:pPr>
      <w:r w:rsidRPr="00EA513B">
        <w:rPr>
          <w:rFonts w:ascii="Arial" w:eastAsia="Times New Roman" w:hAnsi="Arial" w:cs="Arial"/>
          <w:b/>
          <w:bCs/>
          <w:color w:val="555555"/>
          <w:sz w:val="24"/>
          <w:szCs w:val="24"/>
        </w:rPr>
        <w:t>Advisory Circular (AC): Reporting of Laser Illumination of Aircraft</w:t>
      </w:r>
    </w:p>
    <w:p w:rsidR="0097207F" w:rsidRPr="00EA513B" w:rsidRDefault="0097207F" w:rsidP="0097207F">
      <w:pPr>
        <w:spacing w:after="0" w:line="480" w:lineRule="auto"/>
        <w:jc w:val="center"/>
        <w:rPr>
          <w:rFonts w:ascii="Arial" w:eastAsia="Times New Roman" w:hAnsi="Arial" w:cs="Arial"/>
          <w:color w:val="000000"/>
        </w:rPr>
      </w:pPr>
      <w:r w:rsidRPr="00EA513B">
        <w:rPr>
          <w:rFonts w:ascii="Arial" w:eastAsia="Times New Roman" w:hAnsi="Arial" w:cs="Arial"/>
          <w:b/>
          <w:color w:val="000000"/>
        </w:rPr>
        <w:t>OMB Control Number:</w:t>
      </w:r>
      <w:r w:rsidRPr="00EA513B">
        <w:rPr>
          <w:rFonts w:ascii="Arial" w:eastAsia="Times New Roman" w:hAnsi="Arial" w:cs="Arial"/>
          <w:i/>
          <w:color w:val="000000"/>
        </w:rPr>
        <w:t xml:space="preserve"> </w:t>
      </w:r>
      <w:r w:rsidRPr="00EA513B">
        <w:rPr>
          <w:rFonts w:ascii="Arial" w:eastAsia="Times New Roman" w:hAnsi="Arial" w:cs="Arial"/>
          <w:color w:val="000000"/>
        </w:rPr>
        <w:t>2120-0698</w:t>
      </w:r>
    </w:p>
    <w:p w:rsidR="0097207F" w:rsidRPr="00EA513B" w:rsidRDefault="0097207F" w:rsidP="0097207F">
      <w:pPr>
        <w:shd w:val="clear" w:color="auto" w:fill="FFFFFF"/>
        <w:spacing w:after="0" w:line="240" w:lineRule="auto"/>
        <w:jc w:val="center"/>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This collection specifically supports the FAA Modernization and Reform Act of 2012 by sharing the information with legal entities (both federal and local) who in turn are able to hold accountable those who knowingly and willingly aim a laser pointer at an aircraft.  The collection and dissemination of the information together improve aviation safety and capacity.</w:t>
      </w:r>
    </w:p>
    <w:p w:rsidR="0097207F" w:rsidRPr="007E077A" w:rsidRDefault="0097207F" w:rsidP="0097207F">
      <w:pPr>
        <w:rPr>
          <w:rFonts w:ascii="Arial" w:hAnsi="Arial" w:cs="Arial"/>
          <w:color w:val="0070C0"/>
          <w:sz w:val="24"/>
          <w:szCs w:val="24"/>
        </w:rPr>
      </w:pPr>
    </w:p>
    <w:p w:rsidR="0097207F" w:rsidRPr="007E077A" w:rsidRDefault="0097207F" w:rsidP="0097207F">
      <w:pPr>
        <w:shd w:val="clear" w:color="auto" w:fill="FFFFFF"/>
        <w:spacing w:after="0" w:line="240" w:lineRule="auto"/>
        <w:rPr>
          <w:rFonts w:ascii="Arial" w:eastAsia="Times New Roman" w:hAnsi="Arial" w:cs="Arial"/>
          <w:color w:val="0070C0"/>
          <w:sz w:val="24"/>
          <w:szCs w:val="24"/>
        </w:rPr>
      </w:pPr>
    </w:p>
    <w:p w:rsidR="0097207F" w:rsidRPr="007E077A" w:rsidRDefault="0097207F" w:rsidP="0097207F">
      <w:pPr>
        <w:shd w:val="clear" w:color="auto" w:fill="FFFFFF"/>
        <w:spacing w:after="0" w:line="240" w:lineRule="auto"/>
        <w:rPr>
          <w:rFonts w:ascii="Arial" w:eastAsia="Times New Roman" w:hAnsi="Arial" w:cs="Arial"/>
          <w:b/>
          <w:bCs/>
          <w:color w:val="555555"/>
          <w:sz w:val="24"/>
          <w:szCs w:val="24"/>
        </w:rPr>
      </w:pPr>
      <w:r w:rsidRPr="007E077A">
        <w:rPr>
          <w:rFonts w:ascii="Arial" w:eastAsia="Times New Roman" w:hAnsi="Arial" w:cs="Arial"/>
          <w:b/>
          <w:bCs/>
          <w:color w:val="555555"/>
          <w:sz w:val="24"/>
          <w:szCs w:val="24"/>
        </w:rPr>
        <w:t xml:space="preserve">2. </w:t>
      </w:r>
      <w:r w:rsidRPr="007E077A">
        <w:rPr>
          <w:rFonts w:ascii="Arial" w:eastAsia="Times New Roman" w:hAnsi="Arial" w:cs="Arial"/>
          <w:b/>
          <w:bCs/>
          <w:sz w:val="24"/>
          <w:szCs w:val="24"/>
        </w:rPr>
        <w:t xml:space="preserve">Indicate how, by whom, and for what purpose the information is to be used. </w:t>
      </w:r>
      <w:r w:rsidRPr="007E077A">
        <w:rPr>
          <w:rFonts w:ascii="Arial" w:eastAsia="Times New Roman" w:hAnsi="Arial" w:cs="Arial"/>
          <w:b/>
          <w:bCs/>
          <w:color w:val="555555"/>
          <w:sz w:val="24"/>
          <w:szCs w:val="24"/>
        </w:rPr>
        <w:t>Except for a new collection, indicate the actual use the agency has made of the information received from the current collection.</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CC123D"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Responding to the collection of the information is voluntary and essential to provide a timely method of sharing the information via the Domestic Events N</w:t>
      </w:r>
      <w:r w:rsidR="00DC6B73" w:rsidRPr="007E077A">
        <w:rPr>
          <w:rFonts w:ascii="Arial" w:eastAsia="Times New Roman" w:hAnsi="Arial" w:cs="Arial"/>
          <w:sz w:val="24"/>
          <w:szCs w:val="24"/>
        </w:rPr>
        <w:t>etwork (DEN).  The entities who</w:t>
      </w:r>
      <w:r w:rsidR="00A43D5B" w:rsidRPr="007E077A">
        <w:rPr>
          <w:rFonts w:ascii="Arial" w:eastAsia="Times New Roman" w:hAnsi="Arial" w:cs="Arial"/>
          <w:sz w:val="24"/>
          <w:szCs w:val="24"/>
        </w:rPr>
        <w:t xml:space="preserve"> are encouraged to respond include </w:t>
      </w:r>
      <w:r w:rsidR="00DC6B73" w:rsidRPr="007E077A">
        <w:rPr>
          <w:rFonts w:ascii="Arial" w:eastAsia="Times New Roman" w:hAnsi="Arial" w:cs="Arial"/>
          <w:sz w:val="24"/>
          <w:szCs w:val="24"/>
        </w:rPr>
        <w:t xml:space="preserve">Pilots and Crewmembers. </w:t>
      </w:r>
      <w:r w:rsidR="00CC123D" w:rsidRPr="007E077A">
        <w:rPr>
          <w:rFonts w:ascii="Arial" w:eastAsia="Times New Roman" w:hAnsi="Arial" w:cs="Arial"/>
          <w:sz w:val="24"/>
          <w:szCs w:val="24"/>
        </w:rPr>
        <w:t>Daily, p</w:t>
      </w:r>
      <w:r w:rsidRPr="007E077A">
        <w:rPr>
          <w:rFonts w:ascii="Arial" w:eastAsia="Times New Roman" w:hAnsi="Arial" w:cs="Arial"/>
          <w:sz w:val="24"/>
          <w:szCs w:val="24"/>
        </w:rPr>
        <w:t>ilots and crewmembers report the time, location, color, and description of laser events to be used for record keeping</w:t>
      </w:r>
      <w:r w:rsidR="00CC123D" w:rsidRPr="007E077A">
        <w:rPr>
          <w:rFonts w:ascii="Arial" w:eastAsia="Times New Roman" w:hAnsi="Arial" w:cs="Arial"/>
          <w:sz w:val="24"/>
          <w:szCs w:val="24"/>
        </w:rPr>
        <w:t>, analysis, and disclosure</w:t>
      </w:r>
      <w:r w:rsidRPr="007E077A">
        <w:rPr>
          <w:rFonts w:ascii="Arial" w:eastAsia="Times New Roman" w:hAnsi="Arial" w:cs="Arial"/>
          <w:sz w:val="24"/>
          <w:szCs w:val="24"/>
        </w:rPr>
        <w:t xml:space="preserve">.  Also disclosed are the legal agencies contacted during the process of reporting. </w:t>
      </w:r>
      <w:r w:rsidR="00CC123D" w:rsidRPr="007E077A">
        <w:rPr>
          <w:rFonts w:ascii="Arial" w:eastAsia="Times New Roman" w:hAnsi="Arial" w:cs="Arial"/>
          <w:sz w:val="24"/>
          <w:szCs w:val="24"/>
        </w:rPr>
        <w:t>The purpose of the collection is to provide statistical awareness, analysis for safety, and in some cases legal prosecution.</w:t>
      </w:r>
    </w:p>
    <w:p w:rsidR="00CC123D" w:rsidRPr="007E077A" w:rsidRDefault="00CC123D" w:rsidP="0097207F">
      <w:pPr>
        <w:shd w:val="clear" w:color="auto" w:fill="FFFFFF"/>
        <w:spacing w:after="0" w:line="240" w:lineRule="auto"/>
        <w:rPr>
          <w:rFonts w:ascii="Arial" w:eastAsia="Times New Roman" w:hAnsi="Arial" w:cs="Arial"/>
          <w:sz w:val="24"/>
          <w:szCs w:val="24"/>
        </w:rPr>
      </w:pP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 xml:space="preserve">The collected information is </w:t>
      </w:r>
      <w:r w:rsidR="00CC123D" w:rsidRPr="007E077A">
        <w:rPr>
          <w:rFonts w:ascii="Arial" w:eastAsia="Times New Roman" w:hAnsi="Arial" w:cs="Arial"/>
          <w:sz w:val="24"/>
          <w:szCs w:val="24"/>
        </w:rPr>
        <w:t xml:space="preserve">consolidated into a report and </w:t>
      </w:r>
      <w:r w:rsidRPr="007E077A">
        <w:rPr>
          <w:rFonts w:ascii="Arial" w:eastAsia="Times New Roman" w:hAnsi="Arial" w:cs="Arial"/>
          <w:sz w:val="24"/>
          <w:szCs w:val="24"/>
        </w:rPr>
        <w:t>distributed to government addressees to include law enforcement/first responders.</w:t>
      </w:r>
      <w:r w:rsidR="00CC123D" w:rsidRPr="007E077A">
        <w:rPr>
          <w:rFonts w:ascii="Arial" w:eastAsia="Times New Roman" w:hAnsi="Arial" w:cs="Arial"/>
          <w:sz w:val="24"/>
          <w:szCs w:val="24"/>
        </w:rPr>
        <w:t xml:space="preserve">  The report allows recipients</w:t>
      </w:r>
      <w:r w:rsidR="00414897" w:rsidRPr="007E077A">
        <w:rPr>
          <w:rFonts w:ascii="Arial" w:eastAsia="Times New Roman" w:hAnsi="Arial" w:cs="Arial"/>
          <w:sz w:val="24"/>
          <w:szCs w:val="24"/>
        </w:rPr>
        <w:t xml:space="preserve"> or FAA leadership</w:t>
      </w:r>
      <w:r w:rsidR="00CC123D" w:rsidRPr="007E077A">
        <w:rPr>
          <w:rFonts w:ascii="Arial" w:eastAsia="Times New Roman" w:hAnsi="Arial" w:cs="Arial"/>
          <w:sz w:val="24"/>
          <w:szCs w:val="24"/>
        </w:rPr>
        <w:t xml:space="preserve"> to use the collection for other purposes or to complete further analysis as their mission dictates.  </w:t>
      </w:r>
      <w:r w:rsidR="004439BB" w:rsidRPr="007E077A">
        <w:rPr>
          <w:rFonts w:ascii="Arial" w:eastAsia="Times New Roman" w:hAnsi="Arial" w:cs="Arial"/>
          <w:sz w:val="24"/>
          <w:szCs w:val="24"/>
        </w:rPr>
        <w:t>The report is also published on the FAA laser website.</w:t>
      </w:r>
    </w:p>
    <w:p w:rsidR="0097207F" w:rsidRPr="007E077A" w:rsidRDefault="0097207F" w:rsidP="0097207F">
      <w:pPr>
        <w:shd w:val="clear" w:color="auto" w:fill="FFFFFF"/>
        <w:spacing w:after="0" w:line="240" w:lineRule="auto"/>
        <w:rPr>
          <w:rFonts w:ascii="Arial" w:eastAsia="Times New Roman" w:hAnsi="Arial" w:cs="Arial"/>
          <w:sz w:val="24"/>
          <w:szCs w:val="24"/>
        </w:rPr>
      </w:pPr>
    </w:p>
    <w:p w:rsidR="0097207F" w:rsidRPr="007E077A" w:rsidRDefault="0097207F" w:rsidP="0097207F">
      <w:pPr>
        <w:shd w:val="clear" w:color="auto" w:fill="FFFFFF"/>
        <w:spacing w:after="0" w:line="240" w:lineRule="auto"/>
        <w:rPr>
          <w:rFonts w:ascii="Arial" w:eastAsia="Times New Roman" w:hAnsi="Arial" w:cs="Arial"/>
          <w:color w:val="0070C0"/>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This collection is able to be submitted 100% electronically.</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b/>
          <w:bCs/>
          <w:color w:val="555555"/>
          <w:sz w:val="24"/>
          <w:szCs w:val="24"/>
        </w:rPr>
      </w:pPr>
      <w:r w:rsidRPr="007E077A">
        <w:rPr>
          <w:rFonts w:ascii="Arial" w:eastAsia="Times New Roman" w:hAnsi="Arial" w:cs="Arial"/>
          <w:b/>
          <w:bCs/>
          <w:color w:val="555555"/>
          <w:sz w:val="24"/>
          <w:szCs w:val="24"/>
        </w:rPr>
        <w:lastRenderedPageBreak/>
        <w:t>4. Describe efforts to identify duplication. Show specifically why any similar information already available cannot be used or modified for use for the purposes described in Item 2 above.</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t>No Duplication exists.</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5. If the collection of information involves small businesses or other small entities, describe the methods used to minimize burden.</w:t>
      </w:r>
    </w:p>
    <w:p w:rsidR="0097207F" w:rsidRPr="007E077A" w:rsidRDefault="0097207F" w:rsidP="0097207F">
      <w:pPr>
        <w:shd w:val="clear" w:color="auto" w:fill="FFFFFF"/>
        <w:spacing w:after="0" w:line="240" w:lineRule="auto"/>
        <w:rPr>
          <w:rFonts w:ascii="Arial" w:eastAsia="Times New Roman" w:hAnsi="Arial" w:cs="Arial"/>
          <w:color w:val="0070C0"/>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This collection will not involve small business or small entities.</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FF0000"/>
          <w:sz w:val="24"/>
          <w:szCs w:val="24"/>
        </w:rPr>
        <w:br/>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 xml:space="preserve">The consequence to Federal program or policy activities if the collection is not conducted or is conducted less frequently would include an inability to the educate the general public of the dangers of laser illumination; as well as inability to assist federal and local law enforcement agencies in recommending and applying mitigation actions that would ensure safe and orderly flight operations.  It would also severely impact the ability of law enforcement to take immediate action to locate and prosecute the offenders of the FAA Modernization and Reform Act of 2012 and source of unauthorized laser transmission.  </w:t>
      </w:r>
      <w:r w:rsidRPr="007E077A">
        <w:rPr>
          <w:rFonts w:ascii="Arial" w:eastAsia="Times New Roman" w:hAnsi="Arial" w:cs="Arial"/>
          <w:sz w:val="24"/>
          <w:szCs w:val="24"/>
        </w:rPr>
        <w:br/>
      </w:r>
    </w:p>
    <w:p w:rsidR="0097207F" w:rsidRPr="007E077A" w:rsidRDefault="0097207F" w:rsidP="0097207F">
      <w:pPr>
        <w:shd w:val="clear" w:color="auto" w:fill="FFFFFF"/>
        <w:spacing w:after="0" w:line="240" w:lineRule="auto"/>
        <w:rPr>
          <w:rFonts w:ascii="Arial" w:eastAsia="Times New Roman" w:hAnsi="Arial" w:cs="Arial"/>
          <w:color w:val="FF0000"/>
          <w:sz w:val="24"/>
          <w:szCs w:val="24"/>
        </w:rPr>
      </w:pPr>
      <w:r w:rsidRPr="007E077A">
        <w:rPr>
          <w:rFonts w:ascii="Arial" w:eastAsia="Times New Roman" w:hAnsi="Arial" w:cs="Arial"/>
          <w:b/>
          <w:bCs/>
          <w:color w:val="555555"/>
          <w:sz w:val="24"/>
          <w:szCs w:val="24"/>
        </w:rPr>
        <w:t xml:space="preserve">7. Explain any special circumstances that would cause an information collection to be conducted in a manner:  </w:t>
      </w: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color w:val="555555"/>
          <w:sz w:val="24"/>
          <w:szCs w:val="24"/>
        </w:rPr>
        <w:br/>
      </w:r>
      <w:r w:rsidRPr="007E077A">
        <w:rPr>
          <w:rFonts w:ascii="Arial" w:eastAsia="Times New Roman" w:hAnsi="Arial" w:cs="Arial"/>
          <w:bCs/>
          <w:sz w:val="24"/>
          <w:szCs w:val="24"/>
        </w:rPr>
        <w:t>There are no special circumstances.</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r w:rsidRPr="007E077A">
        <w:rPr>
          <w:rFonts w:ascii="Arial" w:eastAsia="Times New Roman" w:hAnsi="Arial" w:cs="Arial"/>
          <w:sz w:val="24"/>
          <w:szCs w:val="24"/>
        </w:rPr>
        <w:t>A Federal Register Notice published on June 28, 2018 (83 FR 30474) solicited public comment. No comments were received.</w:t>
      </w:r>
      <w:r w:rsidRPr="007E077A">
        <w:rPr>
          <w:rFonts w:ascii="Arial" w:eastAsia="Times New Roman" w:hAnsi="Arial" w:cs="Arial"/>
          <w:color w:val="0070C0"/>
          <w:sz w:val="24"/>
          <w:szCs w:val="24"/>
        </w:rPr>
        <w:t xml:space="preserve"> </w:t>
      </w: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lastRenderedPageBreak/>
        <w:t>9. Explain any decisions to provide payments or gifts to respondents, other than remuneration of contractors or grantees.</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color w:val="0070C0"/>
          <w:sz w:val="24"/>
          <w:szCs w:val="24"/>
        </w:rPr>
      </w:pPr>
      <w:r w:rsidRPr="007E077A">
        <w:rPr>
          <w:rFonts w:ascii="Arial" w:eastAsia="Times New Roman" w:hAnsi="Arial" w:cs="Arial"/>
          <w:sz w:val="24"/>
          <w:szCs w:val="24"/>
        </w:rPr>
        <w:t>No payments or gifts are provided to respondents.</w:t>
      </w:r>
    </w:p>
    <w:p w:rsidR="0097207F" w:rsidRPr="007E077A" w:rsidRDefault="0097207F" w:rsidP="0097207F">
      <w:pPr>
        <w:shd w:val="clear" w:color="auto" w:fill="FFFFFF"/>
        <w:spacing w:after="0" w:line="240" w:lineRule="auto"/>
        <w:rPr>
          <w:rFonts w:ascii="Arial" w:eastAsia="Times New Roman" w:hAnsi="Arial" w:cs="Arial"/>
          <w:color w:val="0070C0"/>
          <w:sz w:val="24"/>
          <w:szCs w:val="24"/>
        </w:rPr>
      </w:pPr>
      <w:r w:rsidRPr="007E077A">
        <w:rPr>
          <w:rFonts w:ascii="Arial" w:eastAsia="Times New Roman" w:hAnsi="Arial" w:cs="Arial"/>
          <w:color w:val="0070C0"/>
          <w:sz w:val="24"/>
          <w:szCs w:val="24"/>
        </w:rPr>
        <w:br/>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sz w:val="24"/>
          <w:szCs w:val="24"/>
        </w:rPr>
        <w:t>We are not providing any assurance of confidentiality.</w:t>
      </w:r>
      <w:r w:rsidRPr="007E077A">
        <w:rPr>
          <w:rFonts w:ascii="Arial" w:eastAsia="Times New Roman" w:hAnsi="Arial" w:cs="Arial"/>
          <w:sz w:val="24"/>
          <w:szCs w:val="24"/>
        </w:rPr>
        <w:br/>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0070C0"/>
          <w:sz w:val="24"/>
          <w:szCs w:val="24"/>
        </w:rPr>
        <w:br/>
      </w:r>
      <w:r w:rsidRPr="007E077A">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There are no questions of a sensitive nature.</w:t>
      </w:r>
    </w:p>
    <w:p w:rsidR="001241A1" w:rsidRPr="007E077A" w:rsidRDefault="001241A1" w:rsidP="0097207F">
      <w:pPr>
        <w:shd w:val="clear" w:color="auto" w:fill="FFFFFF"/>
        <w:spacing w:after="0" w:line="240" w:lineRule="auto"/>
        <w:rPr>
          <w:rFonts w:ascii="Arial" w:eastAsia="Times New Roman" w:hAnsi="Arial" w:cs="Arial"/>
          <w:sz w:val="24"/>
          <w:szCs w:val="24"/>
        </w:rPr>
      </w:pPr>
    </w:p>
    <w:p w:rsidR="001241A1" w:rsidRPr="007E077A" w:rsidRDefault="001241A1" w:rsidP="0097207F">
      <w:pPr>
        <w:shd w:val="clear" w:color="auto" w:fill="FFFFFF"/>
        <w:spacing w:after="0" w:line="240" w:lineRule="auto"/>
        <w:rPr>
          <w:rFonts w:ascii="Arial" w:eastAsia="Times New Roman" w:hAnsi="Arial" w:cs="Arial"/>
          <w:sz w:val="24"/>
          <w:szCs w:val="24"/>
        </w:rPr>
      </w:pPr>
    </w:p>
    <w:p w:rsidR="001241A1" w:rsidRPr="007E077A" w:rsidRDefault="001241A1" w:rsidP="0097207F">
      <w:pPr>
        <w:shd w:val="clear" w:color="auto" w:fill="FFFFFF"/>
        <w:spacing w:after="0" w:line="240" w:lineRule="auto"/>
        <w:rPr>
          <w:rFonts w:ascii="Arial" w:eastAsia="Times New Roman" w:hAnsi="Arial" w:cs="Arial"/>
          <w:color w:val="0070C0"/>
          <w:sz w:val="24"/>
          <w:szCs w:val="24"/>
        </w:rPr>
      </w:pPr>
      <w:r w:rsidRPr="007E077A">
        <w:rPr>
          <w:rFonts w:ascii="Arial" w:eastAsia="Times New Roman" w:hAnsi="Arial" w:cs="Arial"/>
          <w:color w:val="0070C0"/>
          <w:sz w:val="24"/>
          <w:szCs w:val="24"/>
        </w:rPr>
        <w:t>Note:  see Supporting Information attachment for #12</w:t>
      </w:r>
    </w:p>
    <w:tbl>
      <w:tblPr>
        <w:tblW w:w="516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firstRow="1" w:lastRow="0" w:firstColumn="1" w:lastColumn="0" w:noHBand="0" w:noVBand="1"/>
      </w:tblPr>
      <w:tblGrid>
        <w:gridCol w:w="1696"/>
        <w:gridCol w:w="970"/>
        <w:gridCol w:w="1866"/>
        <w:gridCol w:w="896"/>
        <w:gridCol w:w="896"/>
        <w:gridCol w:w="896"/>
        <w:gridCol w:w="1194"/>
        <w:gridCol w:w="1262"/>
      </w:tblGrid>
      <w:tr w:rsidR="00057BF1" w:rsidRPr="007E077A" w:rsidTr="003469A4">
        <w:trPr>
          <w:trHeight w:val="502"/>
        </w:trPr>
        <w:tc>
          <w:tcPr>
            <w:tcW w:w="5000" w:type="pct"/>
            <w:gridSpan w:val="8"/>
            <w:tcBorders>
              <w:top w:val="outset" w:sz="6" w:space="0" w:color="auto"/>
              <w:left w:val="outset" w:sz="6" w:space="0" w:color="auto"/>
              <w:bottom w:val="outset" w:sz="6" w:space="0" w:color="auto"/>
              <w:right w:val="outset" w:sz="6" w:space="0" w:color="auto"/>
            </w:tcBorders>
            <w:vAlign w:val="center"/>
          </w:tcPr>
          <w:p w:rsidR="00057BF1" w:rsidRPr="007E077A" w:rsidRDefault="00057BF1" w:rsidP="003469A4">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 #12.    Total Amount of emails received:  2975            (Public burden)</w:t>
            </w:r>
          </w:p>
        </w:tc>
      </w:tr>
      <w:tr w:rsidR="00057BF1" w:rsidRPr="007E077A" w:rsidTr="001241A1">
        <w:trPr>
          <w:trHeight w:val="1162"/>
        </w:trPr>
        <w:tc>
          <w:tcPr>
            <w:tcW w:w="877" w:type="pct"/>
            <w:tcBorders>
              <w:top w:val="outset" w:sz="6" w:space="0" w:color="auto"/>
              <w:left w:val="outset" w:sz="6" w:space="0" w:color="auto"/>
              <w:bottom w:val="outset" w:sz="6" w:space="0" w:color="auto"/>
              <w:right w:val="outset" w:sz="6" w:space="0" w:color="auto"/>
            </w:tcBorders>
            <w:vAlign w:val="center"/>
            <w:hideMark/>
          </w:tcPr>
          <w:p w:rsidR="00057BF1" w:rsidRPr="007E077A" w:rsidRDefault="00057BF1" w:rsidP="003469A4">
            <w:pPr>
              <w:rPr>
                <w:rFonts w:ascii="Arial" w:eastAsia="Times New Roman" w:hAnsi="Arial" w:cs="Arial"/>
                <w:b/>
                <w:bCs/>
                <w:color w:val="000000"/>
                <w:sz w:val="24"/>
                <w:szCs w:val="24"/>
              </w:rPr>
            </w:pPr>
          </w:p>
        </w:tc>
        <w:tc>
          <w:tcPr>
            <w:tcW w:w="501"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jc w:val="cente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 xml:space="preserve"> QTY             </w:t>
            </w:r>
          </w:p>
        </w:tc>
        <w:tc>
          <w:tcPr>
            <w:tcW w:w="1427" w:type="pct"/>
            <w:gridSpan w:val="2"/>
            <w:tcBorders>
              <w:top w:val="outset" w:sz="6" w:space="0" w:color="auto"/>
              <w:left w:val="outset" w:sz="6" w:space="0" w:color="auto"/>
              <w:bottom w:val="outset" w:sz="6" w:space="0" w:color="auto"/>
              <w:right w:val="outset" w:sz="6" w:space="0" w:color="auto"/>
            </w:tcBorders>
            <w:vAlign w:val="center"/>
            <w:hideMark/>
          </w:tcPr>
          <w:p w:rsidR="00057BF1" w:rsidRPr="007E077A" w:rsidRDefault="00057BF1" w:rsidP="003469A4">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 xml:space="preserve"> Type/Time per response</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Total Min</w:t>
            </w:r>
          </w:p>
        </w:tc>
        <w:tc>
          <w:tcPr>
            <w:tcW w:w="463" w:type="pct"/>
            <w:tcBorders>
              <w:top w:val="outset" w:sz="6" w:space="0" w:color="auto"/>
              <w:left w:val="outset" w:sz="6" w:space="0" w:color="auto"/>
              <w:bottom w:val="outset" w:sz="6" w:space="0" w:color="auto"/>
              <w:right w:val="outset" w:sz="6" w:space="0" w:color="auto"/>
            </w:tcBorders>
            <w:vAlign w:val="center"/>
            <w:hideMark/>
          </w:tcPr>
          <w:p w:rsidR="00057BF1" w:rsidRPr="007E077A" w:rsidRDefault="00057BF1" w:rsidP="003469A4">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Total Hours</w:t>
            </w:r>
          </w:p>
        </w:tc>
        <w:tc>
          <w:tcPr>
            <w:tcW w:w="617"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Hourly Wage Rate</w:t>
            </w:r>
          </w:p>
        </w:tc>
        <w:tc>
          <w:tcPr>
            <w:tcW w:w="652" w:type="pct"/>
            <w:tcBorders>
              <w:top w:val="outset" w:sz="6" w:space="0" w:color="auto"/>
              <w:left w:val="outset" w:sz="6" w:space="0" w:color="auto"/>
              <w:bottom w:val="outset" w:sz="6" w:space="0" w:color="auto"/>
              <w:right w:val="outset" w:sz="6" w:space="0" w:color="auto"/>
            </w:tcBorders>
            <w:vAlign w:val="center"/>
            <w:hideMark/>
          </w:tcPr>
          <w:p w:rsidR="00057BF1" w:rsidRPr="007E077A" w:rsidRDefault="00057BF1" w:rsidP="003469A4">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Labor Cost</w:t>
            </w:r>
          </w:p>
        </w:tc>
      </w:tr>
      <w:tr w:rsidR="00057BF1" w:rsidRPr="007E077A" w:rsidTr="001241A1">
        <w:trPr>
          <w:trHeight w:val="845"/>
        </w:trPr>
        <w:tc>
          <w:tcPr>
            <w:tcW w:w="877" w:type="pct"/>
            <w:tcBorders>
              <w:top w:val="outset" w:sz="6" w:space="0" w:color="auto"/>
              <w:left w:val="outset" w:sz="6" w:space="0" w:color="auto"/>
              <w:bottom w:val="outset" w:sz="6" w:space="0" w:color="auto"/>
              <w:right w:val="outset" w:sz="6" w:space="0" w:color="auto"/>
            </w:tcBorders>
            <w:hideMark/>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Reporting</w:t>
            </w:r>
          </w:p>
        </w:tc>
        <w:tc>
          <w:tcPr>
            <w:tcW w:w="501"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b/>
                <w:sz w:val="24"/>
                <w:szCs w:val="24"/>
              </w:rPr>
            </w:pPr>
            <w:r w:rsidRPr="007E077A">
              <w:rPr>
                <w:rFonts w:ascii="Arial" w:eastAsia="Times New Roman" w:hAnsi="Arial" w:cs="Arial"/>
                <w:sz w:val="24"/>
                <w:szCs w:val="24"/>
              </w:rPr>
              <w:t xml:space="preserve">       </w:t>
            </w:r>
            <w:r w:rsidRPr="007E077A">
              <w:rPr>
                <w:rFonts w:ascii="Arial" w:eastAsia="Times New Roman" w:hAnsi="Arial" w:cs="Arial"/>
                <w:b/>
                <w:sz w:val="24"/>
                <w:szCs w:val="24"/>
              </w:rPr>
              <w:t>2895</w:t>
            </w:r>
          </w:p>
        </w:tc>
        <w:tc>
          <w:tcPr>
            <w:tcW w:w="964"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Long form (.pdf)</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10 min</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28950</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482.5</w:t>
            </w:r>
          </w:p>
        </w:tc>
        <w:tc>
          <w:tcPr>
            <w:tcW w:w="617"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$53.49</w:t>
            </w:r>
          </w:p>
        </w:tc>
        <w:tc>
          <w:tcPr>
            <w:tcW w:w="652"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$25,808.93</w:t>
            </w:r>
          </w:p>
        </w:tc>
      </w:tr>
      <w:tr w:rsidR="00057BF1" w:rsidRPr="007E077A" w:rsidTr="001241A1">
        <w:trPr>
          <w:trHeight w:val="832"/>
        </w:trPr>
        <w:tc>
          <w:tcPr>
            <w:tcW w:w="877"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p>
        </w:tc>
        <w:tc>
          <w:tcPr>
            <w:tcW w:w="501"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b/>
                <w:sz w:val="24"/>
                <w:szCs w:val="24"/>
              </w:rPr>
            </w:pPr>
            <w:r w:rsidRPr="007E077A">
              <w:rPr>
                <w:rFonts w:ascii="Arial" w:eastAsia="Times New Roman" w:hAnsi="Arial" w:cs="Arial"/>
                <w:b/>
                <w:sz w:val="24"/>
                <w:szCs w:val="24"/>
              </w:rPr>
              <w:t xml:space="preserve">           80</w:t>
            </w:r>
          </w:p>
        </w:tc>
        <w:tc>
          <w:tcPr>
            <w:tcW w:w="964"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Mobile app</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5  min</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400</w:t>
            </w:r>
          </w:p>
        </w:tc>
        <w:tc>
          <w:tcPr>
            <w:tcW w:w="463"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6.7</w:t>
            </w:r>
          </w:p>
        </w:tc>
        <w:tc>
          <w:tcPr>
            <w:tcW w:w="617"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$53.49</w:t>
            </w:r>
          </w:p>
        </w:tc>
        <w:tc>
          <w:tcPr>
            <w:tcW w:w="652" w:type="pct"/>
            <w:tcBorders>
              <w:top w:val="outset" w:sz="6" w:space="0" w:color="auto"/>
              <w:left w:val="outset" w:sz="6" w:space="0" w:color="auto"/>
              <w:bottom w:val="outset" w:sz="6" w:space="0" w:color="auto"/>
              <w:right w:val="outset" w:sz="6" w:space="0" w:color="auto"/>
            </w:tcBorders>
          </w:tcPr>
          <w:p w:rsidR="00057BF1" w:rsidRPr="007E077A" w:rsidRDefault="00057BF1"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$358.38</w:t>
            </w:r>
          </w:p>
        </w:tc>
      </w:tr>
      <w:tr w:rsidR="00057BF1" w:rsidRPr="007E077A" w:rsidTr="001241A1">
        <w:trPr>
          <w:trHeight w:val="515"/>
        </w:trPr>
        <w:tc>
          <w:tcPr>
            <w:tcW w:w="877"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c>
          <w:tcPr>
            <w:tcW w:w="501"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b/>
                <w:color w:val="0070C0"/>
                <w:sz w:val="24"/>
                <w:szCs w:val="24"/>
              </w:rPr>
            </w:pPr>
          </w:p>
        </w:tc>
        <w:tc>
          <w:tcPr>
            <w:tcW w:w="964"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c>
          <w:tcPr>
            <w:tcW w:w="463"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c>
          <w:tcPr>
            <w:tcW w:w="463"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c>
          <w:tcPr>
            <w:tcW w:w="463"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c>
          <w:tcPr>
            <w:tcW w:w="617"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c>
          <w:tcPr>
            <w:tcW w:w="652" w:type="pct"/>
            <w:tcBorders>
              <w:top w:val="outset" w:sz="6" w:space="0" w:color="auto"/>
              <w:left w:val="outset" w:sz="6" w:space="0" w:color="auto"/>
              <w:bottom w:val="outset" w:sz="6" w:space="0" w:color="auto"/>
              <w:right w:val="outset" w:sz="6" w:space="0" w:color="auto"/>
            </w:tcBorders>
            <w:shd w:val="clear" w:color="auto" w:fill="DEEAF6" w:themeFill="accent1" w:themeFillTint="33"/>
          </w:tcPr>
          <w:p w:rsidR="00057BF1" w:rsidRPr="007E077A" w:rsidRDefault="00057BF1" w:rsidP="003469A4">
            <w:pPr>
              <w:rPr>
                <w:rFonts w:ascii="Arial" w:eastAsia="Times New Roman" w:hAnsi="Arial" w:cs="Arial"/>
                <w:color w:val="000000"/>
                <w:sz w:val="24"/>
                <w:szCs w:val="24"/>
              </w:rPr>
            </w:pPr>
          </w:p>
        </w:tc>
      </w:tr>
    </w:tbl>
    <w:p w:rsidR="00BD6E75" w:rsidRPr="007E077A" w:rsidRDefault="00BD6E75" w:rsidP="00BD6E75">
      <w:pPr>
        <w:shd w:val="clear" w:color="auto" w:fill="FFFFFF"/>
        <w:spacing w:after="0" w:line="240" w:lineRule="auto"/>
        <w:rPr>
          <w:rFonts w:ascii="Arial" w:hAnsi="Arial" w:cs="Arial"/>
          <w:sz w:val="24"/>
          <w:szCs w:val="24"/>
        </w:rPr>
      </w:pPr>
    </w:p>
    <w:p w:rsidR="00BD6E75" w:rsidRPr="007E077A" w:rsidRDefault="00BD6E75" w:rsidP="00BD6E75">
      <w:pPr>
        <w:rPr>
          <w:rFonts w:ascii="Arial" w:hAnsi="Arial" w:cs="Arial"/>
          <w:sz w:val="24"/>
          <w:szCs w:val="24"/>
        </w:rPr>
      </w:pPr>
      <w:r w:rsidRPr="007E077A">
        <w:rPr>
          <w:rFonts w:ascii="Arial" w:hAnsi="Arial" w:cs="Arial"/>
          <w:sz w:val="24"/>
          <w:szCs w:val="24"/>
        </w:rPr>
        <w:t xml:space="preserve">We estimate that the time required for the submission of the mobile app report to be total of 5 minutes maximum.  At an estimated 80 responses per year, the total is 6.7 hours annually.  </w:t>
      </w:r>
    </w:p>
    <w:p w:rsidR="00BD6E75" w:rsidRPr="007E077A" w:rsidRDefault="00BD6E75" w:rsidP="00BD6E75">
      <w:pPr>
        <w:rPr>
          <w:rFonts w:ascii="Arial" w:hAnsi="Arial" w:cs="Arial"/>
          <w:sz w:val="24"/>
          <w:szCs w:val="24"/>
        </w:rPr>
      </w:pPr>
      <w:r w:rsidRPr="007E077A">
        <w:rPr>
          <w:rFonts w:ascii="Arial" w:hAnsi="Arial" w:cs="Arial"/>
          <w:sz w:val="24"/>
          <w:szCs w:val="24"/>
        </w:rPr>
        <w:t xml:space="preserve">The estimated hourly burden per year is </w:t>
      </w:r>
      <w:r w:rsidRPr="007E077A">
        <w:rPr>
          <w:rFonts w:ascii="Arial" w:hAnsi="Arial" w:cs="Arial"/>
          <w:bCs/>
          <w:sz w:val="24"/>
          <w:szCs w:val="24"/>
        </w:rPr>
        <w:t>91.7 hours</w:t>
      </w:r>
      <w:r w:rsidRPr="007E077A">
        <w:rPr>
          <w:rFonts w:ascii="Arial" w:hAnsi="Arial" w:cs="Arial"/>
          <w:sz w:val="24"/>
          <w:szCs w:val="24"/>
        </w:rPr>
        <w:t xml:space="preserve"> for the mobile app.</w:t>
      </w:r>
    </w:p>
    <w:p w:rsidR="00BD6E75" w:rsidRPr="007E077A" w:rsidRDefault="00BD6E75" w:rsidP="00BD6E75">
      <w:pPr>
        <w:rPr>
          <w:rFonts w:ascii="Arial" w:hAnsi="Arial" w:cs="Arial"/>
          <w:sz w:val="24"/>
          <w:szCs w:val="24"/>
        </w:rPr>
      </w:pPr>
      <w:r w:rsidRPr="007E077A">
        <w:rPr>
          <w:rFonts w:ascii="Arial" w:hAnsi="Arial" w:cs="Arial"/>
          <w:sz w:val="24"/>
          <w:szCs w:val="24"/>
        </w:rPr>
        <w:t xml:space="preserve">We estimate that we receive 97.3% .pdf long forms via email at 2895 </w:t>
      </w:r>
      <w:r w:rsidR="00D04F10" w:rsidRPr="007E077A">
        <w:rPr>
          <w:rFonts w:ascii="Arial" w:hAnsi="Arial" w:cs="Arial"/>
          <w:sz w:val="24"/>
          <w:szCs w:val="24"/>
        </w:rPr>
        <w:t>responses X</w:t>
      </w:r>
      <w:r w:rsidRPr="007E077A">
        <w:rPr>
          <w:rFonts w:ascii="Arial" w:hAnsi="Arial" w:cs="Arial"/>
          <w:sz w:val="24"/>
          <w:szCs w:val="24"/>
        </w:rPr>
        <w:t xml:space="preserve"> 10 minutes = 482.5 hours</w:t>
      </w:r>
    </w:p>
    <w:p w:rsidR="00E23211" w:rsidRPr="007E077A" w:rsidRDefault="00E23211" w:rsidP="00BD6E75">
      <w:pPr>
        <w:rPr>
          <w:rFonts w:ascii="Arial" w:hAnsi="Arial" w:cs="Arial"/>
          <w:sz w:val="24"/>
          <w:szCs w:val="24"/>
        </w:rPr>
      </w:pPr>
    </w:p>
    <w:p w:rsidR="00E23211" w:rsidRPr="007E077A" w:rsidRDefault="00E23211" w:rsidP="00BD6E75">
      <w:pPr>
        <w:rPr>
          <w:rFonts w:ascii="Arial" w:hAnsi="Arial" w:cs="Arial"/>
          <w:sz w:val="24"/>
          <w:szCs w:val="24"/>
        </w:rPr>
      </w:pPr>
    </w:p>
    <w:p w:rsidR="00E23211" w:rsidRPr="007E077A" w:rsidRDefault="00E23211" w:rsidP="00BD6E75">
      <w:pPr>
        <w:rPr>
          <w:rFonts w:ascii="Arial" w:hAnsi="Arial" w:cs="Arial"/>
          <w:sz w:val="24"/>
          <w:szCs w:val="24"/>
        </w:rPr>
      </w:pPr>
    </w:p>
    <w:p w:rsidR="00BD6E75" w:rsidRPr="007E077A" w:rsidRDefault="00BD6E75" w:rsidP="00BD6E75">
      <w:pPr>
        <w:rPr>
          <w:rFonts w:ascii="Arial" w:hAnsi="Arial" w:cs="Arial"/>
          <w:sz w:val="24"/>
          <w:szCs w:val="24"/>
        </w:rPr>
      </w:pPr>
      <w:r w:rsidRPr="007E077A">
        <w:rPr>
          <w:rFonts w:ascii="Arial" w:hAnsi="Arial" w:cs="Arial"/>
          <w:sz w:val="24"/>
          <w:szCs w:val="24"/>
        </w:rPr>
        <w:t>Mobile app hours       = 6.7 hours</w:t>
      </w:r>
    </w:p>
    <w:p w:rsidR="00BD6E75" w:rsidRPr="007E077A" w:rsidRDefault="00BD6E75" w:rsidP="00BD6E75">
      <w:pPr>
        <w:pBdr>
          <w:bottom w:val="double" w:sz="6" w:space="1" w:color="auto"/>
        </w:pBdr>
        <w:rPr>
          <w:rFonts w:ascii="Arial" w:hAnsi="Arial" w:cs="Arial"/>
          <w:sz w:val="24"/>
          <w:szCs w:val="24"/>
        </w:rPr>
      </w:pPr>
      <w:r w:rsidRPr="007E077A">
        <w:rPr>
          <w:rFonts w:ascii="Arial" w:hAnsi="Arial" w:cs="Arial"/>
          <w:sz w:val="24"/>
          <w:szCs w:val="24"/>
        </w:rPr>
        <w:t>Paper questionnaire = 482.5 hour</w:t>
      </w:r>
    </w:p>
    <w:p w:rsidR="00BD6E75" w:rsidRPr="007E077A" w:rsidRDefault="00BD6E75" w:rsidP="00BD6E75">
      <w:pPr>
        <w:rPr>
          <w:rFonts w:ascii="Arial" w:hAnsi="Arial" w:cs="Arial"/>
          <w:sz w:val="24"/>
          <w:szCs w:val="24"/>
        </w:rPr>
      </w:pPr>
      <w:r w:rsidRPr="007E077A">
        <w:rPr>
          <w:rFonts w:ascii="Arial" w:hAnsi="Arial" w:cs="Arial"/>
          <w:sz w:val="24"/>
          <w:szCs w:val="24"/>
        </w:rPr>
        <w:t>Total annual hours      489.2 hour</w:t>
      </w:r>
    </w:p>
    <w:p w:rsidR="00BD6E75" w:rsidRPr="007E077A" w:rsidRDefault="00BD6E75" w:rsidP="00BD6E75">
      <w:pPr>
        <w:rPr>
          <w:rFonts w:ascii="Arial" w:hAnsi="Arial" w:cs="Arial"/>
          <w:sz w:val="24"/>
          <w:szCs w:val="24"/>
        </w:rPr>
      </w:pPr>
    </w:p>
    <w:p w:rsidR="00BD6E75" w:rsidRPr="007E077A" w:rsidRDefault="00BD6E75" w:rsidP="00BD6E75">
      <w:pPr>
        <w:rPr>
          <w:rFonts w:ascii="Arial" w:hAnsi="Arial" w:cs="Arial"/>
          <w:sz w:val="24"/>
          <w:szCs w:val="24"/>
        </w:rPr>
      </w:pPr>
      <w:r w:rsidRPr="007E077A">
        <w:rPr>
          <w:rFonts w:ascii="Arial" w:hAnsi="Arial" w:cs="Arial"/>
          <w:sz w:val="24"/>
          <w:szCs w:val="24"/>
        </w:rPr>
        <w:t>The cost ass</w:t>
      </w:r>
      <w:r w:rsidR="00744A9B" w:rsidRPr="007E077A">
        <w:rPr>
          <w:rFonts w:ascii="Arial" w:hAnsi="Arial" w:cs="Arial"/>
          <w:sz w:val="24"/>
          <w:szCs w:val="24"/>
        </w:rPr>
        <w:t>ociated with the .pdf long form</w:t>
      </w:r>
      <w:r w:rsidRPr="007E077A">
        <w:rPr>
          <w:rFonts w:ascii="Arial" w:hAnsi="Arial" w:cs="Arial"/>
          <w:sz w:val="24"/>
          <w:szCs w:val="24"/>
        </w:rPr>
        <w:t xml:space="preserve"> of the </w:t>
      </w:r>
      <w:r w:rsidR="00E23211" w:rsidRPr="007E077A">
        <w:rPr>
          <w:rFonts w:ascii="Arial" w:hAnsi="Arial" w:cs="Arial"/>
          <w:sz w:val="24"/>
          <w:szCs w:val="24"/>
        </w:rPr>
        <w:t>submission, at approximately $53.49 per hour, times 489.2</w:t>
      </w:r>
      <w:r w:rsidRPr="007E077A">
        <w:rPr>
          <w:rFonts w:ascii="Arial" w:hAnsi="Arial" w:cs="Arial"/>
          <w:sz w:val="24"/>
          <w:szCs w:val="24"/>
        </w:rPr>
        <w:t xml:space="preserve"> hours, is </w:t>
      </w:r>
      <w:r w:rsidR="00E23211" w:rsidRPr="007E077A">
        <w:rPr>
          <w:rFonts w:ascii="Arial" w:hAnsi="Arial" w:cs="Arial"/>
          <w:bCs/>
          <w:sz w:val="24"/>
          <w:szCs w:val="24"/>
        </w:rPr>
        <w:t>$26,167.31</w:t>
      </w:r>
      <w:r w:rsidRPr="007E077A">
        <w:rPr>
          <w:rFonts w:ascii="Arial" w:hAnsi="Arial" w:cs="Arial"/>
          <w:sz w:val="24"/>
          <w:szCs w:val="24"/>
        </w:rPr>
        <w:t xml:space="preserve"> per year.</w:t>
      </w:r>
    </w:p>
    <w:p w:rsidR="00E23211" w:rsidRDefault="00E23211" w:rsidP="00E23211">
      <w:pPr>
        <w:rPr>
          <w:rFonts w:ascii="Arial" w:hAnsi="Arial" w:cs="Arial"/>
          <w:sz w:val="24"/>
          <w:szCs w:val="24"/>
        </w:rPr>
      </w:pPr>
      <w:r w:rsidRPr="007E077A">
        <w:rPr>
          <w:rFonts w:ascii="Arial" w:hAnsi="Arial" w:cs="Arial"/>
          <w:sz w:val="24"/>
          <w:szCs w:val="24"/>
        </w:rPr>
        <w:t>Cost is derived from the 2017 U.S. Department of Labor, Bureau of Labor and Statistics website.  Reported annual median pay is $111, 930.  This equates to GS-14 Step 9 pay on Salary Table 2017-GS, effective January 2017.  Hourly rate is $53.49.</w:t>
      </w:r>
    </w:p>
    <w:p w:rsidR="002A681A" w:rsidRPr="007E077A" w:rsidRDefault="002A681A" w:rsidP="00E23211">
      <w:pPr>
        <w:rPr>
          <w:rFonts w:ascii="Arial" w:hAnsi="Arial" w:cs="Arial"/>
          <w:sz w:val="24"/>
          <w:szCs w:val="24"/>
        </w:rPr>
      </w:pP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97207F" w:rsidRPr="007E077A" w:rsidRDefault="0097207F" w:rsidP="0097207F">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D04F10" w:rsidRPr="007E077A" w:rsidRDefault="00D04F10" w:rsidP="0097207F">
      <w:pPr>
        <w:shd w:val="clear" w:color="auto" w:fill="FFFFFF"/>
        <w:spacing w:after="0" w:line="240" w:lineRule="auto"/>
        <w:rPr>
          <w:rFonts w:ascii="Arial" w:eastAsia="Times New Roman" w:hAnsi="Arial" w:cs="Arial"/>
          <w:sz w:val="24"/>
          <w:szCs w:val="24"/>
        </w:rPr>
      </w:pPr>
    </w:p>
    <w:p w:rsidR="0097207F" w:rsidRPr="007E077A" w:rsidRDefault="0097207F" w:rsidP="0097207F">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7207F" w:rsidRPr="007E077A" w:rsidRDefault="0097207F">
      <w:pPr>
        <w:rPr>
          <w:rFonts w:ascii="Arial" w:hAnsi="Arial" w:cs="Arial"/>
          <w:sz w:val="24"/>
          <w:szCs w:val="24"/>
        </w:rPr>
      </w:pPr>
    </w:p>
    <w:tbl>
      <w:tblPr>
        <w:tblW w:w="4763"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firstRow="1" w:lastRow="0" w:firstColumn="1" w:lastColumn="0" w:noHBand="0" w:noVBand="1"/>
      </w:tblPr>
      <w:tblGrid>
        <w:gridCol w:w="1887"/>
        <w:gridCol w:w="1078"/>
        <w:gridCol w:w="991"/>
        <w:gridCol w:w="993"/>
        <w:gridCol w:w="993"/>
        <w:gridCol w:w="1513"/>
        <w:gridCol w:w="1477"/>
      </w:tblGrid>
      <w:tr w:rsidR="00095DCB" w:rsidRPr="007E077A" w:rsidTr="003469A4">
        <w:trPr>
          <w:trHeight w:val="771"/>
        </w:trPr>
        <w:tc>
          <w:tcPr>
            <w:tcW w:w="10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#14.</w:t>
            </w:r>
          </w:p>
        </w:tc>
        <w:tc>
          <w:tcPr>
            <w:tcW w:w="603"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b/>
                <w:color w:val="000000"/>
                <w:sz w:val="24"/>
                <w:szCs w:val="24"/>
              </w:rPr>
            </w:pPr>
            <w:r w:rsidRPr="007E077A">
              <w:rPr>
                <w:rFonts w:ascii="Arial" w:eastAsia="Times New Roman" w:hAnsi="Arial" w:cs="Arial"/>
                <w:b/>
                <w:color w:val="000000"/>
                <w:sz w:val="24"/>
                <w:szCs w:val="24"/>
              </w:rPr>
              <w:t>Total Min</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b/>
                <w:color w:val="000000"/>
                <w:sz w:val="24"/>
                <w:szCs w:val="24"/>
              </w:rPr>
            </w:pPr>
            <w:r w:rsidRPr="007E077A">
              <w:rPr>
                <w:rFonts w:ascii="Arial" w:eastAsia="Times New Roman" w:hAnsi="Arial" w:cs="Arial"/>
                <w:b/>
                <w:color w:val="000000"/>
                <w:sz w:val="24"/>
                <w:szCs w:val="24"/>
              </w:rPr>
              <w:t>Total Hours</w:t>
            </w:r>
          </w:p>
        </w:tc>
        <w:tc>
          <w:tcPr>
            <w:tcW w:w="84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b/>
                <w:color w:val="000000"/>
                <w:sz w:val="24"/>
                <w:szCs w:val="24"/>
              </w:rPr>
            </w:pPr>
            <w:r w:rsidRPr="007E077A">
              <w:rPr>
                <w:rFonts w:ascii="Arial" w:eastAsia="Times New Roman" w:hAnsi="Arial" w:cs="Arial"/>
                <w:b/>
                <w:color w:val="000000"/>
                <w:sz w:val="24"/>
                <w:szCs w:val="24"/>
              </w:rPr>
              <w:t>Hourly Wage Rate</w:t>
            </w:r>
          </w:p>
        </w:tc>
        <w:tc>
          <w:tcPr>
            <w:tcW w:w="82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b/>
                <w:color w:val="000000"/>
                <w:sz w:val="24"/>
                <w:szCs w:val="24"/>
              </w:rPr>
            </w:pPr>
            <w:r w:rsidRPr="007E077A">
              <w:rPr>
                <w:rFonts w:ascii="Arial" w:eastAsia="Times New Roman" w:hAnsi="Arial" w:cs="Arial"/>
                <w:b/>
                <w:color w:val="000000"/>
                <w:sz w:val="24"/>
                <w:szCs w:val="24"/>
              </w:rPr>
              <w:t>Labor Cost</w:t>
            </w:r>
          </w:p>
        </w:tc>
      </w:tr>
      <w:tr w:rsidR="00095DCB" w:rsidRPr="007E077A" w:rsidTr="003469A4">
        <w:trPr>
          <w:trHeight w:val="477"/>
        </w:trPr>
        <w:tc>
          <w:tcPr>
            <w:tcW w:w="10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603"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84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82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r>
      <w:tr w:rsidR="00095DCB" w:rsidRPr="007E077A" w:rsidTr="003469A4">
        <w:trPr>
          <w:trHeight w:val="465"/>
        </w:trPr>
        <w:tc>
          <w:tcPr>
            <w:tcW w:w="1056" w:type="pct"/>
            <w:tcBorders>
              <w:top w:val="outset" w:sz="6" w:space="0" w:color="auto"/>
              <w:left w:val="outset" w:sz="6" w:space="0" w:color="auto"/>
              <w:bottom w:val="outset" w:sz="6" w:space="0" w:color="auto"/>
              <w:right w:val="outset" w:sz="6" w:space="0" w:color="auto"/>
            </w:tcBorders>
            <w:hideMark/>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Record Keeping</w:t>
            </w:r>
          </w:p>
        </w:tc>
        <w:tc>
          <w:tcPr>
            <w:tcW w:w="603"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2975</w:t>
            </w:r>
          </w:p>
        </w:tc>
        <w:tc>
          <w:tcPr>
            <w:tcW w:w="555"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15 min</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44625</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743.75</w:t>
            </w:r>
          </w:p>
        </w:tc>
        <w:tc>
          <w:tcPr>
            <w:tcW w:w="84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$42.96</w:t>
            </w:r>
          </w:p>
        </w:tc>
        <w:tc>
          <w:tcPr>
            <w:tcW w:w="82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$31,951.50</w:t>
            </w:r>
          </w:p>
        </w:tc>
      </w:tr>
      <w:tr w:rsidR="00095DCB" w:rsidRPr="007E077A" w:rsidTr="003469A4">
        <w:trPr>
          <w:trHeight w:val="771"/>
        </w:trPr>
        <w:tc>
          <w:tcPr>
            <w:tcW w:w="1056" w:type="pct"/>
            <w:tcBorders>
              <w:top w:val="outset" w:sz="6" w:space="0" w:color="auto"/>
              <w:left w:val="outset" w:sz="6" w:space="0" w:color="auto"/>
              <w:bottom w:val="outset" w:sz="6" w:space="0" w:color="auto"/>
              <w:right w:val="outset" w:sz="6" w:space="0" w:color="auto"/>
            </w:tcBorders>
            <w:hideMark/>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Third Party Disclosure</w:t>
            </w:r>
          </w:p>
        </w:tc>
        <w:tc>
          <w:tcPr>
            <w:tcW w:w="603"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5 min</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14875</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247.92</w:t>
            </w:r>
          </w:p>
        </w:tc>
        <w:tc>
          <w:tcPr>
            <w:tcW w:w="84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$42.96</w:t>
            </w:r>
          </w:p>
        </w:tc>
        <w:tc>
          <w:tcPr>
            <w:tcW w:w="82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$10,650.64</w:t>
            </w:r>
          </w:p>
        </w:tc>
      </w:tr>
      <w:tr w:rsidR="00095DCB" w:rsidRPr="007E077A" w:rsidTr="003469A4">
        <w:trPr>
          <w:trHeight w:val="477"/>
        </w:trPr>
        <w:tc>
          <w:tcPr>
            <w:tcW w:w="1056" w:type="pct"/>
            <w:tcBorders>
              <w:top w:val="outset" w:sz="6" w:space="0" w:color="auto"/>
              <w:left w:val="outset" w:sz="6" w:space="0" w:color="auto"/>
              <w:bottom w:val="outset" w:sz="6" w:space="0" w:color="auto"/>
              <w:right w:val="outset" w:sz="6" w:space="0" w:color="auto"/>
            </w:tcBorders>
            <w:hideMark/>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Total</w:t>
            </w:r>
          </w:p>
        </w:tc>
        <w:tc>
          <w:tcPr>
            <w:tcW w:w="603"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20 min</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59500</w:t>
            </w:r>
          </w:p>
        </w:tc>
        <w:tc>
          <w:tcPr>
            <w:tcW w:w="556"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991.67</w:t>
            </w:r>
          </w:p>
        </w:tc>
        <w:tc>
          <w:tcPr>
            <w:tcW w:w="84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$42.96</w:t>
            </w:r>
          </w:p>
        </w:tc>
        <w:tc>
          <w:tcPr>
            <w:tcW w:w="827" w:type="pct"/>
            <w:tcBorders>
              <w:top w:val="outset" w:sz="6" w:space="0" w:color="auto"/>
              <w:left w:val="outset" w:sz="6" w:space="0" w:color="auto"/>
              <w:bottom w:val="outset" w:sz="6" w:space="0" w:color="auto"/>
              <w:right w:val="outset" w:sz="6" w:space="0" w:color="auto"/>
            </w:tcBorders>
          </w:tcPr>
          <w:p w:rsidR="00095DCB" w:rsidRPr="007E077A" w:rsidRDefault="00095DCB" w:rsidP="003469A4">
            <w:pPr>
              <w:rPr>
                <w:rFonts w:ascii="Arial" w:eastAsia="Times New Roman" w:hAnsi="Arial" w:cs="Arial"/>
                <w:color w:val="000000"/>
                <w:sz w:val="24"/>
                <w:szCs w:val="24"/>
              </w:rPr>
            </w:pPr>
            <w:r w:rsidRPr="007E077A">
              <w:rPr>
                <w:rFonts w:ascii="Arial" w:eastAsia="Times New Roman" w:hAnsi="Arial" w:cs="Arial"/>
                <w:color w:val="000000"/>
                <w:sz w:val="24"/>
                <w:szCs w:val="24"/>
              </w:rPr>
              <w:t>$42,602.14</w:t>
            </w:r>
          </w:p>
        </w:tc>
      </w:tr>
    </w:tbl>
    <w:p w:rsidR="00095DCB" w:rsidRPr="007E077A" w:rsidRDefault="00095DCB">
      <w:pPr>
        <w:rPr>
          <w:rFonts w:ascii="Arial" w:hAnsi="Arial" w:cs="Arial"/>
          <w:sz w:val="24"/>
          <w:szCs w:val="24"/>
        </w:rPr>
      </w:pPr>
    </w:p>
    <w:p w:rsidR="0097207F" w:rsidRPr="007E077A" w:rsidRDefault="0097207F" w:rsidP="0097207F">
      <w:pPr>
        <w:rPr>
          <w:rFonts w:ascii="Arial" w:hAnsi="Arial" w:cs="Arial"/>
          <w:sz w:val="24"/>
          <w:szCs w:val="24"/>
        </w:rPr>
      </w:pPr>
      <w:r w:rsidRPr="007E077A">
        <w:rPr>
          <w:rFonts w:ascii="Arial" w:hAnsi="Arial" w:cs="Arial"/>
          <w:sz w:val="24"/>
          <w:szCs w:val="24"/>
        </w:rPr>
        <w:t>20 minutes x 2975 total emails = 59500 min/60 min = 991.67 hours total</w:t>
      </w:r>
    </w:p>
    <w:p w:rsidR="0097207F" w:rsidRPr="007E077A" w:rsidRDefault="0097207F" w:rsidP="0097207F">
      <w:pPr>
        <w:rPr>
          <w:rFonts w:ascii="Arial" w:hAnsi="Arial" w:cs="Arial"/>
          <w:b/>
          <w:sz w:val="24"/>
          <w:szCs w:val="24"/>
        </w:rPr>
      </w:pPr>
      <w:r w:rsidRPr="007E077A">
        <w:rPr>
          <w:rFonts w:ascii="Arial" w:hAnsi="Arial" w:cs="Arial"/>
          <w:b/>
          <w:sz w:val="24"/>
          <w:szCs w:val="24"/>
        </w:rPr>
        <w:t>One contractor with annual salary of $82,495 or $42.96 (hourly) processes and performs record keeping and third party disclosure.</w:t>
      </w:r>
    </w:p>
    <w:p w:rsidR="0097207F" w:rsidRPr="007E077A" w:rsidRDefault="0097207F" w:rsidP="0097207F">
      <w:pPr>
        <w:rPr>
          <w:rFonts w:ascii="Arial" w:hAnsi="Arial" w:cs="Arial"/>
          <w:sz w:val="24"/>
          <w:szCs w:val="24"/>
        </w:rPr>
      </w:pPr>
      <w:r w:rsidRPr="007E077A">
        <w:rPr>
          <w:rFonts w:ascii="Arial" w:hAnsi="Arial" w:cs="Arial"/>
          <w:sz w:val="24"/>
          <w:szCs w:val="24"/>
        </w:rPr>
        <w:t xml:space="preserve">We estimate that the required time for receipt and finalization of documents to be 15 minutes maximum.  Anticipate an average of 2,975 reports per year.  </w:t>
      </w:r>
    </w:p>
    <w:p w:rsidR="005E6107" w:rsidRPr="002A681A" w:rsidRDefault="0097207F" w:rsidP="005E6107">
      <w:pPr>
        <w:rPr>
          <w:rFonts w:ascii="Arial" w:eastAsia="Times New Roman" w:hAnsi="Arial" w:cs="Arial"/>
          <w:b/>
          <w:color w:val="000000"/>
          <w:sz w:val="24"/>
          <w:szCs w:val="24"/>
        </w:rPr>
      </w:pPr>
      <w:r w:rsidRPr="002A681A">
        <w:rPr>
          <w:rFonts w:ascii="Arial" w:hAnsi="Arial" w:cs="Arial"/>
          <w:b/>
          <w:sz w:val="24"/>
          <w:szCs w:val="24"/>
        </w:rPr>
        <w:t>The estimated annualized cost</w:t>
      </w:r>
      <w:r w:rsidR="005E6107" w:rsidRPr="002A681A">
        <w:rPr>
          <w:rFonts w:ascii="Arial" w:hAnsi="Arial" w:cs="Arial"/>
          <w:b/>
          <w:sz w:val="24"/>
          <w:szCs w:val="24"/>
        </w:rPr>
        <w:t xml:space="preserve"> to the Federal Government is $</w:t>
      </w:r>
      <w:r w:rsidR="005E6107" w:rsidRPr="002A681A">
        <w:rPr>
          <w:rFonts w:ascii="Arial" w:eastAsia="Times New Roman" w:hAnsi="Arial" w:cs="Arial"/>
          <w:b/>
          <w:color w:val="000000"/>
          <w:sz w:val="24"/>
          <w:szCs w:val="24"/>
        </w:rPr>
        <w:t>85,184.45</w:t>
      </w:r>
    </w:p>
    <w:p w:rsidR="0097207F" w:rsidRPr="002A681A" w:rsidRDefault="0091217E" w:rsidP="00095DCB">
      <w:pPr>
        <w:rPr>
          <w:rFonts w:ascii="Arial" w:hAnsi="Arial" w:cs="Arial"/>
          <w:b/>
          <w:sz w:val="24"/>
          <w:szCs w:val="24"/>
        </w:rPr>
      </w:pPr>
      <w:r w:rsidRPr="002A681A">
        <w:rPr>
          <w:rFonts w:ascii="Arial" w:hAnsi="Arial" w:cs="Arial"/>
          <w:b/>
          <w:sz w:val="24"/>
          <w:szCs w:val="24"/>
        </w:rPr>
        <w:t xml:space="preserve"> per year at $</w:t>
      </w:r>
      <w:r w:rsidR="005E6107" w:rsidRPr="002A681A">
        <w:rPr>
          <w:rFonts w:ascii="Arial" w:eastAsia="Times New Roman" w:hAnsi="Arial" w:cs="Arial"/>
          <w:b/>
          <w:sz w:val="24"/>
          <w:szCs w:val="24"/>
        </w:rPr>
        <w:t xml:space="preserve">85.92 </w:t>
      </w:r>
      <w:r w:rsidRPr="002A681A">
        <w:rPr>
          <w:rFonts w:ascii="Arial" w:hAnsi="Arial" w:cs="Arial"/>
          <w:b/>
          <w:sz w:val="24"/>
          <w:szCs w:val="24"/>
        </w:rPr>
        <w:t>per hour, times 991.67</w:t>
      </w:r>
      <w:r w:rsidR="0097207F" w:rsidRPr="002A681A">
        <w:rPr>
          <w:rFonts w:ascii="Arial" w:hAnsi="Arial" w:cs="Arial"/>
          <w:b/>
          <w:sz w:val="24"/>
          <w:szCs w:val="24"/>
        </w:rPr>
        <w:t xml:space="preserve"> hours. </w:t>
      </w:r>
    </w:p>
    <w:p w:rsidR="005E6107" w:rsidRPr="007E077A" w:rsidRDefault="005E6107" w:rsidP="005E6107">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Labor rate x 2 (HHS fringe multiplier) = annual labor burden rate (record keepers)</w:t>
      </w:r>
    </w:p>
    <w:p w:rsidR="005E6107" w:rsidRPr="007E077A" w:rsidRDefault="005E6107" w:rsidP="005E6107">
      <w:pPr>
        <w:spacing w:line="480" w:lineRule="auto"/>
        <w:rPr>
          <w:rFonts w:ascii="Arial" w:eastAsia="Times New Roman" w:hAnsi="Arial" w:cs="Arial"/>
          <w:sz w:val="24"/>
          <w:szCs w:val="24"/>
        </w:rPr>
      </w:pPr>
      <w:r w:rsidRPr="007E077A">
        <w:rPr>
          <w:rFonts w:ascii="Arial" w:eastAsia="Times New Roman" w:hAnsi="Arial" w:cs="Arial"/>
          <w:sz w:val="24"/>
          <w:szCs w:val="24"/>
        </w:rPr>
        <w:t>42.96 x 2 = 85.92</w:t>
      </w:r>
      <w:r w:rsidR="007E077A">
        <w:rPr>
          <w:rFonts w:ascii="Arial" w:eastAsia="Times New Roman" w:hAnsi="Arial" w:cs="Arial"/>
          <w:sz w:val="24"/>
          <w:szCs w:val="24"/>
        </w:rPr>
        <w:t>. We</w:t>
      </w:r>
      <w:r w:rsidRPr="007E077A">
        <w:rPr>
          <w:rFonts w:ascii="Arial" w:eastAsia="Times New Roman" w:hAnsi="Arial" w:cs="Arial"/>
          <w:sz w:val="24"/>
          <w:szCs w:val="24"/>
        </w:rPr>
        <w:t xml:space="preserve"> multiplied the hourly wage rate by 2 to account for a fringe benefits rate of 69 percent</w:t>
      </w:r>
      <w:r w:rsidRPr="007E077A">
        <w:rPr>
          <w:rStyle w:val="FootnoteReference"/>
          <w:rFonts w:ascii="Arial" w:eastAsia="Times New Roman" w:hAnsi="Arial" w:cs="Arial"/>
          <w:sz w:val="24"/>
          <w:szCs w:val="24"/>
        </w:rPr>
        <w:footnoteReference w:id="1"/>
      </w:r>
      <w:r w:rsidRPr="007E077A">
        <w:rPr>
          <w:rFonts w:ascii="Arial" w:eastAsia="Times New Roman" w:hAnsi="Arial" w:cs="Arial"/>
          <w:sz w:val="24"/>
          <w:szCs w:val="24"/>
        </w:rPr>
        <w:t xml:space="preserve"> and an overhead rate of 31 percent.</w:t>
      </w:r>
      <w:r w:rsidRPr="007E077A">
        <w:rPr>
          <w:rStyle w:val="FootnoteReference"/>
          <w:rFonts w:ascii="Arial" w:eastAsia="Times New Roman" w:hAnsi="Arial" w:cs="Arial"/>
          <w:sz w:val="24"/>
          <w:szCs w:val="24"/>
        </w:rPr>
        <w:footnoteReference w:id="2"/>
      </w:r>
      <w:r w:rsidRPr="007E077A">
        <w:rPr>
          <w:rFonts w:ascii="Arial" w:eastAsia="Times New Roman" w:hAnsi="Arial" w:cs="Arial"/>
          <w:sz w:val="24"/>
          <w:szCs w:val="24"/>
        </w:rPr>
        <w:t xml:space="preserve"> </w:t>
      </w:r>
    </w:p>
    <w:p w:rsidR="0097207F" w:rsidRPr="007E077A" w:rsidRDefault="0097207F" w:rsidP="0097207F">
      <w:pPr>
        <w:rPr>
          <w:rFonts w:ascii="Arial" w:hAnsi="Arial" w:cs="Arial"/>
          <w:b/>
          <w:sz w:val="24"/>
          <w:szCs w:val="24"/>
        </w:rPr>
      </w:pPr>
      <w:r w:rsidRPr="007E077A">
        <w:rPr>
          <w:rFonts w:ascii="Arial" w:hAnsi="Arial" w:cs="Arial"/>
          <w:sz w:val="24"/>
          <w:szCs w:val="24"/>
        </w:rPr>
        <w:t xml:space="preserve">15.  </w:t>
      </w:r>
      <w:r w:rsidRPr="007E077A">
        <w:rPr>
          <w:rFonts w:ascii="Arial" w:hAnsi="Arial" w:cs="Arial"/>
          <w:b/>
          <w:sz w:val="24"/>
          <w:szCs w:val="24"/>
        </w:rPr>
        <w:t>Explain the reasons for any program changes or adjustments.</w:t>
      </w:r>
    </w:p>
    <w:p w:rsidR="0097207F" w:rsidRPr="007E077A" w:rsidRDefault="0097207F" w:rsidP="0097207F">
      <w:pPr>
        <w:rPr>
          <w:rFonts w:ascii="Arial" w:hAnsi="Arial" w:cs="Arial"/>
          <w:sz w:val="24"/>
          <w:szCs w:val="24"/>
        </w:rPr>
      </w:pPr>
      <w:r w:rsidRPr="007E077A">
        <w:rPr>
          <w:rFonts w:ascii="Arial" w:hAnsi="Arial" w:cs="Arial"/>
          <w:sz w:val="24"/>
          <w:szCs w:val="24"/>
        </w:rPr>
        <w:t>There has been an increase in the responses received.  This could be for several reasons to include:  more outreach (public announcements/news reports), education and as a result more participation from pilots in reporting the laser events.</w:t>
      </w:r>
    </w:p>
    <w:p w:rsidR="0097207F" w:rsidRPr="007E077A" w:rsidRDefault="0097207F" w:rsidP="0097207F">
      <w:pPr>
        <w:rPr>
          <w:rFonts w:ascii="Arial" w:hAnsi="Arial" w:cs="Arial"/>
          <w:sz w:val="24"/>
          <w:szCs w:val="24"/>
        </w:rPr>
      </w:pPr>
    </w:p>
    <w:p w:rsidR="007E077A" w:rsidRPr="007E077A" w:rsidRDefault="007E077A" w:rsidP="007E077A">
      <w:pPr>
        <w:rPr>
          <w:rFonts w:ascii="Arial" w:hAnsi="Arial" w:cs="Arial"/>
          <w:sz w:val="24"/>
          <w:szCs w:val="24"/>
        </w:rPr>
      </w:pPr>
      <w:r w:rsidRPr="007E077A">
        <w:rPr>
          <w:rFonts w:ascii="Arial" w:hAnsi="Arial" w:cs="Arial"/>
          <w:b/>
          <w:sz w:val="24"/>
          <w:szCs w:val="24"/>
        </w:rPr>
        <w:t>16.</w:t>
      </w:r>
      <w:r w:rsidRPr="007E077A">
        <w:rPr>
          <w:rFonts w:ascii="Arial" w:hAnsi="Arial" w:cs="Arial"/>
          <w:b/>
          <w:sz w:val="24"/>
          <w:szCs w:val="24"/>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E077A">
        <w:rPr>
          <w:rFonts w:ascii="Arial" w:hAnsi="Arial" w:cs="Arial"/>
          <w:sz w:val="24"/>
          <w:szCs w:val="24"/>
        </w:rPr>
        <w:t>.</w:t>
      </w:r>
    </w:p>
    <w:p w:rsidR="007E077A" w:rsidRPr="007E077A" w:rsidRDefault="007E077A" w:rsidP="007E077A">
      <w:pPr>
        <w:jc w:val="right"/>
        <w:rPr>
          <w:rFonts w:ascii="Arial" w:hAnsi="Arial" w:cs="Arial"/>
          <w:sz w:val="24"/>
          <w:szCs w:val="24"/>
        </w:rPr>
      </w:pPr>
    </w:p>
    <w:p w:rsidR="007E077A" w:rsidRPr="007E077A" w:rsidRDefault="007E077A" w:rsidP="007E077A">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The report is published on the FAA laser website.</w:t>
      </w:r>
    </w:p>
    <w:p w:rsidR="007E077A" w:rsidRPr="007E077A" w:rsidRDefault="007E077A" w:rsidP="007E077A">
      <w:pPr>
        <w:rPr>
          <w:rFonts w:ascii="Arial" w:hAnsi="Arial" w:cs="Arial"/>
          <w:sz w:val="24"/>
          <w:szCs w:val="24"/>
        </w:rPr>
      </w:pPr>
    </w:p>
    <w:p w:rsidR="007E077A" w:rsidRPr="007E077A" w:rsidRDefault="007E077A" w:rsidP="007E077A">
      <w:pPr>
        <w:rPr>
          <w:rFonts w:ascii="Arial" w:hAnsi="Arial" w:cs="Arial"/>
          <w:b/>
          <w:sz w:val="24"/>
          <w:szCs w:val="24"/>
        </w:rPr>
      </w:pPr>
      <w:r w:rsidRPr="007E077A">
        <w:rPr>
          <w:rFonts w:ascii="Arial" w:hAnsi="Arial" w:cs="Arial"/>
          <w:b/>
          <w:sz w:val="24"/>
          <w:szCs w:val="24"/>
        </w:rPr>
        <w:t>17.</w:t>
      </w:r>
      <w:r w:rsidRPr="007E077A">
        <w:rPr>
          <w:rFonts w:ascii="Arial" w:hAnsi="Arial" w:cs="Arial"/>
          <w:b/>
          <w:sz w:val="24"/>
          <w:szCs w:val="24"/>
        </w:rPr>
        <w:tab/>
        <w:t>If seeking approval to not display the expiration date for OMB approval of the information collection, explain the reasons that display would be inappropriate.</w:t>
      </w:r>
    </w:p>
    <w:p w:rsidR="007E077A" w:rsidRPr="007E077A" w:rsidRDefault="007E077A" w:rsidP="007E077A">
      <w:pPr>
        <w:rPr>
          <w:rFonts w:ascii="Arial" w:hAnsi="Arial" w:cs="Arial"/>
          <w:b/>
          <w:sz w:val="24"/>
          <w:szCs w:val="24"/>
        </w:rPr>
      </w:pPr>
    </w:p>
    <w:p w:rsidR="007E077A" w:rsidRPr="007E077A" w:rsidRDefault="007E077A" w:rsidP="007E077A">
      <w:pPr>
        <w:rPr>
          <w:rFonts w:ascii="Arial" w:hAnsi="Arial" w:cs="Arial"/>
          <w:sz w:val="24"/>
          <w:szCs w:val="24"/>
        </w:rPr>
      </w:pPr>
      <w:r w:rsidRPr="007E077A">
        <w:rPr>
          <w:rFonts w:ascii="Arial" w:hAnsi="Arial" w:cs="Arial"/>
          <w:sz w:val="24"/>
          <w:szCs w:val="24"/>
        </w:rPr>
        <w:t>We are not seeking approval.</w:t>
      </w:r>
    </w:p>
    <w:p w:rsidR="007E077A" w:rsidRPr="007E077A" w:rsidRDefault="007E077A" w:rsidP="007E077A">
      <w:pPr>
        <w:rPr>
          <w:rFonts w:ascii="Arial" w:hAnsi="Arial" w:cs="Arial"/>
          <w:b/>
          <w:sz w:val="24"/>
          <w:szCs w:val="24"/>
        </w:rPr>
      </w:pPr>
      <w:r w:rsidRPr="007E077A">
        <w:rPr>
          <w:rFonts w:ascii="Arial" w:hAnsi="Arial" w:cs="Arial"/>
          <w:b/>
          <w:sz w:val="24"/>
          <w:szCs w:val="24"/>
        </w:rPr>
        <w:t>18.</w:t>
      </w:r>
      <w:r w:rsidRPr="007E077A">
        <w:rPr>
          <w:rFonts w:ascii="Arial" w:hAnsi="Arial" w:cs="Arial"/>
          <w:b/>
          <w:sz w:val="24"/>
          <w:szCs w:val="24"/>
        </w:rPr>
        <w:tab/>
        <w:t>Explain each exception to the certification statement identified in Item 19, "Certification for Paperwork Reduction Act Submissions," of OMB Form 83-I.</w:t>
      </w:r>
    </w:p>
    <w:p w:rsidR="007E077A" w:rsidRDefault="007E077A" w:rsidP="007E077A">
      <w:pPr>
        <w:rPr>
          <w:rFonts w:ascii="Times New Roman" w:hAnsi="Times New Roman"/>
          <w:b/>
        </w:rPr>
      </w:pPr>
    </w:p>
    <w:p w:rsidR="007E077A" w:rsidRDefault="007E077A" w:rsidP="007E077A">
      <w:pPr>
        <w:rPr>
          <w:rFonts w:ascii="Times New Roman" w:hAnsi="Times New Roman"/>
        </w:rPr>
      </w:pPr>
      <w:r>
        <w:rPr>
          <w:rFonts w:ascii="Times New Roman" w:hAnsi="Times New Roman"/>
        </w:rPr>
        <w:t>There are no exceptions.</w:t>
      </w:r>
    </w:p>
    <w:p w:rsidR="0097207F" w:rsidRDefault="0097207F" w:rsidP="0097207F">
      <w:pPr>
        <w:rPr>
          <w:rFonts w:ascii="Arial" w:hAnsi="Arial" w:cs="Arial"/>
          <w:szCs w:val="24"/>
          <w:highlight w:val="yellow"/>
        </w:rPr>
      </w:pPr>
    </w:p>
    <w:sectPr w:rsidR="00972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07" w:rsidRDefault="005E6107" w:rsidP="005E6107">
      <w:pPr>
        <w:spacing w:after="0" w:line="240" w:lineRule="auto"/>
      </w:pPr>
      <w:r>
        <w:separator/>
      </w:r>
    </w:p>
  </w:endnote>
  <w:endnote w:type="continuationSeparator" w:id="0">
    <w:p w:rsidR="005E6107" w:rsidRDefault="005E6107" w:rsidP="005E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07" w:rsidRDefault="005E6107" w:rsidP="005E6107">
      <w:pPr>
        <w:spacing w:after="0" w:line="240" w:lineRule="auto"/>
      </w:pPr>
      <w:r>
        <w:separator/>
      </w:r>
    </w:p>
  </w:footnote>
  <w:footnote w:type="continuationSeparator" w:id="0">
    <w:p w:rsidR="005E6107" w:rsidRDefault="005E6107" w:rsidP="005E6107">
      <w:pPr>
        <w:spacing w:after="0" w:line="240" w:lineRule="auto"/>
      </w:pPr>
      <w:r>
        <w:continuationSeparator/>
      </w:r>
    </w:p>
  </w:footnote>
  <w:footnote w:id="1">
    <w:p w:rsidR="005E6107" w:rsidRDefault="005E6107" w:rsidP="005E6107">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1"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2">
    <w:p w:rsidR="005E6107" w:rsidRDefault="005E6107" w:rsidP="005E6107">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2"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65B6"/>
    <w:multiLevelType w:val="hybridMultilevel"/>
    <w:tmpl w:val="A3C0A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7F"/>
    <w:rsid w:val="00057BF1"/>
    <w:rsid w:val="00075892"/>
    <w:rsid w:val="00095DCB"/>
    <w:rsid w:val="001241A1"/>
    <w:rsid w:val="001A0948"/>
    <w:rsid w:val="001E24FA"/>
    <w:rsid w:val="002A681A"/>
    <w:rsid w:val="00414897"/>
    <w:rsid w:val="00435CBD"/>
    <w:rsid w:val="004439BB"/>
    <w:rsid w:val="005E6107"/>
    <w:rsid w:val="005F1561"/>
    <w:rsid w:val="00744A9B"/>
    <w:rsid w:val="007E077A"/>
    <w:rsid w:val="008D2015"/>
    <w:rsid w:val="0091217E"/>
    <w:rsid w:val="00932BA4"/>
    <w:rsid w:val="0097207F"/>
    <w:rsid w:val="00992CB0"/>
    <w:rsid w:val="00A43D5B"/>
    <w:rsid w:val="00BD6E75"/>
    <w:rsid w:val="00BF60D0"/>
    <w:rsid w:val="00CB4AE7"/>
    <w:rsid w:val="00CC123D"/>
    <w:rsid w:val="00D04F10"/>
    <w:rsid w:val="00DC6B73"/>
    <w:rsid w:val="00DD3C79"/>
    <w:rsid w:val="00E23211"/>
    <w:rsid w:val="00E449F2"/>
    <w:rsid w:val="00F03C8D"/>
    <w:rsid w:val="00F54FDD"/>
    <w:rsid w:val="00FF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B73"/>
    <w:pPr>
      <w:ind w:left="720"/>
      <w:contextualSpacing/>
    </w:pPr>
  </w:style>
  <w:style w:type="character" w:styleId="Hyperlink">
    <w:name w:val="Hyperlink"/>
    <w:basedOn w:val="DefaultParagraphFont"/>
    <w:uiPriority w:val="99"/>
    <w:semiHidden/>
    <w:unhideWhenUsed/>
    <w:rsid w:val="005E6107"/>
    <w:rPr>
      <w:color w:val="0563C1"/>
      <w:u w:val="single"/>
    </w:rPr>
  </w:style>
  <w:style w:type="paragraph" w:styleId="FootnoteText">
    <w:name w:val="footnote text"/>
    <w:aliases w:val="*Footnote Text"/>
    <w:basedOn w:val="Normal"/>
    <w:link w:val="FootnoteTextChar"/>
    <w:uiPriority w:val="99"/>
    <w:unhideWhenUsed/>
    <w:qFormat/>
    <w:rsid w:val="005E6107"/>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5E6107"/>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5E61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B73"/>
    <w:pPr>
      <w:ind w:left="720"/>
      <w:contextualSpacing/>
    </w:pPr>
  </w:style>
  <w:style w:type="character" w:styleId="Hyperlink">
    <w:name w:val="Hyperlink"/>
    <w:basedOn w:val="DefaultParagraphFont"/>
    <w:uiPriority w:val="99"/>
    <w:semiHidden/>
    <w:unhideWhenUsed/>
    <w:rsid w:val="005E6107"/>
    <w:rPr>
      <w:color w:val="0563C1"/>
      <w:u w:val="single"/>
    </w:rPr>
  </w:style>
  <w:style w:type="paragraph" w:styleId="FootnoteText">
    <w:name w:val="footnote text"/>
    <w:aliases w:val="*Footnote Text"/>
    <w:basedOn w:val="Normal"/>
    <w:link w:val="FootnoteTextChar"/>
    <w:uiPriority w:val="99"/>
    <w:unhideWhenUsed/>
    <w:qFormat/>
    <w:rsid w:val="005E6107"/>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5E6107"/>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5E6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6220">
      <w:bodyDiv w:val="1"/>
      <w:marLeft w:val="0"/>
      <w:marRight w:val="0"/>
      <w:marTop w:val="0"/>
      <w:marBottom w:val="0"/>
      <w:divBdr>
        <w:top w:val="none" w:sz="0" w:space="0" w:color="auto"/>
        <w:left w:val="none" w:sz="0" w:space="0" w:color="auto"/>
        <w:bottom w:val="none" w:sz="0" w:space="0" w:color="auto"/>
        <w:right w:val="none" w:sz="0" w:space="0" w:color="auto"/>
      </w:divBdr>
    </w:div>
    <w:div w:id="18175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system/files/pdf/242926/HHS_RIAGuidance.pdf" TargetMode="External"/><Relationship Id="rId1" Type="http://schemas.openxmlformats.org/officeDocument/2006/relationships/hyperlink" Target="https://www.cbo.gov/publication/52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Zora (FAA)</dc:creator>
  <cp:keywords/>
  <dc:description/>
  <cp:lastModifiedBy>SYSTEM</cp:lastModifiedBy>
  <cp:revision>2</cp:revision>
  <dcterms:created xsi:type="dcterms:W3CDTF">2019-09-25T15:56:00Z</dcterms:created>
  <dcterms:modified xsi:type="dcterms:W3CDTF">2019-09-25T15:56:00Z</dcterms:modified>
</cp:coreProperties>
</file>