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7BA5616C" w14:textId="77777777" w:rsidR="00D001E4" w:rsidRDefault="00711414">
          <w:pPr>
            <w:rPr>
              <w:noProof/>
            </w:rPr>
          </w:pPr>
          <w:r>
            <w:rPr>
              <w:noProof/>
            </w:rPr>
            <mc:AlternateContent>
              <mc:Choice Requires="wps">
                <w:drawing>
                  <wp:anchor distT="0" distB="0" distL="114300" distR="114300" simplePos="0" relativeHeight="251658242" behindDoc="1" locked="0" layoutInCell="1" allowOverlap="1" wp14:anchorId="66EF9970" wp14:editId="10DE51E8">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F961CD"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anchorId="3BF8DA31" wp14:editId="54D76A62">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anchorId="6719109C" wp14:editId="479F16CD">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5A66D6"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12976A1E" w14:textId="77777777" w:rsidR="00041909" w:rsidRDefault="001F3A8F" w:rsidP="00D928FD">
          <w:pPr>
            <w:ind w:left="1080"/>
          </w:pPr>
          <w:r>
            <w:rPr>
              <w:noProof/>
            </w:rPr>
            <w:softHyphen/>
          </w:r>
          <w:r>
            <w:rPr>
              <w:noProof/>
            </w:rPr>
            <w:softHyphen/>
          </w:r>
          <w:r>
            <w:rPr>
              <w:noProof/>
            </w:rPr>
            <w:softHyphen/>
          </w:r>
        </w:p>
      </w:sdtContent>
    </w:sdt>
    <w:p w14:paraId="55CEBA5E"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6D08E33" w14:textId="1C7E103E" w:rsidR="00711414" w:rsidRDefault="00651045" w:rsidP="00711414">
          <w:pPr>
            <w:spacing w:line="240" w:lineRule="auto"/>
            <w:ind w:left="90"/>
            <w:rPr>
              <w:rFonts w:ascii="Times New Roman" w:hAnsi="Times New Roman" w:cs="Times New Roman"/>
              <w:color w:val="139CD8"/>
              <w:sz w:val="56"/>
              <w:szCs w:val="56"/>
            </w:rPr>
          </w:pPr>
          <w:r>
            <w:rPr>
              <w:rFonts w:ascii="Times New Roman" w:hAnsi="Times New Roman" w:cs="Times New Roman"/>
              <w:color w:val="139CD8"/>
              <w:sz w:val="56"/>
              <w:szCs w:val="52"/>
            </w:rPr>
            <w:t>Supporting Statement for Annual Survey of Alternative Fueled Vehicles</w:t>
          </w:r>
        </w:p>
      </w:sdtContent>
    </w:sdt>
    <w:p w14:paraId="39EC2381" w14:textId="77777777" w:rsidR="0059212D" w:rsidRPr="00EE2CAF" w:rsidRDefault="00EE2CAF" w:rsidP="00EE2CAF">
      <w:pPr>
        <w:pStyle w:val="Heading1"/>
      </w:pPr>
      <w:bookmarkStart w:id="1" w:name="_Toc492544306"/>
      <w:r w:rsidRPr="00EE2CAF">
        <w:t>Part A: Justification</w:t>
      </w:r>
      <w:bookmarkEnd w:id="1"/>
    </w:p>
    <w:p w14:paraId="331AD1C6" w14:textId="18DE9D9A" w:rsidR="00711414" w:rsidRPr="0020499E" w:rsidRDefault="0059212D">
      <w:pPr>
        <w:rPr>
          <w:b/>
          <w:bCs/>
          <w:sz w:val="36"/>
          <w:szCs w:val="36"/>
        </w:rPr>
      </w:pPr>
      <w:r>
        <w:rPr>
          <w:noProof/>
        </w:rPr>
        <mc:AlternateContent>
          <mc:Choice Requires="wps">
            <w:drawing>
              <wp:anchor distT="0" distB="0" distL="114300" distR="114300" simplePos="0" relativeHeight="251658249" behindDoc="0" locked="0" layoutInCell="1" allowOverlap="1" wp14:anchorId="3D3A800E" wp14:editId="7D09AEED">
                <wp:simplePos x="0" y="0"/>
                <wp:positionH relativeFrom="margin">
                  <wp:align>left</wp:align>
                </wp:positionH>
                <wp:positionV relativeFrom="margin">
                  <wp:posOffset>2959127</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874FB" w14:textId="258AC08E" w:rsidR="008C06E6" w:rsidRPr="0059212D" w:rsidRDefault="008C06E6" w:rsidP="00FB6BF3">
                            <w:pPr>
                              <w:rPr>
                                <w:i/>
                                <w:sz w:val="28"/>
                                <w:szCs w:val="28"/>
                              </w:rPr>
                            </w:pPr>
                            <w:r w:rsidRPr="00F84240">
                              <w:rPr>
                                <w:sz w:val="28"/>
                                <w:szCs w:val="28"/>
                              </w:rPr>
                              <w:t>Form EIA-886</w:t>
                            </w:r>
                            <w:r w:rsidRPr="0059212D">
                              <w:rPr>
                                <w:i/>
                                <w:sz w:val="28"/>
                                <w:szCs w:val="28"/>
                              </w:rPr>
                              <w:t xml:space="preserve"> </w:t>
                            </w:r>
                            <w:r>
                              <w:rPr>
                                <w:i/>
                                <w:sz w:val="28"/>
                                <w:szCs w:val="28"/>
                              </w:rPr>
                              <w:t xml:space="preserve">Annual Survey of Alternative Fueled Vehicles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3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" filled="f" stroked="f">
                <v:textbox inset="0">
                  <w:txbxContent>
                    <w:p w14:paraId="5CF874FB" w14:textId="258AC08E" w:rsidR="008C06E6" w:rsidRPr="0059212D" w:rsidRDefault="008C06E6" w:rsidP="00FB6BF3">
                      <w:pPr>
                        <w:rPr>
                          <w:i/>
                          <w:sz w:val="28"/>
                          <w:szCs w:val="28"/>
                        </w:rPr>
                      </w:pPr>
                      <w:r w:rsidRPr="00F84240">
                        <w:rPr>
                          <w:sz w:val="28"/>
                          <w:szCs w:val="28"/>
                        </w:rPr>
                        <w:t>Form EIA-886</w:t>
                      </w:r>
                      <w:r w:rsidRPr="0059212D">
                        <w:rPr>
                          <w:i/>
                          <w:sz w:val="28"/>
                          <w:szCs w:val="28"/>
                        </w:rPr>
                        <w:t xml:space="preserve"> </w:t>
                      </w:r>
                      <w:r>
                        <w:rPr>
                          <w:i/>
                          <w:sz w:val="28"/>
                          <w:szCs w:val="28"/>
                        </w:rPr>
                        <w:t xml:space="preserve">Annual Survey of Alternative Fueled Vehicles </w:t>
                      </w:r>
                    </w:p>
                  </w:txbxContent>
                </v:textbox>
                <w10:wrap type="square" anchorx="margin" anchory="margin"/>
              </v:shape>
            </w:pict>
          </mc:Fallback>
        </mc:AlternateContent>
      </w:r>
      <w:r w:rsidR="00711414" w:rsidRPr="001608F6">
        <w:rPr>
          <w:rFonts w:ascii="Times New Roman" w:hAnsi="Times New Roman" w:cs="Times New Roman"/>
          <w:b/>
          <w:bCs/>
          <w:sz w:val="36"/>
          <w:szCs w:val="36"/>
        </w:rPr>
        <w:t>OMB No. 1905-0</w:t>
      </w:r>
      <w:r w:rsidR="000A06C7" w:rsidRPr="001608F6">
        <w:rPr>
          <w:rFonts w:ascii="Times New Roman" w:hAnsi="Times New Roman" w:cs="Times New Roman"/>
          <w:b/>
          <w:bCs/>
          <w:sz w:val="36"/>
          <w:szCs w:val="36"/>
        </w:rPr>
        <w:t>191</w:t>
      </w:r>
    </w:p>
    <w:p w14:paraId="26EE5E77" w14:textId="77777777" w:rsidR="001F3A8F" w:rsidRPr="00711414" w:rsidRDefault="00EE2CAF" w:rsidP="00711414">
      <w:pPr>
        <w:rPr>
          <w:i/>
          <w:sz w:val="28"/>
          <w:szCs w:val="28"/>
        </w:rPr>
      </w:pPr>
      <w:r>
        <w:rPr>
          <w:noProof/>
        </w:rPr>
        <w:lastRenderedPageBreak/>
        <mc:AlternateContent>
          <mc:Choice Requires="wps">
            <w:drawing>
              <wp:anchor distT="0" distB="0" distL="114300" distR="114300" simplePos="0" relativeHeight="251658245" behindDoc="0" locked="0" layoutInCell="1" allowOverlap="1" wp14:anchorId="675B2969" wp14:editId="2F50912A">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6430" w14:textId="40DD7DBB" w:rsidR="008C06E6" w:rsidRPr="009818F9" w:rsidRDefault="000F1C69">
                            <w:pPr>
                              <w:rPr>
                                <w:color w:val="A6A6A6" w:themeColor="background1" w:themeShade="A6"/>
                                <w:sz w:val="36"/>
                              </w:rPr>
                            </w:pPr>
                            <w:r>
                              <w:rPr>
                                <w:color w:val="A6A6A6" w:themeColor="background1" w:themeShade="A6"/>
                                <w:sz w:val="36"/>
                              </w:rPr>
                              <w:t>November</w:t>
                            </w:r>
                            <w:r w:rsidR="008C06E6">
                              <w:rPr>
                                <w:color w:val="A6A6A6" w:themeColor="background1" w:themeShade="A6"/>
                                <w:sz w:val="36"/>
                              </w:rPr>
                              <w:t xml:space="preserve">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75C66430" w14:textId="40DD7DBB" w:rsidR="008C06E6" w:rsidRPr="009818F9" w:rsidRDefault="000F1C69">
                      <w:pPr>
                        <w:rPr>
                          <w:color w:val="A6A6A6" w:themeColor="background1" w:themeShade="A6"/>
                          <w:sz w:val="36"/>
                        </w:rPr>
                      </w:pPr>
                      <w:r>
                        <w:rPr>
                          <w:color w:val="A6A6A6" w:themeColor="background1" w:themeShade="A6"/>
                          <w:sz w:val="36"/>
                        </w:rPr>
                        <w:t>November</w:t>
                      </w:r>
                      <w:r w:rsidR="008C06E6">
                        <w:rPr>
                          <w:color w:val="A6A6A6" w:themeColor="background1" w:themeShade="A6"/>
                          <w:sz w:val="36"/>
                        </w:rPr>
                        <w:t xml:space="preserve"> 2018</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anchorId="40DDC0F0" wp14:editId="163F98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122CBB" id="Rectangle 34" o:spid="_x0000_s1026"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anchorId="20C53E8B" wp14:editId="49FD1FA8">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E921" w14:textId="77777777" w:rsidR="008C06E6" w:rsidRPr="00AA3D91" w:rsidRDefault="008C06E6"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7E7EE921" w14:textId="77777777" w:rsidR="008C06E6" w:rsidRPr="00AA3D91" w:rsidRDefault="008C06E6"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anchorId="0EB43C9C" wp14:editId="3385F893">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anchorId="359DF951" wp14:editId="08727112">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5660" w14:textId="77777777" w:rsidR="008C06E6" w:rsidRPr="008F4CBD" w:rsidRDefault="008C06E6"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BC6856E" w14:textId="77777777" w:rsidR="008C06E6" w:rsidRPr="008F4CBD" w:rsidRDefault="008C06E6"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76685660" w14:textId="77777777" w:rsidR="008C06E6" w:rsidRPr="008F4CBD" w:rsidRDefault="008C06E6"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1BC6856E" w14:textId="77777777" w:rsidR="008C06E6" w:rsidRPr="008F4CBD" w:rsidRDefault="008C06E6"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anchorId="29686E72" wp14:editId="2661DA04">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E7A9" w14:textId="77777777" w:rsidR="008C06E6" w:rsidRPr="008F4CBD" w:rsidRDefault="008C06E6"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DEF39F3" w14:textId="77777777" w:rsidR="008C06E6" w:rsidRPr="008F4CBD" w:rsidRDefault="008C06E6"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6827E7A9" w14:textId="77777777" w:rsidR="008C06E6" w:rsidRPr="008F4CBD" w:rsidRDefault="008C06E6"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DEF39F3" w14:textId="77777777" w:rsidR="008C06E6" w:rsidRPr="008F4CBD" w:rsidRDefault="008C06E6"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21AAC44A" w14:textId="77777777" w:rsidR="00755C3D" w:rsidRDefault="00755C3D" w:rsidP="00D928FD">
      <w:pPr>
        <w:sectPr w:rsidR="00755C3D" w:rsidSect="001F3A8F">
          <w:headerReference w:type="even" r:id="rId15"/>
          <w:headerReference w:type="default" r:id="rId16"/>
          <w:footerReference w:type="even" r:id="rId17"/>
          <w:footerReference w:type="default" r:id="rId18"/>
          <w:headerReference w:type="first" r:id="rId19"/>
          <w:footerReference w:type="first" r:id="rId2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2F39022E" w14:textId="77777777" w:rsidR="0059212D" w:rsidRDefault="0059212D">
          <w:pPr>
            <w:pStyle w:val="TOCHeading"/>
          </w:pPr>
          <w:r>
            <w:t>Table of Contents</w:t>
          </w:r>
        </w:p>
        <w:p w14:paraId="7F96EDE3" w14:textId="77777777" w:rsidR="00BB620F" w:rsidRDefault="0059212D">
          <w:pPr>
            <w:pStyle w:val="TOC1"/>
            <w:rPr>
              <w:rFonts w:eastAsiaTheme="minorEastAsia"/>
              <w:noProof/>
              <w:color w:val="auto"/>
            </w:rPr>
          </w:pPr>
          <w:r>
            <w:fldChar w:fldCharType="begin"/>
          </w:r>
          <w:r>
            <w:instrText xml:space="preserve"> TOC \o "1-3" \h \z \u </w:instrText>
          </w:r>
          <w:r>
            <w:fldChar w:fldCharType="separate"/>
          </w:r>
          <w:hyperlink w:anchor="_Toc492544306" w:history="1">
            <w:r w:rsidR="00BB620F" w:rsidRPr="00017EF7">
              <w:rPr>
                <w:rStyle w:val="Hyperlink"/>
                <w:noProof/>
              </w:rPr>
              <w:t>Part A: Justification</w:t>
            </w:r>
            <w:r w:rsidR="00BB620F">
              <w:rPr>
                <w:noProof/>
                <w:webHidden/>
              </w:rPr>
              <w:tab/>
            </w:r>
            <w:r w:rsidR="00BB620F">
              <w:rPr>
                <w:noProof/>
                <w:webHidden/>
              </w:rPr>
              <w:fldChar w:fldCharType="begin"/>
            </w:r>
            <w:r w:rsidR="00BB620F">
              <w:rPr>
                <w:noProof/>
                <w:webHidden/>
              </w:rPr>
              <w:instrText xml:space="preserve"> PAGEREF _Toc492544306 \h </w:instrText>
            </w:r>
            <w:r w:rsidR="00BB620F">
              <w:rPr>
                <w:noProof/>
                <w:webHidden/>
              </w:rPr>
            </w:r>
            <w:r w:rsidR="00BB620F">
              <w:rPr>
                <w:noProof/>
                <w:webHidden/>
              </w:rPr>
              <w:fldChar w:fldCharType="separate"/>
            </w:r>
            <w:r w:rsidR="00AD2CC2">
              <w:rPr>
                <w:noProof/>
                <w:webHidden/>
              </w:rPr>
              <w:t>i</w:t>
            </w:r>
            <w:r w:rsidR="00BB620F">
              <w:rPr>
                <w:noProof/>
                <w:webHidden/>
              </w:rPr>
              <w:fldChar w:fldCharType="end"/>
            </w:r>
          </w:hyperlink>
        </w:p>
        <w:p w14:paraId="5C31272F" w14:textId="014E9921" w:rsidR="00BB620F" w:rsidRDefault="00437159">
          <w:pPr>
            <w:pStyle w:val="TOC2"/>
            <w:rPr>
              <w:rFonts w:eastAsiaTheme="minorEastAsia"/>
              <w:noProof/>
              <w:color w:val="auto"/>
            </w:rPr>
          </w:pPr>
          <w:hyperlink w:anchor="_Toc492544307" w:history="1">
            <w:r w:rsidR="00BB620F" w:rsidRPr="00017EF7">
              <w:rPr>
                <w:rStyle w:val="Hyperlink"/>
                <w:noProof/>
              </w:rPr>
              <w:t>Introduction</w:t>
            </w:r>
            <w:r w:rsidR="00BB620F">
              <w:rPr>
                <w:noProof/>
                <w:webHidden/>
              </w:rPr>
              <w:tab/>
            </w:r>
            <w:r w:rsidR="00BB620F">
              <w:rPr>
                <w:noProof/>
                <w:webHidden/>
              </w:rPr>
              <w:fldChar w:fldCharType="begin"/>
            </w:r>
            <w:r w:rsidR="00BB620F">
              <w:rPr>
                <w:noProof/>
                <w:webHidden/>
              </w:rPr>
              <w:instrText xml:space="preserve"> PAGEREF _Toc492544307 \h </w:instrText>
            </w:r>
            <w:r w:rsidR="00BB620F">
              <w:rPr>
                <w:noProof/>
                <w:webHidden/>
              </w:rPr>
            </w:r>
            <w:r w:rsidR="00BB620F">
              <w:rPr>
                <w:noProof/>
                <w:webHidden/>
              </w:rPr>
              <w:fldChar w:fldCharType="separate"/>
            </w:r>
            <w:r w:rsidR="00AD2CC2">
              <w:rPr>
                <w:noProof/>
                <w:webHidden/>
              </w:rPr>
              <w:t>2</w:t>
            </w:r>
            <w:r w:rsidR="00BB620F">
              <w:rPr>
                <w:noProof/>
                <w:webHidden/>
              </w:rPr>
              <w:fldChar w:fldCharType="end"/>
            </w:r>
          </w:hyperlink>
        </w:p>
        <w:p w14:paraId="64B90A84" w14:textId="3F552F4D" w:rsidR="00BB620F" w:rsidRDefault="00437159">
          <w:pPr>
            <w:pStyle w:val="TOC2"/>
            <w:rPr>
              <w:rFonts w:eastAsiaTheme="minorEastAsia"/>
              <w:noProof/>
              <w:color w:val="auto"/>
            </w:rPr>
          </w:pPr>
          <w:hyperlink w:anchor="_Toc492544308" w:history="1">
            <w:r w:rsidR="00BB620F" w:rsidRPr="00017EF7">
              <w:rPr>
                <w:rStyle w:val="Hyperlink"/>
                <w:noProof/>
              </w:rPr>
              <w:t>A.1. Legal Justification</w:t>
            </w:r>
            <w:r w:rsidR="00BB620F">
              <w:rPr>
                <w:noProof/>
                <w:webHidden/>
              </w:rPr>
              <w:tab/>
            </w:r>
            <w:r w:rsidR="00BB620F">
              <w:rPr>
                <w:noProof/>
                <w:webHidden/>
              </w:rPr>
              <w:fldChar w:fldCharType="begin"/>
            </w:r>
            <w:r w:rsidR="00BB620F">
              <w:rPr>
                <w:noProof/>
                <w:webHidden/>
              </w:rPr>
              <w:instrText xml:space="preserve"> PAGEREF _Toc492544308 \h </w:instrText>
            </w:r>
            <w:r w:rsidR="00BB620F">
              <w:rPr>
                <w:noProof/>
                <w:webHidden/>
              </w:rPr>
            </w:r>
            <w:r w:rsidR="00BB620F">
              <w:rPr>
                <w:noProof/>
                <w:webHidden/>
              </w:rPr>
              <w:fldChar w:fldCharType="separate"/>
            </w:r>
            <w:r w:rsidR="00AD2CC2">
              <w:rPr>
                <w:noProof/>
                <w:webHidden/>
              </w:rPr>
              <w:t>4</w:t>
            </w:r>
            <w:r w:rsidR="00BB620F">
              <w:rPr>
                <w:noProof/>
                <w:webHidden/>
              </w:rPr>
              <w:fldChar w:fldCharType="end"/>
            </w:r>
          </w:hyperlink>
        </w:p>
        <w:p w14:paraId="29D55EFE" w14:textId="42046C2C" w:rsidR="00BB620F" w:rsidRDefault="00437159">
          <w:pPr>
            <w:pStyle w:val="TOC2"/>
            <w:rPr>
              <w:rFonts w:eastAsiaTheme="minorEastAsia"/>
              <w:noProof/>
              <w:color w:val="auto"/>
            </w:rPr>
          </w:pPr>
          <w:hyperlink w:anchor="_Toc492544309" w:history="1">
            <w:r w:rsidR="00BB620F" w:rsidRPr="00017EF7">
              <w:rPr>
                <w:rStyle w:val="Hyperlink"/>
                <w:noProof/>
              </w:rPr>
              <w:t>A.2. Needs and Uses of Data</w:t>
            </w:r>
            <w:r w:rsidR="00BB620F">
              <w:rPr>
                <w:noProof/>
                <w:webHidden/>
              </w:rPr>
              <w:tab/>
            </w:r>
            <w:r w:rsidR="00BB620F">
              <w:rPr>
                <w:noProof/>
                <w:webHidden/>
              </w:rPr>
              <w:fldChar w:fldCharType="begin"/>
            </w:r>
            <w:r w:rsidR="00BB620F">
              <w:rPr>
                <w:noProof/>
                <w:webHidden/>
              </w:rPr>
              <w:instrText xml:space="preserve"> PAGEREF _Toc492544309 \h </w:instrText>
            </w:r>
            <w:r w:rsidR="00BB620F">
              <w:rPr>
                <w:noProof/>
                <w:webHidden/>
              </w:rPr>
            </w:r>
            <w:r w:rsidR="00BB620F">
              <w:rPr>
                <w:noProof/>
                <w:webHidden/>
              </w:rPr>
              <w:fldChar w:fldCharType="separate"/>
            </w:r>
            <w:r w:rsidR="00AD2CC2">
              <w:rPr>
                <w:noProof/>
                <w:webHidden/>
              </w:rPr>
              <w:t>5</w:t>
            </w:r>
            <w:r w:rsidR="00BB620F">
              <w:rPr>
                <w:noProof/>
                <w:webHidden/>
              </w:rPr>
              <w:fldChar w:fldCharType="end"/>
            </w:r>
          </w:hyperlink>
        </w:p>
        <w:p w14:paraId="79AA0578" w14:textId="3EB6B910" w:rsidR="00BB620F" w:rsidRDefault="00437159">
          <w:pPr>
            <w:pStyle w:val="TOC2"/>
            <w:rPr>
              <w:rFonts w:eastAsiaTheme="minorEastAsia"/>
              <w:noProof/>
              <w:color w:val="auto"/>
            </w:rPr>
          </w:pPr>
          <w:hyperlink w:anchor="_Toc492544310" w:history="1">
            <w:r w:rsidR="00BB620F" w:rsidRPr="00017EF7">
              <w:rPr>
                <w:rStyle w:val="Hyperlink"/>
                <w:noProof/>
              </w:rPr>
              <w:t>A.3. Use of Technology</w:t>
            </w:r>
            <w:r w:rsidR="00BB620F">
              <w:rPr>
                <w:noProof/>
                <w:webHidden/>
              </w:rPr>
              <w:tab/>
            </w:r>
            <w:r w:rsidR="00BB620F">
              <w:rPr>
                <w:noProof/>
                <w:webHidden/>
              </w:rPr>
              <w:fldChar w:fldCharType="begin"/>
            </w:r>
            <w:r w:rsidR="00BB620F">
              <w:rPr>
                <w:noProof/>
                <w:webHidden/>
              </w:rPr>
              <w:instrText xml:space="preserve"> PAGEREF _Toc492544310 \h </w:instrText>
            </w:r>
            <w:r w:rsidR="00BB620F">
              <w:rPr>
                <w:noProof/>
                <w:webHidden/>
              </w:rPr>
            </w:r>
            <w:r w:rsidR="00BB620F">
              <w:rPr>
                <w:noProof/>
                <w:webHidden/>
              </w:rPr>
              <w:fldChar w:fldCharType="separate"/>
            </w:r>
            <w:r w:rsidR="00AD2CC2">
              <w:rPr>
                <w:noProof/>
                <w:webHidden/>
              </w:rPr>
              <w:t>6</w:t>
            </w:r>
            <w:r w:rsidR="00BB620F">
              <w:rPr>
                <w:noProof/>
                <w:webHidden/>
              </w:rPr>
              <w:fldChar w:fldCharType="end"/>
            </w:r>
          </w:hyperlink>
        </w:p>
        <w:p w14:paraId="0AA0CC93" w14:textId="02E675EE" w:rsidR="00BB620F" w:rsidRDefault="00437159">
          <w:pPr>
            <w:pStyle w:val="TOC2"/>
            <w:rPr>
              <w:rFonts w:eastAsiaTheme="minorEastAsia"/>
              <w:noProof/>
              <w:color w:val="auto"/>
            </w:rPr>
          </w:pPr>
          <w:hyperlink w:anchor="_Toc492544311" w:history="1">
            <w:r w:rsidR="00BB620F" w:rsidRPr="00017EF7">
              <w:rPr>
                <w:rStyle w:val="Hyperlink"/>
                <w:noProof/>
              </w:rPr>
              <w:t>A.4. Efforts to Identify Duplication</w:t>
            </w:r>
            <w:r w:rsidR="00BB620F">
              <w:rPr>
                <w:noProof/>
                <w:webHidden/>
              </w:rPr>
              <w:tab/>
            </w:r>
            <w:r w:rsidR="00BB620F">
              <w:rPr>
                <w:noProof/>
                <w:webHidden/>
              </w:rPr>
              <w:fldChar w:fldCharType="begin"/>
            </w:r>
            <w:r w:rsidR="00BB620F">
              <w:rPr>
                <w:noProof/>
                <w:webHidden/>
              </w:rPr>
              <w:instrText xml:space="preserve"> PAGEREF _Toc492544311 \h </w:instrText>
            </w:r>
            <w:r w:rsidR="00BB620F">
              <w:rPr>
                <w:noProof/>
                <w:webHidden/>
              </w:rPr>
            </w:r>
            <w:r w:rsidR="00BB620F">
              <w:rPr>
                <w:noProof/>
                <w:webHidden/>
              </w:rPr>
              <w:fldChar w:fldCharType="separate"/>
            </w:r>
            <w:r w:rsidR="00AD2CC2">
              <w:rPr>
                <w:noProof/>
                <w:webHidden/>
              </w:rPr>
              <w:t>7</w:t>
            </w:r>
            <w:r w:rsidR="00BB620F">
              <w:rPr>
                <w:noProof/>
                <w:webHidden/>
              </w:rPr>
              <w:fldChar w:fldCharType="end"/>
            </w:r>
          </w:hyperlink>
        </w:p>
        <w:p w14:paraId="55D4E02B" w14:textId="5E46DA24" w:rsidR="00BB620F" w:rsidRDefault="00437159">
          <w:pPr>
            <w:pStyle w:val="TOC2"/>
            <w:rPr>
              <w:rFonts w:eastAsiaTheme="minorEastAsia"/>
              <w:noProof/>
              <w:color w:val="auto"/>
            </w:rPr>
          </w:pPr>
          <w:hyperlink w:anchor="_Toc492544312" w:history="1">
            <w:r w:rsidR="00BB620F" w:rsidRPr="00017EF7">
              <w:rPr>
                <w:rStyle w:val="Hyperlink"/>
                <w:noProof/>
              </w:rPr>
              <w:t>A.5. Provisions for Reducing Burden on Small Businesses</w:t>
            </w:r>
            <w:r w:rsidR="00BB620F">
              <w:rPr>
                <w:noProof/>
                <w:webHidden/>
              </w:rPr>
              <w:tab/>
            </w:r>
            <w:r w:rsidR="00BB620F">
              <w:rPr>
                <w:noProof/>
                <w:webHidden/>
              </w:rPr>
              <w:fldChar w:fldCharType="begin"/>
            </w:r>
            <w:r w:rsidR="00BB620F">
              <w:rPr>
                <w:noProof/>
                <w:webHidden/>
              </w:rPr>
              <w:instrText xml:space="preserve"> PAGEREF _Toc492544312 \h </w:instrText>
            </w:r>
            <w:r w:rsidR="00BB620F">
              <w:rPr>
                <w:noProof/>
                <w:webHidden/>
              </w:rPr>
            </w:r>
            <w:r w:rsidR="00BB620F">
              <w:rPr>
                <w:noProof/>
                <w:webHidden/>
              </w:rPr>
              <w:fldChar w:fldCharType="separate"/>
            </w:r>
            <w:r w:rsidR="00AD2CC2">
              <w:rPr>
                <w:noProof/>
                <w:webHidden/>
              </w:rPr>
              <w:t>10</w:t>
            </w:r>
            <w:r w:rsidR="00BB620F">
              <w:rPr>
                <w:noProof/>
                <w:webHidden/>
              </w:rPr>
              <w:fldChar w:fldCharType="end"/>
            </w:r>
          </w:hyperlink>
        </w:p>
        <w:p w14:paraId="62A8B75F" w14:textId="5F2B7723" w:rsidR="00BB620F" w:rsidRDefault="00437159">
          <w:pPr>
            <w:pStyle w:val="TOC2"/>
            <w:rPr>
              <w:rFonts w:eastAsiaTheme="minorEastAsia"/>
              <w:noProof/>
              <w:color w:val="auto"/>
            </w:rPr>
          </w:pPr>
          <w:hyperlink w:anchor="_Toc492544313" w:history="1">
            <w:r w:rsidR="00BB620F" w:rsidRPr="00017EF7">
              <w:rPr>
                <w:rStyle w:val="Hyperlink"/>
                <w:noProof/>
              </w:rPr>
              <w:t>A.6. Consequences of Less-Frequent Reporting</w:t>
            </w:r>
            <w:r w:rsidR="00BB620F">
              <w:rPr>
                <w:noProof/>
                <w:webHidden/>
              </w:rPr>
              <w:tab/>
            </w:r>
            <w:r w:rsidR="00BB620F">
              <w:rPr>
                <w:noProof/>
                <w:webHidden/>
              </w:rPr>
              <w:fldChar w:fldCharType="begin"/>
            </w:r>
            <w:r w:rsidR="00BB620F">
              <w:rPr>
                <w:noProof/>
                <w:webHidden/>
              </w:rPr>
              <w:instrText xml:space="preserve"> PAGEREF _Toc492544313 \h </w:instrText>
            </w:r>
            <w:r w:rsidR="00BB620F">
              <w:rPr>
                <w:noProof/>
                <w:webHidden/>
              </w:rPr>
            </w:r>
            <w:r w:rsidR="00BB620F">
              <w:rPr>
                <w:noProof/>
                <w:webHidden/>
              </w:rPr>
              <w:fldChar w:fldCharType="separate"/>
            </w:r>
            <w:r w:rsidR="00AD2CC2">
              <w:rPr>
                <w:noProof/>
                <w:webHidden/>
              </w:rPr>
              <w:t>10</w:t>
            </w:r>
            <w:r w:rsidR="00BB620F">
              <w:rPr>
                <w:noProof/>
                <w:webHidden/>
              </w:rPr>
              <w:fldChar w:fldCharType="end"/>
            </w:r>
          </w:hyperlink>
        </w:p>
        <w:p w14:paraId="7D8FAAF9" w14:textId="21866550" w:rsidR="00BB620F" w:rsidRDefault="00437159">
          <w:pPr>
            <w:pStyle w:val="TOC2"/>
            <w:rPr>
              <w:rFonts w:eastAsiaTheme="minorEastAsia"/>
              <w:noProof/>
              <w:color w:val="auto"/>
            </w:rPr>
          </w:pPr>
          <w:hyperlink w:anchor="_Toc492544314" w:history="1">
            <w:r w:rsidR="00BB620F" w:rsidRPr="00017EF7">
              <w:rPr>
                <w:rStyle w:val="Hyperlink"/>
                <w:noProof/>
              </w:rPr>
              <w:t>A.7. Compliance with 5CFR 1320.5</w:t>
            </w:r>
            <w:r w:rsidR="00BB620F">
              <w:rPr>
                <w:noProof/>
                <w:webHidden/>
              </w:rPr>
              <w:tab/>
            </w:r>
            <w:r w:rsidR="00BB620F">
              <w:rPr>
                <w:noProof/>
                <w:webHidden/>
              </w:rPr>
              <w:fldChar w:fldCharType="begin"/>
            </w:r>
            <w:r w:rsidR="00BB620F">
              <w:rPr>
                <w:noProof/>
                <w:webHidden/>
              </w:rPr>
              <w:instrText xml:space="preserve"> PAGEREF _Toc492544314 \h </w:instrText>
            </w:r>
            <w:r w:rsidR="00BB620F">
              <w:rPr>
                <w:noProof/>
                <w:webHidden/>
              </w:rPr>
            </w:r>
            <w:r w:rsidR="00BB620F">
              <w:rPr>
                <w:noProof/>
                <w:webHidden/>
              </w:rPr>
              <w:fldChar w:fldCharType="separate"/>
            </w:r>
            <w:r w:rsidR="00AD2CC2">
              <w:rPr>
                <w:noProof/>
                <w:webHidden/>
              </w:rPr>
              <w:t>10</w:t>
            </w:r>
            <w:r w:rsidR="00BB620F">
              <w:rPr>
                <w:noProof/>
                <w:webHidden/>
              </w:rPr>
              <w:fldChar w:fldCharType="end"/>
            </w:r>
          </w:hyperlink>
        </w:p>
        <w:p w14:paraId="0B9F0F24" w14:textId="3BE9819C" w:rsidR="00BB620F" w:rsidRDefault="00437159">
          <w:pPr>
            <w:pStyle w:val="TOC2"/>
            <w:rPr>
              <w:rFonts w:eastAsiaTheme="minorEastAsia"/>
              <w:noProof/>
              <w:color w:val="auto"/>
            </w:rPr>
          </w:pPr>
          <w:hyperlink w:anchor="_Toc492544315" w:history="1">
            <w:r w:rsidR="00BB620F" w:rsidRPr="00017EF7">
              <w:rPr>
                <w:rStyle w:val="Hyperlink"/>
                <w:noProof/>
              </w:rPr>
              <w:t>A.8. Summary of Consultations Outside the Agency</w:t>
            </w:r>
            <w:r w:rsidR="00BB620F">
              <w:rPr>
                <w:noProof/>
                <w:webHidden/>
              </w:rPr>
              <w:tab/>
            </w:r>
            <w:r w:rsidR="00BB620F">
              <w:rPr>
                <w:noProof/>
                <w:webHidden/>
              </w:rPr>
              <w:fldChar w:fldCharType="begin"/>
            </w:r>
            <w:r w:rsidR="00BB620F">
              <w:rPr>
                <w:noProof/>
                <w:webHidden/>
              </w:rPr>
              <w:instrText xml:space="preserve"> PAGEREF _Toc492544315 \h </w:instrText>
            </w:r>
            <w:r w:rsidR="00BB620F">
              <w:rPr>
                <w:noProof/>
                <w:webHidden/>
              </w:rPr>
            </w:r>
            <w:r w:rsidR="00BB620F">
              <w:rPr>
                <w:noProof/>
                <w:webHidden/>
              </w:rPr>
              <w:fldChar w:fldCharType="separate"/>
            </w:r>
            <w:r w:rsidR="00AD2CC2">
              <w:rPr>
                <w:noProof/>
                <w:webHidden/>
              </w:rPr>
              <w:t>10</w:t>
            </w:r>
            <w:r w:rsidR="00BB620F">
              <w:rPr>
                <w:noProof/>
                <w:webHidden/>
              </w:rPr>
              <w:fldChar w:fldCharType="end"/>
            </w:r>
          </w:hyperlink>
        </w:p>
        <w:p w14:paraId="70149524" w14:textId="081E0575" w:rsidR="00BB620F" w:rsidRDefault="00437159">
          <w:pPr>
            <w:pStyle w:val="TOC2"/>
            <w:rPr>
              <w:rFonts w:eastAsiaTheme="minorEastAsia"/>
              <w:noProof/>
              <w:color w:val="auto"/>
            </w:rPr>
          </w:pPr>
          <w:hyperlink w:anchor="_Toc492544316" w:history="1">
            <w:r w:rsidR="00BB620F" w:rsidRPr="00017EF7">
              <w:rPr>
                <w:rStyle w:val="Hyperlink"/>
                <w:noProof/>
              </w:rPr>
              <w:t>A.9. Payments or Gifts to Respondents</w:t>
            </w:r>
            <w:r w:rsidR="00BB620F">
              <w:rPr>
                <w:noProof/>
                <w:webHidden/>
              </w:rPr>
              <w:tab/>
            </w:r>
            <w:r w:rsidR="00BB620F">
              <w:rPr>
                <w:noProof/>
                <w:webHidden/>
              </w:rPr>
              <w:fldChar w:fldCharType="begin"/>
            </w:r>
            <w:r w:rsidR="00BB620F">
              <w:rPr>
                <w:noProof/>
                <w:webHidden/>
              </w:rPr>
              <w:instrText xml:space="preserve"> PAGEREF _Toc492544316 \h </w:instrText>
            </w:r>
            <w:r w:rsidR="00BB620F">
              <w:rPr>
                <w:noProof/>
                <w:webHidden/>
              </w:rPr>
            </w:r>
            <w:r w:rsidR="00BB620F">
              <w:rPr>
                <w:noProof/>
                <w:webHidden/>
              </w:rPr>
              <w:fldChar w:fldCharType="separate"/>
            </w:r>
            <w:r w:rsidR="00AD2CC2">
              <w:rPr>
                <w:noProof/>
                <w:webHidden/>
              </w:rPr>
              <w:t>12</w:t>
            </w:r>
            <w:r w:rsidR="00BB620F">
              <w:rPr>
                <w:noProof/>
                <w:webHidden/>
              </w:rPr>
              <w:fldChar w:fldCharType="end"/>
            </w:r>
          </w:hyperlink>
        </w:p>
        <w:p w14:paraId="60AA87B4" w14:textId="02C40D6F" w:rsidR="00BB620F" w:rsidRDefault="00437159">
          <w:pPr>
            <w:pStyle w:val="TOC2"/>
            <w:rPr>
              <w:rFonts w:eastAsiaTheme="minorEastAsia"/>
              <w:noProof/>
              <w:color w:val="auto"/>
            </w:rPr>
          </w:pPr>
          <w:hyperlink w:anchor="_Toc492544317" w:history="1">
            <w:r w:rsidR="00BB620F" w:rsidRPr="00017EF7">
              <w:rPr>
                <w:rStyle w:val="Hyperlink"/>
                <w:noProof/>
              </w:rPr>
              <w:t>A.10. Provisions for Protection of Information</w:t>
            </w:r>
            <w:r w:rsidR="00BB620F">
              <w:rPr>
                <w:noProof/>
                <w:webHidden/>
              </w:rPr>
              <w:tab/>
            </w:r>
            <w:r w:rsidR="00BB620F">
              <w:rPr>
                <w:noProof/>
                <w:webHidden/>
              </w:rPr>
              <w:fldChar w:fldCharType="begin"/>
            </w:r>
            <w:r w:rsidR="00BB620F">
              <w:rPr>
                <w:noProof/>
                <w:webHidden/>
              </w:rPr>
              <w:instrText xml:space="preserve"> PAGEREF _Toc492544317 \h </w:instrText>
            </w:r>
            <w:r w:rsidR="00BB620F">
              <w:rPr>
                <w:noProof/>
                <w:webHidden/>
              </w:rPr>
            </w:r>
            <w:r w:rsidR="00BB620F">
              <w:rPr>
                <w:noProof/>
                <w:webHidden/>
              </w:rPr>
              <w:fldChar w:fldCharType="separate"/>
            </w:r>
            <w:r w:rsidR="00AD2CC2">
              <w:rPr>
                <w:noProof/>
                <w:webHidden/>
              </w:rPr>
              <w:t>12</w:t>
            </w:r>
            <w:r w:rsidR="00BB620F">
              <w:rPr>
                <w:noProof/>
                <w:webHidden/>
              </w:rPr>
              <w:fldChar w:fldCharType="end"/>
            </w:r>
          </w:hyperlink>
        </w:p>
        <w:p w14:paraId="0924E786" w14:textId="36440A15" w:rsidR="00BB620F" w:rsidRDefault="00437159">
          <w:pPr>
            <w:pStyle w:val="TOC2"/>
            <w:rPr>
              <w:rFonts w:eastAsiaTheme="minorEastAsia"/>
              <w:noProof/>
              <w:color w:val="auto"/>
            </w:rPr>
          </w:pPr>
          <w:hyperlink w:anchor="_Toc492544318" w:history="1">
            <w:r w:rsidR="00BB620F" w:rsidRPr="00017EF7">
              <w:rPr>
                <w:rStyle w:val="Hyperlink"/>
                <w:noProof/>
              </w:rPr>
              <w:t>A.11. Justification for Sensitive Questions</w:t>
            </w:r>
            <w:r w:rsidR="00BB620F">
              <w:rPr>
                <w:noProof/>
                <w:webHidden/>
              </w:rPr>
              <w:tab/>
            </w:r>
            <w:r w:rsidR="00BB620F">
              <w:rPr>
                <w:noProof/>
                <w:webHidden/>
              </w:rPr>
              <w:fldChar w:fldCharType="begin"/>
            </w:r>
            <w:r w:rsidR="00BB620F">
              <w:rPr>
                <w:noProof/>
                <w:webHidden/>
              </w:rPr>
              <w:instrText xml:space="preserve"> PAGEREF _Toc492544318 \h </w:instrText>
            </w:r>
            <w:r w:rsidR="00BB620F">
              <w:rPr>
                <w:noProof/>
                <w:webHidden/>
              </w:rPr>
            </w:r>
            <w:r w:rsidR="00BB620F">
              <w:rPr>
                <w:noProof/>
                <w:webHidden/>
              </w:rPr>
              <w:fldChar w:fldCharType="separate"/>
            </w:r>
            <w:r w:rsidR="00AD2CC2">
              <w:rPr>
                <w:noProof/>
                <w:webHidden/>
              </w:rPr>
              <w:t>12</w:t>
            </w:r>
            <w:r w:rsidR="00BB620F">
              <w:rPr>
                <w:noProof/>
                <w:webHidden/>
              </w:rPr>
              <w:fldChar w:fldCharType="end"/>
            </w:r>
          </w:hyperlink>
        </w:p>
        <w:p w14:paraId="67D2BF11" w14:textId="6B43884B" w:rsidR="00BB620F" w:rsidRDefault="00437159">
          <w:pPr>
            <w:pStyle w:val="TOC2"/>
            <w:rPr>
              <w:rFonts w:eastAsiaTheme="minorEastAsia"/>
              <w:noProof/>
              <w:color w:val="auto"/>
            </w:rPr>
          </w:pPr>
          <w:hyperlink w:anchor="_Toc492544319" w:history="1">
            <w:r w:rsidR="00BB620F" w:rsidRPr="00017EF7">
              <w:rPr>
                <w:rStyle w:val="Hyperlink"/>
                <w:noProof/>
              </w:rPr>
              <w:t>A.12. Estimate of Respondent Burden Hours and Cost</w:t>
            </w:r>
            <w:r w:rsidR="00BB620F">
              <w:rPr>
                <w:noProof/>
                <w:webHidden/>
              </w:rPr>
              <w:tab/>
            </w:r>
            <w:r w:rsidR="00BB620F">
              <w:rPr>
                <w:noProof/>
                <w:webHidden/>
              </w:rPr>
              <w:fldChar w:fldCharType="begin"/>
            </w:r>
            <w:r w:rsidR="00BB620F">
              <w:rPr>
                <w:noProof/>
                <w:webHidden/>
              </w:rPr>
              <w:instrText xml:space="preserve"> PAGEREF _Toc492544319 \h </w:instrText>
            </w:r>
            <w:r w:rsidR="00BB620F">
              <w:rPr>
                <w:noProof/>
                <w:webHidden/>
              </w:rPr>
            </w:r>
            <w:r w:rsidR="00BB620F">
              <w:rPr>
                <w:noProof/>
                <w:webHidden/>
              </w:rPr>
              <w:fldChar w:fldCharType="separate"/>
            </w:r>
            <w:r w:rsidR="00AD2CC2">
              <w:rPr>
                <w:noProof/>
                <w:webHidden/>
              </w:rPr>
              <w:t>12</w:t>
            </w:r>
            <w:r w:rsidR="00BB620F">
              <w:rPr>
                <w:noProof/>
                <w:webHidden/>
              </w:rPr>
              <w:fldChar w:fldCharType="end"/>
            </w:r>
          </w:hyperlink>
        </w:p>
        <w:p w14:paraId="1AF8E2A5" w14:textId="18D08CBA" w:rsidR="00BB620F" w:rsidRDefault="00437159">
          <w:pPr>
            <w:pStyle w:val="TOC2"/>
            <w:rPr>
              <w:rFonts w:eastAsiaTheme="minorEastAsia"/>
              <w:noProof/>
              <w:color w:val="auto"/>
            </w:rPr>
          </w:pPr>
          <w:hyperlink w:anchor="_Toc492544320" w:history="1">
            <w:r w:rsidR="00BB620F" w:rsidRPr="00017EF7">
              <w:rPr>
                <w:rStyle w:val="Hyperlink"/>
                <w:noProof/>
              </w:rPr>
              <w:t>A.13. Annual Cost to the Federal Government</w:t>
            </w:r>
            <w:r w:rsidR="00BB620F">
              <w:rPr>
                <w:noProof/>
                <w:webHidden/>
              </w:rPr>
              <w:tab/>
            </w:r>
            <w:r w:rsidR="00BB620F">
              <w:rPr>
                <w:noProof/>
                <w:webHidden/>
              </w:rPr>
              <w:fldChar w:fldCharType="begin"/>
            </w:r>
            <w:r w:rsidR="00BB620F">
              <w:rPr>
                <w:noProof/>
                <w:webHidden/>
              </w:rPr>
              <w:instrText xml:space="preserve"> PAGEREF _Toc492544320 \h </w:instrText>
            </w:r>
            <w:r w:rsidR="00BB620F">
              <w:rPr>
                <w:noProof/>
                <w:webHidden/>
              </w:rPr>
            </w:r>
            <w:r w:rsidR="00BB620F">
              <w:rPr>
                <w:noProof/>
                <w:webHidden/>
              </w:rPr>
              <w:fldChar w:fldCharType="separate"/>
            </w:r>
            <w:r w:rsidR="00AD2CC2">
              <w:rPr>
                <w:noProof/>
                <w:webHidden/>
              </w:rPr>
              <w:t>13</w:t>
            </w:r>
            <w:r w:rsidR="00BB620F">
              <w:rPr>
                <w:noProof/>
                <w:webHidden/>
              </w:rPr>
              <w:fldChar w:fldCharType="end"/>
            </w:r>
          </w:hyperlink>
        </w:p>
        <w:p w14:paraId="591B83E5" w14:textId="13B36934" w:rsidR="00BB620F" w:rsidRDefault="00437159">
          <w:pPr>
            <w:pStyle w:val="TOC2"/>
            <w:rPr>
              <w:rFonts w:eastAsiaTheme="minorEastAsia"/>
              <w:noProof/>
              <w:color w:val="auto"/>
            </w:rPr>
          </w:pPr>
          <w:hyperlink w:anchor="_Toc492544321" w:history="1">
            <w:r w:rsidR="00BB620F" w:rsidRPr="00017EF7">
              <w:rPr>
                <w:rStyle w:val="Hyperlink"/>
                <w:noProof/>
              </w:rPr>
              <w:t>A.14. Changes in Burden</w:t>
            </w:r>
            <w:r w:rsidR="00BB620F">
              <w:rPr>
                <w:noProof/>
                <w:webHidden/>
              </w:rPr>
              <w:tab/>
            </w:r>
            <w:r w:rsidR="00BB620F">
              <w:rPr>
                <w:noProof/>
                <w:webHidden/>
              </w:rPr>
              <w:fldChar w:fldCharType="begin"/>
            </w:r>
            <w:r w:rsidR="00BB620F">
              <w:rPr>
                <w:noProof/>
                <w:webHidden/>
              </w:rPr>
              <w:instrText xml:space="preserve"> PAGEREF _Toc492544321 \h </w:instrText>
            </w:r>
            <w:r w:rsidR="00BB620F">
              <w:rPr>
                <w:noProof/>
                <w:webHidden/>
              </w:rPr>
            </w:r>
            <w:r w:rsidR="00BB620F">
              <w:rPr>
                <w:noProof/>
                <w:webHidden/>
              </w:rPr>
              <w:fldChar w:fldCharType="separate"/>
            </w:r>
            <w:r w:rsidR="00AD2CC2">
              <w:rPr>
                <w:noProof/>
                <w:webHidden/>
              </w:rPr>
              <w:t>14</w:t>
            </w:r>
            <w:r w:rsidR="00BB620F">
              <w:rPr>
                <w:noProof/>
                <w:webHidden/>
              </w:rPr>
              <w:fldChar w:fldCharType="end"/>
            </w:r>
          </w:hyperlink>
        </w:p>
        <w:p w14:paraId="0F9FCBA0" w14:textId="64D7BB1E" w:rsidR="00BB620F" w:rsidRDefault="00437159">
          <w:pPr>
            <w:pStyle w:val="TOC2"/>
            <w:rPr>
              <w:rFonts w:eastAsiaTheme="minorEastAsia"/>
              <w:noProof/>
              <w:color w:val="auto"/>
            </w:rPr>
          </w:pPr>
          <w:hyperlink w:anchor="_Toc492544322" w:history="1">
            <w:r w:rsidR="00BB620F" w:rsidRPr="00017EF7">
              <w:rPr>
                <w:rStyle w:val="Hyperlink"/>
                <w:noProof/>
                <w:lang w:eastAsia="ar-SA"/>
              </w:rPr>
              <w:t>A.15. Reasons for Changes in Burden</w:t>
            </w:r>
            <w:r w:rsidR="00BB620F">
              <w:rPr>
                <w:noProof/>
                <w:webHidden/>
              </w:rPr>
              <w:tab/>
            </w:r>
            <w:r w:rsidR="00BB620F">
              <w:rPr>
                <w:noProof/>
                <w:webHidden/>
              </w:rPr>
              <w:fldChar w:fldCharType="begin"/>
            </w:r>
            <w:r w:rsidR="00BB620F">
              <w:rPr>
                <w:noProof/>
                <w:webHidden/>
              </w:rPr>
              <w:instrText xml:space="preserve"> PAGEREF _Toc492544322 \h </w:instrText>
            </w:r>
            <w:r w:rsidR="00BB620F">
              <w:rPr>
                <w:noProof/>
                <w:webHidden/>
              </w:rPr>
            </w:r>
            <w:r w:rsidR="00BB620F">
              <w:rPr>
                <w:noProof/>
                <w:webHidden/>
              </w:rPr>
              <w:fldChar w:fldCharType="separate"/>
            </w:r>
            <w:r w:rsidR="00AD2CC2">
              <w:rPr>
                <w:noProof/>
                <w:webHidden/>
              </w:rPr>
              <w:t>15</w:t>
            </w:r>
            <w:r w:rsidR="00BB620F">
              <w:rPr>
                <w:noProof/>
                <w:webHidden/>
              </w:rPr>
              <w:fldChar w:fldCharType="end"/>
            </w:r>
          </w:hyperlink>
        </w:p>
        <w:p w14:paraId="00536E07" w14:textId="433255D3" w:rsidR="00BB620F" w:rsidRDefault="00437159">
          <w:pPr>
            <w:pStyle w:val="TOC2"/>
            <w:rPr>
              <w:rFonts w:eastAsiaTheme="minorEastAsia"/>
              <w:noProof/>
              <w:color w:val="auto"/>
            </w:rPr>
          </w:pPr>
          <w:hyperlink w:anchor="_Toc492544323" w:history="1">
            <w:r w:rsidR="00BB620F" w:rsidRPr="00017EF7">
              <w:rPr>
                <w:rStyle w:val="Hyperlink"/>
                <w:noProof/>
                <w:lang w:eastAsia="ar-SA"/>
              </w:rPr>
              <w:t xml:space="preserve">A.16. </w:t>
            </w:r>
            <w:r w:rsidR="00BB620F" w:rsidRPr="00017EF7">
              <w:rPr>
                <w:rStyle w:val="Hyperlink"/>
                <w:noProof/>
              </w:rPr>
              <w:t>Collection, Tabulation, and Publication Plans</w:t>
            </w:r>
            <w:r w:rsidR="00BB620F">
              <w:rPr>
                <w:noProof/>
                <w:webHidden/>
              </w:rPr>
              <w:tab/>
            </w:r>
            <w:r w:rsidR="00BB620F">
              <w:rPr>
                <w:noProof/>
                <w:webHidden/>
              </w:rPr>
              <w:fldChar w:fldCharType="begin"/>
            </w:r>
            <w:r w:rsidR="00BB620F">
              <w:rPr>
                <w:noProof/>
                <w:webHidden/>
              </w:rPr>
              <w:instrText xml:space="preserve"> PAGEREF _Toc492544323 \h </w:instrText>
            </w:r>
            <w:r w:rsidR="00BB620F">
              <w:rPr>
                <w:noProof/>
                <w:webHidden/>
              </w:rPr>
            </w:r>
            <w:r w:rsidR="00BB620F">
              <w:rPr>
                <w:noProof/>
                <w:webHidden/>
              </w:rPr>
              <w:fldChar w:fldCharType="separate"/>
            </w:r>
            <w:r w:rsidR="00AD2CC2">
              <w:rPr>
                <w:noProof/>
                <w:webHidden/>
              </w:rPr>
              <w:t>16</w:t>
            </w:r>
            <w:r w:rsidR="00BB620F">
              <w:rPr>
                <w:noProof/>
                <w:webHidden/>
              </w:rPr>
              <w:fldChar w:fldCharType="end"/>
            </w:r>
          </w:hyperlink>
        </w:p>
        <w:p w14:paraId="1BB0BF2A" w14:textId="7D135704" w:rsidR="00BB620F" w:rsidRDefault="00437159">
          <w:pPr>
            <w:pStyle w:val="TOC2"/>
            <w:rPr>
              <w:rFonts w:eastAsiaTheme="minorEastAsia"/>
              <w:noProof/>
              <w:color w:val="auto"/>
            </w:rPr>
          </w:pPr>
          <w:hyperlink w:anchor="_Toc492544324" w:history="1">
            <w:r w:rsidR="00BB620F" w:rsidRPr="00017EF7">
              <w:rPr>
                <w:rStyle w:val="Hyperlink"/>
                <w:noProof/>
              </w:rPr>
              <w:t>A.17. OMB Number and Expiration Date</w:t>
            </w:r>
            <w:r w:rsidR="00BB620F">
              <w:rPr>
                <w:noProof/>
                <w:webHidden/>
              </w:rPr>
              <w:tab/>
            </w:r>
            <w:r w:rsidR="00BB620F">
              <w:rPr>
                <w:noProof/>
                <w:webHidden/>
              </w:rPr>
              <w:fldChar w:fldCharType="begin"/>
            </w:r>
            <w:r w:rsidR="00BB620F">
              <w:rPr>
                <w:noProof/>
                <w:webHidden/>
              </w:rPr>
              <w:instrText xml:space="preserve"> PAGEREF _Toc492544324 \h </w:instrText>
            </w:r>
            <w:r w:rsidR="00BB620F">
              <w:rPr>
                <w:noProof/>
                <w:webHidden/>
              </w:rPr>
            </w:r>
            <w:r w:rsidR="00BB620F">
              <w:rPr>
                <w:noProof/>
                <w:webHidden/>
              </w:rPr>
              <w:fldChar w:fldCharType="separate"/>
            </w:r>
            <w:r w:rsidR="00AD2CC2">
              <w:rPr>
                <w:noProof/>
                <w:webHidden/>
              </w:rPr>
              <w:t>16</w:t>
            </w:r>
            <w:r w:rsidR="00BB620F">
              <w:rPr>
                <w:noProof/>
                <w:webHidden/>
              </w:rPr>
              <w:fldChar w:fldCharType="end"/>
            </w:r>
          </w:hyperlink>
        </w:p>
        <w:p w14:paraId="66A25FB6" w14:textId="5706307C" w:rsidR="00BB620F" w:rsidRDefault="00437159">
          <w:pPr>
            <w:pStyle w:val="TOC2"/>
            <w:rPr>
              <w:rFonts w:eastAsiaTheme="minorEastAsia"/>
              <w:noProof/>
              <w:color w:val="auto"/>
            </w:rPr>
          </w:pPr>
          <w:hyperlink w:anchor="_Toc492544325" w:history="1">
            <w:r w:rsidR="00BB620F" w:rsidRPr="00017EF7">
              <w:rPr>
                <w:rStyle w:val="Hyperlink"/>
                <w:noProof/>
              </w:rPr>
              <w:t>A.18. Certification Statement</w:t>
            </w:r>
            <w:r w:rsidR="00BB620F">
              <w:rPr>
                <w:noProof/>
                <w:webHidden/>
              </w:rPr>
              <w:tab/>
            </w:r>
            <w:r w:rsidR="00BB620F">
              <w:rPr>
                <w:noProof/>
                <w:webHidden/>
              </w:rPr>
              <w:fldChar w:fldCharType="begin"/>
            </w:r>
            <w:r w:rsidR="00BB620F">
              <w:rPr>
                <w:noProof/>
                <w:webHidden/>
              </w:rPr>
              <w:instrText xml:space="preserve"> PAGEREF _Toc492544325 \h </w:instrText>
            </w:r>
            <w:r w:rsidR="00BB620F">
              <w:rPr>
                <w:noProof/>
                <w:webHidden/>
              </w:rPr>
            </w:r>
            <w:r w:rsidR="00BB620F">
              <w:rPr>
                <w:noProof/>
                <w:webHidden/>
              </w:rPr>
              <w:fldChar w:fldCharType="separate"/>
            </w:r>
            <w:r w:rsidR="00AD2CC2">
              <w:rPr>
                <w:noProof/>
                <w:webHidden/>
              </w:rPr>
              <w:t>17</w:t>
            </w:r>
            <w:r w:rsidR="00BB620F">
              <w:rPr>
                <w:noProof/>
                <w:webHidden/>
              </w:rPr>
              <w:fldChar w:fldCharType="end"/>
            </w:r>
          </w:hyperlink>
        </w:p>
        <w:p w14:paraId="3B87906C" w14:textId="77777777" w:rsidR="0059212D" w:rsidRDefault="0059212D">
          <w:r>
            <w:rPr>
              <w:b/>
              <w:bCs/>
              <w:noProof/>
            </w:rPr>
            <w:fldChar w:fldCharType="end"/>
          </w:r>
        </w:p>
      </w:sdtContent>
    </w:sdt>
    <w:p w14:paraId="5ABC5EB1" w14:textId="77777777" w:rsidR="001F3A8F" w:rsidRDefault="001F3A8F" w:rsidP="00D928FD"/>
    <w:p w14:paraId="078995E1" w14:textId="77777777" w:rsidR="00D928FD" w:rsidRDefault="00D928FD" w:rsidP="00D928FD">
      <w:pPr>
        <w:sectPr w:rsidR="00D928FD" w:rsidSect="00725453">
          <w:footerReference w:type="first" r:id="rId21"/>
          <w:footnotePr>
            <w:pos w:val="beneathText"/>
          </w:footnotePr>
          <w:type w:val="continuous"/>
          <w:pgSz w:w="12240" w:h="15840"/>
          <w:pgMar w:top="1440" w:right="1440" w:bottom="1440" w:left="1440" w:header="720" w:footer="720" w:gutter="0"/>
          <w:pgNumType w:fmt="lowerRoman" w:start="1"/>
          <w:cols w:space="720"/>
          <w:docGrid w:linePitch="360"/>
        </w:sectPr>
      </w:pPr>
    </w:p>
    <w:p w14:paraId="44478997" w14:textId="77777777" w:rsidR="00041909" w:rsidRDefault="00041909" w:rsidP="00836D62">
      <w:pPr>
        <w:spacing w:line="240" w:lineRule="auto"/>
        <w:sectPr w:rsidR="00041909" w:rsidSect="00725453">
          <w:footerReference w:type="first" r:id="rId22"/>
          <w:footnotePr>
            <w:pos w:val="beneathText"/>
          </w:footnotePr>
          <w:type w:val="continuous"/>
          <w:pgSz w:w="12240" w:h="15840"/>
          <w:pgMar w:top="1440" w:right="1440" w:bottom="1440" w:left="1440" w:header="720" w:footer="720" w:gutter="0"/>
          <w:pgNumType w:fmt="lowerRoman"/>
          <w:cols w:space="720"/>
          <w:docGrid w:linePitch="360"/>
        </w:sectPr>
      </w:pPr>
    </w:p>
    <w:p w14:paraId="0776502F" w14:textId="77777777" w:rsidR="003E48F8" w:rsidRPr="00576FA1" w:rsidRDefault="003E48F8" w:rsidP="00BD21BE">
      <w:pPr>
        <w:pStyle w:val="Heading2"/>
      </w:pPr>
      <w:bookmarkStart w:id="2" w:name="_Toc492037056"/>
      <w:bookmarkStart w:id="3" w:name="_Toc492544307"/>
      <w:bookmarkStart w:id="4" w:name="_Toc491347215"/>
      <w:r w:rsidRPr="00576FA1">
        <w:t>Introduction</w:t>
      </w:r>
      <w:bookmarkEnd w:id="2"/>
      <w:bookmarkEnd w:id="3"/>
    </w:p>
    <w:bookmarkEnd w:id="4"/>
    <w:p w14:paraId="60EEC4E2" w14:textId="7581F31E"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6D16C9">
        <w:t>The U.S. Energy Information Administration (EIA) is the statistical and analytical agency within the U.S. Department of Energy (DOE).</w:t>
      </w:r>
      <w:r>
        <w:t xml:space="preserve"> </w:t>
      </w:r>
      <w:r w:rsidRPr="006D16C9">
        <w:t xml:space="preserve">It collects, analyzes, and disseminates independent and impartial energy information to promote sound policymaking, efficient markets, and public understanding regarding energy and its interaction with the economy and the environment. </w:t>
      </w:r>
      <w:r w:rsidRPr="00FE06D9">
        <w:t>EIA</w:t>
      </w:r>
      <w:r>
        <w:t xml:space="preserve"> </w:t>
      </w:r>
      <w:r w:rsidRPr="00FE06D9">
        <w:t xml:space="preserve">is required to publish, and otherwise make available independent, high-quality statistical data to federal government agencies, state and local governments, the </w:t>
      </w:r>
      <w:r>
        <w:t>energy</w:t>
      </w:r>
      <w:r w:rsidRPr="00FE06D9">
        <w:t xml:space="preserve"> industry, researchers, and the general public.</w:t>
      </w:r>
      <w:r>
        <w:t xml:space="preserve"> To meet this obligation, EIA utilizes Form EIA-886 </w:t>
      </w:r>
      <w:r w:rsidRPr="001608F6">
        <w:rPr>
          <w:i/>
          <w:iCs/>
        </w:rPr>
        <w:t xml:space="preserve">Annual Survey of Alternative Fueled Vehicles </w:t>
      </w:r>
      <w:r w:rsidRPr="00576FA1">
        <w:t>to collect data on</w:t>
      </w:r>
      <w:r w:rsidRPr="001608F6">
        <w:rPr>
          <w:i/>
          <w:iCs/>
        </w:rPr>
        <w:t xml:space="preserve"> </w:t>
      </w:r>
      <w:r>
        <w:t xml:space="preserve">alternative fueled vehicle and alternative transportation fuel usage within the United States. </w:t>
      </w:r>
    </w:p>
    <w:p w14:paraId="4303F994" w14:textId="1558C667"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FE06D9">
        <w:t xml:space="preserve">EIA </w:t>
      </w:r>
      <w:r w:rsidR="00901CA3">
        <w:t xml:space="preserve">requests </w:t>
      </w:r>
      <w:r w:rsidRPr="00FE06D9">
        <w:t>a three-year extension</w:t>
      </w:r>
      <w:r w:rsidR="00901CA3">
        <w:t xml:space="preserve"> with </w:t>
      </w:r>
      <w:r w:rsidR="004336C2">
        <w:t xml:space="preserve">changes to </w:t>
      </w:r>
      <w:r>
        <w:t>Form EIA-886</w:t>
      </w:r>
      <w:r w:rsidR="00901CA3">
        <w:t xml:space="preserve"> </w:t>
      </w:r>
      <w:r w:rsidR="00901CA3" w:rsidRPr="001608F6">
        <w:rPr>
          <w:i/>
          <w:iCs/>
        </w:rPr>
        <w:t>Annual Survey of Alternative Fueled Vehicles</w:t>
      </w:r>
      <w:r w:rsidR="00EA54F1">
        <w:t>.</w:t>
      </w:r>
      <w:r>
        <w:t xml:space="preserve"> </w:t>
      </w:r>
    </w:p>
    <w:p w14:paraId="51792436" w14:textId="6A75F648" w:rsidR="003E48F8" w:rsidRDefault="0034201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Form EIA-886</w:t>
      </w:r>
      <w:r w:rsidR="00901CA3">
        <w:t xml:space="preserve"> is a mandatory survey that </w:t>
      </w:r>
      <w:r>
        <w:t>c</w:t>
      </w:r>
      <w:r w:rsidR="003E48F8">
        <w:t xml:space="preserve">ollects information on the number and type of alternative fueled vehicles (AFVs) and other advanced technology vehicles (e.g., hybrid and fuel cell vehicles) that vehicle suppliers made in the previous year and plan to make in the current year; the number, type, and location of AFVs in use in the previous year; the amount and distribution of each type of alternative fuel consumed in the previous year; the number of miles traveled by AFVs in the previous year; and retirement of AFVs. </w:t>
      </w:r>
    </w:p>
    <w:p w14:paraId="43004B77" w14:textId="17E461F2" w:rsidR="00901CA3" w:rsidRPr="006E431A" w:rsidRDefault="00901CA3" w:rsidP="00BD21BE">
      <w:pPr>
        <w:pStyle w:val="Heading2"/>
      </w:pPr>
      <w:r>
        <w:t>Changes to Form EIA-886</w:t>
      </w:r>
    </w:p>
    <w:p w14:paraId="14D61CA9" w14:textId="1EC5FCDD" w:rsidR="00E06A9B" w:rsidRDefault="00C33666" w:rsidP="0020499E">
      <w:pPr>
        <w:numPr>
          <w:ilvl w:val="3"/>
          <w:numId w:val="14"/>
        </w:num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pPr>
      <w:r w:rsidRPr="001608F6">
        <w:rPr>
          <w:lang w:eastAsia="ar-SA"/>
        </w:rPr>
        <w:t xml:space="preserve">EIA </w:t>
      </w:r>
      <w:r w:rsidR="00AF6FE7" w:rsidRPr="001608F6">
        <w:rPr>
          <w:lang w:eastAsia="ar-SA"/>
        </w:rPr>
        <w:t xml:space="preserve">will </w:t>
      </w:r>
      <w:r w:rsidRPr="001608F6">
        <w:rPr>
          <w:lang w:eastAsia="ar-SA"/>
        </w:rPr>
        <w:t>c</w:t>
      </w:r>
      <w:r w:rsidR="003E48F8" w:rsidRPr="001608F6">
        <w:rPr>
          <w:lang w:eastAsia="ar-SA"/>
        </w:rPr>
        <w:t xml:space="preserve">ollect more </w:t>
      </w:r>
      <w:r w:rsidR="003E48F8">
        <w:t xml:space="preserve">detailed </w:t>
      </w:r>
      <w:r w:rsidR="00116350">
        <w:t xml:space="preserve">weight classifications and </w:t>
      </w:r>
      <w:r w:rsidR="003E48F8">
        <w:t xml:space="preserve">vehicle type </w:t>
      </w:r>
      <w:r w:rsidR="00116350">
        <w:t xml:space="preserve">information </w:t>
      </w:r>
      <w:r w:rsidR="003E48F8">
        <w:t>from suppliers and users of AFVs.</w:t>
      </w:r>
      <w:r w:rsidR="00A5645F">
        <w:t xml:space="preserve"> </w:t>
      </w:r>
      <w:r w:rsidRPr="001608F6">
        <w:rPr>
          <w:lang w:eastAsia="ar-SA"/>
        </w:rPr>
        <w:t xml:space="preserve">In the current Form EIA-886, Parts 2 and 3 collect data on the inventory and supply of alternative </w:t>
      </w:r>
      <w:r w:rsidRPr="00176BFD">
        <w:rPr>
          <w:lang w:eastAsia="ar-SA"/>
        </w:rPr>
        <w:t>fueled vehicles. In Part 2, respondents are required to report the vehicle type, fuel type, engine configuration, application, quantity, miles traveled, and alternative fuel consumption for all AFVs in use. In Part 3, respondents are required to report the vehicle type, model, fuel type, engine configuration, and quantities made available and planned to be made available for all AFVs and advanced technology vehicles supplied. The current set of vehicle type codes for Vans, Trucks, and Pickup Trucks are defi</w:t>
      </w:r>
      <w:r w:rsidRPr="00B46F0C">
        <w:rPr>
          <w:lang w:eastAsia="ar-SA"/>
        </w:rPr>
        <w:t>ned by a range of gross vehicle weig</w:t>
      </w:r>
      <w:r w:rsidR="00E06A9B" w:rsidRPr="00521AF1">
        <w:rPr>
          <w:lang w:eastAsia="ar-SA"/>
        </w:rPr>
        <w:t>ht rating (GVWR) classification.</w:t>
      </w:r>
      <w:r w:rsidR="00A5645F" w:rsidRPr="00E309AB">
        <w:rPr>
          <w:lang w:eastAsia="ar-SA"/>
        </w:rPr>
        <w:t xml:space="preserve"> </w:t>
      </w:r>
    </w:p>
    <w:p w14:paraId="7308BFE2" w14:textId="2CBD43BB" w:rsidR="00E06A9B" w:rsidRDefault="00E06A9B" w:rsidP="1A8A4BE3">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szCs w:val="24"/>
        </w:rPr>
      </w:pPr>
      <w:r w:rsidRPr="001608F6">
        <w:t>EIA’s current weight classifications are based on the following GVWR range:</w:t>
      </w:r>
    </w:p>
    <w:p w14:paraId="73DC368C" w14:textId="7E5728C8" w:rsidR="00E06A9B" w:rsidRPr="00B2673D" w:rsidRDefault="00E06A9B" w:rsidP="004F62A6">
      <w:pPr>
        <w:pStyle w:val="ListParagraph"/>
        <w:numPr>
          <w:ilvl w:val="1"/>
          <w:numId w:val="24"/>
        </w:numPr>
      </w:pPr>
      <w:r w:rsidRPr="001608F6">
        <w:t>Light Duty: 8,500 lbs</w:t>
      </w:r>
      <w:r w:rsidR="00EA54F1" w:rsidRPr="001608F6">
        <w:t>.</w:t>
      </w:r>
      <w:r w:rsidRPr="001608F6">
        <w:t xml:space="preserve"> or less</w:t>
      </w:r>
    </w:p>
    <w:p w14:paraId="53127EBD" w14:textId="7522DA1D" w:rsidR="00E06A9B" w:rsidRPr="00B2673D" w:rsidRDefault="00E06A9B" w:rsidP="004F62A6">
      <w:pPr>
        <w:pStyle w:val="ListParagraph"/>
        <w:numPr>
          <w:ilvl w:val="1"/>
          <w:numId w:val="24"/>
        </w:numPr>
      </w:pPr>
      <w:r w:rsidRPr="001608F6">
        <w:t>Medium Duty: 8,501 lbs. - 26,000 lbs.</w:t>
      </w:r>
    </w:p>
    <w:p w14:paraId="691B6326" w14:textId="6810C6EF" w:rsidR="00E06A9B" w:rsidRPr="00B2673D" w:rsidRDefault="00E06A9B" w:rsidP="004F62A6">
      <w:pPr>
        <w:pStyle w:val="ListParagraph"/>
        <w:numPr>
          <w:ilvl w:val="1"/>
          <w:numId w:val="24"/>
        </w:numPr>
      </w:pPr>
      <w:r w:rsidRPr="001608F6">
        <w:t>Heavy Duty: 26,001 lbs. or more</w:t>
      </w:r>
    </w:p>
    <w:p w14:paraId="0C1E8A72" w14:textId="2B4BD0B9" w:rsidR="003B46BA" w:rsidRDefault="00C33666" w:rsidP="1A8A4BE3">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szCs w:val="24"/>
        </w:rPr>
      </w:pPr>
      <w:r w:rsidRPr="001608F6">
        <w:t xml:space="preserve">To standardize weight classes reflecting industry standards and </w:t>
      </w:r>
      <w:r w:rsidR="00B02BD1" w:rsidRPr="001608F6">
        <w:t xml:space="preserve">to </w:t>
      </w:r>
      <w:r w:rsidR="002B6E1E" w:rsidRPr="001608F6">
        <w:t xml:space="preserve">align with </w:t>
      </w:r>
      <w:r w:rsidRPr="001608F6">
        <w:t xml:space="preserve">EPA’s emissions inventory model (MOVES), EIA </w:t>
      </w:r>
      <w:r w:rsidR="00AF6FE7" w:rsidRPr="001608F6">
        <w:t xml:space="preserve">will </w:t>
      </w:r>
      <w:r w:rsidRPr="001608F6">
        <w:t xml:space="preserve">simplify the list of vehicle type codes by removing weight class attributes and add a column for more detailed </w:t>
      </w:r>
      <w:r w:rsidR="002B6E1E" w:rsidRPr="00176BFD">
        <w:t xml:space="preserve">medium duty </w:t>
      </w:r>
      <w:r w:rsidRPr="00176BFD">
        <w:t xml:space="preserve">weight classifications (shown below). </w:t>
      </w:r>
    </w:p>
    <w:p w14:paraId="2F8E452D" w14:textId="77777777" w:rsidR="00901CA3" w:rsidRDefault="00901CA3" w:rsidP="00C33666">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877"/>
        <w:gridCol w:w="1080"/>
        <w:gridCol w:w="1027"/>
        <w:gridCol w:w="1027"/>
        <w:gridCol w:w="1027"/>
        <w:gridCol w:w="1027"/>
        <w:gridCol w:w="1027"/>
        <w:gridCol w:w="1031"/>
      </w:tblGrid>
      <w:tr w:rsidR="00C33666" w:rsidRPr="00BB620F" w14:paraId="6A89951C" w14:textId="77777777" w:rsidTr="002049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7" w:type="dxa"/>
            <w:tcBorders>
              <w:bottom w:val="none" w:sz="0" w:space="0" w:color="auto"/>
            </w:tcBorders>
          </w:tcPr>
          <w:p w14:paraId="7E344260" w14:textId="77777777" w:rsidR="00C33666" w:rsidRPr="0020499E" w:rsidRDefault="00C33666" w:rsidP="0020499E">
            <w:pPr>
              <w:autoSpaceDE w:val="0"/>
              <w:autoSpaceDN w:val="0"/>
              <w:adjustRightInd w:val="0"/>
              <w:spacing w:line="23" w:lineRule="atLeast"/>
              <w:jc w:val="center"/>
              <w:rPr>
                <w:rFonts w:ascii="Arial" w:hAnsi="Arial" w:cs="Arial"/>
                <w:color w:val="363636"/>
                <w:sz w:val="22"/>
              </w:rPr>
            </w:pPr>
            <w:r w:rsidRPr="001608F6">
              <w:rPr>
                <w:rFonts w:ascii="Arial" w:hAnsi="Arial" w:cs="Arial"/>
                <w:color w:val="363636"/>
              </w:rPr>
              <w:t>Class</w:t>
            </w:r>
          </w:p>
        </w:tc>
        <w:tc>
          <w:tcPr>
            <w:tcW w:w="877" w:type="dxa"/>
            <w:tcBorders>
              <w:bottom w:val="none" w:sz="0" w:space="0" w:color="auto"/>
            </w:tcBorders>
          </w:tcPr>
          <w:p w14:paraId="35E358A8"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2a</w:t>
            </w:r>
          </w:p>
        </w:tc>
        <w:tc>
          <w:tcPr>
            <w:tcW w:w="1080" w:type="dxa"/>
            <w:tcBorders>
              <w:bottom w:val="none" w:sz="0" w:space="0" w:color="auto"/>
            </w:tcBorders>
          </w:tcPr>
          <w:p w14:paraId="6DCD0191"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2b</w:t>
            </w:r>
          </w:p>
        </w:tc>
        <w:tc>
          <w:tcPr>
            <w:tcW w:w="1027" w:type="dxa"/>
            <w:tcBorders>
              <w:bottom w:val="none" w:sz="0" w:space="0" w:color="auto"/>
            </w:tcBorders>
          </w:tcPr>
          <w:p w14:paraId="6CC1FE07"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3</w:t>
            </w:r>
          </w:p>
        </w:tc>
        <w:tc>
          <w:tcPr>
            <w:tcW w:w="1027" w:type="dxa"/>
            <w:tcBorders>
              <w:bottom w:val="none" w:sz="0" w:space="0" w:color="auto"/>
            </w:tcBorders>
          </w:tcPr>
          <w:p w14:paraId="693B312D"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4</w:t>
            </w:r>
          </w:p>
        </w:tc>
        <w:tc>
          <w:tcPr>
            <w:tcW w:w="1027" w:type="dxa"/>
            <w:tcBorders>
              <w:bottom w:val="none" w:sz="0" w:space="0" w:color="auto"/>
            </w:tcBorders>
          </w:tcPr>
          <w:p w14:paraId="1EDA7513"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5</w:t>
            </w:r>
          </w:p>
        </w:tc>
        <w:tc>
          <w:tcPr>
            <w:tcW w:w="1027" w:type="dxa"/>
            <w:tcBorders>
              <w:bottom w:val="none" w:sz="0" w:space="0" w:color="auto"/>
            </w:tcBorders>
          </w:tcPr>
          <w:p w14:paraId="3DCA18B1"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6</w:t>
            </w:r>
          </w:p>
        </w:tc>
        <w:tc>
          <w:tcPr>
            <w:tcW w:w="1027" w:type="dxa"/>
            <w:tcBorders>
              <w:bottom w:val="none" w:sz="0" w:space="0" w:color="auto"/>
            </w:tcBorders>
          </w:tcPr>
          <w:p w14:paraId="0D222063"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7</w:t>
            </w:r>
          </w:p>
        </w:tc>
        <w:tc>
          <w:tcPr>
            <w:tcW w:w="1031" w:type="dxa"/>
            <w:tcBorders>
              <w:bottom w:val="none" w:sz="0" w:space="0" w:color="auto"/>
            </w:tcBorders>
          </w:tcPr>
          <w:p w14:paraId="71412085" w14:textId="77777777" w:rsidR="00C33666" w:rsidRPr="0020499E" w:rsidRDefault="00C33666" w:rsidP="0020499E">
            <w:pPr>
              <w:autoSpaceDE w:val="0"/>
              <w:autoSpaceDN w:val="0"/>
              <w:adjustRightInd w:val="0"/>
              <w:spacing w:line="2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363636"/>
                <w:sz w:val="22"/>
              </w:rPr>
            </w:pPr>
            <w:r w:rsidRPr="001608F6">
              <w:rPr>
                <w:rFonts w:ascii="Arial" w:hAnsi="Arial" w:cs="Arial"/>
                <w:color w:val="363636"/>
              </w:rPr>
              <w:t>8</w:t>
            </w:r>
          </w:p>
        </w:tc>
      </w:tr>
      <w:tr w:rsidR="00C33666" w:rsidRPr="00BB620F" w14:paraId="5F17CD4B" w14:textId="77777777" w:rsidTr="00204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Borders>
              <w:bottom w:val="none" w:sz="0" w:space="0" w:color="auto"/>
            </w:tcBorders>
          </w:tcPr>
          <w:p w14:paraId="3B2A4AAF" w14:textId="64104D13" w:rsidR="00C33666" w:rsidRPr="0020499E" w:rsidRDefault="00C33666" w:rsidP="0020499E">
            <w:pPr>
              <w:autoSpaceDE w:val="0"/>
              <w:autoSpaceDN w:val="0"/>
              <w:adjustRightInd w:val="0"/>
              <w:spacing w:line="23" w:lineRule="atLeast"/>
              <w:jc w:val="center"/>
              <w:rPr>
                <w:rFonts w:ascii="Arial" w:hAnsi="Arial" w:cs="Arial"/>
                <w:color w:val="363636"/>
                <w:sz w:val="22"/>
              </w:rPr>
            </w:pPr>
            <w:r w:rsidRPr="001608F6">
              <w:rPr>
                <w:rFonts w:ascii="Arial" w:hAnsi="Arial" w:cs="Arial"/>
                <w:color w:val="363636"/>
              </w:rPr>
              <w:t>GVWR (lb</w:t>
            </w:r>
            <w:r w:rsidR="00355A08" w:rsidRPr="001608F6">
              <w:rPr>
                <w:rFonts w:ascii="Arial" w:hAnsi="Arial" w:cs="Arial"/>
                <w:color w:val="363636"/>
              </w:rPr>
              <w:t>s.</w:t>
            </w:r>
            <w:r w:rsidRPr="001608F6">
              <w:rPr>
                <w:rFonts w:ascii="Arial" w:hAnsi="Arial" w:cs="Arial"/>
                <w:color w:val="363636"/>
              </w:rPr>
              <w:t>)</w:t>
            </w:r>
          </w:p>
        </w:tc>
        <w:tc>
          <w:tcPr>
            <w:tcW w:w="877" w:type="dxa"/>
            <w:tcBorders>
              <w:bottom w:val="none" w:sz="0" w:space="0" w:color="auto"/>
            </w:tcBorders>
          </w:tcPr>
          <w:p w14:paraId="607FEA8C"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&lt;8,501</w:t>
            </w:r>
          </w:p>
        </w:tc>
        <w:tc>
          <w:tcPr>
            <w:tcW w:w="1080" w:type="dxa"/>
            <w:tcBorders>
              <w:bottom w:val="none" w:sz="0" w:space="0" w:color="auto"/>
            </w:tcBorders>
          </w:tcPr>
          <w:p w14:paraId="2655E7EF"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8,501-10,000</w:t>
            </w:r>
          </w:p>
        </w:tc>
        <w:tc>
          <w:tcPr>
            <w:tcW w:w="1027" w:type="dxa"/>
            <w:tcBorders>
              <w:bottom w:val="none" w:sz="0" w:space="0" w:color="auto"/>
            </w:tcBorders>
          </w:tcPr>
          <w:p w14:paraId="48AF84F4"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10,001-14,000</w:t>
            </w:r>
          </w:p>
        </w:tc>
        <w:tc>
          <w:tcPr>
            <w:tcW w:w="1027" w:type="dxa"/>
            <w:tcBorders>
              <w:bottom w:val="none" w:sz="0" w:space="0" w:color="auto"/>
            </w:tcBorders>
          </w:tcPr>
          <w:p w14:paraId="108C6946"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14,001-16,000</w:t>
            </w:r>
          </w:p>
        </w:tc>
        <w:tc>
          <w:tcPr>
            <w:tcW w:w="1027" w:type="dxa"/>
            <w:tcBorders>
              <w:bottom w:val="none" w:sz="0" w:space="0" w:color="auto"/>
            </w:tcBorders>
          </w:tcPr>
          <w:p w14:paraId="75AF53BB"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16,001-19,500</w:t>
            </w:r>
          </w:p>
        </w:tc>
        <w:tc>
          <w:tcPr>
            <w:tcW w:w="1027" w:type="dxa"/>
            <w:tcBorders>
              <w:bottom w:val="none" w:sz="0" w:space="0" w:color="auto"/>
            </w:tcBorders>
          </w:tcPr>
          <w:p w14:paraId="622C1AB4"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19,501-26,000</w:t>
            </w:r>
          </w:p>
        </w:tc>
        <w:tc>
          <w:tcPr>
            <w:tcW w:w="1027" w:type="dxa"/>
            <w:tcBorders>
              <w:bottom w:val="none" w:sz="0" w:space="0" w:color="auto"/>
            </w:tcBorders>
          </w:tcPr>
          <w:p w14:paraId="51094946"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26,001-33,000</w:t>
            </w:r>
          </w:p>
        </w:tc>
        <w:tc>
          <w:tcPr>
            <w:tcW w:w="1031" w:type="dxa"/>
            <w:tcBorders>
              <w:bottom w:val="none" w:sz="0" w:space="0" w:color="auto"/>
            </w:tcBorders>
          </w:tcPr>
          <w:p w14:paraId="6C4CF31F" w14:textId="77777777" w:rsidR="00C33666" w:rsidRPr="0020499E" w:rsidRDefault="00C33666" w:rsidP="0020499E">
            <w:pPr>
              <w:autoSpaceDE w:val="0"/>
              <w:autoSpaceDN w:val="0"/>
              <w:adjustRightInd w:val="0"/>
              <w:spacing w:line="23"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3636"/>
                <w:sz w:val="22"/>
              </w:rPr>
            </w:pPr>
            <w:r w:rsidRPr="001608F6">
              <w:rPr>
                <w:rFonts w:ascii="Arial" w:hAnsi="Arial" w:cs="Arial"/>
                <w:color w:val="363636"/>
              </w:rPr>
              <w:t>&gt;33,000</w:t>
            </w:r>
          </w:p>
        </w:tc>
      </w:tr>
    </w:tbl>
    <w:p w14:paraId="1D2B47E8" w14:textId="4C695F70" w:rsidR="00E06A9B" w:rsidRPr="00E06A9B" w:rsidRDefault="00D46C0D" w:rsidP="1A8A4BE3">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szCs w:val="24"/>
        </w:rPr>
      </w:pPr>
      <w:r w:rsidRPr="001608F6">
        <w:t xml:space="preserve">The Environment Protection Agency’s (EPA) </w:t>
      </w:r>
      <w:r w:rsidR="00E06A9B" w:rsidRPr="001608F6">
        <w:t>Office of</w:t>
      </w:r>
      <w:r w:rsidR="002B6E1E" w:rsidRPr="001608F6">
        <w:t xml:space="preserve"> Transportation and Air Quality</w:t>
      </w:r>
      <w:r w:rsidR="00E06A9B" w:rsidRPr="001608F6">
        <w:t xml:space="preserve"> is responsible for the development of the official EPA emissions inventory model for highway and non</w:t>
      </w:r>
      <w:r w:rsidR="00D06A2F">
        <w:t>-</w:t>
      </w:r>
      <w:r w:rsidR="00E06A9B" w:rsidRPr="001608F6">
        <w:t>road mobile sources, MOVES (Motor Vehicle Emission Simulator</w:t>
      </w:r>
      <w:r w:rsidR="00B02BD1" w:rsidRPr="001608F6">
        <w:t>)</w:t>
      </w:r>
      <w:r w:rsidR="00E06A9B" w:rsidRPr="001608F6">
        <w:t>.</w:t>
      </w:r>
      <w:r w:rsidR="00A5645F" w:rsidRPr="00176BFD">
        <w:t xml:space="preserve"> </w:t>
      </w:r>
      <w:r w:rsidR="00E06A9B" w:rsidRPr="00176BFD">
        <w:t xml:space="preserve">This model is also </w:t>
      </w:r>
      <w:r w:rsidR="00E06A9B" w:rsidRPr="001608F6">
        <w:t>used by state, local</w:t>
      </w:r>
      <w:r w:rsidR="00B2673D" w:rsidRPr="001608F6">
        <w:t>,</w:t>
      </w:r>
      <w:r w:rsidR="00E06A9B" w:rsidRPr="001608F6">
        <w:t xml:space="preserve"> and regiona</w:t>
      </w:r>
      <w:r w:rsidR="00E06A9B" w:rsidRPr="00176BFD">
        <w:t>l governments for environmental analysis for official submissions to EPA required by the Clean Air Act, such as State Implementation Plans (SIPs) and transportation conformity analysis for roadway construction.</w:t>
      </w:r>
      <w:r w:rsidR="00A5645F" w:rsidRPr="00B46F0C">
        <w:t xml:space="preserve"> </w:t>
      </w:r>
      <w:r w:rsidR="00C61CBE" w:rsidRPr="0064098A">
        <w:t xml:space="preserve">MOVES is </w:t>
      </w:r>
      <w:r w:rsidR="00C61CBE">
        <w:t xml:space="preserve">also </w:t>
      </w:r>
      <w:r w:rsidR="00C61CBE" w:rsidRPr="0064098A">
        <w:t xml:space="preserve">used </w:t>
      </w:r>
      <w:r w:rsidR="00C61CBE">
        <w:t xml:space="preserve">by universities </w:t>
      </w:r>
      <w:r w:rsidR="00C61CBE" w:rsidRPr="0064098A">
        <w:t>for academic research on vehicle emissions.</w:t>
      </w:r>
      <w:r w:rsidR="00C61CBE">
        <w:t xml:space="preserve"> </w:t>
      </w:r>
      <w:r w:rsidR="00E06A9B" w:rsidRPr="00B46F0C">
        <w:t>In addition, the MOVES model is instrumental in the development of nati</w:t>
      </w:r>
      <w:r w:rsidR="00E06A9B" w:rsidRPr="00EE3B98">
        <w:t>onal inventories used for evaluating the costs and benefits of EPA regulations, such as the second phase of the Greenhouse Gas Rule for Heavy-Duty Vehicles</w:t>
      </w:r>
      <w:r w:rsidR="003B46BA">
        <w:t>,</w:t>
      </w:r>
      <w:r w:rsidR="00E06A9B" w:rsidRPr="00EE3B98">
        <w:t xml:space="preserve"> currently underway, including the predictions of the effects of EPA regula</w:t>
      </w:r>
      <w:r w:rsidR="00E06A9B" w:rsidRPr="0064098A">
        <w:t xml:space="preserve">tions on air quality. </w:t>
      </w:r>
    </w:p>
    <w:p w14:paraId="5C1B8B44" w14:textId="3BD70413" w:rsidR="00E06A9B" w:rsidRPr="00E06A9B" w:rsidRDefault="00E06A9B" w:rsidP="1A8A4BE3">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szCs w:val="24"/>
        </w:rPr>
      </w:pPr>
      <w:r w:rsidRPr="001608F6">
        <w:t>The use of MOVES to develop mobile source inventories depends not only on the development of emission rates for these sources, but also depends on the availability of d</w:t>
      </w:r>
      <w:r w:rsidRPr="00176BFD">
        <w:t>etailed information on source populations and activity (use).</w:t>
      </w:r>
      <w:r w:rsidR="00A5645F" w:rsidRPr="00B46F0C">
        <w:t xml:space="preserve"> </w:t>
      </w:r>
      <w:r w:rsidRPr="00B46F0C">
        <w:t xml:space="preserve">Since emission rates can vary significantly by the fuel used and the type of vehicle, having </w:t>
      </w:r>
      <w:r w:rsidR="002827D9" w:rsidRPr="001608F6">
        <w:t xml:space="preserve">reliable </w:t>
      </w:r>
      <w:r w:rsidRPr="001608F6">
        <w:t>information about the kinds of vehicles in the fleet and what fuels they are using is i</w:t>
      </w:r>
      <w:r w:rsidRPr="00176BFD">
        <w:t>mportant.</w:t>
      </w:r>
      <w:r w:rsidR="00A5645F" w:rsidRPr="00176BFD">
        <w:t xml:space="preserve"> </w:t>
      </w:r>
      <w:r w:rsidRPr="00176BFD">
        <w:t>Most EPA emission standards apply to vehicles in groups based on their gross vehicle weight rating (GVWR), which is why knowing vehicle weight of vehicles is important to EPA.</w:t>
      </w:r>
    </w:p>
    <w:p w14:paraId="3BFBD6FE" w14:textId="0C538FC3" w:rsidR="00E06A9B" w:rsidRPr="00E06A9B" w:rsidRDefault="00E06A9B" w:rsidP="1A8A4BE3">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szCs w:val="24"/>
        </w:rPr>
      </w:pPr>
      <w:r w:rsidRPr="001608F6">
        <w:t xml:space="preserve">One important source of total vehicle miles traveled for EPA is the Highway Performance Monitoring System (HPMS) </w:t>
      </w:r>
      <w:r w:rsidR="00D06A2F">
        <w:t>managed</w:t>
      </w:r>
      <w:r w:rsidRPr="001608F6">
        <w:t xml:space="preserve"> by the Federal Highway Administration (FHWA).</w:t>
      </w:r>
      <w:r w:rsidR="00A5645F" w:rsidRPr="00176BFD">
        <w:t xml:space="preserve"> </w:t>
      </w:r>
      <w:r w:rsidRPr="00176BFD">
        <w:t>HPMS obtains statistical measurements from each state to develop detailed estimates of annual vehicle miles travelled on highways over the entire</w:t>
      </w:r>
      <w:r w:rsidRPr="00B46F0C">
        <w:t xml:space="preserve"> nation.</w:t>
      </w:r>
      <w:r w:rsidR="00A5645F" w:rsidRPr="00B46F0C">
        <w:t xml:space="preserve"> </w:t>
      </w:r>
      <w:r w:rsidRPr="00521AF1">
        <w:t>These measurement</w:t>
      </w:r>
      <w:r w:rsidRPr="00E309AB">
        <w:t>s cannot determine the regulatory classification of vehicles (based on GVWR), but can differentiate vehicles into basic vehicle types (motorcycles, short- and long-wheelbase light-duty vehicles, buses, single unit</w:t>
      </w:r>
      <w:r w:rsidR="002827D9" w:rsidRPr="00EE3B98">
        <w:t>,</w:t>
      </w:r>
      <w:r w:rsidRPr="00EE3B98">
        <w:t xml:space="preserve"> and combination trucks).</w:t>
      </w:r>
      <w:r w:rsidR="00A5645F" w:rsidRPr="00EE3B98">
        <w:t xml:space="preserve"> </w:t>
      </w:r>
      <w:r w:rsidRPr="00EE3B98">
        <w:t xml:space="preserve">Recently FHWA added a new parameter at 10,000 lbs. to distinguish between light-duty and heavy-duty vehicles. However, regardless of weight, FHWA now bundles </w:t>
      </w:r>
      <w:r w:rsidRPr="001608F6">
        <w:t>six</w:t>
      </w:r>
      <w:r w:rsidR="002827D9" w:rsidRPr="001608F6">
        <w:t>-</w:t>
      </w:r>
      <w:r w:rsidRPr="001608F6">
        <w:t xml:space="preserve">tire vehicles in with other single unit trucks, so knowing the </w:t>
      </w:r>
      <w:r w:rsidRPr="00176BFD">
        <w:t>configuration of tires helps to properly place EIA survey vehicles in the proper activity group.</w:t>
      </w:r>
      <w:r w:rsidR="00A5645F" w:rsidRPr="00176BFD">
        <w:t xml:space="preserve"> </w:t>
      </w:r>
      <w:r w:rsidRPr="00B46F0C">
        <w:t>Similarly, recent EPA regulations for greenhouse gases affect the emissions of single unit and combination trucks differently.</w:t>
      </w:r>
      <w:r w:rsidR="00A5645F" w:rsidRPr="00EE3B98">
        <w:t xml:space="preserve"> </w:t>
      </w:r>
    </w:p>
    <w:p w14:paraId="6D54DFE7" w14:textId="104634EC" w:rsidR="00B87E64" w:rsidRDefault="00B2673D" w:rsidP="00F84240">
      <w:pPr>
        <w:numPr>
          <w:ilvl w:val="3"/>
          <w:numId w:val="14"/>
        </w:num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lang w:eastAsia="ar-SA"/>
        </w:rPr>
      </w:pPr>
      <w:r w:rsidRPr="001608F6">
        <w:rPr>
          <w:lang w:eastAsia="ar-SA"/>
        </w:rPr>
        <w:t xml:space="preserve">EIA </w:t>
      </w:r>
      <w:r w:rsidR="00BB620F" w:rsidRPr="001608F6">
        <w:rPr>
          <w:lang w:eastAsia="ar-SA"/>
        </w:rPr>
        <w:t xml:space="preserve">also </w:t>
      </w:r>
      <w:r w:rsidRPr="001608F6">
        <w:rPr>
          <w:lang w:eastAsia="ar-SA"/>
        </w:rPr>
        <w:t xml:space="preserve">seeks to gather information about electric vehicle </w:t>
      </w:r>
      <w:r w:rsidR="005505ED">
        <w:rPr>
          <w:lang w:eastAsia="ar-SA"/>
        </w:rPr>
        <w:t xml:space="preserve">charging infrastructure. </w:t>
      </w:r>
      <w:r w:rsidR="00216DC7">
        <w:rPr>
          <w:lang w:eastAsia="ar-SA"/>
        </w:rPr>
        <w:t xml:space="preserve">EIA </w:t>
      </w:r>
      <w:r w:rsidR="00AF6FE7">
        <w:rPr>
          <w:lang w:eastAsia="ar-SA"/>
        </w:rPr>
        <w:t xml:space="preserve">will </w:t>
      </w:r>
      <w:r w:rsidR="00F30DE2">
        <w:rPr>
          <w:lang w:eastAsia="ar-SA"/>
        </w:rPr>
        <w:t xml:space="preserve">add </w:t>
      </w:r>
      <w:r w:rsidR="00B87E64">
        <w:rPr>
          <w:lang w:eastAsia="ar-SA"/>
        </w:rPr>
        <w:t xml:space="preserve">the following two </w:t>
      </w:r>
      <w:r w:rsidR="00216DC7">
        <w:rPr>
          <w:lang w:eastAsia="ar-SA"/>
        </w:rPr>
        <w:t xml:space="preserve">questions related to the </w:t>
      </w:r>
      <w:r w:rsidR="00B87E64">
        <w:rPr>
          <w:lang w:eastAsia="ar-SA"/>
        </w:rPr>
        <w:t xml:space="preserve">charging </w:t>
      </w:r>
      <w:r w:rsidR="00216DC7">
        <w:rPr>
          <w:lang w:eastAsia="ar-SA"/>
        </w:rPr>
        <w:t>of electric vehicles</w:t>
      </w:r>
      <w:r w:rsidR="00B87E64">
        <w:rPr>
          <w:lang w:eastAsia="ar-SA"/>
        </w:rPr>
        <w:t xml:space="preserve"> to Part 2 Section 2 o</w:t>
      </w:r>
      <w:r w:rsidR="00F77E32">
        <w:rPr>
          <w:lang w:eastAsia="ar-SA"/>
        </w:rPr>
        <w:t>f</w:t>
      </w:r>
      <w:r w:rsidR="00B87E64">
        <w:rPr>
          <w:lang w:eastAsia="ar-SA"/>
        </w:rPr>
        <w:t xml:space="preserve"> the form:</w:t>
      </w:r>
    </w:p>
    <w:p w14:paraId="694C8B27" w14:textId="608C88F0" w:rsidR="00B87E64" w:rsidRDefault="00584EA7" w:rsidP="004F62A6">
      <w:pPr>
        <w:ind w:left="720" w:firstLine="720"/>
        <w:rPr>
          <w:lang w:eastAsia="ar-SA"/>
        </w:rPr>
      </w:pPr>
      <w:r>
        <w:rPr>
          <w:lang w:eastAsia="ar-SA"/>
        </w:rPr>
        <w:t xml:space="preserve">1. </w:t>
      </w:r>
      <w:r w:rsidR="00B87E64">
        <w:rPr>
          <w:lang w:eastAsia="ar-SA"/>
        </w:rPr>
        <w:t>How do you charge your electric/plug-in hybrid electric vehicles?</w:t>
      </w:r>
    </w:p>
    <w:p w14:paraId="388351FA" w14:textId="216A4F54" w:rsidR="00B87E64" w:rsidRDefault="00584EA7" w:rsidP="004F62A6">
      <w:pPr>
        <w:ind w:left="1440"/>
        <w:rPr>
          <w:lang w:eastAsia="ar-SA"/>
        </w:rPr>
      </w:pPr>
      <w:r>
        <w:rPr>
          <w:lang w:eastAsia="ar-SA"/>
        </w:rPr>
        <w:t xml:space="preserve">2. </w:t>
      </w:r>
      <w:r w:rsidR="00B87E64">
        <w:rPr>
          <w:lang w:eastAsia="ar-SA"/>
        </w:rPr>
        <w:t xml:space="preserve">Does your electric </w:t>
      </w:r>
      <w:r w:rsidR="00DE4132">
        <w:rPr>
          <w:lang w:eastAsia="ar-SA"/>
        </w:rPr>
        <w:t>utility</w:t>
      </w:r>
      <w:r w:rsidR="00B87E64">
        <w:rPr>
          <w:lang w:eastAsia="ar-SA"/>
        </w:rPr>
        <w:t xml:space="preserve"> provide separate billing on kilowatt</w:t>
      </w:r>
      <w:r w:rsidR="0068577C">
        <w:rPr>
          <w:lang w:eastAsia="ar-SA"/>
        </w:rPr>
        <w:t xml:space="preserve"> </w:t>
      </w:r>
      <w:r w:rsidR="00B87E64">
        <w:rPr>
          <w:lang w:eastAsia="ar-SA"/>
        </w:rPr>
        <w:t>hour</w:t>
      </w:r>
      <w:r w:rsidR="0068577C">
        <w:rPr>
          <w:lang w:eastAsia="ar-SA"/>
        </w:rPr>
        <w:t>s</w:t>
      </w:r>
      <w:r w:rsidR="00B87E64">
        <w:rPr>
          <w:lang w:eastAsia="ar-SA"/>
        </w:rPr>
        <w:t xml:space="preserve"> used for refueling </w:t>
      </w:r>
      <w:r>
        <w:rPr>
          <w:lang w:eastAsia="ar-SA"/>
        </w:rPr>
        <w:t xml:space="preserve"> </w:t>
      </w:r>
      <w:r w:rsidR="00B87E64">
        <w:rPr>
          <w:lang w:eastAsia="ar-SA"/>
        </w:rPr>
        <w:t>vehicles?</w:t>
      </w:r>
    </w:p>
    <w:p w14:paraId="646B52AC" w14:textId="38C52260" w:rsidR="003E48F8" w:rsidRPr="00C12A7F" w:rsidRDefault="00F30DE2" w:rsidP="004F62A6">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40" w:lineRule="auto"/>
        <w:ind w:left="720"/>
        <w:rPr>
          <w:lang w:eastAsia="ar-SA"/>
        </w:rPr>
      </w:pPr>
      <w:r w:rsidRPr="00521AF1">
        <w:rPr>
          <w:lang w:eastAsia="ar-SA"/>
        </w:rPr>
        <w:t xml:space="preserve">Part 2 of the Form EIA-886 collects data from AFV users on the vehicle type, fuel type, engine configuration, application, quantity, </w:t>
      </w:r>
      <w:r w:rsidRPr="00EE3B98">
        <w:rPr>
          <w:lang w:eastAsia="ar-SA"/>
        </w:rPr>
        <w:t>miles traveled</w:t>
      </w:r>
      <w:r w:rsidR="00B02BD1" w:rsidRPr="00EE3B98">
        <w:rPr>
          <w:lang w:eastAsia="ar-SA"/>
        </w:rPr>
        <w:t>,</w:t>
      </w:r>
      <w:r w:rsidRPr="00EE3B98">
        <w:rPr>
          <w:lang w:eastAsia="ar-SA"/>
        </w:rPr>
        <w:t xml:space="preserve"> and alternative fuel consumption for AFVs in use.</w:t>
      </w:r>
      <w:r w:rsidR="00A5645F" w:rsidRPr="0064098A">
        <w:rPr>
          <w:lang w:eastAsia="ar-SA"/>
        </w:rPr>
        <w:t xml:space="preserve"> </w:t>
      </w:r>
      <w:r w:rsidR="00F77E32">
        <w:rPr>
          <w:lang w:eastAsia="ar-SA"/>
        </w:rPr>
        <w:t>Adding</w:t>
      </w:r>
      <w:r w:rsidR="00C33666">
        <w:rPr>
          <w:lang w:eastAsia="ar-SA"/>
        </w:rPr>
        <w:t xml:space="preserve"> </w:t>
      </w:r>
      <w:r w:rsidR="00584EA7">
        <w:rPr>
          <w:lang w:eastAsia="ar-SA"/>
        </w:rPr>
        <w:t xml:space="preserve">these </w:t>
      </w:r>
      <w:r w:rsidR="003E48F8">
        <w:rPr>
          <w:lang w:eastAsia="ar-SA"/>
        </w:rPr>
        <w:t xml:space="preserve">questions </w:t>
      </w:r>
      <w:r w:rsidR="00C33666">
        <w:rPr>
          <w:lang w:eastAsia="ar-SA"/>
        </w:rPr>
        <w:t xml:space="preserve">allows EIA and </w:t>
      </w:r>
      <w:r w:rsidR="00F77E32">
        <w:rPr>
          <w:lang w:eastAsia="ar-SA"/>
        </w:rPr>
        <w:t xml:space="preserve">its data </w:t>
      </w:r>
      <w:r w:rsidR="003E48F8">
        <w:rPr>
          <w:lang w:eastAsia="ar-SA"/>
        </w:rPr>
        <w:t>users</w:t>
      </w:r>
      <w:r w:rsidR="00C33666">
        <w:rPr>
          <w:lang w:eastAsia="ar-SA"/>
        </w:rPr>
        <w:t xml:space="preserve"> </w:t>
      </w:r>
      <w:r w:rsidR="003E48F8">
        <w:rPr>
          <w:lang w:eastAsia="ar-SA"/>
        </w:rPr>
        <w:t xml:space="preserve">to gain a better understanding of </w:t>
      </w:r>
      <w:r>
        <w:rPr>
          <w:lang w:eastAsia="ar-SA"/>
        </w:rPr>
        <w:t xml:space="preserve">the </w:t>
      </w:r>
      <w:r w:rsidR="003E48F8">
        <w:rPr>
          <w:lang w:eastAsia="ar-SA"/>
        </w:rPr>
        <w:t>refueling</w:t>
      </w:r>
      <w:r w:rsidR="00F77E32">
        <w:rPr>
          <w:lang w:eastAsia="ar-SA"/>
        </w:rPr>
        <w:t>/charging</w:t>
      </w:r>
      <w:r w:rsidR="003E48F8">
        <w:rPr>
          <w:lang w:eastAsia="ar-SA"/>
        </w:rPr>
        <w:t xml:space="preserve"> infrastructure </w:t>
      </w:r>
      <w:r w:rsidR="00B87E64">
        <w:rPr>
          <w:lang w:eastAsia="ar-SA"/>
        </w:rPr>
        <w:t xml:space="preserve">for </w:t>
      </w:r>
      <w:r w:rsidR="003E48F8">
        <w:rPr>
          <w:lang w:eastAsia="ar-SA"/>
        </w:rPr>
        <w:t xml:space="preserve">electric and plug-in hybrid electric vehicles. </w:t>
      </w:r>
    </w:p>
    <w:p w14:paraId="44CF320F" w14:textId="77777777" w:rsidR="000F00E0" w:rsidRDefault="000F00E0">
      <w:pPr>
        <w:spacing w:line="240" w:lineRule="auto"/>
        <w:rPr>
          <w:rFonts w:eastAsiaTheme="majorEastAsia" w:cstheme="majorBidi"/>
          <w:b/>
          <w:color w:val="1396D8"/>
          <w:sz w:val="28"/>
          <w:szCs w:val="26"/>
        </w:rPr>
      </w:pPr>
      <w:bookmarkStart w:id="5" w:name="_Toc492037057"/>
      <w:bookmarkStart w:id="6" w:name="_Toc492544308"/>
      <w:bookmarkStart w:id="7" w:name="_Toc491347217"/>
      <w:r>
        <w:br w:type="page"/>
      </w:r>
    </w:p>
    <w:p w14:paraId="30798385" w14:textId="5DADE762" w:rsidR="00C61CBE" w:rsidRPr="00517259" w:rsidRDefault="003E48F8" w:rsidP="00BD21BE">
      <w:pPr>
        <w:pStyle w:val="Heading2"/>
        <w:rPr>
          <w:rFonts w:eastAsiaTheme="minorHAnsi"/>
        </w:rPr>
      </w:pPr>
      <w:r>
        <w:t>A.1. Legal Justification</w:t>
      </w:r>
      <w:bookmarkEnd w:id="5"/>
      <w:bookmarkEnd w:id="6"/>
    </w:p>
    <w:p w14:paraId="77AB8CEE" w14:textId="77777777" w:rsidR="003E48F8" w:rsidRPr="004D4B61" w:rsidRDefault="003E48F8" w:rsidP="003E48F8">
      <w:pPr>
        <w:ind w:left="360" w:hanging="360"/>
      </w:pPr>
      <w:r w:rsidRPr="004D4B61">
        <w:t>The authority for this mandatory data collection is provided by the following provisions:</w:t>
      </w:r>
    </w:p>
    <w:p w14:paraId="0B4A85B1" w14:textId="58306A13" w:rsidR="003E48F8" w:rsidRPr="00416BE3" w:rsidRDefault="003E48F8" w:rsidP="00DE4132">
      <w:pPr>
        <w:pStyle w:val="ListParagraph"/>
        <w:numPr>
          <w:ilvl w:val="0"/>
          <w:numId w:val="20"/>
        </w:numPr>
      </w:pPr>
      <w:r w:rsidRPr="00416BE3">
        <w:t xml:space="preserve">15 U.S.C. </w:t>
      </w:r>
      <w:r w:rsidR="000F00E0">
        <w:t>§</w:t>
      </w:r>
      <w:r w:rsidRPr="00416BE3">
        <w:t>772(b) states:</w:t>
      </w:r>
    </w:p>
    <w:p w14:paraId="44F79B43" w14:textId="586E3919" w:rsidR="003E48F8" w:rsidRPr="004D4B61" w:rsidRDefault="003E48F8" w:rsidP="00DE4132">
      <w:pPr>
        <w:pStyle w:val="ListParagraph"/>
        <w:numPr>
          <w:ilvl w:val="1"/>
          <w:numId w:val="20"/>
        </w:numPr>
      </w:pPr>
      <w:r w:rsidRPr="004D4B61">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6A0C2983" w14:textId="21664E71" w:rsidR="003E48F8" w:rsidRDefault="003E48F8" w:rsidP="00DE4132">
      <w:pPr>
        <w:pStyle w:val="ListParagraph"/>
        <w:numPr>
          <w:ilvl w:val="0"/>
          <w:numId w:val="20"/>
        </w:numPr>
      </w:pPr>
      <w:r w:rsidRPr="004D4B61">
        <w:t>15 U.S.C. 764(b)</w:t>
      </w:r>
      <w:r w:rsidR="00DF7F34">
        <w:t xml:space="preserve"> </w:t>
      </w:r>
      <w:r w:rsidRPr="004D4B61">
        <w:t xml:space="preserve">states that to the extent authorized by Section 5(a), the </w:t>
      </w:r>
      <w:r w:rsidR="00DF7F34">
        <w:t xml:space="preserve">Administrator </w:t>
      </w:r>
      <w:r w:rsidRPr="004D4B61">
        <w:t>shall:</w:t>
      </w:r>
    </w:p>
    <w:p w14:paraId="6FA16E10" w14:textId="6CDBF647" w:rsidR="003E48F8" w:rsidRDefault="003E48F8" w:rsidP="00DE4132">
      <w:pPr>
        <w:pStyle w:val="ListParagraph"/>
        <w:numPr>
          <w:ilvl w:val="1"/>
          <w:numId w:val="20"/>
        </w:numPr>
      </w:pPr>
      <w:r>
        <w:t>(1)</w:t>
      </w:r>
      <w:r w:rsidR="00DF7F34">
        <w:t xml:space="preserve"> </w:t>
      </w:r>
      <w:r w:rsidRPr="001608F6">
        <w:t>advise the President and the Congress with respect to the establishment of a comprehensive national energy policy in relation to the energy matters for which the Administration has responsibility, and, in coordination with the Secretary of State, the integration of d</w:t>
      </w:r>
      <w:r w:rsidRPr="00176BFD">
        <w:t>omestic and foreign policies relating to energy resource management;</w:t>
      </w:r>
    </w:p>
    <w:p w14:paraId="1F085619" w14:textId="587EF126" w:rsidR="003E48F8" w:rsidRDefault="003E48F8" w:rsidP="00DE4132">
      <w:pPr>
        <w:pStyle w:val="ListParagraph"/>
        <w:numPr>
          <w:ilvl w:val="1"/>
          <w:numId w:val="20"/>
        </w:numPr>
      </w:pPr>
      <w:r w:rsidRPr="004D4B61">
        <w:t xml:space="preserve">(2) </w:t>
      </w:r>
      <w:r>
        <w:t>a</w:t>
      </w:r>
      <w:r w:rsidRPr="004D4B61">
        <w:t>ssess the adequacy of energy resources to meet demands in the immediate and longer range future for all sectors of the economy</w:t>
      </w:r>
      <w:r>
        <w:t xml:space="preserve"> and for the general public;</w:t>
      </w:r>
    </w:p>
    <w:p w14:paraId="1DDBC158" w14:textId="18F62828" w:rsidR="003E48F8" w:rsidRPr="004D4B61" w:rsidRDefault="003E48F8" w:rsidP="00DE4132">
      <w:pPr>
        <w:pStyle w:val="ListParagraph"/>
        <w:numPr>
          <w:ilvl w:val="1"/>
          <w:numId w:val="20"/>
        </w:numPr>
      </w:pPr>
      <w:r w:rsidRPr="001608F6">
        <w:t>(3)</w:t>
      </w:r>
      <w:r w:rsidR="006957FF">
        <w:t xml:space="preserve"> </w:t>
      </w:r>
      <w:r w:rsidRPr="001608F6">
        <w:t>develop effective arrangements for the participation of State and local governments in the resolution of energy problems;</w:t>
      </w:r>
    </w:p>
    <w:p w14:paraId="129512A8" w14:textId="664A56CA" w:rsidR="003E48F8" w:rsidRPr="004D4B61" w:rsidRDefault="003E48F8" w:rsidP="00DE4132">
      <w:pPr>
        <w:pStyle w:val="ListParagraph"/>
        <w:numPr>
          <w:ilvl w:val="1"/>
          <w:numId w:val="20"/>
        </w:numPr>
      </w:pPr>
      <w:r w:rsidRPr="004D4B61">
        <w:t>(4)</w:t>
      </w:r>
      <w:r w:rsidR="006957FF">
        <w:t xml:space="preserve"> </w:t>
      </w:r>
      <w:r w:rsidRPr="004D4B61">
        <w:t>develop plans and programs for dealing with energy production shortages;</w:t>
      </w:r>
    </w:p>
    <w:p w14:paraId="7BF967A8" w14:textId="4056F5CA" w:rsidR="003E48F8" w:rsidRPr="004D4B61" w:rsidRDefault="003E48F8" w:rsidP="00DE4132">
      <w:pPr>
        <w:pStyle w:val="ListParagraph"/>
        <w:numPr>
          <w:ilvl w:val="1"/>
          <w:numId w:val="20"/>
        </w:numPr>
      </w:pPr>
      <w:r w:rsidRPr="004D4B61">
        <w:t>(5)</w:t>
      </w:r>
      <w:r w:rsidR="006957FF">
        <w:t xml:space="preserve"> </w:t>
      </w:r>
      <w:r w:rsidRPr="004D4B61">
        <w:t>promote stability in energy prices to the consumer, promote free and open competition in all aspects of the energy field, prevent unreasonable profits within the various segments of the energy industry, and promote free enterprise;</w:t>
      </w:r>
    </w:p>
    <w:p w14:paraId="2A0A93D0" w14:textId="5F61E054" w:rsidR="003E48F8" w:rsidRPr="004D4B61" w:rsidRDefault="003E48F8" w:rsidP="00DE4132">
      <w:pPr>
        <w:pStyle w:val="ListParagraph"/>
        <w:numPr>
          <w:ilvl w:val="1"/>
          <w:numId w:val="20"/>
        </w:numPr>
      </w:pPr>
      <w:r w:rsidRPr="004D4B61">
        <w:t>(6)</w:t>
      </w:r>
      <w:r w:rsidR="006957FF">
        <w:t xml:space="preserve"> </w:t>
      </w:r>
      <w:r w:rsidRPr="004D4B61">
        <w:t xml:space="preserve">assure that energy programs are designed and implemented in a fair and efficient manner so as to minimize hardship and inequity while assuring that the priority needs of the Nation are met; </w:t>
      </w:r>
    </w:p>
    <w:p w14:paraId="72D56F19" w14:textId="05164C59" w:rsidR="003E48F8" w:rsidRPr="004D4B61" w:rsidRDefault="003E48F8" w:rsidP="00DE4132">
      <w:pPr>
        <w:pStyle w:val="ListParagraph"/>
        <w:numPr>
          <w:ilvl w:val="1"/>
          <w:numId w:val="20"/>
        </w:numPr>
      </w:pPr>
      <w:r w:rsidRPr="004D4B61">
        <w:t>(9)</w:t>
      </w:r>
      <w:r w:rsidR="006957FF">
        <w:t xml:space="preserve"> </w:t>
      </w:r>
      <w:r w:rsidRPr="004D4B61">
        <w:t>collect, evaluate, assemble, and analyze energy information on reserves, production, demand, and related economic data;</w:t>
      </w:r>
      <w:r>
        <w:t xml:space="preserve"> </w:t>
      </w:r>
    </w:p>
    <w:p w14:paraId="0113F870" w14:textId="7A74FDC8" w:rsidR="003E48F8" w:rsidRDefault="003E48F8" w:rsidP="00DE4132">
      <w:pPr>
        <w:pStyle w:val="ListParagraph"/>
        <w:numPr>
          <w:ilvl w:val="1"/>
          <w:numId w:val="20"/>
        </w:numPr>
      </w:pPr>
      <w:r w:rsidRPr="004D4B61">
        <w:t>(12)</w:t>
      </w:r>
      <w:r w:rsidR="006957FF">
        <w:t xml:space="preserve"> </w:t>
      </w:r>
      <w:r w:rsidRPr="004D4B61">
        <w:t>perform such other functions as may be prescribed by law.</w:t>
      </w:r>
    </w:p>
    <w:p w14:paraId="762E98F5" w14:textId="63BC261A" w:rsidR="003E48F8" w:rsidRPr="004D4B61" w:rsidRDefault="003E48F8" w:rsidP="00DE4132">
      <w:pPr>
        <w:pStyle w:val="ListParagraph"/>
        <w:numPr>
          <w:ilvl w:val="0"/>
          <w:numId w:val="20"/>
        </w:numPr>
      </w:pPr>
      <w:r w:rsidRPr="004D4B61">
        <w:t xml:space="preserve">As the authority for invoking </w:t>
      </w:r>
      <w:r w:rsidR="006957FF">
        <w:t>sub s</w:t>
      </w:r>
      <w:r w:rsidRPr="004D4B61">
        <w:t>ection (b), above,</w:t>
      </w:r>
      <w:r w:rsidR="006957FF">
        <w:t xml:space="preserve"> </w:t>
      </w:r>
      <w:r w:rsidRPr="004D4B61">
        <w:t xml:space="preserve">15 U.S.C. </w:t>
      </w:r>
      <w:r w:rsidR="006957FF">
        <w:t>§</w:t>
      </w:r>
      <w:r w:rsidRPr="004D4B61">
        <w:t>764(a)</w:t>
      </w:r>
      <w:r w:rsidR="006957FF">
        <w:t xml:space="preserve"> </w:t>
      </w:r>
      <w:r w:rsidRPr="004D4B61">
        <w:t>states:</w:t>
      </w:r>
    </w:p>
    <w:p w14:paraId="74AED8A7" w14:textId="440EAF9A" w:rsidR="003E48F8" w:rsidRPr="004D4B61" w:rsidRDefault="003E48F8" w:rsidP="00DE4132">
      <w:pPr>
        <w:pStyle w:val="ListParagraph"/>
        <w:numPr>
          <w:ilvl w:val="1"/>
          <w:numId w:val="20"/>
        </w:numPr>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72BA6864" w14:textId="4E8982E5" w:rsidR="003E48F8" w:rsidRPr="004D4B61" w:rsidRDefault="003E48F8" w:rsidP="00DE4132">
      <w:pPr>
        <w:pStyle w:val="ListParagraph"/>
        <w:numPr>
          <w:ilvl w:val="2"/>
          <w:numId w:val="20"/>
        </w:numPr>
      </w:pPr>
      <w:r>
        <w:t>(1)</w:t>
      </w:r>
      <w:r w:rsidR="005D3457">
        <w:t xml:space="preserve"> </w:t>
      </w:r>
      <w:r w:rsidRPr="004D4B61">
        <w:t>specifically transferred to or vested in him by or pursuant to this</w:t>
      </w:r>
      <w:r w:rsidR="005D3457">
        <w:t xml:space="preserve"> chapter;</w:t>
      </w:r>
    </w:p>
    <w:p w14:paraId="7443A98E" w14:textId="00CAD86E" w:rsidR="003E48F8" w:rsidRPr="004D4B61" w:rsidRDefault="003E48F8" w:rsidP="00DE4132">
      <w:pPr>
        <w:pStyle w:val="ListParagraph"/>
        <w:numPr>
          <w:ilvl w:val="2"/>
          <w:numId w:val="20"/>
        </w:numPr>
      </w:pPr>
      <w:r>
        <w:t>(3)</w:t>
      </w:r>
      <w:r w:rsidR="005D3457">
        <w:t xml:space="preserve"> </w:t>
      </w:r>
      <w:r w:rsidRPr="004D4B61">
        <w:t>otherwise specifically vested in the</w:t>
      </w:r>
      <w:r w:rsidR="005D3457">
        <w:t xml:space="preserve"> Administrator</w:t>
      </w:r>
      <w:r w:rsidRPr="004D4B61">
        <w:t xml:space="preserve"> by the Congress.</w:t>
      </w:r>
    </w:p>
    <w:p w14:paraId="62CC95B5" w14:textId="64CF4082" w:rsidR="003E48F8" w:rsidRPr="004D4B61" w:rsidRDefault="00E4152E" w:rsidP="00DE4132">
      <w:pPr>
        <w:pStyle w:val="ListParagraph"/>
        <w:numPr>
          <w:ilvl w:val="0"/>
          <w:numId w:val="20"/>
        </w:numPr>
      </w:pPr>
      <w:r>
        <w:t>Additional authority for this information collection is provided by</w:t>
      </w:r>
      <w:r w:rsidR="003E48F8" w:rsidRPr="004D4B61">
        <w:t xml:space="preserve"> 15 U.S.C. </w:t>
      </w:r>
      <w:r>
        <w:t>§</w:t>
      </w:r>
      <w:r w:rsidR="003E48F8" w:rsidRPr="004D4B61">
        <w:t>790</w:t>
      </w:r>
      <w:r>
        <w:t>(</w:t>
      </w:r>
      <w:r w:rsidR="003E48F8" w:rsidRPr="004D4B61">
        <w:t>a</w:t>
      </w:r>
      <w:r>
        <w:t>) which states;</w:t>
      </w:r>
    </w:p>
    <w:p w14:paraId="5D983AF6" w14:textId="09050995" w:rsidR="003E48F8" w:rsidRDefault="00982603" w:rsidP="00DE4132">
      <w:pPr>
        <w:pStyle w:val="ListParagraph"/>
        <w:numPr>
          <w:ilvl w:val="1"/>
          <w:numId w:val="20"/>
        </w:numPr>
      </w:pPr>
      <w:r>
        <w:t xml:space="preserve">It shall be the duty of the Director to </w:t>
      </w:r>
      <w:r w:rsidR="003E48F8" w:rsidRPr="004D4B61">
        <w:t>establish a National Energy Inf</w:t>
      </w:r>
      <w:r w:rsidR="003E48F8">
        <w:t>ormation System</w:t>
      </w:r>
      <w:r>
        <w:t xml:space="preserve">… </w:t>
      </w:r>
      <w:r w:rsidR="003E48F8">
        <w:t xml:space="preserve">shall </w:t>
      </w:r>
      <w:r w:rsidR="003E48F8" w:rsidRPr="004D4B61">
        <w:t>contain such information as is required to provide a description of and facilitate analysis of energy supply and consumption</w:t>
      </w:r>
      <w:r w:rsidR="003E48F8">
        <w:t xml:space="preserve"> within and affecting the United States on the basis of such geographic areas and economic sectors as may be appropriat</w:t>
      </w:r>
      <w:r>
        <w:t xml:space="preserve">e </w:t>
      </w:r>
      <w:r w:rsidR="003E48F8">
        <w:t>to meet adequately the needs o</w:t>
      </w:r>
      <w:r>
        <w:t>f -</w:t>
      </w:r>
    </w:p>
    <w:p w14:paraId="341AD306" w14:textId="214D42B7" w:rsidR="003E48F8" w:rsidRDefault="003E48F8" w:rsidP="00D06A2F">
      <w:pPr>
        <w:spacing w:after="0"/>
        <w:ind w:left="1987"/>
      </w:pPr>
      <w:r>
        <w:t>(1) the Department of Energy in carrying out its lawful functions;</w:t>
      </w:r>
    </w:p>
    <w:p w14:paraId="041E56FD" w14:textId="2C05390E" w:rsidR="003E48F8" w:rsidRDefault="003E48F8" w:rsidP="00D06A2F">
      <w:pPr>
        <w:spacing w:after="0"/>
        <w:ind w:left="1987"/>
      </w:pPr>
      <w:r>
        <w:t>(2)</w:t>
      </w:r>
      <w:r w:rsidR="0059566C">
        <w:t xml:space="preserve"> </w:t>
      </w:r>
      <w:r>
        <w:t>the Congress;</w:t>
      </w:r>
    </w:p>
    <w:p w14:paraId="4AA09C33" w14:textId="14715EFF" w:rsidR="003E48F8" w:rsidRPr="004D4B61" w:rsidRDefault="003E48F8" w:rsidP="00D06A2F">
      <w:pPr>
        <w:spacing w:after="0"/>
        <w:ind w:left="1987"/>
      </w:pPr>
      <w:r>
        <w:t>(3)</w:t>
      </w:r>
      <w:r w:rsidR="0059566C">
        <w:t xml:space="preserve"> </w:t>
      </w:r>
      <w:r>
        <w:t>other officers and employees of the United States in whom have been vested, or to whom have been delegated energy-related policy decision-making responsibilities;</w:t>
      </w:r>
    </w:p>
    <w:p w14:paraId="0E951B4F" w14:textId="6F473C97" w:rsidR="003E48F8" w:rsidRPr="004D4B61" w:rsidRDefault="00BC5139" w:rsidP="00DE4132">
      <w:pPr>
        <w:pStyle w:val="ListParagraph"/>
        <w:numPr>
          <w:ilvl w:val="1"/>
          <w:numId w:val="20"/>
        </w:numPr>
      </w:pPr>
      <w:r>
        <w:t xml:space="preserve">At a minimum, </w:t>
      </w:r>
      <w:r w:rsidR="003E48F8" w:rsidRPr="004D4B61">
        <w:t>the System shall contain such energy information as is necessary to carry out the Administration's statistical a</w:t>
      </w:r>
      <w:r w:rsidR="003E48F8">
        <w:t xml:space="preserve">nd forecasting activities, and shall include, </w:t>
      </w:r>
      <w:r w:rsidR="003E48F8" w:rsidRPr="004D4B61">
        <w:t>such energy information as is required to</w:t>
      </w:r>
      <w:r w:rsidR="003E48F8">
        <w:t xml:space="preserve"> define and permit analysis of</w:t>
      </w:r>
      <w:r>
        <w:t xml:space="preserve"> - </w:t>
      </w:r>
    </w:p>
    <w:p w14:paraId="094563D2" w14:textId="1AEC559C" w:rsidR="003E48F8" w:rsidRPr="004D4B61" w:rsidRDefault="003E48F8" w:rsidP="00D06A2F">
      <w:pPr>
        <w:spacing w:after="0"/>
        <w:ind w:left="1987"/>
      </w:pPr>
      <w:r>
        <w:t>(1)</w:t>
      </w:r>
      <w:r w:rsidR="00BC5139">
        <w:t xml:space="preserve"> </w:t>
      </w:r>
      <w:r w:rsidRPr="004D4B61">
        <w:t>the institutional structure of the energy supply system including patterns of ownership and control of mineral fuel and non-mineral energy resources and the production, distribution, and marketing of mineral fuels and electricity;</w:t>
      </w:r>
    </w:p>
    <w:p w14:paraId="461312A8" w14:textId="779CF2BF" w:rsidR="003E48F8" w:rsidRPr="004D4B61" w:rsidRDefault="003E48F8" w:rsidP="00D06A2F">
      <w:pPr>
        <w:spacing w:after="0"/>
        <w:ind w:left="1987"/>
      </w:pPr>
      <w:r>
        <w:t>(2)</w:t>
      </w:r>
      <w:r w:rsidR="00BC5139">
        <w:t xml:space="preserve"> </w:t>
      </w:r>
      <w:r>
        <w:t xml:space="preserve">the </w:t>
      </w:r>
      <w:r w:rsidRPr="004D4B61">
        <w:t>consumption of mineral fuels, non-mineral energy resources, and electricity by such classes, sectors, and regions as may be appropriate for the purposes of this Act;</w:t>
      </w:r>
    </w:p>
    <w:p w14:paraId="64BF86AE" w14:textId="5B19889D" w:rsidR="003E48F8" w:rsidRDefault="003E48F8" w:rsidP="00D06A2F">
      <w:pPr>
        <w:spacing w:after="0"/>
        <w:ind w:left="1987"/>
      </w:pPr>
      <w:r>
        <w:t>(5)</w:t>
      </w:r>
      <w:r w:rsidR="00BC5139">
        <w:t xml:space="preserve"> </w:t>
      </w:r>
      <w:r>
        <w:t>i</w:t>
      </w:r>
      <w:r w:rsidRPr="004D4B61">
        <w:t>ndustrial, labor, and regional impacts of changes in patterns of</w:t>
      </w:r>
      <w:r>
        <w:t xml:space="preserve"> energy supply and consumption;</w:t>
      </w:r>
    </w:p>
    <w:p w14:paraId="229E9E46" w14:textId="7D9AD95B" w:rsidR="003E48F8" w:rsidRDefault="003E48F8" w:rsidP="00D06A2F">
      <w:pPr>
        <w:spacing w:after="0"/>
        <w:ind w:left="1987"/>
      </w:pPr>
      <w:r>
        <w:t>(6)</w:t>
      </w:r>
      <w:r w:rsidR="00BC5139">
        <w:t xml:space="preserve"> </w:t>
      </w:r>
      <w:r>
        <w:t>international aspects, economic and otherwise, of the evolving energy situation;</w:t>
      </w:r>
    </w:p>
    <w:p w14:paraId="3A2AADD6" w14:textId="38916E99" w:rsidR="003E48F8" w:rsidRDefault="003E48F8" w:rsidP="00D06A2F">
      <w:pPr>
        <w:spacing w:after="0"/>
        <w:ind w:left="1987"/>
      </w:pPr>
      <w:r>
        <w:t>(7)</w:t>
      </w:r>
      <w:r w:rsidR="00BC5139">
        <w:t xml:space="preserve"> </w:t>
      </w:r>
      <w:r>
        <w:t>long-term relationships between energy supply and consumption in the United States and world communities.</w:t>
      </w:r>
    </w:p>
    <w:p w14:paraId="63174619" w14:textId="21A44A90" w:rsidR="00517259" w:rsidRDefault="00F70362" w:rsidP="00DE4132">
      <w:pPr>
        <w:pStyle w:val="ListParagraph"/>
        <w:numPr>
          <w:ilvl w:val="0"/>
          <w:numId w:val="20"/>
        </w:numPr>
      </w:pPr>
      <w:r>
        <w:t xml:space="preserve">42 U.S.C. §13253 states that </w:t>
      </w:r>
    </w:p>
    <w:p w14:paraId="300703EC" w14:textId="36CD2BF6" w:rsidR="008C06E6" w:rsidRDefault="00F70362" w:rsidP="00D06A2F">
      <w:pPr>
        <w:ind w:left="1080"/>
      </w:pPr>
      <w:r>
        <w:t>(</w:t>
      </w:r>
      <w:r w:rsidR="008C06E6">
        <w:t>a</w:t>
      </w:r>
      <w:r>
        <w:t>)</w:t>
      </w:r>
      <w:r w:rsidR="008C06E6">
        <w:t xml:space="preserve"> the Secretary shall estimate for the following calendar year:;</w:t>
      </w:r>
    </w:p>
    <w:p w14:paraId="77910CF6" w14:textId="4147DB13" w:rsidR="008C06E6" w:rsidRDefault="008C06E6" w:rsidP="00D06A2F">
      <w:pPr>
        <w:spacing w:after="0"/>
        <w:ind w:left="1980"/>
      </w:pPr>
      <w:r>
        <w:t>1) the number of each type of alternative fueled vehicle likely to be in use in the Un</w:t>
      </w:r>
      <w:r w:rsidR="00D06A2F">
        <w:t>i</w:t>
      </w:r>
      <w:r>
        <w:t>ted States</w:t>
      </w:r>
    </w:p>
    <w:p w14:paraId="4B3FE511" w14:textId="77777777" w:rsidR="008C06E6" w:rsidRDefault="008C06E6" w:rsidP="00D06A2F">
      <w:pPr>
        <w:spacing w:after="0"/>
        <w:ind w:left="1620" w:firstLine="360"/>
      </w:pPr>
      <w:r>
        <w:t>2) the probable geographic distribution of such vehicles;</w:t>
      </w:r>
    </w:p>
    <w:p w14:paraId="3F282173" w14:textId="1752ACAC" w:rsidR="008C06E6" w:rsidRDefault="008C06E6" w:rsidP="00D06A2F">
      <w:pPr>
        <w:pStyle w:val="ListParagraph"/>
        <w:numPr>
          <w:ilvl w:val="0"/>
          <w:numId w:val="0"/>
        </w:numPr>
        <w:spacing w:after="0"/>
        <w:ind w:left="1440" w:firstLine="540"/>
      </w:pPr>
      <w:r>
        <w:t xml:space="preserve">3) The amount and distribution of each type of replacement fuel; </w:t>
      </w:r>
    </w:p>
    <w:p w14:paraId="7C37A4BD" w14:textId="781C584D" w:rsidR="00F70362" w:rsidRDefault="00063F59" w:rsidP="00D06A2F">
      <w:pPr>
        <w:pStyle w:val="ListParagraph"/>
        <w:numPr>
          <w:ilvl w:val="0"/>
          <w:numId w:val="0"/>
        </w:numPr>
        <w:ind w:left="1440"/>
      </w:pPr>
      <w:r>
        <w:t xml:space="preserve">(b)(1) </w:t>
      </w:r>
      <w:r w:rsidR="00F70362">
        <w:t xml:space="preserve"> fuel suppliers</w:t>
      </w:r>
      <w:r>
        <w:t xml:space="preserve"> shall</w:t>
      </w:r>
      <w:r w:rsidR="00F70362">
        <w:t xml:space="preserve"> report to the Secretary on the amount of each type of replacement fuel that such supplier…</w:t>
      </w:r>
    </w:p>
    <w:p w14:paraId="2762EAE2" w14:textId="7DA600D3" w:rsidR="00F70362" w:rsidRDefault="00F70362" w:rsidP="00D06A2F">
      <w:pPr>
        <w:spacing w:after="0"/>
        <w:ind w:left="1987"/>
      </w:pPr>
      <w:r>
        <w:t>(A) has supplied on the previous calendar year; and…</w:t>
      </w:r>
    </w:p>
    <w:p w14:paraId="4819B7C8" w14:textId="7628B2AD" w:rsidR="00F70362" w:rsidRDefault="00F70362" w:rsidP="00D06A2F">
      <w:pPr>
        <w:spacing w:after="0"/>
        <w:ind w:left="1987"/>
      </w:pPr>
      <w:r>
        <w:t>(B) plans to make available for the following calendar year;</w:t>
      </w:r>
    </w:p>
    <w:p w14:paraId="29ACE614" w14:textId="77777777" w:rsidR="00D06A2F" w:rsidRDefault="00D06A2F" w:rsidP="00D06A2F">
      <w:pPr>
        <w:spacing w:after="0"/>
        <w:ind w:left="1987"/>
      </w:pPr>
    </w:p>
    <w:p w14:paraId="1DAC4D93" w14:textId="71DBAD3F" w:rsidR="00F70362" w:rsidRDefault="00063F59" w:rsidP="00D06A2F">
      <w:pPr>
        <w:ind w:left="1080" w:firstLine="360"/>
      </w:pPr>
      <w:r>
        <w:t>(b)</w:t>
      </w:r>
      <w:r w:rsidR="00F70362">
        <w:t>(2) suppliers of alternative fueled vehicles to report to the Secretary on the number of each type of alternative fueled vehicle that such supplier…</w:t>
      </w:r>
    </w:p>
    <w:p w14:paraId="63CE157C" w14:textId="690346A9" w:rsidR="00F70362" w:rsidRDefault="00F70362" w:rsidP="00D06A2F">
      <w:pPr>
        <w:ind w:left="1980"/>
      </w:pPr>
      <w:r>
        <w:t>(A) has made available in the previous calendar year; and</w:t>
      </w:r>
    </w:p>
    <w:p w14:paraId="5F23A3A2" w14:textId="0F9D1284" w:rsidR="00F70362" w:rsidRDefault="00F70362" w:rsidP="00D06A2F">
      <w:pPr>
        <w:ind w:left="1980"/>
      </w:pPr>
      <w:r>
        <w:t xml:space="preserve">(B) plans to </w:t>
      </w:r>
      <w:r w:rsidR="008C06E6">
        <w:t>supply</w:t>
      </w:r>
      <w:r>
        <w:t xml:space="preserve"> for the following calendar year; and</w:t>
      </w:r>
    </w:p>
    <w:p w14:paraId="5F061807" w14:textId="493A5927" w:rsidR="00F70362" w:rsidRPr="00A41763" w:rsidRDefault="006B7C09" w:rsidP="00D06A2F">
      <w:pPr>
        <w:spacing w:after="0"/>
        <w:ind w:left="1080" w:firstLine="360"/>
      </w:pPr>
      <w:r>
        <w:t>(3) such fuel suppliers to provide the Secretary information necessary to determine the greenhouse gas emissions from the replacement fuels used, taking into account the entire fuel cycle.</w:t>
      </w:r>
    </w:p>
    <w:p w14:paraId="125BAC62" w14:textId="77777777" w:rsidR="003E48F8" w:rsidRDefault="003E48F8" w:rsidP="00BD21BE">
      <w:pPr>
        <w:pStyle w:val="Heading2"/>
      </w:pPr>
      <w:bookmarkStart w:id="8" w:name="_Toc492037058"/>
      <w:bookmarkStart w:id="9" w:name="_Toc492544309"/>
      <w:r>
        <w:t>A.2. Needs and Uses of Data</w:t>
      </w:r>
      <w:bookmarkEnd w:id="8"/>
      <w:bookmarkEnd w:id="9"/>
      <w:r>
        <w:t xml:space="preserve"> </w:t>
      </w:r>
    </w:p>
    <w:p w14:paraId="61F0E392" w14:textId="7721D30C" w:rsidR="003E48F8" w:rsidRPr="001D4659"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 xml:space="preserve">The purpose of </w:t>
      </w:r>
      <w:bookmarkEnd w:id="7"/>
      <w:r>
        <w:t xml:space="preserve">Form EIA-886 is to collect information on the Alternative Fuel Vehicle industry and </w:t>
      </w:r>
      <w:r w:rsidRPr="001D4659">
        <w:t xml:space="preserve">determine if sufficient quantities of AFVs are available for purchase by </w:t>
      </w:r>
      <w:r w:rsidR="00EA54F1">
        <w:t>f</w:t>
      </w:r>
      <w:r w:rsidRPr="001D4659">
        <w:t xml:space="preserve">ederal and </w:t>
      </w:r>
      <w:r w:rsidR="00EA54F1">
        <w:t>s</w:t>
      </w:r>
      <w:r w:rsidRPr="001D4659">
        <w:t xml:space="preserve">tate agencies and fuel suppliers, and to provide Congress with a measure of the extent to which the objectives of </w:t>
      </w:r>
      <w:r>
        <w:t xml:space="preserve">the </w:t>
      </w:r>
      <w:r w:rsidRPr="001D4659">
        <w:t>E</w:t>
      </w:r>
      <w:r>
        <w:t>nergy Policy Act of 1992 (</w:t>
      </w:r>
      <w:r w:rsidRPr="001D4659">
        <w:t>EPACT</w:t>
      </w:r>
      <w:r>
        <w:t xml:space="preserve">92) </w:t>
      </w:r>
      <w:r w:rsidRPr="001D4659">
        <w:t>are being achieved.</w:t>
      </w:r>
      <w:r>
        <w:t xml:space="preserve"> While auto</w:t>
      </w:r>
      <w:r w:rsidR="00C61CBE">
        <w:t>motive</w:t>
      </w:r>
      <w:r>
        <w:t xml:space="preserve"> manufacturers and aftermarket vehicle converters are not required to </w:t>
      </w:r>
      <w:r w:rsidR="00C61CBE">
        <w:t xml:space="preserve">produce </w:t>
      </w:r>
      <w:r>
        <w:t>AFVs, fleets such as the federal government, state governments, and fuel providers must meet regulatory requirements in petroleum reduction via AFV acquisitions. EIA’s supplier data informs these parties as well as the public to the availability of AFVs in the marketplace. In addition, t</w:t>
      </w:r>
      <w:r w:rsidRPr="001D4659">
        <w:t xml:space="preserve">he data </w:t>
      </w:r>
      <w:r>
        <w:t>serve</w:t>
      </w:r>
      <w:r w:rsidRPr="001D4659">
        <w:t xml:space="preserve"> as market analysis tool</w:t>
      </w:r>
      <w:r>
        <w:t>s</w:t>
      </w:r>
      <w:r w:rsidRPr="001D4659">
        <w:t xml:space="preserve"> for Congress, </w:t>
      </w:r>
      <w:r>
        <w:t>f</w:t>
      </w:r>
      <w:r w:rsidRPr="001D4659">
        <w:t>ederal</w:t>
      </w:r>
      <w:r>
        <w:t xml:space="preserve"> and s</w:t>
      </w:r>
      <w:r w:rsidRPr="001D4659">
        <w:t>tate agencies, AFV suppliers, vehicle fleet managers, and other interested organizations and persons.</w:t>
      </w:r>
      <w:r>
        <w:t xml:space="preserve"> </w:t>
      </w:r>
      <w:r w:rsidRPr="001D4659">
        <w:t xml:space="preserve">These data are also </w:t>
      </w:r>
      <w:r>
        <w:t>used</w:t>
      </w:r>
      <w:r w:rsidRPr="001D4659">
        <w:t xml:space="preserve"> to </w:t>
      </w:r>
      <w:r>
        <w:t>respond to</w:t>
      </w:r>
      <w:r w:rsidRPr="001D4659">
        <w:t xml:space="preserve"> </w:t>
      </w:r>
      <w:r>
        <w:t>numerous</w:t>
      </w:r>
      <w:r w:rsidRPr="001D4659">
        <w:t xml:space="preserve"> public requests for detailed information on AFVs and</w:t>
      </w:r>
      <w:r w:rsidR="00D46C0D">
        <w:t xml:space="preserve"> Alternative Transportation Fuels (</w:t>
      </w:r>
      <w:r w:rsidRPr="001D4659">
        <w:t>ATFs</w:t>
      </w:r>
      <w:r w:rsidR="00D46C0D">
        <w:t>)</w:t>
      </w:r>
      <w:r w:rsidRPr="001D4659">
        <w:t xml:space="preserve">, the number of AFVs distributed by </w:t>
      </w:r>
      <w:r>
        <w:t>s</w:t>
      </w:r>
      <w:r w:rsidRPr="001D4659">
        <w:t>tate</w:t>
      </w:r>
      <w:r>
        <w:t>,</w:t>
      </w:r>
      <w:r w:rsidRPr="001D4659">
        <w:t xml:space="preserve"> as well as the amount and location of the ATFs consumed.</w:t>
      </w:r>
    </w:p>
    <w:p w14:paraId="71574C2D" w14:textId="14FBB5E5"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1D4659">
        <w:t xml:space="preserve">EIA publishes summary information from Form EIA-886 database </w:t>
      </w:r>
      <w:r w:rsidRPr="00054099">
        <w:t xml:space="preserve">in </w:t>
      </w:r>
      <w:r>
        <w:t>the</w:t>
      </w:r>
      <w:r w:rsidRPr="00054099">
        <w:t xml:space="preserve"> annual </w:t>
      </w:r>
      <w:hyperlink r:id="rId23" w:history="1">
        <w:r w:rsidRPr="00AA45CA">
          <w:rPr>
            <w:rStyle w:val="Hyperlink"/>
            <w:i/>
            <w:iCs/>
          </w:rPr>
          <w:t>Alternative Fuel Vehicle Data</w:t>
        </w:r>
      </w:hyperlink>
      <w:r w:rsidRPr="00054099">
        <w:t xml:space="preserve"> report.</w:t>
      </w:r>
      <w:r>
        <w:t xml:space="preserve"> T</w:t>
      </w:r>
      <w:r w:rsidRPr="001D4659">
        <w:t>his report covers historical and projected supplies of AFVs</w:t>
      </w:r>
      <w:r>
        <w:t>,</w:t>
      </w:r>
      <w:r w:rsidRPr="001D4659">
        <w:t xml:space="preserve"> AFV usage by selected user groups</w:t>
      </w:r>
      <w:r>
        <w:t>, and</w:t>
      </w:r>
      <w:r w:rsidRPr="001D4659">
        <w:t xml:space="preserve"> estimates of total U.S. AFV counts and U.S. consumption of </w:t>
      </w:r>
      <w:r w:rsidR="00D46C0D">
        <w:t>ATFs</w:t>
      </w:r>
      <w:r w:rsidRPr="001D4659">
        <w:t>.</w:t>
      </w:r>
      <w:r>
        <w:t xml:space="preserve"> T</w:t>
      </w:r>
      <w:r w:rsidRPr="001D4659">
        <w:t xml:space="preserve">hese </w:t>
      </w:r>
      <w:r>
        <w:t>data</w:t>
      </w:r>
      <w:r w:rsidRPr="001D4659">
        <w:t xml:space="preserve"> provide </w:t>
      </w:r>
      <w:r>
        <w:t xml:space="preserve">a </w:t>
      </w:r>
      <w:r w:rsidRPr="001D4659">
        <w:t>baseline for DOE's transportation sector energy models.</w:t>
      </w:r>
      <w:r>
        <w:t xml:space="preserve"> </w:t>
      </w:r>
      <w:r w:rsidRPr="001D4659">
        <w:t>They also provide the energy consumption measures for alternative transportation fuels in EIA’s State Energy Data System</w:t>
      </w:r>
      <w:r w:rsidR="00D46C0D">
        <w:t xml:space="preserve"> (SEDS)</w:t>
      </w:r>
      <w:r w:rsidRPr="001D4659">
        <w:t>.</w:t>
      </w:r>
      <w:r w:rsidR="00A5645F">
        <w:t xml:space="preserve"> </w:t>
      </w:r>
    </w:p>
    <w:p w14:paraId="3D124904" w14:textId="515068F6"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 xml:space="preserve">In addition, data collected on Form EIA-886 are used in </w:t>
      </w:r>
      <w:r w:rsidRPr="001D4659">
        <w:t>EIA's National Energy Modeling System (NEMS)</w:t>
      </w:r>
      <w:r>
        <w:t xml:space="preserve">, a </w:t>
      </w:r>
      <w:r w:rsidRPr="001D4659">
        <w:t>component model that forecasts transportation sector energy consumption and provides a framework for AFV policy and technology analysis.</w:t>
      </w:r>
      <w:r>
        <w:t xml:space="preserve"> D</w:t>
      </w:r>
      <w:r w:rsidRPr="001D4659">
        <w:t>ata obtained from Form EIA-886 are used to improve the NEMS Transportation Demand Model by allowing for greater detail in AFV type and characteristics</w:t>
      </w:r>
      <w:r>
        <w:t xml:space="preserve">. Similarly, </w:t>
      </w:r>
      <w:r w:rsidR="00D46C0D">
        <w:t xml:space="preserve">EPA’s </w:t>
      </w:r>
      <w:r>
        <w:t>Office of Transportation and Air Quality’s Motor Vehicle Emission Simulator (MOVES) depends on the availability of detailed inventory and fuel use data at the vehicle type level to model national and regional estimates of AFV emissions, air quality, and environmental analysis.</w:t>
      </w:r>
      <w:r w:rsidR="00D4457C">
        <w:t xml:space="preserve"> Specifically</w:t>
      </w:r>
      <w:r w:rsidR="00B72B75">
        <w:t xml:space="preserve">, </w:t>
      </w:r>
      <w:r w:rsidR="00D4457C">
        <w:t xml:space="preserve">EPA uses the data collected on Form EIA-886 to make modeling decisions when developing mobile-source emissions inventory for their MOVES model. </w:t>
      </w:r>
    </w:p>
    <w:p w14:paraId="0188033C" w14:textId="77777777" w:rsidR="003E48F8" w:rsidRPr="004D09A4" w:rsidRDefault="003E48F8" w:rsidP="00BD21BE">
      <w:pPr>
        <w:pStyle w:val="Heading2"/>
      </w:pPr>
      <w:bookmarkStart w:id="10" w:name="_Toc491347220"/>
      <w:bookmarkStart w:id="11" w:name="_Toc492037059"/>
      <w:bookmarkStart w:id="12" w:name="_Toc492544310"/>
      <w:r>
        <w:t xml:space="preserve">A.3. </w:t>
      </w:r>
      <w:r w:rsidRPr="008435B0">
        <w:t>Use of Technology</w:t>
      </w:r>
      <w:bookmarkEnd w:id="10"/>
      <w:bookmarkEnd w:id="11"/>
      <w:bookmarkEnd w:id="12"/>
    </w:p>
    <w:p w14:paraId="59F0D409" w14:textId="28DC6109" w:rsidR="003E48F8" w:rsidRDefault="003E48F8" w:rsidP="0020499E">
      <w:pPr>
        <w:spacing w:before="100" w:beforeAutospacing="1"/>
      </w:pPr>
      <w:r w:rsidRPr="001608F6">
        <w:t xml:space="preserve">Form EIA-886 uses </w:t>
      </w:r>
      <w:r w:rsidRPr="001D4659">
        <w:t xml:space="preserve">an </w:t>
      </w:r>
      <w:r>
        <w:t>Internet</w:t>
      </w:r>
      <w:r w:rsidRPr="001D4659">
        <w:t>-based data collection system</w:t>
      </w:r>
      <w:r>
        <w:t xml:space="preserve"> as the primary means of data collection from respondents (i.e., state agencies, fuel providers, transit agencies, local governments and private organizations. </w:t>
      </w:r>
      <w:r w:rsidRPr="00873AF8">
        <w:t>The Internet-based system</w:t>
      </w:r>
      <w:r>
        <w:t>s</w:t>
      </w:r>
      <w:r w:rsidRPr="00873AF8">
        <w:t xml:space="preserve"> allow respondents to enter their data directly into EIA survey database</w:t>
      </w:r>
      <w:r>
        <w:t>s</w:t>
      </w:r>
      <w:r w:rsidRPr="00873AF8">
        <w:t>, which reduces the time needed for data collection and processing.</w:t>
      </w:r>
      <w:r>
        <w:t xml:space="preserve"> </w:t>
      </w:r>
      <w:r w:rsidRPr="00873AF8">
        <w:t>The system</w:t>
      </w:r>
      <w:r>
        <w:t>s</w:t>
      </w:r>
      <w:r w:rsidRPr="00873AF8">
        <w:t xml:space="preserve"> </w:t>
      </w:r>
      <w:r>
        <w:t>identify reported</w:t>
      </w:r>
      <w:r w:rsidRPr="00873AF8">
        <w:t xml:space="preserve"> data that fail edit</w:t>
      </w:r>
      <w:r>
        <w:t xml:space="preserve"> specifications</w:t>
      </w:r>
      <w:r w:rsidRPr="00873AF8">
        <w:t xml:space="preserve"> prior to submission, which allow respondents to make necessary corrections or explain unusual </w:t>
      </w:r>
      <w:r>
        <w:t>situations</w:t>
      </w:r>
      <w:r w:rsidRPr="00873AF8">
        <w:t xml:space="preserve"> impacting the reported data.</w:t>
      </w:r>
      <w:r>
        <w:t xml:space="preserve"> </w:t>
      </w:r>
      <w:r w:rsidRPr="00873AF8">
        <w:t>This data editing process reduces respondent burden by reducing the number of times a respondent must resubmit forms prior to acceptance by EIA.</w:t>
      </w:r>
      <w:r>
        <w:t xml:space="preserve"> </w:t>
      </w:r>
      <w:r w:rsidRPr="00873AF8">
        <w:t>It also improves the timeliness of reporting the information to the public.</w:t>
      </w:r>
      <w:r>
        <w:t xml:space="preserve"> </w:t>
      </w:r>
      <w:r w:rsidRPr="00873AF8">
        <w:t xml:space="preserve">The only equipment and software </w:t>
      </w:r>
      <w:r w:rsidR="00A617A7">
        <w:t>a</w:t>
      </w:r>
      <w:r w:rsidR="00A617A7" w:rsidRPr="00873AF8">
        <w:t xml:space="preserve"> </w:t>
      </w:r>
      <w:r w:rsidRPr="00873AF8">
        <w:t>respondent requires is a connection to the Internet and a standard industry web browser.</w:t>
      </w:r>
    </w:p>
    <w:p w14:paraId="070342CD" w14:textId="77777777" w:rsidR="003E48F8" w:rsidRDefault="003E48F8" w:rsidP="1A8A4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napToGrid w:val="0"/>
        </w:rPr>
      </w:pPr>
      <w:r w:rsidRPr="001D4659">
        <w:t xml:space="preserve">EIA encourages all </w:t>
      </w:r>
      <w:r>
        <w:t xml:space="preserve">Form </w:t>
      </w:r>
      <w:r w:rsidRPr="001D4659">
        <w:t xml:space="preserve">EIA-886 respondents to use the electronic </w:t>
      </w:r>
      <w:r>
        <w:t xml:space="preserve">data collection </w:t>
      </w:r>
      <w:r w:rsidRPr="001D4659">
        <w:t>system.</w:t>
      </w:r>
      <w:r>
        <w:t xml:space="preserve"> During the 2016 survey cycle, 90</w:t>
      </w:r>
      <w:r w:rsidRPr="001D4659">
        <w:rPr>
          <w:snapToGrid w:val="0"/>
        </w:rPr>
        <w:t xml:space="preserve">% of </w:t>
      </w:r>
      <w:r>
        <w:rPr>
          <w:snapToGrid w:val="0"/>
        </w:rPr>
        <w:t xml:space="preserve">Form EIA-886 </w:t>
      </w:r>
      <w:r w:rsidRPr="001D4659">
        <w:rPr>
          <w:snapToGrid w:val="0"/>
        </w:rPr>
        <w:t xml:space="preserve">respondents </w:t>
      </w:r>
      <w:r>
        <w:rPr>
          <w:snapToGrid w:val="0"/>
        </w:rPr>
        <w:t>reported through this system</w:t>
      </w:r>
      <w:r w:rsidRPr="0020499E">
        <w:t>.</w:t>
      </w:r>
      <w:r>
        <w:rPr>
          <w:snapToGrid w:val="0"/>
        </w:rPr>
        <w:t xml:space="preserve"> The remaining </w:t>
      </w:r>
      <w:r w:rsidRPr="001D4659">
        <w:rPr>
          <w:snapToGrid w:val="0"/>
        </w:rPr>
        <w:t xml:space="preserve">respondents do not have </w:t>
      </w:r>
      <w:r>
        <w:rPr>
          <w:snapToGrid w:val="0"/>
        </w:rPr>
        <w:t>I</w:t>
      </w:r>
      <w:r w:rsidRPr="001D4659">
        <w:rPr>
          <w:snapToGrid w:val="0"/>
        </w:rPr>
        <w:t>nternet access and/or prefer to</w:t>
      </w:r>
      <w:r w:rsidRPr="0020499E">
        <w:t xml:space="preserve"> </w:t>
      </w:r>
      <w:r w:rsidRPr="001D4659">
        <w:rPr>
          <w:snapToGrid w:val="0"/>
        </w:rPr>
        <w:t xml:space="preserve">use </w:t>
      </w:r>
      <w:r>
        <w:rPr>
          <w:snapToGrid w:val="0"/>
        </w:rPr>
        <w:t>another reporting method, such as fax or first class mail.</w:t>
      </w:r>
    </w:p>
    <w:p w14:paraId="23267623" w14:textId="14D7941D" w:rsidR="003E48F8" w:rsidRPr="001D4659" w:rsidRDefault="003E48F8" w:rsidP="0020499E">
      <w:pPr>
        <w:widowControl w:val="0"/>
        <w:spacing w:before="100" w:beforeAutospacing="1"/>
      </w:pPr>
      <w:r w:rsidRPr="001608F6">
        <w:t>To automate and reduce duplicative reporting by federal agencies, the Federal Automotive Statistical Tool (FAST) Web-based data collection system was developed jointly by FEMP, EIA</w:t>
      </w:r>
      <w:r w:rsidR="00A617A7" w:rsidRPr="00176BFD">
        <w:t>,</w:t>
      </w:r>
      <w:r w:rsidRPr="00176BFD">
        <w:t xml:space="preserve"> and GSA</w:t>
      </w:r>
      <w:r w:rsidR="008D3D5C" w:rsidRPr="00176BFD">
        <w:t xml:space="preserve"> in 200</w:t>
      </w:r>
      <w:r w:rsidR="001765A9" w:rsidRPr="00176BFD">
        <w:t>0</w:t>
      </w:r>
      <w:r w:rsidRPr="00B46F0C">
        <w:t xml:space="preserve"> to assist federal fleets in meeting all the aforementioned data reporting requirements.</w:t>
      </w:r>
      <w:r w:rsidR="00A5645F" w:rsidRPr="00EE3B98">
        <w:t xml:space="preserve"> </w:t>
      </w:r>
      <w:r>
        <w:t xml:space="preserve">Federal agencies report the data requirements of Form EIA-886 via FAST, and the </w:t>
      </w:r>
      <w:r w:rsidR="00A617A7">
        <w:t xml:space="preserve">other </w:t>
      </w:r>
      <w:r w:rsidR="00A17503">
        <w:t xml:space="preserve">Form </w:t>
      </w:r>
      <w:r>
        <w:t xml:space="preserve">EIA-886 respondents use </w:t>
      </w:r>
      <w:r w:rsidR="00A17503">
        <w:t>a w</w:t>
      </w:r>
      <w:r>
        <w:t>eb-based data collection system to comply with these reporting requirements. At the close of the survey cycle, data reported in FAST are transferred into Form EIA-886 Web-based data collection system for processing.</w:t>
      </w:r>
    </w:p>
    <w:p w14:paraId="158ED105" w14:textId="77777777" w:rsidR="003E48F8" w:rsidRDefault="003E48F8" w:rsidP="00BD21BE">
      <w:pPr>
        <w:pStyle w:val="Heading2"/>
      </w:pPr>
      <w:bookmarkStart w:id="13" w:name="_Toc492037060"/>
      <w:bookmarkStart w:id="14" w:name="_Toc492544311"/>
      <w:r w:rsidRPr="001608F6">
        <w:t xml:space="preserve">A.4. Efforts </w:t>
      </w:r>
      <w:bookmarkStart w:id="15" w:name="_Toc491347221"/>
      <w:r>
        <w:t>to Identify Duplication</w:t>
      </w:r>
      <w:bookmarkEnd w:id="13"/>
      <w:bookmarkEnd w:id="14"/>
    </w:p>
    <w:p w14:paraId="22F5580D" w14:textId="2D59E1D8"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EIA reviews and evaluates Alternative Fuel Vehicles industry information available from a variety of sources, including other </w:t>
      </w:r>
      <w:r w:rsidR="00EA54F1">
        <w:t>f</w:t>
      </w:r>
      <w:r>
        <w:t xml:space="preserve">ederal agencies, industry trade associations, </w:t>
      </w:r>
      <w:r w:rsidR="00EA54F1">
        <w:t>s</w:t>
      </w:r>
      <w:r>
        <w:t>tate governments, and commercial information services, to identify instances of duplication. Additionally, in the public notices and consultations associated with the triennial re-clearance of Form EIA-886, EIA encourages respondents and data users to identify alternate sources of AFV information EIA proposes to collect. Instances of potential data duplication identified by EIA are evaluated in terms of data coverage, level of aggregation, frequency of collection, data reliability, and statutory requirements to determine whether alternate data sources represent a suitable substitute for EIA data.</w:t>
      </w:r>
      <w:r w:rsidR="00A5645F">
        <w:t xml:space="preserve"> </w:t>
      </w:r>
    </w:p>
    <w:bookmarkEnd w:id="15"/>
    <w:p w14:paraId="5D4806C9" w14:textId="30A65968"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A thorough review of AFV-related surveys and regulatory programs reveals that, </w:t>
      </w:r>
      <w:r w:rsidRPr="001D4659">
        <w:t xml:space="preserve">while </w:t>
      </w:r>
      <w:r>
        <w:t xml:space="preserve">data collection programs exist, Form EIA-886 is the only </w:t>
      </w:r>
      <w:r w:rsidRPr="001D4659">
        <w:t xml:space="preserve">survey </w:t>
      </w:r>
      <w:r>
        <w:t xml:space="preserve">that </w:t>
      </w:r>
      <w:r w:rsidRPr="001D4659">
        <w:t>collects complete historical or short-term forecasts of the</w:t>
      </w:r>
      <w:r w:rsidR="00A617A7">
        <w:t xml:space="preserve"> vehicle</w:t>
      </w:r>
      <w:r w:rsidRPr="001D4659">
        <w:t xml:space="preserve"> types and quantities of AFVs made available by AFV suppliers</w:t>
      </w:r>
      <w:r>
        <w:t xml:space="preserve"> and</w:t>
      </w:r>
      <w:r w:rsidRPr="001D4659">
        <w:t xml:space="preserve"> </w:t>
      </w:r>
      <w:r>
        <w:t xml:space="preserve">collects </w:t>
      </w:r>
      <w:r w:rsidRPr="001D4659">
        <w:t>the number, type, and geographical location of the AFVs</w:t>
      </w:r>
      <w:r>
        <w:t>,</w:t>
      </w:r>
      <w:r w:rsidRPr="001D4659">
        <w:t xml:space="preserve"> along with the consumption of alternative fuels by these vehicles.</w:t>
      </w:r>
      <w:r>
        <w:t xml:space="preserve"> </w:t>
      </w:r>
      <w:r w:rsidRPr="001608F6">
        <w:t>The t</w:t>
      </w:r>
      <w:r>
        <w:t xml:space="preserve">able </w:t>
      </w:r>
      <w:r w:rsidR="00945AA0">
        <w:t xml:space="preserve">below </w:t>
      </w:r>
      <w:r>
        <w:t>outlines the various DOE and non-DOE programs related to alternative fuels and provides a description of their coverage as compared to the coverage of Form EIA-886.</w:t>
      </w:r>
    </w:p>
    <w:p w14:paraId="2F393EC3" w14:textId="77777777"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510"/>
        <w:gridCol w:w="3888"/>
      </w:tblGrid>
      <w:tr w:rsidR="003E48F8" w:rsidRPr="00B067D5" w14:paraId="588BEB04" w14:textId="77777777" w:rsidTr="0020499E">
        <w:tc>
          <w:tcPr>
            <w:tcW w:w="2178" w:type="dxa"/>
            <w:shd w:val="clear" w:color="auto" w:fill="DBE5F1"/>
            <w:vAlign w:val="center"/>
          </w:tcPr>
          <w:p w14:paraId="42298E57"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br w:type="page"/>
            </w:r>
            <w:r w:rsidRPr="001608F6">
              <w:rPr>
                <w:b/>
                <w:bCs/>
                <w:sz w:val="18"/>
                <w:szCs w:val="18"/>
              </w:rPr>
              <w:t>Agency</w:t>
            </w:r>
          </w:p>
        </w:tc>
        <w:tc>
          <w:tcPr>
            <w:tcW w:w="3510" w:type="dxa"/>
            <w:shd w:val="clear" w:color="auto" w:fill="DBE5F1"/>
            <w:vAlign w:val="center"/>
          </w:tcPr>
          <w:p w14:paraId="4F466EBB"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Office</w:t>
            </w:r>
          </w:p>
        </w:tc>
        <w:tc>
          <w:tcPr>
            <w:tcW w:w="3888" w:type="dxa"/>
            <w:shd w:val="clear" w:color="auto" w:fill="DBE5F1"/>
            <w:vAlign w:val="center"/>
          </w:tcPr>
          <w:p w14:paraId="5C12CE94"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Form/Regulatory Requirement</w:t>
            </w:r>
          </w:p>
        </w:tc>
      </w:tr>
      <w:tr w:rsidR="003E48F8" w:rsidRPr="00B067D5" w14:paraId="5C042E4A" w14:textId="77777777" w:rsidTr="0020499E">
        <w:tc>
          <w:tcPr>
            <w:tcW w:w="2178" w:type="dxa"/>
            <w:vAlign w:val="center"/>
          </w:tcPr>
          <w:p w14:paraId="0AC3DDD6"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Department of Energy</w:t>
            </w:r>
          </w:p>
        </w:tc>
        <w:tc>
          <w:tcPr>
            <w:tcW w:w="3510" w:type="dxa"/>
            <w:vAlign w:val="center"/>
          </w:tcPr>
          <w:p w14:paraId="17220501"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Energy Efficiency &amp; Renewable Energy</w:t>
            </w:r>
          </w:p>
        </w:tc>
        <w:tc>
          <w:tcPr>
            <w:tcW w:w="3888" w:type="dxa"/>
            <w:vAlign w:val="center"/>
          </w:tcPr>
          <w:p w14:paraId="0F26BBED" w14:textId="78C0BD80"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1A8A4BE3">
              <w:rPr>
                <w:b/>
                <w:bCs/>
                <w:i/>
                <w:iCs/>
                <w:sz w:val="18"/>
                <w:szCs w:val="18"/>
              </w:rPr>
              <w:t>State &amp; Alternative Fuel Provider Program</w:t>
            </w:r>
            <w:r w:rsidR="00A5645F" w:rsidRPr="1A8A4BE3">
              <w:rPr>
                <w:b/>
                <w:bCs/>
                <w:i/>
                <w:iCs/>
                <w:sz w:val="18"/>
                <w:szCs w:val="18"/>
              </w:rPr>
              <w:t xml:space="preserve"> </w:t>
            </w:r>
            <w:hyperlink r:id="rId24" w:history="1">
              <w:r w:rsidRPr="1A8A4BE3">
                <w:rPr>
                  <w:rStyle w:val="Hyperlink"/>
                  <w:b/>
                  <w:bCs/>
                  <w:i/>
                  <w:iCs/>
                  <w:sz w:val="18"/>
                  <w:szCs w:val="18"/>
                </w:rPr>
                <w:t>[10 CFR Part 490]</w:t>
              </w:r>
            </w:hyperlink>
            <w:r w:rsidRPr="1A8A4BE3">
              <w:rPr>
                <w:b/>
                <w:bCs/>
                <w:i/>
                <w:iCs/>
                <w:sz w:val="18"/>
                <w:szCs w:val="18"/>
              </w:rPr>
              <w:t xml:space="preserve"> </w:t>
            </w:r>
          </w:p>
        </w:tc>
      </w:tr>
      <w:tr w:rsidR="003E48F8" w:rsidRPr="00B067D5" w14:paraId="3EF4EDF1" w14:textId="77777777" w:rsidTr="0020499E">
        <w:tc>
          <w:tcPr>
            <w:tcW w:w="9576" w:type="dxa"/>
            <w:gridSpan w:val="3"/>
            <w:vAlign w:val="center"/>
          </w:tcPr>
          <w:p w14:paraId="2770B9C1" w14:textId="77777777"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u w:val="single"/>
              </w:rPr>
              <w:t>Summary:</w:t>
            </w:r>
          </w:p>
          <w:p w14:paraId="2A92F808" w14:textId="77777777"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rPr>
              <w:t>Requires covered fleets either to acquire AFVs as a percentage of their annual light-duty vehicle acquisitions or to employ other petroleum reducing methods in lieu of acquiring AFVs.</w:t>
            </w:r>
          </w:p>
          <w:p w14:paraId="6342195B" w14:textId="141AC379"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data collected by Form </w:t>
            </w:r>
            <w:r w:rsidRPr="00B067D5">
              <w:rPr>
                <w:sz w:val="18"/>
                <w:szCs w:val="18"/>
                <w:u w:val="single"/>
              </w:rPr>
              <w:t>EIA-886:</w:t>
            </w:r>
          </w:p>
          <w:p w14:paraId="79D398B6" w14:textId="1532C5B9" w:rsidR="003E48F8" w:rsidRDefault="003E48F8" w:rsidP="003E48F8">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sz w:val="18"/>
                <w:szCs w:val="18"/>
              </w:rPr>
            </w:pPr>
            <w:r>
              <w:rPr>
                <w:sz w:val="18"/>
                <w:szCs w:val="18"/>
              </w:rPr>
              <w:t xml:space="preserve">Order </w:t>
            </w:r>
            <w:r w:rsidR="00917600">
              <w:rPr>
                <w:sz w:val="18"/>
                <w:szCs w:val="18"/>
              </w:rPr>
              <w:t>10</w:t>
            </w:r>
            <w:r>
              <w:rPr>
                <w:sz w:val="18"/>
                <w:szCs w:val="18"/>
              </w:rPr>
              <w:t>-CFR Part 490</w:t>
            </w:r>
            <w:r w:rsidR="004F2B00">
              <w:rPr>
                <w:sz w:val="18"/>
                <w:szCs w:val="18"/>
              </w:rPr>
              <w:t xml:space="preserve">, Alternative Fuel Transportation Program, </w:t>
            </w:r>
            <w:r>
              <w:rPr>
                <w:sz w:val="18"/>
                <w:szCs w:val="18"/>
              </w:rPr>
              <w:t xml:space="preserve">requires the </w:t>
            </w:r>
            <w:r w:rsidRPr="00B067D5">
              <w:rPr>
                <w:sz w:val="18"/>
                <w:szCs w:val="18"/>
              </w:rPr>
              <w:t xml:space="preserve">reporting of </w:t>
            </w:r>
            <w:r>
              <w:rPr>
                <w:sz w:val="18"/>
                <w:szCs w:val="18"/>
              </w:rPr>
              <w:t xml:space="preserve">only </w:t>
            </w:r>
            <w:r w:rsidRPr="00B067D5">
              <w:rPr>
                <w:sz w:val="18"/>
                <w:szCs w:val="18"/>
              </w:rPr>
              <w:t>vehicle acquisitions</w:t>
            </w:r>
            <w:r>
              <w:rPr>
                <w:sz w:val="18"/>
                <w:szCs w:val="18"/>
              </w:rPr>
              <w:t>, and not vehicle inventory</w:t>
            </w:r>
            <w:r w:rsidRPr="00B067D5">
              <w:rPr>
                <w:sz w:val="18"/>
                <w:szCs w:val="18"/>
              </w:rPr>
              <w:t>.</w:t>
            </w:r>
            <w:r w:rsidR="00A5645F">
              <w:rPr>
                <w:sz w:val="18"/>
                <w:szCs w:val="18"/>
              </w:rPr>
              <w:t xml:space="preserve"> </w:t>
            </w:r>
            <w:r>
              <w:rPr>
                <w:sz w:val="18"/>
                <w:szCs w:val="18"/>
              </w:rPr>
              <w:t>Attempting to estimate</w:t>
            </w:r>
            <w:r w:rsidRPr="00B067D5">
              <w:rPr>
                <w:sz w:val="18"/>
                <w:szCs w:val="18"/>
              </w:rPr>
              <w:t xml:space="preserve"> vehicle inventory</w:t>
            </w:r>
            <w:r>
              <w:rPr>
                <w:sz w:val="18"/>
                <w:szCs w:val="18"/>
              </w:rPr>
              <w:t xml:space="preserve"> from this acquisitions data</w:t>
            </w:r>
            <w:r w:rsidRPr="00B067D5">
              <w:rPr>
                <w:sz w:val="18"/>
                <w:szCs w:val="18"/>
              </w:rPr>
              <w:t>, as needed by EIA to determine fuel consu</w:t>
            </w:r>
            <w:r>
              <w:rPr>
                <w:sz w:val="18"/>
                <w:szCs w:val="18"/>
              </w:rPr>
              <w:t>mption, cannot be performed with statistical confidence.</w:t>
            </w:r>
          </w:p>
          <w:p w14:paraId="45968A75" w14:textId="57D8052D" w:rsidR="003E48F8" w:rsidRDefault="003E48F8" w:rsidP="003E48F8">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sz w:val="18"/>
                <w:szCs w:val="18"/>
              </w:rPr>
            </w:pPr>
            <w:r w:rsidRPr="00B067D5">
              <w:rPr>
                <w:sz w:val="18"/>
                <w:szCs w:val="18"/>
              </w:rPr>
              <w:t xml:space="preserve">The </w:t>
            </w:r>
            <w:r>
              <w:rPr>
                <w:sz w:val="18"/>
                <w:szCs w:val="18"/>
              </w:rPr>
              <w:t xml:space="preserve">reporting </w:t>
            </w:r>
            <w:r w:rsidRPr="00B067D5">
              <w:rPr>
                <w:sz w:val="18"/>
                <w:szCs w:val="18"/>
              </w:rPr>
              <w:t xml:space="preserve">requirements apply only if a </w:t>
            </w:r>
            <w:r>
              <w:rPr>
                <w:sz w:val="18"/>
                <w:szCs w:val="18"/>
              </w:rPr>
              <w:t>s</w:t>
            </w:r>
            <w:r w:rsidRPr="00B067D5">
              <w:rPr>
                <w:sz w:val="18"/>
                <w:szCs w:val="18"/>
              </w:rPr>
              <w:t>tate government or fuel provider: 1) owns, operates, leases, or controls at least 50 light duty vehicles (LDVs) within the United States (excluding law enforcement vehicles, emergency motor vehicles and non</w:t>
            </w:r>
            <w:r>
              <w:rPr>
                <w:sz w:val="18"/>
                <w:szCs w:val="18"/>
              </w:rPr>
              <w:t>-</w:t>
            </w:r>
            <w:r w:rsidRPr="00B067D5">
              <w:rPr>
                <w:sz w:val="18"/>
                <w:szCs w:val="18"/>
              </w:rPr>
              <w:t>road motor vehicles); 2) 20 of those LDVs are used primarily within any Consolidated/</w:t>
            </w:r>
            <w:r>
              <w:rPr>
                <w:sz w:val="18"/>
                <w:szCs w:val="18"/>
              </w:rPr>
              <w:t xml:space="preserve"> </w:t>
            </w:r>
            <w:r w:rsidRPr="00B067D5">
              <w:rPr>
                <w:sz w:val="18"/>
                <w:szCs w:val="18"/>
              </w:rPr>
              <w:t>Metropolitan Statistical Area</w:t>
            </w:r>
            <w:r>
              <w:rPr>
                <w:sz w:val="18"/>
                <w:szCs w:val="18"/>
              </w:rPr>
              <w:t>;</w:t>
            </w:r>
            <w:r w:rsidRPr="00B067D5">
              <w:rPr>
                <w:sz w:val="18"/>
                <w:szCs w:val="18"/>
              </w:rPr>
              <w:t xml:space="preserve"> and 3) those same 20 LDVs are centrally fueled, or are capable of being centrally fueled. </w:t>
            </w:r>
            <w:r>
              <w:rPr>
                <w:sz w:val="18"/>
                <w:szCs w:val="18"/>
              </w:rPr>
              <w:t>(</w:t>
            </w:r>
            <w:r w:rsidRPr="00B067D5">
              <w:rPr>
                <w:sz w:val="18"/>
                <w:szCs w:val="18"/>
              </w:rPr>
              <w:t>The term “centrally fueled” means that a refueling infrastructure exists within reasonable traveling distance from the fleet.</w:t>
            </w:r>
            <w:r>
              <w:rPr>
                <w:sz w:val="18"/>
                <w:szCs w:val="18"/>
              </w:rPr>
              <w:t>)</w:t>
            </w:r>
            <w:r w:rsidR="00A5645F">
              <w:rPr>
                <w:sz w:val="18"/>
                <w:szCs w:val="18"/>
              </w:rPr>
              <w:t xml:space="preserve"> </w:t>
            </w:r>
            <w:r w:rsidRPr="00B067D5">
              <w:rPr>
                <w:sz w:val="18"/>
                <w:szCs w:val="18"/>
              </w:rPr>
              <w:t>The void left by those organizations that are not required to report to DOE</w:t>
            </w:r>
            <w:r>
              <w:rPr>
                <w:sz w:val="18"/>
                <w:szCs w:val="18"/>
              </w:rPr>
              <w:t>,</w:t>
            </w:r>
            <w:r w:rsidRPr="00B067D5">
              <w:rPr>
                <w:sz w:val="18"/>
                <w:szCs w:val="18"/>
              </w:rPr>
              <w:t xml:space="preserve"> or whose vehicles are exempted</w:t>
            </w:r>
            <w:r>
              <w:rPr>
                <w:sz w:val="18"/>
                <w:szCs w:val="18"/>
              </w:rPr>
              <w:t>,</w:t>
            </w:r>
            <w:r w:rsidRPr="00B067D5">
              <w:rPr>
                <w:sz w:val="18"/>
                <w:szCs w:val="18"/>
              </w:rPr>
              <w:t xml:space="preserve"> make it cumbersome, expensive, and detrimental to the overall quality of</w:t>
            </w:r>
            <w:r>
              <w:rPr>
                <w:sz w:val="18"/>
                <w:szCs w:val="18"/>
              </w:rPr>
              <w:t xml:space="preserve"> fulfilling EPACT92’s mandates by attempting to supplement</w:t>
            </w:r>
            <w:r w:rsidRPr="00B067D5">
              <w:rPr>
                <w:sz w:val="18"/>
                <w:szCs w:val="18"/>
              </w:rPr>
              <w:t xml:space="preserve"> the</w:t>
            </w:r>
            <w:r>
              <w:rPr>
                <w:sz w:val="18"/>
                <w:szCs w:val="18"/>
              </w:rPr>
              <w:t>se</w:t>
            </w:r>
            <w:r w:rsidRPr="00B067D5">
              <w:rPr>
                <w:sz w:val="18"/>
                <w:szCs w:val="18"/>
              </w:rPr>
              <w:t xml:space="preserve"> data from other sources</w:t>
            </w:r>
            <w:r>
              <w:rPr>
                <w:sz w:val="18"/>
                <w:szCs w:val="18"/>
              </w:rPr>
              <w:t>.</w:t>
            </w:r>
          </w:p>
          <w:p w14:paraId="3B4A8C96" w14:textId="74D700A6" w:rsidR="003E48F8" w:rsidRDefault="003E48F8" w:rsidP="003E48F8">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sz w:val="18"/>
                <w:szCs w:val="18"/>
              </w:rPr>
            </w:pPr>
            <w:r w:rsidRPr="00B067D5">
              <w:rPr>
                <w:sz w:val="18"/>
                <w:szCs w:val="18"/>
              </w:rPr>
              <w:t>Data on fleets exempt from the rulemaking are needed to accurately estimate total AFVs in use and ATF</w:t>
            </w:r>
            <w:r w:rsidR="00945AA0">
              <w:rPr>
                <w:sz w:val="18"/>
                <w:szCs w:val="18"/>
              </w:rPr>
              <w:t>s</w:t>
            </w:r>
            <w:r w:rsidRPr="00B067D5">
              <w:rPr>
                <w:sz w:val="18"/>
                <w:szCs w:val="18"/>
              </w:rPr>
              <w:t xml:space="preserve"> consumption and to satisfy many public requests for detailed information on AFVs and ATFs, </w:t>
            </w:r>
            <w:r>
              <w:rPr>
                <w:sz w:val="18"/>
                <w:szCs w:val="18"/>
              </w:rPr>
              <w:t>(</w:t>
            </w:r>
            <w:r w:rsidRPr="00B067D5">
              <w:rPr>
                <w:sz w:val="18"/>
                <w:szCs w:val="18"/>
              </w:rPr>
              <w:t>e.g., in determining where t</w:t>
            </w:r>
            <w:r>
              <w:rPr>
                <w:sz w:val="18"/>
                <w:szCs w:val="18"/>
              </w:rPr>
              <w:t>o locate a refueling facility).</w:t>
            </w:r>
          </w:p>
          <w:p w14:paraId="3600276A" w14:textId="77777777"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tc>
      </w:tr>
    </w:tbl>
    <w:p w14:paraId="6249DA2E" w14:textId="77777777" w:rsidR="003E48F8" w:rsidRDefault="003E48F8" w:rsidP="004F2B00">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510"/>
        <w:gridCol w:w="3888"/>
      </w:tblGrid>
      <w:tr w:rsidR="003E48F8" w:rsidRPr="00B067D5" w14:paraId="524F0FF0" w14:textId="77777777" w:rsidTr="1A8A4BE3">
        <w:tc>
          <w:tcPr>
            <w:tcW w:w="2178" w:type="dxa"/>
            <w:shd w:val="clear" w:color="auto" w:fill="DBE5F1"/>
          </w:tcPr>
          <w:p w14:paraId="464405D4"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br w:type="page"/>
            </w:r>
            <w:r w:rsidRPr="001608F6">
              <w:rPr>
                <w:b/>
                <w:bCs/>
                <w:sz w:val="18"/>
                <w:szCs w:val="18"/>
              </w:rPr>
              <w:t>Agency</w:t>
            </w:r>
          </w:p>
        </w:tc>
        <w:tc>
          <w:tcPr>
            <w:tcW w:w="3510" w:type="dxa"/>
            <w:shd w:val="clear" w:color="auto" w:fill="DBE5F1"/>
          </w:tcPr>
          <w:p w14:paraId="3AA07E2B"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Office</w:t>
            </w:r>
          </w:p>
        </w:tc>
        <w:tc>
          <w:tcPr>
            <w:tcW w:w="3888" w:type="dxa"/>
            <w:shd w:val="clear" w:color="auto" w:fill="DBE5F1"/>
          </w:tcPr>
          <w:p w14:paraId="3A14FD88"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Form/Regulatory Requirement</w:t>
            </w:r>
          </w:p>
        </w:tc>
      </w:tr>
      <w:tr w:rsidR="003E48F8" w:rsidRPr="00B067D5" w14:paraId="35A24236" w14:textId="77777777" w:rsidTr="0020499E">
        <w:tc>
          <w:tcPr>
            <w:tcW w:w="2178" w:type="dxa"/>
            <w:tcBorders>
              <w:top w:val="single" w:sz="4" w:space="0" w:color="auto"/>
              <w:left w:val="single" w:sz="4" w:space="0" w:color="auto"/>
              <w:bottom w:val="single" w:sz="4" w:space="0" w:color="auto"/>
              <w:right w:val="single" w:sz="4" w:space="0" w:color="auto"/>
            </w:tcBorders>
            <w:vAlign w:val="center"/>
          </w:tcPr>
          <w:p w14:paraId="3E23599B"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Department of Energy</w:t>
            </w:r>
          </w:p>
        </w:tc>
        <w:tc>
          <w:tcPr>
            <w:tcW w:w="3510" w:type="dxa"/>
            <w:tcBorders>
              <w:top w:val="single" w:sz="4" w:space="0" w:color="auto"/>
              <w:left w:val="single" w:sz="4" w:space="0" w:color="auto"/>
              <w:bottom w:val="single" w:sz="4" w:space="0" w:color="auto"/>
              <w:right w:val="single" w:sz="4" w:space="0" w:color="auto"/>
            </w:tcBorders>
            <w:vAlign w:val="center"/>
          </w:tcPr>
          <w:p w14:paraId="6D316CF7"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Energy Efficiency &amp; Renewable Energy</w:t>
            </w:r>
          </w:p>
        </w:tc>
        <w:tc>
          <w:tcPr>
            <w:tcW w:w="3888" w:type="dxa"/>
            <w:tcBorders>
              <w:top w:val="single" w:sz="4" w:space="0" w:color="auto"/>
              <w:left w:val="single" w:sz="4" w:space="0" w:color="auto"/>
              <w:bottom w:val="single" w:sz="4" w:space="0" w:color="auto"/>
              <w:right w:val="single" w:sz="4" w:space="0" w:color="auto"/>
            </w:tcBorders>
            <w:vAlign w:val="center"/>
          </w:tcPr>
          <w:p w14:paraId="1C2E41E2"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 xml:space="preserve">Private &amp; Local Government Fleet </w:t>
            </w:r>
            <w:hyperlink r:id="rId25" w:history="1">
              <w:r w:rsidRPr="001608F6">
                <w:rPr>
                  <w:rStyle w:val="Hyperlink"/>
                  <w:b/>
                  <w:bCs/>
                  <w:i/>
                  <w:iCs/>
                  <w:sz w:val="18"/>
                  <w:szCs w:val="18"/>
                </w:rPr>
                <w:t>Determination</w:t>
              </w:r>
            </w:hyperlink>
            <w:r w:rsidRPr="001608F6">
              <w:rPr>
                <w:b/>
                <w:bCs/>
                <w:i/>
                <w:iCs/>
                <w:sz w:val="18"/>
                <w:szCs w:val="18"/>
              </w:rPr>
              <w:t xml:space="preserve"> </w:t>
            </w:r>
          </w:p>
        </w:tc>
      </w:tr>
      <w:tr w:rsidR="003E48F8" w:rsidRPr="00B067D5" w14:paraId="48A27D2B" w14:textId="77777777" w:rsidTr="0020499E">
        <w:tc>
          <w:tcPr>
            <w:tcW w:w="9576" w:type="dxa"/>
            <w:gridSpan w:val="3"/>
            <w:tcBorders>
              <w:top w:val="single" w:sz="4" w:space="0" w:color="auto"/>
              <w:left w:val="single" w:sz="4" w:space="0" w:color="auto"/>
              <w:bottom w:val="single" w:sz="4" w:space="0" w:color="auto"/>
              <w:right w:val="single" w:sz="4" w:space="0" w:color="auto"/>
            </w:tcBorders>
            <w:vAlign w:val="center"/>
          </w:tcPr>
          <w:p w14:paraId="2CD2D38E" w14:textId="77777777"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Summary:</w:t>
            </w:r>
          </w:p>
          <w:p w14:paraId="2F0AC26F" w14:textId="154B6751"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Pr>
                <w:sz w:val="18"/>
                <w:szCs w:val="18"/>
              </w:rPr>
              <w:t xml:space="preserve">Under the Energy Policy Act of 1992, </w:t>
            </w:r>
            <w:r w:rsidRPr="00B067D5">
              <w:rPr>
                <w:sz w:val="18"/>
                <w:szCs w:val="18"/>
              </w:rPr>
              <w:t xml:space="preserve">DOE </w:t>
            </w:r>
            <w:r>
              <w:rPr>
                <w:sz w:val="18"/>
                <w:szCs w:val="18"/>
              </w:rPr>
              <w:t xml:space="preserve">was directed to </w:t>
            </w:r>
            <w:r w:rsidRPr="00B067D5">
              <w:rPr>
                <w:sz w:val="18"/>
                <w:szCs w:val="18"/>
              </w:rPr>
              <w:t>determine whether private and local government fleets should be subject to DOE’s Alternative Fuel Transportation Program and associated requirements.</w:t>
            </w:r>
            <w:r w:rsidR="00A5645F">
              <w:rPr>
                <w:sz w:val="18"/>
                <w:szCs w:val="18"/>
              </w:rPr>
              <w:t xml:space="preserve"> </w:t>
            </w:r>
            <w:r w:rsidRPr="00B067D5">
              <w:rPr>
                <w:sz w:val="18"/>
                <w:szCs w:val="18"/>
              </w:rPr>
              <w:t xml:space="preserve">In March 2008, DOE determined not to require </w:t>
            </w:r>
            <w:r>
              <w:rPr>
                <w:sz w:val="18"/>
                <w:szCs w:val="18"/>
              </w:rPr>
              <w:t>that private and local government fleets</w:t>
            </w:r>
            <w:r w:rsidRPr="00B067D5">
              <w:rPr>
                <w:sz w:val="18"/>
                <w:szCs w:val="18"/>
              </w:rPr>
              <w:t xml:space="preserve"> acquire AFVs</w:t>
            </w:r>
            <w:r>
              <w:rPr>
                <w:sz w:val="18"/>
                <w:szCs w:val="18"/>
              </w:rPr>
              <w:t>,</w:t>
            </w:r>
            <w:r w:rsidRPr="00B067D5">
              <w:rPr>
                <w:sz w:val="18"/>
                <w:szCs w:val="18"/>
              </w:rPr>
              <w:t xml:space="preserve"> because such a requirement is not </w:t>
            </w:r>
            <w:r>
              <w:rPr>
                <w:sz w:val="18"/>
                <w:szCs w:val="18"/>
              </w:rPr>
              <w:t xml:space="preserve">currently </w:t>
            </w:r>
            <w:r w:rsidRPr="00B067D5">
              <w:rPr>
                <w:sz w:val="18"/>
                <w:szCs w:val="18"/>
              </w:rPr>
              <w:t>necessary to achieve the Replace Fuel Goal (a statue to replace 30% of U</w:t>
            </w:r>
            <w:r>
              <w:rPr>
                <w:sz w:val="18"/>
                <w:szCs w:val="18"/>
              </w:rPr>
              <w:t>.</w:t>
            </w:r>
            <w:r w:rsidRPr="00B067D5">
              <w:rPr>
                <w:sz w:val="18"/>
                <w:szCs w:val="18"/>
              </w:rPr>
              <w:t>S</w:t>
            </w:r>
            <w:r>
              <w:rPr>
                <w:sz w:val="18"/>
                <w:szCs w:val="18"/>
              </w:rPr>
              <w:t>.</w:t>
            </w:r>
            <w:r w:rsidRPr="00B067D5">
              <w:rPr>
                <w:sz w:val="18"/>
                <w:szCs w:val="18"/>
              </w:rPr>
              <w:t xml:space="preserve"> motor fuel with</w:t>
            </w:r>
            <w:r>
              <w:rPr>
                <w:sz w:val="18"/>
                <w:szCs w:val="18"/>
              </w:rPr>
              <w:t xml:space="preserve"> non-petroleum fuels by 2030).</w:t>
            </w:r>
          </w:p>
          <w:p w14:paraId="4AD1D99D" w14:textId="68224E09"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data collected by Form </w:t>
            </w:r>
            <w:r w:rsidRPr="00B067D5">
              <w:rPr>
                <w:sz w:val="18"/>
                <w:szCs w:val="18"/>
                <w:u w:val="single"/>
              </w:rPr>
              <w:t>EIA-886:</w:t>
            </w:r>
          </w:p>
          <w:p w14:paraId="6F964C33" w14:textId="08C74B59" w:rsidR="003E48F8" w:rsidRDefault="003E48F8" w:rsidP="003E48F8">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sz w:val="18"/>
                <w:szCs w:val="18"/>
              </w:rPr>
            </w:pPr>
            <w:r w:rsidRPr="00B067D5">
              <w:rPr>
                <w:sz w:val="18"/>
                <w:szCs w:val="18"/>
              </w:rPr>
              <w:t>As stated in the summary above, private and local government fleets are not subject to regulatory requirements</w:t>
            </w:r>
            <w:r>
              <w:rPr>
                <w:sz w:val="18"/>
                <w:szCs w:val="18"/>
              </w:rPr>
              <w:t xml:space="preserve"> that AFVs routinely be acquired. As a result, Form </w:t>
            </w:r>
            <w:r w:rsidRPr="00B067D5">
              <w:rPr>
                <w:sz w:val="18"/>
                <w:szCs w:val="18"/>
              </w:rPr>
              <w:t xml:space="preserve">EIA-886 is the </w:t>
            </w:r>
            <w:r>
              <w:rPr>
                <w:sz w:val="18"/>
                <w:szCs w:val="18"/>
              </w:rPr>
              <w:t>best</w:t>
            </w:r>
            <w:r w:rsidRPr="00B067D5">
              <w:rPr>
                <w:sz w:val="18"/>
                <w:szCs w:val="18"/>
              </w:rPr>
              <w:t xml:space="preserve"> source of </w:t>
            </w:r>
            <w:r>
              <w:rPr>
                <w:sz w:val="18"/>
                <w:szCs w:val="18"/>
              </w:rPr>
              <w:t xml:space="preserve">comprehensive </w:t>
            </w:r>
            <w:r w:rsidRPr="00B067D5">
              <w:rPr>
                <w:sz w:val="18"/>
                <w:szCs w:val="18"/>
              </w:rPr>
              <w:t>AFV inventory and alternative fuel consumption data</w:t>
            </w:r>
            <w:r>
              <w:rPr>
                <w:sz w:val="18"/>
                <w:szCs w:val="18"/>
              </w:rPr>
              <w:t>.</w:t>
            </w:r>
          </w:p>
          <w:p w14:paraId="73F63D81" w14:textId="77777777"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rPr>
                <w:sz w:val="18"/>
                <w:szCs w:val="18"/>
              </w:rPr>
            </w:pPr>
          </w:p>
        </w:tc>
      </w:tr>
      <w:tr w:rsidR="003E48F8" w:rsidRPr="005969CB" w14:paraId="6418495A" w14:textId="77777777" w:rsidTr="0020499E">
        <w:tc>
          <w:tcPr>
            <w:tcW w:w="2178" w:type="dxa"/>
            <w:tcBorders>
              <w:top w:val="single" w:sz="4" w:space="0" w:color="auto"/>
              <w:left w:val="single" w:sz="4" w:space="0" w:color="auto"/>
              <w:bottom w:val="single" w:sz="4" w:space="0" w:color="auto"/>
              <w:right w:val="single" w:sz="4" w:space="0" w:color="auto"/>
            </w:tcBorders>
            <w:shd w:val="clear" w:color="auto" w:fill="DBE5F1"/>
          </w:tcPr>
          <w:p w14:paraId="1CA8A57A"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Agency</w:t>
            </w:r>
          </w:p>
        </w:tc>
        <w:tc>
          <w:tcPr>
            <w:tcW w:w="3510" w:type="dxa"/>
            <w:tcBorders>
              <w:top w:val="single" w:sz="4" w:space="0" w:color="auto"/>
              <w:left w:val="single" w:sz="4" w:space="0" w:color="auto"/>
              <w:bottom w:val="single" w:sz="4" w:space="0" w:color="auto"/>
              <w:right w:val="single" w:sz="4" w:space="0" w:color="auto"/>
            </w:tcBorders>
            <w:shd w:val="clear" w:color="auto" w:fill="DBE5F1"/>
          </w:tcPr>
          <w:p w14:paraId="0CE0FE68"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Office</w:t>
            </w:r>
          </w:p>
        </w:tc>
        <w:tc>
          <w:tcPr>
            <w:tcW w:w="3888" w:type="dxa"/>
            <w:tcBorders>
              <w:top w:val="single" w:sz="4" w:space="0" w:color="auto"/>
              <w:left w:val="single" w:sz="4" w:space="0" w:color="auto"/>
              <w:bottom w:val="single" w:sz="4" w:space="0" w:color="auto"/>
              <w:right w:val="single" w:sz="4" w:space="0" w:color="auto"/>
            </w:tcBorders>
            <w:shd w:val="clear" w:color="auto" w:fill="DBE5F1"/>
          </w:tcPr>
          <w:p w14:paraId="2E8CA164"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Form/Regulatory Requirement</w:t>
            </w:r>
          </w:p>
        </w:tc>
      </w:tr>
      <w:tr w:rsidR="003E48F8" w:rsidRPr="005969CB" w14:paraId="4ADA4B12" w14:textId="77777777" w:rsidTr="0020499E">
        <w:tc>
          <w:tcPr>
            <w:tcW w:w="2178" w:type="dxa"/>
            <w:tcBorders>
              <w:top w:val="single" w:sz="4" w:space="0" w:color="auto"/>
              <w:left w:val="single" w:sz="4" w:space="0" w:color="auto"/>
              <w:bottom w:val="single" w:sz="4" w:space="0" w:color="auto"/>
              <w:right w:val="single" w:sz="4" w:space="0" w:color="auto"/>
            </w:tcBorders>
            <w:vAlign w:val="center"/>
          </w:tcPr>
          <w:p w14:paraId="12C2DB3D"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Department of Energy</w:t>
            </w:r>
          </w:p>
        </w:tc>
        <w:tc>
          <w:tcPr>
            <w:tcW w:w="3510" w:type="dxa"/>
            <w:tcBorders>
              <w:top w:val="single" w:sz="4" w:space="0" w:color="auto"/>
              <w:left w:val="single" w:sz="4" w:space="0" w:color="auto"/>
              <w:bottom w:val="single" w:sz="4" w:space="0" w:color="auto"/>
              <w:right w:val="single" w:sz="4" w:space="0" w:color="auto"/>
            </w:tcBorders>
            <w:vAlign w:val="center"/>
          </w:tcPr>
          <w:p w14:paraId="586168F5"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Energy Efficiency &amp; Renewable Energy</w:t>
            </w:r>
          </w:p>
          <w:p w14:paraId="2C0468E1"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Federal Energy Management Program</w:t>
            </w:r>
          </w:p>
        </w:tc>
        <w:tc>
          <w:tcPr>
            <w:tcW w:w="3888" w:type="dxa"/>
            <w:tcBorders>
              <w:top w:val="single" w:sz="4" w:space="0" w:color="auto"/>
              <w:left w:val="single" w:sz="4" w:space="0" w:color="auto"/>
              <w:bottom w:val="single" w:sz="4" w:space="0" w:color="auto"/>
              <w:right w:val="single" w:sz="4" w:space="0" w:color="auto"/>
            </w:tcBorders>
            <w:vAlign w:val="center"/>
          </w:tcPr>
          <w:p w14:paraId="40384C77"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 xml:space="preserve">Executive Order 13149 – </w:t>
            </w:r>
            <w:hyperlink r:id="rId26" w:history="1">
              <w:r w:rsidRPr="001608F6">
                <w:rPr>
                  <w:rStyle w:val="Hyperlink"/>
                  <w:b/>
                  <w:bCs/>
                  <w:i/>
                  <w:iCs/>
                  <w:sz w:val="18"/>
                  <w:szCs w:val="18"/>
                </w:rPr>
                <w:t>Greening the Government Through Federal Fleet &amp; Transportation Efficiency</w:t>
              </w:r>
            </w:hyperlink>
            <w:r w:rsidRPr="001608F6">
              <w:rPr>
                <w:b/>
                <w:bCs/>
                <w:i/>
                <w:iCs/>
                <w:sz w:val="18"/>
                <w:szCs w:val="18"/>
              </w:rPr>
              <w:t xml:space="preserve"> </w:t>
            </w:r>
          </w:p>
        </w:tc>
      </w:tr>
      <w:tr w:rsidR="003E48F8" w:rsidRPr="00B067D5" w14:paraId="307CFD01" w14:textId="77777777" w:rsidTr="0020499E">
        <w:tc>
          <w:tcPr>
            <w:tcW w:w="9576" w:type="dxa"/>
            <w:gridSpan w:val="3"/>
            <w:tcBorders>
              <w:top w:val="single" w:sz="4" w:space="0" w:color="auto"/>
              <w:left w:val="single" w:sz="4" w:space="0" w:color="auto"/>
              <w:bottom w:val="single" w:sz="4" w:space="0" w:color="auto"/>
              <w:right w:val="single" w:sz="4" w:space="0" w:color="auto"/>
            </w:tcBorders>
            <w:vAlign w:val="center"/>
          </w:tcPr>
          <w:p w14:paraId="337EC336" w14:textId="77777777" w:rsidR="003E48F8"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B067D5">
              <w:rPr>
                <w:sz w:val="18"/>
                <w:szCs w:val="18"/>
                <w:u w:val="single"/>
              </w:rPr>
              <w:t>Summary:</w:t>
            </w:r>
          </w:p>
          <w:p w14:paraId="2113C802" w14:textId="120F0DC9" w:rsidR="003E48F8" w:rsidRPr="00A376ED"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A376ED">
              <w:rPr>
                <w:sz w:val="18"/>
                <w:szCs w:val="18"/>
              </w:rPr>
              <w:t xml:space="preserve">The purpose of this </w:t>
            </w:r>
            <w:r>
              <w:rPr>
                <w:sz w:val="18"/>
                <w:szCs w:val="18"/>
              </w:rPr>
              <w:t xml:space="preserve">April 2000 </w:t>
            </w:r>
            <w:r w:rsidRPr="00A376ED">
              <w:rPr>
                <w:sz w:val="18"/>
                <w:szCs w:val="18"/>
              </w:rPr>
              <w:t xml:space="preserve">order </w:t>
            </w:r>
            <w:r>
              <w:rPr>
                <w:sz w:val="18"/>
                <w:szCs w:val="18"/>
              </w:rPr>
              <w:t>was</w:t>
            </w:r>
            <w:r w:rsidRPr="00A376ED">
              <w:rPr>
                <w:sz w:val="18"/>
                <w:szCs w:val="18"/>
              </w:rPr>
              <w:t xml:space="preserve"> to ensure that the Federal Government exercise leadership in the reduction of petroleum consumption through improvements in fleet fuel efficiency and the use of AFVs</w:t>
            </w:r>
            <w:r w:rsidR="00730806">
              <w:rPr>
                <w:sz w:val="18"/>
                <w:szCs w:val="18"/>
              </w:rPr>
              <w:t xml:space="preserve"> and ATFs .</w:t>
            </w:r>
            <w:r>
              <w:rPr>
                <w:sz w:val="18"/>
                <w:szCs w:val="18"/>
              </w:rPr>
              <w:t xml:space="preserve"> Agencies were required to develop performance strategies to meet goals, and DOE was directed </w:t>
            </w:r>
            <w:r w:rsidRPr="00A376ED">
              <w:rPr>
                <w:sz w:val="18"/>
                <w:szCs w:val="18"/>
              </w:rPr>
              <w:t xml:space="preserve">to establish </w:t>
            </w:r>
            <w:r>
              <w:rPr>
                <w:sz w:val="18"/>
                <w:szCs w:val="18"/>
              </w:rPr>
              <w:t>a</w:t>
            </w:r>
            <w:r w:rsidRPr="00A376ED">
              <w:rPr>
                <w:sz w:val="18"/>
                <w:szCs w:val="18"/>
              </w:rPr>
              <w:t xml:space="preserve"> data collection and reporting system for collecting annual agency performance data on meeting the goals of this order and other applicable statutes and policies</w:t>
            </w:r>
            <w:r>
              <w:rPr>
                <w:sz w:val="18"/>
                <w:szCs w:val="18"/>
              </w:rPr>
              <w:t>.</w:t>
            </w:r>
          </w:p>
          <w:p w14:paraId="0EECC2F4" w14:textId="3F775FD5" w:rsidR="003E48F8"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that collected by Form </w:t>
            </w:r>
            <w:r w:rsidRPr="00B067D5">
              <w:rPr>
                <w:sz w:val="18"/>
                <w:szCs w:val="18"/>
                <w:u w:val="single"/>
              </w:rPr>
              <w:t>EIA-886:</w:t>
            </w:r>
          </w:p>
          <w:p w14:paraId="2BFFD665" w14:textId="764A896E" w:rsidR="003E48F8" w:rsidRPr="0057731E" w:rsidRDefault="003E48F8" w:rsidP="003E48F8">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sz w:val="18"/>
                <w:szCs w:val="18"/>
              </w:rPr>
            </w:pPr>
            <w:r w:rsidRPr="0057731E">
              <w:rPr>
                <w:sz w:val="18"/>
                <w:szCs w:val="18"/>
              </w:rPr>
              <w:t>EIA, GSA</w:t>
            </w:r>
            <w:r w:rsidR="00730806">
              <w:rPr>
                <w:sz w:val="18"/>
                <w:szCs w:val="18"/>
              </w:rPr>
              <w:t>,</w:t>
            </w:r>
            <w:r w:rsidRPr="0057731E">
              <w:rPr>
                <w:sz w:val="18"/>
                <w:szCs w:val="18"/>
              </w:rPr>
              <w:t xml:space="preserve"> and FEMP coordinated all AFV data requirements and developed the Federal Automotive Statistical Tool (FAST) to capture compliance and EPACT92 mandates in one Web-enabled data collection system.</w:t>
            </w:r>
            <w:r w:rsidR="00A5645F">
              <w:rPr>
                <w:sz w:val="18"/>
                <w:szCs w:val="18"/>
              </w:rPr>
              <w:t xml:space="preserve"> </w:t>
            </w:r>
            <w:r w:rsidRPr="0057731E">
              <w:rPr>
                <w:sz w:val="18"/>
                <w:szCs w:val="18"/>
              </w:rPr>
              <w:t>EIA, GSA</w:t>
            </w:r>
            <w:r w:rsidR="00730806">
              <w:rPr>
                <w:sz w:val="18"/>
                <w:szCs w:val="18"/>
              </w:rPr>
              <w:t>,</w:t>
            </w:r>
            <w:r w:rsidRPr="0057731E">
              <w:rPr>
                <w:sz w:val="18"/>
                <w:szCs w:val="18"/>
              </w:rPr>
              <w:t xml:space="preserve"> and FEMP gathered all its individual mandated requirements and consolidated them into one data collection for federal agencies.</w:t>
            </w:r>
            <w:r w:rsidR="00A5645F">
              <w:rPr>
                <w:sz w:val="18"/>
                <w:szCs w:val="18"/>
              </w:rPr>
              <w:t xml:space="preserve"> </w:t>
            </w:r>
            <w:r w:rsidRPr="0057731E">
              <w:rPr>
                <w:sz w:val="18"/>
                <w:szCs w:val="18"/>
              </w:rPr>
              <w:t xml:space="preserve">After the implementation of FAST in 2001, EIA merged its online data collection for </w:t>
            </w:r>
            <w:r w:rsidR="00EA54F1">
              <w:rPr>
                <w:sz w:val="18"/>
                <w:szCs w:val="18"/>
              </w:rPr>
              <w:t>f</w:t>
            </w:r>
            <w:r w:rsidRPr="0057731E">
              <w:rPr>
                <w:sz w:val="18"/>
                <w:szCs w:val="18"/>
              </w:rPr>
              <w:t xml:space="preserve">ederal AFVs with FAST and </w:t>
            </w:r>
            <w:r w:rsidR="00EA54F1">
              <w:rPr>
                <w:sz w:val="18"/>
                <w:szCs w:val="18"/>
              </w:rPr>
              <w:t>f</w:t>
            </w:r>
            <w:r w:rsidRPr="0057731E">
              <w:rPr>
                <w:sz w:val="18"/>
                <w:szCs w:val="18"/>
              </w:rPr>
              <w:t>ederal agencies now report their Form EIA-886 data through this system.</w:t>
            </w:r>
            <w:r w:rsidR="001B0D8B">
              <w:rPr>
                <w:sz w:val="18"/>
                <w:szCs w:val="18"/>
              </w:rPr>
              <w:t xml:space="preserve"> </w:t>
            </w:r>
            <w:r>
              <w:rPr>
                <w:sz w:val="18"/>
                <w:szCs w:val="18"/>
              </w:rPr>
              <w:t xml:space="preserve">Form EIA-886 is not duplicative as it collects data for the </w:t>
            </w:r>
            <w:r w:rsidRPr="00FD69FD">
              <w:rPr>
                <w:sz w:val="18"/>
                <w:szCs w:val="18"/>
              </w:rPr>
              <w:t>remainder of the universe of respondents (i.e., state agencies, fuel providers, transit agencies, local governments and private organizations)</w:t>
            </w:r>
            <w:r>
              <w:rPr>
                <w:sz w:val="18"/>
                <w:szCs w:val="18"/>
              </w:rPr>
              <w:t>.</w:t>
            </w:r>
          </w:p>
          <w:p w14:paraId="10D0ACAC" w14:textId="77777777" w:rsidR="003E48F8" w:rsidRDefault="003E48F8" w:rsidP="00B02BD1">
            <w:pPr>
              <w:pStyle w:val="BodyText"/>
              <w:ind w:left="360"/>
              <w:rPr>
                <w:sz w:val="18"/>
                <w:szCs w:val="18"/>
              </w:rPr>
            </w:pPr>
          </w:p>
        </w:tc>
      </w:tr>
      <w:tr w:rsidR="003E48F8" w:rsidRPr="00B067D5" w14:paraId="361E2B5F" w14:textId="77777777" w:rsidTr="0020499E">
        <w:tc>
          <w:tcPr>
            <w:tcW w:w="2178" w:type="dxa"/>
            <w:tcBorders>
              <w:top w:val="single" w:sz="4" w:space="0" w:color="auto"/>
              <w:left w:val="single" w:sz="4" w:space="0" w:color="auto"/>
              <w:bottom w:val="single" w:sz="4" w:space="0" w:color="auto"/>
              <w:right w:val="single" w:sz="4" w:space="0" w:color="auto"/>
            </w:tcBorders>
            <w:shd w:val="clear" w:color="auto" w:fill="DBE5F1"/>
            <w:vAlign w:val="center"/>
          </w:tcPr>
          <w:p w14:paraId="4602E3E2"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br w:type="page"/>
            </w:r>
            <w:r w:rsidRPr="001608F6">
              <w:rPr>
                <w:b/>
                <w:bCs/>
                <w:sz w:val="18"/>
                <w:szCs w:val="18"/>
              </w:rPr>
              <w:t>Agency</w:t>
            </w:r>
          </w:p>
        </w:tc>
        <w:tc>
          <w:tcPr>
            <w:tcW w:w="3510" w:type="dxa"/>
            <w:tcBorders>
              <w:top w:val="single" w:sz="4" w:space="0" w:color="auto"/>
              <w:left w:val="single" w:sz="4" w:space="0" w:color="auto"/>
              <w:bottom w:val="single" w:sz="4" w:space="0" w:color="auto"/>
              <w:right w:val="single" w:sz="4" w:space="0" w:color="auto"/>
            </w:tcBorders>
            <w:shd w:val="clear" w:color="auto" w:fill="DBE5F1"/>
            <w:vAlign w:val="center"/>
          </w:tcPr>
          <w:p w14:paraId="77ED2ABE"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Office</w:t>
            </w:r>
          </w:p>
        </w:tc>
        <w:tc>
          <w:tcPr>
            <w:tcW w:w="3888" w:type="dxa"/>
            <w:tcBorders>
              <w:top w:val="single" w:sz="4" w:space="0" w:color="auto"/>
              <w:left w:val="single" w:sz="4" w:space="0" w:color="auto"/>
              <w:bottom w:val="single" w:sz="4" w:space="0" w:color="auto"/>
              <w:right w:val="single" w:sz="4" w:space="0" w:color="auto"/>
            </w:tcBorders>
            <w:shd w:val="clear" w:color="auto" w:fill="DBE5F1"/>
            <w:vAlign w:val="center"/>
          </w:tcPr>
          <w:p w14:paraId="608DAC77"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Form/Regulatory Requirement</w:t>
            </w:r>
          </w:p>
        </w:tc>
      </w:tr>
      <w:tr w:rsidR="003E48F8" w:rsidRPr="00B067D5" w14:paraId="18C0184C" w14:textId="77777777" w:rsidTr="0020499E">
        <w:tc>
          <w:tcPr>
            <w:tcW w:w="2178" w:type="dxa"/>
            <w:tcBorders>
              <w:top w:val="single" w:sz="4" w:space="0" w:color="auto"/>
              <w:left w:val="single" w:sz="4" w:space="0" w:color="auto"/>
              <w:bottom w:val="single" w:sz="4" w:space="0" w:color="auto"/>
              <w:right w:val="single" w:sz="4" w:space="0" w:color="auto"/>
            </w:tcBorders>
            <w:vAlign w:val="center"/>
          </w:tcPr>
          <w:p w14:paraId="3E72A2B2"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Department of Energy</w:t>
            </w:r>
          </w:p>
        </w:tc>
        <w:tc>
          <w:tcPr>
            <w:tcW w:w="3510" w:type="dxa"/>
            <w:tcBorders>
              <w:top w:val="single" w:sz="4" w:space="0" w:color="auto"/>
              <w:left w:val="single" w:sz="4" w:space="0" w:color="auto"/>
              <w:bottom w:val="single" w:sz="4" w:space="0" w:color="auto"/>
              <w:right w:val="single" w:sz="4" w:space="0" w:color="auto"/>
            </w:tcBorders>
            <w:vAlign w:val="center"/>
          </w:tcPr>
          <w:p w14:paraId="4ED84F92"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Energy Efficiency &amp; Renewable Energy</w:t>
            </w:r>
          </w:p>
          <w:p w14:paraId="5B7163C3"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Federal Energy Management Program</w:t>
            </w:r>
          </w:p>
        </w:tc>
        <w:tc>
          <w:tcPr>
            <w:tcW w:w="3888" w:type="dxa"/>
            <w:tcBorders>
              <w:top w:val="single" w:sz="4" w:space="0" w:color="auto"/>
              <w:left w:val="single" w:sz="4" w:space="0" w:color="auto"/>
              <w:bottom w:val="single" w:sz="4" w:space="0" w:color="auto"/>
              <w:right w:val="single" w:sz="4" w:space="0" w:color="auto"/>
            </w:tcBorders>
            <w:vAlign w:val="center"/>
          </w:tcPr>
          <w:p w14:paraId="280D13DF"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 xml:space="preserve">Executive Order 13423 – </w:t>
            </w:r>
            <w:hyperlink r:id="rId27" w:history="1">
              <w:r w:rsidRPr="001608F6">
                <w:rPr>
                  <w:rStyle w:val="Hyperlink"/>
                  <w:b/>
                  <w:bCs/>
                  <w:i/>
                  <w:iCs/>
                  <w:sz w:val="18"/>
                  <w:szCs w:val="18"/>
                </w:rPr>
                <w:t>Strengthening Federal Environmental, Energy &amp; Transportation Management</w:t>
              </w:r>
            </w:hyperlink>
            <w:r w:rsidRPr="001608F6">
              <w:rPr>
                <w:b/>
                <w:bCs/>
                <w:i/>
                <w:iCs/>
                <w:sz w:val="18"/>
                <w:szCs w:val="18"/>
              </w:rPr>
              <w:t xml:space="preserve"> </w:t>
            </w:r>
          </w:p>
        </w:tc>
      </w:tr>
      <w:tr w:rsidR="003E48F8" w:rsidRPr="00B067D5" w14:paraId="5BCD9323" w14:textId="77777777" w:rsidTr="0020499E">
        <w:tc>
          <w:tcPr>
            <w:tcW w:w="9576" w:type="dxa"/>
            <w:gridSpan w:val="3"/>
            <w:tcBorders>
              <w:top w:val="single" w:sz="4" w:space="0" w:color="auto"/>
              <w:left w:val="single" w:sz="4" w:space="0" w:color="auto"/>
              <w:bottom w:val="single" w:sz="4" w:space="0" w:color="auto"/>
              <w:right w:val="single" w:sz="4" w:space="0" w:color="auto"/>
            </w:tcBorders>
            <w:vAlign w:val="center"/>
          </w:tcPr>
          <w:p w14:paraId="1C70DDA0" w14:textId="77777777" w:rsidR="003E48F8"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Summary:</w:t>
            </w:r>
          </w:p>
          <w:p w14:paraId="7410A1EF" w14:textId="7B5AB56B" w:rsidR="003E48F8" w:rsidRPr="000D7B71" w:rsidRDefault="003E48F8" w:rsidP="00B02BD1">
            <w:pPr>
              <w:rPr>
                <w:sz w:val="18"/>
                <w:szCs w:val="18"/>
                <w:u w:val="single"/>
              </w:rPr>
            </w:pPr>
            <w:r>
              <w:rPr>
                <w:sz w:val="18"/>
                <w:szCs w:val="18"/>
              </w:rPr>
              <w:t>The purpose of this January 2007 order was to ensure that f</w:t>
            </w:r>
            <w:r w:rsidRPr="00872110">
              <w:rPr>
                <w:sz w:val="18"/>
                <w:szCs w:val="18"/>
              </w:rPr>
              <w:t>ederal agencies</w:t>
            </w:r>
            <w:r>
              <w:rPr>
                <w:sz w:val="18"/>
                <w:szCs w:val="18"/>
              </w:rPr>
              <w:t xml:space="preserve"> </w:t>
            </w:r>
            <w:r w:rsidRPr="00872110">
              <w:rPr>
                <w:sz w:val="18"/>
                <w:szCs w:val="18"/>
              </w:rPr>
              <w:t>conduct their environmental, transportation, and energy-related activities</w:t>
            </w:r>
            <w:r>
              <w:rPr>
                <w:sz w:val="18"/>
                <w:szCs w:val="18"/>
              </w:rPr>
              <w:t xml:space="preserve"> </w:t>
            </w:r>
            <w:r w:rsidRPr="00872110">
              <w:rPr>
                <w:sz w:val="18"/>
                <w:szCs w:val="18"/>
              </w:rPr>
              <w:t>under the law in support of their respective missions in an environmentally,</w:t>
            </w:r>
            <w:r>
              <w:rPr>
                <w:sz w:val="18"/>
                <w:szCs w:val="18"/>
              </w:rPr>
              <w:t xml:space="preserve"> </w:t>
            </w:r>
            <w:r w:rsidRPr="00872110">
              <w:rPr>
                <w:sz w:val="18"/>
                <w:szCs w:val="18"/>
              </w:rPr>
              <w:t>economically and fiscally sound, integrated, continuously improving, efficient,</w:t>
            </w:r>
            <w:r>
              <w:rPr>
                <w:sz w:val="18"/>
                <w:szCs w:val="18"/>
              </w:rPr>
              <w:t xml:space="preserve"> </w:t>
            </w:r>
            <w:r w:rsidRPr="00872110">
              <w:rPr>
                <w:sz w:val="18"/>
                <w:szCs w:val="18"/>
              </w:rPr>
              <w:t>and sustainable manner.</w:t>
            </w:r>
            <w:r>
              <w:rPr>
                <w:sz w:val="18"/>
                <w:szCs w:val="18"/>
              </w:rPr>
              <w:t xml:space="preserve"> Goals were established to (1) </w:t>
            </w:r>
            <w:r w:rsidRPr="000D7B71">
              <w:rPr>
                <w:color w:val="000000"/>
                <w:sz w:val="18"/>
                <w:szCs w:val="18"/>
              </w:rPr>
              <w:t>reduce</w:t>
            </w:r>
            <w:r>
              <w:rPr>
                <w:color w:val="000000"/>
                <w:sz w:val="18"/>
                <w:szCs w:val="18"/>
              </w:rPr>
              <w:t xml:space="preserve"> </w:t>
            </w:r>
            <w:r w:rsidRPr="000D7B71">
              <w:rPr>
                <w:color w:val="000000"/>
                <w:sz w:val="18"/>
                <w:szCs w:val="18"/>
              </w:rPr>
              <w:t>the fleet’s total consumption of petroleum products by 2 percent</w:t>
            </w:r>
            <w:r>
              <w:rPr>
                <w:color w:val="000000"/>
                <w:sz w:val="18"/>
                <w:szCs w:val="18"/>
              </w:rPr>
              <w:t>,</w:t>
            </w:r>
            <w:r w:rsidRPr="000D7B71">
              <w:rPr>
                <w:color w:val="000000"/>
                <w:sz w:val="18"/>
                <w:szCs w:val="18"/>
              </w:rPr>
              <w:t xml:space="preserve"> annually</w:t>
            </w:r>
            <w:r>
              <w:rPr>
                <w:color w:val="000000"/>
                <w:sz w:val="18"/>
                <w:szCs w:val="18"/>
              </w:rPr>
              <w:t xml:space="preserve">, </w:t>
            </w:r>
            <w:r w:rsidRPr="000D7B71">
              <w:rPr>
                <w:color w:val="000000"/>
                <w:sz w:val="18"/>
                <w:szCs w:val="18"/>
              </w:rPr>
              <w:t>through the end of fiscal year 2015</w:t>
            </w:r>
            <w:r>
              <w:rPr>
                <w:color w:val="000000"/>
                <w:sz w:val="18"/>
                <w:szCs w:val="18"/>
              </w:rPr>
              <w:t>;</w:t>
            </w:r>
            <w:r w:rsidRPr="000D7B71">
              <w:rPr>
                <w:color w:val="000000"/>
                <w:sz w:val="18"/>
                <w:szCs w:val="18"/>
              </w:rPr>
              <w:t xml:space="preserve"> (</w:t>
            </w:r>
            <w:r>
              <w:rPr>
                <w:color w:val="000000"/>
                <w:sz w:val="18"/>
                <w:szCs w:val="18"/>
              </w:rPr>
              <w:t>2</w:t>
            </w:r>
            <w:r w:rsidRPr="000D7B71">
              <w:rPr>
                <w:color w:val="000000"/>
                <w:sz w:val="18"/>
                <w:szCs w:val="18"/>
              </w:rPr>
              <w:t>) increase the total fuel consumption</w:t>
            </w:r>
            <w:r>
              <w:rPr>
                <w:color w:val="000000"/>
                <w:sz w:val="18"/>
                <w:szCs w:val="18"/>
              </w:rPr>
              <w:t xml:space="preserve"> </w:t>
            </w:r>
            <w:r w:rsidRPr="000D7B71">
              <w:rPr>
                <w:color w:val="000000"/>
                <w:sz w:val="18"/>
                <w:szCs w:val="18"/>
              </w:rPr>
              <w:t>that is non-petroleum-based by 10 percent</w:t>
            </w:r>
            <w:r>
              <w:rPr>
                <w:color w:val="000000"/>
                <w:sz w:val="18"/>
                <w:szCs w:val="18"/>
              </w:rPr>
              <w:t>,</w:t>
            </w:r>
            <w:r w:rsidRPr="000D7B71">
              <w:rPr>
                <w:color w:val="000000"/>
                <w:sz w:val="18"/>
                <w:szCs w:val="18"/>
              </w:rPr>
              <w:t xml:space="preserve"> annually</w:t>
            </w:r>
            <w:r>
              <w:rPr>
                <w:color w:val="000000"/>
                <w:sz w:val="18"/>
                <w:szCs w:val="18"/>
              </w:rPr>
              <w:t>, r</w:t>
            </w:r>
            <w:r w:rsidRPr="000D7B71">
              <w:rPr>
                <w:color w:val="000000"/>
                <w:sz w:val="18"/>
                <w:szCs w:val="18"/>
              </w:rPr>
              <w:t>elative to agency baselines for fiscal year 2005</w:t>
            </w:r>
            <w:r>
              <w:rPr>
                <w:color w:val="000000"/>
                <w:sz w:val="18"/>
                <w:szCs w:val="18"/>
              </w:rPr>
              <w:t>;</w:t>
            </w:r>
            <w:r w:rsidRPr="000D7B71">
              <w:rPr>
                <w:color w:val="000000"/>
                <w:sz w:val="18"/>
                <w:szCs w:val="18"/>
              </w:rPr>
              <w:t xml:space="preserve"> and (</w:t>
            </w:r>
            <w:r>
              <w:rPr>
                <w:color w:val="000000"/>
                <w:sz w:val="18"/>
                <w:szCs w:val="18"/>
              </w:rPr>
              <w:t>3</w:t>
            </w:r>
            <w:r w:rsidRPr="000D7B71">
              <w:rPr>
                <w:color w:val="000000"/>
                <w:sz w:val="18"/>
                <w:szCs w:val="18"/>
              </w:rPr>
              <w:t>) use plug</w:t>
            </w:r>
            <w:r>
              <w:rPr>
                <w:color w:val="000000"/>
                <w:sz w:val="18"/>
                <w:szCs w:val="18"/>
              </w:rPr>
              <w:t>-</w:t>
            </w:r>
            <w:r w:rsidRPr="000D7B71">
              <w:rPr>
                <w:color w:val="000000"/>
                <w:sz w:val="18"/>
                <w:szCs w:val="18"/>
              </w:rPr>
              <w:t>in</w:t>
            </w:r>
            <w:r>
              <w:rPr>
                <w:color w:val="000000"/>
                <w:sz w:val="18"/>
                <w:szCs w:val="18"/>
              </w:rPr>
              <w:t xml:space="preserve"> </w:t>
            </w:r>
            <w:r w:rsidRPr="000D7B71">
              <w:rPr>
                <w:color w:val="000000"/>
                <w:sz w:val="18"/>
                <w:szCs w:val="18"/>
              </w:rPr>
              <w:t xml:space="preserve">hybrid vehicles when commercially </w:t>
            </w:r>
            <w:r>
              <w:rPr>
                <w:color w:val="000000"/>
                <w:sz w:val="18"/>
                <w:szCs w:val="18"/>
              </w:rPr>
              <w:t xml:space="preserve">and economically </w:t>
            </w:r>
            <w:r w:rsidRPr="000D7B71">
              <w:rPr>
                <w:color w:val="000000"/>
                <w:sz w:val="18"/>
                <w:szCs w:val="18"/>
              </w:rPr>
              <w:t>available</w:t>
            </w:r>
            <w:r>
              <w:rPr>
                <w:color w:val="000000"/>
                <w:sz w:val="18"/>
                <w:szCs w:val="18"/>
              </w:rPr>
              <w:t>.</w:t>
            </w:r>
          </w:p>
          <w:p w14:paraId="3D213E5E" w14:textId="61EED529" w:rsidR="003E48F8" w:rsidRPr="000D7B71"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0D7B71">
              <w:rPr>
                <w:sz w:val="18"/>
                <w:szCs w:val="18"/>
                <w:u w:val="single"/>
              </w:rPr>
              <w:t xml:space="preserve">Reasons these data are not duplicative of </w:t>
            </w:r>
            <w:r>
              <w:rPr>
                <w:sz w:val="18"/>
                <w:szCs w:val="18"/>
                <w:u w:val="single"/>
              </w:rPr>
              <w:t xml:space="preserve">that collected by Form </w:t>
            </w:r>
            <w:r w:rsidRPr="000D7B71">
              <w:rPr>
                <w:sz w:val="18"/>
                <w:szCs w:val="18"/>
                <w:u w:val="single"/>
              </w:rPr>
              <w:t>EIA-886:</w:t>
            </w:r>
          </w:p>
          <w:p w14:paraId="3F626F65" w14:textId="248725BE" w:rsidR="003E48F8" w:rsidRDefault="003E48F8" w:rsidP="003E48F8">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sz w:val="18"/>
                <w:szCs w:val="18"/>
                <w:u w:val="single"/>
              </w:rPr>
            </w:pPr>
            <w:r>
              <w:rPr>
                <w:sz w:val="18"/>
                <w:szCs w:val="18"/>
              </w:rPr>
              <w:t>All AFV-related inventory and fuel consumption data relevant to this Executive Order were incorporated into FAST.</w:t>
            </w:r>
            <w:r w:rsidR="00A5645F">
              <w:rPr>
                <w:sz w:val="18"/>
                <w:szCs w:val="18"/>
              </w:rPr>
              <w:t xml:space="preserve"> </w:t>
            </w:r>
            <w:r>
              <w:rPr>
                <w:sz w:val="18"/>
                <w:szCs w:val="18"/>
              </w:rPr>
              <w:t>EIA, as a co-sponsor of the Web system, is not duplicating efforts to capture data for Form EIA-886. The data requirements from this Executive Order do not duplicate the questions asked on Form EIA-886.</w:t>
            </w:r>
          </w:p>
          <w:p w14:paraId="3E5847F7" w14:textId="77777777" w:rsidR="003E48F8"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18"/>
                <w:szCs w:val="18"/>
                <w:u w:val="single"/>
              </w:rPr>
            </w:pPr>
          </w:p>
        </w:tc>
      </w:tr>
    </w:tbl>
    <w:p w14:paraId="2C0564C7" w14:textId="77777777" w:rsidR="003E48F8" w:rsidRDefault="003E48F8" w:rsidP="003E48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510"/>
        <w:gridCol w:w="3888"/>
      </w:tblGrid>
      <w:tr w:rsidR="003E48F8" w:rsidRPr="00B067D5" w14:paraId="29D6C29C" w14:textId="77777777" w:rsidTr="0020499E">
        <w:tc>
          <w:tcPr>
            <w:tcW w:w="2178" w:type="dxa"/>
            <w:shd w:val="clear" w:color="auto" w:fill="DBE5F1"/>
            <w:vAlign w:val="center"/>
          </w:tcPr>
          <w:p w14:paraId="65F7FC89"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br w:type="page"/>
            </w:r>
            <w:r w:rsidRPr="001608F6">
              <w:rPr>
                <w:b/>
                <w:bCs/>
                <w:sz w:val="18"/>
                <w:szCs w:val="18"/>
              </w:rPr>
              <w:t>Agency</w:t>
            </w:r>
          </w:p>
        </w:tc>
        <w:tc>
          <w:tcPr>
            <w:tcW w:w="3510" w:type="dxa"/>
            <w:shd w:val="clear" w:color="auto" w:fill="DBE5F1"/>
            <w:vAlign w:val="center"/>
          </w:tcPr>
          <w:p w14:paraId="759FF03A"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Office</w:t>
            </w:r>
          </w:p>
        </w:tc>
        <w:tc>
          <w:tcPr>
            <w:tcW w:w="3888" w:type="dxa"/>
            <w:shd w:val="clear" w:color="auto" w:fill="DBE5F1"/>
            <w:vAlign w:val="center"/>
          </w:tcPr>
          <w:p w14:paraId="13CFE6D2" w14:textId="77777777"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sz w:val="18"/>
                <w:szCs w:val="18"/>
              </w:rPr>
            </w:pPr>
            <w:r w:rsidRPr="001608F6">
              <w:rPr>
                <w:b/>
                <w:bCs/>
                <w:sz w:val="18"/>
                <w:szCs w:val="18"/>
              </w:rPr>
              <w:t>Form/Regulatory Requirement</w:t>
            </w:r>
          </w:p>
        </w:tc>
      </w:tr>
      <w:tr w:rsidR="003E48F8" w:rsidRPr="00B067D5" w14:paraId="36031968" w14:textId="77777777" w:rsidTr="0020499E">
        <w:tc>
          <w:tcPr>
            <w:tcW w:w="2178" w:type="dxa"/>
            <w:vAlign w:val="center"/>
          </w:tcPr>
          <w:p w14:paraId="2EF4969E" w14:textId="381DC52D"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General Services Administration</w:t>
            </w:r>
            <w:r w:rsidR="00D4457C" w:rsidRPr="001608F6">
              <w:rPr>
                <w:b/>
                <w:bCs/>
                <w:i/>
                <w:iCs/>
                <w:sz w:val="18"/>
                <w:szCs w:val="18"/>
              </w:rPr>
              <w:t xml:space="preserve"> (GSA)</w:t>
            </w:r>
          </w:p>
        </w:tc>
        <w:tc>
          <w:tcPr>
            <w:tcW w:w="3510" w:type="dxa"/>
            <w:vAlign w:val="center"/>
          </w:tcPr>
          <w:p w14:paraId="7842EADC" w14:textId="6FBFA956"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sz w:val="18"/>
                <w:szCs w:val="18"/>
              </w:rPr>
            </w:pPr>
            <w:r w:rsidRPr="001608F6">
              <w:rPr>
                <w:b/>
                <w:bCs/>
                <w:i/>
                <w:iCs/>
                <w:sz w:val="18"/>
                <w:szCs w:val="18"/>
              </w:rPr>
              <w:t xml:space="preserve">Office of Government </w:t>
            </w:r>
            <w:r w:rsidR="005C6F28" w:rsidRPr="001608F6">
              <w:rPr>
                <w:b/>
                <w:bCs/>
                <w:i/>
                <w:iCs/>
                <w:sz w:val="18"/>
                <w:szCs w:val="18"/>
              </w:rPr>
              <w:t>W</w:t>
            </w:r>
            <w:r w:rsidRPr="001608F6">
              <w:rPr>
                <w:b/>
                <w:bCs/>
                <w:i/>
                <w:iCs/>
                <w:sz w:val="18"/>
                <w:szCs w:val="18"/>
              </w:rPr>
              <w:t>ide Policy</w:t>
            </w:r>
          </w:p>
        </w:tc>
        <w:tc>
          <w:tcPr>
            <w:tcW w:w="3888" w:type="dxa"/>
            <w:vAlign w:val="center"/>
          </w:tcPr>
          <w:p w14:paraId="3A38F45B" w14:textId="724EC92F" w:rsidR="003E48F8" w:rsidRPr="0020499E" w:rsidRDefault="003E48F8" w:rsidP="00204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b/>
                <w:bCs/>
                <w:i/>
                <w:iCs/>
                <w:color w:val="333333" w:themeColor="background2"/>
                <w:sz w:val="18"/>
                <w:szCs w:val="18"/>
              </w:rPr>
            </w:pPr>
            <w:r w:rsidRPr="1A8A4BE3">
              <w:rPr>
                <w:b/>
                <w:bCs/>
                <w:i/>
                <w:iCs/>
                <w:color w:val="333333"/>
                <w:sz w:val="18"/>
                <w:szCs w:val="18"/>
              </w:rPr>
              <w:t>Federal Management Regulation</w:t>
            </w:r>
            <w:r w:rsidR="00B94446">
              <w:rPr>
                <w:b/>
                <w:bCs/>
                <w:i/>
                <w:iCs/>
                <w:color w:val="333333"/>
                <w:sz w:val="18"/>
                <w:szCs w:val="18"/>
              </w:rPr>
              <w:t xml:space="preserve">       </w:t>
            </w:r>
            <w:r w:rsidR="00A5645F" w:rsidRPr="1A8A4BE3">
              <w:rPr>
                <w:b/>
                <w:bCs/>
                <w:i/>
                <w:iCs/>
                <w:color w:val="333333"/>
                <w:sz w:val="18"/>
                <w:szCs w:val="18"/>
              </w:rPr>
              <w:t xml:space="preserve"> </w:t>
            </w:r>
            <w:hyperlink r:id="rId28" w:anchor="wp2024098" w:history="1">
              <w:r w:rsidRPr="1A8A4BE3">
                <w:rPr>
                  <w:rStyle w:val="Hyperlink"/>
                  <w:b/>
                  <w:bCs/>
                  <w:i/>
                  <w:iCs/>
                  <w:sz w:val="18"/>
                  <w:szCs w:val="18"/>
                </w:rPr>
                <w:t>Part 102-34 Motor Vehicle Management Subpart J – Federal Fleet Report</w:t>
              </w:r>
            </w:hyperlink>
          </w:p>
        </w:tc>
      </w:tr>
      <w:tr w:rsidR="003E48F8" w:rsidRPr="00B067D5" w14:paraId="4841EF22" w14:textId="77777777" w:rsidTr="0020499E">
        <w:tc>
          <w:tcPr>
            <w:tcW w:w="9576" w:type="dxa"/>
            <w:gridSpan w:val="3"/>
            <w:vAlign w:val="center"/>
          </w:tcPr>
          <w:p w14:paraId="2FF27629" w14:textId="77777777" w:rsidR="003E48F8"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Summary:</w:t>
            </w:r>
          </w:p>
          <w:p w14:paraId="03ABD266" w14:textId="41A34A45" w:rsidR="003E48F8" w:rsidRPr="00B067D5"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rPr>
            </w:pPr>
            <w:r w:rsidRPr="0010587E">
              <w:rPr>
                <w:sz w:val="18"/>
                <w:szCs w:val="18"/>
              </w:rPr>
              <w:t>The Federal Fleet Report (</w:t>
            </w:r>
            <w:hyperlink r:id="rId29" w:history="1">
              <w:r w:rsidRPr="0010587E">
                <w:rPr>
                  <w:rStyle w:val="Hyperlink"/>
                  <w:sz w:val="18"/>
                  <w:szCs w:val="18"/>
                </w:rPr>
                <w:t>FFR</w:t>
              </w:r>
            </w:hyperlink>
            <w:r w:rsidRPr="0010587E">
              <w:rPr>
                <w:sz w:val="18"/>
                <w:szCs w:val="18"/>
              </w:rPr>
              <w:t xml:space="preserve">) is an annual summary of </w:t>
            </w:r>
            <w:r>
              <w:rPr>
                <w:sz w:val="18"/>
                <w:szCs w:val="18"/>
              </w:rPr>
              <w:t>f</w:t>
            </w:r>
            <w:r w:rsidRPr="0010587E">
              <w:rPr>
                <w:sz w:val="18"/>
                <w:szCs w:val="18"/>
              </w:rPr>
              <w:t xml:space="preserve">ederal </w:t>
            </w:r>
            <w:r>
              <w:rPr>
                <w:sz w:val="18"/>
                <w:szCs w:val="18"/>
              </w:rPr>
              <w:t>motor vehicle f</w:t>
            </w:r>
            <w:r w:rsidRPr="0010587E">
              <w:rPr>
                <w:sz w:val="18"/>
                <w:szCs w:val="18"/>
              </w:rPr>
              <w:t>leet statistics based upon fleet composition at the end of each fiscal year and vehicle use and cost during the fiscal year.</w:t>
            </w:r>
            <w:r>
              <w:rPr>
                <w:sz w:val="18"/>
                <w:szCs w:val="18"/>
              </w:rPr>
              <w:t xml:space="preserve"> </w:t>
            </w:r>
            <w:r w:rsidRPr="0010587E">
              <w:rPr>
                <w:sz w:val="18"/>
                <w:szCs w:val="18"/>
              </w:rPr>
              <w:t xml:space="preserve">The FFR is compiled by GSA from information submitted by </w:t>
            </w:r>
            <w:r>
              <w:rPr>
                <w:sz w:val="18"/>
                <w:szCs w:val="18"/>
              </w:rPr>
              <w:t>f</w:t>
            </w:r>
            <w:r w:rsidRPr="0010587E">
              <w:rPr>
                <w:sz w:val="18"/>
                <w:szCs w:val="18"/>
              </w:rPr>
              <w:t>ederal agencies.</w:t>
            </w:r>
            <w:r>
              <w:rPr>
                <w:sz w:val="18"/>
                <w:szCs w:val="18"/>
              </w:rPr>
              <w:t xml:space="preserve"> </w:t>
            </w:r>
            <w:r w:rsidRPr="0010587E">
              <w:rPr>
                <w:sz w:val="18"/>
                <w:szCs w:val="18"/>
              </w:rPr>
              <w:t xml:space="preserve">The FFR is designed to provide essential statistical data for worldwide </w:t>
            </w:r>
            <w:r>
              <w:rPr>
                <w:sz w:val="18"/>
                <w:szCs w:val="18"/>
              </w:rPr>
              <w:t>f</w:t>
            </w:r>
            <w:r w:rsidRPr="0010587E">
              <w:rPr>
                <w:sz w:val="18"/>
                <w:szCs w:val="18"/>
              </w:rPr>
              <w:t xml:space="preserve">ederal </w:t>
            </w:r>
            <w:r>
              <w:rPr>
                <w:sz w:val="18"/>
                <w:szCs w:val="18"/>
              </w:rPr>
              <w:t>m</w:t>
            </w:r>
            <w:r w:rsidRPr="0010587E">
              <w:rPr>
                <w:sz w:val="18"/>
                <w:szCs w:val="18"/>
              </w:rPr>
              <w:t xml:space="preserve">otor </w:t>
            </w:r>
            <w:r>
              <w:rPr>
                <w:sz w:val="18"/>
                <w:szCs w:val="18"/>
              </w:rPr>
              <w:t>v</w:t>
            </w:r>
            <w:r w:rsidRPr="0010587E">
              <w:rPr>
                <w:sz w:val="18"/>
                <w:szCs w:val="18"/>
              </w:rPr>
              <w:t xml:space="preserve">ehicle </w:t>
            </w:r>
            <w:r>
              <w:rPr>
                <w:sz w:val="18"/>
                <w:szCs w:val="18"/>
              </w:rPr>
              <w:t>f</w:t>
            </w:r>
            <w:r w:rsidRPr="0010587E">
              <w:rPr>
                <w:sz w:val="18"/>
                <w:szCs w:val="18"/>
              </w:rPr>
              <w:t>leet operations.</w:t>
            </w:r>
            <w:r>
              <w:rPr>
                <w:sz w:val="18"/>
                <w:szCs w:val="18"/>
              </w:rPr>
              <w:t xml:space="preserve"> </w:t>
            </w:r>
            <w:r w:rsidRPr="0010587E">
              <w:rPr>
                <w:sz w:val="18"/>
                <w:szCs w:val="18"/>
              </w:rPr>
              <w:t xml:space="preserve">Review of the report assists </w:t>
            </w:r>
            <w:r>
              <w:rPr>
                <w:sz w:val="18"/>
                <w:szCs w:val="18"/>
              </w:rPr>
              <w:t>federal</w:t>
            </w:r>
            <w:r w:rsidRPr="0010587E">
              <w:rPr>
                <w:sz w:val="18"/>
                <w:szCs w:val="18"/>
              </w:rPr>
              <w:t xml:space="preserve"> agencies, including </w:t>
            </w:r>
            <w:r>
              <w:rPr>
                <w:sz w:val="18"/>
                <w:szCs w:val="18"/>
              </w:rPr>
              <w:t xml:space="preserve">the </w:t>
            </w:r>
            <w:r w:rsidRPr="0010587E">
              <w:rPr>
                <w:sz w:val="18"/>
                <w:szCs w:val="18"/>
              </w:rPr>
              <w:t>GSA, in evaluating the effectiveness of the operation and management of individual fleets and to identify high cost areas where fleet expenses can be reduced.</w:t>
            </w:r>
            <w:r>
              <w:rPr>
                <w:sz w:val="18"/>
                <w:szCs w:val="18"/>
              </w:rPr>
              <w:t xml:space="preserve"> The </w:t>
            </w:r>
            <w:r w:rsidRPr="0010587E">
              <w:rPr>
                <w:sz w:val="18"/>
                <w:szCs w:val="18"/>
              </w:rPr>
              <w:t>reporting categories</w:t>
            </w:r>
            <w:r>
              <w:rPr>
                <w:sz w:val="18"/>
                <w:szCs w:val="18"/>
              </w:rPr>
              <w:t xml:space="preserve"> of data</w:t>
            </w:r>
            <w:r w:rsidRPr="0010587E">
              <w:rPr>
                <w:sz w:val="18"/>
                <w:szCs w:val="18"/>
              </w:rPr>
              <w:t xml:space="preserve"> included in the FFR are</w:t>
            </w:r>
            <w:bookmarkStart w:id="16" w:name="wp2024101"/>
            <w:bookmarkEnd w:id="16"/>
            <w:r>
              <w:rPr>
                <w:sz w:val="18"/>
                <w:szCs w:val="18"/>
              </w:rPr>
              <w:t xml:space="preserve"> i</w:t>
            </w:r>
            <w:r w:rsidRPr="0010587E">
              <w:rPr>
                <w:sz w:val="18"/>
                <w:szCs w:val="18"/>
              </w:rPr>
              <w:t>nventory</w:t>
            </w:r>
            <w:r>
              <w:rPr>
                <w:sz w:val="18"/>
                <w:szCs w:val="18"/>
              </w:rPr>
              <w:t xml:space="preserve">, </w:t>
            </w:r>
            <w:bookmarkStart w:id="17" w:name="wp2024102"/>
            <w:bookmarkEnd w:id="17"/>
            <w:r>
              <w:rPr>
                <w:sz w:val="18"/>
                <w:szCs w:val="18"/>
              </w:rPr>
              <w:t xml:space="preserve">acquisitions, </w:t>
            </w:r>
            <w:bookmarkStart w:id="18" w:name="wp2024103"/>
            <w:bookmarkEnd w:id="18"/>
            <w:r>
              <w:rPr>
                <w:sz w:val="18"/>
                <w:szCs w:val="18"/>
              </w:rPr>
              <w:t>o</w:t>
            </w:r>
            <w:r w:rsidRPr="0010587E">
              <w:rPr>
                <w:sz w:val="18"/>
                <w:szCs w:val="18"/>
              </w:rPr>
              <w:t>perating costs</w:t>
            </w:r>
            <w:r>
              <w:rPr>
                <w:sz w:val="18"/>
                <w:szCs w:val="18"/>
              </w:rPr>
              <w:t xml:space="preserve">, </w:t>
            </w:r>
            <w:bookmarkStart w:id="19" w:name="wp2024438"/>
            <w:bookmarkEnd w:id="19"/>
            <w:r>
              <w:rPr>
                <w:sz w:val="18"/>
                <w:szCs w:val="18"/>
              </w:rPr>
              <w:t>m</w:t>
            </w:r>
            <w:r w:rsidRPr="0010587E">
              <w:rPr>
                <w:sz w:val="18"/>
                <w:szCs w:val="18"/>
              </w:rPr>
              <w:t>iles traveled</w:t>
            </w:r>
            <w:r>
              <w:rPr>
                <w:sz w:val="18"/>
                <w:szCs w:val="18"/>
              </w:rPr>
              <w:t xml:space="preserve"> and </w:t>
            </w:r>
            <w:bookmarkStart w:id="20" w:name="wp2024439"/>
            <w:bookmarkEnd w:id="20"/>
            <w:r>
              <w:rPr>
                <w:sz w:val="18"/>
                <w:szCs w:val="18"/>
              </w:rPr>
              <w:t>f</w:t>
            </w:r>
            <w:r w:rsidRPr="0010587E">
              <w:rPr>
                <w:sz w:val="18"/>
                <w:szCs w:val="18"/>
              </w:rPr>
              <w:t>uel used</w:t>
            </w:r>
            <w:r>
              <w:rPr>
                <w:sz w:val="18"/>
                <w:szCs w:val="18"/>
              </w:rPr>
              <w:t>.</w:t>
            </w:r>
          </w:p>
          <w:p w14:paraId="71B33BD0" w14:textId="30650D70" w:rsidR="003E48F8" w:rsidRDefault="003E48F8" w:rsidP="00B0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sz w:val="18"/>
                <w:szCs w:val="18"/>
                <w:u w:val="single"/>
              </w:rPr>
            </w:pPr>
            <w:r w:rsidRPr="00B067D5">
              <w:rPr>
                <w:sz w:val="18"/>
                <w:szCs w:val="18"/>
                <w:u w:val="single"/>
              </w:rPr>
              <w:t xml:space="preserve">Reasons these data are not duplicative of </w:t>
            </w:r>
            <w:r>
              <w:rPr>
                <w:sz w:val="18"/>
                <w:szCs w:val="18"/>
                <w:u w:val="single"/>
              </w:rPr>
              <w:t xml:space="preserve">that collected by Form </w:t>
            </w:r>
            <w:r w:rsidRPr="00B067D5">
              <w:rPr>
                <w:sz w:val="18"/>
                <w:szCs w:val="18"/>
                <w:u w:val="single"/>
              </w:rPr>
              <w:t>EIA-886:</w:t>
            </w:r>
          </w:p>
          <w:p w14:paraId="24CC2F5E" w14:textId="2659875E" w:rsidR="003E48F8" w:rsidRDefault="003E48F8" w:rsidP="008533DD">
            <w:pPr>
              <w:widowControl w:val="0"/>
              <w:numPr>
                <w:ilvl w:val="0"/>
                <w:numId w:val="11"/>
              </w:numPr>
              <w:autoSpaceDE w:val="0"/>
              <w:autoSpaceDN w:val="0"/>
              <w:adjustRightInd w:val="0"/>
              <w:spacing w:before="120" w:after="0" w:line="240" w:lineRule="auto"/>
              <w:rPr>
                <w:sz w:val="18"/>
                <w:szCs w:val="18"/>
              </w:rPr>
            </w:pPr>
            <w:r>
              <w:rPr>
                <w:sz w:val="18"/>
                <w:szCs w:val="18"/>
              </w:rPr>
              <w:t xml:space="preserve">Prior to the development of FAST, GSA fielded </w:t>
            </w:r>
            <w:r w:rsidR="00A5645F">
              <w:rPr>
                <w:sz w:val="18"/>
                <w:szCs w:val="18"/>
              </w:rPr>
              <w:t>F</w:t>
            </w:r>
            <w:r>
              <w:rPr>
                <w:sz w:val="18"/>
                <w:szCs w:val="18"/>
              </w:rPr>
              <w:t>orm SF-82</w:t>
            </w:r>
            <w:r w:rsidRPr="001608F6">
              <w:rPr>
                <w:i/>
                <w:iCs/>
                <w:sz w:val="18"/>
                <w:szCs w:val="18"/>
              </w:rPr>
              <w:t xml:space="preserve"> Agency Report of Motor Vehicle Data</w:t>
            </w:r>
            <w:r>
              <w:rPr>
                <w:sz w:val="18"/>
                <w:szCs w:val="18"/>
              </w:rPr>
              <w:t xml:space="preserve"> (now obsolete) to gather information on motor vehicles in the federal fleet. At one time, Form EIA-886 and Form SF-82 collected duplicative data from federal agencies; however, after 2001, EIA and GSA no longer fielded the individual survey instruments. Instead, they both utilized the FAST system to gather their required vehicle data from federal agencies.</w:t>
            </w:r>
          </w:p>
        </w:tc>
      </w:tr>
    </w:tbl>
    <w:p w14:paraId="52BD117E" w14:textId="77777777" w:rsidR="003E48F8" w:rsidRDefault="003E48F8" w:rsidP="00BD21BE">
      <w:pPr>
        <w:pStyle w:val="Heading2"/>
      </w:pPr>
      <w:bookmarkStart w:id="21" w:name="_Toc492037061"/>
      <w:bookmarkStart w:id="22" w:name="_Toc492544312"/>
      <w:bookmarkStart w:id="23" w:name="_Toc491347222"/>
      <w:r w:rsidRPr="00576FA1">
        <w:t>A.5. Provisions for Reducing Burden on Small Businesses</w:t>
      </w:r>
      <w:bookmarkEnd w:id="21"/>
      <w:bookmarkEnd w:id="22"/>
      <w:r w:rsidRPr="00576FA1">
        <w:t xml:space="preserve"> </w:t>
      </w:r>
    </w:p>
    <w:p w14:paraId="670D9976" w14:textId="77777777" w:rsidR="003E48F8" w:rsidRPr="00C62538" w:rsidRDefault="003E48F8" w:rsidP="003E48F8">
      <w:pPr>
        <w:spacing w:before="120"/>
      </w:pPr>
      <w:r>
        <w:t xml:space="preserve">EIA recognizes the need to minimize the reporting burden on small businesses and designs data surveys so that small operations are not unduly affected. Additionally, EIA has established reporting thresholds for survey likely to affect small businesses. These threshold either eliminate the reporting requirement for small businesses or limit the amount of information they are asked to supply. </w:t>
      </w:r>
    </w:p>
    <w:bookmarkEnd w:id="23"/>
    <w:p w14:paraId="0FC54306" w14:textId="77777777" w:rsidR="003E48F8" w:rsidRPr="00153852" w:rsidRDefault="003E48F8" w:rsidP="003E48F8">
      <w:pPr>
        <w:spacing w:before="120"/>
      </w:pPr>
      <w:r w:rsidRPr="001D4659">
        <w:t xml:space="preserve">The </w:t>
      </w:r>
      <w:r w:rsidRPr="001608F6">
        <w:rPr>
          <w:i/>
          <w:iCs/>
        </w:rPr>
        <w:t xml:space="preserve">Annual Survey of Alternative Fueled Vehicles </w:t>
      </w:r>
      <w:r w:rsidRPr="001D4659">
        <w:t>collects data from AFV suppliers and users of AFVs.</w:t>
      </w:r>
      <w:r>
        <w:t xml:space="preserve"> </w:t>
      </w:r>
      <w:r w:rsidRPr="001D4659">
        <w:t>The small business response burden for this survey is minimal</w:t>
      </w:r>
      <w:r>
        <w:t>,</w:t>
      </w:r>
      <w:r w:rsidRPr="001D4659">
        <w:t xml:space="preserve"> </w:t>
      </w:r>
      <w:r>
        <w:t>because</w:t>
      </w:r>
      <w:r w:rsidRPr="001D4659">
        <w:t xml:space="preserve"> most of the data requested </w:t>
      </w:r>
      <w:r>
        <w:t xml:space="preserve">(the AFV and ATF information) </w:t>
      </w:r>
      <w:r w:rsidRPr="001D4659">
        <w:t xml:space="preserve">are reported </w:t>
      </w:r>
      <w:r>
        <w:t xml:space="preserve">by fleet operators, who are considered ‘large’ businesses. The typical smaller respondent is a </w:t>
      </w:r>
      <w:r w:rsidRPr="001D4659">
        <w:t>conversion compan</w:t>
      </w:r>
      <w:r>
        <w:t>y</w:t>
      </w:r>
      <w:r w:rsidRPr="001D4659">
        <w:t xml:space="preserve"> (</w:t>
      </w:r>
      <w:r>
        <w:t>i.e., an</w:t>
      </w:r>
      <w:r w:rsidRPr="001D4659">
        <w:t xml:space="preserve"> AFV supplier)</w:t>
      </w:r>
      <w:r>
        <w:t xml:space="preserve">, and </w:t>
      </w:r>
      <w:r w:rsidRPr="001D4659">
        <w:t>the number of conversion companies has declined in recent years</w:t>
      </w:r>
      <w:r>
        <w:t>.</w:t>
      </w:r>
    </w:p>
    <w:p w14:paraId="1DA8FA06" w14:textId="0FD00227" w:rsidR="003E48F8" w:rsidRPr="001D4659" w:rsidRDefault="003E48F8" w:rsidP="003E48F8">
      <w:pPr>
        <w:spacing w:before="240"/>
      </w:pPr>
      <w:r w:rsidRPr="001D4659">
        <w:t xml:space="preserve">Respondents </w:t>
      </w:r>
      <w:r>
        <w:t xml:space="preserve">to Form EIA-886 </w:t>
      </w:r>
      <w:r w:rsidRPr="001D4659">
        <w:t xml:space="preserve">are given </w:t>
      </w:r>
      <w:r>
        <w:t>options</w:t>
      </w:r>
      <w:r w:rsidRPr="001D4659">
        <w:t xml:space="preserve"> concerning how </w:t>
      </w:r>
      <w:r w:rsidR="00B57340">
        <w:t xml:space="preserve">their </w:t>
      </w:r>
      <w:r w:rsidRPr="001D4659">
        <w:t>data are to be submitted to EIA.</w:t>
      </w:r>
      <w:r>
        <w:t xml:space="preserve"> </w:t>
      </w:r>
      <w:r w:rsidRPr="001D4659">
        <w:t xml:space="preserve">Small businesses </w:t>
      </w:r>
      <w:r>
        <w:t>may</w:t>
      </w:r>
      <w:r w:rsidRPr="001D4659">
        <w:t xml:space="preserve"> use the electronic data submission system that reduces reporting burden.</w:t>
      </w:r>
      <w:r>
        <w:t xml:space="preserve"> Additionally, small business are only required to provide estimates of their </w:t>
      </w:r>
      <w:r w:rsidRPr="001D4659">
        <w:t>planned AFV supply amounts</w:t>
      </w:r>
      <w:r>
        <w:t>,</w:t>
      </w:r>
      <w:r w:rsidRPr="001D4659">
        <w:t xml:space="preserve"> based on available information at the time of report completion</w:t>
      </w:r>
      <w:r>
        <w:t xml:space="preserve">, thus </w:t>
      </w:r>
      <w:r w:rsidRPr="001D4659">
        <w:t xml:space="preserve">not requiring </w:t>
      </w:r>
      <w:r>
        <w:t>small business</w:t>
      </w:r>
      <w:r w:rsidR="005C6F28">
        <w:t>es</w:t>
      </w:r>
      <w:r>
        <w:t xml:space="preserve"> </w:t>
      </w:r>
      <w:r w:rsidRPr="001D4659">
        <w:t xml:space="preserve">to apply the rigorous forecasting methods that large businesses typically </w:t>
      </w:r>
      <w:r>
        <w:t>are required of them</w:t>
      </w:r>
      <w:r w:rsidRPr="001D4659">
        <w:t>.</w:t>
      </w:r>
    </w:p>
    <w:p w14:paraId="768C7E89" w14:textId="77777777" w:rsidR="003E48F8" w:rsidRDefault="003E48F8" w:rsidP="00BD21BE">
      <w:pPr>
        <w:pStyle w:val="Heading2"/>
      </w:pPr>
      <w:bookmarkStart w:id="24" w:name="_Toc492037062"/>
      <w:bookmarkStart w:id="25" w:name="_Toc492544313"/>
      <w:bookmarkStart w:id="26" w:name="_Toc491347223"/>
      <w:r>
        <w:t xml:space="preserve">A.6. Consequences of </w:t>
      </w:r>
      <w:r w:rsidRPr="001D4659">
        <w:t>Less</w:t>
      </w:r>
      <w:r>
        <w:t>-</w:t>
      </w:r>
      <w:r w:rsidRPr="001D4659">
        <w:t>Frequent</w:t>
      </w:r>
      <w:r>
        <w:t xml:space="preserve"> Reporting</w:t>
      </w:r>
      <w:bookmarkEnd w:id="24"/>
      <w:bookmarkEnd w:id="25"/>
      <w:r>
        <w:t xml:space="preserve"> </w:t>
      </w:r>
      <w:bookmarkEnd w:id="26"/>
    </w:p>
    <w:p w14:paraId="06DF3D1E" w14:textId="77777777"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Form EIA-886 is the only resource for summary-level totals of AFV inventory and ATF consumption. Form EIA-886 provides the only comprehensive picture of the current and projected supply of alternative fueled and advanced technology vehicles in the U.S.</w:t>
      </w:r>
    </w:p>
    <w:p w14:paraId="3D385861" w14:textId="3B0CE231" w:rsidR="003E48F8" w:rsidRPr="001D4659"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D17160">
        <w:t xml:space="preserve">If EIA collected and reported data on the AFV/ATF industry </w:t>
      </w:r>
      <w:r>
        <w:t>on a less frequent basis</w:t>
      </w:r>
      <w:r w:rsidRPr="00D17160">
        <w:t>, EIA would be in violation of Section</w:t>
      </w:r>
      <w:r w:rsidRPr="001D4659">
        <w:t xml:space="preserve"> 503</w:t>
      </w:r>
      <w:r>
        <w:t xml:space="preserve"> </w:t>
      </w:r>
      <w:r w:rsidRPr="001D4659">
        <w:t>of EPACT</w:t>
      </w:r>
      <w:r>
        <w:t xml:space="preserve">92, which </w:t>
      </w:r>
      <w:r w:rsidRPr="001D4659">
        <w:t>mandates the annual collection of th</w:t>
      </w:r>
      <w:r>
        <w:t>is</w:t>
      </w:r>
      <w:r w:rsidRPr="001D4659">
        <w:t xml:space="preserve"> data.</w:t>
      </w:r>
      <w:r>
        <w:t xml:space="preserve"> Furthermore, should </w:t>
      </w:r>
      <w:r w:rsidRPr="001D4659">
        <w:t>monitor</w:t>
      </w:r>
      <w:r>
        <w:t>ing</w:t>
      </w:r>
      <w:r w:rsidRPr="001D4659">
        <w:t xml:space="preserve"> the progress of AFV </w:t>
      </w:r>
      <w:r>
        <w:t>supply</w:t>
      </w:r>
      <w:r w:rsidRPr="001D4659">
        <w:t xml:space="preserve"> and </w:t>
      </w:r>
      <w:r>
        <w:t xml:space="preserve">alternative </w:t>
      </w:r>
      <w:r w:rsidR="007119CE">
        <w:t xml:space="preserve">transportation </w:t>
      </w:r>
      <w:r>
        <w:t>fuel</w:t>
      </w:r>
      <w:r w:rsidRPr="001D4659">
        <w:t xml:space="preserve"> consumption </w:t>
      </w:r>
      <w:r>
        <w:t xml:space="preserve">not occur </w:t>
      </w:r>
      <w:r w:rsidRPr="001D4659">
        <w:t>on a</w:t>
      </w:r>
      <w:r>
        <w:t xml:space="preserve">n </w:t>
      </w:r>
      <w:r w:rsidRPr="001D4659">
        <w:t>annual basis</w:t>
      </w:r>
      <w:r>
        <w:t xml:space="preserve">, </w:t>
      </w:r>
      <w:r w:rsidRPr="001D4659">
        <w:t>the volatility and rapidly changing nature of the industry</w:t>
      </w:r>
      <w:r>
        <w:t xml:space="preserve"> may not be captured, thus impairing the ability to effectively implement AFV and ATF policy mandates.</w:t>
      </w:r>
    </w:p>
    <w:p w14:paraId="35A348B9" w14:textId="31BACDC9" w:rsidR="003E48F8" w:rsidRDefault="003E48F8" w:rsidP="00BD21BE">
      <w:pPr>
        <w:pStyle w:val="Heading2"/>
      </w:pPr>
      <w:bookmarkStart w:id="27" w:name="_Toc491347224"/>
      <w:bookmarkStart w:id="28" w:name="_Toc492037063"/>
      <w:bookmarkStart w:id="29" w:name="_Toc492544314"/>
      <w:r>
        <w:t>A.7. Compliance with 5</w:t>
      </w:r>
      <w:r w:rsidR="00464614">
        <w:t xml:space="preserve"> </w:t>
      </w:r>
      <w:r>
        <w:t>CFR 1320.5</w:t>
      </w:r>
      <w:bookmarkEnd w:id="27"/>
      <w:bookmarkEnd w:id="28"/>
      <w:bookmarkEnd w:id="29"/>
    </w:p>
    <w:p w14:paraId="54299F9F" w14:textId="522730F7" w:rsidR="003E48F8" w:rsidRPr="00834DEF" w:rsidRDefault="003E48F8" w:rsidP="1A8A4BE3">
      <w:pPr>
        <w:spacing w:before="120"/>
        <w:rPr>
          <w:szCs w:val="24"/>
        </w:rPr>
      </w:pPr>
      <w:r w:rsidRPr="001608F6">
        <w:t xml:space="preserve">Form EIA-886 data collection </w:t>
      </w:r>
      <w:r w:rsidR="0068577C" w:rsidRPr="001608F6">
        <w:t>complies</w:t>
      </w:r>
      <w:r w:rsidRPr="001608F6">
        <w:t xml:space="preserve"> with the guidelines in CFR 1320.5.</w:t>
      </w:r>
    </w:p>
    <w:p w14:paraId="5BDD7C5D" w14:textId="77777777" w:rsidR="003E48F8" w:rsidRDefault="003E48F8" w:rsidP="00BD21BE">
      <w:pPr>
        <w:pStyle w:val="Heading2"/>
      </w:pPr>
      <w:bookmarkStart w:id="30" w:name="_Toc491347226"/>
      <w:bookmarkStart w:id="31" w:name="_Toc492037064"/>
      <w:bookmarkStart w:id="32" w:name="_Toc492544315"/>
      <w:r>
        <w:t xml:space="preserve">A.8. </w:t>
      </w:r>
      <w:r w:rsidRPr="00614DF1">
        <w:t xml:space="preserve">Summary of Consultations </w:t>
      </w:r>
      <w:r>
        <w:t>O</w:t>
      </w:r>
      <w:r w:rsidRPr="00614DF1">
        <w:t>utside the Agency</w:t>
      </w:r>
      <w:bookmarkEnd w:id="30"/>
      <w:bookmarkEnd w:id="31"/>
      <w:bookmarkEnd w:id="32"/>
    </w:p>
    <w:p w14:paraId="48BFBF28" w14:textId="77777777" w:rsidR="00E11D60" w:rsidRDefault="001608F6" w:rsidP="004B67C4">
      <w:pPr>
        <w:rPr>
          <w:i/>
        </w:rPr>
      </w:pPr>
      <w:r>
        <w:t xml:space="preserve">EIA consulted with EPA </w:t>
      </w:r>
      <w:r w:rsidR="004C33E3">
        <w:t xml:space="preserve">in the preparation </w:t>
      </w:r>
      <w:r w:rsidR="00576B6C">
        <w:t xml:space="preserve">of the </w:t>
      </w:r>
      <w:r w:rsidR="00176BFD">
        <w:t xml:space="preserve">2018 </w:t>
      </w:r>
      <w:r w:rsidR="00576B6C">
        <w:t>renewal of Form EIA-886</w:t>
      </w:r>
      <w:r w:rsidR="00176BFD">
        <w:t xml:space="preserve"> to identify elements </w:t>
      </w:r>
      <w:r w:rsidR="00E11D60">
        <w:t xml:space="preserve">in </w:t>
      </w:r>
      <w:r w:rsidR="00176BFD">
        <w:t>the collection of data that could be modified to gather more appl</w:t>
      </w:r>
      <w:r w:rsidR="00533CF0">
        <w:t xml:space="preserve">icable data for use by EPA. </w:t>
      </w:r>
      <w:r w:rsidR="004B67C4">
        <w:t xml:space="preserve">Prior to the renewal of this ICR, </w:t>
      </w:r>
      <w:r w:rsidR="00533CF0">
        <w:t xml:space="preserve">EIA reached out to EPA to solicit suggestions on modifications to the </w:t>
      </w:r>
      <w:r w:rsidR="00533CF0">
        <w:rPr>
          <w:i/>
        </w:rPr>
        <w:t>A</w:t>
      </w:r>
      <w:r w:rsidR="004871EA">
        <w:rPr>
          <w:i/>
        </w:rPr>
        <w:t xml:space="preserve">nnual Survey of Alternative Fueled Vehicles. </w:t>
      </w:r>
    </w:p>
    <w:p w14:paraId="58D6FF76" w14:textId="7F1534D9" w:rsidR="004B67C4" w:rsidRDefault="004871EA" w:rsidP="004B67C4">
      <w:r>
        <w:t xml:space="preserve">The EPA uses the information </w:t>
      </w:r>
      <w:r w:rsidR="009438D5">
        <w:t>collected</w:t>
      </w:r>
      <w:r w:rsidR="00533CF0">
        <w:t xml:space="preserve"> on Form EIA-886 </w:t>
      </w:r>
      <w:r w:rsidR="00112C85">
        <w:t>to produce</w:t>
      </w:r>
      <w:r w:rsidR="00825FE1">
        <w:t xml:space="preserve"> national and regional statistics on air quality, which are then used to evaluate the costs and benefits associated with </w:t>
      </w:r>
      <w:r w:rsidR="00533CF0">
        <w:t xml:space="preserve">newly implemented </w:t>
      </w:r>
      <w:r w:rsidR="00825FE1">
        <w:t xml:space="preserve">EPA’s regulations. </w:t>
      </w:r>
      <w:r w:rsidR="00112C85">
        <w:t xml:space="preserve">In order to produce these estimates, EPA </w:t>
      </w:r>
      <w:r w:rsidR="004B67C4">
        <w:t>which relies on detailed vehicle information collected on this survey for use of their MOVES model to produce mobile-source emission inventories, suggested the following changes to Form EIA-886:</w:t>
      </w:r>
    </w:p>
    <w:p w14:paraId="4B133F7D" w14:textId="77777777" w:rsidR="004B67C4" w:rsidRDefault="004B67C4" w:rsidP="004F62A6">
      <w:pPr>
        <w:pStyle w:val="ListParagraph"/>
        <w:numPr>
          <w:ilvl w:val="1"/>
          <w:numId w:val="23"/>
        </w:numPr>
      </w:pPr>
      <w:r w:rsidRPr="007B508A">
        <w:t>Collect van and truck data by FHWA weight class or gross vehicle weight rating (GVWR).</w:t>
      </w:r>
    </w:p>
    <w:p w14:paraId="3C776E49" w14:textId="77777777" w:rsidR="004B67C4" w:rsidRPr="007B508A" w:rsidRDefault="004B67C4" w:rsidP="004F62A6">
      <w:pPr>
        <w:pStyle w:val="ListParagraph"/>
        <w:numPr>
          <w:ilvl w:val="1"/>
          <w:numId w:val="23"/>
        </w:numPr>
      </w:pPr>
      <w:r w:rsidRPr="007B508A">
        <w:t>At least distinguish between Class 2b (8,500-10,000 lb) and Class 3 (10,000-14,000 lbs) vehicles.</w:t>
      </w:r>
    </w:p>
    <w:p w14:paraId="4CCEB21F" w14:textId="77777777" w:rsidR="004B67C4" w:rsidRPr="007B508A" w:rsidRDefault="004B67C4" w:rsidP="004F62A6">
      <w:pPr>
        <w:pStyle w:val="ListParagraph"/>
        <w:numPr>
          <w:ilvl w:val="1"/>
          <w:numId w:val="23"/>
        </w:numPr>
      </w:pPr>
      <w:r w:rsidRPr="007B508A">
        <w:t>For light duty trucks (such as pickup trucks and vans), identify if they have six tires or more.</w:t>
      </w:r>
    </w:p>
    <w:p w14:paraId="309433AB" w14:textId="77777777" w:rsidR="004B67C4" w:rsidRPr="007B508A" w:rsidRDefault="004B67C4" w:rsidP="004F62A6">
      <w:pPr>
        <w:pStyle w:val="ListParagraph"/>
        <w:numPr>
          <w:ilvl w:val="1"/>
          <w:numId w:val="23"/>
        </w:numPr>
      </w:pPr>
      <w:r w:rsidRPr="007B508A">
        <w:t>Differentiate between heavy-duty straight (single unit) trucks and tractor or tractor-trailer combinations.</w:t>
      </w:r>
    </w:p>
    <w:p w14:paraId="408EE9E2" w14:textId="77777777" w:rsidR="004B67C4" w:rsidRPr="007B508A" w:rsidRDefault="004B67C4" w:rsidP="004F62A6">
      <w:pPr>
        <w:pStyle w:val="ListParagraph"/>
        <w:numPr>
          <w:ilvl w:val="1"/>
          <w:numId w:val="23"/>
        </w:numPr>
      </w:pPr>
      <w:r w:rsidRPr="007B508A">
        <w:t>For flexible fuel vehicles, ask how much conventional fuel is used versus alternative fuel.</w:t>
      </w:r>
    </w:p>
    <w:p w14:paraId="5AF8E150" w14:textId="694A9193" w:rsidR="003E48F8" w:rsidRDefault="00EB1EB8" w:rsidP="004B67C4">
      <w:r>
        <w:t xml:space="preserve">EIA, with approval from OMB, </w:t>
      </w:r>
      <w:r w:rsidR="00E11D60">
        <w:t>completed</w:t>
      </w:r>
      <w:r w:rsidR="0064098A">
        <w:t xml:space="preserve"> </w:t>
      </w:r>
      <w:r>
        <w:t>a cognitive research study on these proposed changes</w:t>
      </w:r>
      <w:r w:rsidR="0064098A">
        <w:t xml:space="preserve">, with a </w:t>
      </w:r>
      <w:r w:rsidR="00E11D60">
        <w:t>concentration</w:t>
      </w:r>
      <w:r w:rsidR="0064098A">
        <w:t xml:space="preserve"> on the </w:t>
      </w:r>
      <w:r>
        <w:t xml:space="preserve">ability of respondents to report their AFV data under the newly designated weight and vehicle categories suggested by EPA. </w:t>
      </w:r>
      <w:r w:rsidR="00AD238A">
        <w:t xml:space="preserve">As part of this </w:t>
      </w:r>
      <w:r>
        <w:t>research</w:t>
      </w:r>
      <w:r w:rsidR="0064098A">
        <w:t xml:space="preserve"> project</w:t>
      </w:r>
      <w:r>
        <w:t xml:space="preserve">, </w:t>
      </w:r>
      <w:r w:rsidR="00EA0065">
        <w:rPr>
          <w:spacing w:val="-1"/>
        </w:rPr>
        <w:t xml:space="preserve">EIA </w:t>
      </w:r>
      <w:r w:rsidR="0064098A">
        <w:rPr>
          <w:spacing w:val="-1"/>
        </w:rPr>
        <w:t xml:space="preserve">conducted </w:t>
      </w:r>
      <w:r w:rsidR="00EA0065" w:rsidRPr="009E1FF0">
        <w:rPr>
          <w:spacing w:val="-1"/>
        </w:rPr>
        <w:t>51</w:t>
      </w:r>
      <w:r w:rsidR="00EA0065" w:rsidRPr="009E1FF0">
        <w:t xml:space="preserve"> </w:t>
      </w:r>
      <w:r w:rsidR="00EA0065">
        <w:t xml:space="preserve">cognitive interviews </w:t>
      </w:r>
      <w:r>
        <w:t xml:space="preserve">with Form EIA-886 respondents </w:t>
      </w:r>
      <w:r w:rsidR="00EA0065" w:rsidRPr="009E1FF0">
        <w:t xml:space="preserve">between </w:t>
      </w:r>
      <w:r w:rsidR="00EA0065" w:rsidRPr="009E1FF0">
        <w:rPr>
          <w:spacing w:val="-1"/>
        </w:rPr>
        <w:t>February 2017 and March 2017.</w:t>
      </w:r>
      <w:r w:rsidR="00EA0065">
        <w:t xml:space="preserve"> </w:t>
      </w:r>
      <w:r w:rsidR="003E48F8" w:rsidRPr="009E1FF0">
        <w:rPr>
          <w:spacing w:val="-1"/>
        </w:rPr>
        <w:t xml:space="preserve">The companies interviewed </w:t>
      </w:r>
      <w:r w:rsidR="003E48F8" w:rsidRPr="009E1FF0">
        <w:t>varied in</w:t>
      </w:r>
      <w:r w:rsidR="003E48F8" w:rsidRPr="009E1FF0">
        <w:rPr>
          <w:spacing w:val="-3"/>
        </w:rPr>
        <w:t xml:space="preserve"> the</w:t>
      </w:r>
      <w:r w:rsidR="003E48F8" w:rsidRPr="009E1FF0">
        <w:t>ir size and location of their operation. These companies</w:t>
      </w:r>
      <w:r w:rsidR="007119CE">
        <w:t xml:space="preserve"> </w:t>
      </w:r>
      <w:r w:rsidR="003E48F8" w:rsidRPr="009E1FF0">
        <w:t>spanned the spectrum of sizes from small businesses having two AFVs to companies with fleets over a 1,000 AFVs. Participants interviewed included state governments, local governments, fuel providers, transit agencies, private fleets, and Original Equipment Manufacturers (OEM).</w:t>
      </w:r>
      <w:r w:rsidR="00EA0065">
        <w:t xml:space="preserve"> The interviews conducted lasted approximately 30 minutes.</w:t>
      </w:r>
    </w:p>
    <w:p w14:paraId="2E33EE72" w14:textId="1D88A442" w:rsidR="003E48F8" w:rsidRDefault="003E48F8" w:rsidP="003E48F8">
      <w:r>
        <w:t xml:space="preserve">The </w:t>
      </w:r>
      <w:r w:rsidRPr="009E1FF0">
        <w:t>objectives of</w:t>
      </w:r>
      <w:r w:rsidRPr="0020499E">
        <w:t xml:space="preserve"> </w:t>
      </w:r>
      <w:r w:rsidRPr="009E1FF0">
        <w:t xml:space="preserve">this </w:t>
      </w:r>
      <w:r>
        <w:t xml:space="preserve">cognitive </w:t>
      </w:r>
      <w:r w:rsidRPr="009E1FF0">
        <w:t>research project</w:t>
      </w:r>
      <w:r w:rsidRPr="0020499E">
        <w:t xml:space="preserve"> </w:t>
      </w:r>
      <w:r w:rsidRPr="009E1FF0">
        <w:t>were</w:t>
      </w:r>
      <w:r>
        <w:t xml:space="preserve"> to</w:t>
      </w:r>
      <w:r w:rsidRPr="009E1FF0">
        <w:t xml:space="preserve"> determine whether respondents are able to provide more detailed “Vehicle Type” information on Form EIA-886;</w:t>
      </w:r>
      <w:r>
        <w:t xml:space="preserve"> </w:t>
      </w:r>
      <w:r w:rsidRPr="009E1FF0">
        <w:t>determine whether respondents are able to provide more detailed information on their fuel use;</w:t>
      </w:r>
      <w:r>
        <w:t xml:space="preserve"> and </w:t>
      </w:r>
      <w:r w:rsidRPr="009E1FF0">
        <w:t>estimate any changes in reporting burden associated with collecting this information.</w:t>
      </w:r>
      <w:r w:rsidR="004F2B00">
        <w:t xml:space="preserve"> The research results show that respondents are able to report their AFVs using weight categories proposed by EPA. Reporting detailed</w:t>
      </w:r>
      <w:r w:rsidR="001B0D8B">
        <w:t xml:space="preserve"> vehicle </w:t>
      </w:r>
      <w:r w:rsidR="004F2B00">
        <w:t>information would no</w:t>
      </w:r>
      <w:r w:rsidR="001765A9">
        <w:t>t</w:t>
      </w:r>
      <w:r w:rsidR="004F2B00">
        <w:t xml:space="preserve"> require any substantial changes to their record keeping practices and data sy</w:t>
      </w:r>
      <w:r w:rsidR="001765A9">
        <w:t>s</w:t>
      </w:r>
      <w:r w:rsidR="004F2B00">
        <w:t>tems to report AFVs under new weight ranges.</w:t>
      </w:r>
      <w:r w:rsidR="00A5645F">
        <w:t xml:space="preserve"> </w:t>
      </w:r>
      <w:r w:rsidR="004F2B00">
        <w:t>Additionally, respondents are able to report AFV fuel consumption in conventional and alternative fuel categories.</w:t>
      </w:r>
      <w:r w:rsidR="00A5645F">
        <w:t xml:space="preserve"> </w:t>
      </w:r>
      <w:r w:rsidR="001765A9">
        <w:t>Similar to the new weight range categories, reporting consumption would require minimal changes to the respondents’ record keeping practices. Electric vehicle information is not as available from the respondents</w:t>
      </w:r>
      <w:r w:rsidR="001B0D8B">
        <w:t>’</w:t>
      </w:r>
      <w:r w:rsidR="001765A9">
        <w:t xml:space="preserve"> records as information on non-electric AFVs.</w:t>
      </w:r>
      <w:r w:rsidR="00A5645F">
        <w:t xml:space="preserve"> </w:t>
      </w:r>
      <w:r w:rsidR="001765A9">
        <w:t>Information pertaining to electric vehicles such as batter</w:t>
      </w:r>
      <w:r w:rsidR="007119CE">
        <w:t>y</w:t>
      </w:r>
      <w:r w:rsidR="001765A9">
        <w:t xml:space="preserve"> consumption, battery life, and charge rate is limited. Most participants that have electric vehicles do not track consumption. Regarding overall burden, information gathered from the interviews estimate</w:t>
      </w:r>
      <w:r w:rsidR="00E5642C">
        <w:t>d</w:t>
      </w:r>
      <w:r w:rsidR="001765A9">
        <w:t xml:space="preserve"> a response burden increase </w:t>
      </w:r>
      <w:r w:rsidR="00662C15">
        <w:t>from 4 hours to 5</w:t>
      </w:r>
      <w:r w:rsidR="001765A9">
        <w:t>.</w:t>
      </w:r>
      <w:r w:rsidR="0064098A">
        <w:t>44</w:t>
      </w:r>
      <w:r w:rsidR="001765A9">
        <w:t xml:space="preserve"> hours</w:t>
      </w:r>
      <w:r w:rsidR="00662C15">
        <w:t>, an increase of 1.44 hour from</w:t>
      </w:r>
      <w:r w:rsidR="001765A9">
        <w:t xml:space="preserve"> </w:t>
      </w:r>
      <w:r w:rsidR="00E309AB">
        <w:t>the previously approved burden estimate</w:t>
      </w:r>
      <w:r w:rsidR="00662C15">
        <w:t>.  The increase in the burden per response is from collecting</w:t>
      </w:r>
      <w:r w:rsidR="001765A9">
        <w:t xml:space="preserve"> more detailed information on weight class, vehicle attributes, and fuel consumption. </w:t>
      </w:r>
    </w:p>
    <w:p w14:paraId="0A032BED" w14:textId="4E17309F" w:rsidR="00C4313F" w:rsidRDefault="00EB1EB8" w:rsidP="003E48F8">
      <w:r>
        <w:t xml:space="preserve">EIA </w:t>
      </w:r>
      <w:r w:rsidR="009B7B4C">
        <w:t xml:space="preserve">contacted EPA following </w:t>
      </w:r>
      <w:r w:rsidR="00FD6A7F">
        <w:t>the conclusion</w:t>
      </w:r>
      <w:r w:rsidR="00E11D60">
        <w:t xml:space="preserve"> of </w:t>
      </w:r>
      <w:r w:rsidR="00AD238A">
        <w:t xml:space="preserve">the </w:t>
      </w:r>
      <w:r w:rsidR="00C4313F">
        <w:t xml:space="preserve">cognitive </w:t>
      </w:r>
      <w:r w:rsidR="00AD238A">
        <w:t>research project on Form EIA-886</w:t>
      </w:r>
      <w:r w:rsidR="00C4313F">
        <w:t xml:space="preserve"> to inform them of the findings</w:t>
      </w:r>
      <w:r w:rsidR="00E309AB">
        <w:t xml:space="preserve">, </w:t>
      </w:r>
      <w:r w:rsidR="00C4313F">
        <w:t>the subsequent changes to the survey</w:t>
      </w:r>
      <w:r w:rsidR="00E309AB">
        <w:t xml:space="preserve">, and ensure that the changes to the survey </w:t>
      </w:r>
      <w:r w:rsidR="00662C15">
        <w:t>were</w:t>
      </w:r>
      <w:r w:rsidR="00E309AB">
        <w:t xml:space="preserve"> adequate to EPA</w:t>
      </w:r>
      <w:r w:rsidR="00AD238A">
        <w:t xml:space="preserve">. </w:t>
      </w:r>
      <w:r w:rsidR="00C4313F">
        <w:t xml:space="preserve">EPA provided positive comments </w:t>
      </w:r>
      <w:r w:rsidR="00E309AB">
        <w:t xml:space="preserve">to EIA </w:t>
      </w:r>
      <w:r w:rsidR="00C4313F">
        <w:t xml:space="preserve">regarding these changes and </w:t>
      </w:r>
      <w:r w:rsidR="00E309AB">
        <w:t xml:space="preserve">highlighted </w:t>
      </w:r>
      <w:r w:rsidR="00C4313F">
        <w:t>the additiona</w:t>
      </w:r>
      <w:r w:rsidR="00B46F0C">
        <w:t>l utility these changes provide</w:t>
      </w:r>
      <w:r w:rsidR="00E11D60">
        <w:t xml:space="preserve"> to the data collected on the survey</w:t>
      </w:r>
      <w:r w:rsidR="00C4313F">
        <w:t>.</w:t>
      </w:r>
      <w:r w:rsidR="00B94446">
        <w:t xml:space="preserve"> </w:t>
      </w:r>
    </w:p>
    <w:p w14:paraId="117153E4" w14:textId="77777777" w:rsidR="003E48F8" w:rsidRPr="00576FA1" w:rsidRDefault="003E48F8" w:rsidP="00BD21BE">
      <w:pPr>
        <w:pStyle w:val="Heading2"/>
      </w:pPr>
      <w:bookmarkStart w:id="33" w:name="_Toc334087498"/>
      <w:bookmarkStart w:id="34" w:name="_Toc492037065"/>
      <w:bookmarkStart w:id="35" w:name="_Toc492544316"/>
      <w:bookmarkStart w:id="36" w:name="_Toc491347227"/>
      <w:bookmarkEnd w:id="33"/>
      <w:r w:rsidRPr="00576FA1">
        <w:t>A.9. Payments or Gifts to Respondents</w:t>
      </w:r>
      <w:bookmarkEnd w:id="34"/>
      <w:bookmarkEnd w:id="35"/>
      <w:r w:rsidRPr="00576FA1">
        <w:t xml:space="preserve"> </w:t>
      </w:r>
    </w:p>
    <w:p w14:paraId="43ABFF89" w14:textId="2CD95394" w:rsidR="003E48F8"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t xml:space="preserve">There will be no </w:t>
      </w:r>
      <w:bookmarkEnd w:id="36"/>
      <w:r w:rsidRPr="00834DEF">
        <w:t xml:space="preserve">gifts </w:t>
      </w:r>
      <w:r>
        <w:t xml:space="preserve">or payments </w:t>
      </w:r>
      <w:r w:rsidRPr="00834DEF">
        <w:t xml:space="preserve">given to respondents </w:t>
      </w:r>
      <w:r>
        <w:t xml:space="preserve">as an incentive </w:t>
      </w:r>
      <w:r w:rsidRPr="00834DEF">
        <w:t>for completing Form EIA-886.</w:t>
      </w:r>
    </w:p>
    <w:p w14:paraId="47D37389" w14:textId="77777777" w:rsidR="003E48F8" w:rsidRPr="00576FA1" w:rsidRDefault="003E48F8" w:rsidP="00BD21BE">
      <w:pPr>
        <w:pStyle w:val="Heading2"/>
      </w:pPr>
      <w:bookmarkStart w:id="37" w:name="_Toc492037066"/>
      <w:bookmarkStart w:id="38" w:name="_Toc492544317"/>
      <w:bookmarkStart w:id="39" w:name="_Toc491347228"/>
      <w:r>
        <w:t>A.10. Provisions for Protection of Information</w:t>
      </w:r>
      <w:bookmarkEnd w:id="37"/>
      <w:bookmarkEnd w:id="38"/>
      <w:r>
        <w:t xml:space="preserve"> </w:t>
      </w:r>
    </w:p>
    <w:bookmarkEnd w:id="39"/>
    <w:p w14:paraId="16042683" w14:textId="77777777" w:rsidR="003E48F8" w:rsidRDefault="003E48F8" w:rsidP="003E48F8">
      <w:pPr>
        <w:spacing w:before="120"/>
        <w:rPr>
          <w:rFonts w:cs="Arial"/>
        </w:rPr>
      </w:pPr>
      <w:r w:rsidRPr="001D4659">
        <w:rPr>
          <w:rFonts w:cs="Arial"/>
        </w:rPr>
        <w:t xml:space="preserve">The information reported on Form EIA-886 will be </w:t>
      </w:r>
      <w:r>
        <w:rPr>
          <w:rFonts w:cs="Arial"/>
        </w:rPr>
        <w:t>protected and not disclosed t</w:t>
      </w:r>
      <w:r w:rsidRPr="001D4659">
        <w:rPr>
          <w:rFonts w:cs="Arial"/>
        </w:rPr>
        <w:t>o the public to the extent that it satisfies the criteria for exemption under the Freedom of Information Act (FOIA), 5 U.S.C. §552, the DOE regulations, 10 C.F.R. §1004.11, implementing the FOIA, and the Trade</w:t>
      </w:r>
      <w:r>
        <w:rPr>
          <w:rFonts w:cs="Arial"/>
        </w:rPr>
        <w:t xml:space="preserve"> Secrets Act, 18 U.S.C. §1905.</w:t>
      </w:r>
    </w:p>
    <w:p w14:paraId="38463DF7" w14:textId="6AB11488" w:rsidR="003E48F8" w:rsidRPr="001D4659" w:rsidRDefault="003E48F8" w:rsidP="003E48F8">
      <w:pPr>
        <w:spacing w:before="240"/>
        <w:rPr>
          <w:rFonts w:cs="Arial"/>
        </w:rPr>
      </w:pPr>
      <w:r w:rsidRPr="001D4659">
        <w:rPr>
          <w:rFonts w:cs="Arial"/>
        </w:rPr>
        <w:t>The Federal Energy Administration Act requires EIA to provide company</w:t>
      </w:r>
      <w:r w:rsidR="003B1B90">
        <w:rPr>
          <w:rFonts w:cs="Arial"/>
        </w:rPr>
        <w:t xml:space="preserve"> </w:t>
      </w:r>
      <w:r w:rsidRPr="001D4659">
        <w:rPr>
          <w:rFonts w:cs="Arial"/>
        </w:rPr>
        <w:t xml:space="preserve">specific data to other </w:t>
      </w:r>
      <w:r w:rsidR="00EA54F1">
        <w:rPr>
          <w:rFonts w:cs="Arial"/>
        </w:rPr>
        <w:t>f</w:t>
      </w:r>
      <w:r w:rsidRPr="001D4659">
        <w:rPr>
          <w:rFonts w:cs="Arial"/>
        </w:rPr>
        <w:t>ederal agencies wh</w:t>
      </w:r>
      <w:r>
        <w:rPr>
          <w:rFonts w:cs="Arial"/>
        </w:rPr>
        <w:t xml:space="preserve">en requested for official use. </w:t>
      </w:r>
      <w:r w:rsidRPr="001D4659">
        <w:rPr>
          <w:rFonts w:cs="Arial"/>
        </w:rPr>
        <w:t xml:space="preserve">The information reported on </w:t>
      </w:r>
      <w:r>
        <w:rPr>
          <w:rFonts w:cs="Arial"/>
        </w:rPr>
        <w:t>Form EIA-886</w:t>
      </w:r>
      <w:r w:rsidRPr="001D4659">
        <w:rPr>
          <w:rFonts w:cs="Arial"/>
        </w:rPr>
        <w:t xml:space="preserve"> may also be made available, upon request, to another component of the Department of Energy (DOE)</w:t>
      </w:r>
      <w:r>
        <w:rPr>
          <w:rFonts w:cs="Arial"/>
        </w:rPr>
        <w:t xml:space="preserve"> and</w:t>
      </w:r>
      <w:r w:rsidRPr="001D4659">
        <w:rPr>
          <w:rFonts w:cs="Arial"/>
        </w:rPr>
        <w:t xml:space="preserve"> to any Committee of Congress, the </w:t>
      </w:r>
      <w:r>
        <w:rPr>
          <w:rFonts w:cs="Arial"/>
        </w:rPr>
        <w:t xml:space="preserve">Government Accountability </w:t>
      </w:r>
      <w:r w:rsidRPr="001D4659">
        <w:rPr>
          <w:rFonts w:cs="Arial"/>
        </w:rPr>
        <w:t xml:space="preserve">Office, or other </w:t>
      </w:r>
      <w:r>
        <w:rPr>
          <w:rFonts w:cs="Arial"/>
        </w:rPr>
        <w:t>f</w:t>
      </w:r>
      <w:r w:rsidRPr="001D4659">
        <w:rPr>
          <w:rFonts w:cs="Arial"/>
        </w:rPr>
        <w:t>ederal agencies authorized by la</w:t>
      </w:r>
      <w:r>
        <w:rPr>
          <w:rFonts w:cs="Arial"/>
        </w:rPr>
        <w:t xml:space="preserve">w to receive such information. </w:t>
      </w:r>
      <w:r w:rsidRPr="001D4659">
        <w:rPr>
          <w:rFonts w:cs="Arial"/>
        </w:rPr>
        <w:t>A court of competent jurisdiction may obtain this inform</w:t>
      </w:r>
      <w:r>
        <w:rPr>
          <w:rFonts w:cs="Arial"/>
        </w:rPr>
        <w:t xml:space="preserve">ation in response to an order. </w:t>
      </w:r>
      <w:r w:rsidRPr="001D4659">
        <w:rPr>
          <w:rFonts w:cs="Arial"/>
        </w:rPr>
        <w:t>The information may be used for any non</w:t>
      </w:r>
      <w:r>
        <w:rPr>
          <w:rFonts w:cs="Arial"/>
        </w:rPr>
        <w:t>-</w:t>
      </w:r>
      <w:r w:rsidRPr="001D4659">
        <w:rPr>
          <w:rFonts w:cs="Arial"/>
        </w:rPr>
        <w:t>statistical purposes such as administrative, regulatory, law enforcement, or adjudicatory purposes.</w:t>
      </w:r>
    </w:p>
    <w:p w14:paraId="79C4066B" w14:textId="2C1A823D" w:rsidR="003E48F8" w:rsidRPr="00D633C8" w:rsidRDefault="003E48F8" w:rsidP="003E48F8">
      <w:pPr>
        <w:spacing w:before="240"/>
        <w:rPr>
          <w:strike/>
        </w:rPr>
      </w:pPr>
      <w:r>
        <w:t xml:space="preserve">Data protection </w:t>
      </w:r>
      <w:r w:rsidRPr="00D633C8">
        <w:t>methods are applied to the statistical data published from Form EIA-886 regarding alternative fuel vehicles "planned to be made available in the following calendar year</w:t>
      </w:r>
      <w:r>
        <w:t>,</w:t>
      </w:r>
      <w:r w:rsidRPr="00D633C8">
        <w:t>"</w:t>
      </w:r>
      <w:r>
        <w:t xml:space="preserve"> </w:t>
      </w:r>
      <w:r w:rsidRPr="00D633C8">
        <w:t>to ensure that the risk of disclosing identifiable information is very small.</w:t>
      </w:r>
    </w:p>
    <w:p w14:paraId="703720F8" w14:textId="7B9E94E5" w:rsidR="003E48F8" w:rsidRDefault="003E48F8" w:rsidP="003E48F8">
      <w:pPr>
        <w:spacing w:before="240"/>
      </w:pPr>
      <w:r>
        <w:t xml:space="preserve">For all other data published from Form EIA-886, disclosure limitation </w:t>
      </w:r>
      <w:r w:rsidRPr="00D633C8">
        <w:t>methods</w:t>
      </w:r>
      <w:r>
        <w:t xml:space="preserve"> are not applied. Thus, there may be some statistics that are based on data from fewer than three respondents, or that are dominated by data from one or two large respondents where a knowledgeable person may be able to estimate the information reported by a specific respondent.</w:t>
      </w:r>
    </w:p>
    <w:p w14:paraId="17E0CC20" w14:textId="77777777" w:rsidR="003E48F8" w:rsidRPr="00614DF1" w:rsidRDefault="003E48F8" w:rsidP="00BD21BE">
      <w:pPr>
        <w:pStyle w:val="Heading2"/>
      </w:pPr>
      <w:bookmarkStart w:id="40" w:name="_Toc335229769"/>
      <w:bookmarkStart w:id="41" w:name="_Toc491347229"/>
      <w:bookmarkStart w:id="42" w:name="_Toc492037067"/>
      <w:bookmarkStart w:id="43" w:name="_Toc492544318"/>
      <w:bookmarkEnd w:id="40"/>
      <w:r>
        <w:t xml:space="preserve">A.11. </w:t>
      </w:r>
      <w:r w:rsidRPr="001D4659">
        <w:t>Justification for Sensitive Questions</w:t>
      </w:r>
      <w:bookmarkEnd w:id="41"/>
      <w:bookmarkEnd w:id="42"/>
      <w:bookmarkEnd w:id="43"/>
    </w:p>
    <w:p w14:paraId="26039B07" w14:textId="77777777" w:rsidR="003E48F8" w:rsidRPr="001765A9" w:rsidRDefault="003E48F8" w:rsidP="001765A9">
      <w:pPr>
        <w:spacing w:before="240"/>
      </w:pPr>
      <w:r w:rsidRPr="001765A9">
        <w:t xml:space="preserve">Sensitive questions are not asked on the </w:t>
      </w:r>
      <w:r w:rsidRPr="001608F6">
        <w:rPr>
          <w:i/>
          <w:iCs/>
        </w:rPr>
        <w:t>Annual Survey of Alternative Fueled Vehicles.</w:t>
      </w:r>
    </w:p>
    <w:p w14:paraId="735F263E" w14:textId="77777777" w:rsidR="003E48F8" w:rsidRDefault="003E48F8" w:rsidP="00BD21BE">
      <w:pPr>
        <w:pStyle w:val="Heading2"/>
      </w:pPr>
      <w:bookmarkStart w:id="44" w:name="_Toc492037068"/>
      <w:bookmarkStart w:id="45" w:name="_Toc492544319"/>
      <w:bookmarkStart w:id="46" w:name="_Toc491347230"/>
      <w:r>
        <w:t>A.12. Estimate of Respondent Burden Hours and Cost</w:t>
      </w:r>
      <w:bookmarkEnd w:id="44"/>
      <w:bookmarkEnd w:id="45"/>
      <w:r>
        <w:t xml:space="preserve"> </w:t>
      </w:r>
    </w:p>
    <w:p w14:paraId="0A0A1C9A" w14:textId="2B594452" w:rsidR="00DD2EC8" w:rsidRPr="0068577C" w:rsidRDefault="00DD2EC8" w:rsidP="004F62A6">
      <w:r>
        <w:t xml:space="preserve">The sample size from the last clearance of Form EIA-886 decreased since the last </w:t>
      </w:r>
      <w:r w:rsidR="006E7987">
        <w:t>clearance</w:t>
      </w:r>
      <w:r>
        <w:t xml:space="preserve"> of this ICR. A breakdown for the total respondent burden is shown below. </w:t>
      </w:r>
    </w:p>
    <w:bookmarkStart w:id="47" w:name="_MON_1570364409"/>
    <w:bookmarkEnd w:id="47"/>
    <w:p w14:paraId="25389561" w14:textId="2D521DB5" w:rsidR="003E48F8" w:rsidRPr="00614DF1" w:rsidRDefault="00343FC3" w:rsidP="004F62A6">
      <w:pPr>
        <w:jc w:val="center"/>
      </w:pPr>
      <w:r>
        <w:rPr>
          <w:b/>
          <w:bCs/>
        </w:rPr>
        <w:object w:dxaOrig="10287" w:dyaOrig="1837" w14:anchorId="12F59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8pt;height:96.7pt" o:ole="">
            <v:imagedata r:id="rId30" o:title=""/>
          </v:shape>
          <o:OLEObject Type="Embed" ProgID="Excel.Sheet.12" ShapeID="_x0000_i1025" DrawAspect="Content" ObjectID="_1605000250" r:id="rId31"/>
        </w:object>
      </w:r>
      <w:bookmarkEnd w:id="46"/>
    </w:p>
    <w:p w14:paraId="0D1C7BBF" w14:textId="08788035" w:rsidR="00DD2EC8" w:rsidRDefault="00DD2EC8" w:rsidP="00DD2EC8">
      <w:pPr>
        <w:spacing w:before="240"/>
      </w:pPr>
      <w:bookmarkStart w:id="48" w:name="_Toc492037069"/>
      <w:bookmarkStart w:id="49" w:name="_Toc492544320"/>
      <w:r>
        <w:t xml:space="preserve">If all 1,334 respondents completed the survey as indicated above, the total </w:t>
      </w:r>
      <w:r w:rsidR="0068577C">
        <w:t xml:space="preserve">annual </w:t>
      </w:r>
      <w:r>
        <w:t>burden would be 7,257 hours.</w:t>
      </w:r>
      <w:r w:rsidR="0068577C">
        <w:t xml:space="preserve"> </w:t>
      </w:r>
      <w:r>
        <w:t xml:space="preserve">The annual cost to the </w:t>
      </w:r>
      <w:r w:rsidR="00DE4132">
        <w:t>respondents</w:t>
      </w:r>
      <w:r>
        <w:t xml:space="preserve"> is estimated to be $549,28</w:t>
      </w:r>
      <w:r w:rsidR="00AA7384">
        <w:t>2</w:t>
      </w:r>
      <w:r>
        <w:t xml:space="preserve"> (7,257 annual burden hours multiplied by $75.69 per burden hour) </w:t>
      </w:r>
    </w:p>
    <w:p w14:paraId="2A3AAE6E" w14:textId="77777777" w:rsidR="00DD2EC8" w:rsidRPr="001765A9" w:rsidRDefault="00DD2EC8" w:rsidP="00DD2EC8">
      <w:r w:rsidRPr="001765A9">
        <w:t>An average cost per hour of $</w:t>
      </w:r>
      <w:r>
        <w:t>75.69</w:t>
      </w:r>
      <w:r w:rsidRPr="001765A9">
        <w:t xml:space="preserve"> is used because this is the average loaded (salary plus benefits) cost for an EIA employee. EIA assumes that the survey respondent workforce completing surveys for EIA is comparable with EIA workforce.</w:t>
      </w:r>
    </w:p>
    <w:p w14:paraId="06C76357" w14:textId="77777777" w:rsidR="003E48F8" w:rsidRPr="007206A5" w:rsidRDefault="003E48F8" w:rsidP="00BD21BE">
      <w:pPr>
        <w:pStyle w:val="Heading2"/>
      </w:pPr>
      <w:r>
        <w:t xml:space="preserve">A.13. Annual </w:t>
      </w:r>
      <w:bookmarkStart w:id="50" w:name="_Toc491347233"/>
      <w:r w:rsidRPr="007206A5">
        <w:t>Cost to the Federal Government</w:t>
      </w:r>
      <w:bookmarkEnd w:id="48"/>
      <w:bookmarkEnd w:id="49"/>
      <w:bookmarkEnd w:id="50"/>
    </w:p>
    <w:p w14:paraId="3CF38A8E" w14:textId="07754D78" w:rsidR="00BD21BE" w:rsidRDefault="003E48F8"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 xml:space="preserve">The </w:t>
      </w:r>
      <w:r w:rsidR="000F3987">
        <w:t xml:space="preserve">total </w:t>
      </w:r>
      <w:r>
        <w:t>annualized cost to the government for Form EIA-886</w:t>
      </w:r>
      <w:r w:rsidR="00FC2A1F" w:rsidRPr="00FC2A1F">
        <w:t xml:space="preserve"> </w:t>
      </w:r>
      <w:r w:rsidR="00FC2A1F">
        <w:t xml:space="preserve">is approximately </w:t>
      </w:r>
      <w:r w:rsidR="00FC2A1F" w:rsidRPr="004F62A6">
        <w:t>$</w:t>
      </w:r>
      <w:r w:rsidR="00FC2A1F">
        <w:t>286,104. Th</w:t>
      </w:r>
      <w:r w:rsidR="00DE4132">
        <w:t xml:space="preserve">e annualized costs includes the </w:t>
      </w:r>
      <w:r w:rsidR="005D7AA7">
        <w:t>contact</w:t>
      </w:r>
      <w:r w:rsidR="00584EA7">
        <w:t>or</w:t>
      </w:r>
      <w:r w:rsidR="005D7AA7">
        <w:t xml:space="preserve"> c</w:t>
      </w:r>
      <w:r w:rsidR="00DE4132">
        <w:t>osts</w:t>
      </w:r>
      <w:r w:rsidR="00BD21BE">
        <w:t xml:space="preserve"> (shown in Table A2)</w:t>
      </w:r>
      <w:r w:rsidR="00DE4132">
        <w:t xml:space="preserve"> and the </w:t>
      </w:r>
      <w:r w:rsidR="000F3987">
        <w:t xml:space="preserve">costs for one </w:t>
      </w:r>
      <w:r w:rsidR="00BD21BE">
        <w:t xml:space="preserve">federal employee (shown in Table A3). </w:t>
      </w:r>
      <w:r w:rsidR="00F77E32">
        <w:t>These two tables show a</w:t>
      </w:r>
      <w:r w:rsidR="00DE4132">
        <w:t xml:space="preserve"> breakdown of the costs and the </w:t>
      </w:r>
      <w:r w:rsidR="000F3987">
        <w:t xml:space="preserve">labor </w:t>
      </w:r>
      <w:r w:rsidR="00DE4132">
        <w:t>hours for each activity</w:t>
      </w:r>
      <w:r w:rsidR="00F77E32">
        <w:t>.</w:t>
      </w:r>
    </w:p>
    <w:tbl>
      <w:tblPr>
        <w:tblW w:w="10198" w:type="dxa"/>
        <w:tblInd w:w="-428" w:type="dxa"/>
        <w:tblLook w:val="04A0" w:firstRow="1" w:lastRow="0" w:firstColumn="1" w:lastColumn="0" w:noHBand="0" w:noVBand="1"/>
      </w:tblPr>
      <w:tblGrid>
        <w:gridCol w:w="4710"/>
        <w:gridCol w:w="1653"/>
        <w:gridCol w:w="1855"/>
        <w:gridCol w:w="1980"/>
      </w:tblGrid>
      <w:tr w:rsidR="00BD21BE" w:rsidRPr="00BD21BE" w14:paraId="5EA17C98" w14:textId="77777777" w:rsidTr="004F62A6">
        <w:trPr>
          <w:trHeight w:val="419"/>
        </w:trPr>
        <w:tc>
          <w:tcPr>
            <w:tcW w:w="101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26EC5A8" w14:textId="6AF5243C" w:rsidR="00BD21BE" w:rsidRPr="00BD21BE" w:rsidRDefault="00BD21BE" w:rsidP="004F62A6">
            <w:pPr>
              <w:pStyle w:val="Heading2"/>
              <w:rPr>
                <w:rFonts w:eastAsia="Times New Roman"/>
              </w:rPr>
            </w:pPr>
            <w:r w:rsidRPr="00BD21BE">
              <w:t>Table A2 Contractor Costs (Annual)</w:t>
            </w:r>
            <w:r>
              <w:rPr>
                <w:rFonts w:eastAsia="Times New Roman"/>
              </w:rPr>
              <w:t xml:space="preserve"> </w:t>
            </w:r>
          </w:p>
        </w:tc>
      </w:tr>
      <w:tr w:rsidR="00584EA7" w:rsidRPr="00BD21BE" w14:paraId="4CA72365" w14:textId="77777777" w:rsidTr="004F62A6">
        <w:trPr>
          <w:trHeight w:val="419"/>
        </w:trPr>
        <w:tc>
          <w:tcPr>
            <w:tcW w:w="4710" w:type="dxa"/>
            <w:tcBorders>
              <w:top w:val="single" w:sz="4" w:space="0" w:color="auto"/>
              <w:left w:val="single" w:sz="4" w:space="0" w:color="auto"/>
              <w:bottom w:val="single" w:sz="4" w:space="0" w:color="auto"/>
              <w:right w:val="single" w:sz="4" w:space="0" w:color="auto"/>
            </w:tcBorders>
            <w:shd w:val="clear" w:color="000000" w:fill="0080BD"/>
            <w:noWrap/>
            <w:vAlign w:val="center"/>
            <w:hideMark/>
          </w:tcPr>
          <w:p w14:paraId="1B87FD8B" w14:textId="77777777" w:rsidR="00BD21BE" w:rsidRPr="00BD21BE" w:rsidRDefault="00BD21BE" w:rsidP="00BD21BE">
            <w:pPr>
              <w:spacing w:after="0" w:line="240" w:lineRule="auto"/>
              <w:rPr>
                <w:rFonts w:ascii="Calibri" w:eastAsia="Times New Roman" w:hAnsi="Calibri" w:cs="Arial"/>
                <w:b/>
                <w:bCs/>
                <w:color w:val="000000"/>
              </w:rPr>
            </w:pPr>
            <w:r w:rsidRPr="00BD21BE">
              <w:rPr>
                <w:rFonts w:ascii="Calibri" w:eastAsia="Times New Roman" w:hAnsi="Calibri" w:cs="Arial"/>
                <w:b/>
                <w:bCs/>
                <w:color w:val="000000"/>
              </w:rPr>
              <w:t>Activity</w:t>
            </w:r>
          </w:p>
        </w:tc>
        <w:tc>
          <w:tcPr>
            <w:tcW w:w="1653" w:type="dxa"/>
            <w:tcBorders>
              <w:top w:val="single" w:sz="4" w:space="0" w:color="auto"/>
              <w:left w:val="nil"/>
              <w:bottom w:val="single" w:sz="4" w:space="0" w:color="auto"/>
              <w:right w:val="single" w:sz="4" w:space="0" w:color="auto"/>
            </w:tcBorders>
            <w:shd w:val="clear" w:color="000000" w:fill="0080BD"/>
            <w:noWrap/>
            <w:vAlign w:val="center"/>
            <w:hideMark/>
          </w:tcPr>
          <w:p w14:paraId="4B166F19" w14:textId="77777777" w:rsidR="00BD21BE" w:rsidRPr="00BD21BE" w:rsidRDefault="00BD21BE" w:rsidP="00BD21BE">
            <w:pPr>
              <w:spacing w:after="0" w:line="240" w:lineRule="auto"/>
              <w:jc w:val="center"/>
              <w:rPr>
                <w:rFonts w:ascii="Calibri" w:eastAsia="Times New Roman" w:hAnsi="Calibri" w:cs="Arial"/>
                <w:b/>
                <w:bCs/>
                <w:color w:val="000000"/>
              </w:rPr>
            </w:pPr>
            <w:r w:rsidRPr="00BD21BE">
              <w:rPr>
                <w:rFonts w:ascii="Calibri" w:eastAsia="Times New Roman" w:hAnsi="Calibri" w:cs="Arial"/>
                <w:b/>
                <w:bCs/>
                <w:color w:val="000000"/>
              </w:rPr>
              <w:t>Labor hours</w:t>
            </w:r>
          </w:p>
        </w:tc>
        <w:tc>
          <w:tcPr>
            <w:tcW w:w="1855" w:type="dxa"/>
            <w:tcBorders>
              <w:top w:val="single" w:sz="4" w:space="0" w:color="auto"/>
              <w:left w:val="nil"/>
              <w:bottom w:val="single" w:sz="4" w:space="0" w:color="auto"/>
              <w:right w:val="single" w:sz="4" w:space="0" w:color="auto"/>
            </w:tcBorders>
            <w:shd w:val="clear" w:color="000000" w:fill="0080BD"/>
            <w:noWrap/>
            <w:vAlign w:val="center"/>
            <w:hideMark/>
          </w:tcPr>
          <w:p w14:paraId="36B0F55D" w14:textId="26BBB9D6" w:rsidR="00BD21BE" w:rsidRPr="00BD21BE" w:rsidRDefault="00BD21BE" w:rsidP="00BD21BE">
            <w:pPr>
              <w:spacing w:after="0" w:line="240" w:lineRule="auto"/>
              <w:jc w:val="center"/>
              <w:rPr>
                <w:rFonts w:ascii="Calibri" w:eastAsia="Times New Roman" w:hAnsi="Calibri" w:cs="Arial"/>
                <w:b/>
                <w:bCs/>
                <w:color w:val="000000"/>
              </w:rPr>
            </w:pPr>
            <w:r w:rsidRPr="00BD21BE">
              <w:rPr>
                <w:rFonts w:ascii="Calibri" w:eastAsia="Times New Roman" w:hAnsi="Calibri" w:cs="Arial"/>
                <w:b/>
                <w:bCs/>
                <w:color w:val="000000"/>
              </w:rPr>
              <w:t xml:space="preserve"> Rate</w:t>
            </w:r>
          </w:p>
        </w:tc>
        <w:tc>
          <w:tcPr>
            <w:tcW w:w="1980" w:type="dxa"/>
            <w:tcBorders>
              <w:top w:val="single" w:sz="4" w:space="0" w:color="auto"/>
              <w:left w:val="nil"/>
              <w:bottom w:val="single" w:sz="4" w:space="0" w:color="auto"/>
              <w:right w:val="single" w:sz="4" w:space="0" w:color="auto"/>
            </w:tcBorders>
            <w:shd w:val="clear" w:color="000000" w:fill="0080BD"/>
            <w:noWrap/>
            <w:vAlign w:val="center"/>
            <w:hideMark/>
          </w:tcPr>
          <w:p w14:paraId="3DC1BE1D" w14:textId="04EAF2C0" w:rsidR="00BD21BE" w:rsidRPr="00BD21BE" w:rsidRDefault="00BD21BE" w:rsidP="00BD21BE">
            <w:pPr>
              <w:spacing w:after="0" w:line="240" w:lineRule="auto"/>
              <w:jc w:val="center"/>
              <w:rPr>
                <w:rFonts w:ascii="Calibri" w:eastAsia="Times New Roman" w:hAnsi="Calibri" w:cs="Arial"/>
                <w:b/>
                <w:bCs/>
                <w:color w:val="000000"/>
              </w:rPr>
            </w:pPr>
            <w:r w:rsidRPr="00BD21BE">
              <w:rPr>
                <w:rFonts w:ascii="Calibri" w:eastAsia="Times New Roman" w:hAnsi="Calibri" w:cs="Arial"/>
                <w:b/>
                <w:bCs/>
                <w:color w:val="000000"/>
              </w:rPr>
              <w:t xml:space="preserve"> Cost</w:t>
            </w:r>
          </w:p>
        </w:tc>
      </w:tr>
      <w:tr w:rsidR="00584EA7" w:rsidRPr="00BD21BE" w14:paraId="22F87814" w14:textId="77777777" w:rsidTr="004F62A6">
        <w:trPr>
          <w:trHeight w:val="322"/>
        </w:trPr>
        <w:tc>
          <w:tcPr>
            <w:tcW w:w="4710" w:type="dxa"/>
            <w:tcBorders>
              <w:top w:val="nil"/>
              <w:left w:val="single" w:sz="4" w:space="0" w:color="auto"/>
              <w:bottom w:val="single" w:sz="4" w:space="0" w:color="auto"/>
              <w:right w:val="single" w:sz="4" w:space="0" w:color="auto"/>
            </w:tcBorders>
            <w:shd w:val="clear" w:color="auto" w:fill="auto"/>
            <w:noWrap/>
            <w:vAlign w:val="bottom"/>
            <w:hideMark/>
          </w:tcPr>
          <w:p w14:paraId="4305B0C2" w14:textId="77777777"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Survey frame and maintenance</w:t>
            </w:r>
          </w:p>
        </w:tc>
        <w:tc>
          <w:tcPr>
            <w:tcW w:w="1653" w:type="dxa"/>
            <w:tcBorders>
              <w:top w:val="nil"/>
              <w:left w:val="nil"/>
              <w:bottom w:val="single" w:sz="4" w:space="0" w:color="auto"/>
              <w:right w:val="single" w:sz="4" w:space="0" w:color="auto"/>
            </w:tcBorders>
            <w:shd w:val="clear" w:color="auto" w:fill="auto"/>
            <w:noWrap/>
            <w:vAlign w:val="bottom"/>
            <w:hideMark/>
          </w:tcPr>
          <w:p w14:paraId="4C5ADEDD" w14:textId="77777777" w:rsidR="00BD21BE" w:rsidRPr="00BD21BE" w:rsidRDefault="00BD21BE" w:rsidP="00BD21BE">
            <w:pPr>
              <w:spacing w:after="0" w:line="240" w:lineRule="auto"/>
              <w:jc w:val="center"/>
              <w:rPr>
                <w:rFonts w:ascii="Calibri" w:eastAsia="Times New Roman" w:hAnsi="Calibri" w:cs="Arial"/>
                <w:color w:val="000000"/>
              </w:rPr>
            </w:pPr>
            <w:r w:rsidRPr="00BD21BE">
              <w:rPr>
                <w:rFonts w:ascii="Calibri" w:eastAsia="Times New Roman" w:hAnsi="Calibri" w:cs="Arial"/>
                <w:color w:val="000000"/>
              </w:rPr>
              <w:t>60</w:t>
            </w:r>
          </w:p>
        </w:tc>
        <w:tc>
          <w:tcPr>
            <w:tcW w:w="1855" w:type="dxa"/>
            <w:tcBorders>
              <w:top w:val="nil"/>
              <w:left w:val="nil"/>
              <w:bottom w:val="single" w:sz="4" w:space="0" w:color="auto"/>
              <w:right w:val="single" w:sz="4" w:space="0" w:color="auto"/>
            </w:tcBorders>
            <w:shd w:val="clear" w:color="auto" w:fill="auto"/>
            <w:noWrap/>
            <w:vAlign w:val="bottom"/>
            <w:hideMark/>
          </w:tcPr>
          <w:p w14:paraId="55249CB3" w14:textId="66B946A9" w:rsidR="00BD21BE" w:rsidRPr="00BD21BE" w:rsidRDefault="00BD21BE" w:rsidP="004F62A6">
            <w:pPr>
              <w:spacing w:after="0" w:line="240" w:lineRule="auto"/>
              <w:jc w:val="right"/>
              <w:rPr>
                <w:rFonts w:ascii="Calibri" w:eastAsia="Times New Roman" w:hAnsi="Calibri" w:cs="Arial"/>
                <w:color w:val="000000"/>
              </w:rPr>
            </w:pPr>
            <w:r w:rsidRPr="00BD21BE">
              <w:rPr>
                <w:rFonts w:ascii="Calibri" w:eastAsia="Times New Roman" w:hAnsi="Calibri" w:cs="Arial"/>
                <w:color w:val="000000"/>
              </w:rPr>
              <w:t xml:space="preserve"> $               136.36 </w:t>
            </w:r>
          </w:p>
        </w:tc>
        <w:tc>
          <w:tcPr>
            <w:tcW w:w="1980" w:type="dxa"/>
            <w:tcBorders>
              <w:top w:val="nil"/>
              <w:left w:val="nil"/>
              <w:bottom w:val="single" w:sz="4" w:space="0" w:color="auto"/>
              <w:right w:val="single" w:sz="4" w:space="0" w:color="auto"/>
            </w:tcBorders>
            <w:shd w:val="clear" w:color="auto" w:fill="auto"/>
            <w:noWrap/>
            <w:vAlign w:val="bottom"/>
            <w:hideMark/>
          </w:tcPr>
          <w:p w14:paraId="789C65C0" w14:textId="13D1A740"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 xml:space="preserve"> $                   8,182 </w:t>
            </w:r>
          </w:p>
        </w:tc>
      </w:tr>
      <w:tr w:rsidR="00584EA7" w:rsidRPr="00BD21BE" w14:paraId="4DD4DF3B" w14:textId="77777777" w:rsidTr="004F62A6">
        <w:trPr>
          <w:trHeight w:val="322"/>
        </w:trPr>
        <w:tc>
          <w:tcPr>
            <w:tcW w:w="4710" w:type="dxa"/>
            <w:tcBorders>
              <w:top w:val="nil"/>
              <w:left w:val="single" w:sz="4" w:space="0" w:color="auto"/>
              <w:bottom w:val="single" w:sz="4" w:space="0" w:color="auto"/>
              <w:right w:val="single" w:sz="4" w:space="0" w:color="auto"/>
            </w:tcBorders>
            <w:shd w:val="clear" w:color="auto" w:fill="auto"/>
            <w:noWrap/>
            <w:vAlign w:val="bottom"/>
            <w:hideMark/>
          </w:tcPr>
          <w:p w14:paraId="31235E86" w14:textId="77777777"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 xml:space="preserve">Data collection and processing </w:t>
            </w:r>
          </w:p>
        </w:tc>
        <w:tc>
          <w:tcPr>
            <w:tcW w:w="1653" w:type="dxa"/>
            <w:tcBorders>
              <w:top w:val="nil"/>
              <w:left w:val="nil"/>
              <w:bottom w:val="single" w:sz="4" w:space="0" w:color="auto"/>
              <w:right w:val="single" w:sz="4" w:space="0" w:color="auto"/>
            </w:tcBorders>
            <w:shd w:val="clear" w:color="auto" w:fill="auto"/>
            <w:noWrap/>
            <w:vAlign w:val="bottom"/>
            <w:hideMark/>
          </w:tcPr>
          <w:p w14:paraId="34EE0A8E" w14:textId="77777777" w:rsidR="00BD21BE" w:rsidRPr="00BD21BE" w:rsidRDefault="00BD21BE" w:rsidP="00BD21BE">
            <w:pPr>
              <w:spacing w:after="0" w:line="240" w:lineRule="auto"/>
              <w:jc w:val="center"/>
              <w:rPr>
                <w:rFonts w:ascii="Calibri" w:eastAsia="Times New Roman" w:hAnsi="Calibri" w:cs="Arial"/>
                <w:color w:val="000000"/>
              </w:rPr>
            </w:pPr>
            <w:r w:rsidRPr="00BD21BE">
              <w:rPr>
                <w:rFonts w:ascii="Calibri" w:eastAsia="Times New Roman" w:hAnsi="Calibri" w:cs="Arial"/>
                <w:color w:val="000000"/>
              </w:rPr>
              <w:t>800</w:t>
            </w:r>
          </w:p>
        </w:tc>
        <w:tc>
          <w:tcPr>
            <w:tcW w:w="1855" w:type="dxa"/>
            <w:tcBorders>
              <w:top w:val="nil"/>
              <w:left w:val="nil"/>
              <w:bottom w:val="single" w:sz="4" w:space="0" w:color="auto"/>
              <w:right w:val="single" w:sz="4" w:space="0" w:color="auto"/>
            </w:tcBorders>
            <w:shd w:val="clear" w:color="auto" w:fill="auto"/>
            <w:noWrap/>
            <w:vAlign w:val="bottom"/>
            <w:hideMark/>
          </w:tcPr>
          <w:p w14:paraId="2B17B531" w14:textId="2D70127A" w:rsidR="00BD21BE" w:rsidRPr="00BD21BE" w:rsidRDefault="00BD21BE" w:rsidP="004F62A6">
            <w:pPr>
              <w:spacing w:after="0" w:line="240" w:lineRule="auto"/>
              <w:jc w:val="right"/>
              <w:rPr>
                <w:rFonts w:ascii="Calibri" w:eastAsia="Times New Roman" w:hAnsi="Calibri" w:cs="Arial"/>
                <w:color w:val="000000"/>
              </w:rPr>
            </w:pPr>
            <w:r w:rsidRPr="00BD21BE">
              <w:rPr>
                <w:rFonts w:ascii="Calibri" w:eastAsia="Times New Roman" w:hAnsi="Calibri" w:cs="Arial"/>
                <w:color w:val="000000"/>
              </w:rPr>
              <w:t xml:space="preserve"> $               136.36 </w:t>
            </w:r>
          </w:p>
        </w:tc>
        <w:tc>
          <w:tcPr>
            <w:tcW w:w="1980" w:type="dxa"/>
            <w:tcBorders>
              <w:top w:val="nil"/>
              <w:left w:val="nil"/>
              <w:bottom w:val="single" w:sz="4" w:space="0" w:color="auto"/>
              <w:right w:val="single" w:sz="4" w:space="0" w:color="auto"/>
            </w:tcBorders>
            <w:shd w:val="clear" w:color="auto" w:fill="auto"/>
            <w:noWrap/>
            <w:vAlign w:val="bottom"/>
            <w:hideMark/>
          </w:tcPr>
          <w:p w14:paraId="478ED6D7" w14:textId="1EC9D881"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 xml:space="preserve"> $               109,091 </w:t>
            </w:r>
          </w:p>
        </w:tc>
      </w:tr>
      <w:tr w:rsidR="00584EA7" w:rsidRPr="00BD21BE" w14:paraId="1C55EADA" w14:textId="77777777" w:rsidTr="004F62A6">
        <w:trPr>
          <w:trHeight w:val="322"/>
        </w:trPr>
        <w:tc>
          <w:tcPr>
            <w:tcW w:w="4710" w:type="dxa"/>
            <w:tcBorders>
              <w:top w:val="nil"/>
              <w:left w:val="single" w:sz="4" w:space="0" w:color="auto"/>
              <w:bottom w:val="single" w:sz="4" w:space="0" w:color="auto"/>
              <w:right w:val="single" w:sz="4" w:space="0" w:color="auto"/>
            </w:tcBorders>
            <w:shd w:val="clear" w:color="auto" w:fill="auto"/>
            <w:noWrap/>
            <w:vAlign w:val="bottom"/>
            <w:hideMark/>
          </w:tcPr>
          <w:p w14:paraId="7A84AE33" w14:textId="77777777"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 xml:space="preserve">Data dissemination </w:t>
            </w:r>
          </w:p>
        </w:tc>
        <w:tc>
          <w:tcPr>
            <w:tcW w:w="1653" w:type="dxa"/>
            <w:tcBorders>
              <w:top w:val="nil"/>
              <w:left w:val="nil"/>
              <w:bottom w:val="single" w:sz="4" w:space="0" w:color="auto"/>
              <w:right w:val="single" w:sz="4" w:space="0" w:color="auto"/>
            </w:tcBorders>
            <w:shd w:val="clear" w:color="auto" w:fill="auto"/>
            <w:noWrap/>
            <w:vAlign w:val="bottom"/>
            <w:hideMark/>
          </w:tcPr>
          <w:p w14:paraId="4F1BDD94" w14:textId="77777777" w:rsidR="00BD21BE" w:rsidRPr="00BD21BE" w:rsidRDefault="00BD21BE" w:rsidP="00BD21BE">
            <w:pPr>
              <w:spacing w:after="0" w:line="240" w:lineRule="auto"/>
              <w:jc w:val="center"/>
              <w:rPr>
                <w:rFonts w:ascii="Calibri" w:eastAsia="Times New Roman" w:hAnsi="Calibri" w:cs="Arial"/>
                <w:color w:val="000000"/>
              </w:rPr>
            </w:pPr>
            <w:r w:rsidRPr="00BD21BE">
              <w:rPr>
                <w:rFonts w:ascii="Calibri" w:eastAsia="Times New Roman" w:hAnsi="Calibri" w:cs="Arial"/>
                <w:color w:val="000000"/>
              </w:rPr>
              <w:t>30</w:t>
            </w:r>
          </w:p>
        </w:tc>
        <w:tc>
          <w:tcPr>
            <w:tcW w:w="1855" w:type="dxa"/>
            <w:tcBorders>
              <w:top w:val="nil"/>
              <w:left w:val="nil"/>
              <w:bottom w:val="single" w:sz="4" w:space="0" w:color="auto"/>
              <w:right w:val="single" w:sz="4" w:space="0" w:color="auto"/>
            </w:tcBorders>
            <w:shd w:val="clear" w:color="auto" w:fill="auto"/>
            <w:noWrap/>
            <w:vAlign w:val="bottom"/>
            <w:hideMark/>
          </w:tcPr>
          <w:p w14:paraId="7B1044C3" w14:textId="03190FF6" w:rsidR="00BD21BE" w:rsidRPr="00BD21BE" w:rsidRDefault="00BD21BE" w:rsidP="004F62A6">
            <w:pPr>
              <w:spacing w:after="0" w:line="240" w:lineRule="auto"/>
              <w:jc w:val="right"/>
              <w:rPr>
                <w:rFonts w:ascii="Calibri" w:eastAsia="Times New Roman" w:hAnsi="Calibri" w:cs="Arial"/>
                <w:color w:val="000000"/>
              </w:rPr>
            </w:pPr>
            <w:r w:rsidRPr="00BD21BE">
              <w:rPr>
                <w:rFonts w:ascii="Calibri" w:eastAsia="Times New Roman" w:hAnsi="Calibri" w:cs="Arial"/>
                <w:color w:val="000000"/>
              </w:rPr>
              <w:t xml:space="preserve"> $               136.36 </w:t>
            </w:r>
          </w:p>
        </w:tc>
        <w:tc>
          <w:tcPr>
            <w:tcW w:w="1980" w:type="dxa"/>
            <w:tcBorders>
              <w:top w:val="nil"/>
              <w:left w:val="nil"/>
              <w:bottom w:val="single" w:sz="4" w:space="0" w:color="auto"/>
              <w:right w:val="single" w:sz="4" w:space="0" w:color="auto"/>
            </w:tcBorders>
            <w:shd w:val="clear" w:color="auto" w:fill="auto"/>
            <w:noWrap/>
            <w:vAlign w:val="bottom"/>
            <w:hideMark/>
          </w:tcPr>
          <w:p w14:paraId="3A2AF06A" w14:textId="60100F5C"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 xml:space="preserve"> $                   4,091 </w:t>
            </w:r>
          </w:p>
        </w:tc>
      </w:tr>
      <w:tr w:rsidR="00584EA7" w:rsidRPr="00BD21BE" w14:paraId="47F9E545" w14:textId="77777777" w:rsidTr="004F62A6">
        <w:trPr>
          <w:trHeight w:val="322"/>
        </w:trPr>
        <w:tc>
          <w:tcPr>
            <w:tcW w:w="4710" w:type="dxa"/>
            <w:tcBorders>
              <w:top w:val="nil"/>
              <w:left w:val="single" w:sz="4" w:space="0" w:color="auto"/>
              <w:bottom w:val="single" w:sz="4" w:space="0" w:color="auto"/>
              <w:right w:val="single" w:sz="4" w:space="0" w:color="auto"/>
            </w:tcBorders>
            <w:shd w:val="clear" w:color="auto" w:fill="auto"/>
            <w:noWrap/>
            <w:vAlign w:val="bottom"/>
            <w:hideMark/>
          </w:tcPr>
          <w:p w14:paraId="271F6698" w14:textId="77777777"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 xml:space="preserve">Data systems maintenance and enhancements </w:t>
            </w:r>
          </w:p>
        </w:tc>
        <w:tc>
          <w:tcPr>
            <w:tcW w:w="1653" w:type="dxa"/>
            <w:tcBorders>
              <w:top w:val="nil"/>
              <w:left w:val="nil"/>
              <w:bottom w:val="single" w:sz="4" w:space="0" w:color="auto"/>
              <w:right w:val="single" w:sz="4" w:space="0" w:color="auto"/>
            </w:tcBorders>
            <w:shd w:val="clear" w:color="auto" w:fill="auto"/>
            <w:noWrap/>
            <w:vAlign w:val="bottom"/>
            <w:hideMark/>
          </w:tcPr>
          <w:p w14:paraId="7AAF8DF0" w14:textId="77777777" w:rsidR="00BD21BE" w:rsidRPr="00BD21BE" w:rsidRDefault="00BD21BE" w:rsidP="00BD21BE">
            <w:pPr>
              <w:spacing w:after="0" w:line="240" w:lineRule="auto"/>
              <w:jc w:val="center"/>
              <w:rPr>
                <w:rFonts w:ascii="Calibri" w:eastAsia="Times New Roman" w:hAnsi="Calibri" w:cs="Arial"/>
                <w:color w:val="000000"/>
              </w:rPr>
            </w:pPr>
            <w:r w:rsidRPr="00BD21BE">
              <w:rPr>
                <w:rFonts w:ascii="Calibri" w:eastAsia="Times New Roman" w:hAnsi="Calibri" w:cs="Arial"/>
                <w:color w:val="000000"/>
              </w:rPr>
              <w:t>320</w:t>
            </w:r>
          </w:p>
        </w:tc>
        <w:tc>
          <w:tcPr>
            <w:tcW w:w="1855" w:type="dxa"/>
            <w:tcBorders>
              <w:top w:val="nil"/>
              <w:left w:val="nil"/>
              <w:bottom w:val="single" w:sz="4" w:space="0" w:color="auto"/>
              <w:right w:val="single" w:sz="4" w:space="0" w:color="auto"/>
            </w:tcBorders>
            <w:shd w:val="clear" w:color="auto" w:fill="auto"/>
            <w:noWrap/>
            <w:vAlign w:val="bottom"/>
            <w:hideMark/>
          </w:tcPr>
          <w:p w14:paraId="3BE51D49" w14:textId="52DB6577" w:rsidR="00BD21BE" w:rsidRPr="00BD21BE" w:rsidRDefault="00BD21BE" w:rsidP="004F62A6">
            <w:pPr>
              <w:spacing w:after="0" w:line="240" w:lineRule="auto"/>
              <w:jc w:val="right"/>
              <w:rPr>
                <w:rFonts w:ascii="Calibri" w:eastAsia="Times New Roman" w:hAnsi="Calibri" w:cs="Arial"/>
                <w:color w:val="000000"/>
              </w:rPr>
            </w:pPr>
            <w:r w:rsidRPr="00BD21BE">
              <w:rPr>
                <w:rFonts w:ascii="Calibri" w:eastAsia="Times New Roman" w:hAnsi="Calibri" w:cs="Arial"/>
                <w:color w:val="000000"/>
              </w:rPr>
              <w:t xml:space="preserve"> $               136.36 </w:t>
            </w:r>
          </w:p>
        </w:tc>
        <w:tc>
          <w:tcPr>
            <w:tcW w:w="1980" w:type="dxa"/>
            <w:tcBorders>
              <w:top w:val="nil"/>
              <w:left w:val="nil"/>
              <w:bottom w:val="single" w:sz="4" w:space="0" w:color="auto"/>
              <w:right w:val="single" w:sz="4" w:space="0" w:color="auto"/>
            </w:tcBorders>
            <w:shd w:val="clear" w:color="auto" w:fill="auto"/>
            <w:noWrap/>
            <w:vAlign w:val="bottom"/>
            <w:hideMark/>
          </w:tcPr>
          <w:p w14:paraId="5FA13EFA" w14:textId="5DB47D47" w:rsidR="00BD21BE" w:rsidRPr="00BD21BE" w:rsidRDefault="00BD21BE" w:rsidP="00BD21BE">
            <w:pPr>
              <w:spacing w:after="0" w:line="240" w:lineRule="auto"/>
              <w:rPr>
                <w:rFonts w:ascii="Calibri" w:eastAsia="Times New Roman" w:hAnsi="Calibri" w:cs="Arial"/>
                <w:color w:val="000000"/>
              </w:rPr>
            </w:pPr>
            <w:r w:rsidRPr="00BD21BE">
              <w:rPr>
                <w:rFonts w:ascii="Calibri" w:eastAsia="Times New Roman" w:hAnsi="Calibri" w:cs="Arial"/>
                <w:color w:val="000000"/>
              </w:rPr>
              <w:t xml:space="preserve"> $                 43,636 </w:t>
            </w:r>
          </w:p>
        </w:tc>
      </w:tr>
      <w:tr w:rsidR="00584EA7" w:rsidRPr="00BD21BE" w14:paraId="6F0EC237" w14:textId="77777777" w:rsidTr="004F62A6">
        <w:trPr>
          <w:trHeight w:val="322"/>
        </w:trPr>
        <w:tc>
          <w:tcPr>
            <w:tcW w:w="4710" w:type="dxa"/>
            <w:tcBorders>
              <w:top w:val="nil"/>
              <w:left w:val="single" w:sz="4" w:space="0" w:color="auto"/>
              <w:bottom w:val="single" w:sz="4" w:space="0" w:color="auto"/>
              <w:right w:val="single" w:sz="4" w:space="0" w:color="auto"/>
            </w:tcBorders>
            <w:shd w:val="clear" w:color="auto" w:fill="auto"/>
            <w:noWrap/>
            <w:vAlign w:val="bottom"/>
            <w:hideMark/>
          </w:tcPr>
          <w:p w14:paraId="58DD69D9" w14:textId="77777777" w:rsidR="00BD21BE" w:rsidRPr="00BD21BE" w:rsidRDefault="00BD21BE" w:rsidP="00BD21BE">
            <w:pPr>
              <w:spacing w:after="0" w:line="240" w:lineRule="auto"/>
              <w:rPr>
                <w:rFonts w:ascii="Calibri" w:eastAsia="Times New Roman" w:hAnsi="Calibri" w:cs="Arial"/>
                <w:b/>
                <w:bCs/>
                <w:color w:val="000000"/>
              </w:rPr>
            </w:pPr>
            <w:r w:rsidRPr="00BD21BE">
              <w:rPr>
                <w:rFonts w:ascii="Calibri" w:eastAsia="Times New Roman" w:hAnsi="Calibri" w:cs="Arial"/>
                <w:b/>
                <w:bCs/>
                <w:color w:val="000000"/>
              </w:rPr>
              <w:t>Total Annual Cost</w:t>
            </w:r>
          </w:p>
        </w:tc>
        <w:tc>
          <w:tcPr>
            <w:tcW w:w="1653" w:type="dxa"/>
            <w:tcBorders>
              <w:top w:val="nil"/>
              <w:left w:val="nil"/>
              <w:bottom w:val="single" w:sz="4" w:space="0" w:color="auto"/>
              <w:right w:val="single" w:sz="4" w:space="0" w:color="auto"/>
            </w:tcBorders>
            <w:shd w:val="clear" w:color="auto" w:fill="auto"/>
            <w:noWrap/>
            <w:vAlign w:val="bottom"/>
            <w:hideMark/>
          </w:tcPr>
          <w:p w14:paraId="4132853F" w14:textId="26A68E67" w:rsidR="00BD21BE" w:rsidRPr="00BD21BE" w:rsidRDefault="00BD21BE" w:rsidP="00BD21BE">
            <w:pPr>
              <w:spacing w:after="0" w:line="240" w:lineRule="auto"/>
              <w:jc w:val="center"/>
              <w:rPr>
                <w:rFonts w:ascii="Calibri" w:eastAsia="Times New Roman" w:hAnsi="Calibri" w:cs="Arial"/>
                <w:color w:val="000000"/>
              </w:rPr>
            </w:pPr>
            <w:r w:rsidRPr="00BD21BE">
              <w:rPr>
                <w:rFonts w:ascii="Calibri" w:eastAsia="Times New Roman" w:hAnsi="Calibri" w:cs="Arial"/>
                <w:color w:val="000000"/>
              </w:rPr>
              <w:t>1</w:t>
            </w:r>
            <w:r>
              <w:rPr>
                <w:rFonts w:ascii="Calibri" w:eastAsia="Times New Roman" w:hAnsi="Calibri" w:cs="Arial"/>
                <w:color w:val="000000"/>
              </w:rPr>
              <w:t>,</w:t>
            </w:r>
            <w:r w:rsidRPr="00BD21BE">
              <w:rPr>
                <w:rFonts w:ascii="Calibri" w:eastAsia="Times New Roman" w:hAnsi="Calibri" w:cs="Arial"/>
                <w:color w:val="000000"/>
              </w:rPr>
              <w:t>210</w:t>
            </w:r>
          </w:p>
        </w:tc>
        <w:tc>
          <w:tcPr>
            <w:tcW w:w="1855" w:type="dxa"/>
            <w:tcBorders>
              <w:top w:val="nil"/>
              <w:left w:val="nil"/>
              <w:bottom w:val="single" w:sz="4" w:space="0" w:color="auto"/>
              <w:right w:val="single" w:sz="4" w:space="0" w:color="auto"/>
            </w:tcBorders>
            <w:shd w:val="clear" w:color="auto" w:fill="auto"/>
            <w:noWrap/>
            <w:vAlign w:val="bottom"/>
            <w:hideMark/>
          </w:tcPr>
          <w:p w14:paraId="4A2E8C71" w14:textId="1B246EB2" w:rsidR="00BD21BE" w:rsidRPr="00BD21BE" w:rsidRDefault="00BD21BE" w:rsidP="00BD21BE">
            <w:pPr>
              <w:spacing w:after="0" w:line="240" w:lineRule="auto"/>
              <w:jc w:val="right"/>
              <w:rPr>
                <w:rFonts w:ascii="Calibri" w:eastAsia="Times New Roman" w:hAnsi="Calibri" w:cs="Arial"/>
                <w:color w:val="000000"/>
              </w:rPr>
            </w:pPr>
            <w:r>
              <w:rPr>
                <w:rFonts w:ascii="Calibri" w:eastAsia="Times New Roman" w:hAnsi="Calibri" w:cs="Arial"/>
                <w:color w:val="000000"/>
              </w:rPr>
              <w:t xml:space="preserve">$               </w:t>
            </w:r>
            <w:r w:rsidRPr="00BD21BE">
              <w:rPr>
                <w:rFonts w:ascii="Calibri" w:eastAsia="Times New Roman" w:hAnsi="Calibri" w:cs="Arial"/>
                <w:color w:val="000000"/>
              </w:rPr>
              <w:t xml:space="preserve">136.36 </w:t>
            </w:r>
          </w:p>
        </w:tc>
        <w:tc>
          <w:tcPr>
            <w:tcW w:w="1980" w:type="dxa"/>
            <w:tcBorders>
              <w:top w:val="nil"/>
              <w:left w:val="nil"/>
              <w:bottom w:val="single" w:sz="4" w:space="0" w:color="auto"/>
              <w:right w:val="single" w:sz="4" w:space="0" w:color="auto"/>
            </w:tcBorders>
            <w:shd w:val="clear" w:color="auto" w:fill="auto"/>
            <w:noWrap/>
            <w:vAlign w:val="bottom"/>
            <w:hideMark/>
          </w:tcPr>
          <w:p w14:paraId="76CE9A9F" w14:textId="12C4AF10" w:rsidR="00BD21BE" w:rsidRPr="00BD21BE" w:rsidRDefault="00BD21BE" w:rsidP="00BD21BE">
            <w:pPr>
              <w:spacing w:after="0" w:line="240" w:lineRule="auto"/>
              <w:rPr>
                <w:rFonts w:ascii="Calibri" w:eastAsia="Times New Roman" w:hAnsi="Calibri" w:cs="Arial"/>
                <w:b/>
                <w:bCs/>
                <w:color w:val="000000"/>
              </w:rPr>
            </w:pPr>
            <w:r w:rsidRPr="00BD21BE">
              <w:rPr>
                <w:rFonts w:ascii="Calibri" w:eastAsia="Times New Roman" w:hAnsi="Calibri" w:cs="Arial"/>
                <w:b/>
                <w:bCs/>
                <w:color w:val="000000"/>
              </w:rPr>
              <w:t xml:space="preserve"> $               165,000 </w:t>
            </w:r>
          </w:p>
        </w:tc>
      </w:tr>
    </w:tbl>
    <w:p w14:paraId="3FD1A187" w14:textId="5385D563" w:rsidR="00C6142C" w:rsidRDefault="00C6142C" w:rsidP="003E4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fldChar w:fldCharType="begin"/>
      </w:r>
      <w:r>
        <w:instrText xml:space="preserve"> LINK Excel.Sheet.12 "C:\\Users\\BRI\\AppData\\Local\\Microsoft\\Windows\\Temporary Internet Files\\Content.Outlook\\37B7EQSH\\Costs to Govt Excel CAS (002).xlsx" "Sheet1!R19C3:R24C6" \a \f 4 \h </w:instrText>
      </w:r>
      <w:r w:rsidR="00DE4132">
        <w:instrText xml:space="preserve"> \* MERGEFORMAT </w:instrText>
      </w:r>
      <w:r>
        <w:fldChar w:fldCharType="separate"/>
      </w:r>
    </w:p>
    <w:tbl>
      <w:tblPr>
        <w:tblW w:w="10549" w:type="dxa"/>
        <w:jc w:val="center"/>
        <w:tblLook w:val="04A0" w:firstRow="1" w:lastRow="0" w:firstColumn="1" w:lastColumn="0" w:noHBand="0" w:noVBand="1"/>
      </w:tblPr>
      <w:tblGrid>
        <w:gridCol w:w="4878"/>
        <w:gridCol w:w="1713"/>
        <w:gridCol w:w="1574"/>
        <w:gridCol w:w="2384"/>
      </w:tblGrid>
      <w:tr w:rsidR="00DE4132" w:rsidRPr="00DE4132" w14:paraId="6A8E71F6" w14:textId="77777777" w:rsidTr="004F62A6">
        <w:trPr>
          <w:trHeight w:val="255"/>
          <w:jc w:val="center"/>
        </w:trPr>
        <w:tc>
          <w:tcPr>
            <w:tcW w:w="10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EC914A" w14:textId="139312E7" w:rsidR="00DE4132" w:rsidRPr="00DE4132" w:rsidRDefault="00DE4132" w:rsidP="004F62A6">
            <w:pPr>
              <w:pStyle w:val="Heading2"/>
              <w:rPr>
                <w:rFonts w:ascii="Calibri" w:eastAsia="Times New Roman" w:hAnsi="Calibri" w:cs="Arial"/>
                <w:bCs/>
                <w:color w:val="000000"/>
              </w:rPr>
            </w:pPr>
            <w:r w:rsidRPr="004F62A6">
              <w:t>Table A3 F</w:t>
            </w:r>
            <w:r w:rsidR="00BD21BE">
              <w:t xml:space="preserve">ederal Employee </w:t>
            </w:r>
            <w:r w:rsidRPr="004F62A6">
              <w:t>Costs (Annual)</w:t>
            </w:r>
          </w:p>
        </w:tc>
      </w:tr>
      <w:tr w:rsidR="006E7987" w:rsidRPr="00DE4132" w14:paraId="0AA6DA60" w14:textId="77777777" w:rsidTr="004F62A6">
        <w:trPr>
          <w:trHeight w:val="255"/>
          <w:jc w:val="center"/>
        </w:trPr>
        <w:tc>
          <w:tcPr>
            <w:tcW w:w="4878" w:type="dxa"/>
            <w:tcBorders>
              <w:top w:val="single" w:sz="4" w:space="0" w:color="auto"/>
              <w:left w:val="single" w:sz="4" w:space="0" w:color="auto"/>
              <w:bottom w:val="single" w:sz="4" w:space="0" w:color="auto"/>
              <w:right w:val="single" w:sz="4" w:space="0" w:color="auto"/>
            </w:tcBorders>
            <w:shd w:val="clear" w:color="000000" w:fill="0080BD"/>
            <w:noWrap/>
            <w:vAlign w:val="center"/>
            <w:hideMark/>
          </w:tcPr>
          <w:p w14:paraId="48759858" w14:textId="77777777" w:rsidR="00C6142C" w:rsidRPr="004F62A6" w:rsidRDefault="00C6142C" w:rsidP="004F62A6">
            <w:pPr>
              <w:spacing w:after="0" w:line="240" w:lineRule="auto"/>
              <w:rPr>
                <w:rFonts w:ascii="Calibri" w:eastAsia="Times New Roman" w:hAnsi="Calibri" w:cs="Arial"/>
                <w:b/>
                <w:bCs/>
                <w:color w:val="000000"/>
              </w:rPr>
            </w:pPr>
            <w:r w:rsidRPr="004F62A6">
              <w:rPr>
                <w:rFonts w:ascii="Calibri" w:eastAsia="Times New Roman" w:hAnsi="Calibri" w:cs="Arial"/>
                <w:b/>
                <w:bCs/>
                <w:color w:val="000000"/>
              </w:rPr>
              <w:t>Activity</w:t>
            </w:r>
          </w:p>
        </w:tc>
        <w:tc>
          <w:tcPr>
            <w:tcW w:w="1713" w:type="dxa"/>
            <w:tcBorders>
              <w:top w:val="single" w:sz="4" w:space="0" w:color="auto"/>
              <w:left w:val="nil"/>
              <w:bottom w:val="single" w:sz="4" w:space="0" w:color="auto"/>
              <w:right w:val="single" w:sz="4" w:space="0" w:color="auto"/>
            </w:tcBorders>
            <w:shd w:val="clear" w:color="000000" w:fill="0080BD"/>
            <w:noWrap/>
            <w:vAlign w:val="center"/>
            <w:hideMark/>
          </w:tcPr>
          <w:p w14:paraId="6262349E" w14:textId="77777777" w:rsidR="00C6142C" w:rsidRPr="004F62A6" w:rsidRDefault="00C6142C" w:rsidP="004F62A6">
            <w:pPr>
              <w:spacing w:after="0" w:line="240" w:lineRule="auto"/>
              <w:jc w:val="center"/>
              <w:rPr>
                <w:rFonts w:ascii="Calibri" w:eastAsia="Times New Roman" w:hAnsi="Calibri" w:cs="Arial"/>
                <w:b/>
                <w:bCs/>
                <w:color w:val="000000"/>
              </w:rPr>
            </w:pPr>
            <w:r w:rsidRPr="004F62A6">
              <w:rPr>
                <w:rFonts w:ascii="Calibri" w:eastAsia="Times New Roman" w:hAnsi="Calibri" w:cs="Arial"/>
                <w:b/>
                <w:bCs/>
                <w:color w:val="000000"/>
              </w:rPr>
              <w:t>Labor hours</w:t>
            </w:r>
          </w:p>
        </w:tc>
        <w:tc>
          <w:tcPr>
            <w:tcW w:w="1574" w:type="dxa"/>
            <w:tcBorders>
              <w:top w:val="single" w:sz="4" w:space="0" w:color="auto"/>
              <w:left w:val="nil"/>
              <w:bottom w:val="single" w:sz="4" w:space="0" w:color="auto"/>
              <w:right w:val="single" w:sz="4" w:space="0" w:color="auto"/>
            </w:tcBorders>
            <w:shd w:val="clear" w:color="000000" w:fill="0080BD"/>
            <w:noWrap/>
            <w:vAlign w:val="center"/>
            <w:hideMark/>
          </w:tcPr>
          <w:p w14:paraId="6C898AA1" w14:textId="31451BFC" w:rsidR="00C6142C" w:rsidRPr="004F62A6" w:rsidRDefault="000F3987" w:rsidP="004F62A6">
            <w:pPr>
              <w:spacing w:after="0" w:line="240" w:lineRule="auto"/>
              <w:jc w:val="center"/>
              <w:rPr>
                <w:rFonts w:ascii="Calibri" w:eastAsia="Times New Roman" w:hAnsi="Calibri" w:cs="Arial"/>
                <w:b/>
                <w:bCs/>
                <w:color w:val="000000"/>
              </w:rPr>
            </w:pPr>
            <w:r w:rsidRPr="000F3987">
              <w:rPr>
                <w:rFonts w:ascii="Calibri" w:eastAsia="Times New Roman" w:hAnsi="Calibri" w:cs="Arial"/>
                <w:b/>
                <w:bCs/>
                <w:color w:val="000000"/>
              </w:rPr>
              <w:t xml:space="preserve"> </w:t>
            </w:r>
            <w:r w:rsidR="00C6142C" w:rsidRPr="004F62A6">
              <w:rPr>
                <w:rFonts w:ascii="Calibri" w:eastAsia="Times New Roman" w:hAnsi="Calibri" w:cs="Arial"/>
                <w:b/>
                <w:bCs/>
                <w:color w:val="000000"/>
              </w:rPr>
              <w:t xml:space="preserve"> Rate</w:t>
            </w:r>
          </w:p>
        </w:tc>
        <w:tc>
          <w:tcPr>
            <w:tcW w:w="2382" w:type="dxa"/>
            <w:tcBorders>
              <w:top w:val="single" w:sz="4" w:space="0" w:color="auto"/>
              <w:left w:val="nil"/>
              <w:bottom w:val="single" w:sz="4" w:space="0" w:color="auto"/>
              <w:right w:val="single" w:sz="4" w:space="0" w:color="auto"/>
            </w:tcBorders>
            <w:shd w:val="clear" w:color="000000" w:fill="0080BD"/>
            <w:noWrap/>
            <w:vAlign w:val="center"/>
            <w:hideMark/>
          </w:tcPr>
          <w:p w14:paraId="73983EA4" w14:textId="2DA9C7D8" w:rsidR="00C6142C" w:rsidRPr="004F62A6" w:rsidRDefault="000F3987" w:rsidP="004F62A6">
            <w:pPr>
              <w:spacing w:after="0" w:line="240" w:lineRule="auto"/>
              <w:jc w:val="center"/>
              <w:rPr>
                <w:rFonts w:ascii="Calibri" w:eastAsia="Times New Roman" w:hAnsi="Calibri" w:cs="Arial"/>
                <w:b/>
                <w:bCs/>
                <w:color w:val="000000"/>
              </w:rPr>
            </w:pPr>
            <w:r w:rsidRPr="000F3987">
              <w:rPr>
                <w:rFonts w:ascii="Calibri" w:eastAsia="Times New Roman" w:hAnsi="Calibri" w:cs="Arial"/>
                <w:b/>
                <w:bCs/>
                <w:color w:val="000000"/>
              </w:rPr>
              <w:t xml:space="preserve"> </w:t>
            </w:r>
            <w:r w:rsidR="00C6142C" w:rsidRPr="004F62A6">
              <w:rPr>
                <w:rFonts w:ascii="Calibri" w:eastAsia="Times New Roman" w:hAnsi="Calibri" w:cs="Arial"/>
                <w:b/>
                <w:bCs/>
                <w:color w:val="000000"/>
              </w:rPr>
              <w:t>Cost</w:t>
            </w:r>
          </w:p>
        </w:tc>
      </w:tr>
      <w:tr w:rsidR="006E7987" w:rsidRPr="00DE4132" w14:paraId="367CED77" w14:textId="77777777" w:rsidTr="004F62A6">
        <w:trPr>
          <w:trHeight w:val="255"/>
          <w:jc w:val="center"/>
        </w:trPr>
        <w:tc>
          <w:tcPr>
            <w:tcW w:w="4878" w:type="dxa"/>
            <w:tcBorders>
              <w:top w:val="nil"/>
              <w:left w:val="single" w:sz="4" w:space="0" w:color="auto"/>
              <w:bottom w:val="single" w:sz="4" w:space="0" w:color="auto"/>
              <w:right w:val="single" w:sz="4" w:space="0" w:color="auto"/>
            </w:tcBorders>
            <w:shd w:val="clear" w:color="auto" w:fill="auto"/>
            <w:noWrap/>
            <w:vAlign w:val="bottom"/>
            <w:hideMark/>
          </w:tcPr>
          <w:p w14:paraId="75D520B1"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Survey frame and maintenance</w:t>
            </w:r>
          </w:p>
        </w:tc>
        <w:tc>
          <w:tcPr>
            <w:tcW w:w="1713" w:type="dxa"/>
            <w:tcBorders>
              <w:top w:val="nil"/>
              <w:left w:val="nil"/>
              <w:bottom w:val="single" w:sz="4" w:space="0" w:color="auto"/>
              <w:right w:val="single" w:sz="4" w:space="0" w:color="auto"/>
            </w:tcBorders>
            <w:shd w:val="clear" w:color="auto" w:fill="auto"/>
            <w:noWrap/>
            <w:vAlign w:val="bottom"/>
            <w:hideMark/>
          </w:tcPr>
          <w:p w14:paraId="0C542FDF" w14:textId="77777777" w:rsidR="00C6142C" w:rsidRPr="004F62A6" w:rsidRDefault="00C6142C" w:rsidP="004F62A6">
            <w:pPr>
              <w:spacing w:after="0" w:line="240" w:lineRule="auto"/>
              <w:jc w:val="center"/>
              <w:rPr>
                <w:rFonts w:ascii="Calibri" w:eastAsia="Times New Roman" w:hAnsi="Calibri" w:cs="Arial"/>
                <w:color w:val="000000"/>
              </w:rPr>
            </w:pPr>
            <w:r w:rsidRPr="004F62A6">
              <w:rPr>
                <w:rFonts w:ascii="Calibri" w:eastAsia="Times New Roman" w:hAnsi="Calibri" w:cs="Arial"/>
                <w:color w:val="000000"/>
              </w:rPr>
              <w:t>280</w:t>
            </w:r>
          </w:p>
        </w:tc>
        <w:tc>
          <w:tcPr>
            <w:tcW w:w="1574" w:type="dxa"/>
            <w:tcBorders>
              <w:top w:val="nil"/>
              <w:left w:val="nil"/>
              <w:bottom w:val="single" w:sz="4" w:space="0" w:color="auto"/>
              <w:right w:val="single" w:sz="4" w:space="0" w:color="auto"/>
            </w:tcBorders>
            <w:shd w:val="clear" w:color="auto" w:fill="auto"/>
            <w:noWrap/>
            <w:vAlign w:val="bottom"/>
            <w:hideMark/>
          </w:tcPr>
          <w:p w14:paraId="14BD445F" w14:textId="0F0A9B6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w:t>
            </w:r>
            <w:r w:rsidR="005D7AA7">
              <w:rPr>
                <w:rFonts w:ascii="Calibri" w:eastAsia="Times New Roman" w:hAnsi="Calibri" w:cs="Arial"/>
                <w:color w:val="000000"/>
              </w:rPr>
              <w:t xml:space="preserve"> </w:t>
            </w:r>
            <w:r w:rsidR="00BD21BE">
              <w:rPr>
                <w:rFonts w:ascii="Calibri" w:eastAsia="Times New Roman" w:hAnsi="Calibri" w:cs="Arial"/>
                <w:color w:val="000000"/>
              </w:rPr>
              <w:t xml:space="preserve">            </w:t>
            </w:r>
            <w:r w:rsidRPr="004F62A6">
              <w:rPr>
                <w:rFonts w:ascii="Calibri" w:eastAsia="Times New Roman" w:hAnsi="Calibri" w:cs="Arial"/>
                <w:color w:val="000000"/>
              </w:rPr>
              <w:t xml:space="preserve">75.69 </w:t>
            </w:r>
          </w:p>
        </w:tc>
        <w:tc>
          <w:tcPr>
            <w:tcW w:w="2382" w:type="dxa"/>
            <w:tcBorders>
              <w:top w:val="nil"/>
              <w:left w:val="nil"/>
              <w:bottom w:val="single" w:sz="4" w:space="0" w:color="auto"/>
              <w:right w:val="single" w:sz="4" w:space="0" w:color="auto"/>
            </w:tcBorders>
            <w:shd w:val="clear" w:color="auto" w:fill="auto"/>
            <w:noWrap/>
            <w:vAlign w:val="bottom"/>
            <w:hideMark/>
          </w:tcPr>
          <w:p w14:paraId="3BF4B97E"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                     21,193 </w:t>
            </w:r>
          </w:p>
        </w:tc>
      </w:tr>
      <w:tr w:rsidR="006E7987" w:rsidRPr="00DE4132" w14:paraId="04EF722D" w14:textId="77777777" w:rsidTr="004F62A6">
        <w:trPr>
          <w:trHeight w:val="255"/>
          <w:jc w:val="center"/>
        </w:trPr>
        <w:tc>
          <w:tcPr>
            <w:tcW w:w="4878" w:type="dxa"/>
            <w:tcBorders>
              <w:top w:val="nil"/>
              <w:left w:val="single" w:sz="4" w:space="0" w:color="auto"/>
              <w:bottom w:val="single" w:sz="4" w:space="0" w:color="auto"/>
              <w:right w:val="single" w:sz="4" w:space="0" w:color="auto"/>
            </w:tcBorders>
            <w:shd w:val="clear" w:color="auto" w:fill="auto"/>
            <w:noWrap/>
            <w:vAlign w:val="bottom"/>
            <w:hideMark/>
          </w:tcPr>
          <w:p w14:paraId="71AECE23"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Data collection and processing (QA)</w:t>
            </w:r>
          </w:p>
        </w:tc>
        <w:tc>
          <w:tcPr>
            <w:tcW w:w="1713" w:type="dxa"/>
            <w:tcBorders>
              <w:top w:val="nil"/>
              <w:left w:val="nil"/>
              <w:bottom w:val="single" w:sz="4" w:space="0" w:color="auto"/>
              <w:right w:val="single" w:sz="4" w:space="0" w:color="auto"/>
            </w:tcBorders>
            <w:shd w:val="clear" w:color="auto" w:fill="auto"/>
            <w:noWrap/>
            <w:vAlign w:val="bottom"/>
            <w:hideMark/>
          </w:tcPr>
          <w:p w14:paraId="5A2701BC" w14:textId="77777777" w:rsidR="00C6142C" w:rsidRPr="004F62A6" w:rsidRDefault="00C6142C" w:rsidP="004F62A6">
            <w:pPr>
              <w:spacing w:after="0" w:line="240" w:lineRule="auto"/>
              <w:jc w:val="center"/>
              <w:rPr>
                <w:rFonts w:ascii="Calibri" w:eastAsia="Times New Roman" w:hAnsi="Calibri" w:cs="Arial"/>
                <w:color w:val="000000"/>
              </w:rPr>
            </w:pPr>
            <w:r w:rsidRPr="004F62A6">
              <w:rPr>
                <w:rFonts w:ascii="Calibri" w:eastAsia="Times New Roman" w:hAnsi="Calibri" w:cs="Arial"/>
                <w:color w:val="000000"/>
              </w:rPr>
              <w:t>920</w:t>
            </w:r>
          </w:p>
        </w:tc>
        <w:tc>
          <w:tcPr>
            <w:tcW w:w="1574" w:type="dxa"/>
            <w:tcBorders>
              <w:top w:val="nil"/>
              <w:left w:val="nil"/>
              <w:bottom w:val="single" w:sz="4" w:space="0" w:color="auto"/>
              <w:right w:val="single" w:sz="4" w:space="0" w:color="auto"/>
            </w:tcBorders>
            <w:shd w:val="clear" w:color="auto" w:fill="auto"/>
            <w:noWrap/>
            <w:vAlign w:val="bottom"/>
            <w:hideMark/>
          </w:tcPr>
          <w:p w14:paraId="257A6E3A" w14:textId="1D1898BD"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w:t>
            </w:r>
            <w:r w:rsidR="00BD21BE">
              <w:rPr>
                <w:rFonts w:ascii="Calibri" w:eastAsia="Times New Roman" w:hAnsi="Calibri" w:cs="Arial"/>
                <w:color w:val="000000"/>
              </w:rPr>
              <w:t xml:space="preserve">            </w:t>
            </w:r>
            <w:r w:rsidRPr="004F62A6">
              <w:rPr>
                <w:rFonts w:ascii="Calibri" w:eastAsia="Times New Roman" w:hAnsi="Calibri" w:cs="Arial"/>
                <w:color w:val="000000"/>
              </w:rPr>
              <w:t xml:space="preserve"> 75.69 </w:t>
            </w:r>
          </w:p>
        </w:tc>
        <w:tc>
          <w:tcPr>
            <w:tcW w:w="2382" w:type="dxa"/>
            <w:tcBorders>
              <w:top w:val="nil"/>
              <w:left w:val="nil"/>
              <w:bottom w:val="single" w:sz="4" w:space="0" w:color="auto"/>
              <w:right w:val="single" w:sz="4" w:space="0" w:color="auto"/>
            </w:tcBorders>
            <w:shd w:val="clear" w:color="auto" w:fill="auto"/>
            <w:noWrap/>
            <w:vAlign w:val="bottom"/>
            <w:hideMark/>
          </w:tcPr>
          <w:p w14:paraId="64E3743F"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                     69,635 </w:t>
            </w:r>
          </w:p>
        </w:tc>
      </w:tr>
      <w:tr w:rsidR="006E7987" w:rsidRPr="00DE4132" w14:paraId="31687ECA" w14:textId="77777777" w:rsidTr="004F62A6">
        <w:trPr>
          <w:trHeight w:val="255"/>
          <w:jc w:val="center"/>
        </w:trPr>
        <w:tc>
          <w:tcPr>
            <w:tcW w:w="4878" w:type="dxa"/>
            <w:tcBorders>
              <w:top w:val="nil"/>
              <w:left w:val="single" w:sz="4" w:space="0" w:color="auto"/>
              <w:bottom w:val="single" w:sz="4" w:space="0" w:color="auto"/>
              <w:right w:val="single" w:sz="4" w:space="0" w:color="auto"/>
            </w:tcBorders>
            <w:shd w:val="clear" w:color="auto" w:fill="auto"/>
            <w:noWrap/>
            <w:vAlign w:val="bottom"/>
            <w:hideMark/>
          </w:tcPr>
          <w:p w14:paraId="70FBE14A"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Data dissemination </w:t>
            </w:r>
          </w:p>
        </w:tc>
        <w:tc>
          <w:tcPr>
            <w:tcW w:w="1713" w:type="dxa"/>
            <w:tcBorders>
              <w:top w:val="nil"/>
              <w:left w:val="nil"/>
              <w:bottom w:val="single" w:sz="4" w:space="0" w:color="auto"/>
              <w:right w:val="single" w:sz="4" w:space="0" w:color="auto"/>
            </w:tcBorders>
            <w:shd w:val="clear" w:color="auto" w:fill="auto"/>
            <w:noWrap/>
            <w:vAlign w:val="bottom"/>
            <w:hideMark/>
          </w:tcPr>
          <w:p w14:paraId="09FED5E3" w14:textId="77777777" w:rsidR="00C6142C" w:rsidRPr="004F62A6" w:rsidRDefault="00C6142C" w:rsidP="004F62A6">
            <w:pPr>
              <w:spacing w:after="0" w:line="240" w:lineRule="auto"/>
              <w:jc w:val="center"/>
              <w:rPr>
                <w:rFonts w:ascii="Calibri" w:eastAsia="Times New Roman" w:hAnsi="Calibri" w:cs="Arial"/>
                <w:color w:val="000000"/>
              </w:rPr>
            </w:pPr>
            <w:r w:rsidRPr="004F62A6">
              <w:rPr>
                <w:rFonts w:ascii="Calibri" w:eastAsia="Times New Roman" w:hAnsi="Calibri" w:cs="Arial"/>
                <w:color w:val="000000"/>
              </w:rPr>
              <w:t>240</w:t>
            </w:r>
          </w:p>
        </w:tc>
        <w:tc>
          <w:tcPr>
            <w:tcW w:w="1574" w:type="dxa"/>
            <w:tcBorders>
              <w:top w:val="nil"/>
              <w:left w:val="nil"/>
              <w:bottom w:val="single" w:sz="4" w:space="0" w:color="auto"/>
              <w:right w:val="single" w:sz="4" w:space="0" w:color="auto"/>
            </w:tcBorders>
            <w:shd w:val="clear" w:color="auto" w:fill="auto"/>
            <w:noWrap/>
            <w:vAlign w:val="bottom"/>
            <w:hideMark/>
          </w:tcPr>
          <w:p w14:paraId="10601EA3" w14:textId="4B94B256"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 </w:t>
            </w:r>
            <w:r w:rsidR="00BD21BE">
              <w:rPr>
                <w:rFonts w:ascii="Calibri" w:eastAsia="Times New Roman" w:hAnsi="Calibri" w:cs="Arial"/>
                <w:color w:val="000000"/>
              </w:rPr>
              <w:t xml:space="preserve">            </w:t>
            </w:r>
            <w:r w:rsidRPr="004F62A6">
              <w:rPr>
                <w:rFonts w:ascii="Calibri" w:eastAsia="Times New Roman" w:hAnsi="Calibri" w:cs="Arial"/>
                <w:color w:val="000000"/>
              </w:rPr>
              <w:t xml:space="preserve">75.69 </w:t>
            </w:r>
          </w:p>
        </w:tc>
        <w:tc>
          <w:tcPr>
            <w:tcW w:w="2382" w:type="dxa"/>
            <w:tcBorders>
              <w:top w:val="nil"/>
              <w:left w:val="nil"/>
              <w:bottom w:val="single" w:sz="4" w:space="0" w:color="auto"/>
              <w:right w:val="single" w:sz="4" w:space="0" w:color="auto"/>
            </w:tcBorders>
            <w:shd w:val="clear" w:color="auto" w:fill="auto"/>
            <w:noWrap/>
            <w:vAlign w:val="bottom"/>
            <w:hideMark/>
          </w:tcPr>
          <w:p w14:paraId="52841D65"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                     18,166 </w:t>
            </w:r>
          </w:p>
        </w:tc>
      </w:tr>
      <w:tr w:rsidR="006E7987" w:rsidRPr="00DE4132" w14:paraId="33ABEE55" w14:textId="77777777" w:rsidTr="004F62A6">
        <w:trPr>
          <w:trHeight w:val="255"/>
          <w:jc w:val="center"/>
        </w:trPr>
        <w:tc>
          <w:tcPr>
            <w:tcW w:w="4878" w:type="dxa"/>
            <w:tcBorders>
              <w:top w:val="nil"/>
              <w:left w:val="single" w:sz="4" w:space="0" w:color="auto"/>
              <w:bottom w:val="single" w:sz="4" w:space="0" w:color="auto"/>
              <w:right w:val="single" w:sz="4" w:space="0" w:color="auto"/>
            </w:tcBorders>
            <w:shd w:val="clear" w:color="auto" w:fill="auto"/>
            <w:noWrap/>
            <w:vAlign w:val="bottom"/>
            <w:hideMark/>
          </w:tcPr>
          <w:p w14:paraId="10D4CFB8"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Data systems maintenance and enhancements </w:t>
            </w:r>
          </w:p>
        </w:tc>
        <w:tc>
          <w:tcPr>
            <w:tcW w:w="1713" w:type="dxa"/>
            <w:tcBorders>
              <w:top w:val="nil"/>
              <w:left w:val="nil"/>
              <w:bottom w:val="single" w:sz="4" w:space="0" w:color="auto"/>
              <w:right w:val="single" w:sz="4" w:space="0" w:color="auto"/>
            </w:tcBorders>
            <w:shd w:val="clear" w:color="auto" w:fill="auto"/>
            <w:noWrap/>
            <w:vAlign w:val="bottom"/>
            <w:hideMark/>
          </w:tcPr>
          <w:p w14:paraId="4F31927F" w14:textId="77777777" w:rsidR="00C6142C" w:rsidRPr="004F62A6" w:rsidRDefault="00C6142C" w:rsidP="004F62A6">
            <w:pPr>
              <w:spacing w:after="0" w:line="240" w:lineRule="auto"/>
              <w:jc w:val="center"/>
              <w:rPr>
                <w:rFonts w:ascii="Calibri" w:eastAsia="Times New Roman" w:hAnsi="Calibri" w:cs="Arial"/>
                <w:color w:val="000000"/>
              </w:rPr>
            </w:pPr>
            <w:r w:rsidRPr="004F62A6">
              <w:rPr>
                <w:rFonts w:ascii="Calibri" w:eastAsia="Times New Roman" w:hAnsi="Calibri" w:cs="Arial"/>
                <w:color w:val="000000"/>
              </w:rPr>
              <w:t>160</w:t>
            </w:r>
          </w:p>
        </w:tc>
        <w:tc>
          <w:tcPr>
            <w:tcW w:w="1574" w:type="dxa"/>
            <w:tcBorders>
              <w:top w:val="nil"/>
              <w:left w:val="nil"/>
              <w:bottom w:val="single" w:sz="4" w:space="0" w:color="auto"/>
              <w:right w:val="single" w:sz="4" w:space="0" w:color="auto"/>
            </w:tcBorders>
            <w:shd w:val="clear" w:color="auto" w:fill="auto"/>
            <w:noWrap/>
            <w:vAlign w:val="bottom"/>
            <w:hideMark/>
          </w:tcPr>
          <w:p w14:paraId="3BCDE502" w14:textId="11DEDF6C"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 </w:t>
            </w:r>
            <w:r w:rsidR="00BD21BE">
              <w:rPr>
                <w:rFonts w:ascii="Calibri" w:eastAsia="Times New Roman" w:hAnsi="Calibri" w:cs="Arial"/>
                <w:color w:val="000000"/>
              </w:rPr>
              <w:t xml:space="preserve">            </w:t>
            </w:r>
            <w:r w:rsidR="005D7AA7">
              <w:rPr>
                <w:rFonts w:ascii="Calibri" w:eastAsia="Times New Roman" w:hAnsi="Calibri" w:cs="Arial"/>
                <w:color w:val="000000"/>
              </w:rPr>
              <w:t>7</w:t>
            </w:r>
            <w:r w:rsidRPr="004F62A6">
              <w:rPr>
                <w:rFonts w:ascii="Calibri" w:eastAsia="Times New Roman" w:hAnsi="Calibri" w:cs="Arial"/>
                <w:color w:val="000000"/>
              </w:rPr>
              <w:t xml:space="preserve">5.69 </w:t>
            </w:r>
          </w:p>
        </w:tc>
        <w:tc>
          <w:tcPr>
            <w:tcW w:w="2382" w:type="dxa"/>
            <w:tcBorders>
              <w:top w:val="nil"/>
              <w:left w:val="nil"/>
              <w:bottom w:val="single" w:sz="4" w:space="0" w:color="auto"/>
              <w:right w:val="single" w:sz="4" w:space="0" w:color="auto"/>
            </w:tcBorders>
            <w:shd w:val="clear" w:color="auto" w:fill="auto"/>
            <w:noWrap/>
            <w:vAlign w:val="bottom"/>
            <w:hideMark/>
          </w:tcPr>
          <w:p w14:paraId="64D75384" w14:textId="77777777"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                     12,110 </w:t>
            </w:r>
          </w:p>
        </w:tc>
      </w:tr>
      <w:tr w:rsidR="006E7987" w:rsidRPr="00DE4132" w14:paraId="56E75DC9" w14:textId="77777777" w:rsidTr="004F62A6">
        <w:trPr>
          <w:trHeight w:val="255"/>
          <w:jc w:val="center"/>
        </w:trPr>
        <w:tc>
          <w:tcPr>
            <w:tcW w:w="4878" w:type="dxa"/>
            <w:tcBorders>
              <w:top w:val="nil"/>
              <w:left w:val="single" w:sz="4" w:space="0" w:color="auto"/>
              <w:bottom w:val="single" w:sz="4" w:space="0" w:color="auto"/>
              <w:right w:val="single" w:sz="4" w:space="0" w:color="auto"/>
            </w:tcBorders>
            <w:shd w:val="clear" w:color="auto" w:fill="auto"/>
            <w:noWrap/>
            <w:vAlign w:val="bottom"/>
            <w:hideMark/>
          </w:tcPr>
          <w:p w14:paraId="65E304A0" w14:textId="77777777" w:rsidR="00C6142C" w:rsidRPr="004F62A6" w:rsidRDefault="00C6142C" w:rsidP="004F62A6">
            <w:pPr>
              <w:spacing w:after="0" w:line="240" w:lineRule="auto"/>
              <w:rPr>
                <w:rFonts w:ascii="Calibri" w:eastAsia="Times New Roman" w:hAnsi="Calibri" w:cs="Arial"/>
                <w:b/>
                <w:bCs/>
                <w:color w:val="000000"/>
              </w:rPr>
            </w:pPr>
            <w:r w:rsidRPr="004F62A6">
              <w:rPr>
                <w:rFonts w:ascii="Calibri" w:eastAsia="Times New Roman" w:hAnsi="Calibri" w:cs="Arial"/>
                <w:b/>
                <w:bCs/>
                <w:color w:val="000000"/>
              </w:rPr>
              <w:t>Total Annual Cost</w:t>
            </w:r>
          </w:p>
        </w:tc>
        <w:tc>
          <w:tcPr>
            <w:tcW w:w="1713" w:type="dxa"/>
            <w:tcBorders>
              <w:top w:val="nil"/>
              <w:left w:val="nil"/>
              <w:bottom w:val="single" w:sz="4" w:space="0" w:color="auto"/>
              <w:right w:val="single" w:sz="4" w:space="0" w:color="auto"/>
            </w:tcBorders>
            <w:shd w:val="clear" w:color="auto" w:fill="auto"/>
            <w:noWrap/>
            <w:vAlign w:val="bottom"/>
            <w:hideMark/>
          </w:tcPr>
          <w:p w14:paraId="51354E7B" w14:textId="2CB85A4A" w:rsidR="00C6142C" w:rsidRPr="004F62A6" w:rsidRDefault="00C6142C" w:rsidP="004F62A6">
            <w:pPr>
              <w:spacing w:after="0" w:line="240" w:lineRule="auto"/>
              <w:jc w:val="center"/>
              <w:rPr>
                <w:rFonts w:ascii="Calibri" w:eastAsia="Times New Roman" w:hAnsi="Calibri" w:cs="Arial"/>
                <w:color w:val="000000"/>
              </w:rPr>
            </w:pPr>
            <w:r w:rsidRPr="004F62A6">
              <w:rPr>
                <w:rFonts w:ascii="Calibri" w:eastAsia="Times New Roman" w:hAnsi="Calibri" w:cs="Arial"/>
                <w:color w:val="000000"/>
              </w:rPr>
              <w:t>1</w:t>
            </w:r>
            <w:r w:rsidR="00644E0B">
              <w:rPr>
                <w:rFonts w:ascii="Calibri" w:eastAsia="Times New Roman" w:hAnsi="Calibri" w:cs="Arial"/>
                <w:color w:val="000000"/>
              </w:rPr>
              <w:t>,</w:t>
            </w:r>
            <w:r w:rsidRPr="004F62A6">
              <w:rPr>
                <w:rFonts w:ascii="Calibri" w:eastAsia="Times New Roman" w:hAnsi="Calibri" w:cs="Arial"/>
                <w:color w:val="000000"/>
              </w:rPr>
              <w:t>600</w:t>
            </w:r>
          </w:p>
        </w:tc>
        <w:tc>
          <w:tcPr>
            <w:tcW w:w="1574" w:type="dxa"/>
            <w:tcBorders>
              <w:top w:val="nil"/>
              <w:left w:val="nil"/>
              <w:bottom w:val="single" w:sz="4" w:space="0" w:color="auto"/>
              <w:right w:val="single" w:sz="4" w:space="0" w:color="auto"/>
            </w:tcBorders>
            <w:shd w:val="clear" w:color="auto" w:fill="auto"/>
            <w:noWrap/>
            <w:vAlign w:val="bottom"/>
            <w:hideMark/>
          </w:tcPr>
          <w:p w14:paraId="0510B528" w14:textId="77D056E4" w:rsidR="00C6142C" w:rsidRPr="004F62A6" w:rsidRDefault="00C6142C" w:rsidP="004F62A6">
            <w:pPr>
              <w:spacing w:after="0" w:line="240" w:lineRule="auto"/>
              <w:rPr>
                <w:rFonts w:ascii="Calibri" w:eastAsia="Times New Roman" w:hAnsi="Calibri" w:cs="Arial"/>
                <w:color w:val="000000"/>
              </w:rPr>
            </w:pPr>
            <w:r w:rsidRPr="004F62A6">
              <w:rPr>
                <w:rFonts w:ascii="Calibri" w:eastAsia="Times New Roman" w:hAnsi="Calibri" w:cs="Arial"/>
                <w:color w:val="000000"/>
              </w:rPr>
              <w:t xml:space="preserve"> $ </w:t>
            </w:r>
            <w:r w:rsidR="00BD21BE">
              <w:rPr>
                <w:rFonts w:ascii="Calibri" w:eastAsia="Times New Roman" w:hAnsi="Calibri" w:cs="Arial"/>
                <w:color w:val="000000"/>
              </w:rPr>
              <w:t xml:space="preserve">            </w:t>
            </w:r>
            <w:r w:rsidRPr="004F62A6">
              <w:rPr>
                <w:rFonts w:ascii="Calibri" w:eastAsia="Times New Roman" w:hAnsi="Calibri" w:cs="Arial"/>
                <w:color w:val="000000"/>
              </w:rPr>
              <w:t xml:space="preserve">75.69 </w:t>
            </w:r>
          </w:p>
        </w:tc>
        <w:tc>
          <w:tcPr>
            <w:tcW w:w="2382" w:type="dxa"/>
            <w:tcBorders>
              <w:top w:val="nil"/>
              <w:left w:val="nil"/>
              <w:bottom w:val="single" w:sz="4" w:space="0" w:color="auto"/>
              <w:right w:val="single" w:sz="4" w:space="0" w:color="auto"/>
            </w:tcBorders>
            <w:shd w:val="clear" w:color="auto" w:fill="auto"/>
            <w:noWrap/>
            <w:vAlign w:val="bottom"/>
            <w:hideMark/>
          </w:tcPr>
          <w:p w14:paraId="6D02654B" w14:textId="77777777" w:rsidR="00C6142C" w:rsidRPr="004F62A6" w:rsidRDefault="00C6142C" w:rsidP="004F62A6">
            <w:pPr>
              <w:spacing w:after="0" w:line="240" w:lineRule="auto"/>
              <w:rPr>
                <w:rFonts w:ascii="Calibri" w:eastAsia="Times New Roman" w:hAnsi="Calibri" w:cs="Arial"/>
                <w:b/>
                <w:bCs/>
                <w:color w:val="000000"/>
              </w:rPr>
            </w:pPr>
            <w:r w:rsidRPr="004F62A6">
              <w:rPr>
                <w:rFonts w:ascii="Calibri" w:eastAsia="Times New Roman" w:hAnsi="Calibri" w:cs="Arial"/>
                <w:b/>
                <w:bCs/>
                <w:color w:val="000000"/>
              </w:rPr>
              <w:t xml:space="preserve"> $                   121,104 </w:t>
            </w:r>
          </w:p>
        </w:tc>
      </w:tr>
    </w:tbl>
    <w:p w14:paraId="0AF73D17" w14:textId="397D48B5" w:rsidR="00EC7C65" w:rsidRDefault="00C6142C" w:rsidP="004F6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sectPr w:rsidR="00EC7C65" w:rsidSect="004F62A6">
          <w:headerReference w:type="even" r:id="rId32"/>
          <w:headerReference w:type="default" r:id="rId33"/>
          <w:footerReference w:type="even" r:id="rId34"/>
          <w:headerReference w:type="first" r:id="rId35"/>
          <w:footerReference w:type="first" r:id="rId36"/>
          <w:pgSz w:w="12240" w:h="15840"/>
          <w:pgMar w:top="1440" w:right="1440" w:bottom="1440" w:left="1440" w:header="720" w:footer="720" w:gutter="0"/>
          <w:cols w:space="720"/>
          <w:docGrid w:linePitch="360"/>
        </w:sectPr>
      </w:pPr>
      <w:r>
        <w:fldChar w:fldCharType="end"/>
      </w:r>
    </w:p>
    <w:p w14:paraId="21B2059A" w14:textId="01793CC0" w:rsidR="00F056C3" w:rsidRDefault="005D7AA7" w:rsidP="00BD21BE">
      <w:pPr>
        <w:pStyle w:val="Heading2"/>
      </w:pPr>
      <w:r>
        <w:t>A</w:t>
      </w:r>
      <w:bookmarkStart w:id="51" w:name="_Toc492544321"/>
      <w:r w:rsidR="00F056C3">
        <w:t>.</w:t>
      </w:r>
      <w:r w:rsidR="00A41763" w:rsidRPr="00A41763">
        <w:t xml:space="preserve">14. </w:t>
      </w:r>
      <w:r w:rsidR="00F056C3" w:rsidRPr="00F056C3">
        <w:t>Changes in Burden</w:t>
      </w:r>
      <w:bookmarkEnd w:id="51"/>
      <w:r w:rsidR="00F056C3" w:rsidRPr="00F056C3">
        <w:t xml:space="preserve"> </w:t>
      </w:r>
      <w:r w:rsidR="00902AB2">
        <w:t xml:space="preserve">and </w:t>
      </w:r>
    </w:p>
    <w:p w14:paraId="213501B2" w14:textId="1FA469BD" w:rsidR="00216DC7" w:rsidRPr="0020499E" w:rsidRDefault="00216DC7" w:rsidP="0020499E">
      <w:pPr>
        <w:pStyle w:val="HTMLPreformatted"/>
        <w:spacing w:before="120"/>
        <w:rPr>
          <w:rFonts w:asciiTheme="minorHAnsi" w:hAnsiTheme="minorHAnsi" w:cs="Times New Roman"/>
          <w:sz w:val="22"/>
          <w:szCs w:val="22"/>
          <w:lang w:eastAsia="ar-SA"/>
        </w:rPr>
      </w:pPr>
      <w:r w:rsidRPr="1A8A4BE3">
        <w:rPr>
          <w:rFonts w:asciiTheme="minorHAnsi" w:hAnsiTheme="minorHAnsi" w:cs="Times New Roman"/>
          <w:sz w:val="22"/>
          <w:szCs w:val="22"/>
          <w:lang w:eastAsia="ar-SA"/>
        </w:rPr>
        <w:t>The estimate</w:t>
      </w:r>
      <w:r w:rsidR="00AA6E57">
        <w:rPr>
          <w:rFonts w:asciiTheme="minorHAnsi" w:hAnsiTheme="minorHAnsi" w:cs="Times New Roman"/>
          <w:sz w:val="22"/>
          <w:szCs w:val="22"/>
          <w:lang w:eastAsia="ar-SA"/>
        </w:rPr>
        <w:t>d</w:t>
      </w:r>
      <w:r w:rsidRPr="1A8A4BE3">
        <w:rPr>
          <w:rFonts w:asciiTheme="minorHAnsi" w:hAnsiTheme="minorHAnsi" w:cs="Times New Roman"/>
          <w:sz w:val="22"/>
          <w:szCs w:val="22"/>
          <w:lang w:eastAsia="ar-SA"/>
        </w:rPr>
        <w:t xml:space="preserve"> change in annual burden is </w:t>
      </w:r>
      <w:r w:rsidR="0081781B">
        <w:rPr>
          <w:rFonts w:asciiTheme="minorHAnsi" w:hAnsiTheme="minorHAnsi" w:cs="Times New Roman"/>
          <w:sz w:val="22"/>
          <w:szCs w:val="22"/>
          <w:lang w:eastAsia="ar-SA"/>
        </w:rPr>
        <w:t>9</w:t>
      </w:r>
      <w:r w:rsidR="00C55F0D">
        <w:rPr>
          <w:rFonts w:asciiTheme="minorHAnsi" w:hAnsiTheme="minorHAnsi" w:cs="Times New Roman"/>
          <w:sz w:val="22"/>
          <w:szCs w:val="22"/>
          <w:lang w:eastAsia="ar-SA"/>
        </w:rPr>
        <w:t>58</w:t>
      </w:r>
      <w:r w:rsidR="00521AF1" w:rsidRPr="1A8A4BE3">
        <w:rPr>
          <w:rFonts w:asciiTheme="minorHAnsi" w:hAnsiTheme="minorHAnsi" w:cs="Times New Roman"/>
          <w:sz w:val="22"/>
          <w:szCs w:val="22"/>
          <w:lang w:eastAsia="ar-SA"/>
        </w:rPr>
        <w:t xml:space="preserve"> </w:t>
      </w:r>
      <w:r w:rsidRPr="1A8A4BE3">
        <w:rPr>
          <w:rFonts w:asciiTheme="minorHAnsi" w:hAnsiTheme="minorHAnsi" w:cs="Times New Roman"/>
          <w:sz w:val="22"/>
          <w:szCs w:val="22"/>
          <w:lang w:eastAsia="ar-SA"/>
        </w:rPr>
        <w:t xml:space="preserve">hours </w:t>
      </w:r>
      <w:r w:rsidR="00EE3B98">
        <w:rPr>
          <w:rFonts w:asciiTheme="minorHAnsi" w:hAnsiTheme="minorHAnsi" w:cs="Times New Roman"/>
          <w:sz w:val="22"/>
          <w:szCs w:val="22"/>
          <w:lang w:eastAsia="ar-SA"/>
        </w:rPr>
        <w:t>(</w:t>
      </w:r>
      <w:r w:rsidR="00584EA7">
        <w:rPr>
          <w:rFonts w:asciiTheme="minorHAnsi" w:hAnsiTheme="minorHAnsi" w:cs="Times New Roman"/>
          <w:sz w:val="22"/>
          <w:szCs w:val="22"/>
          <w:lang w:eastAsia="ar-SA"/>
        </w:rPr>
        <w:t xml:space="preserve">a </w:t>
      </w:r>
      <w:r w:rsidR="001C4F16">
        <w:rPr>
          <w:rFonts w:asciiTheme="minorHAnsi" w:hAnsiTheme="minorHAnsi" w:cs="Times New Roman"/>
          <w:sz w:val="22"/>
          <w:szCs w:val="22"/>
          <w:lang w:eastAsia="ar-SA"/>
        </w:rPr>
        <w:t xml:space="preserve">decrease </w:t>
      </w:r>
      <w:r w:rsidR="00EE3B98">
        <w:rPr>
          <w:rFonts w:asciiTheme="minorHAnsi" w:hAnsiTheme="minorHAnsi" w:cs="Times New Roman"/>
          <w:sz w:val="22"/>
          <w:szCs w:val="22"/>
          <w:lang w:eastAsia="ar-SA"/>
        </w:rPr>
        <w:t xml:space="preserve">of approximately </w:t>
      </w:r>
      <w:r w:rsidR="00902AB2">
        <w:rPr>
          <w:rFonts w:asciiTheme="minorHAnsi" w:hAnsiTheme="minorHAnsi" w:cs="Times New Roman"/>
          <w:sz w:val="22"/>
          <w:szCs w:val="22"/>
          <w:lang w:eastAsia="ar-SA"/>
        </w:rPr>
        <w:t>12</w:t>
      </w:r>
      <w:r w:rsidR="00EE3B98">
        <w:rPr>
          <w:rFonts w:asciiTheme="minorHAnsi" w:hAnsiTheme="minorHAnsi" w:cs="Times New Roman"/>
          <w:sz w:val="22"/>
          <w:szCs w:val="22"/>
          <w:lang w:eastAsia="ar-SA"/>
        </w:rPr>
        <w:t xml:space="preserve">%) </w:t>
      </w:r>
      <w:r w:rsidRPr="1A8A4BE3">
        <w:rPr>
          <w:rFonts w:asciiTheme="minorHAnsi" w:hAnsiTheme="minorHAnsi" w:cs="Times New Roman"/>
          <w:sz w:val="22"/>
          <w:szCs w:val="22"/>
          <w:lang w:eastAsia="ar-SA"/>
        </w:rPr>
        <w:t>shown in Table A</w:t>
      </w:r>
      <w:r w:rsidR="00DE4132">
        <w:rPr>
          <w:rFonts w:asciiTheme="minorHAnsi" w:hAnsiTheme="minorHAnsi" w:cs="Times New Roman"/>
          <w:sz w:val="22"/>
          <w:szCs w:val="22"/>
          <w:lang w:eastAsia="ar-SA"/>
        </w:rPr>
        <w:t>4</w:t>
      </w:r>
      <w:r w:rsidRPr="1A8A4BE3">
        <w:rPr>
          <w:rFonts w:asciiTheme="minorHAnsi" w:hAnsiTheme="minorHAnsi" w:cs="Times New Roman"/>
          <w:sz w:val="22"/>
          <w:szCs w:val="22"/>
          <w:lang w:eastAsia="ar-SA"/>
        </w:rPr>
        <w:t xml:space="preserve"> below. </w:t>
      </w:r>
    </w:p>
    <w:p w14:paraId="61FC256F" w14:textId="77777777" w:rsidR="00216DC7" w:rsidRPr="00216DC7" w:rsidRDefault="00216DC7" w:rsidP="00216DC7"/>
    <w:bookmarkStart w:id="52" w:name="_MON_1566213266"/>
    <w:bookmarkEnd w:id="52"/>
    <w:p w14:paraId="4DE848E0" w14:textId="5AE3C9C6" w:rsidR="0091409C" w:rsidRPr="00A41763" w:rsidRDefault="00C55F0D" w:rsidP="00A72AA8">
      <w:pPr>
        <w:ind w:left="-720" w:right="-720"/>
      </w:pPr>
      <w:r>
        <w:object w:dxaOrig="22094" w:dyaOrig="2721" w14:anchorId="42EA73AB">
          <v:shape id="_x0000_i1026" type="#_x0000_t75" style="width:722.45pt;height:112.5pt" o:ole="">
            <v:imagedata r:id="rId37" o:title=""/>
          </v:shape>
          <o:OLEObject Type="Embed" ProgID="Excel.Sheet.12" ShapeID="_x0000_i1026" DrawAspect="Content" ObjectID="_1605000251" r:id="rId38"/>
        </w:object>
      </w:r>
    </w:p>
    <w:p w14:paraId="6340A74B" w14:textId="77777777" w:rsidR="00F056C3" w:rsidRDefault="00F056C3" w:rsidP="00A41763">
      <w:pPr>
        <w:rPr>
          <w:b/>
          <w:bCs/>
        </w:rPr>
      </w:pPr>
    </w:p>
    <w:p w14:paraId="425ED3FE" w14:textId="77777777" w:rsidR="0091409C" w:rsidRDefault="0091409C">
      <w:pPr>
        <w:spacing w:line="240" w:lineRule="auto"/>
        <w:rPr>
          <w:rFonts w:eastAsiaTheme="majorEastAsia" w:cstheme="majorBidi"/>
          <w:b/>
          <w:color w:val="1396D8"/>
          <w:sz w:val="28"/>
          <w:szCs w:val="26"/>
        </w:rPr>
      </w:pPr>
      <w:r>
        <w:br w:type="page"/>
      </w:r>
    </w:p>
    <w:p w14:paraId="4AF798C1" w14:textId="77777777" w:rsidR="0091409C" w:rsidRDefault="0091409C" w:rsidP="00BD21BE">
      <w:pPr>
        <w:pStyle w:val="Heading2"/>
        <w:sectPr w:rsidR="0091409C" w:rsidSect="006E7987">
          <w:pgSz w:w="15840" w:h="12240" w:orient="landscape"/>
          <w:pgMar w:top="1440" w:right="1440" w:bottom="1440" w:left="1440" w:header="720" w:footer="720" w:gutter="0"/>
          <w:cols w:space="720"/>
          <w:docGrid w:linePitch="360"/>
        </w:sectPr>
      </w:pPr>
    </w:p>
    <w:p w14:paraId="6F8792A1" w14:textId="49ED95DB" w:rsidR="00216DC7" w:rsidRPr="00576FA1" w:rsidRDefault="00216DC7" w:rsidP="00BD21BE">
      <w:pPr>
        <w:pStyle w:val="Heading2"/>
        <w:rPr>
          <w:lang w:eastAsia="ar-SA"/>
        </w:rPr>
      </w:pPr>
      <w:bookmarkStart w:id="53" w:name="_Toc492037071"/>
      <w:bookmarkStart w:id="54" w:name="_Toc492544322"/>
      <w:r w:rsidRPr="00576FA1">
        <w:rPr>
          <w:lang w:eastAsia="ar-SA"/>
        </w:rPr>
        <w:t>A.15. Reasons for Changes in Burden</w:t>
      </w:r>
      <w:bookmarkEnd w:id="53"/>
      <w:bookmarkEnd w:id="54"/>
      <w:r w:rsidRPr="00576FA1">
        <w:rPr>
          <w:lang w:eastAsia="ar-SA"/>
        </w:rPr>
        <w:t xml:space="preserve"> </w:t>
      </w:r>
    </w:p>
    <w:p w14:paraId="68C8519A" w14:textId="19D370B2" w:rsidR="00F6151E" w:rsidRDefault="00F6151E" w:rsidP="0020499E">
      <w:pPr>
        <w:pStyle w:val="HTMLPreformatted"/>
        <w:tabs>
          <w:tab w:val="clear" w:pos="10076"/>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inorHAnsi" w:hAnsiTheme="minorHAnsi" w:cs="Times New Roman"/>
          <w:sz w:val="22"/>
          <w:szCs w:val="22"/>
          <w:lang w:eastAsia="ar-SA"/>
        </w:rPr>
      </w:pPr>
      <w:r w:rsidRPr="1A8A4BE3">
        <w:rPr>
          <w:rFonts w:asciiTheme="minorHAnsi" w:hAnsiTheme="minorHAnsi" w:cs="Times New Roman"/>
          <w:sz w:val="22"/>
          <w:szCs w:val="22"/>
          <w:lang w:eastAsia="ar-SA"/>
        </w:rPr>
        <w:t xml:space="preserve">The </w:t>
      </w:r>
      <w:r w:rsidR="009367FB">
        <w:rPr>
          <w:rFonts w:asciiTheme="minorHAnsi" w:hAnsiTheme="minorHAnsi" w:cs="Times New Roman"/>
          <w:sz w:val="22"/>
          <w:szCs w:val="22"/>
          <w:lang w:eastAsia="ar-SA"/>
        </w:rPr>
        <w:t xml:space="preserve">overall </w:t>
      </w:r>
      <w:r w:rsidR="00A81837">
        <w:rPr>
          <w:rFonts w:asciiTheme="minorHAnsi" w:hAnsiTheme="minorHAnsi" w:cs="Times New Roman"/>
          <w:sz w:val="22"/>
          <w:szCs w:val="22"/>
          <w:lang w:eastAsia="ar-SA"/>
        </w:rPr>
        <w:t xml:space="preserve">decrease of </w:t>
      </w:r>
      <w:r w:rsidR="0048205D">
        <w:rPr>
          <w:rFonts w:asciiTheme="minorHAnsi" w:hAnsiTheme="minorHAnsi" w:cs="Times New Roman"/>
          <w:sz w:val="22"/>
          <w:szCs w:val="22"/>
          <w:lang w:eastAsia="ar-SA"/>
        </w:rPr>
        <w:t>9</w:t>
      </w:r>
      <w:r w:rsidR="00C55F0D">
        <w:rPr>
          <w:rFonts w:asciiTheme="minorHAnsi" w:hAnsiTheme="minorHAnsi" w:cs="Times New Roman"/>
          <w:sz w:val="22"/>
          <w:szCs w:val="22"/>
          <w:lang w:eastAsia="ar-SA"/>
        </w:rPr>
        <w:t>58</w:t>
      </w:r>
      <w:r w:rsidR="0048205D">
        <w:rPr>
          <w:rFonts w:asciiTheme="minorHAnsi" w:hAnsiTheme="minorHAnsi" w:cs="Times New Roman"/>
          <w:sz w:val="22"/>
          <w:szCs w:val="22"/>
          <w:lang w:eastAsia="ar-SA"/>
        </w:rPr>
        <w:t xml:space="preserve"> </w:t>
      </w:r>
      <w:r w:rsidR="00A81837">
        <w:rPr>
          <w:rFonts w:asciiTheme="minorHAnsi" w:hAnsiTheme="minorHAnsi" w:cs="Times New Roman"/>
          <w:sz w:val="22"/>
          <w:szCs w:val="22"/>
          <w:lang w:eastAsia="ar-SA"/>
        </w:rPr>
        <w:t xml:space="preserve">annual burden </w:t>
      </w:r>
      <w:r w:rsidRPr="1A8A4BE3">
        <w:rPr>
          <w:rFonts w:asciiTheme="minorHAnsi" w:hAnsiTheme="minorHAnsi" w:cs="Times New Roman"/>
          <w:sz w:val="22"/>
          <w:szCs w:val="22"/>
          <w:lang w:eastAsia="ar-SA"/>
        </w:rPr>
        <w:t xml:space="preserve">hours associated with this survey is due to </w:t>
      </w:r>
      <w:r w:rsidR="007762D9">
        <w:rPr>
          <w:rFonts w:asciiTheme="minorHAnsi" w:hAnsiTheme="minorHAnsi" w:cs="Times New Roman"/>
          <w:sz w:val="22"/>
          <w:szCs w:val="22"/>
          <w:lang w:eastAsia="ar-SA"/>
        </w:rPr>
        <w:t xml:space="preserve">multiple </w:t>
      </w:r>
      <w:r w:rsidRPr="1A8A4BE3">
        <w:rPr>
          <w:rFonts w:asciiTheme="minorHAnsi" w:hAnsiTheme="minorHAnsi" w:cs="Times New Roman"/>
          <w:sz w:val="22"/>
          <w:szCs w:val="22"/>
          <w:lang w:eastAsia="ar-SA"/>
        </w:rPr>
        <w:t xml:space="preserve">factors: </w:t>
      </w:r>
    </w:p>
    <w:p w14:paraId="62ED529E" w14:textId="2BB9F2C5" w:rsidR="00DD73E7" w:rsidRDefault="0048205D" w:rsidP="0020499E">
      <w:pPr>
        <w:pStyle w:val="HTMLPreformatted"/>
        <w:tabs>
          <w:tab w:val="clear" w:pos="10076"/>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inorHAnsi" w:hAnsiTheme="minorHAnsi" w:cs="Times New Roman"/>
          <w:sz w:val="22"/>
          <w:szCs w:val="22"/>
          <w:lang w:eastAsia="ar-SA"/>
        </w:rPr>
      </w:pPr>
      <w:r>
        <w:rPr>
          <w:rFonts w:asciiTheme="minorHAnsi" w:hAnsiTheme="minorHAnsi" w:cs="Times New Roman"/>
          <w:sz w:val="22"/>
          <w:szCs w:val="22"/>
          <w:lang w:eastAsia="ar-SA"/>
        </w:rPr>
        <w:t xml:space="preserve">First, </w:t>
      </w:r>
      <w:r w:rsidR="005067B9">
        <w:rPr>
          <w:rFonts w:asciiTheme="minorHAnsi" w:hAnsiTheme="minorHAnsi" w:cs="Times New Roman"/>
          <w:sz w:val="22"/>
          <w:szCs w:val="22"/>
          <w:lang w:eastAsia="ar-SA"/>
        </w:rPr>
        <w:t xml:space="preserve">the number of respondents required to complete Form EIA-886 decreased by </w:t>
      </w:r>
      <w:r w:rsidR="00A81837">
        <w:rPr>
          <w:rFonts w:asciiTheme="minorHAnsi" w:hAnsiTheme="minorHAnsi" w:cs="Times New Roman"/>
          <w:sz w:val="22"/>
          <w:szCs w:val="22"/>
          <w:lang w:eastAsia="ar-SA"/>
        </w:rPr>
        <w:t>716</w:t>
      </w:r>
      <w:r w:rsidR="005067B9">
        <w:rPr>
          <w:rFonts w:asciiTheme="minorHAnsi" w:hAnsiTheme="minorHAnsi" w:cs="Times New Roman"/>
          <w:sz w:val="22"/>
          <w:szCs w:val="22"/>
          <w:lang w:eastAsia="ar-SA"/>
        </w:rPr>
        <w:t xml:space="preserve"> respondents, from 2,050 in the previous clearance to 1,334 annual respondents request</w:t>
      </w:r>
      <w:r w:rsidR="009367FB">
        <w:rPr>
          <w:rFonts w:asciiTheme="minorHAnsi" w:hAnsiTheme="minorHAnsi" w:cs="Times New Roman"/>
          <w:sz w:val="22"/>
          <w:szCs w:val="22"/>
          <w:lang w:eastAsia="ar-SA"/>
        </w:rPr>
        <w:t>ed</w:t>
      </w:r>
      <w:r w:rsidR="005067B9">
        <w:rPr>
          <w:rFonts w:asciiTheme="minorHAnsi" w:hAnsiTheme="minorHAnsi" w:cs="Times New Roman"/>
          <w:sz w:val="22"/>
          <w:szCs w:val="22"/>
          <w:lang w:eastAsia="ar-SA"/>
        </w:rPr>
        <w:t xml:space="preserve"> in this clearance. </w:t>
      </w:r>
      <w:r w:rsidR="00DD73E7">
        <w:rPr>
          <w:rFonts w:asciiTheme="minorHAnsi" w:hAnsiTheme="minorHAnsi" w:cs="Times New Roman"/>
          <w:sz w:val="22"/>
          <w:szCs w:val="22"/>
          <w:lang w:eastAsia="ar-SA"/>
        </w:rPr>
        <w:t xml:space="preserve">EIA requested 2,050 respondents in the last clearance because </w:t>
      </w:r>
      <w:r w:rsidR="00A81837">
        <w:rPr>
          <w:rFonts w:asciiTheme="minorHAnsi" w:hAnsiTheme="minorHAnsi" w:cs="Times New Roman"/>
          <w:sz w:val="22"/>
          <w:szCs w:val="22"/>
          <w:lang w:eastAsia="ar-SA"/>
        </w:rPr>
        <w:t>that is the estimated number of potential respondents for this form</w:t>
      </w:r>
      <w:r w:rsidR="001F6775">
        <w:rPr>
          <w:rFonts w:asciiTheme="minorHAnsi" w:hAnsiTheme="minorHAnsi" w:cs="Times New Roman"/>
          <w:sz w:val="22"/>
          <w:szCs w:val="22"/>
          <w:lang w:eastAsia="ar-SA"/>
        </w:rPr>
        <w:t xml:space="preserve"> </w:t>
      </w:r>
      <w:r w:rsidR="00923618">
        <w:rPr>
          <w:rFonts w:asciiTheme="minorHAnsi" w:hAnsiTheme="minorHAnsi" w:cs="Times New Roman"/>
          <w:sz w:val="22"/>
          <w:szCs w:val="22"/>
          <w:lang w:eastAsia="ar-SA"/>
        </w:rPr>
        <w:t>that EI</w:t>
      </w:r>
      <w:r w:rsidR="00A81837">
        <w:rPr>
          <w:rFonts w:asciiTheme="minorHAnsi" w:hAnsiTheme="minorHAnsi" w:cs="Times New Roman"/>
          <w:sz w:val="22"/>
          <w:szCs w:val="22"/>
          <w:lang w:eastAsia="ar-SA"/>
        </w:rPr>
        <w:t xml:space="preserve">A could identify that are not currently reporting on this form. However, due to budget constraints, EIA </w:t>
      </w:r>
      <w:r w:rsidR="00923618">
        <w:rPr>
          <w:rFonts w:asciiTheme="minorHAnsi" w:hAnsiTheme="minorHAnsi" w:cs="Times New Roman"/>
          <w:sz w:val="22"/>
          <w:szCs w:val="22"/>
          <w:lang w:eastAsia="ar-SA"/>
        </w:rPr>
        <w:t>w</w:t>
      </w:r>
      <w:r w:rsidR="00A81837">
        <w:rPr>
          <w:rFonts w:asciiTheme="minorHAnsi" w:hAnsiTheme="minorHAnsi" w:cs="Times New Roman"/>
          <w:sz w:val="22"/>
          <w:szCs w:val="22"/>
          <w:lang w:eastAsia="ar-SA"/>
        </w:rPr>
        <w:t>as not been able to identify and survey these potential respondents.</w:t>
      </w:r>
      <w:r w:rsidR="001F6775">
        <w:rPr>
          <w:rFonts w:asciiTheme="minorHAnsi" w:hAnsiTheme="minorHAnsi" w:cs="Times New Roman"/>
          <w:sz w:val="22"/>
          <w:szCs w:val="22"/>
          <w:lang w:eastAsia="ar-SA"/>
        </w:rPr>
        <w:t xml:space="preserve"> EIA’s request of 1,334 respondents for this clearance is based on the number of respondents that reported to EIA on this form in the previous two survey cycles</w:t>
      </w:r>
      <w:r w:rsidR="00923618">
        <w:rPr>
          <w:rFonts w:asciiTheme="minorHAnsi" w:hAnsiTheme="minorHAnsi" w:cs="Times New Roman"/>
          <w:sz w:val="22"/>
          <w:szCs w:val="22"/>
          <w:lang w:eastAsia="ar-SA"/>
        </w:rPr>
        <w:t xml:space="preserve"> plus potential new respondents in the state and local government category</w:t>
      </w:r>
      <w:r w:rsidR="001F6775">
        <w:rPr>
          <w:rFonts w:asciiTheme="minorHAnsi" w:hAnsiTheme="minorHAnsi" w:cs="Times New Roman"/>
          <w:sz w:val="22"/>
          <w:szCs w:val="22"/>
          <w:lang w:eastAsia="ar-SA"/>
        </w:rPr>
        <w:t xml:space="preserve">. </w:t>
      </w:r>
      <w:r w:rsidR="00A81837">
        <w:rPr>
          <w:rFonts w:asciiTheme="minorHAnsi" w:hAnsiTheme="minorHAnsi" w:cs="Times New Roman"/>
          <w:sz w:val="22"/>
          <w:szCs w:val="22"/>
          <w:lang w:eastAsia="ar-SA"/>
        </w:rPr>
        <w:t>The number of respondents that completed this form in 2016 was 1,113 and in 2017</w:t>
      </w:r>
      <w:r w:rsidR="00662C15">
        <w:rPr>
          <w:rFonts w:asciiTheme="minorHAnsi" w:hAnsiTheme="minorHAnsi" w:cs="Times New Roman"/>
          <w:sz w:val="22"/>
          <w:szCs w:val="22"/>
          <w:lang w:eastAsia="ar-SA"/>
        </w:rPr>
        <w:t xml:space="preserve"> there were</w:t>
      </w:r>
      <w:r w:rsidR="00A81837">
        <w:rPr>
          <w:rFonts w:asciiTheme="minorHAnsi" w:hAnsiTheme="minorHAnsi" w:cs="Times New Roman"/>
          <w:sz w:val="22"/>
          <w:szCs w:val="22"/>
          <w:lang w:eastAsia="ar-SA"/>
        </w:rPr>
        <w:t xml:space="preserve"> 1,022</w:t>
      </w:r>
      <w:r w:rsidR="00662C15">
        <w:rPr>
          <w:rFonts w:asciiTheme="minorHAnsi" w:hAnsiTheme="minorHAnsi" w:cs="Times New Roman"/>
          <w:sz w:val="22"/>
          <w:szCs w:val="22"/>
          <w:lang w:eastAsia="ar-SA"/>
        </w:rPr>
        <w:t xml:space="preserve"> respondents</w:t>
      </w:r>
      <w:r w:rsidR="00A81837">
        <w:rPr>
          <w:rFonts w:asciiTheme="minorHAnsi" w:hAnsiTheme="minorHAnsi" w:cs="Times New Roman"/>
          <w:sz w:val="22"/>
          <w:szCs w:val="22"/>
          <w:lang w:eastAsia="ar-SA"/>
        </w:rPr>
        <w:t>. EIA is requesting 1,334 respondent</w:t>
      </w:r>
      <w:r w:rsidR="001F6775">
        <w:rPr>
          <w:rFonts w:asciiTheme="minorHAnsi" w:hAnsiTheme="minorHAnsi" w:cs="Times New Roman"/>
          <w:sz w:val="22"/>
          <w:szCs w:val="22"/>
          <w:lang w:eastAsia="ar-SA"/>
        </w:rPr>
        <w:t>s</w:t>
      </w:r>
      <w:r w:rsidR="00A81837">
        <w:rPr>
          <w:rFonts w:asciiTheme="minorHAnsi" w:hAnsiTheme="minorHAnsi" w:cs="Times New Roman"/>
          <w:sz w:val="22"/>
          <w:szCs w:val="22"/>
          <w:lang w:eastAsia="ar-SA"/>
        </w:rPr>
        <w:t xml:space="preserve"> in this information collection request to continue surveying the respondents currently reporting on the form and to </w:t>
      </w:r>
      <w:r w:rsidR="003D1453">
        <w:rPr>
          <w:rFonts w:asciiTheme="minorHAnsi" w:hAnsiTheme="minorHAnsi" w:cs="Times New Roman"/>
          <w:sz w:val="22"/>
          <w:szCs w:val="22"/>
          <w:lang w:eastAsia="ar-SA"/>
        </w:rPr>
        <w:t xml:space="preserve">allow </w:t>
      </w:r>
      <w:r w:rsidR="009F251C">
        <w:rPr>
          <w:rFonts w:asciiTheme="minorHAnsi" w:hAnsiTheme="minorHAnsi" w:cs="Times New Roman"/>
          <w:sz w:val="22"/>
          <w:szCs w:val="22"/>
          <w:lang w:eastAsia="ar-SA"/>
        </w:rPr>
        <w:t xml:space="preserve">for an increase </w:t>
      </w:r>
      <w:r w:rsidR="00923618">
        <w:rPr>
          <w:rFonts w:asciiTheme="minorHAnsi" w:hAnsiTheme="minorHAnsi" w:cs="Times New Roman"/>
          <w:sz w:val="22"/>
          <w:szCs w:val="22"/>
          <w:lang w:eastAsia="ar-SA"/>
        </w:rPr>
        <w:t xml:space="preserve">from respondents representing local governments </w:t>
      </w:r>
      <w:r w:rsidR="009F251C">
        <w:rPr>
          <w:rFonts w:asciiTheme="minorHAnsi" w:hAnsiTheme="minorHAnsi" w:cs="Times New Roman"/>
          <w:sz w:val="22"/>
          <w:szCs w:val="22"/>
          <w:lang w:eastAsia="ar-SA"/>
        </w:rPr>
        <w:t xml:space="preserve">in the EIA-886 </w:t>
      </w:r>
      <w:r w:rsidR="003D1453">
        <w:rPr>
          <w:rFonts w:asciiTheme="minorHAnsi" w:hAnsiTheme="minorHAnsi" w:cs="Times New Roman"/>
          <w:sz w:val="22"/>
          <w:szCs w:val="22"/>
          <w:lang w:eastAsia="ar-SA"/>
        </w:rPr>
        <w:t xml:space="preserve">survey frame to collect </w:t>
      </w:r>
      <w:r w:rsidR="001F6775">
        <w:rPr>
          <w:rFonts w:asciiTheme="minorHAnsi" w:hAnsiTheme="minorHAnsi" w:cs="Times New Roman"/>
          <w:sz w:val="22"/>
          <w:szCs w:val="22"/>
          <w:lang w:eastAsia="ar-SA"/>
        </w:rPr>
        <w:t xml:space="preserve">data </w:t>
      </w:r>
      <w:r w:rsidR="009F251C">
        <w:rPr>
          <w:rFonts w:asciiTheme="minorHAnsi" w:hAnsiTheme="minorHAnsi" w:cs="Times New Roman"/>
          <w:sz w:val="22"/>
          <w:szCs w:val="22"/>
          <w:lang w:eastAsia="ar-SA"/>
        </w:rPr>
        <w:t xml:space="preserve">on </w:t>
      </w:r>
      <w:r w:rsidR="001F6775">
        <w:rPr>
          <w:rFonts w:asciiTheme="minorHAnsi" w:hAnsiTheme="minorHAnsi" w:cs="Times New Roman"/>
          <w:sz w:val="22"/>
          <w:szCs w:val="22"/>
          <w:lang w:eastAsia="ar-SA"/>
        </w:rPr>
        <w:t xml:space="preserve">the growing AFV industry. </w:t>
      </w:r>
      <w:r w:rsidR="003D1453">
        <w:rPr>
          <w:rFonts w:asciiTheme="minorHAnsi" w:hAnsiTheme="minorHAnsi" w:cs="Times New Roman"/>
          <w:sz w:val="22"/>
          <w:szCs w:val="22"/>
          <w:lang w:eastAsia="ar-SA"/>
        </w:rPr>
        <w:t xml:space="preserve"> </w:t>
      </w:r>
    </w:p>
    <w:p w14:paraId="3D4DA00D" w14:textId="27588631" w:rsidR="007762D9" w:rsidRDefault="003D1453" w:rsidP="007762D9">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heme="minorHAnsi" w:hAnsiTheme="minorHAnsi" w:cs="Times New Roman"/>
          <w:sz w:val="22"/>
          <w:szCs w:val="22"/>
          <w:lang w:eastAsia="ar-SA"/>
        </w:rPr>
      </w:pPr>
      <w:r>
        <w:rPr>
          <w:rFonts w:asciiTheme="minorHAnsi" w:hAnsiTheme="minorHAnsi" w:cs="Times New Roman"/>
          <w:sz w:val="22"/>
          <w:szCs w:val="22"/>
          <w:lang w:eastAsia="ar-SA"/>
        </w:rPr>
        <w:t>Second</w:t>
      </w:r>
      <w:r w:rsidR="007762D9">
        <w:rPr>
          <w:rFonts w:asciiTheme="minorHAnsi" w:hAnsiTheme="minorHAnsi" w:cs="Times New Roman"/>
          <w:sz w:val="22"/>
          <w:szCs w:val="22"/>
          <w:lang w:eastAsia="ar-SA"/>
        </w:rPr>
        <w:t xml:space="preserve">, </w:t>
      </w:r>
      <w:r w:rsidR="007762D9" w:rsidRPr="1A8A4BE3">
        <w:rPr>
          <w:rFonts w:asciiTheme="minorHAnsi" w:hAnsiTheme="minorHAnsi" w:cs="Times New Roman"/>
          <w:sz w:val="22"/>
          <w:szCs w:val="22"/>
          <w:lang w:eastAsia="ar-SA"/>
        </w:rPr>
        <w:t xml:space="preserve">EIA conducted a cognitive research study of Form EIA-886 respondents and determined that </w:t>
      </w:r>
      <w:r w:rsidR="003C0950">
        <w:rPr>
          <w:rFonts w:asciiTheme="minorHAnsi" w:hAnsiTheme="minorHAnsi" w:cs="Times New Roman"/>
          <w:sz w:val="22"/>
          <w:szCs w:val="22"/>
          <w:lang w:eastAsia="ar-SA"/>
        </w:rPr>
        <w:t xml:space="preserve">the </w:t>
      </w:r>
      <w:r w:rsidR="007762D9" w:rsidRPr="1A8A4BE3">
        <w:rPr>
          <w:rFonts w:asciiTheme="minorHAnsi" w:hAnsiTheme="minorHAnsi" w:cs="Times New Roman"/>
          <w:sz w:val="22"/>
          <w:szCs w:val="22"/>
          <w:lang w:eastAsia="ar-SA"/>
        </w:rPr>
        <w:t>previously used burden hours for select groups (e.g., AFV users with complex and simple fleets</w:t>
      </w:r>
      <w:r w:rsidR="000F0FBE">
        <w:rPr>
          <w:rFonts w:asciiTheme="minorHAnsi" w:hAnsiTheme="minorHAnsi" w:cs="Times New Roman"/>
          <w:sz w:val="22"/>
          <w:szCs w:val="22"/>
          <w:lang w:eastAsia="ar-SA"/>
        </w:rPr>
        <w:t xml:space="preserve">, OEMs and </w:t>
      </w:r>
      <w:r w:rsidR="00902AB2">
        <w:rPr>
          <w:rFonts w:asciiTheme="minorHAnsi" w:hAnsiTheme="minorHAnsi" w:cs="Times New Roman"/>
          <w:sz w:val="22"/>
          <w:szCs w:val="22"/>
          <w:lang w:eastAsia="ar-SA"/>
        </w:rPr>
        <w:t>AVC</w:t>
      </w:r>
      <w:r w:rsidR="00EE3B98">
        <w:rPr>
          <w:rFonts w:asciiTheme="minorHAnsi" w:hAnsiTheme="minorHAnsi" w:cs="Times New Roman"/>
          <w:sz w:val="22"/>
          <w:szCs w:val="22"/>
          <w:lang w:eastAsia="ar-SA"/>
        </w:rPr>
        <w:t>s</w:t>
      </w:r>
      <w:r w:rsidR="007762D9" w:rsidRPr="1A8A4BE3">
        <w:rPr>
          <w:rFonts w:asciiTheme="minorHAnsi" w:hAnsiTheme="minorHAnsi" w:cs="Times New Roman"/>
          <w:sz w:val="22"/>
          <w:szCs w:val="22"/>
          <w:lang w:eastAsia="ar-SA"/>
        </w:rPr>
        <w:t xml:space="preserve">) </w:t>
      </w:r>
      <w:r w:rsidR="003C0950">
        <w:rPr>
          <w:rFonts w:asciiTheme="minorHAnsi" w:hAnsiTheme="minorHAnsi" w:cs="Times New Roman"/>
          <w:sz w:val="22"/>
          <w:szCs w:val="22"/>
          <w:lang w:eastAsia="ar-SA"/>
        </w:rPr>
        <w:t>were</w:t>
      </w:r>
      <w:r w:rsidR="004F032D">
        <w:rPr>
          <w:rFonts w:asciiTheme="minorHAnsi" w:hAnsiTheme="minorHAnsi" w:cs="Times New Roman"/>
          <w:sz w:val="22"/>
          <w:szCs w:val="22"/>
          <w:lang w:eastAsia="ar-SA"/>
        </w:rPr>
        <w:t xml:space="preserve"> no</w:t>
      </w:r>
      <w:r w:rsidR="00B95FF6">
        <w:rPr>
          <w:rFonts w:asciiTheme="minorHAnsi" w:hAnsiTheme="minorHAnsi" w:cs="Times New Roman"/>
          <w:sz w:val="22"/>
          <w:szCs w:val="22"/>
          <w:lang w:eastAsia="ar-SA"/>
        </w:rPr>
        <w:t xml:space="preserve"> longer correct.</w:t>
      </w:r>
      <w:r w:rsidR="00603008">
        <w:rPr>
          <w:rFonts w:asciiTheme="minorHAnsi" w:hAnsiTheme="minorHAnsi" w:cs="Times New Roman"/>
          <w:sz w:val="22"/>
          <w:szCs w:val="22"/>
          <w:lang w:eastAsia="ar-SA"/>
        </w:rPr>
        <w:t xml:space="preserve"> </w:t>
      </w:r>
      <w:r w:rsidR="000F4367">
        <w:rPr>
          <w:rFonts w:asciiTheme="minorHAnsi" w:hAnsiTheme="minorHAnsi" w:cs="Times New Roman"/>
          <w:sz w:val="22"/>
          <w:szCs w:val="22"/>
          <w:lang w:eastAsia="ar-SA"/>
        </w:rPr>
        <w:t xml:space="preserve"> </w:t>
      </w:r>
    </w:p>
    <w:p w14:paraId="04418D38" w14:textId="1404E4CF" w:rsidR="007A34DA" w:rsidRDefault="00A25D54" w:rsidP="007A34DA">
      <w:pPr>
        <w:pStyle w:val="HTMLPreformatted"/>
        <w:tabs>
          <w:tab w:val="clear" w:pos="10076"/>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inorHAnsi" w:hAnsiTheme="minorHAnsi" w:cs="Times New Roman"/>
          <w:sz w:val="22"/>
          <w:szCs w:val="22"/>
          <w:lang w:eastAsia="ar-SA"/>
        </w:rPr>
      </w:pPr>
      <w:r>
        <w:rPr>
          <w:rFonts w:asciiTheme="minorHAnsi" w:hAnsiTheme="minorHAnsi" w:cs="Times New Roman"/>
          <w:sz w:val="22"/>
          <w:szCs w:val="22"/>
          <w:lang w:eastAsia="ar-SA"/>
        </w:rPr>
        <w:t>Lastly</w:t>
      </w:r>
      <w:r w:rsidR="007A34DA" w:rsidRPr="1A8A4BE3">
        <w:rPr>
          <w:rFonts w:asciiTheme="minorHAnsi" w:hAnsiTheme="minorHAnsi" w:cs="Times New Roman"/>
          <w:sz w:val="22"/>
          <w:szCs w:val="22"/>
          <w:lang w:eastAsia="ar-SA"/>
        </w:rPr>
        <w:t xml:space="preserve">, the </w:t>
      </w:r>
      <w:r w:rsidR="003C0950">
        <w:rPr>
          <w:rFonts w:asciiTheme="minorHAnsi" w:hAnsiTheme="minorHAnsi" w:cs="Times New Roman"/>
          <w:sz w:val="22"/>
          <w:szCs w:val="22"/>
          <w:lang w:eastAsia="ar-SA"/>
        </w:rPr>
        <w:t xml:space="preserve">changes to </w:t>
      </w:r>
      <w:r w:rsidR="00676182">
        <w:rPr>
          <w:rFonts w:asciiTheme="minorHAnsi" w:hAnsiTheme="minorHAnsi" w:cs="Times New Roman"/>
          <w:sz w:val="22"/>
          <w:szCs w:val="22"/>
          <w:lang w:eastAsia="ar-SA"/>
        </w:rPr>
        <w:t xml:space="preserve">Part 2 of </w:t>
      </w:r>
      <w:r w:rsidR="003C0950">
        <w:rPr>
          <w:rFonts w:asciiTheme="minorHAnsi" w:hAnsiTheme="minorHAnsi" w:cs="Times New Roman"/>
          <w:sz w:val="22"/>
          <w:szCs w:val="22"/>
          <w:lang w:eastAsia="ar-SA"/>
        </w:rPr>
        <w:t>Form EIA-886</w:t>
      </w:r>
      <w:r w:rsidR="00816574">
        <w:rPr>
          <w:rFonts w:asciiTheme="minorHAnsi" w:hAnsiTheme="minorHAnsi" w:cs="Times New Roman"/>
          <w:sz w:val="22"/>
          <w:szCs w:val="22"/>
          <w:lang w:eastAsia="ar-SA"/>
        </w:rPr>
        <w:t>,</w:t>
      </w:r>
      <w:r w:rsidR="003C0950">
        <w:rPr>
          <w:rFonts w:asciiTheme="minorHAnsi" w:hAnsiTheme="minorHAnsi" w:cs="Times New Roman"/>
          <w:sz w:val="22"/>
          <w:szCs w:val="22"/>
          <w:lang w:eastAsia="ar-SA"/>
        </w:rPr>
        <w:t xml:space="preserve"> which </w:t>
      </w:r>
      <w:r w:rsidR="00676182">
        <w:rPr>
          <w:rFonts w:asciiTheme="minorHAnsi" w:hAnsiTheme="minorHAnsi" w:cs="Times New Roman"/>
          <w:sz w:val="22"/>
          <w:szCs w:val="22"/>
          <w:lang w:eastAsia="ar-SA"/>
        </w:rPr>
        <w:t xml:space="preserve">will </w:t>
      </w:r>
      <w:r w:rsidR="003C0950">
        <w:rPr>
          <w:rFonts w:asciiTheme="minorHAnsi" w:hAnsiTheme="minorHAnsi" w:cs="Times New Roman"/>
          <w:sz w:val="22"/>
          <w:szCs w:val="22"/>
          <w:lang w:eastAsia="ar-SA"/>
        </w:rPr>
        <w:t xml:space="preserve">collect more detailed </w:t>
      </w:r>
      <w:r w:rsidR="007A34DA" w:rsidRPr="1A8A4BE3">
        <w:rPr>
          <w:rFonts w:asciiTheme="minorHAnsi" w:hAnsiTheme="minorHAnsi" w:cs="Times New Roman"/>
          <w:sz w:val="22"/>
          <w:szCs w:val="22"/>
          <w:lang w:eastAsia="ar-SA"/>
        </w:rPr>
        <w:t>weight class data</w:t>
      </w:r>
      <w:r w:rsidR="00676182">
        <w:rPr>
          <w:rFonts w:asciiTheme="minorHAnsi" w:hAnsiTheme="minorHAnsi" w:cs="Times New Roman"/>
          <w:sz w:val="22"/>
          <w:szCs w:val="22"/>
          <w:lang w:eastAsia="ar-SA"/>
        </w:rPr>
        <w:t xml:space="preserve">, </w:t>
      </w:r>
      <w:r w:rsidR="007A34DA" w:rsidRPr="1A8A4BE3">
        <w:rPr>
          <w:rFonts w:asciiTheme="minorHAnsi" w:hAnsiTheme="minorHAnsi" w:cs="Times New Roman"/>
          <w:sz w:val="22"/>
          <w:szCs w:val="22"/>
          <w:lang w:eastAsia="ar-SA"/>
        </w:rPr>
        <w:t xml:space="preserve">GVWR </w:t>
      </w:r>
      <w:r w:rsidR="00676182">
        <w:rPr>
          <w:rFonts w:asciiTheme="minorHAnsi" w:hAnsiTheme="minorHAnsi" w:cs="Times New Roman"/>
          <w:sz w:val="22"/>
          <w:szCs w:val="22"/>
          <w:lang w:eastAsia="ar-SA"/>
        </w:rPr>
        <w:t xml:space="preserve">class </w:t>
      </w:r>
      <w:r w:rsidR="007A34DA" w:rsidRPr="1A8A4BE3">
        <w:rPr>
          <w:rFonts w:asciiTheme="minorHAnsi" w:hAnsiTheme="minorHAnsi" w:cs="Times New Roman"/>
          <w:sz w:val="22"/>
          <w:szCs w:val="22"/>
          <w:lang w:eastAsia="ar-SA"/>
        </w:rPr>
        <w:t>data</w:t>
      </w:r>
      <w:r w:rsidR="00676182">
        <w:rPr>
          <w:rFonts w:asciiTheme="minorHAnsi" w:hAnsiTheme="minorHAnsi" w:cs="Times New Roman"/>
          <w:sz w:val="22"/>
          <w:szCs w:val="22"/>
          <w:lang w:eastAsia="ar-SA"/>
        </w:rPr>
        <w:t>, and electric and/or p</w:t>
      </w:r>
      <w:r w:rsidR="004B4B85">
        <w:rPr>
          <w:rFonts w:asciiTheme="minorHAnsi" w:hAnsiTheme="minorHAnsi" w:cs="Times New Roman"/>
          <w:sz w:val="22"/>
          <w:szCs w:val="22"/>
          <w:lang w:eastAsia="ar-SA"/>
        </w:rPr>
        <w:t>l</w:t>
      </w:r>
      <w:r w:rsidR="00676182">
        <w:rPr>
          <w:rFonts w:asciiTheme="minorHAnsi" w:hAnsiTheme="minorHAnsi" w:cs="Times New Roman"/>
          <w:sz w:val="22"/>
          <w:szCs w:val="22"/>
          <w:lang w:eastAsia="ar-SA"/>
        </w:rPr>
        <w:t>ug-in hybrid vehicle information</w:t>
      </w:r>
      <w:r w:rsidR="00816574">
        <w:rPr>
          <w:rFonts w:asciiTheme="minorHAnsi" w:hAnsiTheme="minorHAnsi" w:cs="Times New Roman"/>
          <w:sz w:val="22"/>
          <w:szCs w:val="22"/>
          <w:lang w:eastAsia="ar-SA"/>
        </w:rPr>
        <w:t>,</w:t>
      </w:r>
      <w:r w:rsidR="00676182">
        <w:rPr>
          <w:rFonts w:asciiTheme="minorHAnsi" w:hAnsiTheme="minorHAnsi" w:cs="Times New Roman"/>
          <w:sz w:val="22"/>
          <w:szCs w:val="22"/>
          <w:lang w:eastAsia="ar-SA"/>
        </w:rPr>
        <w:t xml:space="preserve"> will increase burden per response</w:t>
      </w:r>
      <w:r w:rsidR="007A34DA" w:rsidRPr="1A8A4BE3">
        <w:rPr>
          <w:rFonts w:asciiTheme="minorHAnsi" w:hAnsiTheme="minorHAnsi" w:cs="Times New Roman"/>
          <w:sz w:val="22"/>
          <w:szCs w:val="22"/>
          <w:lang w:eastAsia="ar-SA"/>
        </w:rPr>
        <w:t xml:space="preserve">. </w:t>
      </w:r>
      <w:r w:rsidR="00923618">
        <w:rPr>
          <w:rFonts w:asciiTheme="minorHAnsi" w:hAnsiTheme="minorHAnsi" w:cs="Times New Roman"/>
          <w:sz w:val="22"/>
          <w:szCs w:val="22"/>
          <w:lang w:eastAsia="ar-SA"/>
        </w:rPr>
        <w:t xml:space="preserve">The </w:t>
      </w:r>
      <w:r w:rsidR="007A34DA" w:rsidRPr="1A8A4BE3">
        <w:rPr>
          <w:rFonts w:asciiTheme="minorHAnsi" w:hAnsiTheme="minorHAnsi" w:cs="Times New Roman"/>
          <w:sz w:val="22"/>
          <w:szCs w:val="22"/>
          <w:lang w:eastAsia="ar-SA"/>
        </w:rPr>
        <w:t>cognitive research s</w:t>
      </w:r>
      <w:r w:rsidR="00923618">
        <w:rPr>
          <w:rFonts w:asciiTheme="minorHAnsi" w:hAnsiTheme="minorHAnsi" w:cs="Times New Roman"/>
          <w:sz w:val="22"/>
          <w:szCs w:val="22"/>
          <w:lang w:eastAsia="ar-SA"/>
        </w:rPr>
        <w:t>howed</w:t>
      </w:r>
      <w:r w:rsidR="00676182">
        <w:rPr>
          <w:rFonts w:asciiTheme="minorHAnsi" w:hAnsiTheme="minorHAnsi" w:cs="Times New Roman"/>
          <w:sz w:val="22"/>
          <w:szCs w:val="22"/>
          <w:lang w:eastAsia="ar-SA"/>
        </w:rPr>
        <w:t xml:space="preserve"> that </w:t>
      </w:r>
      <w:r w:rsidR="004B4B85">
        <w:rPr>
          <w:rFonts w:asciiTheme="minorHAnsi" w:hAnsiTheme="minorHAnsi" w:cs="Times New Roman"/>
          <w:sz w:val="22"/>
          <w:szCs w:val="22"/>
          <w:lang w:eastAsia="ar-SA"/>
        </w:rPr>
        <w:t xml:space="preserve">the </w:t>
      </w:r>
      <w:r w:rsidR="00676182">
        <w:rPr>
          <w:rFonts w:asciiTheme="minorHAnsi" w:hAnsiTheme="minorHAnsi" w:cs="Times New Roman"/>
          <w:sz w:val="22"/>
          <w:szCs w:val="22"/>
          <w:lang w:eastAsia="ar-SA"/>
        </w:rPr>
        <w:t>addition of these data elements increase</w:t>
      </w:r>
      <w:r w:rsidR="00816574">
        <w:rPr>
          <w:rFonts w:asciiTheme="minorHAnsi" w:hAnsiTheme="minorHAnsi" w:cs="Times New Roman"/>
          <w:sz w:val="22"/>
          <w:szCs w:val="22"/>
          <w:lang w:eastAsia="ar-SA"/>
        </w:rPr>
        <w:t>s</w:t>
      </w:r>
      <w:r w:rsidR="00676182">
        <w:rPr>
          <w:rFonts w:asciiTheme="minorHAnsi" w:hAnsiTheme="minorHAnsi" w:cs="Times New Roman"/>
          <w:sz w:val="22"/>
          <w:szCs w:val="22"/>
          <w:lang w:eastAsia="ar-SA"/>
        </w:rPr>
        <w:t xml:space="preserve"> the time </w:t>
      </w:r>
      <w:r w:rsidR="00816574">
        <w:rPr>
          <w:rFonts w:asciiTheme="minorHAnsi" w:hAnsiTheme="minorHAnsi" w:cs="Times New Roman"/>
          <w:sz w:val="22"/>
          <w:szCs w:val="22"/>
          <w:lang w:eastAsia="ar-SA"/>
        </w:rPr>
        <w:t xml:space="preserve">burden </w:t>
      </w:r>
      <w:r w:rsidR="00676182">
        <w:rPr>
          <w:rFonts w:asciiTheme="minorHAnsi" w:hAnsiTheme="minorHAnsi" w:cs="Times New Roman"/>
          <w:sz w:val="22"/>
          <w:szCs w:val="22"/>
          <w:lang w:eastAsia="ar-SA"/>
        </w:rPr>
        <w:t xml:space="preserve">required by respondents categorized as Simple AFV fleets </w:t>
      </w:r>
      <w:r w:rsidR="00902AB2">
        <w:rPr>
          <w:rFonts w:asciiTheme="minorHAnsi" w:hAnsiTheme="minorHAnsi" w:cs="Times New Roman"/>
          <w:sz w:val="22"/>
          <w:szCs w:val="22"/>
          <w:lang w:eastAsia="ar-SA"/>
        </w:rPr>
        <w:t>and Complex AF</w:t>
      </w:r>
      <w:r w:rsidR="00A53CE2">
        <w:rPr>
          <w:rFonts w:asciiTheme="minorHAnsi" w:hAnsiTheme="minorHAnsi" w:cs="Times New Roman"/>
          <w:sz w:val="22"/>
          <w:szCs w:val="22"/>
          <w:lang w:eastAsia="ar-SA"/>
        </w:rPr>
        <w:t>V</w:t>
      </w:r>
      <w:r w:rsidR="00902AB2">
        <w:rPr>
          <w:rFonts w:asciiTheme="minorHAnsi" w:hAnsiTheme="minorHAnsi" w:cs="Times New Roman"/>
          <w:sz w:val="22"/>
          <w:szCs w:val="22"/>
          <w:lang w:eastAsia="ar-SA"/>
        </w:rPr>
        <w:t xml:space="preserve"> fleets </w:t>
      </w:r>
      <w:r w:rsidR="00676182">
        <w:rPr>
          <w:rFonts w:asciiTheme="minorHAnsi" w:hAnsiTheme="minorHAnsi" w:cs="Times New Roman"/>
          <w:sz w:val="22"/>
          <w:szCs w:val="22"/>
          <w:lang w:eastAsia="ar-SA"/>
        </w:rPr>
        <w:t xml:space="preserve">by </w:t>
      </w:r>
      <w:r w:rsidR="00453D88">
        <w:rPr>
          <w:rFonts w:asciiTheme="minorHAnsi" w:hAnsiTheme="minorHAnsi" w:cs="Times New Roman"/>
          <w:sz w:val="22"/>
          <w:szCs w:val="22"/>
          <w:lang w:eastAsia="ar-SA"/>
        </w:rPr>
        <w:t>2</w:t>
      </w:r>
      <w:r w:rsidR="00676182">
        <w:rPr>
          <w:rFonts w:asciiTheme="minorHAnsi" w:hAnsiTheme="minorHAnsi" w:cs="Times New Roman"/>
          <w:sz w:val="22"/>
          <w:szCs w:val="22"/>
          <w:lang w:eastAsia="ar-SA"/>
        </w:rPr>
        <w:t>.</w:t>
      </w:r>
      <w:r w:rsidR="00902AB2">
        <w:rPr>
          <w:rFonts w:asciiTheme="minorHAnsi" w:hAnsiTheme="minorHAnsi" w:cs="Times New Roman"/>
          <w:sz w:val="22"/>
          <w:szCs w:val="22"/>
          <w:lang w:eastAsia="ar-SA"/>
        </w:rPr>
        <w:t>3</w:t>
      </w:r>
      <w:r w:rsidR="00676182">
        <w:rPr>
          <w:rFonts w:asciiTheme="minorHAnsi" w:hAnsiTheme="minorHAnsi" w:cs="Times New Roman"/>
          <w:sz w:val="22"/>
          <w:szCs w:val="22"/>
          <w:lang w:eastAsia="ar-SA"/>
        </w:rPr>
        <w:t xml:space="preserve">1 </w:t>
      </w:r>
      <w:r w:rsidR="00902AB2">
        <w:rPr>
          <w:rFonts w:asciiTheme="minorHAnsi" w:hAnsiTheme="minorHAnsi" w:cs="Times New Roman"/>
          <w:sz w:val="22"/>
          <w:szCs w:val="22"/>
          <w:lang w:eastAsia="ar-SA"/>
        </w:rPr>
        <w:t xml:space="preserve">and .54 </w:t>
      </w:r>
      <w:r w:rsidR="00676182">
        <w:rPr>
          <w:rFonts w:asciiTheme="minorHAnsi" w:hAnsiTheme="minorHAnsi" w:cs="Times New Roman"/>
          <w:sz w:val="22"/>
          <w:szCs w:val="22"/>
          <w:lang w:eastAsia="ar-SA"/>
        </w:rPr>
        <w:t>hours</w:t>
      </w:r>
      <w:r w:rsidR="00902AB2">
        <w:rPr>
          <w:rFonts w:asciiTheme="minorHAnsi" w:hAnsiTheme="minorHAnsi" w:cs="Times New Roman"/>
          <w:sz w:val="22"/>
          <w:szCs w:val="22"/>
          <w:lang w:eastAsia="ar-SA"/>
        </w:rPr>
        <w:t xml:space="preserve"> respectively</w:t>
      </w:r>
      <w:r w:rsidR="00453D88">
        <w:rPr>
          <w:rFonts w:asciiTheme="minorHAnsi" w:hAnsiTheme="minorHAnsi" w:cs="Times New Roman"/>
          <w:sz w:val="22"/>
          <w:szCs w:val="22"/>
          <w:lang w:eastAsia="ar-SA"/>
        </w:rPr>
        <w:t xml:space="preserve">. </w:t>
      </w:r>
      <w:r w:rsidR="00902AB2">
        <w:rPr>
          <w:rFonts w:asciiTheme="minorHAnsi" w:hAnsiTheme="minorHAnsi" w:cs="Times New Roman"/>
          <w:sz w:val="22"/>
          <w:szCs w:val="22"/>
          <w:lang w:eastAsia="ar-SA"/>
        </w:rPr>
        <w:t>Additionally, the new reporting</w:t>
      </w:r>
      <w:r w:rsidR="00F41804">
        <w:rPr>
          <w:rFonts w:asciiTheme="minorHAnsi" w:hAnsiTheme="minorHAnsi" w:cs="Times New Roman"/>
          <w:sz w:val="22"/>
          <w:szCs w:val="22"/>
          <w:lang w:eastAsia="ar-SA"/>
        </w:rPr>
        <w:t xml:space="preserve"> requirements for respondents classified as AVCs and OEMS will slightly increase the burden per response. </w:t>
      </w:r>
      <w:r w:rsidR="00816574">
        <w:rPr>
          <w:rFonts w:asciiTheme="minorHAnsi" w:hAnsiTheme="minorHAnsi" w:cs="Times New Roman"/>
          <w:sz w:val="22"/>
          <w:szCs w:val="22"/>
          <w:lang w:eastAsia="ar-SA"/>
        </w:rPr>
        <w:t>This study revealed that AFV supplier</w:t>
      </w:r>
      <w:r w:rsidR="00816574" w:rsidRPr="1A8A4BE3">
        <w:rPr>
          <w:rFonts w:asciiTheme="minorHAnsi" w:hAnsiTheme="minorHAnsi" w:cs="Times New Roman"/>
          <w:sz w:val="22"/>
          <w:szCs w:val="22"/>
          <w:lang w:eastAsia="ar-SA"/>
        </w:rPr>
        <w:t xml:space="preserve"> respondents maintain </w:t>
      </w:r>
      <w:r w:rsidR="00816574">
        <w:rPr>
          <w:rFonts w:asciiTheme="minorHAnsi" w:hAnsiTheme="minorHAnsi" w:cs="Times New Roman"/>
          <w:sz w:val="22"/>
          <w:szCs w:val="22"/>
          <w:lang w:eastAsia="ar-SA"/>
        </w:rPr>
        <w:t xml:space="preserve">detailed </w:t>
      </w:r>
      <w:r w:rsidR="00816574" w:rsidRPr="1A8A4BE3">
        <w:rPr>
          <w:rFonts w:asciiTheme="minorHAnsi" w:hAnsiTheme="minorHAnsi" w:cs="Times New Roman"/>
          <w:sz w:val="22"/>
          <w:szCs w:val="22"/>
          <w:lang w:eastAsia="ar-SA"/>
        </w:rPr>
        <w:t xml:space="preserve">vehicle records on weight, fuel type used, and consumption </w:t>
      </w:r>
      <w:r w:rsidR="00816574">
        <w:rPr>
          <w:rFonts w:asciiTheme="minorHAnsi" w:hAnsiTheme="minorHAnsi" w:cs="Times New Roman"/>
          <w:sz w:val="22"/>
          <w:szCs w:val="22"/>
          <w:lang w:eastAsia="ar-SA"/>
        </w:rPr>
        <w:t>information i</w:t>
      </w:r>
      <w:r w:rsidR="00816574" w:rsidRPr="1A8A4BE3">
        <w:rPr>
          <w:rFonts w:asciiTheme="minorHAnsi" w:hAnsiTheme="minorHAnsi" w:cs="Times New Roman"/>
          <w:sz w:val="22"/>
          <w:szCs w:val="22"/>
          <w:lang w:eastAsia="ar-SA"/>
        </w:rPr>
        <w:t xml:space="preserve">n the normal course of their activities and that gathering </w:t>
      </w:r>
      <w:r w:rsidR="00816574">
        <w:rPr>
          <w:rFonts w:asciiTheme="minorHAnsi" w:hAnsiTheme="minorHAnsi" w:cs="Times New Roman"/>
          <w:sz w:val="22"/>
          <w:szCs w:val="22"/>
          <w:lang w:eastAsia="ar-SA"/>
        </w:rPr>
        <w:t xml:space="preserve">and reporting </w:t>
      </w:r>
      <w:r w:rsidR="00816574" w:rsidRPr="1A8A4BE3">
        <w:rPr>
          <w:rFonts w:asciiTheme="minorHAnsi" w:hAnsiTheme="minorHAnsi" w:cs="Times New Roman"/>
          <w:sz w:val="22"/>
          <w:szCs w:val="22"/>
          <w:lang w:eastAsia="ar-SA"/>
        </w:rPr>
        <w:t xml:space="preserve">these data would create a small increase in burden. </w:t>
      </w:r>
      <w:r w:rsidR="00F41804">
        <w:rPr>
          <w:rFonts w:asciiTheme="minorHAnsi" w:hAnsiTheme="minorHAnsi" w:cs="Times New Roman"/>
          <w:sz w:val="22"/>
          <w:szCs w:val="22"/>
          <w:lang w:eastAsia="ar-SA"/>
        </w:rPr>
        <w:t>T</w:t>
      </w:r>
      <w:r w:rsidR="007A34DA">
        <w:rPr>
          <w:rFonts w:asciiTheme="minorHAnsi" w:hAnsiTheme="minorHAnsi" w:cs="Times New Roman"/>
          <w:sz w:val="22"/>
          <w:szCs w:val="22"/>
          <w:lang w:eastAsia="ar-SA"/>
        </w:rPr>
        <w:t>hese increases in burden plus the adjustments to the curren</w:t>
      </w:r>
      <w:r w:rsidR="00F41804">
        <w:rPr>
          <w:rFonts w:asciiTheme="minorHAnsi" w:hAnsiTheme="minorHAnsi" w:cs="Times New Roman"/>
          <w:sz w:val="22"/>
          <w:szCs w:val="22"/>
          <w:lang w:eastAsia="ar-SA"/>
        </w:rPr>
        <w:t xml:space="preserve">t response burden, results in a total </w:t>
      </w:r>
      <w:r w:rsidR="007A34DA">
        <w:rPr>
          <w:rFonts w:asciiTheme="minorHAnsi" w:hAnsiTheme="minorHAnsi" w:cs="Times New Roman"/>
          <w:sz w:val="22"/>
          <w:szCs w:val="22"/>
          <w:lang w:eastAsia="ar-SA"/>
        </w:rPr>
        <w:t xml:space="preserve">increase </w:t>
      </w:r>
      <w:r w:rsidR="00F41804">
        <w:rPr>
          <w:rFonts w:asciiTheme="minorHAnsi" w:hAnsiTheme="minorHAnsi" w:cs="Times New Roman"/>
          <w:sz w:val="22"/>
          <w:szCs w:val="22"/>
          <w:lang w:eastAsia="ar-SA"/>
        </w:rPr>
        <w:t>of</w:t>
      </w:r>
      <w:r w:rsidR="007A34DA">
        <w:rPr>
          <w:rFonts w:asciiTheme="minorHAnsi" w:hAnsiTheme="minorHAnsi" w:cs="Times New Roman"/>
          <w:sz w:val="22"/>
          <w:szCs w:val="22"/>
          <w:lang w:eastAsia="ar-SA"/>
        </w:rPr>
        <w:t xml:space="preserve"> </w:t>
      </w:r>
      <w:r w:rsidR="00343FC3">
        <w:rPr>
          <w:rFonts w:asciiTheme="minorHAnsi" w:hAnsiTheme="minorHAnsi" w:cs="Times New Roman"/>
          <w:sz w:val="22"/>
          <w:szCs w:val="22"/>
          <w:lang w:eastAsia="ar-SA"/>
        </w:rPr>
        <w:t xml:space="preserve">average </w:t>
      </w:r>
      <w:r w:rsidR="007A34DA">
        <w:rPr>
          <w:rFonts w:asciiTheme="minorHAnsi" w:hAnsiTheme="minorHAnsi" w:cs="Times New Roman"/>
          <w:sz w:val="22"/>
          <w:szCs w:val="22"/>
          <w:lang w:eastAsia="ar-SA"/>
        </w:rPr>
        <w:t xml:space="preserve">burden per response for Form EIA-886 from 4 hours to 5.44 hours. </w:t>
      </w:r>
      <w:r w:rsidR="00816574">
        <w:rPr>
          <w:rFonts w:asciiTheme="minorHAnsi" w:hAnsiTheme="minorHAnsi" w:cs="Times New Roman"/>
          <w:sz w:val="22"/>
          <w:szCs w:val="22"/>
          <w:lang w:eastAsia="ar-SA"/>
        </w:rPr>
        <w:t xml:space="preserve">The </w:t>
      </w:r>
      <w:r w:rsidR="00902AB2">
        <w:rPr>
          <w:rFonts w:asciiTheme="minorHAnsi" w:hAnsiTheme="minorHAnsi" w:cs="Times New Roman"/>
          <w:sz w:val="22"/>
          <w:szCs w:val="22"/>
          <w:lang w:eastAsia="ar-SA"/>
        </w:rPr>
        <w:t xml:space="preserve">changes to the average burden per response for the different respondent categories are shown in Table A5. </w:t>
      </w:r>
    </w:p>
    <w:p w14:paraId="2BC9F389" w14:textId="77777777" w:rsidR="000F4367" w:rsidRDefault="000F4367" w:rsidP="007A34DA">
      <w:pPr>
        <w:pStyle w:val="HTMLPreformatted"/>
        <w:tabs>
          <w:tab w:val="clear" w:pos="10076"/>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inorHAnsi" w:hAnsiTheme="minorHAnsi" w:cs="Times New Roman"/>
          <w:sz w:val="22"/>
          <w:szCs w:val="22"/>
          <w:lang w:eastAsia="ar-SA"/>
        </w:rPr>
      </w:pPr>
    </w:p>
    <w:p w14:paraId="79B5383F" w14:textId="3F127570" w:rsidR="008F2A35" w:rsidRDefault="000F4367" w:rsidP="00F84240">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jc w:val="center"/>
        <w:rPr>
          <w:rFonts w:asciiTheme="minorHAnsi" w:hAnsiTheme="minorHAnsi" w:cs="Times New Roman"/>
          <w:sz w:val="22"/>
          <w:szCs w:val="22"/>
          <w:lang w:eastAsia="ar-SA"/>
        </w:rPr>
      </w:pPr>
      <w:r w:rsidRPr="001608F6">
        <w:rPr>
          <w:rFonts w:ascii="Arial" w:hAnsi="Arial" w:cs="Arial"/>
          <w:b/>
          <w:bCs/>
          <w:color w:val="0070C0"/>
          <w:sz w:val="28"/>
          <w:szCs w:val="28"/>
        </w:rPr>
        <w:t>Table A</w:t>
      </w:r>
      <w:r w:rsidR="00DE4132">
        <w:rPr>
          <w:rFonts w:ascii="Arial" w:hAnsi="Arial" w:cs="Arial"/>
          <w:b/>
          <w:bCs/>
          <w:color w:val="0070C0"/>
          <w:sz w:val="28"/>
          <w:szCs w:val="28"/>
        </w:rPr>
        <w:t>5</w:t>
      </w:r>
      <w:r w:rsidRPr="001608F6">
        <w:rPr>
          <w:rFonts w:ascii="Arial" w:hAnsi="Arial" w:cs="Arial"/>
          <w:b/>
          <w:bCs/>
          <w:color w:val="0070C0"/>
          <w:sz w:val="28"/>
          <w:szCs w:val="28"/>
        </w:rPr>
        <w:t xml:space="preserve"> </w:t>
      </w:r>
      <w:r>
        <w:rPr>
          <w:rFonts w:ascii="Arial" w:hAnsi="Arial" w:cs="Arial"/>
          <w:b/>
          <w:bCs/>
          <w:color w:val="0070C0"/>
          <w:sz w:val="28"/>
          <w:szCs w:val="28"/>
        </w:rPr>
        <w:t xml:space="preserve">Estimated Respondent Burden </w:t>
      </w:r>
      <w:r w:rsidR="00644E0B">
        <w:rPr>
          <w:rFonts w:ascii="Arial" w:hAnsi="Arial" w:cs="Arial"/>
          <w:b/>
          <w:bCs/>
          <w:color w:val="0070C0"/>
          <w:sz w:val="28"/>
          <w:szCs w:val="28"/>
        </w:rPr>
        <w:t>(Hours)</w:t>
      </w:r>
      <w:r w:rsidDel="000F4367">
        <w:rPr>
          <w:b/>
          <w:bCs/>
        </w:rPr>
        <w:t xml:space="preserve"> </w:t>
      </w:r>
    </w:p>
    <w:tbl>
      <w:tblPr>
        <w:tblW w:w="9703" w:type="dxa"/>
        <w:tblInd w:w="-5" w:type="dxa"/>
        <w:tblLook w:val="04A0" w:firstRow="1" w:lastRow="0" w:firstColumn="1" w:lastColumn="0" w:noHBand="0" w:noVBand="1"/>
      </w:tblPr>
      <w:tblGrid>
        <w:gridCol w:w="1980"/>
        <w:gridCol w:w="1710"/>
        <w:gridCol w:w="1890"/>
        <w:gridCol w:w="1855"/>
        <w:gridCol w:w="1134"/>
        <w:gridCol w:w="1134"/>
      </w:tblGrid>
      <w:tr w:rsidR="00603008" w:rsidRPr="00902AB2" w14:paraId="3B2FA19F" w14:textId="77777777" w:rsidTr="00603008">
        <w:trPr>
          <w:trHeight w:val="774"/>
        </w:trPr>
        <w:tc>
          <w:tcPr>
            <w:tcW w:w="1980" w:type="dxa"/>
            <w:tcBorders>
              <w:top w:val="single" w:sz="4" w:space="0" w:color="auto"/>
              <w:left w:val="single" w:sz="4" w:space="0" w:color="auto"/>
              <w:bottom w:val="single" w:sz="4" w:space="0" w:color="auto"/>
              <w:right w:val="single" w:sz="4" w:space="0" w:color="auto"/>
            </w:tcBorders>
            <w:shd w:val="clear" w:color="auto" w:fill="4EC8FF" w:themeFill="accent1" w:themeFillTint="99"/>
            <w:vAlign w:val="center"/>
            <w:hideMark/>
          </w:tcPr>
          <w:p w14:paraId="49864007" w14:textId="6E39C7C9" w:rsidR="00902AB2" w:rsidRPr="00902AB2" w:rsidRDefault="00902AB2" w:rsidP="00A42609">
            <w:pPr>
              <w:spacing w:after="0" w:line="240" w:lineRule="auto"/>
              <w:jc w:val="center"/>
              <w:rPr>
                <w:rFonts w:ascii="Calibri" w:eastAsia="Times New Roman" w:hAnsi="Calibri" w:cs="Arial"/>
                <w:b/>
                <w:bCs/>
                <w:color w:val="000000"/>
              </w:rPr>
            </w:pPr>
            <w:r w:rsidRPr="00902AB2">
              <w:rPr>
                <w:rFonts w:ascii="Calibri" w:eastAsia="Times New Roman" w:hAnsi="Calibri" w:cs="Arial"/>
                <w:b/>
                <w:bCs/>
                <w:color w:val="000000"/>
              </w:rPr>
              <w:t>User Type</w:t>
            </w:r>
          </w:p>
        </w:tc>
        <w:tc>
          <w:tcPr>
            <w:tcW w:w="1710" w:type="dxa"/>
            <w:tcBorders>
              <w:top w:val="single" w:sz="4" w:space="0" w:color="auto"/>
              <w:left w:val="nil"/>
              <w:bottom w:val="single" w:sz="4" w:space="0" w:color="auto"/>
              <w:right w:val="single" w:sz="4" w:space="0" w:color="auto"/>
            </w:tcBorders>
            <w:shd w:val="clear" w:color="auto" w:fill="4EC8FF" w:themeFill="accent1" w:themeFillTint="99"/>
            <w:vAlign w:val="center"/>
            <w:hideMark/>
          </w:tcPr>
          <w:p w14:paraId="3E531F44" w14:textId="39B26DF8" w:rsidR="00902AB2" w:rsidRPr="00902AB2" w:rsidRDefault="00902AB2" w:rsidP="00A42609">
            <w:pPr>
              <w:spacing w:after="0" w:line="240" w:lineRule="auto"/>
              <w:jc w:val="center"/>
              <w:rPr>
                <w:rFonts w:ascii="Calibri" w:eastAsia="Times New Roman" w:hAnsi="Calibri" w:cs="Arial"/>
                <w:b/>
                <w:bCs/>
                <w:color w:val="000000"/>
              </w:rPr>
            </w:pPr>
            <w:r w:rsidRPr="00902AB2">
              <w:rPr>
                <w:rFonts w:ascii="Calibri" w:eastAsia="Times New Roman" w:hAnsi="Calibri" w:cs="Arial"/>
                <w:b/>
                <w:bCs/>
                <w:color w:val="000000"/>
              </w:rPr>
              <w:t>Current Burden</w:t>
            </w:r>
          </w:p>
        </w:tc>
        <w:tc>
          <w:tcPr>
            <w:tcW w:w="1890" w:type="dxa"/>
            <w:tcBorders>
              <w:top w:val="single" w:sz="4" w:space="0" w:color="auto"/>
              <w:left w:val="nil"/>
              <w:bottom w:val="single" w:sz="4" w:space="0" w:color="auto"/>
              <w:right w:val="single" w:sz="4" w:space="0" w:color="auto"/>
            </w:tcBorders>
            <w:shd w:val="clear" w:color="auto" w:fill="4EC8FF" w:themeFill="accent1" w:themeFillTint="99"/>
            <w:vAlign w:val="center"/>
            <w:hideMark/>
          </w:tcPr>
          <w:p w14:paraId="15E33B90" w14:textId="0D3197FE" w:rsidR="00902AB2" w:rsidRPr="00902AB2" w:rsidRDefault="00902AB2" w:rsidP="00A42609">
            <w:pPr>
              <w:spacing w:after="0" w:line="240" w:lineRule="auto"/>
              <w:jc w:val="center"/>
              <w:rPr>
                <w:rFonts w:ascii="Calibri" w:eastAsia="Times New Roman" w:hAnsi="Calibri" w:cs="Arial"/>
                <w:b/>
                <w:bCs/>
                <w:color w:val="000000"/>
              </w:rPr>
            </w:pPr>
            <w:r w:rsidRPr="00902AB2">
              <w:rPr>
                <w:rFonts w:ascii="Calibri" w:eastAsia="Times New Roman" w:hAnsi="Calibri" w:cs="Arial"/>
                <w:b/>
                <w:bCs/>
                <w:color w:val="000000"/>
              </w:rPr>
              <w:t>Actual Burden (Based on Interviews)</w:t>
            </w:r>
          </w:p>
        </w:tc>
        <w:tc>
          <w:tcPr>
            <w:tcW w:w="1855" w:type="dxa"/>
            <w:tcBorders>
              <w:top w:val="single" w:sz="4" w:space="0" w:color="auto"/>
              <w:left w:val="nil"/>
              <w:bottom w:val="single" w:sz="4" w:space="0" w:color="auto"/>
              <w:right w:val="single" w:sz="4" w:space="0" w:color="auto"/>
            </w:tcBorders>
            <w:shd w:val="clear" w:color="auto" w:fill="4EC8FF" w:themeFill="accent1" w:themeFillTint="99"/>
            <w:vAlign w:val="center"/>
            <w:hideMark/>
          </w:tcPr>
          <w:p w14:paraId="4970BE35" w14:textId="42A09708" w:rsidR="00902AB2" w:rsidRPr="00902AB2" w:rsidRDefault="00902AB2" w:rsidP="00A42609">
            <w:pPr>
              <w:spacing w:after="0" w:line="240" w:lineRule="auto"/>
              <w:jc w:val="center"/>
              <w:rPr>
                <w:rFonts w:ascii="Calibri" w:eastAsia="Times New Roman" w:hAnsi="Calibri" w:cs="Arial"/>
                <w:b/>
                <w:bCs/>
                <w:color w:val="000000"/>
              </w:rPr>
            </w:pPr>
            <w:r w:rsidRPr="00902AB2">
              <w:rPr>
                <w:rFonts w:ascii="Calibri" w:eastAsia="Times New Roman" w:hAnsi="Calibri" w:cs="Arial"/>
                <w:b/>
                <w:bCs/>
                <w:color w:val="000000"/>
              </w:rPr>
              <w:t>Additional Questions Burden Increase</w:t>
            </w:r>
          </w:p>
        </w:tc>
        <w:tc>
          <w:tcPr>
            <w:tcW w:w="1134" w:type="dxa"/>
            <w:tcBorders>
              <w:top w:val="single" w:sz="4" w:space="0" w:color="auto"/>
              <w:left w:val="nil"/>
              <w:bottom w:val="single" w:sz="4" w:space="0" w:color="auto"/>
              <w:right w:val="single" w:sz="4" w:space="0" w:color="auto"/>
            </w:tcBorders>
            <w:shd w:val="clear" w:color="auto" w:fill="4EC8FF" w:themeFill="accent1" w:themeFillTint="99"/>
            <w:vAlign w:val="center"/>
            <w:hideMark/>
          </w:tcPr>
          <w:p w14:paraId="053DC841" w14:textId="25CEEABF" w:rsidR="00902AB2" w:rsidRPr="00902AB2" w:rsidRDefault="00902AB2" w:rsidP="00A42609">
            <w:pPr>
              <w:spacing w:after="0" w:line="240" w:lineRule="auto"/>
              <w:jc w:val="center"/>
              <w:rPr>
                <w:rFonts w:ascii="Calibri" w:eastAsia="Times New Roman" w:hAnsi="Calibri" w:cs="Arial"/>
                <w:b/>
                <w:bCs/>
                <w:color w:val="000000"/>
              </w:rPr>
            </w:pPr>
            <w:r w:rsidRPr="00902AB2">
              <w:rPr>
                <w:rFonts w:ascii="Calibri" w:eastAsia="Times New Roman" w:hAnsi="Calibri" w:cs="Arial"/>
                <w:b/>
                <w:bCs/>
                <w:color w:val="000000"/>
              </w:rPr>
              <w:t>New Burden</w:t>
            </w:r>
          </w:p>
        </w:tc>
        <w:tc>
          <w:tcPr>
            <w:tcW w:w="1134" w:type="dxa"/>
            <w:tcBorders>
              <w:top w:val="single" w:sz="4" w:space="0" w:color="auto"/>
              <w:left w:val="nil"/>
              <w:bottom w:val="single" w:sz="4" w:space="0" w:color="auto"/>
              <w:right w:val="single" w:sz="4" w:space="0" w:color="auto"/>
            </w:tcBorders>
            <w:shd w:val="clear" w:color="auto" w:fill="4EC8FF" w:themeFill="accent1" w:themeFillTint="99"/>
            <w:vAlign w:val="center"/>
            <w:hideMark/>
          </w:tcPr>
          <w:p w14:paraId="2E3826A7" w14:textId="0E1056E4" w:rsidR="00902AB2" w:rsidRPr="00902AB2" w:rsidRDefault="00902AB2" w:rsidP="00A42609">
            <w:pPr>
              <w:spacing w:after="0" w:line="240" w:lineRule="auto"/>
              <w:jc w:val="center"/>
              <w:rPr>
                <w:rFonts w:ascii="Calibri" w:eastAsia="Times New Roman" w:hAnsi="Calibri" w:cs="Arial"/>
                <w:b/>
                <w:bCs/>
                <w:color w:val="000000"/>
              </w:rPr>
            </w:pPr>
            <w:r w:rsidRPr="00902AB2">
              <w:rPr>
                <w:rFonts w:ascii="Calibri" w:eastAsia="Times New Roman" w:hAnsi="Calibri" w:cs="Arial"/>
                <w:b/>
                <w:bCs/>
                <w:color w:val="000000"/>
              </w:rPr>
              <w:t>Total Burden Change</w:t>
            </w:r>
          </w:p>
        </w:tc>
      </w:tr>
      <w:tr w:rsidR="00603008" w:rsidRPr="00902AB2" w14:paraId="7E74B70E" w14:textId="77777777" w:rsidTr="00603008">
        <w:trPr>
          <w:trHeight w:val="1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581925" w14:textId="77777777" w:rsidR="00902AB2" w:rsidRPr="00902AB2" w:rsidRDefault="00902AB2" w:rsidP="00902AB2">
            <w:pPr>
              <w:spacing w:after="0" w:line="240" w:lineRule="auto"/>
              <w:rPr>
                <w:rFonts w:ascii="Calibri" w:eastAsia="Times New Roman" w:hAnsi="Calibri" w:cs="Arial"/>
                <w:color w:val="000000"/>
              </w:rPr>
            </w:pPr>
            <w:r w:rsidRPr="00902AB2">
              <w:rPr>
                <w:rFonts w:ascii="Calibri" w:eastAsia="Times New Roman" w:hAnsi="Calibri" w:cs="Arial"/>
                <w:color w:val="000000"/>
              </w:rPr>
              <w:t>OEMs</w:t>
            </w:r>
          </w:p>
        </w:tc>
        <w:tc>
          <w:tcPr>
            <w:tcW w:w="1710" w:type="dxa"/>
            <w:tcBorders>
              <w:top w:val="nil"/>
              <w:left w:val="nil"/>
              <w:bottom w:val="single" w:sz="4" w:space="0" w:color="auto"/>
              <w:right w:val="single" w:sz="4" w:space="0" w:color="auto"/>
            </w:tcBorders>
            <w:shd w:val="clear" w:color="auto" w:fill="auto"/>
            <w:vAlign w:val="center"/>
            <w:hideMark/>
          </w:tcPr>
          <w:p w14:paraId="27C965C0"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2.5</w:t>
            </w:r>
          </w:p>
        </w:tc>
        <w:tc>
          <w:tcPr>
            <w:tcW w:w="1890" w:type="dxa"/>
            <w:tcBorders>
              <w:top w:val="nil"/>
              <w:left w:val="nil"/>
              <w:bottom w:val="single" w:sz="4" w:space="0" w:color="auto"/>
              <w:right w:val="single" w:sz="4" w:space="0" w:color="auto"/>
            </w:tcBorders>
            <w:shd w:val="clear" w:color="auto" w:fill="auto"/>
            <w:vAlign w:val="center"/>
            <w:hideMark/>
          </w:tcPr>
          <w:p w14:paraId="74515143"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3.75</w:t>
            </w:r>
          </w:p>
        </w:tc>
        <w:tc>
          <w:tcPr>
            <w:tcW w:w="1855" w:type="dxa"/>
            <w:tcBorders>
              <w:top w:val="nil"/>
              <w:left w:val="nil"/>
              <w:bottom w:val="single" w:sz="4" w:space="0" w:color="auto"/>
              <w:right w:val="single" w:sz="4" w:space="0" w:color="auto"/>
            </w:tcBorders>
            <w:shd w:val="clear" w:color="auto" w:fill="auto"/>
            <w:vAlign w:val="center"/>
            <w:hideMark/>
          </w:tcPr>
          <w:p w14:paraId="6EA7615C"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0.1</w:t>
            </w:r>
          </w:p>
        </w:tc>
        <w:tc>
          <w:tcPr>
            <w:tcW w:w="1134" w:type="dxa"/>
            <w:tcBorders>
              <w:top w:val="nil"/>
              <w:left w:val="nil"/>
              <w:bottom w:val="single" w:sz="4" w:space="0" w:color="auto"/>
              <w:right w:val="single" w:sz="4" w:space="0" w:color="auto"/>
            </w:tcBorders>
            <w:shd w:val="clear" w:color="auto" w:fill="auto"/>
            <w:vAlign w:val="center"/>
            <w:hideMark/>
          </w:tcPr>
          <w:p w14:paraId="264F0786"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3.85</w:t>
            </w:r>
          </w:p>
        </w:tc>
        <w:tc>
          <w:tcPr>
            <w:tcW w:w="1134" w:type="dxa"/>
            <w:tcBorders>
              <w:top w:val="nil"/>
              <w:left w:val="nil"/>
              <w:bottom w:val="single" w:sz="4" w:space="0" w:color="auto"/>
              <w:right w:val="single" w:sz="4" w:space="0" w:color="auto"/>
            </w:tcBorders>
            <w:shd w:val="clear" w:color="auto" w:fill="auto"/>
            <w:vAlign w:val="center"/>
            <w:hideMark/>
          </w:tcPr>
          <w:p w14:paraId="40E07852"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1.35</w:t>
            </w:r>
          </w:p>
        </w:tc>
      </w:tr>
      <w:tr w:rsidR="00603008" w:rsidRPr="00902AB2" w14:paraId="3E944F36" w14:textId="77777777" w:rsidTr="00603008">
        <w:trPr>
          <w:trHeight w:val="1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E9F890C" w14:textId="77777777" w:rsidR="00902AB2" w:rsidRPr="00902AB2" w:rsidRDefault="00902AB2" w:rsidP="00902AB2">
            <w:pPr>
              <w:spacing w:after="0" w:line="240" w:lineRule="auto"/>
              <w:rPr>
                <w:rFonts w:ascii="Calibri" w:eastAsia="Times New Roman" w:hAnsi="Calibri" w:cs="Arial"/>
                <w:color w:val="000000"/>
              </w:rPr>
            </w:pPr>
            <w:r w:rsidRPr="00902AB2">
              <w:rPr>
                <w:rFonts w:ascii="Calibri" w:eastAsia="Times New Roman" w:hAnsi="Calibri" w:cs="Arial"/>
                <w:color w:val="000000"/>
              </w:rPr>
              <w:t>AVCs</w:t>
            </w:r>
          </w:p>
        </w:tc>
        <w:tc>
          <w:tcPr>
            <w:tcW w:w="1710" w:type="dxa"/>
            <w:tcBorders>
              <w:top w:val="nil"/>
              <w:left w:val="nil"/>
              <w:bottom w:val="single" w:sz="4" w:space="0" w:color="auto"/>
              <w:right w:val="single" w:sz="4" w:space="0" w:color="auto"/>
            </w:tcBorders>
            <w:shd w:val="clear" w:color="auto" w:fill="auto"/>
            <w:vAlign w:val="center"/>
            <w:hideMark/>
          </w:tcPr>
          <w:p w14:paraId="29598008"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14:paraId="6991713F"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3.75</w:t>
            </w:r>
          </w:p>
        </w:tc>
        <w:tc>
          <w:tcPr>
            <w:tcW w:w="1855" w:type="dxa"/>
            <w:tcBorders>
              <w:top w:val="nil"/>
              <w:left w:val="nil"/>
              <w:bottom w:val="single" w:sz="4" w:space="0" w:color="auto"/>
              <w:right w:val="single" w:sz="4" w:space="0" w:color="auto"/>
            </w:tcBorders>
            <w:shd w:val="clear" w:color="auto" w:fill="auto"/>
            <w:vAlign w:val="center"/>
            <w:hideMark/>
          </w:tcPr>
          <w:p w14:paraId="0BB25C86"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0.1</w:t>
            </w:r>
          </w:p>
        </w:tc>
        <w:tc>
          <w:tcPr>
            <w:tcW w:w="1134" w:type="dxa"/>
            <w:tcBorders>
              <w:top w:val="nil"/>
              <w:left w:val="nil"/>
              <w:bottom w:val="single" w:sz="4" w:space="0" w:color="auto"/>
              <w:right w:val="single" w:sz="4" w:space="0" w:color="auto"/>
            </w:tcBorders>
            <w:shd w:val="clear" w:color="auto" w:fill="auto"/>
            <w:vAlign w:val="center"/>
            <w:hideMark/>
          </w:tcPr>
          <w:p w14:paraId="549443F7"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3.85</w:t>
            </w:r>
          </w:p>
        </w:tc>
        <w:tc>
          <w:tcPr>
            <w:tcW w:w="1134" w:type="dxa"/>
            <w:tcBorders>
              <w:top w:val="nil"/>
              <w:left w:val="nil"/>
              <w:bottom w:val="single" w:sz="4" w:space="0" w:color="auto"/>
              <w:right w:val="single" w:sz="4" w:space="0" w:color="auto"/>
            </w:tcBorders>
            <w:shd w:val="clear" w:color="auto" w:fill="auto"/>
            <w:vAlign w:val="center"/>
            <w:hideMark/>
          </w:tcPr>
          <w:p w14:paraId="570038EA"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1.85</w:t>
            </w:r>
          </w:p>
        </w:tc>
      </w:tr>
      <w:tr w:rsidR="00603008" w:rsidRPr="00902AB2" w14:paraId="4B551485" w14:textId="77777777" w:rsidTr="00603008">
        <w:trPr>
          <w:trHeight w:val="1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AF9B2A" w14:textId="77777777" w:rsidR="00902AB2" w:rsidRPr="00902AB2" w:rsidRDefault="00902AB2" w:rsidP="00902AB2">
            <w:pPr>
              <w:spacing w:after="0" w:line="240" w:lineRule="auto"/>
              <w:rPr>
                <w:rFonts w:ascii="Calibri" w:eastAsia="Times New Roman" w:hAnsi="Calibri" w:cs="Arial"/>
                <w:color w:val="000000"/>
              </w:rPr>
            </w:pPr>
            <w:r w:rsidRPr="00902AB2">
              <w:rPr>
                <w:rFonts w:ascii="Calibri" w:eastAsia="Times New Roman" w:hAnsi="Calibri" w:cs="Arial"/>
                <w:color w:val="000000"/>
              </w:rPr>
              <w:t>Simple AFV Fleets</w:t>
            </w:r>
          </w:p>
        </w:tc>
        <w:tc>
          <w:tcPr>
            <w:tcW w:w="1710" w:type="dxa"/>
            <w:tcBorders>
              <w:top w:val="nil"/>
              <w:left w:val="nil"/>
              <w:bottom w:val="single" w:sz="4" w:space="0" w:color="auto"/>
              <w:right w:val="single" w:sz="4" w:space="0" w:color="auto"/>
            </w:tcBorders>
            <w:shd w:val="clear" w:color="auto" w:fill="auto"/>
            <w:vAlign w:val="center"/>
            <w:hideMark/>
          </w:tcPr>
          <w:p w14:paraId="1DE07E37"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3</w:t>
            </w:r>
          </w:p>
        </w:tc>
        <w:tc>
          <w:tcPr>
            <w:tcW w:w="1890" w:type="dxa"/>
            <w:tcBorders>
              <w:top w:val="nil"/>
              <w:left w:val="nil"/>
              <w:bottom w:val="single" w:sz="4" w:space="0" w:color="auto"/>
              <w:right w:val="single" w:sz="4" w:space="0" w:color="auto"/>
            </w:tcBorders>
            <w:shd w:val="clear" w:color="auto" w:fill="auto"/>
            <w:vAlign w:val="center"/>
            <w:hideMark/>
          </w:tcPr>
          <w:p w14:paraId="4856C34B"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3.2</w:t>
            </w:r>
          </w:p>
        </w:tc>
        <w:tc>
          <w:tcPr>
            <w:tcW w:w="1855" w:type="dxa"/>
            <w:tcBorders>
              <w:top w:val="nil"/>
              <w:left w:val="nil"/>
              <w:bottom w:val="single" w:sz="4" w:space="0" w:color="auto"/>
              <w:right w:val="single" w:sz="4" w:space="0" w:color="auto"/>
            </w:tcBorders>
            <w:shd w:val="clear" w:color="auto" w:fill="auto"/>
            <w:vAlign w:val="center"/>
            <w:hideMark/>
          </w:tcPr>
          <w:p w14:paraId="438F00BE"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2.31</w:t>
            </w:r>
          </w:p>
        </w:tc>
        <w:tc>
          <w:tcPr>
            <w:tcW w:w="1134" w:type="dxa"/>
            <w:tcBorders>
              <w:top w:val="nil"/>
              <w:left w:val="nil"/>
              <w:bottom w:val="single" w:sz="4" w:space="0" w:color="auto"/>
              <w:right w:val="single" w:sz="4" w:space="0" w:color="auto"/>
            </w:tcBorders>
            <w:shd w:val="clear" w:color="auto" w:fill="auto"/>
            <w:vAlign w:val="center"/>
            <w:hideMark/>
          </w:tcPr>
          <w:p w14:paraId="601C5376"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5.51</w:t>
            </w:r>
          </w:p>
        </w:tc>
        <w:tc>
          <w:tcPr>
            <w:tcW w:w="1134" w:type="dxa"/>
            <w:tcBorders>
              <w:top w:val="nil"/>
              <w:left w:val="nil"/>
              <w:bottom w:val="single" w:sz="4" w:space="0" w:color="auto"/>
              <w:right w:val="single" w:sz="4" w:space="0" w:color="auto"/>
            </w:tcBorders>
            <w:shd w:val="clear" w:color="auto" w:fill="auto"/>
            <w:vAlign w:val="center"/>
            <w:hideMark/>
          </w:tcPr>
          <w:p w14:paraId="39BAB8EC"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2.51</w:t>
            </w:r>
          </w:p>
        </w:tc>
      </w:tr>
      <w:tr w:rsidR="00603008" w:rsidRPr="00902AB2" w14:paraId="76436663" w14:textId="77777777" w:rsidTr="00603008">
        <w:trPr>
          <w:trHeight w:val="1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A01038B" w14:textId="77777777" w:rsidR="00902AB2" w:rsidRPr="00902AB2" w:rsidRDefault="00902AB2" w:rsidP="00902AB2">
            <w:pPr>
              <w:spacing w:after="0" w:line="240" w:lineRule="auto"/>
              <w:rPr>
                <w:rFonts w:ascii="Calibri" w:eastAsia="Times New Roman" w:hAnsi="Calibri" w:cs="Arial"/>
                <w:color w:val="000000"/>
              </w:rPr>
            </w:pPr>
            <w:r w:rsidRPr="00902AB2">
              <w:rPr>
                <w:rFonts w:ascii="Calibri" w:eastAsia="Times New Roman" w:hAnsi="Calibri" w:cs="Arial"/>
                <w:color w:val="000000"/>
              </w:rPr>
              <w:t>Complex AFV Fleets</w:t>
            </w:r>
          </w:p>
        </w:tc>
        <w:tc>
          <w:tcPr>
            <w:tcW w:w="1710" w:type="dxa"/>
            <w:tcBorders>
              <w:top w:val="nil"/>
              <w:left w:val="nil"/>
              <w:bottom w:val="single" w:sz="4" w:space="0" w:color="auto"/>
              <w:right w:val="single" w:sz="4" w:space="0" w:color="auto"/>
            </w:tcBorders>
            <w:shd w:val="clear" w:color="auto" w:fill="auto"/>
            <w:vAlign w:val="center"/>
            <w:hideMark/>
          </w:tcPr>
          <w:p w14:paraId="33F19B14"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24</w:t>
            </w:r>
          </w:p>
        </w:tc>
        <w:tc>
          <w:tcPr>
            <w:tcW w:w="1890" w:type="dxa"/>
            <w:tcBorders>
              <w:top w:val="nil"/>
              <w:left w:val="nil"/>
              <w:bottom w:val="single" w:sz="4" w:space="0" w:color="auto"/>
              <w:right w:val="single" w:sz="4" w:space="0" w:color="auto"/>
            </w:tcBorders>
            <w:shd w:val="clear" w:color="auto" w:fill="auto"/>
            <w:vAlign w:val="center"/>
            <w:hideMark/>
          </w:tcPr>
          <w:p w14:paraId="56D70EDA"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4.68</w:t>
            </w:r>
          </w:p>
        </w:tc>
        <w:tc>
          <w:tcPr>
            <w:tcW w:w="1855" w:type="dxa"/>
            <w:tcBorders>
              <w:top w:val="nil"/>
              <w:left w:val="nil"/>
              <w:bottom w:val="single" w:sz="4" w:space="0" w:color="auto"/>
              <w:right w:val="single" w:sz="4" w:space="0" w:color="auto"/>
            </w:tcBorders>
            <w:shd w:val="clear" w:color="auto" w:fill="auto"/>
            <w:vAlign w:val="center"/>
            <w:hideMark/>
          </w:tcPr>
          <w:p w14:paraId="1361B111"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0.54</w:t>
            </w:r>
          </w:p>
        </w:tc>
        <w:tc>
          <w:tcPr>
            <w:tcW w:w="1134" w:type="dxa"/>
            <w:tcBorders>
              <w:top w:val="nil"/>
              <w:left w:val="nil"/>
              <w:bottom w:val="single" w:sz="4" w:space="0" w:color="auto"/>
              <w:right w:val="single" w:sz="4" w:space="0" w:color="auto"/>
            </w:tcBorders>
            <w:shd w:val="clear" w:color="auto" w:fill="auto"/>
            <w:vAlign w:val="center"/>
            <w:hideMark/>
          </w:tcPr>
          <w:p w14:paraId="25D293EC"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5.22</w:t>
            </w:r>
          </w:p>
        </w:tc>
        <w:tc>
          <w:tcPr>
            <w:tcW w:w="1134" w:type="dxa"/>
            <w:tcBorders>
              <w:top w:val="nil"/>
              <w:left w:val="nil"/>
              <w:bottom w:val="single" w:sz="4" w:space="0" w:color="auto"/>
              <w:right w:val="single" w:sz="4" w:space="0" w:color="auto"/>
            </w:tcBorders>
            <w:shd w:val="clear" w:color="auto" w:fill="auto"/>
            <w:vAlign w:val="center"/>
            <w:hideMark/>
          </w:tcPr>
          <w:p w14:paraId="1A8187CC"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-18.78</w:t>
            </w:r>
          </w:p>
        </w:tc>
      </w:tr>
      <w:tr w:rsidR="00603008" w:rsidRPr="00902AB2" w14:paraId="2DD25148" w14:textId="77777777" w:rsidTr="00603008">
        <w:trPr>
          <w:trHeight w:val="1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BBD689" w14:textId="77777777" w:rsidR="00902AB2" w:rsidRPr="00902AB2" w:rsidRDefault="00902AB2" w:rsidP="00902AB2">
            <w:pPr>
              <w:spacing w:after="0" w:line="240" w:lineRule="auto"/>
              <w:rPr>
                <w:rFonts w:ascii="Calibri" w:eastAsia="Times New Roman" w:hAnsi="Calibri" w:cs="Arial"/>
                <w:color w:val="000000"/>
              </w:rPr>
            </w:pPr>
            <w:r w:rsidRPr="00902AB2">
              <w:rPr>
                <w:rFonts w:ascii="Calibri" w:eastAsia="Times New Roman" w:hAnsi="Calibri" w:cs="Arial"/>
                <w:color w:val="000000"/>
              </w:rPr>
              <w:t xml:space="preserve">Average Burden </w:t>
            </w:r>
          </w:p>
        </w:tc>
        <w:tc>
          <w:tcPr>
            <w:tcW w:w="1710" w:type="dxa"/>
            <w:tcBorders>
              <w:top w:val="nil"/>
              <w:left w:val="nil"/>
              <w:bottom w:val="single" w:sz="4" w:space="0" w:color="auto"/>
              <w:right w:val="single" w:sz="4" w:space="0" w:color="auto"/>
            </w:tcBorders>
            <w:shd w:val="clear" w:color="auto" w:fill="auto"/>
            <w:vAlign w:val="center"/>
            <w:hideMark/>
          </w:tcPr>
          <w:p w14:paraId="4B21EEE8"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4</w:t>
            </w:r>
          </w:p>
        </w:tc>
        <w:tc>
          <w:tcPr>
            <w:tcW w:w="1890" w:type="dxa"/>
            <w:tcBorders>
              <w:top w:val="nil"/>
              <w:left w:val="nil"/>
              <w:bottom w:val="single" w:sz="4" w:space="0" w:color="auto"/>
              <w:right w:val="single" w:sz="4" w:space="0" w:color="auto"/>
            </w:tcBorders>
            <w:shd w:val="clear" w:color="auto" w:fill="auto"/>
            <w:vAlign w:val="bottom"/>
            <w:hideMark/>
          </w:tcPr>
          <w:p w14:paraId="6FD70967" w14:textId="77777777" w:rsidR="00902AB2" w:rsidRPr="00902AB2" w:rsidRDefault="00902AB2" w:rsidP="00902AB2">
            <w:pPr>
              <w:spacing w:after="0" w:line="240" w:lineRule="auto"/>
              <w:rPr>
                <w:rFonts w:ascii="Calibri" w:eastAsia="Times New Roman" w:hAnsi="Calibri" w:cs="Arial"/>
                <w:color w:val="000000"/>
              </w:rPr>
            </w:pPr>
            <w:r w:rsidRPr="00902AB2">
              <w:rPr>
                <w:rFonts w:ascii="Calibri" w:eastAsia="Times New Roman" w:hAnsi="Calibri" w:cs="Arial"/>
                <w:color w:val="000000"/>
              </w:rPr>
              <w:t> </w:t>
            </w:r>
          </w:p>
        </w:tc>
        <w:tc>
          <w:tcPr>
            <w:tcW w:w="1855" w:type="dxa"/>
            <w:tcBorders>
              <w:top w:val="nil"/>
              <w:left w:val="nil"/>
              <w:bottom w:val="single" w:sz="4" w:space="0" w:color="auto"/>
              <w:right w:val="single" w:sz="4" w:space="0" w:color="auto"/>
            </w:tcBorders>
            <w:shd w:val="clear" w:color="auto" w:fill="auto"/>
            <w:vAlign w:val="center"/>
            <w:hideMark/>
          </w:tcPr>
          <w:p w14:paraId="2790AD6E"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45A15EC"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5.44</w:t>
            </w:r>
          </w:p>
        </w:tc>
        <w:tc>
          <w:tcPr>
            <w:tcW w:w="1134" w:type="dxa"/>
            <w:tcBorders>
              <w:top w:val="nil"/>
              <w:left w:val="nil"/>
              <w:bottom w:val="single" w:sz="4" w:space="0" w:color="auto"/>
              <w:right w:val="single" w:sz="4" w:space="0" w:color="auto"/>
            </w:tcBorders>
            <w:shd w:val="clear" w:color="auto" w:fill="auto"/>
            <w:vAlign w:val="center"/>
            <w:hideMark/>
          </w:tcPr>
          <w:p w14:paraId="3F07EB15" w14:textId="77777777" w:rsidR="00902AB2" w:rsidRPr="00902AB2" w:rsidRDefault="00902AB2" w:rsidP="00902AB2">
            <w:pPr>
              <w:spacing w:after="0" w:line="240" w:lineRule="auto"/>
              <w:jc w:val="right"/>
              <w:rPr>
                <w:rFonts w:ascii="Calibri" w:eastAsia="Times New Roman" w:hAnsi="Calibri" w:cs="Arial"/>
                <w:color w:val="000000"/>
              </w:rPr>
            </w:pPr>
            <w:r w:rsidRPr="00902AB2">
              <w:rPr>
                <w:rFonts w:ascii="Calibri" w:eastAsia="Times New Roman" w:hAnsi="Calibri" w:cs="Arial"/>
                <w:color w:val="000000"/>
              </w:rPr>
              <w:t>1.44</w:t>
            </w:r>
          </w:p>
        </w:tc>
      </w:tr>
    </w:tbl>
    <w:p w14:paraId="383BB456" w14:textId="77777777" w:rsidR="008F2A35" w:rsidRDefault="008F2A35" w:rsidP="008F2A35">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heme="minorHAnsi" w:hAnsiTheme="minorHAnsi" w:cs="Times New Roman"/>
          <w:sz w:val="22"/>
          <w:szCs w:val="22"/>
          <w:lang w:eastAsia="ar-SA"/>
        </w:rPr>
      </w:pPr>
    </w:p>
    <w:p w14:paraId="6D8C6858" w14:textId="77777777" w:rsidR="000F3987" w:rsidRDefault="000F3987" w:rsidP="008F2A35">
      <w:pPr>
        <w:pStyle w:val="HTMLPreformatted"/>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spacing w:before="120"/>
        <w:rPr>
          <w:rFonts w:asciiTheme="minorHAnsi" w:hAnsiTheme="minorHAnsi" w:cs="Times New Roman"/>
          <w:sz w:val="22"/>
          <w:szCs w:val="22"/>
          <w:lang w:eastAsia="ar-SA"/>
        </w:rPr>
      </w:pPr>
    </w:p>
    <w:p w14:paraId="7E0A4202" w14:textId="77777777" w:rsidR="005515CD" w:rsidRDefault="005515CD" w:rsidP="00F84240">
      <w:pPr>
        <w:pStyle w:val="HTMLPreformatted"/>
      </w:pPr>
    </w:p>
    <w:p w14:paraId="13465C7E" w14:textId="77777777" w:rsidR="00816574" w:rsidRDefault="00816574" w:rsidP="00F84240">
      <w:pPr>
        <w:pStyle w:val="HTMLPreformatted"/>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225D9A" w:rsidRPr="00225D9A" w14:paraId="546E6956" w14:textId="77777777" w:rsidTr="0020499E">
        <w:trPr>
          <w:trHeight w:val="360"/>
          <w:jc w:val="center"/>
        </w:trPr>
        <w:tc>
          <w:tcPr>
            <w:tcW w:w="9360" w:type="dxa"/>
            <w:gridSpan w:val="5"/>
            <w:tcBorders>
              <w:top w:val="nil"/>
              <w:left w:val="nil"/>
              <w:bottom w:val="nil"/>
              <w:right w:val="nil"/>
            </w:tcBorders>
            <w:shd w:val="clear" w:color="auto" w:fill="auto"/>
            <w:noWrap/>
            <w:vAlign w:val="bottom"/>
            <w:hideMark/>
          </w:tcPr>
          <w:p w14:paraId="3C3EE89B" w14:textId="4D1D34B6" w:rsidR="00225D9A" w:rsidRPr="0020499E" w:rsidRDefault="00225D9A" w:rsidP="00DE4132">
            <w:pPr>
              <w:spacing w:after="0" w:line="240" w:lineRule="auto"/>
              <w:jc w:val="center"/>
              <w:rPr>
                <w:rFonts w:ascii="Arial" w:eastAsia="Times New Roman" w:hAnsi="Arial" w:cs="Arial"/>
                <w:b/>
                <w:bCs/>
                <w:color w:val="0070C0"/>
                <w:sz w:val="28"/>
                <w:szCs w:val="28"/>
              </w:rPr>
            </w:pPr>
            <w:r w:rsidRPr="00225D9A">
              <w:br w:type="page"/>
            </w:r>
            <w:r w:rsidRPr="001608F6">
              <w:rPr>
                <w:rFonts w:ascii="Arial" w:eastAsia="Times New Roman" w:hAnsi="Arial" w:cs="Arial"/>
                <w:b/>
                <w:bCs/>
                <w:color w:val="0070C0"/>
                <w:sz w:val="28"/>
                <w:szCs w:val="28"/>
              </w:rPr>
              <w:t>Table A</w:t>
            </w:r>
            <w:r w:rsidR="00DE4132">
              <w:rPr>
                <w:rFonts w:ascii="Arial" w:eastAsia="Times New Roman" w:hAnsi="Arial" w:cs="Arial"/>
                <w:b/>
                <w:bCs/>
                <w:color w:val="0070C0"/>
                <w:sz w:val="28"/>
                <w:szCs w:val="28"/>
              </w:rPr>
              <w:t>6</w:t>
            </w:r>
            <w:r w:rsidRPr="001608F6">
              <w:rPr>
                <w:rFonts w:ascii="Arial" w:eastAsia="Times New Roman" w:hAnsi="Arial" w:cs="Arial"/>
                <w:b/>
                <w:bCs/>
                <w:color w:val="0070C0"/>
                <w:sz w:val="28"/>
                <w:szCs w:val="28"/>
              </w:rPr>
              <w:t xml:space="preserve"> ICR Summary of Burden</w:t>
            </w:r>
          </w:p>
        </w:tc>
      </w:tr>
      <w:tr w:rsidR="00225D9A" w:rsidRPr="00225D9A" w14:paraId="5B7B0324" w14:textId="77777777" w:rsidTr="0020499E">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ACBD8B7" w14:textId="77777777" w:rsidR="00225D9A" w:rsidRPr="00225D9A" w:rsidRDefault="00225D9A" w:rsidP="00225D9A">
            <w:pPr>
              <w:spacing w:after="0" w:line="240" w:lineRule="auto"/>
              <w:jc w:val="center"/>
              <w:rPr>
                <w:rFonts w:ascii="Calibri" w:eastAsia="Times New Roman" w:hAnsi="Calibri" w:cs="Arial"/>
                <w:b/>
                <w:bCs/>
                <w:color w:val="FFFFFF"/>
                <w:sz w:val="20"/>
                <w:szCs w:val="20"/>
              </w:rPr>
            </w:pPr>
            <w:r w:rsidRPr="00225D9A">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6945C177" w14:textId="77777777" w:rsidR="00225D9A" w:rsidRPr="00225D9A" w:rsidRDefault="00225D9A" w:rsidP="00225D9A">
            <w:pPr>
              <w:spacing w:after="0" w:line="240" w:lineRule="auto"/>
              <w:jc w:val="center"/>
              <w:rPr>
                <w:rFonts w:ascii="Calibri" w:eastAsia="Times New Roman" w:hAnsi="Calibri" w:cs="Arial"/>
                <w:b/>
                <w:bCs/>
                <w:sz w:val="20"/>
                <w:szCs w:val="20"/>
              </w:rPr>
            </w:pPr>
            <w:r w:rsidRPr="00225D9A">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341BDC08" w14:textId="77777777" w:rsidR="00225D9A" w:rsidRPr="00225D9A" w:rsidRDefault="00225D9A" w:rsidP="00225D9A">
            <w:pPr>
              <w:spacing w:after="0" w:line="240" w:lineRule="auto"/>
              <w:jc w:val="center"/>
              <w:rPr>
                <w:rFonts w:ascii="Calibri" w:eastAsia="Times New Roman" w:hAnsi="Calibri" w:cs="Arial"/>
                <w:b/>
                <w:bCs/>
                <w:sz w:val="20"/>
                <w:szCs w:val="20"/>
              </w:rPr>
            </w:pPr>
            <w:r w:rsidRPr="00225D9A">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2BD4E4AB" w14:textId="77777777" w:rsidR="00225D9A" w:rsidRPr="00225D9A" w:rsidRDefault="00225D9A" w:rsidP="00225D9A">
            <w:pPr>
              <w:spacing w:after="0" w:line="240" w:lineRule="auto"/>
              <w:jc w:val="center"/>
              <w:rPr>
                <w:rFonts w:ascii="Calibri" w:eastAsia="Times New Roman" w:hAnsi="Calibri" w:cs="Arial"/>
                <w:b/>
                <w:bCs/>
                <w:sz w:val="20"/>
                <w:szCs w:val="20"/>
              </w:rPr>
            </w:pPr>
            <w:r w:rsidRPr="00225D9A">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21552BB8" w14:textId="77777777" w:rsidR="00225D9A" w:rsidRPr="00225D9A" w:rsidRDefault="00225D9A" w:rsidP="00225D9A">
            <w:pPr>
              <w:spacing w:after="0" w:line="240" w:lineRule="auto"/>
              <w:jc w:val="center"/>
              <w:rPr>
                <w:rFonts w:ascii="Calibri" w:eastAsia="Times New Roman" w:hAnsi="Calibri" w:cs="Arial"/>
                <w:b/>
                <w:bCs/>
                <w:sz w:val="20"/>
                <w:szCs w:val="20"/>
              </w:rPr>
            </w:pPr>
            <w:r w:rsidRPr="00225D9A">
              <w:rPr>
                <w:rFonts w:ascii="Calibri" w:eastAsia="Times New Roman" w:hAnsi="Calibri" w:cs="Arial"/>
                <w:b/>
                <w:bCs/>
                <w:sz w:val="20"/>
                <w:szCs w:val="20"/>
              </w:rPr>
              <w:t>Previously Approved</w:t>
            </w:r>
          </w:p>
        </w:tc>
      </w:tr>
      <w:tr w:rsidR="00225D9A" w:rsidRPr="00225D9A" w14:paraId="4B02CABA" w14:textId="77777777" w:rsidTr="0020499E">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193458FE" w14:textId="77777777" w:rsidR="00225D9A" w:rsidRPr="00225D9A" w:rsidRDefault="00225D9A" w:rsidP="00225D9A">
            <w:pPr>
              <w:spacing w:after="0" w:line="240" w:lineRule="auto"/>
              <w:rPr>
                <w:rFonts w:ascii="Calibri" w:eastAsia="Times New Roman" w:hAnsi="Calibri" w:cs="Arial"/>
                <w:color w:val="576170"/>
                <w:sz w:val="20"/>
                <w:szCs w:val="20"/>
              </w:rPr>
            </w:pPr>
            <w:r w:rsidRPr="00225D9A">
              <w:rPr>
                <w:rFonts w:ascii="Calibri" w:eastAsia="Times New Roman" w:hAnsi="Calibri" w:cs="Arial"/>
                <w:color w:val="576170"/>
                <w:sz w:val="20"/>
                <w:szCs w:val="20"/>
              </w:rPr>
              <w:t>Annual Number of Responses</w:t>
            </w:r>
          </w:p>
        </w:tc>
        <w:tc>
          <w:tcPr>
            <w:tcW w:w="9360" w:type="dxa"/>
            <w:tcBorders>
              <w:top w:val="nil"/>
              <w:left w:val="nil"/>
              <w:bottom w:val="single" w:sz="4" w:space="0" w:color="auto"/>
              <w:right w:val="single" w:sz="4" w:space="0" w:color="auto"/>
            </w:tcBorders>
            <w:shd w:val="clear" w:color="auto" w:fill="auto"/>
            <w:vAlign w:val="center"/>
            <w:hideMark/>
          </w:tcPr>
          <w:p w14:paraId="0846C4BF" w14:textId="38E0660F" w:rsidR="00225D9A" w:rsidRPr="00225D9A" w:rsidRDefault="00343FC3" w:rsidP="00225D9A">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1,334</w:t>
            </w:r>
          </w:p>
        </w:tc>
        <w:tc>
          <w:tcPr>
            <w:tcW w:w="9360" w:type="dxa"/>
            <w:tcBorders>
              <w:top w:val="nil"/>
              <w:left w:val="nil"/>
              <w:bottom w:val="single" w:sz="4" w:space="0" w:color="auto"/>
              <w:right w:val="single" w:sz="4" w:space="0" w:color="auto"/>
            </w:tcBorders>
            <w:shd w:val="clear" w:color="auto" w:fill="auto"/>
            <w:vAlign w:val="center"/>
            <w:hideMark/>
          </w:tcPr>
          <w:p w14:paraId="1DF676E8" w14:textId="1C632110" w:rsidR="00225D9A" w:rsidRPr="00225D9A" w:rsidRDefault="00343FC3">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-716</w:t>
            </w:r>
          </w:p>
        </w:tc>
        <w:tc>
          <w:tcPr>
            <w:tcW w:w="9360" w:type="dxa"/>
            <w:tcBorders>
              <w:top w:val="nil"/>
              <w:left w:val="nil"/>
              <w:bottom w:val="single" w:sz="4" w:space="0" w:color="auto"/>
              <w:right w:val="single" w:sz="4" w:space="0" w:color="auto"/>
            </w:tcBorders>
            <w:shd w:val="clear" w:color="auto" w:fill="auto"/>
            <w:vAlign w:val="center"/>
            <w:hideMark/>
          </w:tcPr>
          <w:p w14:paraId="133C5982" w14:textId="35951315" w:rsidR="00225D9A" w:rsidRPr="00225D9A" w:rsidRDefault="00225D9A" w:rsidP="00225D9A">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14:paraId="0D427EAF" w14:textId="039375E2" w:rsidR="00225D9A" w:rsidRPr="00225D9A" w:rsidRDefault="00225D9A" w:rsidP="00DD2A5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2,</w:t>
            </w:r>
            <w:r w:rsidR="00DD2A55">
              <w:rPr>
                <w:rFonts w:ascii="Calibri" w:eastAsia="Times New Roman" w:hAnsi="Calibri" w:cs="Arial"/>
                <w:color w:val="576170"/>
                <w:sz w:val="20"/>
                <w:szCs w:val="20"/>
              </w:rPr>
              <w:t>050</w:t>
            </w:r>
          </w:p>
        </w:tc>
      </w:tr>
      <w:tr w:rsidR="00225D9A" w:rsidRPr="00225D9A" w14:paraId="7FEF4552" w14:textId="77777777" w:rsidTr="0020499E">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45282287" w14:textId="77777777" w:rsidR="00225D9A" w:rsidRPr="00225D9A" w:rsidRDefault="00225D9A" w:rsidP="00225D9A">
            <w:pPr>
              <w:spacing w:after="0" w:line="240" w:lineRule="auto"/>
              <w:rPr>
                <w:rFonts w:ascii="Calibri" w:eastAsia="Times New Roman" w:hAnsi="Calibri" w:cs="Arial"/>
                <w:color w:val="576170"/>
                <w:sz w:val="20"/>
                <w:szCs w:val="20"/>
              </w:rPr>
            </w:pPr>
            <w:r w:rsidRPr="00225D9A">
              <w:rPr>
                <w:rFonts w:ascii="Calibri" w:eastAsia="Times New Roman" w:hAnsi="Calibri" w:cs="Arial"/>
                <w:color w:val="576170"/>
                <w:sz w:val="20"/>
                <w:szCs w:val="20"/>
              </w:rPr>
              <w:t>Annual Time Burden (Hr)</w:t>
            </w:r>
          </w:p>
        </w:tc>
        <w:tc>
          <w:tcPr>
            <w:tcW w:w="9360" w:type="dxa"/>
            <w:tcBorders>
              <w:top w:val="nil"/>
              <w:left w:val="nil"/>
              <w:bottom w:val="single" w:sz="4" w:space="0" w:color="auto"/>
              <w:right w:val="single" w:sz="4" w:space="0" w:color="auto"/>
            </w:tcBorders>
            <w:shd w:val="clear" w:color="auto" w:fill="auto"/>
            <w:vAlign w:val="center"/>
            <w:hideMark/>
          </w:tcPr>
          <w:p w14:paraId="2FC17088" w14:textId="5AC4548F" w:rsidR="00225D9A" w:rsidRPr="00225D9A" w:rsidRDefault="00343FC3" w:rsidP="00EE3B98">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7,257</w:t>
            </w:r>
          </w:p>
        </w:tc>
        <w:tc>
          <w:tcPr>
            <w:tcW w:w="9360" w:type="dxa"/>
            <w:tcBorders>
              <w:top w:val="nil"/>
              <w:left w:val="nil"/>
              <w:bottom w:val="single" w:sz="4" w:space="0" w:color="auto"/>
              <w:right w:val="single" w:sz="4" w:space="0" w:color="auto"/>
            </w:tcBorders>
            <w:shd w:val="clear" w:color="auto" w:fill="auto"/>
            <w:vAlign w:val="center"/>
            <w:hideMark/>
          </w:tcPr>
          <w:p w14:paraId="2B06E2EE" w14:textId="70A0470D" w:rsidR="00225D9A" w:rsidRPr="00225D9A" w:rsidRDefault="0081781B" w:rsidP="00EE3B98">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-2864</w:t>
            </w:r>
          </w:p>
        </w:tc>
        <w:tc>
          <w:tcPr>
            <w:tcW w:w="9360" w:type="dxa"/>
            <w:tcBorders>
              <w:top w:val="nil"/>
              <w:left w:val="nil"/>
              <w:bottom w:val="single" w:sz="4" w:space="0" w:color="auto"/>
              <w:right w:val="single" w:sz="4" w:space="0" w:color="auto"/>
            </w:tcBorders>
            <w:shd w:val="clear" w:color="auto" w:fill="auto"/>
            <w:vAlign w:val="center"/>
            <w:hideMark/>
          </w:tcPr>
          <w:p w14:paraId="423C8FEA" w14:textId="4FD2ABCB" w:rsidR="00225D9A" w:rsidRPr="00225D9A" w:rsidRDefault="0081781B" w:rsidP="0081781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1921</w:t>
            </w:r>
          </w:p>
        </w:tc>
        <w:tc>
          <w:tcPr>
            <w:tcW w:w="9360" w:type="dxa"/>
            <w:tcBorders>
              <w:top w:val="nil"/>
              <w:left w:val="nil"/>
              <w:bottom w:val="single" w:sz="4" w:space="0" w:color="auto"/>
              <w:right w:val="single" w:sz="4" w:space="0" w:color="auto"/>
            </w:tcBorders>
            <w:shd w:val="clear" w:color="auto" w:fill="auto"/>
            <w:vAlign w:val="center"/>
            <w:hideMark/>
          </w:tcPr>
          <w:p w14:paraId="2869DA7A" w14:textId="60155E24" w:rsidR="00225D9A" w:rsidRPr="00225D9A" w:rsidRDefault="00343FC3">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8,215</w:t>
            </w:r>
          </w:p>
        </w:tc>
      </w:tr>
    </w:tbl>
    <w:p w14:paraId="70E80BB4" w14:textId="77777777" w:rsidR="00225D9A" w:rsidRDefault="00225D9A" w:rsidP="00A41763"/>
    <w:p w14:paraId="7A94128C" w14:textId="77777777" w:rsidR="00216DC7" w:rsidRDefault="00216DC7" w:rsidP="00BD21BE">
      <w:pPr>
        <w:pStyle w:val="Heading2"/>
      </w:pPr>
      <w:bookmarkStart w:id="55" w:name="_Toc492037072"/>
      <w:bookmarkStart w:id="56" w:name="_Toc492544323"/>
      <w:bookmarkStart w:id="57" w:name="_Toc491347235"/>
      <w:r>
        <w:rPr>
          <w:lang w:eastAsia="ar-SA"/>
        </w:rPr>
        <w:t xml:space="preserve">A.16. </w:t>
      </w:r>
      <w:r>
        <w:t>Collection, Tabulation, and Publication Plans</w:t>
      </w:r>
      <w:bookmarkEnd w:id="55"/>
      <w:bookmarkEnd w:id="56"/>
      <w:r>
        <w:t xml:space="preserve"> </w:t>
      </w:r>
    </w:p>
    <w:p w14:paraId="1D9878ED" w14:textId="4738A307" w:rsidR="00216DC7" w:rsidRPr="00542090" w:rsidRDefault="00216DC7" w:rsidP="00216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765A9">
        <w:rPr>
          <w:rFonts w:cs="Times New Roman"/>
        </w:rPr>
        <w:t xml:space="preserve">Plans to tabulate and publish data collected by Form EIA-886 are described below. </w:t>
      </w:r>
      <w:bookmarkEnd w:id="57"/>
    </w:p>
    <w:p w14:paraId="7D63DD82" w14:textId="0459F4D1" w:rsidR="00216DC7" w:rsidRPr="00614DF1" w:rsidRDefault="00216DC7" w:rsidP="00216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pPr>
      <w:r w:rsidRPr="001D4659">
        <w:t>The time schedule for data collection and related analysis activities for the 20</w:t>
      </w:r>
      <w:r>
        <w:t>18</w:t>
      </w:r>
      <w:r w:rsidRPr="001D4659">
        <w:t xml:space="preserve"> Report is summarized</w:t>
      </w:r>
      <w:r>
        <w:t>,</w:t>
      </w:r>
      <w:r w:rsidRPr="001D4659">
        <w:t xml:space="preserve"> below.</w:t>
      </w:r>
      <w:r w:rsidR="00A5645F">
        <w:t xml:space="preserve"> </w:t>
      </w:r>
      <w:r w:rsidRPr="001D4659">
        <w:t>(Similar schedules will be followed in subsequent years.)</w:t>
      </w:r>
    </w:p>
    <w:p w14:paraId="7B35B404" w14:textId="77777777" w:rsidR="00216DC7" w:rsidRPr="0020499E" w:rsidRDefault="00216DC7" w:rsidP="0020499E">
      <w:pPr>
        <w:tabs>
          <w:tab w:val="left" w:pos="0"/>
          <w:tab w:val="center" w:pos="5112"/>
          <w:tab w:val="left" w:pos="5760"/>
          <w:tab w:val="left" w:pos="6480"/>
          <w:tab w:val="left" w:pos="7200"/>
          <w:tab w:val="left" w:pos="7920"/>
          <w:tab w:val="left" w:pos="8640"/>
          <w:tab w:val="left" w:pos="9360"/>
          <w:tab w:val="left" w:pos="10080"/>
        </w:tabs>
        <w:spacing w:before="240"/>
        <w:ind w:left="360"/>
        <w:jc w:val="center"/>
        <w:rPr>
          <w:b/>
          <w:bCs/>
          <w:sz w:val="24"/>
          <w:szCs w:val="24"/>
        </w:rPr>
      </w:pPr>
      <w:r w:rsidRPr="001608F6">
        <w:rPr>
          <w:b/>
          <w:bCs/>
          <w:sz w:val="24"/>
          <w:szCs w:val="24"/>
        </w:rPr>
        <w:t>Schedule for Data Collection, Analysis and Publication</w:t>
      </w:r>
    </w:p>
    <w:p w14:paraId="5647FDF4" w14:textId="77777777" w:rsidR="00216DC7" w:rsidRPr="001D4659"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360"/>
      </w:pPr>
      <w:r w:rsidRPr="00AE481E">
        <w:rPr>
          <w:u w:val="single"/>
        </w:rPr>
        <w:t>Activity</w:t>
      </w:r>
      <w:r w:rsidRPr="001D4659">
        <w:tab/>
      </w:r>
      <w:r w:rsidRPr="001D4659">
        <w:tab/>
      </w:r>
      <w:r w:rsidRPr="001D4659">
        <w:tab/>
      </w:r>
      <w:r w:rsidRPr="001D4659">
        <w:tab/>
      </w:r>
      <w:r w:rsidRPr="001D4659">
        <w:tab/>
      </w:r>
      <w:r>
        <w:tab/>
      </w:r>
      <w:r>
        <w:tab/>
      </w:r>
      <w:r>
        <w:tab/>
      </w:r>
      <w:r w:rsidRPr="001D4659">
        <w:rPr>
          <w:u w:val="single"/>
        </w:rPr>
        <w:t>Estimated Completion Date</w:t>
      </w:r>
    </w:p>
    <w:p w14:paraId="22E66743" w14:textId="21196724" w:rsidR="00216DC7" w:rsidRPr="001D4659"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1D4659">
        <w:t>Mail Form EIA-886 Survey for 20</w:t>
      </w:r>
      <w:r>
        <w:t>17 Report Year</w:t>
      </w:r>
      <w:r w:rsidR="1A8A4BE3">
        <w:t xml:space="preserve"> </w:t>
      </w:r>
      <w:r>
        <w:tab/>
      </w:r>
      <w:r w:rsidRPr="001D4659">
        <w:tab/>
      </w:r>
      <w:r>
        <w:tab/>
        <w:t>February 15, 2018</w:t>
      </w:r>
    </w:p>
    <w:p w14:paraId="7C144536" w14:textId="12E66DCA" w:rsidR="00216DC7" w:rsidRPr="001D4659"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6258"/>
          <w:tab w:val="left" w:pos="6480"/>
          <w:tab w:val="left" w:pos="7200"/>
          <w:tab w:val="left" w:pos="7920"/>
          <w:tab w:val="left" w:pos="8640"/>
          <w:tab w:val="left" w:pos="9360"/>
          <w:tab w:val="left" w:pos="10080"/>
        </w:tabs>
        <w:spacing w:before="120"/>
        <w:ind w:left="360"/>
      </w:pPr>
      <w:r>
        <w:t>Survey Response Due to EIA</w:t>
      </w:r>
      <w:r w:rsidR="1A8A4BE3">
        <w:t xml:space="preserve"> </w:t>
      </w:r>
      <w:r>
        <w:tab/>
      </w:r>
      <w:r w:rsidRPr="001D4659">
        <w:tab/>
      </w:r>
      <w:r>
        <w:t xml:space="preserve">April </w:t>
      </w:r>
      <w:r w:rsidRPr="001D4659">
        <w:t>1</w:t>
      </w:r>
      <w:r>
        <w:t>5</w:t>
      </w:r>
      <w:r w:rsidRPr="001D4659">
        <w:t>, 20</w:t>
      </w:r>
      <w:r>
        <w:t>18</w:t>
      </w:r>
    </w:p>
    <w:p w14:paraId="30B01A96" w14:textId="08D0A394" w:rsidR="00216DC7" w:rsidRPr="00614DF1"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614DF1">
        <w:t>Begin Fol</w:t>
      </w:r>
      <w:r>
        <w:t>low-up Contact with Respondents</w:t>
      </w:r>
      <w:r w:rsidR="1A8A4BE3">
        <w:t xml:space="preserve"> </w:t>
      </w:r>
      <w:r w:rsidRPr="00614DF1">
        <w:tab/>
      </w:r>
      <w:r w:rsidRPr="00614DF1">
        <w:tab/>
      </w:r>
      <w:r w:rsidRPr="00614DF1">
        <w:tab/>
      </w:r>
      <w:r>
        <w:tab/>
        <w:t>April 15, 2018</w:t>
      </w:r>
    </w:p>
    <w:p w14:paraId="6EF8AA9B" w14:textId="77EE4155" w:rsidR="00216DC7" w:rsidRPr="001D4659"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rsidRPr="001D4659">
        <w:t>End Fol</w:t>
      </w:r>
      <w:r>
        <w:t>low-up Contact with Respondents</w:t>
      </w:r>
      <w:r w:rsidR="1A8A4BE3">
        <w:t xml:space="preserve"> </w:t>
      </w:r>
      <w:r w:rsidRPr="001D4659">
        <w:tab/>
      </w:r>
      <w:r w:rsidRPr="001D4659">
        <w:tab/>
      </w:r>
      <w:r w:rsidRPr="001D4659">
        <w:tab/>
      </w:r>
      <w:r>
        <w:tab/>
        <w:t>July 15</w:t>
      </w:r>
      <w:r w:rsidRPr="001D4659">
        <w:t>, 20</w:t>
      </w:r>
      <w:r>
        <w:t>18</w:t>
      </w:r>
    </w:p>
    <w:p w14:paraId="54B5EC66" w14:textId="77777777" w:rsidR="00216DC7"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6258"/>
          <w:tab w:val="left" w:pos="6480"/>
          <w:tab w:val="left" w:pos="7200"/>
          <w:tab w:val="left" w:pos="7920"/>
          <w:tab w:val="left" w:pos="8640"/>
          <w:tab w:val="left" w:pos="9360"/>
          <w:tab w:val="left" w:pos="10080"/>
        </w:tabs>
        <w:spacing w:before="120"/>
        <w:ind w:left="360"/>
      </w:pPr>
      <w:r w:rsidRPr="001D4659">
        <w:t>Comple</w:t>
      </w:r>
      <w:r>
        <w:t>te Data Collection</w:t>
      </w:r>
      <w:r>
        <w:tab/>
      </w:r>
      <w:r>
        <w:tab/>
        <w:t>September 15, 2018</w:t>
      </w:r>
    </w:p>
    <w:p w14:paraId="623AFB11" w14:textId="7A54F8CE" w:rsidR="00216DC7" w:rsidRPr="00431556"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6258"/>
          <w:tab w:val="left" w:pos="6480"/>
          <w:tab w:val="left" w:pos="7200"/>
          <w:tab w:val="left" w:pos="7920"/>
          <w:tab w:val="left" w:pos="8640"/>
          <w:tab w:val="left" w:pos="9360"/>
          <w:tab w:val="left" w:pos="10080"/>
        </w:tabs>
        <w:spacing w:before="120"/>
        <w:ind w:left="360"/>
      </w:pPr>
      <w:r>
        <w:t xml:space="preserve">Perform </w:t>
      </w:r>
      <w:r w:rsidRPr="00431556">
        <w:t xml:space="preserve">Data Analysis and </w:t>
      </w:r>
      <w:r>
        <w:t xml:space="preserve">Prepare </w:t>
      </w:r>
      <w:r w:rsidRPr="00431556">
        <w:t>Preliminary Data Report</w:t>
      </w:r>
      <w:r w:rsidR="1A8A4BE3" w:rsidRPr="00431556">
        <w:t xml:space="preserve"> </w:t>
      </w:r>
      <w:r w:rsidRPr="00431556">
        <w:tab/>
      </w:r>
      <w:r w:rsidRPr="00431556">
        <w:tab/>
      </w:r>
      <w:r>
        <w:t>December 15, 2018</w:t>
      </w:r>
    </w:p>
    <w:p w14:paraId="0BBE983E" w14:textId="0D5DCB08" w:rsidR="00216DC7" w:rsidRPr="00495216" w:rsidRDefault="00216DC7" w:rsidP="001765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pPr>
      <w:r>
        <w:t>Publish Survey Results on EIA Website</w:t>
      </w:r>
      <w:r w:rsidR="1A8A4BE3">
        <w:t xml:space="preserve"> </w:t>
      </w:r>
      <w:r>
        <w:tab/>
      </w:r>
      <w:r>
        <w:tab/>
      </w:r>
      <w:r>
        <w:tab/>
      </w:r>
      <w:r w:rsidRPr="00614DF1">
        <w:tab/>
      </w:r>
      <w:r>
        <w:t>January 1</w:t>
      </w:r>
      <w:r w:rsidRPr="00614DF1">
        <w:t>, 20</w:t>
      </w:r>
      <w:r>
        <w:t>19</w:t>
      </w:r>
    </w:p>
    <w:p w14:paraId="29E32691" w14:textId="7DF5430F" w:rsidR="00216DC7" w:rsidRPr="001D4659" w:rsidRDefault="00216DC7" w:rsidP="00BD21BE">
      <w:pPr>
        <w:pStyle w:val="Heading2"/>
      </w:pPr>
      <w:bookmarkStart w:id="58" w:name="_Toc491347236"/>
      <w:bookmarkStart w:id="59" w:name="_Toc492037073"/>
      <w:bookmarkStart w:id="60" w:name="_Toc492544324"/>
      <w:r>
        <w:t>A.17. OMB Number and Expiration Date</w:t>
      </w:r>
      <w:bookmarkEnd w:id="58"/>
      <w:bookmarkEnd w:id="59"/>
      <w:bookmarkEnd w:id="60"/>
    </w:p>
    <w:p w14:paraId="0A4B4A51" w14:textId="77777777" w:rsidR="00216DC7" w:rsidRPr="0020499E" w:rsidRDefault="00216DC7" w:rsidP="0020499E">
      <w:pPr>
        <w:tabs>
          <w:tab w:val="left" w:pos="0"/>
          <w:tab w:val="left" w:pos="5970"/>
          <w:tab w:val="left" w:pos="6480"/>
          <w:tab w:val="left" w:pos="7200"/>
          <w:tab w:val="left" w:pos="7920"/>
          <w:tab w:val="left" w:pos="8640"/>
          <w:tab w:val="left" w:pos="9360"/>
          <w:tab w:val="left" w:pos="10080"/>
        </w:tabs>
        <w:spacing w:before="120"/>
        <w:rPr>
          <w:b/>
          <w:bCs/>
        </w:rPr>
      </w:pPr>
      <w:r w:rsidRPr="001D4659">
        <w:t xml:space="preserve">The </w:t>
      </w:r>
      <w:r>
        <w:t xml:space="preserve">OMB Number (1905-0191) and data collection </w:t>
      </w:r>
      <w:r w:rsidRPr="001D4659">
        <w:t xml:space="preserve">expiration date will be displayed on </w:t>
      </w:r>
      <w:r>
        <w:t xml:space="preserve">all data collection forms and instructions. </w:t>
      </w:r>
    </w:p>
    <w:p w14:paraId="056EBD67" w14:textId="77777777" w:rsidR="00216DC7" w:rsidRDefault="00216DC7" w:rsidP="00216DC7">
      <w:pPr>
        <w:tabs>
          <w:tab w:val="left" w:pos="0"/>
          <w:tab w:val="left" w:pos="5970"/>
          <w:tab w:val="left" w:pos="6480"/>
          <w:tab w:val="left" w:pos="7200"/>
          <w:tab w:val="left" w:pos="7920"/>
          <w:tab w:val="left" w:pos="8640"/>
          <w:tab w:val="left" w:pos="9360"/>
          <w:tab w:val="left" w:pos="10080"/>
        </w:tabs>
        <w:spacing w:before="120"/>
        <w:rPr>
          <w:b/>
        </w:rPr>
      </w:pPr>
    </w:p>
    <w:p w14:paraId="0464BFD6" w14:textId="77777777" w:rsidR="00216DC7" w:rsidRDefault="00216DC7" w:rsidP="00BD21BE">
      <w:pPr>
        <w:pStyle w:val="Heading2"/>
      </w:pPr>
      <w:bookmarkStart w:id="61" w:name="_Toc492037074"/>
      <w:bookmarkStart w:id="62" w:name="_Toc492544325"/>
      <w:r>
        <w:t>A.18. Certification Statement</w:t>
      </w:r>
      <w:bookmarkEnd w:id="61"/>
      <w:bookmarkEnd w:id="62"/>
    </w:p>
    <w:p w14:paraId="282016B0" w14:textId="6266088C" w:rsidR="00216DC7" w:rsidRPr="0020499E" w:rsidRDefault="00216DC7" w:rsidP="0020499E">
      <w:pPr>
        <w:tabs>
          <w:tab w:val="left" w:pos="0"/>
          <w:tab w:val="left" w:pos="5970"/>
          <w:tab w:val="left" w:pos="6480"/>
          <w:tab w:val="left" w:pos="7200"/>
          <w:tab w:val="left" w:pos="7920"/>
          <w:tab w:val="left" w:pos="8640"/>
          <w:tab w:val="left" w:pos="9360"/>
          <w:tab w:val="left" w:pos="10080"/>
        </w:tabs>
        <w:spacing w:before="120"/>
        <w:rPr>
          <w:b/>
          <w:bCs/>
        </w:rPr>
      </w:pPr>
      <w:r>
        <w:t>There are no exceptions to the certification statement identified in Item 19, “certification for Paperwork Reduction Act Submissions,” of OMB Form 83-I. This information collection request complies with 5 CFR 1320.9.</w:t>
      </w:r>
      <w:r w:rsidR="00A5645F">
        <w:t xml:space="preserve"> </w:t>
      </w:r>
    </w:p>
    <w:p w14:paraId="6C146EE8" w14:textId="3AA582B4" w:rsidR="00A41763" w:rsidRPr="00A41763" w:rsidRDefault="00A41763" w:rsidP="00216DC7"/>
    <w:sectPr w:rsidR="00A41763" w:rsidRPr="00A41763" w:rsidSect="001608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2D712" w14:textId="77777777" w:rsidR="008C06E6" w:rsidRDefault="008C06E6" w:rsidP="00536CE1">
      <w:pPr>
        <w:spacing w:after="0" w:line="240" w:lineRule="auto"/>
      </w:pPr>
      <w:r>
        <w:separator/>
      </w:r>
    </w:p>
  </w:endnote>
  <w:endnote w:type="continuationSeparator" w:id="0">
    <w:p w14:paraId="54CDF232" w14:textId="77777777" w:rsidR="008C06E6" w:rsidRDefault="008C06E6" w:rsidP="00536CE1">
      <w:pPr>
        <w:spacing w:after="0" w:line="240" w:lineRule="auto"/>
      </w:pPr>
      <w:r>
        <w:continuationSeparator/>
      </w:r>
    </w:p>
  </w:endnote>
  <w:endnote w:type="continuationNotice" w:id="1">
    <w:p w14:paraId="26FD651B" w14:textId="77777777" w:rsidR="008C06E6" w:rsidRDefault="008C0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05EC3" w14:textId="77777777" w:rsidR="000F1C69" w:rsidRDefault="000F1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4DA8" w14:textId="0025B20E" w:rsidR="008C06E6" w:rsidRPr="001F3A8F" w:rsidRDefault="008C06E6"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Annual Survey of Alternative Fueled Vehicles</w:t>
        </w:r>
      </w:sdtContent>
    </w:sdt>
    <w:r>
      <w:t xml:space="preserve"> </w:t>
    </w:r>
    <w:r>
      <w:tab/>
    </w:r>
    <w:r>
      <w:rPr>
        <w:noProof/>
      </w:rPr>
      <w:fldChar w:fldCharType="begin"/>
    </w:r>
    <w:r>
      <w:instrText xml:space="preserve"> PAGE   \* MERGEFORMAT </w:instrText>
    </w:r>
    <w:r>
      <w:fldChar w:fldCharType="separate"/>
    </w:r>
    <w:r w:rsidR="00437159">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42825" w14:textId="77777777" w:rsidR="000F1C69" w:rsidRDefault="000F1C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E8B9A" w14:textId="34DA0C4E" w:rsidR="008C06E6" w:rsidRDefault="00437159" w:rsidP="00760677">
    <w:pPr>
      <w:pStyle w:val="Footer"/>
    </w:pPr>
    <w:sdt>
      <w:sdtPr>
        <w:id w:val="272451101"/>
        <w:docPartObj>
          <w:docPartGallery w:val="Page Numbers (Bottom of Page)"/>
          <w:docPartUnique/>
        </w:docPartObj>
      </w:sdtPr>
      <w:sdtEndPr/>
      <w:sdtContent>
        <w:r w:rsidR="008C06E6" w:rsidRPr="00CB180D">
          <w:t>U.S. Energy Information Administration</w:t>
        </w:r>
        <w:r w:rsidR="008C06E6">
          <w:t xml:space="preserve">  </w:t>
        </w:r>
        <w:r w:rsidR="008C06E6" w:rsidRPr="00CB180D">
          <w:t>|</w:t>
        </w:r>
        <w:r w:rsidR="008C06E6">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C06E6">
              <w:t>Improving the Quality and Scope of EIA Data</w:t>
            </w:r>
          </w:sdtContent>
        </w:sdt>
        <w:r w:rsidR="008C06E6" w:rsidRPr="00CB180D">
          <w:tab/>
        </w:r>
      </w:sdtContent>
    </w:sdt>
    <w:r w:rsidR="008C06E6" w:rsidRPr="00760677">
      <w:t>￼</w:t>
    </w:r>
    <w:r w:rsidR="008C06E6">
      <w:fldChar w:fldCharType="begin"/>
    </w:r>
    <w:r w:rsidR="008C06E6">
      <w:instrText xml:space="preserve"> PAGE   \* MERGEFORMAT </w:instrText>
    </w:r>
    <w:r w:rsidR="008C06E6">
      <w:fldChar w:fldCharType="separate"/>
    </w:r>
    <w:r w:rsidR="008C06E6" w:rsidRPr="1A8A4BE3">
      <w:rPr>
        <w:noProof/>
      </w:rPr>
      <w:t>￼</w:t>
    </w:r>
    <w:r w:rsidR="008C06E6">
      <w:rPr>
        <w:noProof/>
      </w:rPr>
      <w:fldChar w:fldCharType="end"/>
    </w:r>
  </w:p>
  <w:p w14:paraId="04EE53A6" w14:textId="77777777" w:rsidR="008C06E6" w:rsidRDefault="008C06E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955F" w14:textId="4A5D6A0B" w:rsidR="008C06E6" w:rsidRDefault="00437159" w:rsidP="00760677">
    <w:pPr>
      <w:pStyle w:val="Footer"/>
    </w:pPr>
    <w:sdt>
      <w:sdtPr>
        <w:id w:val="-22715443"/>
        <w:docPartObj>
          <w:docPartGallery w:val="Page Numbers (Bottom of Page)"/>
          <w:docPartUnique/>
        </w:docPartObj>
      </w:sdtPr>
      <w:sdtEndPr/>
      <w:sdtContent>
        <w:r w:rsidR="008C06E6" w:rsidRPr="00CB180D">
          <w:t>U.S. Energy Information Administration</w:t>
        </w:r>
        <w:r w:rsidR="008C06E6">
          <w:t xml:space="preserve">  </w:t>
        </w:r>
        <w:r w:rsidR="008C06E6" w:rsidRPr="00CB180D">
          <w:t>|</w:t>
        </w:r>
        <w:r w:rsidR="008C06E6">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C06E6">
              <w:t>Improving the Quality and Scope of EIA Data</w:t>
            </w:r>
          </w:sdtContent>
        </w:sdt>
        <w:r w:rsidR="008C06E6" w:rsidRPr="00CB180D">
          <w:tab/>
        </w:r>
      </w:sdtContent>
    </w:sdt>
    <w:r w:rsidR="008C06E6" w:rsidRPr="00760677">
      <w:t>￼</w:t>
    </w:r>
    <w:r w:rsidR="008C06E6">
      <w:fldChar w:fldCharType="begin"/>
    </w:r>
    <w:r w:rsidR="008C06E6">
      <w:instrText xml:space="preserve"> PAGE   \* MERGEFORMAT </w:instrText>
    </w:r>
    <w:r w:rsidR="008C06E6">
      <w:fldChar w:fldCharType="separate"/>
    </w:r>
    <w:r w:rsidR="008C06E6" w:rsidRPr="1A8A4BE3">
      <w:rPr>
        <w:noProof/>
      </w:rPr>
      <w:t>￼</w:t>
    </w:r>
    <w:r w:rsidR="008C06E6">
      <w:rPr>
        <w:noProof/>
      </w:rPr>
      <w:fldChar w:fldCharType="end"/>
    </w:r>
  </w:p>
  <w:p w14:paraId="36FA4776" w14:textId="77777777" w:rsidR="008C06E6" w:rsidRDefault="008C06E6"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378824"/>
      <w:docPartObj>
        <w:docPartGallery w:val="Page Numbers (Bottom of Page)"/>
        <w:docPartUnique/>
      </w:docPartObj>
    </w:sdtPr>
    <w:sdtEndPr/>
    <w:sdtContent>
      <w:p w14:paraId="2F6AFCB5" w14:textId="656484C5" w:rsidR="008C06E6" w:rsidRDefault="008C06E6" w:rsidP="00760677">
        <w:pPr>
          <w:pStyle w:val="Footer"/>
        </w:pPr>
        <w:r>
          <w:rPr>
            <w:noProof/>
          </w:rP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w:t>
        </w:r>
        <w:r>
          <w:t xml:space="preserve">  </w:t>
        </w:r>
        <w:r w:rsidRPr="00CB180D">
          <w:t>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EE488" w14:textId="19EFF4B0" w:rsidR="008C06E6" w:rsidRDefault="00437159" w:rsidP="00760677">
    <w:pPr>
      <w:pStyle w:val="Footer"/>
    </w:pPr>
    <w:sdt>
      <w:sdtPr>
        <w:id w:val="-1612816735"/>
        <w:docPartObj>
          <w:docPartGallery w:val="Page Numbers (Bottom of Page)"/>
          <w:docPartUnique/>
        </w:docPartObj>
      </w:sdtPr>
      <w:sdtEndPr/>
      <w:sdtContent>
        <w:r w:rsidR="008C06E6" w:rsidRPr="00CB180D">
          <w:t>U.S. Energy Information Administration</w:t>
        </w:r>
        <w:r w:rsidR="008C06E6">
          <w:t xml:space="preserve">  </w:t>
        </w:r>
        <w:r w:rsidR="008C06E6" w:rsidRPr="00CB180D">
          <w:t>|</w:t>
        </w:r>
        <w:r w:rsidR="008C06E6">
          <w:t xml:space="preserve">  </w:t>
        </w:r>
        <w:sdt>
          <w:sdtPr>
            <w:alias w:val="Subject"/>
            <w:id w:val="-1769920039"/>
            <w:dataBinding w:prefixMappings="xmlns:ns0='http://purl.org/dc/elements/1.1/' xmlns:ns1='http://schemas.openxmlformats.org/package/2006/metadata/core-properties' " w:xpath="/ns1:coreProperties[1]/ns0:subject[1]" w:storeItemID="{6C3C8BC8-F283-45AE-878A-BAB7291924A1}"/>
            <w:text/>
          </w:sdtPr>
          <w:sdtEndPr/>
          <w:sdtContent>
            <w:r w:rsidR="008C06E6">
              <w:t>Improving the Quality and Scope of EIA Data</w:t>
            </w:r>
          </w:sdtContent>
        </w:sdt>
        <w:r w:rsidR="008C06E6" w:rsidRPr="00CB180D">
          <w:tab/>
        </w:r>
      </w:sdtContent>
    </w:sdt>
    <w:r w:rsidR="008C06E6" w:rsidRPr="00760677">
      <w:t>￼</w:t>
    </w:r>
    <w:r w:rsidR="008C06E6">
      <w:fldChar w:fldCharType="begin"/>
    </w:r>
    <w:r w:rsidR="008C06E6">
      <w:instrText xml:space="preserve"> PAGE   \* MERGEFORMAT </w:instrText>
    </w:r>
    <w:r w:rsidR="008C06E6">
      <w:fldChar w:fldCharType="separate"/>
    </w:r>
    <w:r w:rsidR="008C06E6" w:rsidRPr="1A8A4BE3">
      <w:rPr>
        <w:noProof/>
      </w:rPr>
      <w:t>￼</w:t>
    </w:r>
    <w:r w:rsidR="008C06E6">
      <w:rPr>
        <w:noProof/>
      </w:rPr>
      <w:fldChar w:fldCharType="end"/>
    </w:r>
  </w:p>
  <w:p w14:paraId="7C11E941" w14:textId="77777777" w:rsidR="008C06E6" w:rsidRDefault="008C06E6"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A8B75" w14:textId="77777777" w:rsidR="008C06E6" w:rsidRDefault="008C06E6" w:rsidP="00536CE1">
      <w:pPr>
        <w:spacing w:after="0" w:line="240" w:lineRule="auto"/>
      </w:pPr>
      <w:r>
        <w:separator/>
      </w:r>
    </w:p>
  </w:footnote>
  <w:footnote w:type="continuationSeparator" w:id="0">
    <w:p w14:paraId="7AE4DC96" w14:textId="77777777" w:rsidR="008C06E6" w:rsidRDefault="008C06E6" w:rsidP="00536CE1">
      <w:pPr>
        <w:spacing w:after="0" w:line="240" w:lineRule="auto"/>
      </w:pPr>
      <w:r>
        <w:continuationSeparator/>
      </w:r>
    </w:p>
  </w:footnote>
  <w:footnote w:type="continuationNotice" w:id="1">
    <w:p w14:paraId="50105158" w14:textId="77777777" w:rsidR="008C06E6" w:rsidRDefault="008C06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833C2" w14:textId="77777777" w:rsidR="000F1C69" w:rsidRDefault="000F1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5C702" w14:textId="77777777" w:rsidR="008C06E6" w:rsidRDefault="008C06E6" w:rsidP="0072545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3CDD6" w14:textId="77777777" w:rsidR="000F1C69" w:rsidRDefault="000F1C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06307" w14:textId="77777777" w:rsidR="008C06E6" w:rsidRPr="00373208" w:rsidRDefault="008C06E6" w:rsidP="00041909">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59582" w14:textId="0CF57D88" w:rsidR="008C06E6" w:rsidRPr="00F8298C" w:rsidRDefault="000F1C69" w:rsidP="00041909">
    <w:pPr>
      <w:pStyle w:val="Header"/>
    </w:pPr>
    <w:r>
      <w:t>November</w:t>
    </w:r>
    <w:r w:rsidR="008C06E6">
      <w:t xml:space="preserve">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FCBD5" w14:textId="77777777" w:rsidR="008C06E6" w:rsidRDefault="008C06E6"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B223D81"/>
    <w:multiLevelType w:val="hybridMultilevel"/>
    <w:tmpl w:val="B72C8A84"/>
    <w:lvl w:ilvl="0" w:tplc="58C0143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11F9A"/>
    <w:multiLevelType w:val="hybridMultilevel"/>
    <w:tmpl w:val="7BBEC838"/>
    <w:lvl w:ilvl="0" w:tplc="0409000F">
      <w:start w:val="1"/>
      <w:numFmt w:val="decimal"/>
      <w:lvlText w:val="%1."/>
      <w:lvlJc w:val="left"/>
      <w:pPr>
        <w:ind w:left="720" w:hanging="360"/>
      </w:pPr>
      <w:rPr>
        <w:rFonts w:hint="default"/>
      </w:rPr>
    </w:lvl>
    <w:lvl w:ilvl="1" w:tplc="097E95A6">
      <w:start w:val="1"/>
      <w:numFmt w:val="lowerLetter"/>
      <w:lvlText w:val="%2."/>
      <w:lvlJc w:val="left"/>
      <w:pPr>
        <w:ind w:left="1440" w:hanging="360"/>
      </w:pPr>
    </w:lvl>
    <w:lvl w:ilvl="2" w:tplc="6DF49EF4">
      <w:start w:val="1"/>
      <w:numFmt w:val="lowerRoman"/>
      <w:lvlText w:val="%3."/>
      <w:lvlJc w:val="right"/>
      <w:pPr>
        <w:ind w:left="2160" w:hanging="180"/>
      </w:pPr>
    </w:lvl>
    <w:lvl w:ilvl="3" w:tplc="D9122240">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E9CCA9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B77A1"/>
    <w:multiLevelType w:val="multilevel"/>
    <w:tmpl w:val="E72C25CC"/>
    <w:styleLink w:val="Bulletsforlegal"/>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054BD5"/>
    <w:multiLevelType w:val="multilevel"/>
    <w:tmpl w:val="E72C25CC"/>
    <w:numStyleLink w:val="Bulletsforlegal"/>
  </w:abstractNum>
  <w:abstractNum w:abstractNumId="11">
    <w:nsid w:val="23CC7122"/>
    <w:multiLevelType w:val="hybridMultilevel"/>
    <w:tmpl w:val="F61C3FA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52DA3"/>
    <w:multiLevelType w:val="hybridMultilevel"/>
    <w:tmpl w:val="A3AC94E2"/>
    <w:lvl w:ilvl="0" w:tplc="50682B2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77252"/>
    <w:multiLevelType w:val="hybridMultilevel"/>
    <w:tmpl w:val="E72C25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C12E7"/>
    <w:multiLevelType w:val="hybridMultilevel"/>
    <w:tmpl w:val="E244EF1C"/>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D40660"/>
    <w:multiLevelType w:val="hybridMultilevel"/>
    <w:tmpl w:val="5FA82FC4"/>
    <w:lvl w:ilvl="0" w:tplc="48DCB65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DF49EF4">
      <w:start w:val="1"/>
      <w:numFmt w:val="lowerRoman"/>
      <w:lvlText w:val="%3."/>
      <w:lvlJc w:val="right"/>
      <w:pPr>
        <w:ind w:left="2160" w:hanging="180"/>
      </w:pPr>
    </w:lvl>
    <w:lvl w:ilvl="3" w:tplc="D9122240">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E9CCA9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81D20"/>
    <w:multiLevelType w:val="hybridMultilevel"/>
    <w:tmpl w:val="DD361992"/>
    <w:lvl w:ilvl="0" w:tplc="48DCB656">
      <w:start w:val="1"/>
      <w:numFmt w:val="bullet"/>
      <w:lvlText w:val=""/>
      <w:lvlJc w:val="left"/>
      <w:pPr>
        <w:ind w:left="720" w:hanging="360"/>
      </w:pPr>
      <w:rPr>
        <w:rFonts w:ascii="Symbol" w:hAnsi="Symbol" w:hint="default"/>
      </w:rPr>
    </w:lvl>
    <w:lvl w:ilvl="1" w:tplc="4A54DDA6">
      <w:start w:val="1"/>
      <w:numFmt w:val="decimal"/>
      <w:pStyle w:val="ListParagraph"/>
      <w:lvlText w:val="%2."/>
      <w:lvlJc w:val="left"/>
      <w:pPr>
        <w:ind w:left="1440" w:hanging="360"/>
      </w:pPr>
    </w:lvl>
    <w:lvl w:ilvl="2" w:tplc="6DF49EF4">
      <w:start w:val="1"/>
      <w:numFmt w:val="lowerRoman"/>
      <w:lvlText w:val="%3."/>
      <w:lvlJc w:val="right"/>
      <w:pPr>
        <w:ind w:left="2160" w:hanging="180"/>
      </w:pPr>
    </w:lvl>
    <w:lvl w:ilvl="3" w:tplc="D9122240">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E9CCA9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852A9"/>
    <w:multiLevelType w:val="hybridMultilevel"/>
    <w:tmpl w:val="C2001948"/>
    <w:lvl w:ilvl="0" w:tplc="48DCB65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6DF49EF4">
      <w:start w:val="1"/>
      <w:numFmt w:val="lowerRoman"/>
      <w:lvlText w:val="%3."/>
      <w:lvlJc w:val="right"/>
      <w:pPr>
        <w:ind w:left="2160" w:hanging="180"/>
      </w:pPr>
    </w:lvl>
    <w:lvl w:ilvl="3" w:tplc="D9122240">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E9CCA9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4636F"/>
    <w:multiLevelType w:val="hybridMultilevel"/>
    <w:tmpl w:val="E69C91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68D7658"/>
    <w:multiLevelType w:val="hybridMultilevel"/>
    <w:tmpl w:val="B428F6B6"/>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822EF9"/>
    <w:multiLevelType w:val="hybridMultilevel"/>
    <w:tmpl w:val="766C6990"/>
    <w:lvl w:ilvl="0" w:tplc="CA48A9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21"/>
  </w:num>
  <w:num w:numId="9">
    <w:abstractNumId w:val="7"/>
  </w:num>
  <w:num w:numId="10">
    <w:abstractNumId w:val="19"/>
  </w:num>
  <w:num w:numId="11">
    <w:abstractNumId w:val="11"/>
  </w:num>
  <w:num w:numId="12">
    <w:abstractNumId w:val="14"/>
  </w:num>
  <w:num w:numId="13">
    <w:abstractNumId w:val="20"/>
  </w:num>
  <w:num w:numId="14">
    <w:abstractNumId w:val="8"/>
  </w:num>
  <w:num w:numId="15">
    <w:abstractNumId w:val="12"/>
  </w:num>
  <w:num w:numId="16">
    <w:abstractNumId w:val="8"/>
  </w:num>
  <w:num w:numId="17">
    <w:abstractNumId w:val="8"/>
  </w:num>
  <w:num w:numId="18">
    <w:abstractNumId w:val="13"/>
  </w:num>
  <w:num w:numId="19">
    <w:abstractNumId w:val="9"/>
  </w:num>
  <w:num w:numId="20">
    <w:abstractNumId w:val="10"/>
  </w:num>
  <w:num w:numId="21">
    <w:abstractNumId w:val="10"/>
  </w:num>
  <w:num w:numId="22">
    <w:abstractNumId w:val="16"/>
  </w:num>
  <w:num w:numId="23">
    <w:abstractNumId w:val="17"/>
  </w:num>
  <w:num w:numId="24">
    <w:abstractNumId w:val="15"/>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638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1NDM3srA0NzIyMzNX0lEKTi0uzszPAykwqQUAlRJbcywAAAA="/>
  </w:docVars>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63F59"/>
    <w:rsid w:val="0007129A"/>
    <w:rsid w:val="000831C4"/>
    <w:rsid w:val="000844CA"/>
    <w:rsid w:val="00091350"/>
    <w:rsid w:val="000A06C7"/>
    <w:rsid w:val="000B3FBE"/>
    <w:rsid w:val="000C28E1"/>
    <w:rsid w:val="000C5311"/>
    <w:rsid w:val="000D1075"/>
    <w:rsid w:val="000F00E0"/>
    <w:rsid w:val="000F040A"/>
    <w:rsid w:val="000F0FBE"/>
    <w:rsid w:val="000F10D9"/>
    <w:rsid w:val="000F1C69"/>
    <w:rsid w:val="000F3987"/>
    <w:rsid w:val="000F4367"/>
    <w:rsid w:val="001034E8"/>
    <w:rsid w:val="00112A69"/>
    <w:rsid w:val="00112C85"/>
    <w:rsid w:val="0011541D"/>
    <w:rsid w:val="00115444"/>
    <w:rsid w:val="00116350"/>
    <w:rsid w:val="00132F4A"/>
    <w:rsid w:val="00154192"/>
    <w:rsid w:val="001608F6"/>
    <w:rsid w:val="00160BC8"/>
    <w:rsid w:val="00167425"/>
    <w:rsid w:val="001765A9"/>
    <w:rsid w:val="00176BFD"/>
    <w:rsid w:val="001807A3"/>
    <w:rsid w:val="00187AA7"/>
    <w:rsid w:val="001947D5"/>
    <w:rsid w:val="001A4742"/>
    <w:rsid w:val="001A6E1E"/>
    <w:rsid w:val="001B0D8B"/>
    <w:rsid w:val="001B0E69"/>
    <w:rsid w:val="001B6585"/>
    <w:rsid w:val="001C4F16"/>
    <w:rsid w:val="001D03A8"/>
    <w:rsid w:val="001F3A8F"/>
    <w:rsid w:val="001F6775"/>
    <w:rsid w:val="002008B4"/>
    <w:rsid w:val="00201F24"/>
    <w:rsid w:val="0020499E"/>
    <w:rsid w:val="002127CE"/>
    <w:rsid w:val="00215842"/>
    <w:rsid w:val="00216DC7"/>
    <w:rsid w:val="00217C66"/>
    <w:rsid w:val="002207DF"/>
    <w:rsid w:val="00221AC2"/>
    <w:rsid w:val="00225D9A"/>
    <w:rsid w:val="00227E4B"/>
    <w:rsid w:val="0023015A"/>
    <w:rsid w:val="0023708A"/>
    <w:rsid w:val="0025022D"/>
    <w:rsid w:val="002530BB"/>
    <w:rsid w:val="002556F3"/>
    <w:rsid w:val="00260EDF"/>
    <w:rsid w:val="00264148"/>
    <w:rsid w:val="00274179"/>
    <w:rsid w:val="00275BF3"/>
    <w:rsid w:val="002827D9"/>
    <w:rsid w:val="00287E39"/>
    <w:rsid w:val="00290FF1"/>
    <w:rsid w:val="002B0FD2"/>
    <w:rsid w:val="002B6E1E"/>
    <w:rsid w:val="002C378C"/>
    <w:rsid w:val="002D42B4"/>
    <w:rsid w:val="002E3FD5"/>
    <w:rsid w:val="002E7A38"/>
    <w:rsid w:val="002F73B8"/>
    <w:rsid w:val="00306516"/>
    <w:rsid w:val="00323301"/>
    <w:rsid w:val="00342018"/>
    <w:rsid w:val="00343FC3"/>
    <w:rsid w:val="003469CB"/>
    <w:rsid w:val="00350C8B"/>
    <w:rsid w:val="00355A08"/>
    <w:rsid w:val="00363331"/>
    <w:rsid w:val="003668FB"/>
    <w:rsid w:val="00371E14"/>
    <w:rsid w:val="00373208"/>
    <w:rsid w:val="00383DB3"/>
    <w:rsid w:val="003854B2"/>
    <w:rsid w:val="00385AE6"/>
    <w:rsid w:val="00387C8D"/>
    <w:rsid w:val="00392DD0"/>
    <w:rsid w:val="00396BCB"/>
    <w:rsid w:val="00397825"/>
    <w:rsid w:val="003A1073"/>
    <w:rsid w:val="003A10F3"/>
    <w:rsid w:val="003A3906"/>
    <w:rsid w:val="003B03A4"/>
    <w:rsid w:val="003B1B90"/>
    <w:rsid w:val="003B46BA"/>
    <w:rsid w:val="003C03EA"/>
    <w:rsid w:val="003C0950"/>
    <w:rsid w:val="003C690C"/>
    <w:rsid w:val="003D1453"/>
    <w:rsid w:val="003E1E89"/>
    <w:rsid w:val="003E40FA"/>
    <w:rsid w:val="003E48F8"/>
    <w:rsid w:val="003F24ED"/>
    <w:rsid w:val="003F529E"/>
    <w:rsid w:val="0041545B"/>
    <w:rsid w:val="00426481"/>
    <w:rsid w:val="00432966"/>
    <w:rsid w:val="004336C2"/>
    <w:rsid w:val="00437159"/>
    <w:rsid w:val="00453D88"/>
    <w:rsid w:val="0045608E"/>
    <w:rsid w:val="0045662F"/>
    <w:rsid w:val="00464614"/>
    <w:rsid w:val="00466959"/>
    <w:rsid w:val="0047784B"/>
    <w:rsid w:val="0048205D"/>
    <w:rsid w:val="004871EA"/>
    <w:rsid w:val="004946F0"/>
    <w:rsid w:val="00494987"/>
    <w:rsid w:val="00497C2A"/>
    <w:rsid w:val="004B1075"/>
    <w:rsid w:val="004B1E1D"/>
    <w:rsid w:val="004B4B85"/>
    <w:rsid w:val="004B67C4"/>
    <w:rsid w:val="004C277B"/>
    <w:rsid w:val="004C33E3"/>
    <w:rsid w:val="004D05FB"/>
    <w:rsid w:val="004D29C7"/>
    <w:rsid w:val="004F032D"/>
    <w:rsid w:val="004F2B00"/>
    <w:rsid w:val="004F62A6"/>
    <w:rsid w:val="00504119"/>
    <w:rsid w:val="005065CF"/>
    <w:rsid w:val="005067B9"/>
    <w:rsid w:val="00506BB4"/>
    <w:rsid w:val="0050705F"/>
    <w:rsid w:val="005170D3"/>
    <w:rsid w:val="00517259"/>
    <w:rsid w:val="00521AF1"/>
    <w:rsid w:val="0052493A"/>
    <w:rsid w:val="0052783E"/>
    <w:rsid w:val="00533CF0"/>
    <w:rsid w:val="00535CAF"/>
    <w:rsid w:val="00536054"/>
    <w:rsid w:val="0053654B"/>
    <w:rsid w:val="00536CE1"/>
    <w:rsid w:val="0054086C"/>
    <w:rsid w:val="0054180D"/>
    <w:rsid w:val="00542090"/>
    <w:rsid w:val="00547B53"/>
    <w:rsid w:val="005505ED"/>
    <w:rsid w:val="005515CD"/>
    <w:rsid w:val="005633C9"/>
    <w:rsid w:val="00567FFD"/>
    <w:rsid w:val="00571D8F"/>
    <w:rsid w:val="0057367D"/>
    <w:rsid w:val="00576B6C"/>
    <w:rsid w:val="00584EA7"/>
    <w:rsid w:val="00585BE3"/>
    <w:rsid w:val="0059212D"/>
    <w:rsid w:val="0059566C"/>
    <w:rsid w:val="005B2B58"/>
    <w:rsid w:val="005B747C"/>
    <w:rsid w:val="005C00FA"/>
    <w:rsid w:val="005C2D89"/>
    <w:rsid w:val="005C485B"/>
    <w:rsid w:val="005C6F28"/>
    <w:rsid w:val="005D3457"/>
    <w:rsid w:val="005D39D7"/>
    <w:rsid w:val="005D5956"/>
    <w:rsid w:val="005D6F63"/>
    <w:rsid w:val="005D7AA7"/>
    <w:rsid w:val="005F423C"/>
    <w:rsid w:val="005F4848"/>
    <w:rsid w:val="00603008"/>
    <w:rsid w:val="00616E46"/>
    <w:rsid w:val="0062008C"/>
    <w:rsid w:val="00620797"/>
    <w:rsid w:val="00621981"/>
    <w:rsid w:val="006254A2"/>
    <w:rsid w:val="00626494"/>
    <w:rsid w:val="00635B65"/>
    <w:rsid w:val="0064098A"/>
    <w:rsid w:val="00641DE2"/>
    <w:rsid w:val="00643384"/>
    <w:rsid w:val="00644E0B"/>
    <w:rsid w:val="00651045"/>
    <w:rsid w:val="0065406F"/>
    <w:rsid w:val="006614D8"/>
    <w:rsid w:val="00662C15"/>
    <w:rsid w:val="00663EC4"/>
    <w:rsid w:val="00676182"/>
    <w:rsid w:val="00677C5F"/>
    <w:rsid w:val="0068577C"/>
    <w:rsid w:val="006861F5"/>
    <w:rsid w:val="006957FF"/>
    <w:rsid w:val="006A0BC7"/>
    <w:rsid w:val="006B7C09"/>
    <w:rsid w:val="006C0062"/>
    <w:rsid w:val="006C0625"/>
    <w:rsid w:val="006C097E"/>
    <w:rsid w:val="006C2DC3"/>
    <w:rsid w:val="006D0439"/>
    <w:rsid w:val="006D167C"/>
    <w:rsid w:val="006D42EC"/>
    <w:rsid w:val="006E7987"/>
    <w:rsid w:val="006F4225"/>
    <w:rsid w:val="00704B7D"/>
    <w:rsid w:val="00711414"/>
    <w:rsid w:val="007119CE"/>
    <w:rsid w:val="00721753"/>
    <w:rsid w:val="00725453"/>
    <w:rsid w:val="00730806"/>
    <w:rsid w:val="00730DA0"/>
    <w:rsid w:val="00736FDA"/>
    <w:rsid w:val="00737591"/>
    <w:rsid w:val="007438F2"/>
    <w:rsid w:val="0075367A"/>
    <w:rsid w:val="00755C3D"/>
    <w:rsid w:val="007576EF"/>
    <w:rsid w:val="00760677"/>
    <w:rsid w:val="00761C12"/>
    <w:rsid w:val="0076224D"/>
    <w:rsid w:val="007658BA"/>
    <w:rsid w:val="007762D9"/>
    <w:rsid w:val="00776CF4"/>
    <w:rsid w:val="00784F89"/>
    <w:rsid w:val="00786336"/>
    <w:rsid w:val="00795946"/>
    <w:rsid w:val="007A0E7F"/>
    <w:rsid w:val="007A34DA"/>
    <w:rsid w:val="007A4378"/>
    <w:rsid w:val="007B1C8E"/>
    <w:rsid w:val="007B508A"/>
    <w:rsid w:val="007C33B4"/>
    <w:rsid w:val="007C5CE9"/>
    <w:rsid w:val="007D39CC"/>
    <w:rsid w:val="007D433D"/>
    <w:rsid w:val="007D6AAF"/>
    <w:rsid w:val="007E5A11"/>
    <w:rsid w:val="007E73E6"/>
    <w:rsid w:val="007F1954"/>
    <w:rsid w:val="007F21D7"/>
    <w:rsid w:val="008057F8"/>
    <w:rsid w:val="00816574"/>
    <w:rsid w:val="0081781B"/>
    <w:rsid w:val="008213F9"/>
    <w:rsid w:val="00825FE1"/>
    <w:rsid w:val="008307E1"/>
    <w:rsid w:val="00836D62"/>
    <w:rsid w:val="00844524"/>
    <w:rsid w:val="008533DD"/>
    <w:rsid w:val="00857FF2"/>
    <w:rsid w:val="00865FD2"/>
    <w:rsid w:val="00867160"/>
    <w:rsid w:val="0087205B"/>
    <w:rsid w:val="00874FB8"/>
    <w:rsid w:val="00895669"/>
    <w:rsid w:val="00897946"/>
    <w:rsid w:val="008A3276"/>
    <w:rsid w:val="008A3447"/>
    <w:rsid w:val="008C06E6"/>
    <w:rsid w:val="008C734C"/>
    <w:rsid w:val="008D3D5C"/>
    <w:rsid w:val="008E4BF2"/>
    <w:rsid w:val="008F2A35"/>
    <w:rsid w:val="008F4CBD"/>
    <w:rsid w:val="009017AD"/>
    <w:rsid w:val="00901BED"/>
    <w:rsid w:val="00901CA3"/>
    <w:rsid w:val="00902AB2"/>
    <w:rsid w:val="00905735"/>
    <w:rsid w:val="009131B9"/>
    <w:rsid w:val="0091409C"/>
    <w:rsid w:val="00917600"/>
    <w:rsid w:val="00920583"/>
    <w:rsid w:val="00922F28"/>
    <w:rsid w:val="00923618"/>
    <w:rsid w:val="00935805"/>
    <w:rsid w:val="009367FB"/>
    <w:rsid w:val="009368F3"/>
    <w:rsid w:val="009428D5"/>
    <w:rsid w:val="009438D5"/>
    <w:rsid w:val="00945AA0"/>
    <w:rsid w:val="00947C42"/>
    <w:rsid w:val="00950489"/>
    <w:rsid w:val="00957DE9"/>
    <w:rsid w:val="009616F7"/>
    <w:rsid w:val="00965A44"/>
    <w:rsid w:val="00967D7C"/>
    <w:rsid w:val="009757AD"/>
    <w:rsid w:val="00980B6A"/>
    <w:rsid w:val="009818F9"/>
    <w:rsid w:val="00982603"/>
    <w:rsid w:val="0098618F"/>
    <w:rsid w:val="00987C32"/>
    <w:rsid w:val="00991646"/>
    <w:rsid w:val="0099448B"/>
    <w:rsid w:val="00997347"/>
    <w:rsid w:val="009B19CE"/>
    <w:rsid w:val="009B7B4C"/>
    <w:rsid w:val="009C202F"/>
    <w:rsid w:val="009C76BE"/>
    <w:rsid w:val="009C77F7"/>
    <w:rsid w:val="009E5ABC"/>
    <w:rsid w:val="009E5B9C"/>
    <w:rsid w:val="009F251C"/>
    <w:rsid w:val="009F3416"/>
    <w:rsid w:val="009F3AEC"/>
    <w:rsid w:val="009F4ED1"/>
    <w:rsid w:val="00A00D71"/>
    <w:rsid w:val="00A00EDF"/>
    <w:rsid w:val="00A070C6"/>
    <w:rsid w:val="00A13224"/>
    <w:rsid w:val="00A17035"/>
    <w:rsid w:val="00A1730C"/>
    <w:rsid w:val="00A17503"/>
    <w:rsid w:val="00A22D4E"/>
    <w:rsid w:val="00A25D54"/>
    <w:rsid w:val="00A26A17"/>
    <w:rsid w:val="00A30169"/>
    <w:rsid w:val="00A312A3"/>
    <w:rsid w:val="00A33D9F"/>
    <w:rsid w:val="00A37229"/>
    <w:rsid w:val="00A40152"/>
    <w:rsid w:val="00A41763"/>
    <w:rsid w:val="00A418C9"/>
    <w:rsid w:val="00A42609"/>
    <w:rsid w:val="00A53CE2"/>
    <w:rsid w:val="00A5645F"/>
    <w:rsid w:val="00A617A7"/>
    <w:rsid w:val="00A72AA8"/>
    <w:rsid w:val="00A74C9B"/>
    <w:rsid w:val="00A81837"/>
    <w:rsid w:val="00A93478"/>
    <w:rsid w:val="00A97FE7"/>
    <w:rsid w:val="00AA3FD0"/>
    <w:rsid w:val="00AA45CA"/>
    <w:rsid w:val="00AA46CA"/>
    <w:rsid w:val="00AA6419"/>
    <w:rsid w:val="00AA6E57"/>
    <w:rsid w:val="00AA7384"/>
    <w:rsid w:val="00AA7EFA"/>
    <w:rsid w:val="00AB61B3"/>
    <w:rsid w:val="00AC323A"/>
    <w:rsid w:val="00AD238A"/>
    <w:rsid w:val="00AD2CC2"/>
    <w:rsid w:val="00AD4E2B"/>
    <w:rsid w:val="00AD6357"/>
    <w:rsid w:val="00AD7F81"/>
    <w:rsid w:val="00AE4CA9"/>
    <w:rsid w:val="00AF367D"/>
    <w:rsid w:val="00AF45FD"/>
    <w:rsid w:val="00AF5E82"/>
    <w:rsid w:val="00AF6FE7"/>
    <w:rsid w:val="00B01856"/>
    <w:rsid w:val="00B02BD1"/>
    <w:rsid w:val="00B1472D"/>
    <w:rsid w:val="00B17FB2"/>
    <w:rsid w:val="00B22829"/>
    <w:rsid w:val="00B2386E"/>
    <w:rsid w:val="00B2673D"/>
    <w:rsid w:val="00B35E2A"/>
    <w:rsid w:val="00B4263D"/>
    <w:rsid w:val="00B46F0C"/>
    <w:rsid w:val="00B56F49"/>
    <w:rsid w:val="00B57340"/>
    <w:rsid w:val="00B72B75"/>
    <w:rsid w:val="00B7442A"/>
    <w:rsid w:val="00B86FAA"/>
    <w:rsid w:val="00B873D4"/>
    <w:rsid w:val="00B87E64"/>
    <w:rsid w:val="00B921D3"/>
    <w:rsid w:val="00B94446"/>
    <w:rsid w:val="00B95FF6"/>
    <w:rsid w:val="00B97002"/>
    <w:rsid w:val="00BB2F70"/>
    <w:rsid w:val="00BB620F"/>
    <w:rsid w:val="00BB6CF4"/>
    <w:rsid w:val="00BC14C3"/>
    <w:rsid w:val="00BC1ABE"/>
    <w:rsid w:val="00BC3D11"/>
    <w:rsid w:val="00BC5139"/>
    <w:rsid w:val="00BD21BE"/>
    <w:rsid w:val="00BD2F20"/>
    <w:rsid w:val="00BD4F62"/>
    <w:rsid w:val="00BE0C51"/>
    <w:rsid w:val="00BE4AFD"/>
    <w:rsid w:val="00C00590"/>
    <w:rsid w:val="00C04647"/>
    <w:rsid w:val="00C05229"/>
    <w:rsid w:val="00C058CF"/>
    <w:rsid w:val="00C12551"/>
    <w:rsid w:val="00C211CD"/>
    <w:rsid w:val="00C25328"/>
    <w:rsid w:val="00C33666"/>
    <w:rsid w:val="00C3744D"/>
    <w:rsid w:val="00C4313F"/>
    <w:rsid w:val="00C43A84"/>
    <w:rsid w:val="00C55F0D"/>
    <w:rsid w:val="00C6142C"/>
    <w:rsid w:val="00C61CBE"/>
    <w:rsid w:val="00C61E98"/>
    <w:rsid w:val="00C64137"/>
    <w:rsid w:val="00C658E4"/>
    <w:rsid w:val="00C7266E"/>
    <w:rsid w:val="00C76C66"/>
    <w:rsid w:val="00C82DF9"/>
    <w:rsid w:val="00C87190"/>
    <w:rsid w:val="00C96C94"/>
    <w:rsid w:val="00CA1564"/>
    <w:rsid w:val="00CA7C8A"/>
    <w:rsid w:val="00CB44E8"/>
    <w:rsid w:val="00CB7978"/>
    <w:rsid w:val="00CC1D12"/>
    <w:rsid w:val="00CC3575"/>
    <w:rsid w:val="00CC6139"/>
    <w:rsid w:val="00CE3C7B"/>
    <w:rsid w:val="00CE42E9"/>
    <w:rsid w:val="00CE5554"/>
    <w:rsid w:val="00D001E4"/>
    <w:rsid w:val="00D00AA8"/>
    <w:rsid w:val="00D01181"/>
    <w:rsid w:val="00D02778"/>
    <w:rsid w:val="00D04CDF"/>
    <w:rsid w:val="00D06A2F"/>
    <w:rsid w:val="00D13E84"/>
    <w:rsid w:val="00D300F4"/>
    <w:rsid w:val="00D3344B"/>
    <w:rsid w:val="00D40175"/>
    <w:rsid w:val="00D4457C"/>
    <w:rsid w:val="00D44F9D"/>
    <w:rsid w:val="00D46C0D"/>
    <w:rsid w:val="00D55243"/>
    <w:rsid w:val="00D62F90"/>
    <w:rsid w:val="00D63E74"/>
    <w:rsid w:val="00D715C4"/>
    <w:rsid w:val="00D928FD"/>
    <w:rsid w:val="00DC38E4"/>
    <w:rsid w:val="00DC79E3"/>
    <w:rsid w:val="00DD2A55"/>
    <w:rsid w:val="00DD2DBD"/>
    <w:rsid w:val="00DD2EC8"/>
    <w:rsid w:val="00DD51E1"/>
    <w:rsid w:val="00DD73E7"/>
    <w:rsid w:val="00DE2D54"/>
    <w:rsid w:val="00DE4132"/>
    <w:rsid w:val="00DE7680"/>
    <w:rsid w:val="00DF7F34"/>
    <w:rsid w:val="00E02524"/>
    <w:rsid w:val="00E02BB0"/>
    <w:rsid w:val="00E03CE6"/>
    <w:rsid w:val="00E06A9B"/>
    <w:rsid w:val="00E11D60"/>
    <w:rsid w:val="00E13716"/>
    <w:rsid w:val="00E266FF"/>
    <w:rsid w:val="00E27661"/>
    <w:rsid w:val="00E309AB"/>
    <w:rsid w:val="00E4152E"/>
    <w:rsid w:val="00E47DB3"/>
    <w:rsid w:val="00E509A9"/>
    <w:rsid w:val="00E51F8B"/>
    <w:rsid w:val="00E5242A"/>
    <w:rsid w:val="00E53398"/>
    <w:rsid w:val="00E5642C"/>
    <w:rsid w:val="00E6235C"/>
    <w:rsid w:val="00E647A7"/>
    <w:rsid w:val="00E66AE2"/>
    <w:rsid w:val="00E72B5A"/>
    <w:rsid w:val="00E74DA4"/>
    <w:rsid w:val="00E77D48"/>
    <w:rsid w:val="00E81B89"/>
    <w:rsid w:val="00E8320D"/>
    <w:rsid w:val="00E85EB3"/>
    <w:rsid w:val="00E91432"/>
    <w:rsid w:val="00E91B5A"/>
    <w:rsid w:val="00EA0065"/>
    <w:rsid w:val="00EA54F1"/>
    <w:rsid w:val="00EB1EB8"/>
    <w:rsid w:val="00EC7C65"/>
    <w:rsid w:val="00ED6E45"/>
    <w:rsid w:val="00EE07C8"/>
    <w:rsid w:val="00EE2CAF"/>
    <w:rsid w:val="00EE3B98"/>
    <w:rsid w:val="00EE43E4"/>
    <w:rsid w:val="00EF74F9"/>
    <w:rsid w:val="00F001EA"/>
    <w:rsid w:val="00F01A31"/>
    <w:rsid w:val="00F056C3"/>
    <w:rsid w:val="00F16B90"/>
    <w:rsid w:val="00F30DE2"/>
    <w:rsid w:val="00F34F19"/>
    <w:rsid w:val="00F36626"/>
    <w:rsid w:val="00F41804"/>
    <w:rsid w:val="00F44A21"/>
    <w:rsid w:val="00F575F0"/>
    <w:rsid w:val="00F6151E"/>
    <w:rsid w:val="00F64A99"/>
    <w:rsid w:val="00F6664C"/>
    <w:rsid w:val="00F70362"/>
    <w:rsid w:val="00F750E7"/>
    <w:rsid w:val="00F77E32"/>
    <w:rsid w:val="00F80AF1"/>
    <w:rsid w:val="00F8298C"/>
    <w:rsid w:val="00F84240"/>
    <w:rsid w:val="00F90245"/>
    <w:rsid w:val="00F91E4A"/>
    <w:rsid w:val="00F920D9"/>
    <w:rsid w:val="00F94781"/>
    <w:rsid w:val="00F969B8"/>
    <w:rsid w:val="00FA5388"/>
    <w:rsid w:val="00FA7708"/>
    <w:rsid w:val="00FB08E3"/>
    <w:rsid w:val="00FB1557"/>
    <w:rsid w:val="00FB6BF3"/>
    <w:rsid w:val="00FC2A1F"/>
    <w:rsid w:val="00FD397B"/>
    <w:rsid w:val="00FD4B01"/>
    <w:rsid w:val="00FD52F2"/>
    <w:rsid w:val="00FD6A7F"/>
    <w:rsid w:val="00FD7CDC"/>
    <w:rsid w:val="00FE58E0"/>
    <w:rsid w:val="00FE74D0"/>
    <w:rsid w:val="00FF1DCF"/>
    <w:rsid w:val="1A8A4BE3"/>
    <w:rsid w:val="75CDA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14:docId w14:val="6E10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3"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D21BE"/>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D21BE"/>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E4132"/>
    <w:pPr>
      <w:numPr>
        <w:ilvl w:val="1"/>
        <w:numId w:val="22"/>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semiHidden/>
    <w:locked/>
    <w:rsid w:val="003E48F8"/>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3E48F8"/>
    <w:rPr>
      <w:rFonts w:ascii="Times New Roman" w:eastAsia="Times New Roman" w:hAnsi="Times New Roman" w:cs="Times New Roman"/>
      <w:snapToGrid w:val="0"/>
      <w:sz w:val="20"/>
      <w:szCs w:val="20"/>
    </w:rPr>
  </w:style>
  <w:style w:type="character" w:styleId="CommentReference">
    <w:name w:val="annotation reference"/>
    <w:basedOn w:val="DefaultParagraphFont"/>
    <w:semiHidden/>
    <w:unhideWhenUsed/>
    <w:locked/>
    <w:rsid w:val="003E48F8"/>
    <w:rPr>
      <w:sz w:val="16"/>
      <w:szCs w:val="16"/>
    </w:rPr>
  </w:style>
  <w:style w:type="paragraph" w:styleId="BodyText3">
    <w:name w:val="Body Text 3"/>
    <w:basedOn w:val="Normal"/>
    <w:link w:val="BodyText3Char"/>
    <w:unhideWhenUsed/>
    <w:locked/>
    <w:rsid w:val="003E48F8"/>
    <w:pPr>
      <w:spacing w:after="120"/>
    </w:pPr>
    <w:rPr>
      <w:sz w:val="16"/>
      <w:szCs w:val="16"/>
    </w:rPr>
  </w:style>
  <w:style w:type="character" w:customStyle="1" w:styleId="BodyText3Char">
    <w:name w:val="Body Text 3 Char"/>
    <w:basedOn w:val="DefaultParagraphFont"/>
    <w:link w:val="BodyText3"/>
    <w:rsid w:val="003E48F8"/>
    <w:rPr>
      <w:sz w:val="16"/>
      <w:szCs w:val="16"/>
    </w:rPr>
  </w:style>
  <w:style w:type="paragraph" w:styleId="HTMLPreformatted">
    <w:name w:val="HTML Preformatted"/>
    <w:basedOn w:val="Normal"/>
    <w:link w:val="HTMLPreformattedChar"/>
    <w:locked/>
    <w:rsid w:val="0021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216DC7"/>
    <w:rPr>
      <w:rFonts w:ascii="Courier New" w:eastAsia="Times New Roman" w:hAnsi="Courier New" w:cs="Courier New"/>
      <w:sz w:val="24"/>
      <w:szCs w:val="20"/>
    </w:rPr>
  </w:style>
  <w:style w:type="paragraph" w:styleId="CommentSubject">
    <w:name w:val="annotation subject"/>
    <w:basedOn w:val="CommentText"/>
    <w:next w:val="CommentText"/>
    <w:link w:val="CommentSubjectChar"/>
    <w:uiPriority w:val="99"/>
    <w:semiHidden/>
    <w:unhideWhenUsed/>
    <w:locked/>
    <w:rsid w:val="00F36626"/>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F36626"/>
    <w:rPr>
      <w:rFonts w:ascii="Times New Roman" w:eastAsia="Times New Roman" w:hAnsi="Times New Roman" w:cs="Times New Roman"/>
      <w:b/>
      <w:bCs/>
      <w:snapToGrid/>
      <w:sz w:val="20"/>
      <w:szCs w:val="20"/>
    </w:rPr>
  </w:style>
  <w:style w:type="character" w:styleId="FollowedHyperlink">
    <w:name w:val="FollowedHyperlink"/>
    <w:basedOn w:val="DefaultParagraphFont"/>
    <w:uiPriority w:val="99"/>
    <w:semiHidden/>
    <w:unhideWhenUsed/>
    <w:locked/>
    <w:rsid w:val="008D3D5C"/>
    <w:rPr>
      <w:color w:val="5D9732" w:themeColor="followedHyperlink"/>
      <w:u w:val="single"/>
    </w:rPr>
  </w:style>
  <w:style w:type="table" w:customStyle="1" w:styleId="GridTable1Light-Accent11">
    <w:name w:val="Grid Table 1 Light - Accent 11"/>
    <w:basedOn w:val="TableNormal"/>
    <w:uiPriority w:val="46"/>
    <w:rsid w:val="003E1E89"/>
    <w:pPr>
      <w:spacing w:after="0"/>
    </w:pPr>
    <w:tblPr>
      <w:tblStyleRowBandSize w:val="1"/>
      <w:tblStyleColBandSize w:val="1"/>
      <w:tblBorders>
        <w:top w:val="single" w:sz="4" w:space="0" w:color="89DAFF" w:themeColor="accent1" w:themeTint="66"/>
        <w:left w:val="single" w:sz="4" w:space="0" w:color="89DAFF" w:themeColor="accent1" w:themeTint="66"/>
        <w:bottom w:val="single" w:sz="4" w:space="0" w:color="89DAFF" w:themeColor="accent1" w:themeTint="66"/>
        <w:right w:val="single" w:sz="4" w:space="0" w:color="89DAFF" w:themeColor="accent1" w:themeTint="66"/>
        <w:insideH w:val="single" w:sz="4" w:space="0" w:color="89DAFF" w:themeColor="accent1" w:themeTint="66"/>
        <w:insideV w:val="single" w:sz="4" w:space="0" w:color="89DAFF" w:themeColor="accent1" w:themeTint="66"/>
      </w:tblBorders>
    </w:tblPr>
    <w:tblStylePr w:type="firstRow">
      <w:rPr>
        <w:b/>
        <w:bCs/>
      </w:rPr>
      <w:tblPr/>
      <w:tcPr>
        <w:tcBorders>
          <w:bottom w:val="single" w:sz="12" w:space="0" w:color="4EC8FF" w:themeColor="accent1" w:themeTint="99"/>
        </w:tcBorders>
      </w:tcPr>
    </w:tblStylePr>
    <w:tblStylePr w:type="lastRow">
      <w:rPr>
        <w:b/>
        <w:bCs/>
      </w:rPr>
      <w:tblPr/>
      <w:tcPr>
        <w:tcBorders>
          <w:top w:val="double" w:sz="2" w:space="0" w:color="4EC8FF" w:themeColor="accent1" w:themeTint="99"/>
        </w:tcBorders>
      </w:tcPr>
    </w:tblStylePr>
    <w:tblStylePr w:type="firstCol">
      <w:rPr>
        <w:b/>
        <w:bCs/>
      </w:rPr>
    </w:tblStylePr>
    <w:tblStylePr w:type="lastCol">
      <w:rPr>
        <w:b/>
        <w:bCs/>
      </w:rPr>
    </w:tblStylePr>
  </w:style>
  <w:style w:type="numbering" w:customStyle="1" w:styleId="Bulletsforlegal">
    <w:name w:val="Bullets for legal"/>
    <w:uiPriority w:val="99"/>
    <w:rsid w:val="006D167C"/>
    <w:pPr>
      <w:numPr>
        <w:numId w:val="19"/>
      </w:numPr>
    </w:pPr>
  </w:style>
  <w:style w:type="paragraph" w:styleId="Revision">
    <w:name w:val="Revision"/>
    <w:hidden/>
    <w:uiPriority w:val="99"/>
    <w:semiHidden/>
    <w:rsid w:val="00DE413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3" w:uiPriority="0"/>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D21BE"/>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D21BE"/>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E4132"/>
    <w:pPr>
      <w:numPr>
        <w:ilvl w:val="1"/>
        <w:numId w:val="22"/>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semiHidden/>
    <w:locked/>
    <w:rsid w:val="003E48F8"/>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3E48F8"/>
    <w:rPr>
      <w:rFonts w:ascii="Times New Roman" w:eastAsia="Times New Roman" w:hAnsi="Times New Roman" w:cs="Times New Roman"/>
      <w:snapToGrid w:val="0"/>
      <w:sz w:val="20"/>
      <w:szCs w:val="20"/>
    </w:rPr>
  </w:style>
  <w:style w:type="character" w:styleId="CommentReference">
    <w:name w:val="annotation reference"/>
    <w:basedOn w:val="DefaultParagraphFont"/>
    <w:semiHidden/>
    <w:unhideWhenUsed/>
    <w:locked/>
    <w:rsid w:val="003E48F8"/>
    <w:rPr>
      <w:sz w:val="16"/>
      <w:szCs w:val="16"/>
    </w:rPr>
  </w:style>
  <w:style w:type="paragraph" w:styleId="BodyText3">
    <w:name w:val="Body Text 3"/>
    <w:basedOn w:val="Normal"/>
    <w:link w:val="BodyText3Char"/>
    <w:unhideWhenUsed/>
    <w:locked/>
    <w:rsid w:val="003E48F8"/>
    <w:pPr>
      <w:spacing w:after="120"/>
    </w:pPr>
    <w:rPr>
      <w:sz w:val="16"/>
      <w:szCs w:val="16"/>
    </w:rPr>
  </w:style>
  <w:style w:type="character" w:customStyle="1" w:styleId="BodyText3Char">
    <w:name w:val="Body Text 3 Char"/>
    <w:basedOn w:val="DefaultParagraphFont"/>
    <w:link w:val="BodyText3"/>
    <w:rsid w:val="003E48F8"/>
    <w:rPr>
      <w:sz w:val="16"/>
      <w:szCs w:val="16"/>
    </w:rPr>
  </w:style>
  <w:style w:type="paragraph" w:styleId="HTMLPreformatted">
    <w:name w:val="HTML Preformatted"/>
    <w:basedOn w:val="Normal"/>
    <w:link w:val="HTMLPreformattedChar"/>
    <w:locked/>
    <w:rsid w:val="0021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216DC7"/>
    <w:rPr>
      <w:rFonts w:ascii="Courier New" w:eastAsia="Times New Roman" w:hAnsi="Courier New" w:cs="Courier New"/>
      <w:sz w:val="24"/>
      <w:szCs w:val="20"/>
    </w:rPr>
  </w:style>
  <w:style w:type="paragraph" w:styleId="CommentSubject">
    <w:name w:val="annotation subject"/>
    <w:basedOn w:val="CommentText"/>
    <w:next w:val="CommentText"/>
    <w:link w:val="CommentSubjectChar"/>
    <w:uiPriority w:val="99"/>
    <w:semiHidden/>
    <w:unhideWhenUsed/>
    <w:locked/>
    <w:rsid w:val="00F36626"/>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F36626"/>
    <w:rPr>
      <w:rFonts w:ascii="Times New Roman" w:eastAsia="Times New Roman" w:hAnsi="Times New Roman" w:cs="Times New Roman"/>
      <w:b/>
      <w:bCs/>
      <w:snapToGrid/>
      <w:sz w:val="20"/>
      <w:szCs w:val="20"/>
    </w:rPr>
  </w:style>
  <w:style w:type="character" w:styleId="FollowedHyperlink">
    <w:name w:val="FollowedHyperlink"/>
    <w:basedOn w:val="DefaultParagraphFont"/>
    <w:uiPriority w:val="99"/>
    <w:semiHidden/>
    <w:unhideWhenUsed/>
    <w:locked/>
    <w:rsid w:val="008D3D5C"/>
    <w:rPr>
      <w:color w:val="5D9732" w:themeColor="followedHyperlink"/>
      <w:u w:val="single"/>
    </w:rPr>
  </w:style>
  <w:style w:type="table" w:customStyle="1" w:styleId="GridTable1Light-Accent11">
    <w:name w:val="Grid Table 1 Light - Accent 11"/>
    <w:basedOn w:val="TableNormal"/>
    <w:uiPriority w:val="46"/>
    <w:rsid w:val="003E1E89"/>
    <w:pPr>
      <w:spacing w:after="0"/>
    </w:pPr>
    <w:tblPr>
      <w:tblStyleRowBandSize w:val="1"/>
      <w:tblStyleColBandSize w:val="1"/>
      <w:tblBorders>
        <w:top w:val="single" w:sz="4" w:space="0" w:color="89DAFF" w:themeColor="accent1" w:themeTint="66"/>
        <w:left w:val="single" w:sz="4" w:space="0" w:color="89DAFF" w:themeColor="accent1" w:themeTint="66"/>
        <w:bottom w:val="single" w:sz="4" w:space="0" w:color="89DAFF" w:themeColor="accent1" w:themeTint="66"/>
        <w:right w:val="single" w:sz="4" w:space="0" w:color="89DAFF" w:themeColor="accent1" w:themeTint="66"/>
        <w:insideH w:val="single" w:sz="4" w:space="0" w:color="89DAFF" w:themeColor="accent1" w:themeTint="66"/>
        <w:insideV w:val="single" w:sz="4" w:space="0" w:color="89DAFF" w:themeColor="accent1" w:themeTint="66"/>
      </w:tblBorders>
    </w:tblPr>
    <w:tblStylePr w:type="firstRow">
      <w:rPr>
        <w:b/>
        <w:bCs/>
      </w:rPr>
      <w:tblPr/>
      <w:tcPr>
        <w:tcBorders>
          <w:bottom w:val="single" w:sz="12" w:space="0" w:color="4EC8FF" w:themeColor="accent1" w:themeTint="99"/>
        </w:tcBorders>
      </w:tcPr>
    </w:tblStylePr>
    <w:tblStylePr w:type="lastRow">
      <w:rPr>
        <w:b/>
        <w:bCs/>
      </w:rPr>
      <w:tblPr/>
      <w:tcPr>
        <w:tcBorders>
          <w:top w:val="double" w:sz="2" w:space="0" w:color="4EC8FF" w:themeColor="accent1" w:themeTint="99"/>
        </w:tcBorders>
      </w:tcPr>
    </w:tblStylePr>
    <w:tblStylePr w:type="firstCol">
      <w:rPr>
        <w:b/>
        <w:bCs/>
      </w:rPr>
    </w:tblStylePr>
    <w:tblStylePr w:type="lastCol">
      <w:rPr>
        <w:b/>
        <w:bCs/>
      </w:rPr>
    </w:tblStylePr>
  </w:style>
  <w:style w:type="numbering" w:customStyle="1" w:styleId="Bulletsforlegal">
    <w:name w:val="Bullets for legal"/>
    <w:uiPriority w:val="99"/>
    <w:rsid w:val="006D167C"/>
    <w:pPr>
      <w:numPr>
        <w:numId w:val="19"/>
      </w:numPr>
    </w:pPr>
  </w:style>
  <w:style w:type="paragraph" w:styleId="Revision">
    <w:name w:val="Revision"/>
    <w:hidden/>
    <w:uiPriority w:val="99"/>
    <w:semiHidden/>
    <w:rsid w:val="00DE413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31359170">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80503692">
      <w:bodyDiv w:val="1"/>
      <w:marLeft w:val="0"/>
      <w:marRight w:val="0"/>
      <w:marTop w:val="0"/>
      <w:marBottom w:val="0"/>
      <w:divBdr>
        <w:top w:val="none" w:sz="0" w:space="0" w:color="auto"/>
        <w:left w:val="none" w:sz="0" w:space="0" w:color="auto"/>
        <w:bottom w:val="none" w:sz="0" w:space="0" w:color="auto"/>
        <w:right w:val="none" w:sz="0" w:space="0" w:color="auto"/>
      </w:divBdr>
    </w:div>
    <w:div w:id="311061171">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64406032">
      <w:bodyDiv w:val="1"/>
      <w:marLeft w:val="0"/>
      <w:marRight w:val="0"/>
      <w:marTop w:val="0"/>
      <w:marBottom w:val="0"/>
      <w:divBdr>
        <w:top w:val="none" w:sz="0" w:space="0" w:color="auto"/>
        <w:left w:val="none" w:sz="0" w:space="0" w:color="auto"/>
        <w:bottom w:val="none" w:sz="0" w:space="0" w:color="auto"/>
        <w:right w:val="none" w:sz="0" w:space="0" w:color="auto"/>
      </w:divBdr>
    </w:div>
    <w:div w:id="381055002">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00856433">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29611613">
      <w:bodyDiv w:val="1"/>
      <w:marLeft w:val="0"/>
      <w:marRight w:val="0"/>
      <w:marTop w:val="0"/>
      <w:marBottom w:val="0"/>
      <w:divBdr>
        <w:top w:val="none" w:sz="0" w:space="0" w:color="auto"/>
        <w:left w:val="none" w:sz="0" w:space="0" w:color="auto"/>
        <w:bottom w:val="none" w:sz="0" w:space="0" w:color="auto"/>
        <w:right w:val="none" w:sz="0" w:space="0" w:color="auto"/>
      </w:divBdr>
    </w:div>
    <w:div w:id="534198764">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87096204">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72499117">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06454207">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85341813">
      <w:bodyDiv w:val="1"/>
      <w:marLeft w:val="0"/>
      <w:marRight w:val="0"/>
      <w:marTop w:val="0"/>
      <w:marBottom w:val="0"/>
      <w:divBdr>
        <w:top w:val="none" w:sz="0" w:space="0" w:color="auto"/>
        <w:left w:val="none" w:sz="0" w:space="0" w:color="auto"/>
        <w:bottom w:val="none" w:sz="0" w:space="0" w:color="auto"/>
        <w:right w:val="none" w:sz="0" w:space="0" w:color="auto"/>
      </w:divBdr>
    </w:div>
    <w:div w:id="1107240555">
      <w:bodyDiv w:val="1"/>
      <w:marLeft w:val="0"/>
      <w:marRight w:val="0"/>
      <w:marTop w:val="0"/>
      <w:marBottom w:val="0"/>
      <w:divBdr>
        <w:top w:val="none" w:sz="0" w:space="0" w:color="auto"/>
        <w:left w:val="none" w:sz="0" w:space="0" w:color="auto"/>
        <w:bottom w:val="none" w:sz="0" w:space="0" w:color="auto"/>
        <w:right w:val="none" w:sz="0" w:space="0" w:color="auto"/>
      </w:divBdr>
    </w:div>
    <w:div w:id="1175875224">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88464001">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17295878">
      <w:bodyDiv w:val="1"/>
      <w:marLeft w:val="0"/>
      <w:marRight w:val="0"/>
      <w:marTop w:val="0"/>
      <w:marBottom w:val="0"/>
      <w:divBdr>
        <w:top w:val="none" w:sz="0" w:space="0" w:color="auto"/>
        <w:left w:val="none" w:sz="0" w:space="0" w:color="auto"/>
        <w:bottom w:val="none" w:sz="0" w:space="0" w:color="auto"/>
        <w:right w:val="none" w:sz="0" w:space="0" w:color="auto"/>
      </w:divBdr>
    </w:div>
    <w:div w:id="133379697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398892556">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96547567">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2452530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33065245">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91920146">
      <w:bodyDiv w:val="1"/>
      <w:marLeft w:val="0"/>
      <w:marRight w:val="0"/>
      <w:marTop w:val="0"/>
      <w:marBottom w:val="0"/>
      <w:divBdr>
        <w:top w:val="none" w:sz="0" w:space="0" w:color="auto"/>
        <w:left w:val="none" w:sz="0" w:space="0" w:color="auto"/>
        <w:bottom w:val="none" w:sz="0" w:space="0" w:color="auto"/>
        <w:right w:val="none" w:sz="0" w:space="0" w:color="auto"/>
      </w:divBdr>
    </w:div>
    <w:div w:id="1932078749">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28670775">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7345901">
      <w:bodyDiv w:val="1"/>
      <w:marLeft w:val="0"/>
      <w:marRight w:val="0"/>
      <w:marTop w:val="0"/>
      <w:marBottom w:val="0"/>
      <w:divBdr>
        <w:top w:val="none" w:sz="0" w:space="0" w:color="auto"/>
        <w:left w:val="none" w:sz="0" w:space="0" w:color="auto"/>
        <w:bottom w:val="none" w:sz="0" w:space="0" w:color="auto"/>
        <w:right w:val="none" w:sz="0" w:space="0" w:color="auto"/>
      </w:divBdr>
    </w:div>
    <w:div w:id="2064937318">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819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ceq.hss.doe.gov/nepa/regs/eos/eo13149.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1.eere.energy.gov/vehiclesandfuels/epact/pdfs/alt_fuel_final_rule_3-14-08.pdf" TargetMode="External"/><Relationship Id="rId33" Type="http://schemas.openxmlformats.org/officeDocument/2006/relationships/header" Target="header5.xml"/><Relationship Id="rId38"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gsa.gov/vehicle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access.gpo.gov/nara/cfr/waisidx_10/10cfr490_10.html" TargetMode="External"/><Relationship Id="rId32" Type="http://schemas.openxmlformats.org/officeDocument/2006/relationships/header" Target="header4.xml"/><Relationship Id="rId37" Type="http://schemas.openxmlformats.org/officeDocument/2006/relationships/image" Target="media/image4.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ia.gov/renewable/afv/" TargetMode="External"/><Relationship Id="rId28" Type="http://schemas.openxmlformats.org/officeDocument/2006/relationships/hyperlink" Target="http://www.gsa.gov/portal/ext/public/site/FMR/file/Part102-_34.html/category/21858/" TargetMode="Externa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hyperlink" Target="http://www.gpo.gov/fdsys/pkg/FR-2007-01-26/pdf/07-374.pdf" TargetMode="External"/><Relationship Id="rId30" Type="http://schemas.openxmlformats.org/officeDocument/2006/relationships/image" Target="media/image3.emf"/><Relationship Id="rId35" Type="http://schemas.openxmlformats.org/officeDocument/2006/relationships/header" Target="header6.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2" ma:contentTypeDescription="Create a new document." ma:contentTypeScope="" ma:versionID="2541c5a13a44108590f8b4c2efa55fb3">
  <xsd:schema xmlns:xsd="http://www.w3.org/2001/XMLSchema" xmlns:xs="http://www.w3.org/2001/XMLSchema" xmlns:p="http://schemas.microsoft.com/office/2006/metadata/properties" xmlns:ns2="17daff2f-b1b7-4d5c-80b2-47dc67a8fb08" targetNamespace="http://schemas.microsoft.com/office/2006/metadata/properties" ma:root="true" ma:fieldsID="2bad4f3f5c721aaa1076edbaaad59505" ns2:_="">
    <xsd:import namespace="17daff2f-b1b7-4d5c-80b2-47dc67a8fb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F7472F-8364-4260-A996-6669619F7E63}">
  <ds:schemaRef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17daff2f-b1b7-4d5c-80b2-47dc67a8fb08"/>
  </ds:schemaRefs>
</ds:datastoreItem>
</file>

<file path=customXml/itemProps3.xml><?xml version="1.0" encoding="utf-8"?>
<ds:datastoreItem xmlns:ds="http://schemas.openxmlformats.org/officeDocument/2006/customXml" ds:itemID="{B0DD01AF-456D-478D-9FFE-AA115ABB089F}">
  <ds:schemaRefs>
    <ds:schemaRef ds:uri="http://schemas.microsoft.com/sharepoint/v3/contenttype/forms"/>
  </ds:schemaRefs>
</ds:datastoreItem>
</file>

<file path=customXml/itemProps4.xml><?xml version="1.0" encoding="utf-8"?>
<ds:datastoreItem xmlns:ds="http://schemas.openxmlformats.org/officeDocument/2006/customXml" ds:itemID="{240751DC-7047-4681-98B1-3663184FA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591741-C3D0-40A9-8ADE-0CE38C0C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6372</Words>
  <Characters>36325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 for Annual Survey of Alternative Fueled Vehicles</vt:lpstr>
    </vt:vector>
  </TitlesOfParts>
  <Company/>
  <LinksUpToDate>false</LinksUpToDate>
  <CharactersWithSpaces>42612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Annual Survey of Alternative Fueled Vehicles</dc:title>
  <dc:subject>Improving the Quality and Scope of EIA Data</dc:subject>
  <dc:creator>Stroud, Lawrence</dc:creator>
  <cp:keywords/>
  <dc:description/>
  <cp:lastModifiedBy>SYSTEM</cp:lastModifiedBy>
  <cp:revision>2</cp:revision>
  <cp:lastPrinted>2018-08-22T17:43:00Z</cp:lastPrinted>
  <dcterms:created xsi:type="dcterms:W3CDTF">2018-11-29T17:38:00Z</dcterms:created>
  <dcterms:modified xsi:type="dcterms:W3CDTF">2018-11-29T17:38:00Z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