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77777777" w:rsidR="001C75B2" w:rsidRDefault="001C75B2" w:rsidP="008647BA">
      <w:pPr>
        <w:jc w:val="center"/>
      </w:pPr>
      <w:r w:rsidRPr="00B74858">
        <w:t>[Docket No. IC</w:t>
      </w:r>
      <w:r w:rsidR="00B74858" w:rsidRPr="00B74858">
        <w:t>18</w:t>
      </w:r>
      <w:r w:rsidRPr="00B74858">
        <w:t>-</w:t>
      </w:r>
      <w:r w:rsidR="00B74858" w:rsidRPr="00B74858">
        <w:t>13</w:t>
      </w:r>
      <w:r w:rsidRPr="00B74858">
        <w:t>-00</w:t>
      </w:r>
      <w:r w:rsidR="00172C34" w:rsidRPr="00B74858">
        <w:t>0</w:t>
      </w:r>
      <w:r w:rsidRPr="00B74858">
        <w:t>]</w:t>
      </w:r>
    </w:p>
    <w:p w14:paraId="5009B056" w14:textId="77777777" w:rsidR="001C75B2" w:rsidRDefault="001C75B2" w:rsidP="001C75B2"/>
    <w:p w14:paraId="1EBEB0D4" w14:textId="77777777" w:rsidR="001C75B2" w:rsidRPr="00B74858" w:rsidRDefault="001C75B2" w:rsidP="008024B2">
      <w:pPr>
        <w:jc w:val="center"/>
      </w:pPr>
      <w:r w:rsidRPr="00B74858">
        <w:t>COMMISSION INFORMATION COLLECTION ACTIVITIES (FERC</w:t>
      </w:r>
      <w:r w:rsidR="00B74858" w:rsidRPr="00B74858">
        <w:t>-537</w:t>
      </w:r>
      <w:r w:rsidR="008024B2" w:rsidRPr="00B74858">
        <w:t>);</w:t>
      </w:r>
      <w:r w:rsidRPr="00B74858">
        <w:t xml:space="preserve"> COMMENT REQUEST</w:t>
      </w:r>
      <w:r w:rsidR="00B2244D" w:rsidRPr="00B74858">
        <w:t xml:space="preserve">  </w:t>
      </w:r>
    </w:p>
    <w:p w14:paraId="149289D6" w14:textId="77777777" w:rsidR="001C75B2" w:rsidRPr="00B74858" w:rsidRDefault="001C75B2" w:rsidP="001C75B2"/>
    <w:p w14:paraId="3055AF26" w14:textId="5DCE0305" w:rsidR="001C75B2" w:rsidRDefault="00954C92" w:rsidP="00954C92">
      <w:pPr>
        <w:jc w:val="center"/>
      </w:pPr>
      <w:r w:rsidRPr="00954C92">
        <w:t>(August 14, 2018)</w:t>
      </w:r>
    </w:p>
    <w:p w14:paraId="4356C722" w14:textId="77777777" w:rsidR="00954C92" w:rsidRPr="00954C92" w:rsidRDefault="00954C92" w:rsidP="00954C92"/>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46CFC469"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B74858" w:rsidRPr="00A16527">
        <w:t>FERC-537 (Gas Pipeline Certificates: Construction, Acquisition, and Abandonment)</w:t>
      </w:r>
      <w:r>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t xml:space="preserve">issued a Notice in the </w:t>
      </w:r>
      <w:r w:rsidRPr="008B5FB7">
        <w:rPr>
          <w:i/>
        </w:rPr>
        <w:t>Federal Register</w:t>
      </w:r>
      <w:r w:rsidRPr="00060794">
        <w:t xml:space="preserve"> </w:t>
      </w:r>
      <w:r w:rsidR="008B5FB7">
        <w:t>on May 21, 2018,</w:t>
      </w:r>
      <w:r w:rsidRPr="00060794">
        <w:t xml:space="preserve"> requesting public comments.  </w:t>
      </w:r>
      <w:r w:rsidR="001F0E50" w:rsidRPr="00060794">
        <w:t>The Commission</w:t>
      </w:r>
      <w:r w:rsidR="00B74858" w:rsidRPr="00060794">
        <w:t xml:space="preserve"> received two</w:t>
      </w:r>
      <w:r w:rsidRPr="00060794">
        <w:t xml:space="preserve"> comments on the FERC</w:t>
      </w:r>
      <w:r w:rsidR="00B74858" w:rsidRPr="00060794">
        <w:t>-537</w:t>
      </w:r>
      <w:r w:rsidRPr="00060794">
        <w:t xml:space="preserve"> and </w:t>
      </w:r>
      <w:r w:rsidR="00172C34" w:rsidRPr="00060794">
        <w:t>is making</w:t>
      </w:r>
      <w:r w:rsidR="00B2244D" w:rsidRPr="00060794">
        <w:t xml:space="preserve"> this notation in its submittal</w:t>
      </w:r>
      <w:r w:rsidRPr="00060794">
        <w:t xml:space="preserve"> to OMB</w:t>
      </w:r>
      <w:r w:rsidR="00B74858" w:rsidRPr="00060794">
        <w:t>.</w:t>
      </w:r>
    </w:p>
    <w:p w14:paraId="410544A7" w14:textId="6297E563" w:rsidR="001C75B2" w:rsidRPr="007D4882" w:rsidRDefault="001C75B2" w:rsidP="00C0217E">
      <w:pPr>
        <w:spacing w:line="480" w:lineRule="auto"/>
      </w:pPr>
      <w:r w:rsidRPr="00F04F4C">
        <w:rPr>
          <w:b/>
        </w:rPr>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DATE OF PUBLICATION IN THE </w:t>
      </w:r>
      <w:r w:rsidRPr="00E22E46">
        <w:rPr>
          <w:b/>
          <w:caps/>
        </w:rPr>
        <w:t>Federal Register]</w:t>
      </w:r>
      <w:r w:rsidR="00E22E46" w:rsidRPr="00E22E46">
        <w:rPr>
          <w:b/>
          <w:caps/>
        </w:rPr>
        <w:t>.</w:t>
      </w:r>
      <w:r w:rsidR="00E22E46" w:rsidRPr="007D4882">
        <w:t xml:space="preserve">  </w:t>
      </w:r>
    </w:p>
    <w:p w14:paraId="022795DC" w14:textId="77777777"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7D4882" w:rsidRPr="007D4882">
        <w:t>1902-0060</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Affairs</w:t>
      </w:r>
      <w:r w:rsidR="006615E1">
        <w:t xml:space="preserve">: </w:t>
      </w:r>
      <w:hyperlink r:id="rId12"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7D4882">
        <w:t>t 202-395-8528</w:t>
      </w:r>
      <w:r w:rsidR="00B2244D">
        <w:t>.</w:t>
      </w:r>
    </w:p>
    <w:p w14:paraId="43ACCE92" w14:textId="77777777"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7D4882" w:rsidRPr="007D4882">
        <w:t>IC18-13</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6"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16993ED3" w14:textId="77777777" w:rsidR="003820D6" w:rsidRDefault="003820D6" w:rsidP="003820D6">
      <w:pPr>
        <w:spacing w:line="480" w:lineRule="auto"/>
        <w:rPr>
          <w:i/>
        </w:rPr>
      </w:pPr>
      <w:r>
        <w:rPr>
          <w:i/>
        </w:rPr>
        <w:t xml:space="preserve">Title: </w:t>
      </w:r>
      <w:r w:rsidR="00327647">
        <w:t>FERC-537 (Gas Pipeline Certificates: Construction, Acquisition, and Abandonment</w:t>
      </w:r>
      <w:r w:rsidR="007D4882">
        <w:t>)</w:t>
      </w:r>
    </w:p>
    <w:p w14:paraId="100BD822" w14:textId="77777777" w:rsidR="00327647" w:rsidRPr="00327647" w:rsidRDefault="003820D6" w:rsidP="003820D6">
      <w:pPr>
        <w:spacing w:line="480" w:lineRule="auto"/>
      </w:pPr>
      <w:r>
        <w:rPr>
          <w:i/>
        </w:rPr>
        <w:t>OMB Control No.:</w:t>
      </w:r>
      <w:r w:rsidR="003575F3">
        <w:rPr>
          <w:i/>
        </w:rPr>
        <w:t xml:space="preserve"> </w:t>
      </w:r>
      <w:r w:rsidR="00327647">
        <w:t>1902-0060</w:t>
      </w:r>
    </w:p>
    <w:p w14:paraId="316F3BA9" w14:textId="77777777" w:rsidR="003820D6" w:rsidRDefault="003820D6" w:rsidP="003820D6">
      <w:pPr>
        <w:spacing w:line="480" w:lineRule="auto"/>
      </w:pPr>
      <w:r>
        <w:rPr>
          <w:i/>
        </w:rPr>
        <w:lastRenderedPageBreak/>
        <w:t>Type of Request:</w:t>
      </w:r>
      <w:r>
        <w:t xml:space="preserve"> </w:t>
      </w:r>
      <w:r w:rsidR="009E030D">
        <w:t xml:space="preserve">Three-year extension of the </w:t>
      </w:r>
      <w:r w:rsidR="00327647" w:rsidRPr="00327647">
        <w:t>FERC-537</w:t>
      </w:r>
      <w:r w:rsidR="009E030D" w:rsidRPr="00327647">
        <w:t xml:space="preserve"> information</w:t>
      </w:r>
      <w:r w:rsidR="009E030D">
        <w:t xml:space="preserve"> collection requirements with no changes to the reporting requirements.</w:t>
      </w:r>
    </w:p>
    <w:p w14:paraId="13509BC9" w14:textId="77777777" w:rsidR="00327647" w:rsidRDefault="003820D6" w:rsidP="00327647">
      <w:pPr>
        <w:spacing w:line="480" w:lineRule="auto"/>
      </w:pPr>
      <w:r>
        <w:rPr>
          <w:i/>
        </w:rPr>
        <w:t xml:space="preserve">Abstract: </w:t>
      </w:r>
      <w:r w:rsidR="004721F3">
        <w:rPr>
          <w:i/>
        </w:rPr>
        <w:t xml:space="preserve"> </w:t>
      </w:r>
      <w:r w:rsidR="00327647">
        <w:t xml:space="preserve">The FERC-537 information collection requires natural gas companies to file the necessary information with FERC in order for the Commission to determine if the requested certificate should be authorized. Certain self-implementing construction and abandonment programs do not require the filing of applications.  However, those types of programs do require the filing of annual reports, so many less significant actions can be reported in a single filing/response and less detail would be required.  </w:t>
      </w:r>
    </w:p>
    <w:p w14:paraId="16753C3F" w14:textId="77777777" w:rsidR="00327647" w:rsidRDefault="00327647" w:rsidP="00327647">
      <w:pPr>
        <w:spacing w:line="480" w:lineRule="auto"/>
        <w:ind w:firstLine="720"/>
      </w:pPr>
      <w:r>
        <w:t>The data required to be submitted in a normal certificate filing consists of identification of the company and responsible officials, factors considered in the location of the facilities and the impact on the area for environmental considerations.  Also to be submitted are the following, as applicable to the specific request:</w:t>
      </w:r>
    </w:p>
    <w:p w14:paraId="2A9508A4" w14:textId="77777777" w:rsidR="00327647" w:rsidRDefault="00327647" w:rsidP="00327647">
      <w:pPr>
        <w:spacing w:line="480" w:lineRule="auto"/>
      </w:pPr>
      <w:r>
        <w:t>•</w:t>
      </w:r>
      <w:r>
        <w:tab/>
        <w:t>Flow diagrams showing the design capacity for engineering design verification and safety determination;</w:t>
      </w:r>
    </w:p>
    <w:p w14:paraId="3279478E" w14:textId="77777777" w:rsidR="00327647" w:rsidRDefault="00327647" w:rsidP="00327647">
      <w:pPr>
        <w:spacing w:line="480" w:lineRule="auto"/>
      </w:pPr>
      <w:r>
        <w:t>•</w:t>
      </w:r>
      <w:r>
        <w:tab/>
        <w:t>Cost of proposed facilities, plans for financing, and estimated revenues and expenses related to the proposed facility for accounting and financial evaluation.</w:t>
      </w:r>
    </w:p>
    <w:p w14:paraId="71BAF377" w14:textId="77777777" w:rsidR="00327647" w:rsidRDefault="00327647" w:rsidP="00327647">
      <w:pPr>
        <w:spacing w:line="480" w:lineRule="auto"/>
      </w:pPr>
      <w:r>
        <w:t>•</w:t>
      </w:r>
      <w:r>
        <w:tab/>
        <w:t>Existing and proposed storage capacity and pressures and reservoir engineering studies for requests to increase storage capacity;</w:t>
      </w:r>
    </w:p>
    <w:p w14:paraId="2C1B171D" w14:textId="77777777" w:rsidR="00327647" w:rsidRDefault="00327647" w:rsidP="00327647">
      <w:pPr>
        <w:spacing w:line="480" w:lineRule="auto"/>
      </w:pPr>
      <w:r>
        <w:t>•</w:t>
      </w:r>
      <w:r>
        <w:tab/>
        <w:t>An affidavit showing the consent of existing customers for abandonment of service requests.</w:t>
      </w:r>
    </w:p>
    <w:p w14:paraId="2652892E" w14:textId="77777777" w:rsidR="003820D6" w:rsidRDefault="00327647" w:rsidP="00327647">
      <w:pPr>
        <w:spacing w:line="480" w:lineRule="auto"/>
        <w:ind w:firstLine="720"/>
      </w:pPr>
      <w:r>
        <w:t>Additionally,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nor to landowners and to surrounding communities.</w:t>
      </w:r>
    </w:p>
    <w:p w14:paraId="476574CA" w14:textId="77777777" w:rsidR="003820D6" w:rsidRDefault="003820D6" w:rsidP="003820D6">
      <w:pPr>
        <w:spacing w:line="480" w:lineRule="auto"/>
      </w:pPr>
      <w:r>
        <w:rPr>
          <w:i/>
        </w:rPr>
        <w:t xml:space="preserve">Type of Respondents: </w:t>
      </w:r>
      <w:r w:rsidR="00327647">
        <w:t>Natural gas companies.</w:t>
      </w:r>
    </w:p>
    <w:p w14:paraId="43DD7986" w14:textId="228BF594" w:rsidR="00F21CAF" w:rsidRDefault="00F21CAF" w:rsidP="003820D6">
      <w:pPr>
        <w:spacing w:line="480" w:lineRule="auto"/>
      </w:pPr>
      <w:r w:rsidRPr="00F21CAF">
        <w:rPr>
          <w:i/>
        </w:rPr>
        <w:t>Responses to public comments</w:t>
      </w:r>
      <w:r>
        <w:t>:</w:t>
      </w:r>
    </w:p>
    <w:p w14:paraId="6A094B6B" w14:textId="77777777" w:rsidR="00F21CAF" w:rsidRDefault="00F21CAF" w:rsidP="00F21CAF">
      <w:pPr>
        <w:spacing w:line="480" w:lineRule="auto"/>
      </w:pPr>
      <w:r>
        <w:t>To the comment received from Ms. Joanne Collins on 5/30/2018, FERC responds:</w:t>
      </w:r>
    </w:p>
    <w:p w14:paraId="019F2C47" w14:textId="77777777" w:rsidR="00F21CAF" w:rsidRDefault="00F21CAF" w:rsidP="00F21CAF">
      <w:pPr>
        <w:spacing w:line="480" w:lineRule="auto"/>
      </w:pPr>
      <w:r>
        <w:tab/>
        <w:t>“</w:t>
      </w:r>
      <w:r w:rsidRPr="0081182E">
        <w:t xml:space="preserve">Commenter points out that the collection of data and information from applicants </w:t>
      </w:r>
      <w:r>
        <w:tab/>
      </w:r>
      <w:r w:rsidRPr="0081182E">
        <w:t xml:space="preserve">requesting authorization to construct and operate natural gas pipelines can create a </w:t>
      </w:r>
      <w:r>
        <w:tab/>
      </w:r>
      <w:r w:rsidRPr="0081182E">
        <w:t xml:space="preserve">secondary burden on the general citizenry to learn about the Commission’s rules </w:t>
      </w:r>
      <w:r>
        <w:tab/>
      </w:r>
      <w:r w:rsidRPr="0081182E">
        <w:t xml:space="preserve">and process; and further to perhaps take costly and time consuming efforts to </w:t>
      </w:r>
      <w:r>
        <w:tab/>
      </w:r>
      <w:r w:rsidRPr="0081182E">
        <w:t xml:space="preserve">participate in the Commission’s proceedings. The Paperwork Reduction Act of </w:t>
      </w:r>
      <w:r>
        <w:tab/>
      </w:r>
      <w:r w:rsidRPr="0081182E">
        <w:t xml:space="preserve">1995 was not intended to measure this type of secondary burden; only the primary </w:t>
      </w:r>
      <w:r>
        <w:tab/>
      </w:r>
      <w:r w:rsidRPr="0081182E">
        <w:t xml:space="preserve">burden on those applicant entities to collect and compile the information necessary </w:t>
      </w:r>
      <w:r>
        <w:tab/>
      </w:r>
      <w:r w:rsidRPr="0081182E">
        <w:t xml:space="preserve">for the Government to make an informed decision and take appropriate action. The </w:t>
      </w:r>
      <w:r>
        <w:tab/>
      </w:r>
      <w:r w:rsidRPr="0081182E">
        <w:t>Commission has multiple ways, times</w:t>
      </w:r>
      <w:r>
        <w:t>,</w:t>
      </w:r>
      <w:r w:rsidRPr="0081182E">
        <w:t xml:space="preserve"> and methods for the general citizenry to </w:t>
      </w:r>
      <w:r>
        <w:tab/>
      </w:r>
      <w:r w:rsidRPr="0081182E">
        <w:t>appropriately input their views on the</w:t>
      </w:r>
      <w:r>
        <w:t xml:space="preserve"> Commission’s rules and process,</w:t>
      </w:r>
      <w:r w:rsidRPr="0081182E">
        <w:t xml:space="preserve"> or its </w:t>
      </w:r>
      <w:r>
        <w:tab/>
      </w:r>
      <w:r w:rsidRPr="0081182E">
        <w:t>individual proceedings.</w:t>
      </w:r>
      <w:r>
        <w:t>”</w:t>
      </w:r>
    </w:p>
    <w:p w14:paraId="5272628E" w14:textId="77777777" w:rsidR="00F21CAF" w:rsidRDefault="00F21CAF" w:rsidP="00F21CAF">
      <w:pPr>
        <w:spacing w:line="480" w:lineRule="auto"/>
      </w:pPr>
    </w:p>
    <w:p w14:paraId="093BB55C" w14:textId="77777777" w:rsidR="00F21CAF" w:rsidRDefault="00F21CAF" w:rsidP="00F21CAF">
      <w:pPr>
        <w:spacing w:line="480" w:lineRule="auto"/>
      </w:pPr>
      <w:r>
        <w:t>To the comment received from Ms. Laurie Lubsen on 6/4/2018, FERC responds:</w:t>
      </w:r>
    </w:p>
    <w:p w14:paraId="2BAEC005" w14:textId="52A94C35" w:rsidR="00F21CAF" w:rsidRPr="009537F4" w:rsidRDefault="00F21CAF" w:rsidP="00F21CAF">
      <w:pPr>
        <w:spacing w:line="480" w:lineRule="auto"/>
      </w:pPr>
      <w:r>
        <w:tab/>
        <w:t>“</w:t>
      </w:r>
      <w:r w:rsidRPr="00060794">
        <w:t xml:space="preserve">Commenter concurs in the collection of information necessary for the </w:t>
      </w:r>
      <w:r>
        <w:tab/>
      </w:r>
      <w:r w:rsidRPr="00060794">
        <w:t xml:space="preserve">Commission </w:t>
      </w:r>
      <w:r>
        <w:tab/>
      </w:r>
      <w:r w:rsidRPr="00060794">
        <w:t xml:space="preserve">to make an informed decision and take appropriate action is </w:t>
      </w:r>
      <w:r>
        <w:tab/>
      </w:r>
      <w:r w:rsidRPr="00060794">
        <w:t xml:space="preserve">appropriate, but does not want less information that is needed to not be collected </w:t>
      </w:r>
      <w:r>
        <w:tab/>
      </w:r>
      <w:r w:rsidRPr="00060794">
        <w:t xml:space="preserve">solely because it is a burden on those seeking authorizations. We confirm </w:t>
      </w:r>
      <w:r>
        <w:tab/>
      </w:r>
      <w:r w:rsidRPr="00060794">
        <w:t xml:space="preserve">that all </w:t>
      </w:r>
      <w:r>
        <w:tab/>
      </w:r>
      <w:r w:rsidRPr="00060794">
        <w:t xml:space="preserve">the information required by FERC-537 continues to be necessary and that no data </w:t>
      </w:r>
      <w:r>
        <w:tab/>
      </w:r>
      <w:r w:rsidRPr="00060794">
        <w:t xml:space="preserve">collections have been revised in this current review on FERC-537. Commenter </w:t>
      </w:r>
      <w:r>
        <w:tab/>
      </w:r>
      <w:r w:rsidRPr="00060794">
        <w:t xml:space="preserve">notes that automated ways to collect information, such as eFiling are good, as </w:t>
      </w:r>
      <w:r>
        <w:tab/>
      </w:r>
      <w:r w:rsidRPr="00060794">
        <w:t xml:space="preserve">long as they </w:t>
      </w:r>
      <w:r>
        <w:tab/>
      </w:r>
      <w:r w:rsidRPr="00060794">
        <w:t>are not ultimately required of all fliers.</w:t>
      </w:r>
      <w:r>
        <w:t>”</w:t>
      </w:r>
    </w:p>
    <w:p w14:paraId="1A3E4360" w14:textId="77777777" w:rsidR="005535D4" w:rsidRDefault="005535D4" w:rsidP="005535D4">
      <w:pPr>
        <w:spacing w:line="480" w:lineRule="auto"/>
      </w:pPr>
      <w:r>
        <w:rPr>
          <w:i/>
        </w:rPr>
        <w:t>Estimate of Annual Burden</w:t>
      </w:r>
      <w:r>
        <w:rPr>
          <w:rStyle w:val="FootnoteReference"/>
          <w:i/>
        </w:rPr>
        <w:footnoteReference w:id="1"/>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327647" w:rsidRPr="00CE28EA" w14:paraId="096C3D6A" w14:textId="77777777" w:rsidTr="008D23D5">
        <w:trPr>
          <w:cantSplit/>
        </w:trPr>
        <w:tc>
          <w:tcPr>
            <w:tcW w:w="5000" w:type="pct"/>
            <w:gridSpan w:val="7"/>
            <w:tcBorders>
              <w:bottom w:val="single" w:sz="4" w:space="0" w:color="auto"/>
            </w:tcBorders>
            <w:shd w:val="clear" w:color="auto" w:fill="D9D9D9"/>
          </w:tcPr>
          <w:p w14:paraId="61AB731E" w14:textId="77777777" w:rsidR="00327647" w:rsidRPr="00CE28EA" w:rsidRDefault="00327647" w:rsidP="008D23D5">
            <w:pPr>
              <w:jc w:val="center"/>
              <w:rPr>
                <w:rFonts w:eastAsia="Calibri"/>
                <w:b/>
                <w:sz w:val="20"/>
                <w:szCs w:val="20"/>
              </w:rPr>
            </w:pPr>
            <w:r w:rsidRPr="00CE28EA">
              <w:rPr>
                <w:rFonts w:eastAsia="Calibri"/>
                <w:b/>
                <w:sz w:val="20"/>
                <w:szCs w:val="20"/>
              </w:rPr>
              <w:t>FERC-537 (Gas Pipeline Certificates:  Construction, Acquisition, and Abandonment)</w:t>
            </w:r>
          </w:p>
        </w:tc>
      </w:tr>
      <w:tr w:rsidR="00327647" w:rsidRPr="00CE28EA" w14:paraId="34E38ED9" w14:textId="77777777" w:rsidTr="008D23D5">
        <w:trPr>
          <w:cantSplit/>
        </w:trPr>
        <w:tc>
          <w:tcPr>
            <w:tcW w:w="878" w:type="pct"/>
            <w:shd w:val="clear" w:color="auto" w:fill="D9D9D9"/>
          </w:tcPr>
          <w:p w14:paraId="187CB41F" w14:textId="77777777" w:rsidR="00327647" w:rsidRPr="00CE28EA" w:rsidRDefault="00327647" w:rsidP="008D23D5">
            <w:pPr>
              <w:jc w:val="center"/>
              <w:rPr>
                <w:rFonts w:eastAsia="Calibri"/>
                <w:b/>
                <w:sz w:val="20"/>
                <w:szCs w:val="20"/>
              </w:rPr>
            </w:pPr>
          </w:p>
        </w:tc>
        <w:tc>
          <w:tcPr>
            <w:tcW w:w="746" w:type="pct"/>
            <w:shd w:val="clear" w:color="auto" w:fill="D9D9D9"/>
            <w:vAlign w:val="bottom"/>
          </w:tcPr>
          <w:p w14:paraId="0316CDFA" w14:textId="77777777" w:rsidR="00327647" w:rsidRPr="00CE28EA" w:rsidRDefault="00327647" w:rsidP="008D23D5">
            <w:pPr>
              <w:jc w:val="center"/>
              <w:rPr>
                <w:rFonts w:eastAsia="Calibri"/>
                <w:b/>
                <w:sz w:val="20"/>
                <w:szCs w:val="20"/>
              </w:rPr>
            </w:pPr>
            <w:r w:rsidRPr="00CE28EA">
              <w:rPr>
                <w:rFonts w:eastAsia="Calibri"/>
                <w:b/>
                <w:sz w:val="20"/>
                <w:szCs w:val="20"/>
              </w:rPr>
              <w:t>Number of Respondents</w:t>
            </w:r>
            <w:r w:rsidRPr="00CE28EA">
              <w:rPr>
                <w:rFonts w:eastAsia="Calibri"/>
                <w:b/>
                <w:sz w:val="20"/>
                <w:szCs w:val="20"/>
              </w:rPr>
              <w:br/>
              <w:t>(1)</w:t>
            </w:r>
          </w:p>
        </w:tc>
        <w:tc>
          <w:tcPr>
            <w:tcW w:w="746" w:type="pct"/>
            <w:shd w:val="clear" w:color="auto" w:fill="D9D9D9"/>
            <w:vAlign w:val="bottom"/>
          </w:tcPr>
          <w:p w14:paraId="1CE89297" w14:textId="77777777" w:rsidR="00327647" w:rsidRPr="00CE28EA" w:rsidRDefault="00327647" w:rsidP="008D23D5">
            <w:pPr>
              <w:jc w:val="center"/>
              <w:rPr>
                <w:rFonts w:eastAsia="Calibri"/>
                <w:b/>
                <w:sz w:val="20"/>
                <w:szCs w:val="20"/>
              </w:rPr>
            </w:pPr>
            <w:r w:rsidRPr="00CE28EA">
              <w:rPr>
                <w:rFonts w:eastAsia="Calibri"/>
                <w:b/>
                <w:sz w:val="20"/>
                <w:szCs w:val="20"/>
              </w:rPr>
              <w:t>Annual Number of Responses per Respondent</w:t>
            </w:r>
          </w:p>
          <w:p w14:paraId="214C6920" w14:textId="77777777" w:rsidR="00327647" w:rsidRPr="00CE28EA" w:rsidRDefault="00327647" w:rsidP="008D23D5">
            <w:pPr>
              <w:jc w:val="center"/>
              <w:rPr>
                <w:rFonts w:eastAsia="Calibri"/>
                <w:b/>
                <w:sz w:val="20"/>
                <w:szCs w:val="20"/>
              </w:rPr>
            </w:pPr>
            <w:r w:rsidRPr="00CE28EA">
              <w:rPr>
                <w:rFonts w:eastAsia="Calibri"/>
                <w:b/>
                <w:sz w:val="20"/>
                <w:szCs w:val="20"/>
              </w:rPr>
              <w:t>(2)</w:t>
            </w:r>
          </w:p>
        </w:tc>
        <w:tc>
          <w:tcPr>
            <w:tcW w:w="703" w:type="pct"/>
            <w:shd w:val="clear" w:color="auto" w:fill="D9D9D9"/>
            <w:vAlign w:val="bottom"/>
          </w:tcPr>
          <w:p w14:paraId="0B69B8EF" w14:textId="77777777" w:rsidR="00327647" w:rsidRPr="00CE28EA" w:rsidRDefault="00327647" w:rsidP="008D23D5">
            <w:pPr>
              <w:jc w:val="center"/>
              <w:rPr>
                <w:rFonts w:eastAsia="Calibri"/>
                <w:b/>
                <w:sz w:val="20"/>
                <w:szCs w:val="20"/>
              </w:rPr>
            </w:pPr>
            <w:r w:rsidRPr="00CE28EA">
              <w:rPr>
                <w:rFonts w:eastAsia="Calibri"/>
                <w:b/>
                <w:sz w:val="20"/>
                <w:szCs w:val="20"/>
              </w:rPr>
              <w:t>Total Number of Responses (1)*(2)=(3)</w:t>
            </w:r>
          </w:p>
        </w:tc>
        <w:tc>
          <w:tcPr>
            <w:tcW w:w="654" w:type="pct"/>
            <w:shd w:val="clear" w:color="auto" w:fill="D9D9D9"/>
            <w:vAlign w:val="bottom"/>
          </w:tcPr>
          <w:p w14:paraId="71E86729" w14:textId="77777777" w:rsidR="00327647" w:rsidRPr="00CE28EA" w:rsidRDefault="00327647" w:rsidP="008D23D5">
            <w:pPr>
              <w:jc w:val="center"/>
              <w:rPr>
                <w:rFonts w:eastAsia="Calibri"/>
                <w:b/>
                <w:sz w:val="20"/>
                <w:szCs w:val="20"/>
              </w:rPr>
            </w:pPr>
            <w:r w:rsidRPr="00CE28EA">
              <w:rPr>
                <w:rFonts w:eastAsia="Calibri"/>
                <w:b/>
                <w:sz w:val="20"/>
                <w:szCs w:val="20"/>
              </w:rPr>
              <w:t>Average Burden &amp; Cost Per Response</w:t>
            </w:r>
            <w:r w:rsidRPr="00CE28EA">
              <w:rPr>
                <w:rFonts w:eastAsia="Calibri"/>
                <w:b/>
                <w:sz w:val="20"/>
                <w:szCs w:val="20"/>
                <w:vertAlign w:val="superscript"/>
              </w:rPr>
              <w:footnoteReference w:id="2"/>
            </w:r>
          </w:p>
          <w:p w14:paraId="7BCA94E4" w14:textId="77777777" w:rsidR="00327647" w:rsidRPr="00CE28EA" w:rsidRDefault="00327647" w:rsidP="008D23D5">
            <w:pPr>
              <w:jc w:val="center"/>
              <w:rPr>
                <w:rFonts w:eastAsia="Calibri"/>
                <w:b/>
                <w:sz w:val="20"/>
                <w:szCs w:val="20"/>
              </w:rPr>
            </w:pPr>
            <w:r w:rsidRPr="00CE28EA">
              <w:rPr>
                <w:rFonts w:eastAsia="Calibri"/>
                <w:b/>
                <w:sz w:val="20"/>
                <w:szCs w:val="20"/>
              </w:rPr>
              <w:t>(4)</w:t>
            </w:r>
          </w:p>
        </w:tc>
        <w:tc>
          <w:tcPr>
            <w:tcW w:w="657" w:type="pct"/>
            <w:shd w:val="clear" w:color="auto" w:fill="D9D9D9"/>
            <w:vAlign w:val="bottom"/>
          </w:tcPr>
          <w:p w14:paraId="25BED88E" w14:textId="77777777" w:rsidR="00327647" w:rsidRPr="00CE28EA" w:rsidRDefault="00327647" w:rsidP="008D23D5">
            <w:pPr>
              <w:jc w:val="center"/>
              <w:rPr>
                <w:rFonts w:eastAsia="Calibri"/>
                <w:b/>
                <w:sz w:val="20"/>
                <w:szCs w:val="20"/>
              </w:rPr>
            </w:pPr>
            <w:r w:rsidRPr="00CE28EA">
              <w:rPr>
                <w:rFonts w:eastAsia="Calibri"/>
                <w:b/>
                <w:sz w:val="20"/>
                <w:szCs w:val="20"/>
              </w:rPr>
              <w:t>Total Annual Burden Hours &amp; Total Annual Cost</w:t>
            </w:r>
          </w:p>
          <w:p w14:paraId="25867E74" w14:textId="77777777" w:rsidR="00327647" w:rsidRPr="00CE28EA" w:rsidRDefault="00327647" w:rsidP="008D23D5">
            <w:pPr>
              <w:jc w:val="center"/>
              <w:rPr>
                <w:rFonts w:eastAsia="Calibri"/>
                <w:b/>
                <w:sz w:val="20"/>
                <w:szCs w:val="20"/>
              </w:rPr>
            </w:pPr>
            <w:r w:rsidRPr="00CE28EA">
              <w:rPr>
                <w:rFonts w:eastAsia="Calibri"/>
                <w:b/>
                <w:sz w:val="20"/>
                <w:szCs w:val="20"/>
              </w:rPr>
              <w:t>(3)*(4)=(5)</w:t>
            </w:r>
          </w:p>
        </w:tc>
        <w:tc>
          <w:tcPr>
            <w:tcW w:w="616" w:type="pct"/>
            <w:shd w:val="clear" w:color="auto" w:fill="D9D9D9"/>
            <w:vAlign w:val="bottom"/>
          </w:tcPr>
          <w:p w14:paraId="33ADEAD4" w14:textId="77777777" w:rsidR="00327647" w:rsidRPr="00CE28EA" w:rsidRDefault="00327647" w:rsidP="008D23D5">
            <w:pPr>
              <w:jc w:val="center"/>
              <w:rPr>
                <w:rFonts w:eastAsia="Calibri"/>
                <w:b/>
                <w:sz w:val="20"/>
                <w:szCs w:val="20"/>
              </w:rPr>
            </w:pPr>
            <w:r w:rsidRPr="00CE28EA">
              <w:rPr>
                <w:rFonts w:eastAsia="Calibri"/>
                <w:b/>
                <w:sz w:val="20"/>
                <w:szCs w:val="20"/>
              </w:rPr>
              <w:t>Cost per Respondent</w:t>
            </w:r>
          </w:p>
          <w:p w14:paraId="321693D1" w14:textId="77777777" w:rsidR="00327647" w:rsidRPr="00CE28EA" w:rsidRDefault="00327647" w:rsidP="008D23D5">
            <w:pPr>
              <w:jc w:val="center"/>
              <w:rPr>
                <w:rFonts w:eastAsia="Calibri"/>
                <w:b/>
                <w:sz w:val="20"/>
                <w:szCs w:val="20"/>
              </w:rPr>
            </w:pPr>
            <w:r w:rsidRPr="00CE28EA">
              <w:rPr>
                <w:rFonts w:eastAsia="Calibri"/>
                <w:b/>
                <w:sz w:val="20"/>
                <w:szCs w:val="20"/>
              </w:rPr>
              <w:t xml:space="preserve"> ($)</w:t>
            </w:r>
          </w:p>
          <w:p w14:paraId="273199BC" w14:textId="77777777" w:rsidR="00327647" w:rsidRPr="00CE28EA" w:rsidRDefault="00327647" w:rsidP="008D23D5">
            <w:pPr>
              <w:jc w:val="center"/>
              <w:rPr>
                <w:rFonts w:eastAsia="Calibri"/>
                <w:b/>
                <w:sz w:val="20"/>
                <w:szCs w:val="20"/>
              </w:rPr>
            </w:pPr>
            <w:r w:rsidRPr="00CE28EA">
              <w:rPr>
                <w:rFonts w:eastAsia="Calibri"/>
                <w:b/>
                <w:sz w:val="20"/>
                <w:szCs w:val="20"/>
              </w:rPr>
              <w:t>(5)÷(1)</w:t>
            </w:r>
            <w:r w:rsidRPr="00CE28EA">
              <w:rPr>
                <w:rStyle w:val="FootnoteReference"/>
                <w:rFonts w:eastAsia="Calibri"/>
                <w:b w:val="0"/>
                <w:sz w:val="20"/>
                <w:szCs w:val="20"/>
              </w:rPr>
              <w:footnoteReference w:id="3"/>
            </w:r>
          </w:p>
        </w:tc>
      </w:tr>
      <w:tr w:rsidR="00327647" w:rsidRPr="00CE28EA" w14:paraId="7093E5CC" w14:textId="77777777" w:rsidTr="008D23D5">
        <w:trPr>
          <w:cantSplit/>
        </w:trPr>
        <w:tc>
          <w:tcPr>
            <w:tcW w:w="878" w:type="pct"/>
          </w:tcPr>
          <w:p w14:paraId="18EBF499" w14:textId="77777777" w:rsidR="00327647" w:rsidRPr="00CE28EA" w:rsidRDefault="00327647" w:rsidP="008D23D5">
            <w:pPr>
              <w:rPr>
                <w:rFonts w:eastAsia="Calibri"/>
                <w:sz w:val="20"/>
                <w:szCs w:val="20"/>
              </w:rPr>
            </w:pPr>
            <w:r w:rsidRPr="00CE28EA">
              <w:rPr>
                <w:rFonts w:eastAsia="Calibri"/>
                <w:sz w:val="20"/>
                <w:szCs w:val="20"/>
              </w:rPr>
              <w:t>18 CFR 157.5-.11 (Interstate Certificate and Abandonment Applications</w:t>
            </w:r>
          </w:p>
        </w:tc>
        <w:tc>
          <w:tcPr>
            <w:tcW w:w="746" w:type="pct"/>
          </w:tcPr>
          <w:p w14:paraId="2F135C49" w14:textId="77777777" w:rsidR="00327647" w:rsidRPr="00CE28EA" w:rsidRDefault="00327647" w:rsidP="008D23D5">
            <w:pPr>
              <w:jc w:val="right"/>
              <w:rPr>
                <w:rFonts w:eastAsia="Calibri"/>
                <w:sz w:val="20"/>
                <w:szCs w:val="20"/>
              </w:rPr>
            </w:pPr>
            <w:r w:rsidRPr="00CE28EA">
              <w:rPr>
                <w:rFonts w:eastAsia="Calibri"/>
                <w:sz w:val="20"/>
                <w:szCs w:val="20"/>
              </w:rPr>
              <w:t>52</w:t>
            </w:r>
          </w:p>
          <w:p w14:paraId="14C83A08" w14:textId="77777777" w:rsidR="00327647" w:rsidRPr="00CE28EA" w:rsidRDefault="00327647" w:rsidP="008D23D5">
            <w:pPr>
              <w:jc w:val="right"/>
              <w:rPr>
                <w:rFonts w:eastAsia="Calibri"/>
                <w:sz w:val="20"/>
                <w:szCs w:val="20"/>
              </w:rPr>
            </w:pPr>
          </w:p>
        </w:tc>
        <w:tc>
          <w:tcPr>
            <w:tcW w:w="746" w:type="pct"/>
          </w:tcPr>
          <w:p w14:paraId="606712C1" w14:textId="77777777" w:rsidR="00327647" w:rsidRPr="00CE28EA" w:rsidRDefault="00327647" w:rsidP="008D23D5">
            <w:pPr>
              <w:jc w:val="right"/>
              <w:rPr>
                <w:rFonts w:eastAsia="Calibri"/>
                <w:sz w:val="20"/>
                <w:szCs w:val="20"/>
              </w:rPr>
            </w:pPr>
            <w:r w:rsidRPr="00CE28EA">
              <w:rPr>
                <w:rFonts w:eastAsia="Calibri"/>
                <w:sz w:val="20"/>
                <w:szCs w:val="20"/>
              </w:rPr>
              <w:t>1.19</w:t>
            </w:r>
          </w:p>
        </w:tc>
        <w:tc>
          <w:tcPr>
            <w:tcW w:w="703" w:type="pct"/>
          </w:tcPr>
          <w:p w14:paraId="6D476BC0" w14:textId="77777777" w:rsidR="00327647" w:rsidRPr="00CE28EA" w:rsidRDefault="00327647" w:rsidP="008D23D5">
            <w:pPr>
              <w:jc w:val="right"/>
              <w:rPr>
                <w:rFonts w:eastAsia="Calibri"/>
                <w:sz w:val="20"/>
                <w:szCs w:val="20"/>
              </w:rPr>
            </w:pPr>
            <w:r w:rsidRPr="00CE28EA">
              <w:rPr>
                <w:rFonts w:eastAsia="Calibri"/>
                <w:sz w:val="20"/>
                <w:szCs w:val="20"/>
              </w:rPr>
              <w:t>62</w:t>
            </w:r>
          </w:p>
        </w:tc>
        <w:tc>
          <w:tcPr>
            <w:tcW w:w="654" w:type="pct"/>
          </w:tcPr>
          <w:p w14:paraId="67FD8555" w14:textId="77777777" w:rsidR="00327647" w:rsidRPr="00CE28EA" w:rsidRDefault="00327647" w:rsidP="008D23D5">
            <w:pPr>
              <w:jc w:val="right"/>
              <w:rPr>
                <w:rFonts w:eastAsia="Calibri"/>
                <w:sz w:val="20"/>
                <w:szCs w:val="20"/>
              </w:rPr>
            </w:pPr>
            <w:r w:rsidRPr="00CE28EA">
              <w:rPr>
                <w:rFonts w:eastAsia="Calibri"/>
                <w:sz w:val="20"/>
                <w:szCs w:val="20"/>
              </w:rPr>
              <w:t>500 hrs.;</w:t>
            </w:r>
          </w:p>
          <w:p w14:paraId="03F0ECF8" w14:textId="77777777" w:rsidR="00327647" w:rsidRPr="00CE28EA" w:rsidRDefault="00327647" w:rsidP="008D23D5">
            <w:pPr>
              <w:jc w:val="right"/>
              <w:rPr>
                <w:rFonts w:eastAsia="Calibri"/>
                <w:sz w:val="20"/>
                <w:szCs w:val="20"/>
              </w:rPr>
            </w:pPr>
            <w:r w:rsidRPr="00CE28EA">
              <w:rPr>
                <w:rFonts w:eastAsia="Calibri"/>
                <w:sz w:val="20"/>
                <w:szCs w:val="20"/>
              </w:rPr>
              <w:t>$39,500</w:t>
            </w:r>
          </w:p>
        </w:tc>
        <w:tc>
          <w:tcPr>
            <w:tcW w:w="657" w:type="pct"/>
          </w:tcPr>
          <w:p w14:paraId="4CBF8676" w14:textId="77777777" w:rsidR="00327647" w:rsidRPr="00CE28EA" w:rsidRDefault="00327647" w:rsidP="008D23D5">
            <w:pPr>
              <w:jc w:val="right"/>
              <w:rPr>
                <w:rFonts w:eastAsia="Calibri"/>
                <w:sz w:val="20"/>
                <w:szCs w:val="20"/>
              </w:rPr>
            </w:pPr>
            <w:r w:rsidRPr="00CE28EA">
              <w:rPr>
                <w:rFonts w:eastAsia="Calibri"/>
                <w:sz w:val="20"/>
                <w:szCs w:val="20"/>
              </w:rPr>
              <w:t xml:space="preserve"> 31,000</w:t>
            </w:r>
          </w:p>
          <w:p w14:paraId="6A9648B0" w14:textId="77777777" w:rsidR="00327647" w:rsidRPr="00CE28EA" w:rsidRDefault="00327647" w:rsidP="008D23D5">
            <w:pPr>
              <w:jc w:val="right"/>
              <w:rPr>
                <w:rFonts w:eastAsia="Calibri"/>
                <w:sz w:val="20"/>
                <w:szCs w:val="20"/>
              </w:rPr>
            </w:pPr>
            <w:r w:rsidRPr="00CE28EA">
              <w:rPr>
                <w:rFonts w:eastAsia="Calibri"/>
                <w:sz w:val="20"/>
                <w:szCs w:val="20"/>
              </w:rPr>
              <w:t xml:space="preserve">$2,449,000 </w:t>
            </w:r>
          </w:p>
        </w:tc>
        <w:tc>
          <w:tcPr>
            <w:tcW w:w="616" w:type="pct"/>
          </w:tcPr>
          <w:p w14:paraId="226F7064" w14:textId="77777777" w:rsidR="00327647" w:rsidRPr="00CE28EA" w:rsidRDefault="00327647" w:rsidP="008D23D5">
            <w:pPr>
              <w:jc w:val="right"/>
              <w:rPr>
                <w:rFonts w:eastAsia="Calibri"/>
                <w:sz w:val="20"/>
                <w:szCs w:val="20"/>
              </w:rPr>
            </w:pPr>
            <w:r w:rsidRPr="00CE28EA">
              <w:rPr>
                <w:rFonts w:eastAsia="Calibri"/>
                <w:sz w:val="20"/>
                <w:szCs w:val="20"/>
              </w:rPr>
              <w:t xml:space="preserve">$47,096 </w:t>
            </w:r>
          </w:p>
          <w:p w14:paraId="283767BF" w14:textId="77777777" w:rsidR="00327647" w:rsidRPr="00CE28EA" w:rsidRDefault="00327647" w:rsidP="008D23D5">
            <w:pPr>
              <w:jc w:val="right"/>
              <w:rPr>
                <w:rFonts w:eastAsia="Calibri"/>
                <w:sz w:val="20"/>
                <w:szCs w:val="20"/>
              </w:rPr>
            </w:pPr>
          </w:p>
        </w:tc>
      </w:tr>
      <w:tr w:rsidR="00327647" w:rsidRPr="00CE28EA" w14:paraId="7E01D479" w14:textId="77777777" w:rsidTr="008D23D5">
        <w:trPr>
          <w:cantSplit/>
        </w:trPr>
        <w:tc>
          <w:tcPr>
            <w:tcW w:w="878" w:type="pct"/>
          </w:tcPr>
          <w:p w14:paraId="74E3B406" w14:textId="77777777" w:rsidR="00327647" w:rsidRPr="00CE28EA" w:rsidRDefault="00327647" w:rsidP="008D23D5">
            <w:pPr>
              <w:rPr>
                <w:rFonts w:eastAsia="Calibri"/>
                <w:sz w:val="20"/>
                <w:szCs w:val="20"/>
              </w:rPr>
            </w:pPr>
            <w:r w:rsidRPr="00CE28EA">
              <w:rPr>
                <w:rFonts w:eastAsia="Calibri"/>
                <w:sz w:val="20"/>
                <w:szCs w:val="20"/>
              </w:rPr>
              <w:t>18 CFR 157.53 (Pipeline Purging/Testing Exemptions)</w:t>
            </w:r>
          </w:p>
        </w:tc>
        <w:tc>
          <w:tcPr>
            <w:tcW w:w="746" w:type="pct"/>
          </w:tcPr>
          <w:p w14:paraId="5E7E4031" w14:textId="77777777" w:rsidR="00327647" w:rsidRPr="00CE28EA" w:rsidRDefault="00327647" w:rsidP="008D23D5">
            <w:pPr>
              <w:jc w:val="right"/>
              <w:rPr>
                <w:rFonts w:eastAsia="Calibri"/>
                <w:sz w:val="20"/>
                <w:szCs w:val="20"/>
              </w:rPr>
            </w:pPr>
            <w:r w:rsidRPr="00CE28EA">
              <w:rPr>
                <w:rFonts w:eastAsia="Calibri"/>
                <w:sz w:val="20"/>
                <w:szCs w:val="20"/>
              </w:rPr>
              <w:t>1</w:t>
            </w:r>
          </w:p>
        </w:tc>
        <w:tc>
          <w:tcPr>
            <w:tcW w:w="746" w:type="pct"/>
          </w:tcPr>
          <w:p w14:paraId="2C7174F0" w14:textId="77777777" w:rsidR="00327647" w:rsidRPr="00CE28EA" w:rsidRDefault="00327647" w:rsidP="008D23D5">
            <w:pPr>
              <w:jc w:val="right"/>
              <w:rPr>
                <w:rFonts w:eastAsia="Calibri"/>
                <w:sz w:val="20"/>
                <w:szCs w:val="20"/>
              </w:rPr>
            </w:pPr>
            <w:r w:rsidRPr="00CE28EA">
              <w:rPr>
                <w:rFonts w:eastAsia="Calibri"/>
                <w:sz w:val="20"/>
                <w:szCs w:val="20"/>
              </w:rPr>
              <w:t>1</w:t>
            </w:r>
          </w:p>
        </w:tc>
        <w:tc>
          <w:tcPr>
            <w:tcW w:w="703" w:type="pct"/>
          </w:tcPr>
          <w:p w14:paraId="179FEC90" w14:textId="77777777" w:rsidR="00327647" w:rsidRPr="00CE28EA" w:rsidRDefault="00327647" w:rsidP="008D23D5">
            <w:pPr>
              <w:jc w:val="right"/>
              <w:rPr>
                <w:rFonts w:eastAsia="Calibri"/>
                <w:sz w:val="20"/>
                <w:szCs w:val="20"/>
              </w:rPr>
            </w:pPr>
            <w:r w:rsidRPr="00CE28EA">
              <w:rPr>
                <w:rFonts w:eastAsia="Calibri"/>
                <w:sz w:val="20"/>
                <w:szCs w:val="20"/>
              </w:rPr>
              <w:t>1</w:t>
            </w:r>
          </w:p>
        </w:tc>
        <w:tc>
          <w:tcPr>
            <w:tcW w:w="654" w:type="pct"/>
          </w:tcPr>
          <w:p w14:paraId="6D430DD4" w14:textId="77777777" w:rsidR="00327647" w:rsidRPr="00CE28EA" w:rsidRDefault="00327647" w:rsidP="008D23D5">
            <w:pPr>
              <w:jc w:val="right"/>
              <w:rPr>
                <w:rFonts w:eastAsia="Calibri"/>
                <w:sz w:val="20"/>
                <w:szCs w:val="20"/>
              </w:rPr>
            </w:pPr>
            <w:r w:rsidRPr="00CE28EA">
              <w:rPr>
                <w:rFonts w:eastAsia="Calibri"/>
                <w:sz w:val="20"/>
                <w:szCs w:val="20"/>
              </w:rPr>
              <w:t>50 hrs.;</w:t>
            </w:r>
          </w:p>
          <w:p w14:paraId="40765CBA" w14:textId="77777777" w:rsidR="00327647" w:rsidRPr="00CE28EA" w:rsidRDefault="00327647" w:rsidP="008D23D5">
            <w:pPr>
              <w:jc w:val="right"/>
              <w:rPr>
                <w:rFonts w:eastAsia="Calibri"/>
                <w:sz w:val="20"/>
                <w:szCs w:val="20"/>
              </w:rPr>
            </w:pPr>
            <w:r w:rsidRPr="00CE28EA">
              <w:rPr>
                <w:rFonts w:eastAsia="Calibri"/>
                <w:sz w:val="20"/>
                <w:szCs w:val="20"/>
              </w:rPr>
              <w:t>$3,950</w:t>
            </w:r>
          </w:p>
        </w:tc>
        <w:tc>
          <w:tcPr>
            <w:tcW w:w="657" w:type="pct"/>
          </w:tcPr>
          <w:p w14:paraId="17D015D4" w14:textId="77777777" w:rsidR="00327647" w:rsidRPr="00CE28EA" w:rsidRDefault="00327647" w:rsidP="008D23D5">
            <w:pPr>
              <w:jc w:val="right"/>
              <w:rPr>
                <w:rFonts w:eastAsia="Calibri"/>
                <w:sz w:val="20"/>
                <w:szCs w:val="20"/>
              </w:rPr>
            </w:pPr>
            <w:r w:rsidRPr="00CE28EA">
              <w:rPr>
                <w:rFonts w:eastAsia="Calibri"/>
                <w:sz w:val="20"/>
                <w:szCs w:val="20"/>
              </w:rPr>
              <w:t>50 hrs.;</w:t>
            </w:r>
          </w:p>
          <w:p w14:paraId="24E219B8" w14:textId="77777777" w:rsidR="00327647" w:rsidRPr="00CE28EA" w:rsidRDefault="00327647" w:rsidP="008D23D5">
            <w:pPr>
              <w:jc w:val="right"/>
              <w:rPr>
                <w:rFonts w:eastAsia="Calibri"/>
                <w:sz w:val="20"/>
                <w:szCs w:val="20"/>
              </w:rPr>
            </w:pPr>
            <w:r w:rsidRPr="00CE28EA">
              <w:rPr>
                <w:rFonts w:eastAsia="Calibri"/>
                <w:sz w:val="20"/>
                <w:szCs w:val="20"/>
              </w:rPr>
              <w:t>$3,950</w:t>
            </w:r>
          </w:p>
        </w:tc>
        <w:tc>
          <w:tcPr>
            <w:tcW w:w="616" w:type="pct"/>
          </w:tcPr>
          <w:p w14:paraId="1101680F" w14:textId="77777777" w:rsidR="00327647" w:rsidRPr="00CE28EA" w:rsidRDefault="00327647" w:rsidP="008D23D5">
            <w:pPr>
              <w:jc w:val="right"/>
              <w:rPr>
                <w:rFonts w:eastAsia="Calibri"/>
                <w:sz w:val="20"/>
                <w:szCs w:val="20"/>
              </w:rPr>
            </w:pPr>
            <w:r w:rsidRPr="00CE28EA">
              <w:rPr>
                <w:rFonts w:eastAsia="Calibri"/>
                <w:sz w:val="20"/>
                <w:szCs w:val="20"/>
              </w:rPr>
              <w:t>$3,950</w:t>
            </w:r>
          </w:p>
        </w:tc>
      </w:tr>
      <w:tr w:rsidR="00327647" w:rsidRPr="00CE28EA" w14:paraId="6676F15D" w14:textId="77777777" w:rsidTr="008D23D5">
        <w:trPr>
          <w:cantSplit/>
        </w:trPr>
        <w:tc>
          <w:tcPr>
            <w:tcW w:w="878" w:type="pct"/>
          </w:tcPr>
          <w:p w14:paraId="27411BAC" w14:textId="77777777" w:rsidR="00327647" w:rsidRPr="00CE28EA" w:rsidRDefault="00327647" w:rsidP="008D23D5">
            <w:pPr>
              <w:rPr>
                <w:rFonts w:eastAsia="Calibri"/>
                <w:sz w:val="20"/>
                <w:szCs w:val="20"/>
              </w:rPr>
            </w:pPr>
            <w:r w:rsidRPr="00CE28EA">
              <w:rPr>
                <w:rFonts w:eastAsia="Calibri"/>
                <w:sz w:val="20"/>
                <w:szCs w:val="20"/>
              </w:rPr>
              <w:t>18 CFR 157.201-.209; 157.211; 157.214-.218 (Blanket Certificates Prior to Notice Filings)</w:t>
            </w:r>
          </w:p>
        </w:tc>
        <w:tc>
          <w:tcPr>
            <w:tcW w:w="746" w:type="pct"/>
          </w:tcPr>
          <w:p w14:paraId="07CF56C0" w14:textId="77777777" w:rsidR="00327647" w:rsidRPr="00CE28EA" w:rsidRDefault="00327647" w:rsidP="008D23D5">
            <w:pPr>
              <w:jc w:val="right"/>
              <w:rPr>
                <w:rFonts w:eastAsia="Calibri"/>
                <w:sz w:val="20"/>
                <w:szCs w:val="20"/>
              </w:rPr>
            </w:pPr>
            <w:r w:rsidRPr="00CE28EA">
              <w:rPr>
                <w:rFonts w:eastAsia="Calibri"/>
                <w:sz w:val="20"/>
                <w:szCs w:val="20"/>
              </w:rPr>
              <w:t>21</w:t>
            </w:r>
          </w:p>
        </w:tc>
        <w:tc>
          <w:tcPr>
            <w:tcW w:w="746" w:type="pct"/>
          </w:tcPr>
          <w:p w14:paraId="383FBF3E" w14:textId="77777777" w:rsidR="00327647" w:rsidRPr="00CE28EA" w:rsidRDefault="00327647" w:rsidP="008D23D5">
            <w:pPr>
              <w:jc w:val="right"/>
              <w:rPr>
                <w:rFonts w:eastAsia="Calibri"/>
                <w:sz w:val="20"/>
                <w:szCs w:val="20"/>
              </w:rPr>
            </w:pPr>
            <w:r w:rsidRPr="00CE28EA">
              <w:rPr>
                <w:rFonts w:eastAsia="Calibri"/>
                <w:sz w:val="20"/>
                <w:szCs w:val="20"/>
              </w:rPr>
              <w:t>1.86</w:t>
            </w:r>
          </w:p>
        </w:tc>
        <w:tc>
          <w:tcPr>
            <w:tcW w:w="703" w:type="pct"/>
          </w:tcPr>
          <w:p w14:paraId="00988FE9" w14:textId="77777777" w:rsidR="00327647" w:rsidRPr="00CE28EA" w:rsidRDefault="00327647" w:rsidP="008D23D5">
            <w:pPr>
              <w:jc w:val="right"/>
              <w:rPr>
                <w:rFonts w:eastAsia="Calibri"/>
                <w:sz w:val="20"/>
                <w:szCs w:val="20"/>
              </w:rPr>
            </w:pPr>
            <w:r w:rsidRPr="00CE28EA">
              <w:rPr>
                <w:rFonts w:eastAsia="Calibri"/>
                <w:sz w:val="20"/>
                <w:szCs w:val="20"/>
              </w:rPr>
              <w:t>39</w:t>
            </w:r>
          </w:p>
        </w:tc>
        <w:tc>
          <w:tcPr>
            <w:tcW w:w="654" w:type="pct"/>
          </w:tcPr>
          <w:p w14:paraId="77D57DB6" w14:textId="77777777" w:rsidR="00327647" w:rsidRPr="00CE28EA" w:rsidRDefault="00327647" w:rsidP="008D23D5">
            <w:pPr>
              <w:jc w:val="right"/>
              <w:rPr>
                <w:rFonts w:eastAsia="Calibri"/>
                <w:sz w:val="20"/>
                <w:szCs w:val="20"/>
              </w:rPr>
            </w:pPr>
            <w:r w:rsidRPr="00CE28EA">
              <w:rPr>
                <w:rFonts w:eastAsia="Calibri"/>
                <w:sz w:val="20"/>
                <w:szCs w:val="20"/>
              </w:rPr>
              <w:t>200 hrs;</w:t>
            </w:r>
          </w:p>
          <w:p w14:paraId="5444A56E" w14:textId="77777777" w:rsidR="00327647" w:rsidRPr="00CE28EA" w:rsidRDefault="00327647" w:rsidP="008D23D5">
            <w:pPr>
              <w:jc w:val="right"/>
              <w:rPr>
                <w:rFonts w:eastAsia="Calibri"/>
                <w:sz w:val="20"/>
                <w:szCs w:val="20"/>
              </w:rPr>
            </w:pPr>
            <w:r w:rsidRPr="00CE28EA">
              <w:rPr>
                <w:rFonts w:eastAsia="Calibri"/>
                <w:sz w:val="20"/>
                <w:szCs w:val="20"/>
              </w:rPr>
              <w:t>$15,800</w:t>
            </w:r>
          </w:p>
        </w:tc>
        <w:tc>
          <w:tcPr>
            <w:tcW w:w="657" w:type="pct"/>
          </w:tcPr>
          <w:p w14:paraId="688B4B25" w14:textId="77777777" w:rsidR="00327647" w:rsidRPr="00CE28EA" w:rsidRDefault="00327647" w:rsidP="008D23D5">
            <w:pPr>
              <w:jc w:val="right"/>
              <w:rPr>
                <w:rFonts w:eastAsia="Calibri"/>
                <w:sz w:val="20"/>
                <w:szCs w:val="20"/>
              </w:rPr>
            </w:pPr>
            <w:r w:rsidRPr="00CE28EA">
              <w:rPr>
                <w:rFonts w:eastAsia="Calibri"/>
                <w:sz w:val="20"/>
                <w:szCs w:val="20"/>
              </w:rPr>
              <w:t>7,800 hrs.;</w:t>
            </w:r>
          </w:p>
          <w:p w14:paraId="42CEB0A5" w14:textId="77777777" w:rsidR="00327647" w:rsidRPr="00CE28EA" w:rsidRDefault="00327647" w:rsidP="008D23D5">
            <w:pPr>
              <w:jc w:val="right"/>
              <w:rPr>
                <w:rFonts w:eastAsia="Calibri"/>
                <w:sz w:val="20"/>
                <w:szCs w:val="20"/>
              </w:rPr>
            </w:pPr>
            <w:r w:rsidRPr="00CE28EA">
              <w:rPr>
                <w:rFonts w:eastAsia="Calibri"/>
                <w:sz w:val="20"/>
                <w:szCs w:val="20"/>
              </w:rPr>
              <w:t>$616,200</w:t>
            </w:r>
          </w:p>
        </w:tc>
        <w:tc>
          <w:tcPr>
            <w:tcW w:w="616" w:type="pct"/>
          </w:tcPr>
          <w:p w14:paraId="0E5B7A7E" w14:textId="77777777" w:rsidR="00327647" w:rsidRPr="00CE28EA" w:rsidRDefault="00327647" w:rsidP="008D23D5">
            <w:pPr>
              <w:jc w:val="right"/>
              <w:rPr>
                <w:rFonts w:eastAsia="Calibri"/>
                <w:sz w:val="20"/>
                <w:szCs w:val="20"/>
              </w:rPr>
            </w:pPr>
            <w:r w:rsidRPr="00CE28EA">
              <w:rPr>
                <w:rFonts w:eastAsia="Calibri"/>
                <w:sz w:val="20"/>
                <w:szCs w:val="20"/>
              </w:rPr>
              <w:t>$29,343</w:t>
            </w:r>
          </w:p>
        </w:tc>
      </w:tr>
      <w:tr w:rsidR="00327647" w:rsidRPr="00CE28EA" w14:paraId="4DA01031" w14:textId="77777777" w:rsidTr="008D23D5">
        <w:trPr>
          <w:cantSplit/>
        </w:trPr>
        <w:tc>
          <w:tcPr>
            <w:tcW w:w="878" w:type="pct"/>
          </w:tcPr>
          <w:p w14:paraId="7C166276" w14:textId="77777777" w:rsidR="00327647" w:rsidRPr="00CE28EA" w:rsidRDefault="00327647" w:rsidP="008D23D5">
            <w:pPr>
              <w:rPr>
                <w:rFonts w:eastAsia="Calibri"/>
                <w:sz w:val="20"/>
                <w:szCs w:val="20"/>
              </w:rPr>
            </w:pPr>
            <w:r w:rsidRPr="00CE28EA">
              <w:rPr>
                <w:rFonts w:eastAsia="Calibri"/>
                <w:sz w:val="20"/>
                <w:szCs w:val="20"/>
              </w:rPr>
              <w:t>18 CFR 157.201-.209; 157.211; 157.214-.218 (Blanket Certificates – Annual Reports)</w:t>
            </w:r>
          </w:p>
        </w:tc>
        <w:tc>
          <w:tcPr>
            <w:tcW w:w="746" w:type="pct"/>
          </w:tcPr>
          <w:p w14:paraId="01CC355E" w14:textId="77777777" w:rsidR="00327647" w:rsidRPr="00CE28EA" w:rsidRDefault="00327647" w:rsidP="008D23D5">
            <w:pPr>
              <w:jc w:val="right"/>
              <w:rPr>
                <w:rFonts w:eastAsia="Calibri"/>
                <w:sz w:val="20"/>
                <w:szCs w:val="20"/>
              </w:rPr>
            </w:pPr>
            <w:r w:rsidRPr="00CE28EA">
              <w:rPr>
                <w:rFonts w:eastAsia="Calibri"/>
                <w:sz w:val="20"/>
                <w:szCs w:val="20"/>
              </w:rPr>
              <w:t>129</w:t>
            </w:r>
          </w:p>
        </w:tc>
        <w:tc>
          <w:tcPr>
            <w:tcW w:w="746" w:type="pct"/>
          </w:tcPr>
          <w:p w14:paraId="12280B3A" w14:textId="77777777" w:rsidR="00327647" w:rsidRPr="00CE28EA" w:rsidRDefault="00327647" w:rsidP="008D23D5">
            <w:pPr>
              <w:jc w:val="right"/>
              <w:rPr>
                <w:rFonts w:eastAsia="Calibri"/>
                <w:sz w:val="20"/>
                <w:szCs w:val="20"/>
              </w:rPr>
            </w:pPr>
            <w:r w:rsidRPr="00CE28EA">
              <w:rPr>
                <w:rFonts w:eastAsia="Calibri"/>
                <w:sz w:val="20"/>
                <w:szCs w:val="20"/>
              </w:rPr>
              <w:t>1.05</w:t>
            </w:r>
            <w:r w:rsidRPr="00CE28EA">
              <w:rPr>
                <w:rStyle w:val="FootnoteReference"/>
                <w:rFonts w:eastAsia="Calibri"/>
                <w:sz w:val="20"/>
                <w:szCs w:val="20"/>
              </w:rPr>
              <w:footnoteReference w:id="4"/>
            </w:r>
          </w:p>
        </w:tc>
        <w:tc>
          <w:tcPr>
            <w:tcW w:w="703" w:type="pct"/>
          </w:tcPr>
          <w:p w14:paraId="25436CC4" w14:textId="77777777" w:rsidR="00327647" w:rsidRPr="00CE28EA" w:rsidRDefault="00327647" w:rsidP="008D23D5">
            <w:pPr>
              <w:jc w:val="right"/>
              <w:rPr>
                <w:rFonts w:eastAsia="Calibri"/>
                <w:sz w:val="20"/>
                <w:szCs w:val="20"/>
              </w:rPr>
            </w:pPr>
            <w:r w:rsidRPr="00CE28EA">
              <w:rPr>
                <w:rFonts w:eastAsia="Calibri"/>
                <w:sz w:val="20"/>
                <w:szCs w:val="20"/>
              </w:rPr>
              <w:t>135</w:t>
            </w:r>
          </w:p>
        </w:tc>
        <w:tc>
          <w:tcPr>
            <w:tcW w:w="654" w:type="pct"/>
          </w:tcPr>
          <w:p w14:paraId="26B06AA1" w14:textId="77777777" w:rsidR="00327647" w:rsidRPr="00CE28EA" w:rsidRDefault="00327647" w:rsidP="008D23D5">
            <w:pPr>
              <w:jc w:val="right"/>
              <w:rPr>
                <w:rFonts w:eastAsia="Calibri"/>
                <w:sz w:val="20"/>
                <w:szCs w:val="20"/>
              </w:rPr>
            </w:pPr>
            <w:r w:rsidRPr="00CE28EA">
              <w:rPr>
                <w:rFonts w:eastAsia="Calibri"/>
                <w:sz w:val="20"/>
                <w:szCs w:val="20"/>
              </w:rPr>
              <w:t>50 hrs.;</w:t>
            </w:r>
          </w:p>
          <w:p w14:paraId="58F76AA5" w14:textId="77777777" w:rsidR="00327647" w:rsidRPr="00CE28EA" w:rsidRDefault="00327647" w:rsidP="008D23D5">
            <w:pPr>
              <w:jc w:val="right"/>
              <w:rPr>
                <w:rFonts w:eastAsia="Calibri"/>
                <w:sz w:val="20"/>
                <w:szCs w:val="20"/>
              </w:rPr>
            </w:pPr>
            <w:r w:rsidRPr="00CE28EA">
              <w:rPr>
                <w:rFonts w:eastAsia="Calibri"/>
                <w:sz w:val="20"/>
                <w:szCs w:val="20"/>
              </w:rPr>
              <w:t>$3,950</w:t>
            </w:r>
          </w:p>
        </w:tc>
        <w:tc>
          <w:tcPr>
            <w:tcW w:w="657" w:type="pct"/>
          </w:tcPr>
          <w:p w14:paraId="26C312B6" w14:textId="77777777" w:rsidR="00327647" w:rsidRPr="00CE28EA" w:rsidRDefault="00327647" w:rsidP="008D23D5">
            <w:pPr>
              <w:jc w:val="right"/>
              <w:rPr>
                <w:rFonts w:eastAsia="Calibri"/>
                <w:sz w:val="20"/>
                <w:szCs w:val="20"/>
              </w:rPr>
            </w:pPr>
            <w:r w:rsidRPr="00CE28EA">
              <w:rPr>
                <w:rFonts w:eastAsia="Calibri"/>
                <w:sz w:val="20"/>
                <w:szCs w:val="20"/>
              </w:rPr>
              <w:t>6,750 hrs.;</w:t>
            </w:r>
          </w:p>
          <w:p w14:paraId="24B190A2" w14:textId="77777777" w:rsidR="00327647" w:rsidRPr="00CE28EA" w:rsidRDefault="00327647" w:rsidP="008D23D5">
            <w:pPr>
              <w:jc w:val="right"/>
              <w:rPr>
                <w:rFonts w:eastAsia="Calibri"/>
                <w:sz w:val="20"/>
                <w:szCs w:val="20"/>
              </w:rPr>
            </w:pPr>
            <w:r w:rsidRPr="00CE28EA">
              <w:rPr>
                <w:rFonts w:eastAsia="Calibri"/>
                <w:sz w:val="20"/>
                <w:szCs w:val="20"/>
              </w:rPr>
              <w:t>$533,250</w:t>
            </w:r>
          </w:p>
        </w:tc>
        <w:tc>
          <w:tcPr>
            <w:tcW w:w="616" w:type="pct"/>
          </w:tcPr>
          <w:p w14:paraId="4B065963" w14:textId="77777777" w:rsidR="00327647" w:rsidRPr="00CE28EA" w:rsidRDefault="00327647" w:rsidP="008D23D5">
            <w:pPr>
              <w:jc w:val="right"/>
              <w:rPr>
                <w:rFonts w:eastAsia="Calibri"/>
                <w:sz w:val="20"/>
                <w:szCs w:val="20"/>
              </w:rPr>
            </w:pPr>
            <w:r w:rsidRPr="00CE28EA">
              <w:rPr>
                <w:rFonts w:eastAsia="Calibri"/>
                <w:sz w:val="20"/>
                <w:szCs w:val="20"/>
              </w:rPr>
              <w:t>$4,134</w:t>
            </w:r>
          </w:p>
        </w:tc>
      </w:tr>
      <w:tr w:rsidR="00327647" w:rsidRPr="00CE28EA" w14:paraId="5243F4F9" w14:textId="77777777" w:rsidTr="008D23D5">
        <w:trPr>
          <w:cantSplit/>
        </w:trPr>
        <w:tc>
          <w:tcPr>
            <w:tcW w:w="878" w:type="pct"/>
          </w:tcPr>
          <w:p w14:paraId="109A10DA" w14:textId="77777777" w:rsidR="00327647" w:rsidRPr="00CE28EA" w:rsidRDefault="00327647" w:rsidP="008D23D5">
            <w:pPr>
              <w:rPr>
                <w:rFonts w:eastAsia="Calibri"/>
                <w:sz w:val="20"/>
                <w:szCs w:val="20"/>
              </w:rPr>
            </w:pPr>
            <w:r w:rsidRPr="00CE28EA">
              <w:rPr>
                <w:rFonts w:eastAsia="Calibri"/>
                <w:sz w:val="20"/>
                <w:szCs w:val="20"/>
              </w:rPr>
              <w:t>18 CFR 284.11 (NGPA Section 311 Construction – Annual Reports)</w:t>
            </w:r>
          </w:p>
        </w:tc>
        <w:tc>
          <w:tcPr>
            <w:tcW w:w="746" w:type="pct"/>
          </w:tcPr>
          <w:p w14:paraId="01854800" w14:textId="77777777" w:rsidR="00327647" w:rsidRPr="00CE28EA" w:rsidRDefault="00327647" w:rsidP="008D23D5">
            <w:pPr>
              <w:jc w:val="right"/>
              <w:rPr>
                <w:rFonts w:eastAsia="Calibri"/>
                <w:sz w:val="20"/>
                <w:szCs w:val="20"/>
              </w:rPr>
            </w:pPr>
            <w:r w:rsidRPr="00CE28EA">
              <w:rPr>
                <w:rFonts w:eastAsia="Calibri"/>
                <w:sz w:val="20"/>
                <w:szCs w:val="20"/>
              </w:rPr>
              <w:t>83</w:t>
            </w:r>
          </w:p>
        </w:tc>
        <w:tc>
          <w:tcPr>
            <w:tcW w:w="746" w:type="pct"/>
          </w:tcPr>
          <w:p w14:paraId="7127E271" w14:textId="77777777" w:rsidR="00327647" w:rsidRPr="00CE28EA" w:rsidRDefault="00327647" w:rsidP="008D23D5">
            <w:pPr>
              <w:jc w:val="right"/>
              <w:rPr>
                <w:rFonts w:eastAsia="Calibri"/>
                <w:sz w:val="20"/>
                <w:szCs w:val="20"/>
              </w:rPr>
            </w:pPr>
            <w:r w:rsidRPr="00CE28EA">
              <w:rPr>
                <w:rFonts w:eastAsia="Calibri"/>
                <w:sz w:val="20"/>
                <w:szCs w:val="20"/>
              </w:rPr>
              <w:t>1.01</w:t>
            </w:r>
            <w:r w:rsidRPr="00CE28EA">
              <w:rPr>
                <w:rStyle w:val="FootnoteReference"/>
                <w:rFonts w:eastAsia="Calibri"/>
                <w:sz w:val="20"/>
                <w:szCs w:val="20"/>
              </w:rPr>
              <w:footnoteReference w:id="5"/>
            </w:r>
          </w:p>
        </w:tc>
        <w:tc>
          <w:tcPr>
            <w:tcW w:w="703" w:type="pct"/>
          </w:tcPr>
          <w:p w14:paraId="2226FCF8" w14:textId="77777777" w:rsidR="00327647" w:rsidRPr="00CE28EA" w:rsidRDefault="00327647" w:rsidP="008D23D5">
            <w:pPr>
              <w:jc w:val="right"/>
              <w:rPr>
                <w:rFonts w:eastAsia="Calibri"/>
                <w:sz w:val="20"/>
                <w:szCs w:val="20"/>
              </w:rPr>
            </w:pPr>
            <w:r w:rsidRPr="00CE28EA">
              <w:rPr>
                <w:rFonts w:eastAsia="Calibri"/>
                <w:sz w:val="20"/>
                <w:szCs w:val="20"/>
              </w:rPr>
              <w:t>84</w:t>
            </w:r>
          </w:p>
        </w:tc>
        <w:tc>
          <w:tcPr>
            <w:tcW w:w="654" w:type="pct"/>
          </w:tcPr>
          <w:p w14:paraId="4CC3751C" w14:textId="77777777" w:rsidR="00327647" w:rsidRPr="00CE28EA" w:rsidRDefault="00327647" w:rsidP="008D23D5">
            <w:pPr>
              <w:jc w:val="right"/>
              <w:rPr>
                <w:rFonts w:eastAsia="Calibri"/>
                <w:sz w:val="20"/>
                <w:szCs w:val="20"/>
              </w:rPr>
            </w:pPr>
            <w:r w:rsidRPr="00CE28EA">
              <w:rPr>
                <w:rFonts w:eastAsia="Calibri"/>
                <w:sz w:val="20"/>
                <w:szCs w:val="20"/>
              </w:rPr>
              <w:t>50 hrs.;</w:t>
            </w:r>
          </w:p>
          <w:p w14:paraId="017083CD" w14:textId="77777777" w:rsidR="00327647" w:rsidRPr="00CE28EA" w:rsidRDefault="00327647" w:rsidP="008D23D5">
            <w:pPr>
              <w:jc w:val="right"/>
              <w:rPr>
                <w:rFonts w:eastAsia="Calibri"/>
                <w:sz w:val="20"/>
                <w:szCs w:val="20"/>
              </w:rPr>
            </w:pPr>
            <w:r w:rsidRPr="00CE28EA">
              <w:rPr>
                <w:rFonts w:eastAsia="Calibri"/>
                <w:sz w:val="20"/>
                <w:szCs w:val="20"/>
              </w:rPr>
              <w:t>$3,950</w:t>
            </w:r>
          </w:p>
        </w:tc>
        <w:tc>
          <w:tcPr>
            <w:tcW w:w="657" w:type="pct"/>
          </w:tcPr>
          <w:p w14:paraId="547CEDAB" w14:textId="77777777" w:rsidR="00327647" w:rsidRPr="00CE28EA" w:rsidRDefault="00327647" w:rsidP="008D23D5">
            <w:pPr>
              <w:jc w:val="right"/>
              <w:rPr>
                <w:rFonts w:eastAsia="Calibri"/>
                <w:sz w:val="20"/>
                <w:szCs w:val="20"/>
              </w:rPr>
            </w:pPr>
            <w:r w:rsidRPr="00CE28EA">
              <w:rPr>
                <w:rFonts w:eastAsia="Calibri"/>
                <w:sz w:val="20"/>
                <w:szCs w:val="20"/>
              </w:rPr>
              <w:t>4,200 hrs.;</w:t>
            </w:r>
          </w:p>
          <w:p w14:paraId="57B69AAE" w14:textId="77777777" w:rsidR="00327647" w:rsidRPr="00CE28EA" w:rsidRDefault="00327647" w:rsidP="008D23D5">
            <w:pPr>
              <w:jc w:val="right"/>
              <w:rPr>
                <w:rFonts w:eastAsia="Calibri"/>
                <w:sz w:val="20"/>
                <w:szCs w:val="20"/>
              </w:rPr>
            </w:pPr>
            <w:r w:rsidRPr="00CE28EA">
              <w:rPr>
                <w:rFonts w:eastAsia="Calibri"/>
                <w:sz w:val="20"/>
                <w:szCs w:val="20"/>
              </w:rPr>
              <w:t>$331,800</w:t>
            </w:r>
          </w:p>
        </w:tc>
        <w:tc>
          <w:tcPr>
            <w:tcW w:w="616" w:type="pct"/>
          </w:tcPr>
          <w:p w14:paraId="1358D72F" w14:textId="77777777" w:rsidR="00327647" w:rsidRPr="00CE28EA" w:rsidRDefault="00327647" w:rsidP="008D23D5">
            <w:pPr>
              <w:jc w:val="right"/>
              <w:rPr>
                <w:rFonts w:eastAsia="Calibri"/>
                <w:sz w:val="20"/>
                <w:szCs w:val="20"/>
              </w:rPr>
            </w:pPr>
            <w:r w:rsidRPr="00CE28EA">
              <w:rPr>
                <w:rFonts w:eastAsia="Calibri"/>
                <w:sz w:val="20"/>
                <w:szCs w:val="20"/>
              </w:rPr>
              <w:t>$3,998</w:t>
            </w:r>
          </w:p>
        </w:tc>
      </w:tr>
      <w:tr w:rsidR="00327647" w:rsidRPr="00CE28EA" w14:paraId="741B181A" w14:textId="77777777" w:rsidTr="008D23D5">
        <w:trPr>
          <w:cantSplit/>
        </w:trPr>
        <w:tc>
          <w:tcPr>
            <w:tcW w:w="878" w:type="pct"/>
          </w:tcPr>
          <w:p w14:paraId="1419D890" w14:textId="77777777" w:rsidR="00327647" w:rsidRPr="00CE28EA" w:rsidRDefault="00327647" w:rsidP="008D23D5">
            <w:pPr>
              <w:rPr>
                <w:rFonts w:eastAsia="Calibri"/>
                <w:sz w:val="20"/>
                <w:szCs w:val="20"/>
              </w:rPr>
            </w:pPr>
            <w:r w:rsidRPr="00CE28EA">
              <w:rPr>
                <w:rFonts w:eastAsia="Calibri"/>
                <w:sz w:val="20"/>
                <w:szCs w:val="20"/>
              </w:rPr>
              <w:t>18 CFR 284.8</w:t>
            </w:r>
          </w:p>
        </w:tc>
        <w:tc>
          <w:tcPr>
            <w:tcW w:w="746" w:type="pct"/>
          </w:tcPr>
          <w:p w14:paraId="3E95D990" w14:textId="77777777" w:rsidR="00327647" w:rsidRPr="00CE28EA" w:rsidRDefault="00327647" w:rsidP="008D23D5">
            <w:pPr>
              <w:jc w:val="right"/>
              <w:rPr>
                <w:rFonts w:eastAsia="Calibri"/>
                <w:sz w:val="20"/>
                <w:szCs w:val="20"/>
              </w:rPr>
            </w:pPr>
            <w:r w:rsidRPr="00CE28EA">
              <w:rPr>
                <w:rFonts w:eastAsia="Calibri"/>
                <w:sz w:val="20"/>
                <w:szCs w:val="20"/>
              </w:rPr>
              <w:t>178</w:t>
            </w:r>
          </w:p>
        </w:tc>
        <w:tc>
          <w:tcPr>
            <w:tcW w:w="746" w:type="pct"/>
          </w:tcPr>
          <w:p w14:paraId="15C84D92" w14:textId="77777777" w:rsidR="00327647" w:rsidRPr="00CE28EA" w:rsidRDefault="00327647" w:rsidP="008D23D5">
            <w:pPr>
              <w:jc w:val="right"/>
              <w:rPr>
                <w:rFonts w:eastAsia="Calibri"/>
                <w:sz w:val="20"/>
                <w:szCs w:val="20"/>
              </w:rPr>
            </w:pPr>
            <w:r w:rsidRPr="00CE28EA">
              <w:rPr>
                <w:rFonts w:eastAsia="Calibri"/>
                <w:sz w:val="20"/>
                <w:szCs w:val="20"/>
              </w:rPr>
              <w:t>0</w:t>
            </w:r>
          </w:p>
        </w:tc>
        <w:tc>
          <w:tcPr>
            <w:tcW w:w="703" w:type="pct"/>
          </w:tcPr>
          <w:p w14:paraId="40548EDD" w14:textId="77777777" w:rsidR="00327647" w:rsidRPr="00CE28EA" w:rsidRDefault="00327647" w:rsidP="008D23D5">
            <w:pPr>
              <w:jc w:val="right"/>
              <w:rPr>
                <w:rFonts w:eastAsia="Calibri"/>
                <w:sz w:val="20"/>
                <w:szCs w:val="20"/>
              </w:rPr>
            </w:pPr>
            <w:r w:rsidRPr="00CE28EA">
              <w:rPr>
                <w:rFonts w:eastAsia="Calibri"/>
                <w:sz w:val="20"/>
                <w:szCs w:val="20"/>
              </w:rPr>
              <w:t>0</w:t>
            </w:r>
          </w:p>
        </w:tc>
        <w:tc>
          <w:tcPr>
            <w:tcW w:w="654" w:type="pct"/>
          </w:tcPr>
          <w:p w14:paraId="06F9904D" w14:textId="77777777" w:rsidR="00327647" w:rsidRPr="00CE28EA" w:rsidRDefault="00327647" w:rsidP="008D23D5">
            <w:pPr>
              <w:jc w:val="right"/>
              <w:rPr>
                <w:rFonts w:eastAsia="Calibri"/>
                <w:sz w:val="20"/>
                <w:szCs w:val="20"/>
              </w:rPr>
            </w:pPr>
            <w:r w:rsidRPr="00CE28EA">
              <w:rPr>
                <w:rFonts w:eastAsia="Calibri"/>
                <w:sz w:val="20"/>
                <w:szCs w:val="20"/>
              </w:rPr>
              <w:t>N/A</w:t>
            </w:r>
          </w:p>
        </w:tc>
        <w:tc>
          <w:tcPr>
            <w:tcW w:w="657" w:type="pct"/>
          </w:tcPr>
          <w:p w14:paraId="2F218F8C" w14:textId="77777777" w:rsidR="00327647" w:rsidRPr="00CE28EA" w:rsidRDefault="00327647" w:rsidP="008D23D5">
            <w:pPr>
              <w:jc w:val="right"/>
              <w:rPr>
                <w:rFonts w:eastAsia="Calibri"/>
                <w:sz w:val="20"/>
                <w:szCs w:val="20"/>
              </w:rPr>
            </w:pPr>
            <w:r w:rsidRPr="00CE28EA">
              <w:rPr>
                <w:rFonts w:eastAsia="Calibri"/>
                <w:sz w:val="20"/>
                <w:szCs w:val="20"/>
              </w:rPr>
              <w:t>N/A</w:t>
            </w:r>
          </w:p>
        </w:tc>
        <w:tc>
          <w:tcPr>
            <w:tcW w:w="616" w:type="pct"/>
          </w:tcPr>
          <w:p w14:paraId="358CC2D4" w14:textId="77777777" w:rsidR="00327647" w:rsidRPr="00CE28EA" w:rsidRDefault="00327647" w:rsidP="008D23D5">
            <w:pPr>
              <w:jc w:val="right"/>
              <w:rPr>
                <w:rFonts w:eastAsia="Calibri"/>
                <w:sz w:val="20"/>
                <w:szCs w:val="20"/>
              </w:rPr>
            </w:pPr>
            <w:r w:rsidRPr="00CE28EA">
              <w:rPr>
                <w:rFonts w:eastAsia="Calibri"/>
                <w:sz w:val="20"/>
                <w:szCs w:val="20"/>
              </w:rPr>
              <w:t>N/A</w:t>
            </w:r>
          </w:p>
        </w:tc>
      </w:tr>
      <w:tr w:rsidR="00327647" w:rsidRPr="00CE28EA" w14:paraId="7EAB33CC" w14:textId="77777777" w:rsidTr="008D23D5">
        <w:trPr>
          <w:cantSplit/>
        </w:trPr>
        <w:tc>
          <w:tcPr>
            <w:tcW w:w="878" w:type="pct"/>
          </w:tcPr>
          <w:p w14:paraId="4E789C86" w14:textId="77777777" w:rsidR="00327647" w:rsidRPr="00CE28EA" w:rsidRDefault="00327647" w:rsidP="008D23D5">
            <w:pPr>
              <w:rPr>
                <w:rFonts w:eastAsia="Calibri"/>
                <w:sz w:val="20"/>
                <w:szCs w:val="20"/>
              </w:rPr>
            </w:pPr>
            <w:r w:rsidRPr="00CE28EA">
              <w:rPr>
                <w:rFonts w:eastAsia="Calibri"/>
                <w:sz w:val="20"/>
                <w:szCs w:val="20"/>
              </w:rPr>
              <w:t>18 CFR 284.13(e) and 284.126(a) (Interstate and Intrastate Bypass Notice)</w:t>
            </w:r>
          </w:p>
        </w:tc>
        <w:tc>
          <w:tcPr>
            <w:tcW w:w="746" w:type="pct"/>
          </w:tcPr>
          <w:p w14:paraId="04199CEC" w14:textId="77777777" w:rsidR="00327647" w:rsidRPr="00CE28EA" w:rsidRDefault="00327647" w:rsidP="008D23D5">
            <w:pPr>
              <w:jc w:val="right"/>
              <w:rPr>
                <w:rFonts w:eastAsia="Calibri"/>
                <w:sz w:val="20"/>
                <w:szCs w:val="20"/>
              </w:rPr>
            </w:pPr>
            <w:r w:rsidRPr="00CE28EA">
              <w:rPr>
                <w:rFonts w:eastAsia="Calibri"/>
                <w:sz w:val="20"/>
                <w:szCs w:val="20"/>
              </w:rPr>
              <w:t>2</w:t>
            </w:r>
          </w:p>
        </w:tc>
        <w:tc>
          <w:tcPr>
            <w:tcW w:w="746" w:type="pct"/>
          </w:tcPr>
          <w:p w14:paraId="65A5ADD9" w14:textId="77777777" w:rsidR="00327647" w:rsidRPr="00CE28EA" w:rsidRDefault="00327647" w:rsidP="008D23D5">
            <w:pPr>
              <w:jc w:val="right"/>
              <w:rPr>
                <w:rFonts w:eastAsia="Calibri"/>
                <w:sz w:val="20"/>
                <w:szCs w:val="20"/>
              </w:rPr>
            </w:pPr>
            <w:r w:rsidRPr="00CE28EA">
              <w:rPr>
                <w:rFonts w:eastAsia="Calibri"/>
                <w:sz w:val="20"/>
                <w:szCs w:val="20"/>
              </w:rPr>
              <w:t>1</w:t>
            </w:r>
          </w:p>
        </w:tc>
        <w:tc>
          <w:tcPr>
            <w:tcW w:w="703" w:type="pct"/>
          </w:tcPr>
          <w:p w14:paraId="200B4CCE" w14:textId="77777777" w:rsidR="00327647" w:rsidRPr="00CE28EA" w:rsidRDefault="00327647" w:rsidP="008D23D5">
            <w:pPr>
              <w:jc w:val="right"/>
              <w:rPr>
                <w:rFonts w:eastAsia="Calibri"/>
                <w:sz w:val="20"/>
                <w:szCs w:val="20"/>
              </w:rPr>
            </w:pPr>
            <w:r w:rsidRPr="00CE28EA">
              <w:rPr>
                <w:rFonts w:eastAsia="Calibri"/>
                <w:sz w:val="20"/>
                <w:szCs w:val="20"/>
              </w:rPr>
              <w:t>2</w:t>
            </w:r>
          </w:p>
        </w:tc>
        <w:tc>
          <w:tcPr>
            <w:tcW w:w="654" w:type="pct"/>
          </w:tcPr>
          <w:p w14:paraId="6C8E2EAF" w14:textId="77777777" w:rsidR="00327647" w:rsidRPr="00CE28EA" w:rsidRDefault="00327647" w:rsidP="008D23D5">
            <w:pPr>
              <w:jc w:val="right"/>
              <w:rPr>
                <w:rFonts w:eastAsia="Calibri"/>
                <w:sz w:val="20"/>
                <w:szCs w:val="20"/>
              </w:rPr>
            </w:pPr>
            <w:r w:rsidRPr="00CE28EA">
              <w:rPr>
                <w:rFonts w:eastAsia="Calibri"/>
                <w:sz w:val="20"/>
                <w:szCs w:val="20"/>
              </w:rPr>
              <w:t>30 hrs.;</w:t>
            </w:r>
          </w:p>
          <w:p w14:paraId="25A1E417" w14:textId="77777777" w:rsidR="00327647" w:rsidRPr="00CE28EA" w:rsidRDefault="00327647" w:rsidP="008D23D5">
            <w:pPr>
              <w:jc w:val="right"/>
              <w:rPr>
                <w:rFonts w:eastAsia="Calibri"/>
                <w:sz w:val="20"/>
                <w:szCs w:val="20"/>
              </w:rPr>
            </w:pPr>
            <w:r w:rsidRPr="00CE28EA">
              <w:rPr>
                <w:rFonts w:eastAsia="Calibri"/>
                <w:sz w:val="20"/>
                <w:szCs w:val="20"/>
              </w:rPr>
              <w:t>$2,370</w:t>
            </w:r>
          </w:p>
        </w:tc>
        <w:tc>
          <w:tcPr>
            <w:tcW w:w="657" w:type="pct"/>
          </w:tcPr>
          <w:p w14:paraId="4EB80B37" w14:textId="77777777" w:rsidR="00327647" w:rsidRPr="00CE28EA" w:rsidRDefault="00327647" w:rsidP="008D23D5">
            <w:pPr>
              <w:jc w:val="right"/>
              <w:rPr>
                <w:rFonts w:eastAsia="Calibri"/>
                <w:sz w:val="20"/>
                <w:szCs w:val="20"/>
              </w:rPr>
            </w:pPr>
            <w:r w:rsidRPr="00CE28EA">
              <w:rPr>
                <w:rFonts w:eastAsia="Calibri"/>
                <w:sz w:val="20"/>
                <w:szCs w:val="20"/>
              </w:rPr>
              <w:t>60 hrs.;</w:t>
            </w:r>
          </w:p>
          <w:p w14:paraId="0593140D" w14:textId="77777777" w:rsidR="00327647" w:rsidRPr="00CE28EA" w:rsidRDefault="00327647" w:rsidP="008D23D5">
            <w:pPr>
              <w:jc w:val="right"/>
              <w:rPr>
                <w:rFonts w:eastAsia="Calibri"/>
                <w:sz w:val="20"/>
                <w:szCs w:val="20"/>
              </w:rPr>
            </w:pPr>
            <w:r w:rsidRPr="00CE28EA">
              <w:rPr>
                <w:rFonts w:eastAsia="Calibri"/>
                <w:sz w:val="20"/>
                <w:szCs w:val="20"/>
              </w:rPr>
              <w:t>$4,740</w:t>
            </w:r>
          </w:p>
        </w:tc>
        <w:tc>
          <w:tcPr>
            <w:tcW w:w="616" w:type="pct"/>
          </w:tcPr>
          <w:p w14:paraId="7674ECBE" w14:textId="77777777" w:rsidR="00327647" w:rsidRPr="00CE28EA" w:rsidRDefault="00327647" w:rsidP="008D23D5">
            <w:pPr>
              <w:jc w:val="right"/>
              <w:rPr>
                <w:rFonts w:eastAsia="Calibri"/>
                <w:sz w:val="20"/>
                <w:szCs w:val="20"/>
              </w:rPr>
            </w:pPr>
            <w:r w:rsidRPr="00CE28EA">
              <w:rPr>
                <w:rFonts w:eastAsia="Calibri"/>
                <w:sz w:val="20"/>
                <w:szCs w:val="20"/>
              </w:rPr>
              <w:t>$2,370</w:t>
            </w:r>
          </w:p>
        </w:tc>
      </w:tr>
      <w:tr w:rsidR="00327647" w:rsidRPr="00CE28EA" w14:paraId="145F784F" w14:textId="77777777" w:rsidTr="008D23D5">
        <w:trPr>
          <w:cantSplit/>
        </w:trPr>
        <w:tc>
          <w:tcPr>
            <w:tcW w:w="878" w:type="pct"/>
          </w:tcPr>
          <w:p w14:paraId="08EF2634" w14:textId="77777777" w:rsidR="00327647" w:rsidRPr="00CE28EA" w:rsidRDefault="00327647" w:rsidP="008D23D5">
            <w:pPr>
              <w:tabs>
                <w:tab w:val="center" w:pos="772"/>
              </w:tabs>
              <w:rPr>
                <w:rFonts w:eastAsia="Calibri"/>
                <w:sz w:val="20"/>
                <w:szCs w:val="20"/>
              </w:rPr>
            </w:pPr>
            <w:r w:rsidRPr="00CE28EA">
              <w:rPr>
                <w:rFonts w:eastAsia="Calibri"/>
                <w:sz w:val="20"/>
                <w:szCs w:val="20"/>
              </w:rPr>
              <w:t>18 CFR 284.221 (Blanket Certificates)</w:t>
            </w:r>
            <w:r w:rsidRPr="00CE28EA">
              <w:rPr>
                <w:rStyle w:val="FootnoteReference"/>
                <w:rFonts w:eastAsia="Calibri"/>
                <w:sz w:val="20"/>
                <w:szCs w:val="20"/>
              </w:rPr>
              <w:footnoteReference w:id="6"/>
            </w:r>
          </w:p>
        </w:tc>
        <w:tc>
          <w:tcPr>
            <w:tcW w:w="746" w:type="pct"/>
          </w:tcPr>
          <w:p w14:paraId="59994D90" w14:textId="77777777" w:rsidR="00327647" w:rsidRPr="00CE28EA" w:rsidRDefault="00327647" w:rsidP="008D23D5">
            <w:pPr>
              <w:jc w:val="right"/>
              <w:rPr>
                <w:rFonts w:eastAsia="Calibri"/>
                <w:sz w:val="20"/>
                <w:szCs w:val="20"/>
              </w:rPr>
            </w:pPr>
            <w:r w:rsidRPr="00CE28EA">
              <w:rPr>
                <w:rFonts w:eastAsia="Calibri"/>
                <w:sz w:val="20"/>
                <w:szCs w:val="20"/>
              </w:rPr>
              <w:t>5</w:t>
            </w:r>
          </w:p>
        </w:tc>
        <w:tc>
          <w:tcPr>
            <w:tcW w:w="746" w:type="pct"/>
          </w:tcPr>
          <w:p w14:paraId="694181C0" w14:textId="77777777" w:rsidR="00327647" w:rsidRPr="00CE28EA" w:rsidRDefault="00327647" w:rsidP="008D23D5">
            <w:pPr>
              <w:jc w:val="right"/>
              <w:rPr>
                <w:rFonts w:eastAsia="Calibri"/>
                <w:sz w:val="20"/>
                <w:szCs w:val="20"/>
              </w:rPr>
            </w:pPr>
            <w:r w:rsidRPr="00CE28EA">
              <w:rPr>
                <w:rFonts w:eastAsia="Calibri"/>
                <w:sz w:val="20"/>
                <w:szCs w:val="20"/>
              </w:rPr>
              <w:t>1.4</w:t>
            </w:r>
            <w:r w:rsidRPr="00CE28EA">
              <w:rPr>
                <w:rStyle w:val="FootnoteReference"/>
                <w:rFonts w:eastAsia="Calibri"/>
                <w:sz w:val="20"/>
                <w:szCs w:val="20"/>
              </w:rPr>
              <w:footnoteReference w:id="7"/>
            </w:r>
          </w:p>
        </w:tc>
        <w:tc>
          <w:tcPr>
            <w:tcW w:w="703" w:type="pct"/>
          </w:tcPr>
          <w:p w14:paraId="111B86EF" w14:textId="77777777" w:rsidR="00327647" w:rsidRPr="00CE28EA" w:rsidRDefault="00327647" w:rsidP="008D23D5">
            <w:pPr>
              <w:jc w:val="right"/>
              <w:rPr>
                <w:rFonts w:eastAsia="Calibri"/>
                <w:sz w:val="20"/>
                <w:szCs w:val="20"/>
              </w:rPr>
            </w:pPr>
            <w:r w:rsidRPr="00CE28EA">
              <w:rPr>
                <w:rFonts w:eastAsia="Calibri"/>
                <w:sz w:val="20"/>
                <w:szCs w:val="20"/>
              </w:rPr>
              <w:t>7</w:t>
            </w:r>
          </w:p>
        </w:tc>
        <w:tc>
          <w:tcPr>
            <w:tcW w:w="654" w:type="pct"/>
          </w:tcPr>
          <w:p w14:paraId="68142CAE" w14:textId="77777777" w:rsidR="00327647" w:rsidRPr="00CE28EA" w:rsidRDefault="00327647" w:rsidP="008D23D5">
            <w:pPr>
              <w:jc w:val="right"/>
              <w:rPr>
                <w:rFonts w:eastAsia="Calibri"/>
                <w:sz w:val="20"/>
                <w:szCs w:val="20"/>
              </w:rPr>
            </w:pPr>
            <w:r w:rsidRPr="00CE28EA">
              <w:rPr>
                <w:rFonts w:eastAsia="Calibri"/>
                <w:sz w:val="20"/>
                <w:szCs w:val="20"/>
              </w:rPr>
              <w:t>100 hrs.;</w:t>
            </w:r>
          </w:p>
          <w:p w14:paraId="6902EF57" w14:textId="77777777" w:rsidR="00327647" w:rsidRPr="00CE28EA" w:rsidRDefault="00327647" w:rsidP="008D23D5">
            <w:pPr>
              <w:jc w:val="right"/>
              <w:rPr>
                <w:rFonts w:eastAsia="Calibri"/>
                <w:sz w:val="20"/>
                <w:szCs w:val="20"/>
              </w:rPr>
            </w:pPr>
            <w:r w:rsidRPr="00CE28EA">
              <w:rPr>
                <w:rFonts w:eastAsia="Calibri"/>
                <w:sz w:val="20"/>
                <w:szCs w:val="20"/>
              </w:rPr>
              <w:t>$7,900</w:t>
            </w:r>
          </w:p>
        </w:tc>
        <w:tc>
          <w:tcPr>
            <w:tcW w:w="657" w:type="pct"/>
          </w:tcPr>
          <w:p w14:paraId="30A4DE88" w14:textId="77777777" w:rsidR="00327647" w:rsidRPr="00CE28EA" w:rsidRDefault="00327647" w:rsidP="008D23D5">
            <w:pPr>
              <w:jc w:val="right"/>
              <w:rPr>
                <w:rFonts w:eastAsia="Calibri"/>
                <w:sz w:val="20"/>
                <w:szCs w:val="20"/>
              </w:rPr>
            </w:pPr>
            <w:r w:rsidRPr="00CE28EA">
              <w:rPr>
                <w:rFonts w:eastAsia="Calibri"/>
                <w:sz w:val="20"/>
                <w:szCs w:val="20"/>
              </w:rPr>
              <w:t>700 hrs.;</w:t>
            </w:r>
          </w:p>
          <w:p w14:paraId="3FF9DFE6" w14:textId="77777777" w:rsidR="00327647" w:rsidRPr="00CE28EA" w:rsidRDefault="00327647" w:rsidP="008D23D5">
            <w:pPr>
              <w:jc w:val="right"/>
              <w:rPr>
                <w:rFonts w:eastAsia="Calibri"/>
                <w:sz w:val="20"/>
                <w:szCs w:val="20"/>
              </w:rPr>
            </w:pPr>
            <w:r w:rsidRPr="00CE28EA">
              <w:rPr>
                <w:rFonts w:eastAsia="Calibri"/>
                <w:sz w:val="20"/>
                <w:szCs w:val="20"/>
              </w:rPr>
              <w:t>$55,300</w:t>
            </w:r>
          </w:p>
        </w:tc>
        <w:tc>
          <w:tcPr>
            <w:tcW w:w="616" w:type="pct"/>
          </w:tcPr>
          <w:p w14:paraId="700F41E2" w14:textId="77777777" w:rsidR="00327647" w:rsidRPr="00CE28EA" w:rsidRDefault="00327647" w:rsidP="008D23D5">
            <w:pPr>
              <w:jc w:val="right"/>
              <w:rPr>
                <w:rFonts w:eastAsia="Calibri"/>
                <w:sz w:val="20"/>
                <w:szCs w:val="20"/>
              </w:rPr>
            </w:pPr>
            <w:r w:rsidRPr="00CE28EA">
              <w:rPr>
                <w:rFonts w:eastAsia="Calibri"/>
                <w:sz w:val="20"/>
                <w:szCs w:val="20"/>
              </w:rPr>
              <w:t>$11,060</w:t>
            </w:r>
          </w:p>
        </w:tc>
      </w:tr>
      <w:tr w:rsidR="00327647" w:rsidRPr="00CE28EA" w14:paraId="5970445B" w14:textId="77777777" w:rsidTr="008D23D5">
        <w:trPr>
          <w:cantSplit/>
        </w:trPr>
        <w:tc>
          <w:tcPr>
            <w:tcW w:w="878" w:type="pct"/>
          </w:tcPr>
          <w:p w14:paraId="2D973642" w14:textId="77777777" w:rsidR="00327647" w:rsidRPr="00CE28EA" w:rsidRDefault="00327647" w:rsidP="008D23D5">
            <w:pPr>
              <w:rPr>
                <w:rFonts w:eastAsia="Calibri"/>
                <w:sz w:val="20"/>
                <w:szCs w:val="20"/>
              </w:rPr>
            </w:pPr>
            <w:r w:rsidRPr="00CE28EA">
              <w:rPr>
                <w:rFonts w:eastAsia="Calibri"/>
                <w:sz w:val="20"/>
                <w:szCs w:val="20"/>
              </w:rPr>
              <w:t>18 CFR 224 (Hinshaw Blanket Certificates)</w:t>
            </w:r>
          </w:p>
        </w:tc>
        <w:tc>
          <w:tcPr>
            <w:tcW w:w="746" w:type="pct"/>
          </w:tcPr>
          <w:p w14:paraId="1D09475D" w14:textId="77777777" w:rsidR="00327647" w:rsidRPr="00CE28EA" w:rsidRDefault="00327647" w:rsidP="008D23D5">
            <w:pPr>
              <w:jc w:val="right"/>
              <w:rPr>
                <w:rFonts w:eastAsia="Calibri"/>
                <w:sz w:val="20"/>
                <w:szCs w:val="20"/>
              </w:rPr>
            </w:pPr>
            <w:r w:rsidRPr="00CE28EA">
              <w:rPr>
                <w:rFonts w:eastAsia="Calibri"/>
                <w:sz w:val="20"/>
                <w:szCs w:val="20"/>
              </w:rPr>
              <w:t>2</w:t>
            </w:r>
          </w:p>
        </w:tc>
        <w:tc>
          <w:tcPr>
            <w:tcW w:w="746" w:type="pct"/>
          </w:tcPr>
          <w:p w14:paraId="080375E8" w14:textId="77777777" w:rsidR="00327647" w:rsidRPr="00CE28EA" w:rsidRDefault="00327647" w:rsidP="008D23D5">
            <w:pPr>
              <w:jc w:val="right"/>
              <w:rPr>
                <w:rFonts w:eastAsia="Calibri"/>
                <w:sz w:val="20"/>
                <w:szCs w:val="20"/>
              </w:rPr>
            </w:pPr>
            <w:r w:rsidRPr="00CE28EA">
              <w:rPr>
                <w:rFonts w:eastAsia="Calibri"/>
                <w:sz w:val="20"/>
                <w:szCs w:val="20"/>
              </w:rPr>
              <w:t>1</w:t>
            </w:r>
          </w:p>
        </w:tc>
        <w:tc>
          <w:tcPr>
            <w:tcW w:w="703" w:type="pct"/>
          </w:tcPr>
          <w:p w14:paraId="07CF04D3" w14:textId="77777777" w:rsidR="00327647" w:rsidRPr="00CE28EA" w:rsidRDefault="00327647" w:rsidP="008D23D5">
            <w:pPr>
              <w:jc w:val="right"/>
              <w:rPr>
                <w:rFonts w:eastAsia="Calibri"/>
                <w:sz w:val="20"/>
                <w:szCs w:val="20"/>
              </w:rPr>
            </w:pPr>
            <w:r w:rsidRPr="00CE28EA">
              <w:rPr>
                <w:rFonts w:eastAsia="Calibri"/>
                <w:sz w:val="20"/>
                <w:szCs w:val="20"/>
              </w:rPr>
              <w:t>2</w:t>
            </w:r>
          </w:p>
        </w:tc>
        <w:tc>
          <w:tcPr>
            <w:tcW w:w="654" w:type="pct"/>
          </w:tcPr>
          <w:p w14:paraId="2BF8C754" w14:textId="77777777" w:rsidR="00327647" w:rsidRPr="00CE28EA" w:rsidRDefault="00327647" w:rsidP="008D23D5">
            <w:pPr>
              <w:jc w:val="right"/>
              <w:rPr>
                <w:rFonts w:eastAsia="Calibri"/>
                <w:sz w:val="20"/>
                <w:szCs w:val="20"/>
              </w:rPr>
            </w:pPr>
            <w:r w:rsidRPr="00CE28EA">
              <w:rPr>
                <w:rFonts w:eastAsia="Calibri"/>
                <w:sz w:val="20"/>
                <w:szCs w:val="20"/>
              </w:rPr>
              <w:t>75 hrs.;</w:t>
            </w:r>
          </w:p>
          <w:p w14:paraId="0203AF98" w14:textId="77777777" w:rsidR="00327647" w:rsidRPr="00CE28EA" w:rsidRDefault="00327647" w:rsidP="008D23D5">
            <w:pPr>
              <w:jc w:val="right"/>
              <w:rPr>
                <w:rFonts w:eastAsia="Calibri"/>
                <w:sz w:val="20"/>
                <w:szCs w:val="20"/>
              </w:rPr>
            </w:pPr>
            <w:r w:rsidRPr="00CE28EA">
              <w:rPr>
                <w:rFonts w:eastAsia="Calibri"/>
                <w:sz w:val="20"/>
                <w:szCs w:val="20"/>
              </w:rPr>
              <w:t>$5,925</w:t>
            </w:r>
          </w:p>
        </w:tc>
        <w:tc>
          <w:tcPr>
            <w:tcW w:w="657" w:type="pct"/>
          </w:tcPr>
          <w:p w14:paraId="62741808" w14:textId="77777777" w:rsidR="00327647" w:rsidRPr="00CE28EA" w:rsidRDefault="00327647" w:rsidP="008D23D5">
            <w:pPr>
              <w:jc w:val="right"/>
              <w:rPr>
                <w:rFonts w:eastAsia="Calibri"/>
                <w:sz w:val="20"/>
                <w:szCs w:val="20"/>
              </w:rPr>
            </w:pPr>
            <w:r w:rsidRPr="00CE28EA">
              <w:rPr>
                <w:rFonts w:eastAsia="Calibri"/>
                <w:sz w:val="20"/>
                <w:szCs w:val="20"/>
              </w:rPr>
              <w:t>150 hrs.;</w:t>
            </w:r>
          </w:p>
          <w:p w14:paraId="1ACAE57E" w14:textId="77777777" w:rsidR="00327647" w:rsidRPr="00CE28EA" w:rsidRDefault="00327647" w:rsidP="008D23D5">
            <w:pPr>
              <w:jc w:val="right"/>
              <w:rPr>
                <w:rFonts w:eastAsia="Calibri"/>
                <w:sz w:val="20"/>
                <w:szCs w:val="20"/>
              </w:rPr>
            </w:pPr>
            <w:r w:rsidRPr="00CE28EA">
              <w:rPr>
                <w:rFonts w:eastAsia="Calibri"/>
                <w:sz w:val="20"/>
                <w:szCs w:val="20"/>
              </w:rPr>
              <w:t>$11,850</w:t>
            </w:r>
          </w:p>
        </w:tc>
        <w:tc>
          <w:tcPr>
            <w:tcW w:w="616" w:type="pct"/>
          </w:tcPr>
          <w:p w14:paraId="74D2E38B" w14:textId="77777777" w:rsidR="00327647" w:rsidRPr="00CE28EA" w:rsidRDefault="00327647" w:rsidP="008D23D5">
            <w:pPr>
              <w:jc w:val="right"/>
              <w:rPr>
                <w:rFonts w:eastAsia="Calibri"/>
                <w:sz w:val="20"/>
                <w:szCs w:val="20"/>
              </w:rPr>
            </w:pPr>
            <w:r w:rsidRPr="00CE28EA">
              <w:rPr>
                <w:rFonts w:eastAsia="Calibri"/>
                <w:sz w:val="20"/>
                <w:szCs w:val="20"/>
              </w:rPr>
              <w:t>$5,925</w:t>
            </w:r>
          </w:p>
        </w:tc>
      </w:tr>
      <w:tr w:rsidR="00327647" w:rsidRPr="00CE28EA" w14:paraId="2D08FA21" w14:textId="77777777" w:rsidTr="008D23D5">
        <w:trPr>
          <w:cantSplit/>
        </w:trPr>
        <w:tc>
          <w:tcPr>
            <w:tcW w:w="878" w:type="pct"/>
          </w:tcPr>
          <w:p w14:paraId="42FB3073" w14:textId="77777777" w:rsidR="00327647" w:rsidRPr="00CE28EA" w:rsidRDefault="00327647" w:rsidP="008D23D5">
            <w:pPr>
              <w:rPr>
                <w:rFonts w:eastAsia="Calibri"/>
                <w:sz w:val="20"/>
                <w:szCs w:val="20"/>
              </w:rPr>
            </w:pPr>
            <w:r w:rsidRPr="00CE28EA">
              <w:rPr>
                <w:rFonts w:eastAsia="Calibri"/>
                <w:sz w:val="20"/>
                <w:szCs w:val="20"/>
              </w:rPr>
              <w:t>18 CFR 157.5-.11; 157.13-.20 (Non-facility Certificate or Abandonment Applications</w:t>
            </w:r>
          </w:p>
        </w:tc>
        <w:tc>
          <w:tcPr>
            <w:tcW w:w="746" w:type="pct"/>
          </w:tcPr>
          <w:p w14:paraId="397E7A01" w14:textId="77777777" w:rsidR="00327647" w:rsidRPr="00CE28EA" w:rsidRDefault="00327647" w:rsidP="008D23D5">
            <w:pPr>
              <w:jc w:val="right"/>
              <w:rPr>
                <w:rFonts w:eastAsia="Calibri"/>
                <w:sz w:val="20"/>
                <w:szCs w:val="20"/>
              </w:rPr>
            </w:pPr>
            <w:r w:rsidRPr="00CE28EA">
              <w:rPr>
                <w:rFonts w:eastAsia="Calibri"/>
                <w:sz w:val="20"/>
                <w:szCs w:val="20"/>
              </w:rPr>
              <w:t>3</w:t>
            </w:r>
          </w:p>
        </w:tc>
        <w:tc>
          <w:tcPr>
            <w:tcW w:w="746" w:type="pct"/>
          </w:tcPr>
          <w:p w14:paraId="441B441E" w14:textId="77777777" w:rsidR="00327647" w:rsidRPr="00CE28EA" w:rsidRDefault="00327647" w:rsidP="008D23D5">
            <w:pPr>
              <w:jc w:val="right"/>
              <w:rPr>
                <w:rFonts w:eastAsia="Calibri"/>
                <w:sz w:val="20"/>
                <w:szCs w:val="20"/>
              </w:rPr>
            </w:pPr>
            <w:r w:rsidRPr="00CE28EA">
              <w:rPr>
                <w:rFonts w:eastAsia="Calibri"/>
                <w:sz w:val="20"/>
                <w:szCs w:val="20"/>
              </w:rPr>
              <w:t>1</w:t>
            </w:r>
          </w:p>
        </w:tc>
        <w:tc>
          <w:tcPr>
            <w:tcW w:w="703" w:type="pct"/>
          </w:tcPr>
          <w:p w14:paraId="6510FEE0" w14:textId="77777777" w:rsidR="00327647" w:rsidRPr="00CE28EA" w:rsidRDefault="00327647" w:rsidP="008D23D5">
            <w:pPr>
              <w:jc w:val="right"/>
              <w:rPr>
                <w:rFonts w:eastAsia="Calibri"/>
                <w:sz w:val="20"/>
                <w:szCs w:val="20"/>
              </w:rPr>
            </w:pPr>
            <w:r w:rsidRPr="00CE28EA">
              <w:rPr>
                <w:rFonts w:eastAsia="Calibri"/>
                <w:sz w:val="20"/>
                <w:szCs w:val="20"/>
              </w:rPr>
              <w:t>3</w:t>
            </w:r>
          </w:p>
        </w:tc>
        <w:tc>
          <w:tcPr>
            <w:tcW w:w="654" w:type="pct"/>
          </w:tcPr>
          <w:p w14:paraId="580EB842" w14:textId="77777777" w:rsidR="00327647" w:rsidRPr="00CE28EA" w:rsidRDefault="00327647" w:rsidP="008D23D5">
            <w:pPr>
              <w:jc w:val="right"/>
              <w:rPr>
                <w:rFonts w:eastAsia="Calibri"/>
                <w:sz w:val="20"/>
                <w:szCs w:val="20"/>
              </w:rPr>
            </w:pPr>
            <w:r w:rsidRPr="00CE28EA">
              <w:rPr>
                <w:rFonts w:eastAsia="Calibri"/>
                <w:sz w:val="20"/>
                <w:szCs w:val="20"/>
              </w:rPr>
              <w:t>75 hrs.;</w:t>
            </w:r>
          </w:p>
          <w:p w14:paraId="47BF907F" w14:textId="77777777" w:rsidR="00327647" w:rsidRPr="00CE28EA" w:rsidRDefault="00327647" w:rsidP="008D23D5">
            <w:pPr>
              <w:jc w:val="right"/>
              <w:rPr>
                <w:rFonts w:eastAsia="Calibri"/>
                <w:sz w:val="20"/>
                <w:szCs w:val="20"/>
              </w:rPr>
            </w:pPr>
            <w:r w:rsidRPr="00CE28EA">
              <w:rPr>
                <w:rFonts w:eastAsia="Calibri"/>
                <w:sz w:val="20"/>
                <w:szCs w:val="20"/>
              </w:rPr>
              <w:t>$5,925</w:t>
            </w:r>
          </w:p>
        </w:tc>
        <w:tc>
          <w:tcPr>
            <w:tcW w:w="657" w:type="pct"/>
          </w:tcPr>
          <w:p w14:paraId="1B172DC8" w14:textId="77777777" w:rsidR="00327647" w:rsidRPr="00CE28EA" w:rsidRDefault="00327647" w:rsidP="008D23D5">
            <w:pPr>
              <w:jc w:val="right"/>
              <w:rPr>
                <w:rFonts w:eastAsia="Calibri"/>
                <w:sz w:val="20"/>
                <w:szCs w:val="20"/>
              </w:rPr>
            </w:pPr>
            <w:r w:rsidRPr="00CE28EA">
              <w:rPr>
                <w:rFonts w:eastAsia="Calibri"/>
                <w:sz w:val="20"/>
                <w:szCs w:val="20"/>
              </w:rPr>
              <w:t>225 hrs.;</w:t>
            </w:r>
          </w:p>
          <w:p w14:paraId="63441CBC" w14:textId="77777777" w:rsidR="00327647" w:rsidRPr="00CE28EA" w:rsidRDefault="00327647" w:rsidP="008D23D5">
            <w:pPr>
              <w:jc w:val="right"/>
              <w:rPr>
                <w:rFonts w:eastAsia="Calibri"/>
                <w:sz w:val="20"/>
                <w:szCs w:val="20"/>
              </w:rPr>
            </w:pPr>
            <w:r w:rsidRPr="00CE28EA">
              <w:rPr>
                <w:rFonts w:eastAsia="Calibri"/>
                <w:sz w:val="20"/>
                <w:szCs w:val="20"/>
              </w:rPr>
              <w:t>$17,775</w:t>
            </w:r>
          </w:p>
        </w:tc>
        <w:tc>
          <w:tcPr>
            <w:tcW w:w="616" w:type="pct"/>
          </w:tcPr>
          <w:p w14:paraId="470F3249" w14:textId="77777777" w:rsidR="00327647" w:rsidRPr="00CE28EA" w:rsidRDefault="00327647" w:rsidP="008D23D5">
            <w:pPr>
              <w:jc w:val="right"/>
              <w:rPr>
                <w:rFonts w:eastAsia="Calibri"/>
                <w:sz w:val="20"/>
                <w:szCs w:val="20"/>
              </w:rPr>
            </w:pPr>
            <w:r w:rsidRPr="00CE28EA">
              <w:rPr>
                <w:rFonts w:eastAsia="Calibri"/>
                <w:sz w:val="20"/>
                <w:szCs w:val="20"/>
              </w:rPr>
              <w:t>$5,925</w:t>
            </w:r>
          </w:p>
        </w:tc>
      </w:tr>
      <w:tr w:rsidR="00327647" w:rsidRPr="00CE28EA" w14:paraId="3AC730B8" w14:textId="77777777" w:rsidTr="00327647">
        <w:trPr>
          <w:cantSplit/>
          <w:trHeight w:val="485"/>
        </w:trPr>
        <w:tc>
          <w:tcPr>
            <w:tcW w:w="878" w:type="pct"/>
            <w:tcBorders>
              <w:bottom w:val="single" w:sz="4" w:space="0" w:color="auto"/>
            </w:tcBorders>
          </w:tcPr>
          <w:p w14:paraId="4C709523" w14:textId="77777777" w:rsidR="00327647" w:rsidRPr="00CE28EA" w:rsidRDefault="00327647" w:rsidP="008D23D5">
            <w:pPr>
              <w:rPr>
                <w:rFonts w:eastAsia="Calibri"/>
                <w:b/>
                <w:sz w:val="20"/>
                <w:szCs w:val="20"/>
              </w:rPr>
            </w:pPr>
            <w:r w:rsidRPr="00CE28EA">
              <w:rPr>
                <w:rFonts w:eastAsia="Calibri"/>
                <w:b/>
                <w:sz w:val="20"/>
                <w:szCs w:val="20"/>
              </w:rPr>
              <w:t>TOTAL</w:t>
            </w:r>
          </w:p>
        </w:tc>
        <w:tc>
          <w:tcPr>
            <w:tcW w:w="1492" w:type="pct"/>
            <w:gridSpan w:val="2"/>
            <w:tcBorders>
              <w:bottom w:val="single" w:sz="4" w:space="0" w:color="auto"/>
            </w:tcBorders>
            <w:shd w:val="clear" w:color="auto" w:fill="D9D9D9"/>
          </w:tcPr>
          <w:p w14:paraId="16162EB1" w14:textId="77777777" w:rsidR="00327647" w:rsidRPr="00CE28EA" w:rsidRDefault="00327647" w:rsidP="008D23D5">
            <w:pPr>
              <w:jc w:val="right"/>
              <w:rPr>
                <w:rFonts w:eastAsia="Calibri"/>
                <w:sz w:val="20"/>
                <w:szCs w:val="20"/>
              </w:rPr>
            </w:pPr>
          </w:p>
        </w:tc>
        <w:tc>
          <w:tcPr>
            <w:tcW w:w="703" w:type="pct"/>
            <w:tcBorders>
              <w:bottom w:val="single" w:sz="4" w:space="0" w:color="auto"/>
            </w:tcBorders>
            <w:shd w:val="clear" w:color="auto" w:fill="auto"/>
          </w:tcPr>
          <w:p w14:paraId="6C0A0102" w14:textId="77777777" w:rsidR="00327647" w:rsidRPr="00CE28EA" w:rsidRDefault="00327647" w:rsidP="008D23D5">
            <w:pPr>
              <w:jc w:val="right"/>
              <w:rPr>
                <w:rFonts w:eastAsia="Calibri"/>
                <w:b/>
                <w:sz w:val="20"/>
                <w:szCs w:val="20"/>
              </w:rPr>
            </w:pPr>
            <w:r w:rsidRPr="00CE28EA">
              <w:rPr>
                <w:rFonts w:eastAsia="Calibri"/>
                <w:b/>
                <w:sz w:val="20"/>
                <w:szCs w:val="20"/>
              </w:rPr>
              <w:t>335</w:t>
            </w:r>
            <w:r w:rsidRPr="00CE28EA">
              <w:rPr>
                <w:rStyle w:val="FootnoteReference"/>
                <w:rFonts w:eastAsia="Calibri"/>
                <w:b w:val="0"/>
                <w:sz w:val="20"/>
                <w:szCs w:val="20"/>
              </w:rPr>
              <w:footnoteReference w:id="8"/>
            </w:r>
          </w:p>
        </w:tc>
        <w:tc>
          <w:tcPr>
            <w:tcW w:w="654" w:type="pct"/>
            <w:tcBorders>
              <w:bottom w:val="single" w:sz="4" w:space="0" w:color="auto"/>
            </w:tcBorders>
            <w:shd w:val="clear" w:color="auto" w:fill="D9D9D9"/>
          </w:tcPr>
          <w:p w14:paraId="56D59938" w14:textId="77777777" w:rsidR="00327647" w:rsidRPr="00CE28EA" w:rsidRDefault="00327647" w:rsidP="008D23D5">
            <w:pPr>
              <w:jc w:val="right"/>
              <w:rPr>
                <w:rFonts w:eastAsia="Calibri"/>
                <w:sz w:val="20"/>
                <w:szCs w:val="20"/>
              </w:rPr>
            </w:pPr>
          </w:p>
        </w:tc>
        <w:tc>
          <w:tcPr>
            <w:tcW w:w="657" w:type="pct"/>
            <w:tcBorders>
              <w:bottom w:val="single" w:sz="4" w:space="0" w:color="auto"/>
            </w:tcBorders>
          </w:tcPr>
          <w:p w14:paraId="5B63DDF9" w14:textId="77777777" w:rsidR="00327647" w:rsidRPr="00CE28EA" w:rsidRDefault="00327647" w:rsidP="008D23D5">
            <w:pPr>
              <w:jc w:val="right"/>
              <w:rPr>
                <w:rFonts w:eastAsia="Calibri"/>
                <w:b/>
                <w:sz w:val="20"/>
                <w:szCs w:val="20"/>
              </w:rPr>
            </w:pPr>
            <w:r w:rsidRPr="00CE28EA">
              <w:rPr>
                <w:rFonts w:eastAsia="Calibri"/>
                <w:b/>
                <w:sz w:val="20"/>
                <w:szCs w:val="20"/>
              </w:rPr>
              <w:t>50,935 hrs.;</w:t>
            </w:r>
          </w:p>
          <w:p w14:paraId="21477120" w14:textId="77777777" w:rsidR="00327647" w:rsidRPr="00CE28EA" w:rsidRDefault="00327647" w:rsidP="008D23D5">
            <w:pPr>
              <w:jc w:val="right"/>
              <w:rPr>
                <w:rFonts w:eastAsia="Calibri"/>
                <w:b/>
                <w:sz w:val="20"/>
                <w:szCs w:val="20"/>
              </w:rPr>
            </w:pPr>
            <w:r w:rsidRPr="00CE28EA">
              <w:rPr>
                <w:rFonts w:eastAsia="Calibri"/>
                <w:b/>
                <w:sz w:val="20"/>
                <w:szCs w:val="20"/>
              </w:rPr>
              <w:t>$4,023,865</w:t>
            </w:r>
          </w:p>
        </w:tc>
        <w:tc>
          <w:tcPr>
            <w:tcW w:w="616" w:type="pct"/>
            <w:tcBorders>
              <w:bottom w:val="single" w:sz="4" w:space="0" w:color="auto"/>
            </w:tcBorders>
            <w:shd w:val="clear" w:color="auto" w:fill="D9D9D9"/>
          </w:tcPr>
          <w:p w14:paraId="4CCBA008" w14:textId="77777777" w:rsidR="00327647" w:rsidRPr="00CE28EA" w:rsidRDefault="00327647" w:rsidP="008D23D5">
            <w:pPr>
              <w:jc w:val="right"/>
              <w:rPr>
                <w:rFonts w:eastAsia="Calibri"/>
                <w:b/>
                <w:sz w:val="20"/>
                <w:szCs w:val="20"/>
              </w:rPr>
            </w:pPr>
          </w:p>
        </w:tc>
      </w:tr>
    </w:tbl>
    <w:p w14:paraId="06A4C635" w14:textId="77777777" w:rsidR="005535D4" w:rsidRDefault="005535D4" w:rsidP="002E3314">
      <w:pPr>
        <w:spacing w:line="480" w:lineRule="auto"/>
        <w:ind w:firstLine="720"/>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2720E747" w14:textId="7F23DDF9" w:rsidR="0078241C" w:rsidRDefault="0078241C" w:rsidP="00954C92"/>
    <w:p w14:paraId="1E079265" w14:textId="0B4CB404" w:rsidR="00954C92" w:rsidRDefault="00954C92" w:rsidP="00954C92"/>
    <w:p w14:paraId="18A2C649" w14:textId="13B3EA0A"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FEDF1" w14:textId="77777777" w:rsidR="001A7B64" w:rsidRDefault="001A7B64">
      <w:r>
        <w:separator/>
      </w:r>
    </w:p>
  </w:endnote>
  <w:endnote w:type="continuationSeparator" w:id="0">
    <w:p w14:paraId="406CF419" w14:textId="77777777" w:rsidR="001A7B64" w:rsidRDefault="001A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7E516" w14:textId="77777777" w:rsidR="001A7B64" w:rsidRDefault="001A7B64">
      <w:r>
        <w:separator/>
      </w:r>
    </w:p>
  </w:footnote>
  <w:footnote w:type="continuationSeparator" w:id="0">
    <w:p w14:paraId="074C3D45" w14:textId="77777777" w:rsidR="001A7B64" w:rsidRDefault="001A7B64">
      <w:r>
        <w:continuationSeparator/>
      </w:r>
    </w:p>
  </w:footnote>
  <w:footnote w:id="1">
    <w:p w14:paraId="25B214C8" w14:textId="77777777" w:rsidR="005535D4" w:rsidRPr="00A3726A" w:rsidRDefault="005535D4" w:rsidP="005535D4">
      <w:pPr>
        <w:pStyle w:val="FootnoteText"/>
        <w:rPr>
          <w:sz w:val="20"/>
        </w:rPr>
      </w:pPr>
      <w:r w:rsidRPr="007D4882">
        <w:rPr>
          <w:rStyle w:val="FootnoteReference"/>
          <w:sz w:val="20"/>
          <w:szCs w:val="20"/>
        </w:rPr>
        <w:footnoteRef/>
      </w:r>
      <w:r w:rsidRPr="007D4882">
        <w:rPr>
          <w:sz w:val="20"/>
        </w:rPr>
        <w:t xml:space="preserve"> </w:t>
      </w:r>
      <w:r w:rsidR="00D25DF8" w:rsidRPr="00D25DF8">
        <w:rPr>
          <w:sz w:val="20"/>
        </w:rPr>
        <w:t>Burden is defined as the total time, effort, or financial resources expended by persons to generate, maintain, retain, or disclose or provide information to or for a Federal agency.  Refer to 5 CFR 1320.3 for additional information.</w:t>
      </w:r>
    </w:p>
  </w:footnote>
  <w:footnote w:id="2">
    <w:p w14:paraId="3BD40EEE"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FERC-537 to be compensated at rates similar to the work of FERC employees.</w:t>
      </w:r>
    </w:p>
  </w:footnote>
  <w:footnote w:id="3">
    <w:p w14:paraId="514D84DF"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Each of the figures in this column are rounded to the nearest dollar.</w:t>
      </w:r>
    </w:p>
  </w:footnote>
  <w:footnote w:id="4">
    <w:p w14:paraId="25EF32A2"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This figure was derived from 135 responses ÷ 129 respondents = 1.046 or ~1.05 responses/respondent.</w:t>
      </w:r>
    </w:p>
  </w:footnote>
  <w:footnote w:id="5">
    <w:p w14:paraId="64763F99"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This figure was derived from 84 responses ÷ 83 respondents = 1.012 or ~1.01 responses/respondent.</w:t>
      </w:r>
    </w:p>
  </w:footnote>
  <w:footnote w:id="6">
    <w:p w14:paraId="2772CD1D"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One-time filings, new tariff and rate design proposal, or request for exemptions.</w:t>
      </w:r>
    </w:p>
  </w:footnote>
  <w:footnote w:id="7">
    <w:p w14:paraId="7A33A706"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This figure was derived from 7 responses ÷ 5 respondents = 1.4 responses/respondent.</w:t>
      </w:r>
    </w:p>
  </w:footnote>
  <w:footnote w:id="8">
    <w:p w14:paraId="2A9B9B0D" w14:textId="77777777" w:rsidR="00327647" w:rsidRPr="00CE28EA" w:rsidRDefault="00327647" w:rsidP="00327647">
      <w:pPr>
        <w:pStyle w:val="FootnoteText"/>
        <w:rPr>
          <w:sz w:val="20"/>
        </w:rPr>
      </w:pPr>
      <w:r w:rsidRPr="00CE28EA">
        <w:rPr>
          <w:rStyle w:val="FootnoteReference"/>
          <w:sz w:val="20"/>
          <w:szCs w:val="20"/>
        </w:rPr>
        <w:footnoteRef/>
      </w:r>
      <w:r w:rsidRPr="00CE28EA">
        <w:rPr>
          <w:sz w:val="20"/>
        </w:rPr>
        <w:t xml:space="preserve"> The 335 responses are derived from 214 individual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1533">
      <w:rPr>
        <w:rStyle w:val="PageNumber"/>
        <w:noProof/>
      </w:rPr>
      <w:t>2</w:t>
    </w:r>
    <w:r>
      <w:rPr>
        <w:rStyle w:val="PageNumber"/>
      </w:rPr>
      <w:fldChar w:fldCharType="end"/>
    </w:r>
  </w:p>
  <w:p w14:paraId="5C444EC6" w14:textId="77777777" w:rsidR="009A6D11" w:rsidRDefault="009A6D11" w:rsidP="0096632C">
    <w:pPr>
      <w:pStyle w:val="Header"/>
      <w:ind w:right="360"/>
    </w:pPr>
    <w:r w:rsidRPr="007D4882">
      <w:t xml:space="preserve">Docket No. </w:t>
    </w:r>
    <w:r w:rsidR="007D4882" w:rsidRPr="007D4882">
      <w:t>IC18-13</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60794"/>
    <w:rsid w:val="0006335A"/>
    <w:rsid w:val="00072256"/>
    <w:rsid w:val="00072448"/>
    <w:rsid w:val="00080D5F"/>
    <w:rsid w:val="000838BE"/>
    <w:rsid w:val="000854B7"/>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A7B64"/>
    <w:rsid w:val="001B40FA"/>
    <w:rsid w:val="001B49BD"/>
    <w:rsid w:val="001C1533"/>
    <w:rsid w:val="001C3324"/>
    <w:rsid w:val="001C4D3A"/>
    <w:rsid w:val="001C5D46"/>
    <w:rsid w:val="001C75B2"/>
    <w:rsid w:val="001E3ECE"/>
    <w:rsid w:val="001E69DB"/>
    <w:rsid w:val="001F0B06"/>
    <w:rsid w:val="001F0E50"/>
    <w:rsid w:val="001F2664"/>
    <w:rsid w:val="001F47CB"/>
    <w:rsid w:val="00204D0F"/>
    <w:rsid w:val="002265E9"/>
    <w:rsid w:val="00252CD0"/>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178F3"/>
    <w:rsid w:val="00317A96"/>
    <w:rsid w:val="00321EB8"/>
    <w:rsid w:val="00323139"/>
    <w:rsid w:val="00327647"/>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005E"/>
    <w:rsid w:val="006615E1"/>
    <w:rsid w:val="0068483B"/>
    <w:rsid w:val="0069142C"/>
    <w:rsid w:val="00695504"/>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882"/>
    <w:rsid w:val="007D4A4A"/>
    <w:rsid w:val="007E52AC"/>
    <w:rsid w:val="007E6973"/>
    <w:rsid w:val="007E699A"/>
    <w:rsid w:val="007E7573"/>
    <w:rsid w:val="007F4F94"/>
    <w:rsid w:val="007F7E3C"/>
    <w:rsid w:val="008024B2"/>
    <w:rsid w:val="00804E53"/>
    <w:rsid w:val="0081182E"/>
    <w:rsid w:val="00822C8E"/>
    <w:rsid w:val="00827DA2"/>
    <w:rsid w:val="0083270A"/>
    <w:rsid w:val="00834B9E"/>
    <w:rsid w:val="00841CCE"/>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906BFB"/>
    <w:rsid w:val="009124A0"/>
    <w:rsid w:val="009131BC"/>
    <w:rsid w:val="0091686D"/>
    <w:rsid w:val="00924B80"/>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111AB"/>
    <w:rsid w:val="00B2244D"/>
    <w:rsid w:val="00B3254F"/>
    <w:rsid w:val="00B33628"/>
    <w:rsid w:val="00B337D1"/>
    <w:rsid w:val="00B4431A"/>
    <w:rsid w:val="00B460AF"/>
    <w:rsid w:val="00B62B35"/>
    <w:rsid w:val="00B710EA"/>
    <w:rsid w:val="00B74858"/>
    <w:rsid w:val="00B75595"/>
    <w:rsid w:val="00B806DB"/>
    <w:rsid w:val="00B81BC5"/>
    <w:rsid w:val="00B835C5"/>
    <w:rsid w:val="00B87F46"/>
    <w:rsid w:val="00B97BC8"/>
    <w:rsid w:val="00BB1C54"/>
    <w:rsid w:val="00BC1B93"/>
    <w:rsid w:val="00BD0A6B"/>
    <w:rsid w:val="00BD15D4"/>
    <w:rsid w:val="00BF144D"/>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22E46"/>
    <w:rsid w:val="00E310B1"/>
    <w:rsid w:val="00E35ECB"/>
    <w:rsid w:val="00E4230F"/>
    <w:rsid w:val="00E436DC"/>
    <w:rsid w:val="00E43FF3"/>
    <w:rsid w:val="00E52021"/>
    <w:rsid w:val="00E521EB"/>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5EB8"/>
    <w:rsid w:val="00F168B6"/>
    <w:rsid w:val="00F17D46"/>
    <w:rsid w:val="00F21CAF"/>
    <w:rsid w:val="00F2283B"/>
    <w:rsid w:val="00F239CB"/>
    <w:rsid w:val="00F252DC"/>
    <w:rsid w:val="00F31331"/>
    <w:rsid w:val="00F33CC9"/>
    <w:rsid w:val="00F34211"/>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link w:val="FootnoteText"/>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link w:val="FootnoteText"/>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D68BA-A256-4883-8E7D-068706EA4232}">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3.xml><?xml version="1.0" encoding="utf-8"?>
<ds:datastoreItem xmlns:ds="http://schemas.openxmlformats.org/officeDocument/2006/customXml" ds:itemID="{9AF78C71-389D-4954-A5BF-8DD976A3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8F130-D0E8-4949-9252-15E8B8A0D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8732</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2018-09-05T14:35:00Z</dcterms:created>
  <dcterms:modified xsi:type="dcterms:W3CDTF">2018-09-05T14:35:00Z</dcterms:modified>
  <cp:category/>
  <dc:identifier/>
  <cp:contentStatus/>
  <cp:version/>
</cp:coreProperties>
</file>