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33" w:rsidRDefault="00363FFB" w:rsidP="007306C1">
      <w:pPr>
        <w:jc w:val="center"/>
        <w:rPr>
          <w:b/>
          <w:bCs/>
        </w:rPr>
      </w:pPr>
      <w:bookmarkStart w:id="0" w:name="_GoBack"/>
      <w:bookmarkEnd w:id="0"/>
      <w:r w:rsidRPr="00C465F4">
        <w:rPr>
          <w:b/>
          <w:bCs/>
        </w:rPr>
        <w:t>S</w:t>
      </w:r>
      <w:r>
        <w:rPr>
          <w:b/>
          <w:bCs/>
        </w:rPr>
        <w:t>upporting Statement for Form</w:t>
      </w:r>
      <w:r w:rsidR="00F72E33" w:rsidRPr="00C465F4">
        <w:rPr>
          <w:b/>
          <w:bCs/>
        </w:rPr>
        <w:t xml:space="preserve"> </w:t>
      </w:r>
      <w:r w:rsidR="00F72E33">
        <w:rPr>
          <w:b/>
          <w:bCs/>
        </w:rPr>
        <w:t>SSA-</w:t>
      </w:r>
      <w:r w:rsidR="00CB14DF">
        <w:rPr>
          <w:b/>
          <w:bCs/>
        </w:rPr>
        <w:t>132</w:t>
      </w:r>
    </w:p>
    <w:p w:rsidR="00C5620A" w:rsidRDefault="002F5A93" w:rsidP="007306C1">
      <w:pPr>
        <w:jc w:val="center"/>
        <w:rPr>
          <w:b/>
          <w:bCs/>
        </w:rPr>
      </w:pPr>
      <w:r>
        <w:rPr>
          <w:b/>
          <w:bCs/>
        </w:rPr>
        <w:t>N</w:t>
      </w:r>
      <w:r w:rsidR="00363FFB">
        <w:rPr>
          <w:b/>
          <w:bCs/>
        </w:rPr>
        <w:t xml:space="preserve">otification of a Social Security Number (SSN) to an Employer </w:t>
      </w:r>
    </w:p>
    <w:p w:rsidR="00F72E33" w:rsidRDefault="00363FFB" w:rsidP="007306C1">
      <w:pPr>
        <w:jc w:val="center"/>
        <w:rPr>
          <w:b/>
          <w:bCs/>
        </w:rPr>
      </w:pPr>
      <w:r>
        <w:rPr>
          <w:b/>
          <w:bCs/>
        </w:rPr>
        <w:t>for Wage Reporting Purposes</w:t>
      </w:r>
    </w:p>
    <w:p w:rsidR="007306C1" w:rsidRPr="00C465F4" w:rsidRDefault="007306C1" w:rsidP="007306C1">
      <w:pPr>
        <w:jc w:val="center"/>
        <w:rPr>
          <w:b/>
          <w:bCs/>
        </w:rPr>
      </w:pPr>
      <w:r>
        <w:rPr>
          <w:b/>
          <w:bCs/>
        </w:rPr>
        <w:t>20 CFR 422.103(a)</w:t>
      </w:r>
    </w:p>
    <w:p w:rsidR="00F72E33" w:rsidRDefault="00363FFB" w:rsidP="007306C1">
      <w:pPr>
        <w:tabs>
          <w:tab w:val="center" w:pos="5040"/>
          <w:tab w:val="left" w:pos="8910"/>
        </w:tabs>
        <w:jc w:val="center"/>
        <w:rPr>
          <w:b/>
          <w:bCs/>
        </w:rPr>
      </w:pPr>
      <w:r>
        <w:rPr>
          <w:b/>
          <w:bCs/>
        </w:rPr>
        <w:t>OMB No.</w:t>
      </w:r>
      <w:r w:rsidR="00BC139B">
        <w:rPr>
          <w:b/>
          <w:bCs/>
        </w:rPr>
        <w:t xml:space="preserve"> 0960-</w:t>
      </w:r>
      <w:r w:rsidR="00D35E8F">
        <w:rPr>
          <w:b/>
          <w:bCs/>
        </w:rPr>
        <w:t>0778</w:t>
      </w:r>
    </w:p>
    <w:p w:rsidR="00F72E33" w:rsidRDefault="00F72E33" w:rsidP="00F72E33">
      <w:pPr>
        <w:rPr>
          <w:b/>
          <w:bCs/>
        </w:rPr>
      </w:pPr>
    </w:p>
    <w:p w:rsidR="00F72E33" w:rsidRDefault="00F72E33" w:rsidP="00617806">
      <w:pPr>
        <w:numPr>
          <w:ilvl w:val="0"/>
          <w:numId w:val="7"/>
        </w:numPr>
        <w:rPr>
          <w:b/>
          <w:bCs/>
          <w:u w:val="single"/>
        </w:rPr>
      </w:pPr>
      <w:r w:rsidRPr="002A1FE7">
        <w:rPr>
          <w:b/>
          <w:bCs/>
          <w:u w:val="single"/>
        </w:rPr>
        <w:t>Justification</w:t>
      </w:r>
    </w:p>
    <w:p w:rsidR="00617806" w:rsidRDefault="00617806" w:rsidP="00617806">
      <w:pPr>
        <w:ind w:left="360"/>
        <w:rPr>
          <w:b/>
          <w:bCs/>
          <w:u w:val="single"/>
        </w:rPr>
      </w:pPr>
    </w:p>
    <w:p w:rsidR="00617806" w:rsidRPr="00617806" w:rsidRDefault="00617806" w:rsidP="00617806">
      <w:pPr>
        <w:numPr>
          <w:ilvl w:val="0"/>
          <w:numId w:val="8"/>
        </w:numPr>
        <w:rPr>
          <w:b/>
          <w:bCs/>
          <w:u w:val="single"/>
        </w:rPr>
      </w:pPr>
      <w:r>
        <w:rPr>
          <w:b/>
          <w:bCs/>
        </w:rPr>
        <w:t>Introduction/Authoring Laws and Regulations</w:t>
      </w:r>
    </w:p>
    <w:p w:rsidR="00617806" w:rsidRDefault="00617806" w:rsidP="00617806">
      <w:pPr>
        <w:ind w:left="1080"/>
        <w:rPr>
          <w:b/>
          <w:bCs/>
        </w:rPr>
      </w:pPr>
      <w:r w:rsidRPr="00617806">
        <w:rPr>
          <w:bCs/>
        </w:rPr>
        <w:t>Section</w:t>
      </w:r>
      <w:r w:rsidRPr="00617806">
        <w:rPr>
          <w:bCs/>
          <w:i/>
        </w:rPr>
        <w:t xml:space="preserve"> 205(c)(2)(B)(i)(I) </w:t>
      </w:r>
      <w:r w:rsidRPr="00617806">
        <w:rPr>
          <w:bCs/>
        </w:rPr>
        <w:t xml:space="preserve">of the </w:t>
      </w:r>
      <w:r w:rsidRPr="00617806">
        <w:rPr>
          <w:bCs/>
          <w:i/>
        </w:rPr>
        <w:t>Social Security Act</w:t>
      </w:r>
      <w:r w:rsidRPr="00617806">
        <w:rPr>
          <w:bCs/>
        </w:rPr>
        <w:t xml:space="preserve"> and section </w:t>
      </w:r>
      <w:r w:rsidRPr="00617806">
        <w:rPr>
          <w:i/>
        </w:rPr>
        <w:t>20 CFR 422.103(a)</w:t>
      </w:r>
      <w:r w:rsidRPr="001945E1">
        <w:t xml:space="preserve"> of the </w:t>
      </w:r>
      <w:r w:rsidRPr="00617806">
        <w:rPr>
          <w:i/>
        </w:rPr>
        <w:t>Code of Federal Regulations</w:t>
      </w:r>
      <w:r>
        <w:t xml:space="preserve"> provide the legal authority for collecting the information on Form SSA</w:t>
      </w:r>
      <w:r>
        <w:noBreakHyphen/>
        <w:t>132.  These regulations also explain how an individual’s name and Social Security number (SSN) identify the record the Social Security Administration (SSA) uses to record wages or self-employment income individuals or their employers report.</w:t>
      </w:r>
    </w:p>
    <w:p w:rsidR="00617806" w:rsidRDefault="00617806" w:rsidP="00617806">
      <w:pPr>
        <w:ind w:left="1080"/>
        <w:rPr>
          <w:b/>
          <w:bCs/>
          <w:u w:val="single"/>
        </w:rPr>
      </w:pPr>
    </w:p>
    <w:p w:rsidR="00617806" w:rsidRPr="00617806" w:rsidRDefault="00617806" w:rsidP="00617806">
      <w:pPr>
        <w:numPr>
          <w:ilvl w:val="0"/>
          <w:numId w:val="8"/>
        </w:numPr>
        <w:rPr>
          <w:b/>
          <w:bCs/>
          <w:u w:val="single"/>
        </w:rPr>
      </w:pPr>
      <w:r>
        <w:rPr>
          <w:b/>
          <w:bCs/>
        </w:rPr>
        <w:t>Description of the Collection</w:t>
      </w:r>
    </w:p>
    <w:p w:rsidR="00617806" w:rsidRDefault="00617806" w:rsidP="00617806">
      <w:pPr>
        <w:ind w:left="1080"/>
      </w:pPr>
      <w:r w:rsidRPr="00EA54D6">
        <w:rPr>
          <w:lang w:eastAsia="en-US"/>
        </w:rPr>
        <w:t>Individuals applying for</w:t>
      </w:r>
      <w:r>
        <w:rPr>
          <w:lang w:eastAsia="en-US"/>
        </w:rPr>
        <w:t xml:space="preserve"> </w:t>
      </w:r>
      <w:r w:rsidRPr="00EA54D6">
        <w:rPr>
          <w:lang w:eastAsia="en-US"/>
        </w:rPr>
        <w:t>employment must provide an SSN or</w:t>
      </w:r>
      <w:r>
        <w:rPr>
          <w:lang w:eastAsia="en-US"/>
        </w:rPr>
        <w:t xml:space="preserve"> </w:t>
      </w:r>
      <w:r w:rsidRPr="00EA54D6">
        <w:rPr>
          <w:lang w:eastAsia="en-US"/>
        </w:rPr>
        <w:t xml:space="preserve">indicate they applied for one. </w:t>
      </w:r>
      <w:r>
        <w:rPr>
          <w:lang w:eastAsia="en-US"/>
        </w:rPr>
        <w:t xml:space="preserve"> However, </w:t>
      </w:r>
      <w:r>
        <w:t>when an individual applies for an initial SSN, there is a delay between the assignment of the number and the delivery of the SSN card.</w:t>
      </w:r>
      <w:r w:rsidRPr="00EA54D6">
        <w:rPr>
          <w:lang w:eastAsia="en-US"/>
        </w:rPr>
        <w:t xml:space="preserve"> </w:t>
      </w:r>
      <w:r>
        <w:rPr>
          <w:lang w:eastAsia="en-US"/>
        </w:rPr>
        <w:t xml:space="preserve"> At an individual’s request, SSA uses Form SSA-13</w:t>
      </w:r>
      <w:r w:rsidRPr="00EA54D6">
        <w:rPr>
          <w:lang w:eastAsia="en-US"/>
        </w:rPr>
        <w:t xml:space="preserve">2 </w:t>
      </w:r>
      <w:r>
        <w:rPr>
          <w:lang w:eastAsia="en-US"/>
        </w:rPr>
        <w:t xml:space="preserve">to send </w:t>
      </w:r>
      <w:r w:rsidRPr="00EA54D6">
        <w:rPr>
          <w:lang w:eastAsia="en-US"/>
        </w:rPr>
        <w:t>the individual’s</w:t>
      </w:r>
      <w:r>
        <w:rPr>
          <w:lang w:eastAsia="en-US"/>
        </w:rPr>
        <w:t xml:space="preserve"> </w:t>
      </w:r>
      <w:r w:rsidRPr="00EA54D6">
        <w:rPr>
          <w:lang w:eastAsia="en-US"/>
        </w:rPr>
        <w:t xml:space="preserve">SSN to </w:t>
      </w:r>
      <w:r>
        <w:rPr>
          <w:lang w:eastAsia="en-US"/>
        </w:rPr>
        <w:t>an</w:t>
      </w:r>
      <w:r w:rsidRPr="00EA54D6">
        <w:rPr>
          <w:lang w:eastAsia="en-US"/>
        </w:rPr>
        <w:t xml:space="preserve"> employer. </w:t>
      </w:r>
      <w:r>
        <w:rPr>
          <w:lang w:eastAsia="en-US"/>
        </w:rPr>
        <w:t xml:space="preserve"> </w:t>
      </w:r>
      <w:r>
        <w:t>Mailing this information to the employer:  (1) ensures the employer has the correct SSN for the individual; (2) allows SSA to receive correct earnings information for wage reporting purposes; and (3) reduces the delay in the initial SSN assignment and delivery of the SSN information from SSA directly to the employer</w:t>
      </w:r>
      <w:r w:rsidRPr="00EA54D6">
        <w:rPr>
          <w:lang w:eastAsia="en-US"/>
        </w:rPr>
        <w:t>.</w:t>
      </w:r>
      <w:r>
        <w:rPr>
          <w:lang w:eastAsia="en-US"/>
        </w:rPr>
        <w:t xml:space="preserve">  It also </w:t>
      </w:r>
      <w:r>
        <w:t>enables SSA to verify the employer as a safeguard for the applicant’s personally identifiable information.</w:t>
      </w:r>
    </w:p>
    <w:p w:rsidR="00617806" w:rsidRDefault="00617806" w:rsidP="00617806">
      <w:pPr>
        <w:ind w:left="1080"/>
      </w:pPr>
    </w:p>
    <w:p w:rsidR="00617806" w:rsidRDefault="00617806" w:rsidP="00617806">
      <w:pPr>
        <w:ind w:left="1080"/>
      </w:pPr>
      <w:r>
        <w:t>This is especially important to foreign exchange visitors who are in the United States to work during the summer.  Often, SSA receives a returned SSN card either because the exchange visitor is no longer in the service area, or because they returned to their country of origin when the card arrives in the mail</w:t>
      </w:r>
      <w:r w:rsidRPr="005530B6">
        <w:t>.  When SSA receives earnings information from an employer and those earnings do not have an SSN associated with the wage earner, SSA cannot post the earnings information to that wage earner’s record</w:t>
      </w:r>
      <w:r>
        <w:t xml:space="preserve">.  SSA places the </w:t>
      </w:r>
      <w:r w:rsidRPr="005530B6">
        <w:t>resulting in</w:t>
      </w:r>
      <w:r>
        <w:t>complete earnings history in an</w:t>
      </w:r>
      <w:r w:rsidRPr="005530B6">
        <w:t xml:space="preserve"> earnings suspense file.</w:t>
      </w:r>
    </w:p>
    <w:p w:rsidR="00617806" w:rsidRDefault="00617806" w:rsidP="00617806">
      <w:pPr>
        <w:ind w:left="1080"/>
      </w:pPr>
    </w:p>
    <w:p w:rsidR="00617806" w:rsidRDefault="00617806" w:rsidP="00617806">
      <w:pPr>
        <w:ind w:left="1080"/>
      </w:pPr>
      <w:r>
        <w:t>Individuals applying for an original SSN who would like SSA to release the SSN directly to their employer sign Form SSA-132.  Then, the SSA field office (FO) sends the SSN directly to their employer</w:t>
      </w:r>
      <w:r w:rsidRPr="00D01B8D">
        <w:t>.</w:t>
      </w:r>
      <w:r>
        <w:t xml:space="preserve">  The majority of individuals who take advantage of this form are in the United States with exchange visitor </w:t>
      </w:r>
      <w:r w:rsidRPr="00A90FC5">
        <w:t xml:space="preserve">and </w:t>
      </w:r>
      <w:r>
        <w:t xml:space="preserve">student </w:t>
      </w:r>
      <w:r w:rsidRPr="00A90FC5">
        <w:t>visas.</w:t>
      </w:r>
    </w:p>
    <w:p w:rsidR="00617806" w:rsidRDefault="00617806" w:rsidP="00617806">
      <w:pPr>
        <w:ind w:left="1080"/>
      </w:pPr>
    </w:p>
    <w:p w:rsidR="00617806" w:rsidRDefault="00617806" w:rsidP="00617806">
      <w:pPr>
        <w:ind w:left="1080"/>
      </w:pPr>
      <w:r>
        <w:t>There are two scenarios for use of Form SSA-132:</w:t>
      </w:r>
    </w:p>
    <w:p w:rsidR="00617806" w:rsidRDefault="00617806" w:rsidP="00617806">
      <w:pPr>
        <w:ind w:left="1080"/>
      </w:pPr>
    </w:p>
    <w:p w:rsidR="00617806" w:rsidRDefault="00617806" w:rsidP="00617806">
      <w:pPr>
        <w:numPr>
          <w:ilvl w:val="0"/>
          <w:numId w:val="9"/>
        </w:numPr>
      </w:pPr>
      <w:r w:rsidRPr="00FC1506">
        <w:rPr>
          <w:u w:val="single"/>
        </w:rPr>
        <w:t>Scenario 1</w:t>
      </w:r>
      <w:r>
        <w:t>:  I</w:t>
      </w:r>
      <w:r w:rsidRPr="001945E1">
        <w:t>ndividual</w:t>
      </w:r>
      <w:r>
        <w:t>s</w:t>
      </w:r>
      <w:r w:rsidRPr="001945E1">
        <w:t xml:space="preserve"> applying for an</w:t>
      </w:r>
      <w:r>
        <w:t xml:space="preserve"> SSN </w:t>
      </w:r>
      <w:r w:rsidRPr="001945E1">
        <w:t>brin</w:t>
      </w:r>
      <w:r>
        <w:t>g F</w:t>
      </w:r>
      <w:r w:rsidRPr="001945E1">
        <w:t xml:space="preserve">orm </w:t>
      </w:r>
      <w:r>
        <w:t xml:space="preserve">SSA-132 </w:t>
      </w:r>
      <w:r>
        <w:rPr>
          <w:bCs/>
        </w:rPr>
        <w:t>to</w:t>
      </w:r>
      <w:r>
        <w:t xml:space="preserve"> an SSA FO at the time of their SSN application.  The individual provides all of the employer information on the form.  The FO verifies the employer information against SSA employer files.  Applicants sign their name and date the form.  The FO completes </w:t>
      </w:r>
      <w:r>
        <w:lastRenderedPageBreak/>
        <w:t>the form with the applicant’s assigned SSN and mails the form to the applicant’s employer.</w:t>
      </w:r>
    </w:p>
    <w:p w:rsidR="00617806" w:rsidRPr="00617806" w:rsidRDefault="00617806" w:rsidP="00617806">
      <w:pPr>
        <w:ind w:left="1800"/>
      </w:pPr>
    </w:p>
    <w:p w:rsidR="00617806" w:rsidRDefault="00617806" w:rsidP="00617806">
      <w:pPr>
        <w:numPr>
          <w:ilvl w:val="0"/>
          <w:numId w:val="9"/>
        </w:numPr>
      </w:pPr>
      <w:r w:rsidRPr="00FC1506">
        <w:rPr>
          <w:u w:val="single"/>
        </w:rPr>
        <w:t>Scenario 2</w:t>
      </w:r>
      <w:r>
        <w:t>:  An applicant comes to the FO to apply for an original SSN without Form SSA</w:t>
      </w:r>
      <w:r>
        <w:noBreakHyphen/>
        <w:t xml:space="preserve">132.  The applicant advises SSA that their employer needs the SSN immediately.  The FO obtains employer information from the applicant and compares it to SSA employer files to ensure we mail the SSN to the correct employer address.  The applicant signs and dates the form.  The FO completes the form with the applicant’s assigned SSN and mails the form to the applicant’s employer.  Although, the majority of individuals who take advantage of this option are in the United States with exchange visitor </w:t>
      </w:r>
      <w:r w:rsidRPr="00A90FC5">
        <w:t xml:space="preserve">and </w:t>
      </w:r>
      <w:r>
        <w:t xml:space="preserve">student </w:t>
      </w:r>
      <w:r w:rsidRPr="00A90FC5">
        <w:t>visas</w:t>
      </w:r>
      <w:r>
        <w:t>, we allow any applicant for an SSN to use the SSA</w:t>
      </w:r>
      <w:r>
        <w:noBreakHyphen/>
        <w:t>132</w:t>
      </w:r>
      <w:r>
        <w:rPr>
          <w:lang w:eastAsia="en-US"/>
        </w:rPr>
        <w:t>.</w:t>
      </w:r>
    </w:p>
    <w:p w:rsidR="00617806" w:rsidRDefault="00617806" w:rsidP="00617806">
      <w:pPr>
        <w:ind w:left="1080"/>
      </w:pPr>
    </w:p>
    <w:p w:rsidR="00617806" w:rsidRDefault="00617806" w:rsidP="00617806">
      <w:pPr>
        <w:ind w:left="1080"/>
        <w:rPr>
          <w:b/>
          <w:bCs/>
        </w:rPr>
      </w:pPr>
      <w:r w:rsidRPr="00EA54D6">
        <w:rPr>
          <w:lang w:eastAsia="en-US"/>
        </w:rPr>
        <w:t xml:space="preserve">The respondents are individuals </w:t>
      </w:r>
      <w:r>
        <w:rPr>
          <w:lang w:eastAsia="en-US"/>
        </w:rPr>
        <w:t xml:space="preserve">applying for an initial SSN </w:t>
      </w:r>
      <w:r w:rsidRPr="00EA54D6">
        <w:rPr>
          <w:lang w:eastAsia="en-US"/>
        </w:rPr>
        <w:t>who</w:t>
      </w:r>
      <w:r>
        <w:rPr>
          <w:lang w:eastAsia="en-US"/>
        </w:rPr>
        <w:t xml:space="preserve"> </w:t>
      </w:r>
      <w:r w:rsidRPr="00EA54D6">
        <w:rPr>
          <w:lang w:eastAsia="en-US"/>
        </w:rPr>
        <w:t>ask SSA to mail confirmation of their</w:t>
      </w:r>
      <w:r>
        <w:rPr>
          <w:lang w:eastAsia="en-US"/>
        </w:rPr>
        <w:t xml:space="preserve"> </w:t>
      </w:r>
      <w:r w:rsidRPr="00EA54D6">
        <w:rPr>
          <w:lang w:eastAsia="en-US"/>
        </w:rPr>
        <w:t>application or the SSN to their</w:t>
      </w:r>
      <w:r>
        <w:rPr>
          <w:lang w:eastAsia="en-US"/>
        </w:rPr>
        <w:t xml:space="preserve"> </w:t>
      </w:r>
      <w:r w:rsidRPr="00EA54D6">
        <w:rPr>
          <w:lang w:eastAsia="en-US"/>
        </w:rPr>
        <w:t>employers</w:t>
      </w:r>
      <w:r>
        <w:rPr>
          <w:lang w:eastAsia="en-US"/>
        </w:rPr>
        <w:t>.</w:t>
      </w:r>
    </w:p>
    <w:p w:rsidR="00617806" w:rsidRDefault="00617806" w:rsidP="00617806">
      <w:pPr>
        <w:ind w:left="1080"/>
        <w:rPr>
          <w:b/>
          <w:bCs/>
          <w:u w:val="single"/>
        </w:rPr>
      </w:pPr>
    </w:p>
    <w:p w:rsidR="00617806" w:rsidRPr="00617806" w:rsidRDefault="00617806" w:rsidP="00617806">
      <w:pPr>
        <w:numPr>
          <w:ilvl w:val="0"/>
          <w:numId w:val="8"/>
        </w:numPr>
        <w:rPr>
          <w:b/>
          <w:bCs/>
          <w:u w:val="single"/>
        </w:rPr>
      </w:pPr>
      <w:r>
        <w:rPr>
          <w:b/>
          <w:bCs/>
        </w:rPr>
        <w:t>Use of Information Technology to Collect the Information</w:t>
      </w:r>
    </w:p>
    <w:p w:rsidR="00617806" w:rsidRDefault="00617806" w:rsidP="00617806">
      <w:pPr>
        <w:ind w:left="1080"/>
        <w:rPr>
          <w:b/>
          <w:bCs/>
        </w:rPr>
      </w:pPr>
      <w:r>
        <w:t xml:space="preserve">There is no electronic option for this form.  Because this process involves applications for </w:t>
      </w:r>
      <w:r w:rsidRPr="00C44BB0">
        <w:t xml:space="preserve">original </w:t>
      </w:r>
      <w:r>
        <w:t xml:space="preserve">SSNs and the SSN applicants are unknown to SSA, we cannot electronically authenticate them without comparing the identification information they provide with SSA’s existing records.  In addition, many of the SSN applicants who use this form are citizens of countries outside the United States, and are only here temporarily before returning to their countries of origin.  Further, SSA does not provide one-way transmission of SSNs to employers or other third parties at the initial assignment of the SSN.  Therefore, SSA will not implement an electronic version of </w:t>
      </w:r>
      <w:r w:rsidR="0004764D">
        <w:t>this</w:t>
      </w:r>
      <w:r>
        <w:t xml:space="preserve"> form under the agency’s Government Paperwork Elimination Act plan.</w:t>
      </w:r>
    </w:p>
    <w:p w:rsidR="00617806" w:rsidRDefault="00617806" w:rsidP="00617806">
      <w:pPr>
        <w:ind w:left="1080"/>
        <w:rPr>
          <w:b/>
          <w:bCs/>
          <w:u w:val="single"/>
        </w:rPr>
      </w:pPr>
    </w:p>
    <w:p w:rsidR="00617806" w:rsidRPr="0004764D" w:rsidRDefault="0004764D" w:rsidP="00617806">
      <w:pPr>
        <w:numPr>
          <w:ilvl w:val="0"/>
          <w:numId w:val="8"/>
        </w:numPr>
        <w:rPr>
          <w:b/>
          <w:bCs/>
          <w:u w:val="single"/>
        </w:rPr>
      </w:pPr>
      <w:r>
        <w:rPr>
          <w:b/>
          <w:bCs/>
        </w:rPr>
        <w:t>Why We Cannot Use Duplicate Information</w:t>
      </w:r>
    </w:p>
    <w:p w:rsidR="0004764D" w:rsidRDefault="0004764D" w:rsidP="0004764D">
      <w:pPr>
        <w:ind w:left="1080"/>
        <w:rPr>
          <w:b/>
          <w:bCs/>
        </w:rPr>
      </w:pPr>
      <w:r w:rsidRPr="00786454">
        <w:t>The n</w:t>
      </w:r>
      <w:r>
        <w:t>ature of the information we collect</w:t>
      </w:r>
      <w:r w:rsidRPr="00786454">
        <w:t xml:space="preserve"> and th</w:t>
      </w:r>
      <w:r>
        <w:t>e manner in which we collect</w:t>
      </w:r>
      <w:r w:rsidRPr="00786454">
        <w:t xml:space="preserve"> it preclude duplication.  SSA does not use an</w:t>
      </w:r>
      <w:r>
        <w:t>o</w:t>
      </w:r>
      <w:r w:rsidRPr="00786454">
        <w:t xml:space="preserve">ther collection instrument </w:t>
      </w:r>
      <w:r>
        <w:t xml:space="preserve">to </w:t>
      </w:r>
      <w:r w:rsidRPr="00786454">
        <w:t>obtain similar data</w:t>
      </w:r>
      <w:r>
        <w:t>.</w:t>
      </w:r>
    </w:p>
    <w:p w:rsidR="0004764D" w:rsidRDefault="0004764D" w:rsidP="0004764D">
      <w:pPr>
        <w:ind w:left="1080"/>
        <w:rPr>
          <w:b/>
          <w:bCs/>
          <w:u w:val="single"/>
        </w:rPr>
      </w:pPr>
    </w:p>
    <w:p w:rsidR="00617806" w:rsidRPr="0004764D" w:rsidRDefault="0004764D" w:rsidP="00617806">
      <w:pPr>
        <w:numPr>
          <w:ilvl w:val="0"/>
          <w:numId w:val="8"/>
        </w:numPr>
        <w:rPr>
          <w:b/>
          <w:bCs/>
          <w:u w:val="single"/>
        </w:rPr>
      </w:pPr>
      <w:r>
        <w:rPr>
          <w:b/>
          <w:bCs/>
        </w:rPr>
        <w:t>Minimizing Burden on Small Respondents</w:t>
      </w:r>
    </w:p>
    <w:p w:rsidR="0004764D" w:rsidRDefault="0004764D" w:rsidP="0004764D">
      <w:pPr>
        <w:ind w:left="1080"/>
        <w:rPr>
          <w:b/>
          <w:bCs/>
        </w:rPr>
      </w:pPr>
      <w:r>
        <w:rPr>
          <w:bCs/>
        </w:rPr>
        <w:t>This collection does not affect small businesses or other small entities.</w:t>
      </w:r>
    </w:p>
    <w:p w:rsidR="0004764D" w:rsidRDefault="0004764D" w:rsidP="0004764D">
      <w:pPr>
        <w:ind w:left="1080"/>
        <w:rPr>
          <w:b/>
          <w:bCs/>
          <w:u w:val="single"/>
        </w:rPr>
      </w:pPr>
    </w:p>
    <w:p w:rsidR="00617806" w:rsidRPr="0004764D" w:rsidRDefault="0004764D" w:rsidP="00617806">
      <w:pPr>
        <w:numPr>
          <w:ilvl w:val="0"/>
          <w:numId w:val="8"/>
        </w:numPr>
        <w:rPr>
          <w:b/>
          <w:bCs/>
          <w:u w:val="single"/>
        </w:rPr>
      </w:pPr>
      <w:r>
        <w:rPr>
          <w:b/>
          <w:bCs/>
        </w:rPr>
        <w:t>Consequence of Not Collecting Information or Collecting it Less Frequently</w:t>
      </w:r>
    </w:p>
    <w:p w:rsidR="0004764D" w:rsidRDefault="0004764D" w:rsidP="0004764D">
      <w:pPr>
        <w:ind w:left="1080"/>
        <w:rPr>
          <w:b/>
          <w:bCs/>
        </w:rPr>
      </w:pPr>
      <w:r>
        <w:t>If SSA did not collect this information, a greater number of employers would report earnings information without an SSN for individuals (e.g., exchange visitors holding a visa who obtain temporary employment during the summer).  When employers do not report the employee’s SSN, SSA is unable to credit that individual’s earnings record, and places the earnings in a suspense file.  This ultimately could cause errors of incorrect benefit payment amounts to potential future beneficiaries.  Because we only collect this information when the respondent requests it, we cannot collect it less frequently.  There are no technical or legal obstacles that prevent burden reduction.</w:t>
      </w:r>
    </w:p>
    <w:p w:rsidR="0004764D" w:rsidRDefault="0004764D" w:rsidP="0004764D">
      <w:pPr>
        <w:ind w:left="1080"/>
        <w:rPr>
          <w:b/>
          <w:bCs/>
          <w:u w:val="single"/>
        </w:rPr>
      </w:pPr>
    </w:p>
    <w:p w:rsidR="0004764D" w:rsidRDefault="0004764D" w:rsidP="0004764D">
      <w:pPr>
        <w:ind w:left="1080"/>
        <w:rPr>
          <w:b/>
          <w:bCs/>
          <w:u w:val="single"/>
        </w:rPr>
      </w:pPr>
    </w:p>
    <w:p w:rsidR="0004764D" w:rsidRDefault="0004764D" w:rsidP="0004764D">
      <w:pPr>
        <w:ind w:left="1080"/>
        <w:rPr>
          <w:b/>
          <w:bCs/>
          <w:u w:val="single"/>
        </w:rPr>
      </w:pPr>
    </w:p>
    <w:p w:rsidR="00617806" w:rsidRPr="0004764D" w:rsidRDefault="0004764D" w:rsidP="00617806">
      <w:pPr>
        <w:numPr>
          <w:ilvl w:val="0"/>
          <w:numId w:val="8"/>
        </w:numPr>
        <w:rPr>
          <w:b/>
          <w:bCs/>
          <w:u w:val="single"/>
        </w:rPr>
      </w:pPr>
      <w:r>
        <w:rPr>
          <w:b/>
          <w:bCs/>
        </w:rPr>
        <w:lastRenderedPageBreak/>
        <w:t>Special Circumstances</w:t>
      </w:r>
    </w:p>
    <w:p w:rsidR="0004764D" w:rsidRDefault="0004764D" w:rsidP="0004764D">
      <w:pPr>
        <w:ind w:left="1080"/>
        <w:rPr>
          <w:b/>
          <w:bCs/>
        </w:rPr>
      </w:pPr>
      <w:r>
        <w:t xml:space="preserve">There are no special circumstances that would cause SSA to collect this information in a manner inconsistent with </w:t>
      </w:r>
      <w:r w:rsidRPr="000601A4">
        <w:rPr>
          <w:i/>
        </w:rPr>
        <w:t>5 CFR 1320.5</w:t>
      </w:r>
      <w:r>
        <w:rPr>
          <w:i/>
        </w:rPr>
        <w:t>.</w:t>
      </w:r>
    </w:p>
    <w:p w:rsidR="0004764D" w:rsidRDefault="0004764D" w:rsidP="0004764D">
      <w:pPr>
        <w:ind w:left="1080"/>
        <w:rPr>
          <w:b/>
          <w:bCs/>
          <w:u w:val="single"/>
        </w:rPr>
      </w:pPr>
    </w:p>
    <w:p w:rsidR="00617806" w:rsidRPr="0004764D" w:rsidRDefault="0004764D" w:rsidP="00617806">
      <w:pPr>
        <w:numPr>
          <w:ilvl w:val="0"/>
          <w:numId w:val="8"/>
        </w:numPr>
        <w:rPr>
          <w:b/>
          <w:bCs/>
          <w:u w:val="single"/>
        </w:rPr>
      </w:pPr>
      <w:r w:rsidRPr="00852FE2">
        <w:rPr>
          <w:b/>
        </w:rPr>
        <w:t>Solicitation of Public Comment and Other Consultations with the Public</w:t>
      </w:r>
    </w:p>
    <w:p w:rsidR="0004764D" w:rsidRDefault="0004764D" w:rsidP="0004764D">
      <w:pPr>
        <w:ind w:left="1080"/>
        <w:rPr>
          <w:b/>
        </w:rPr>
      </w:pPr>
      <w:r w:rsidRPr="0064161B">
        <w:t xml:space="preserve">The 60-day advance Federal Register Notice published on </w:t>
      </w:r>
      <w:r w:rsidR="00E51205">
        <w:t>June 8, 2018</w:t>
      </w:r>
      <w:r w:rsidRPr="0064161B">
        <w:t>, at</w:t>
      </w:r>
      <w:r w:rsidRPr="0064161B">
        <w:rPr>
          <w:b/>
        </w:rPr>
        <w:t xml:space="preserve"> </w:t>
      </w:r>
      <w:r w:rsidRPr="0064161B">
        <w:t xml:space="preserve">83 FR </w:t>
      </w:r>
      <w:r w:rsidR="00E51205">
        <w:rPr>
          <w:bCs/>
        </w:rPr>
        <w:t>26732</w:t>
      </w:r>
      <w:r w:rsidRPr="0064161B">
        <w:t xml:space="preserve">, and we received no public comments.  The 30-day FRN published on </w:t>
      </w:r>
      <w:r w:rsidR="001D4F60">
        <w:t>October 3</w:t>
      </w:r>
      <w:r w:rsidR="00E51205">
        <w:t>,</w:t>
      </w:r>
      <w:r w:rsidRPr="0064161B">
        <w:t xml:space="preserve"> 2018 at 83 FR </w:t>
      </w:r>
      <w:r w:rsidR="001D4F60">
        <w:rPr>
          <w:bCs/>
        </w:rPr>
        <w:t>49965</w:t>
      </w:r>
      <w:r w:rsidRPr="0064161B">
        <w:t>.  If we receive any comments in response to this Notice, we will forward them to OMB</w:t>
      </w:r>
      <w:r>
        <w:t>.</w:t>
      </w:r>
    </w:p>
    <w:p w:rsidR="0004764D" w:rsidRDefault="0004764D" w:rsidP="0004764D">
      <w:pPr>
        <w:ind w:left="1080"/>
        <w:rPr>
          <w:b/>
          <w:bCs/>
          <w:u w:val="single"/>
        </w:rPr>
      </w:pPr>
    </w:p>
    <w:p w:rsidR="00617806" w:rsidRPr="0004764D" w:rsidRDefault="0004764D" w:rsidP="00617806">
      <w:pPr>
        <w:numPr>
          <w:ilvl w:val="0"/>
          <w:numId w:val="8"/>
        </w:numPr>
        <w:rPr>
          <w:b/>
          <w:bCs/>
          <w:u w:val="single"/>
        </w:rPr>
      </w:pPr>
      <w:r w:rsidRPr="00D92F57">
        <w:rPr>
          <w:b/>
          <w:spacing w:val="-3"/>
        </w:rPr>
        <w:t>Payment of Gifts to Respondents</w:t>
      </w:r>
    </w:p>
    <w:p w:rsidR="0004764D" w:rsidRDefault="0004764D" w:rsidP="0004764D">
      <w:pPr>
        <w:ind w:left="1080"/>
        <w:rPr>
          <w:b/>
          <w:spacing w:val="-3"/>
        </w:rPr>
      </w:pPr>
      <w:r>
        <w:rPr>
          <w:spacing w:val="-3"/>
        </w:rPr>
        <w:t>SSA provides no payment or gifts to the respondents.</w:t>
      </w:r>
    </w:p>
    <w:p w:rsidR="0004764D" w:rsidRDefault="0004764D" w:rsidP="0004764D">
      <w:pPr>
        <w:ind w:left="1080"/>
        <w:rPr>
          <w:b/>
          <w:bCs/>
          <w:u w:val="single"/>
        </w:rPr>
      </w:pPr>
    </w:p>
    <w:p w:rsidR="0004764D" w:rsidRPr="0004764D" w:rsidRDefault="0004764D" w:rsidP="0004764D">
      <w:pPr>
        <w:numPr>
          <w:ilvl w:val="0"/>
          <w:numId w:val="8"/>
        </w:numPr>
        <w:rPr>
          <w:b/>
          <w:bCs/>
          <w:u w:val="single"/>
        </w:rPr>
      </w:pPr>
      <w:r>
        <w:rPr>
          <w:b/>
          <w:bCs/>
        </w:rPr>
        <w:t>Assurances of Confidentiality</w:t>
      </w:r>
    </w:p>
    <w:p w:rsidR="0004764D" w:rsidRDefault="0004764D" w:rsidP="0004764D">
      <w:pPr>
        <w:ind w:left="1080"/>
        <w:rPr>
          <w:b/>
          <w:bCs/>
        </w:rPr>
      </w:pPr>
      <w:r w:rsidRPr="00F62078">
        <w:t>SSA protects and holds confidential the information it collects in accordance with</w:t>
      </w:r>
      <w:r>
        <w:rPr>
          <w:i/>
        </w:rPr>
        <w:t xml:space="preserve"> 42 </w:t>
      </w:r>
      <w:r w:rsidRPr="00F62078">
        <w:rPr>
          <w:i/>
        </w:rPr>
        <w:t xml:space="preserve">U.S.C. 1306, 20 CFR 401 </w:t>
      </w:r>
      <w:r w:rsidRPr="00F62078">
        <w:t>and</w:t>
      </w:r>
      <w:r w:rsidRPr="00F62078">
        <w:rPr>
          <w:i/>
        </w:rPr>
        <w:t xml:space="preserve"> 402, 5 U.S.C. 552 </w:t>
      </w:r>
      <w:r w:rsidRPr="00F62078">
        <w:t>(Freedom of Information Act),</w:t>
      </w:r>
      <w:r>
        <w:rPr>
          <w:i/>
        </w:rPr>
        <w:t xml:space="preserve"> 5 </w:t>
      </w:r>
      <w:r w:rsidRPr="00F62078">
        <w:rPr>
          <w:i/>
        </w:rPr>
        <w:t xml:space="preserve">U.S.C. 552a </w:t>
      </w:r>
      <w:r w:rsidRPr="00F62078">
        <w:t>(Privacy Act of 1974), and OMB Circular No. A-130</w:t>
      </w:r>
      <w:r>
        <w:t>.</w:t>
      </w:r>
    </w:p>
    <w:p w:rsidR="0004764D" w:rsidRPr="0004764D" w:rsidRDefault="0004764D" w:rsidP="0004764D">
      <w:pPr>
        <w:ind w:left="1080"/>
        <w:rPr>
          <w:b/>
          <w:bCs/>
          <w:u w:val="single"/>
        </w:rPr>
      </w:pPr>
    </w:p>
    <w:p w:rsidR="00617806" w:rsidRPr="0004764D" w:rsidRDefault="0004764D" w:rsidP="00617806">
      <w:pPr>
        <w:numPr>
          <w:ilvl w:val="0"/>
          <w:numId w:val="8"/>
        </w:numPr>
        <w:rPr>
          <w:b/>
          <w:bCs/>
          <w:u w:val="single"/>
        </w:rPr>
      </w:pPr>
      <w:r w:rsidRPr="0009791F">
        <w:rPr>
          <w:b/>
          <w:bCs/>
        </w:rPr>
        <w:t>Justification for Sensitive Questions</w:t>
      </w:r>
    </w:p>
    <w:p w:rsidR="0004764D" w:rsidRDefault="0004764D" w:rsidP="0004764D">
      <w:pPr>
        <w:ind w:left="1080"/>
        <w:rPr>
          <w:b/>
          <w:bCs/>
        </w:rPr>
      </w:pPr>
      <w:r w:rsidRPr="0009791F">
        <w:rPr>
          <w:bCs/>
        </w:rPr>
        <w:t>The information collection does not contain any questions of a sensitive nature</w:t>
      </w:r>
      <w:r>
        <w:rPr>
          <w:bCs/>
        </w:rPr>
        <w:t>.</w:t>
      </w:r>
    </w:p>
    <w:p w:rsidR="0004764D" w:rsidRDefault="0004764D" w:rsidP="0004764D">
      <w:pPr>
        <w:ind w:left="1080"/>
        <w:rPr>
          <w:b/>
          <w:bCs/>
          <w:u w:val="single"/>
        </w:rPr>
      </w:pPr>
    </w:p>
    <w:p w:rsidR="00617806" w:rsidRPr="0004764D" w:rsidRDefault="0004764D" w:rsidP="00617806">
      <w:pPr>
        <w:numPr>
          <w:ilvl w:val="0"/>
          <w:numId w:val="8"/>
        </w:numPr>
        <w:rPr>
          <w:b/>
          <w:bCs/>
          <w:u w:val="single"/>
        </w:rPr>
      </w:pPr>
      <w:r w:rsidRPr="0009791F">
        <w:rPr>
          <w:b/>
          <w:bCs/>
        </w:rPr>
        <w:t>Estimates of Public Reporting Burden</w:t>
      </w:r>
    </w:p>
    <w:p w:rsidR="0004764D" w:rsidRDefault="0004764D" w:rsidP="0004764D">
      <w:pPr>
        <w:ind w:left="1080"/>
        <w:rPr>
          <w:bCs/>
        </w:rPr>
      </w:pPr>
      <w:r>
        <w:rPr>
          <w:bCs/>
        </w:rPr>
        <w:t>Approximately 326,000 respondents take 2 minutes each to complete Form SSA-132 annually.  Accordingly, the burden is 10,867 hours:</w:t>
      </w:r>
    </w:p>
    <w:p w:rsidR="0004764D" w:rsidRPr="0004764D" w:rsidRDefault="0004764D" w:rsidP="0004764D">
      <w:pPr>
        <w:ind w:left="1080"/>
        <w:rPr>
          <w:bCs/>
        </w:rPr>
      </w:pPr>
    </w:p>
    <w:tbl>
      <w:tblPr>
        <w:tblStyle w:val="TableGrid"/>
        <w:tblW w:w="0" w:type="auto"/>
        <w:tblInd w:w="1080" w:type="dxa"/>
        <w:tblLook w:val="04A0" w:firstRow="1" w:lastRow="0" w:firstColumn="1" w:lastColumn="0" w:noHBand="0" w:noVBand="1"/>
      </w:tblPr>
      <w:tblGrid>
        <w:gridCol w:w="1807"/>
        <w:gridCol w:w="1807"/>
        <w:gridCol w:w="1807"/>
        <w:gridCol w:w="1807"/>
        <w:gridCol w:w="1808"/>
      </w:tblGrid>
      <w:tr w:rsidR="0004764D" w:rsidTr="0004764D">
        <w:tc>
          <w:tcPr>
            <w:tcW w:w="1807" w:type="dxa"/>
          </w:tcPr>
          <w:p w:rsidR="0004764D" w:rsidRPr="0009791F" w:rsidRDefault="0004764D" w:rsidP="0004764D">
            <w:pPr>
              <w:pStyle w:val="ListParagraph"/>
              <w:tabs>
                <w:tab w:val="left" w:pos="1440"/>
              </w:tabs>
              <w:suppressAutoHyphens w:val="0"/>
              <w:ind w:left="0"/>
              <w:rPr>
                <w:b/>
              </w:rPr>
            </w:pPr>
            <w:r w:rsidRPr="0009791F">
              <w:rPr>
                <w:b/>
              </w:rPr>
              <w:t>Modality of Completion</w:t>
            </w:r>
          </w:p>
        </w:tc>
        <w:tc>
          <w:tcPr>
            <w:tcW w:w="1807" w:type="dxa"/>
          </w:tcPr>
          <w:p w:rsidR="0004764D" w:rsidRPr="0009791F" w:rsidRDefault="0004764D" w:rsidP="0004764D">
            <w:pPr>
              <w:pStyle w:val="ListParagraph"/>
              <w:tabs>
                <w:tab w:val="left" w:pos="1440"/>
              </w:tabs>
              <w:suppressAutoHyphens w:val="0"/>
              <w:ind w:left="0"/>
              <w:rPr>
                <w:b/>
              </w:rPr>
            </w:pPr>
            <w:r w:rsidRPr="0009791F">
              <w:rPr>
                <w:b/>
              </w:rPr>
              <w:t>Number of Respondents</w:t>
            </w:r>
          </w:p>
        </w:tc>
        <w:tc>
          <w:tcPr>
            <w:tcW w:w="1807" w:type="dxa"/>
          </w:tcPr>
          <w:p w:rsidR="0004764D" w:rsidRPr="0009791F" w:rsidRDefault="0004764D" w:rsidP="0004764D">
            <w:pPr>
              <w:pStyle w:val="ListParagraph"/>
              <w:tabs>
                <w:tab w:val="left" w:pos="1440"/>
              </w:tabs>
              <w:suppressAutoHyphens w:val="0"/>
              <w:ind w:left="0"/>
              <w:rPr>
                <w:b/>
              </w:rPr>
            </w:pPr>
            <w:r w:rsidRPr="0009791F">
              <w:rPr>
                <w:b/>
              </w:rPr>
              <w:t>Frequency of Response</w:t>
            </w:r>
          </w:p>
        </w:tc>
        <w:tc>
          <w:tcPr>
            <w:tcW w:w="1807" w:type="dxa"/>
          </w:tcPr>
          <w:p w:rsidR="0004764D" w:rsidRPr="0009791F" w:rsidRDefault="0004764D" w:rsidP="0004764D">
            <w:pPr>
              <w:pStyle w:val="ListParagraph"/>
              <w:tabs>
                <w:tab w:val="left" w:pos="1440"/>
              </w:tabs>
              <w:suppressAutoHyphens w:val="0"/>
              <w:ind w:left="0"/>
              <w:rPr>
                <w:b/>
              </w:rPr>
            </w:pPr>
            <w:r w:rsidRPr="0009791F">
              <w:rPr>
                <w:b/>
              </w:rPr>
              <w:t>Average Burden Per Response (minutes)</w:t>
            </w:r>
          </w:p>
        </w:tc>
        <w:tc>
          <w:tcPr>
            <w:tcW w:w="1808" w:type="dxa"/>
          </w:tcPr>
          <w:p w:rsidR="0004764D" w:rsidRPr="0009791F" w:rsidRDefault="0004764D" w:rsidP="0004764D">
            <w:pPr>
              <w:pStyle w:val="ListParagraph"/>
              <w:tabs>
                <w:tab w:val="left" w:pos="1440"/>
              </w:tabs>
              <w:suppressAutoHyphens w:val="0"/>
              <w:ind w:left="0"/>
              <w:rPr>
                <w:b/>
              </w:rPr>
            </w:pPr>
            <w:r w:rsidRPr="0009791F">
              <w:rPr>
                <w:b/>
              </w:rPr>
              <w:t>Estimated Total Annual Burden (hours)</w:t>
            </w:r>
          </w:p>
        </w:tc>
      </w:tr>
      <w:tr w:rsidR="0004764D" w:rsidTr="0004764D">
        <w:tc>
          <w:tcPr>
            <w:tcW w:w="1807" w:type="dxa"/>
          </w:tcPr>
          <w:p w:rsidR="0004764D" w:rsidRPr="0009791F" w:rsidRDefault="0004764D" w:rsidP="0004764D">
            <w:pPr>
              <w:pStyle w:val="HTMLPreformatted"/>
              <w:rPr>
                <w:rFonts w:ascii="Times New Roman" w:hAnsi="Times New Roman"/>
                <w:sz w:val="24"/>
              </w:rPr>
            </w:pPr>
            <w:r w:rsidRPr="0009791F">
              <w:rPr>
                <w:rFonts w:ascii="Times New Roman" w:hAnsi="Times New Roman"/>
                <w:sz w:val="24"/>
              </w:rPr>
              <w:t>SSA-132</w:t>
            </w:r>
          </w:p>
        </w:tc>
        <w:tc>
          <w:tcPr>
            <w:tcW w:w="1807" w:type="dxa"/>
          </w:tcPr>
          <w:p w:rsidR="0004764D" w:rsidRPr="0009791F" w:rsidRDefault="0004764D" w:rsidP="0004764D">
            <w:pPr>
              <w:pStyle w:val="HTMLPreformatted"/>
              <w:jc w:val="right"/>
              <w:rPr>
                <w:rFonts w:ascii="Times New Roman" w:hAnsi="Times New Roman"/>
                <w:sz w:val="24"/>
              </w:rPr>
            </w:pPr>
            <w:r>
              <w:rPr>
                <w:rFonts w:ascii="Times New Roman" w:hAnsi="Times New Roman"/>
                <w:sz w:val="24"/>
              </w:rPr>
              <w:t>326</w:t>
            </w:r>
            <w:r w:rsidRPr="0009791F">
              <w:rPr>
                <w:rFonts w:ascii="Times New Roman" w:hAnsi="Times New Roman"/>
                <w:sz w:val="24"/>
              </w:rPr>
              <w:t>,</w:t>
            </w:r>
            <w:r>
              <w:rPr>
                <w:rFonts w:ascii="Times New Roman" w:hAnsi="Times New Roman"/>
                <w:sz w:val="24"/>
              </w:rPr>
              <w:t>000</w:t>
            </w:r>
          </w:p>
        </w:tc>
        <w:tc>
          <w:tcPr>
            <w:tcW w:w="1807" w:type="dxa"/>
          </w:tcPr>
          <w:p w:rsidR="0004764D" w:rsidRPr="0009791F" w:rsidRDefault="0004764D" w:rsidP="0004764D">
            <w:pPr>
              <w:pStyle w:val="HTMLPreformatted"/>
              <w:jc w:val="right"/>
              <w:rPr>
                <w:rFonts w:ascii="Times New Roman" w:hAnsi="Times New Roman"/>
                <w:sz w:val="24"/>
              </w:rPr>
            </w:pPr>
            <w:r w:rsidRPr="0009791F">
              <w:rPr>
                <w:rFonts w:ascii="Times New Roman" w:hAnsi="Times New Roman"/>
                <w:sz w:val="24"/>
              </w:rPr>
              <w:t>1</w:t>
            </w:r>
          </w:p>
        </w:tc>
        <w:tc>
          <w:tcPr>
            <w:tcW w:w="1807" w:type="dxa"/>
          </w:tcPr>
          <w:p w:rsidR="0004764D" w:rsidRPr="0009791F" w:rsidRDefault="0004764D" w:rsidP="0004764D">
            <w:pPr>
              <w:pStyle w:val="HTMLPreformatted"/>
              <w:jc w:val="right"/>
              <w:rPr>
                <w:rFonts w:ascii="Times New Roman" w:hAnsi="Times New Roman"/>
                <w:sz w:val="24"/>
              </w:rPr>
            </w:pPr>
            <w:r w:rsidRPr="0009791F">
              <w:rPr>
                <w:rFonts w:ascii="Times New Roman" w:hAnsi="Times New Roman"/>
                <w:sz w:val="24"/>
              </w:rPr>
              <w:t>2</w:t>
            </w:r>
          </w:p>
        </w:tc>
        <w:tc>
          <w:tcPr>
            <w:tcW w:w="1808" w:type="dxa"/>
          </w:tcPr>
          <w:p w:rsidR="0004764D" w:rsidRPr="0009791F" w:rsidRDefault="0004764D" w:rsidP="0004764D">
            <w:pPr>
              <w:pStyle w:val="HTMLPreformatted"/>
              <w:jc w:val="right"/>
              <w:rPr>
                <w:rFonts w:ascii="Times New Roman" w:hAnsi="Times New Roman"/>
                <w:sz w:val="24"/>
              </w:rPr>
            </w:pPr>
            <w:r w:rsidRPr="0009791F">
              <w:rPr>
                <w:rFonts w:ascii="Times New Roman" w:hAnsi="Times New Roman"/>
                <w:sz w:val="24"/>
              </w:rPr>
              <w:t>10,86</w:t>
            </w:r>
            <w:r>
              <w:rPr>
                <w:rFonts w:ascii="Times New Roman" w:hAnsi="Times New Roman"/>
                <w:sz w:val="24"/>
              </w:rPr>
              <w:t>7</w:t>
            </w:r>
          </w:p>
        </w:tc>
      </w:tr>
    </w:tbl>
    <w:p w:rsidR="0004764D" w:rsidRDefault="0004764D" w:rsidP="0004764D">
      <w:pPr>
        <w:ind w:left="1080"/>
        <w:rPr>
          <w:rFonts w:eastAsia="Arial Unicode MS"/>
        </w:rPr>
      </w:pPr>
    </w:p>
    <w:p w:rsidR="0004764D" w:rsidRDefault="0004764D" w:rsidP="0004764D">
      <w:pPr>
        <w:ind w:left="1080"/>
        <w:rPr>
          <w:b/>
          <w:bCs/>
        </w:rPr>
      </w:pPr>
      <w:r w:rsidRPr="0064161B">
        <w:rPr>
          <w:rFonts w:eastAsia="Arial Unicode MS"/>
        </w:rPr>
        <w:t xml:space="preserve">The total burden for this ICR is </w:t>
      </w:r>
      <w:r>
        <w:rPr>
          <w:rFonts w:eastAsia="Arial Unicode MS"/>
          <w:b/>
        </w:rPr>
        <w:t>10,867</w:t>
      </w:r>
      <w:r w:rsidRPr="00D82BF6">
        <w:rPr>
          <w:rFonts w:eastAsia="Arial Unicode MS"/>
          <w:b/>
        </w:rPr>
        <w:t xml:space="preserve"> hours</w:t>
      </w:r>
      <w:r w:rsidRPr="0064161B">
        <w:rPr>
          <w:rFonts w:eastAsia="Arial Unicode MS"/>
        </w:rPr>
        <w:t xml:space="preserve">.  </w:t>
      </w:r>
      <w:r w:rsidRPr="0064161B">
        <w:t>We based this figure on current management information data, and it represents burden hours.  We did not calculate a separate cost burden</w:t>
      </w:r>
      <w:r w:rsidR="00FB7647">
        <w:t>.</w:t>
      </w:r>
    </w:p>
    <w:p w:rsidR="0004764D" w:rsidRDefault="0004764D" w:rsidP="0004764D">
      <w:pPr>
        <w:ind w:left="1080"/>
        <w:rPr>
          <w:b/>
          <w:bCs/>
          <w:u w:val="single"/>
        </w:rPr>
      </w:pPr>
    </w:p>
    <w:p w:rsidR="00617806" w:rsidRPr="0004764D" w:rsidRDefault="0004764D" w:rsidP="00617806">
      <w:pPr>
        <w:numPr>
          <w:ilvl w:val="0"/>
          <w:numId w:val="8"/>
        </w:numPr>
        <w:rPr>
          <w:b/>
          <w:bCs/>
          <w:u w:val="single"/>
        </w:rPr>
      </w:pPr>
      <w:r>
        <w:rPr>
          <w:b/>
          <w:bCs/>
        </w:rPr>
        <w:t xml:space="preserve">Annual </w:t>
      </w:r>
      <w:r w:rsidRPr="001C4996">
        <w:rPr>
          <w:b/>
          <w:bCs/>
        </w:rPr>
        <w:t xml:space="preserve">Cost to </w:t>
      </w:r>
      <w:r>
        <w:rPr>
          <w:b/>
          <w:bCs/>
        </w:rPr>
        <w:t>the Respondents</w:t>
      </w:r>
    </w:p>
    <w:p w:rsidR="0004764D" w:rsidRDefault="0004764D" w:rsidP="0004764D">
      <w:pPr>
        <w:ind w:left="1080"/>
        <w:rPr>
          <w:b/>
          <w:bCs/>
        </w:rPr>
      </w:pPr>
      <w:r>
        <w:t>There is no known cost burden to the respondents.</w:t>
      </w:r>
    </w:p>
    <w:p w:rsidR="0004764D" w:rsidRDefault="0004764D" w:rsidP="0004764D">
      <w:pPr>
        <w:ind w:left="1080"/>
        <w:rPr>
          <w:b/>
          <w:bCs/>
          <w:u w:val="single"/>
        </w:rPr>
      </w:pPr>
    </w:p>
    <w:p w:rsidR="00617806" w:rsidRPr="0004764D" w:rsidRDefault="0004764D" w:rsidP="00617806">
      <w:pPr>
        <w:numPr>
          <w:ilvl w:val="0"/>
          <w:numId w:val="8"/>
        </w:numPr>
        <w:rPr>
          <w:b/>
          <w:bCs/>
          <w:u w:val="single"/>
        </w:rPr>
      </w:pPr>
      <w:r>
        <w:rPr>
          <w:b/>
          <w:bCs/>
        </w:rPr>
        <w:t xml:space="preserve">Annual </w:t>
      </w:r>
      <w:r w:rsidRPr="001C4996">
        <w:rPr>
          <w:b/>
          <w:bCs/>
        </w:rPr>
        <w:t>Cost to the Federal Governmen</w:t>
      </w:r>
      <w:r>
        <w:rPr>
          <w:b/>
          <w:bCs/>
        </w:rPr>
        <w:t>t</w:t>
      </w:r>
    </w:p>
    <w:p w:rsidR="0004764D" w:rsidRDefault="0004764D" w:rsidP="0004764D">
      <w:pPr>
        <w:ind w:left="1080"/>
        <w:rPr>
          <w:b/>
          <w:bCs/>
        </w:rPr>
      </w:pPr>
      <w:r w:rsidRPr="00467322">
        <w:t>The annual cost to the Federal Governm</w:t>
      </w:r>
      <w:r>
        <w:t>ent is approximately $</w:t>
      </w:r>
      <w:r>
        <w:rPr>
          <w:bCs/>
        </w:rPr>
        <w:t>386,431</w:t>
      </w:r>
      <w:r>
        <w:t xml:space="preserve">.  </w:t>
      </w:r>
      <w:r w:rsidRPr="0064161B">
        <w:rPr>
          <w:color w:val="000000"/>
        </w:rPr>
        <w:t>This estimate accounts for costs from the following areas:  (1) designing, printing, and distributing the form; and (2) SSA employee (e.g., field office, 800 number, DDS staff) information collection and processing time</w:t>
      </w:r>
      <w:r>
        <w:rPr>
          <w:color w:val="000000"/>
        </w:rPr>
        <w:t>.</w:t>
      </w:r>
    </w:p>
    <w:p w:rsidR="0004764D" w:rsidRDefault="0004764D" w:rsidP="0004764D">
      <w:pPr>
        <w:ind w:left="1080"/>
        <w:rPr>
          <w:b/>
          <w:bCs/>
          <w:u w:val="single"/>
        </w:rPr>
      </w:pPr>
    </w:p>
    <w:p w:rsidR="00B41944" w:rsidRDefault="00B41944" w:rsidP="0004764D">
      <w:pPr>
        <w:ind w:left="1080"/>
        <w:rPr>
          <w:b/>
          <w:bCs/>
          <w:u w:val="single"/>
        </w:rPr>
      </w:pPr>
    </w:p>
    <w:p w:rsidR="00B41944" w:rsidRDefault="00B41944" w:rsidP="0004764D">
      <w:pPr>
        <w:ind w:left="1080"/>
        <w:rPr>
          <w:b/>
          <w:bCs/>
          <w:u w:val="single"/>
        </w:rPr>
      </w:pPr>
    </w:p>
    <w:p w:rsidR="00617806" w:rsidRPr="0004764D" w:rsidRDefault="0004764D" w:rsidP="00617806">
      <w:pPr>
        <w:numPr>
          <w:ilvl w:val="0"/>
          <w:numId w:val="8"/>
        </w:numPr>
        <w:rPr>
          <w:b/>
          <w:bCs/>
          <w:u w:val="single"/>
        </w:rPr>
      </w:pPr>
      <w:r w:rsidRPr="00BC7F42">
        <w:rPr>
          <w:b/>
        </w:rPr>
        <w:t xml:space="preserve">Program Changes or Adjustments to the Information Collection </w:t>
      </w:r>
      <w:r>
        <w:rPr>
          <w:b/>
        </w:rPr>
        <w:t>Request</w:t>
      </w:r>
    </w:p>
    <w:p w:rsidR="0004764D" w:rsidRDefault="00B41944" w:rsidP="0004764D">
      <w:pPr>
        <w:ind w:left="1080"/>
        <w:rPr>
          <w:b/>
        </w:rPr>
      </w:pPr>
      <w:r>
        <w:t>The increase in the public reporting burden from 8,300 hours to 10,867 hours reflects the updated management information data we have for FY 2017.  In FY 2017, SSA enumerated approximately 326,000 foreign students and exchange visitors</w:t>
      </w:r>
      <w:r w:rsidRPr="00103FD0">
        <w:t>.</w:t>
      </w:r>
      <w:r>
        <w:t xml:space="preserve"> </w:t>
      </w:r>
      <w:r w:rsidRPr="00103FD0">
        <w:t xml:space="preserve"> Absent any mechanism that measures the number of individuals</w:t>
      </w:r>
      <w:r>
        <w:t xml:space="preserve"> who </w:t>
      </w:r>
      <w:r w:rsidRPr="00103FD0">
        <w:t>u</w:t>
      </w:r>
      <w:r>
        <w:t>tilize form SSA-132, we use this</w:t>
      </w:r>
      <w:r w:rsidRPr="00103FD0">
        <w:t xml:space="preserve"> figure </w:t>
      </w:r>
      <w:r>
        <w:t>as the number of respondents for the reporting burden (</w:t>
      </w:r>
      <w:r w:rsidRPr="00103FD0">
        <w:t xml:space="preserve">assuming that every </w:t>
      </w:r>
      <w:r>
        <w:t>foreign student and exchange visitor</w:t>
      </w:r>
      <w:r w:rsidRPr="00103FD0">
        <w:t xml:space="preserve"> </w:t>
      </w:r>
      <w:r>
        <w:t>needs to complete F</w:t>
      </w:r>
      <w:r w:rsidRPr="00103FD0">
        <w:t>orm SSA-132</w:t>
      </w:r>
      <w:r>
        <w:t>, otherwise they would not have their newly requested SSN fast enough)</w:t>
      </w:r>
      <w:r w:rsidRPr="00103FD0">
        <w:t xml:space="preserve">.  </w:t>
      </w:r>
      <w:r>
        <w:t xml:space="preserve">We estimated the updated burden hours using this new respondent figure.  </w:t>
      </w:r>
      <w:r w:rsidRPr="00103FD0">
        <w:t>This is consistent with how</w:t>
      </w:r>
      <w:r>
        <w:t xml:space="preserve"> we calculated and reported</w:t>
      </w:r>
      <w:r w:rsidRPr="00103FD0">
        <w:t xml:space="preserve"> the number of respondents </w:t>
      </w:r>
      <w:r>
        <w:t>previously.</w:t>
      </w:r>
    </w:p>
    <w:p w:rsidR="0004764D" w:rsidRDefault="0004764D" w:rsidP="0004764D">
      <w:pPr>
        <w:ind w:left="1080"/>
        <w:rPr>
          <w:b/>
          <w:bCs/>
          <w:u w:val="single"/>
        </w:rPr>
      </w:pPr>
    </w:p>
    <w:p w:rsidR="00617806" w:rsidRPr="00B41944" w:rsidRDefault="00B41944" w:rsidP="00617806">
      <w:pPr>
        <w:numPr>
          <w:ilvl w:val="0"/>
          <w:numId w:val="8"/>
        </w:numPr>
        <w:rPr>
          <w:b/>
          <w:bCs/>
          <w:u w:val="single"/>
        </w:rPr>
      </w:pPr>
      <w:r w:rsidRPr="00BC7F42">
        <w:rPr>
          <w:b/>
        </w:rPr>
        <w:t>Plans for Publication Information Collection</w:t>
      </w:r>
      <w:r>
        <w:rPr>
          <w:b/>
        </w:rPr>
        <w:t xml:space="preserve"> </w:t>
      </w:r>
      <w:r w:rsidRPr="00A53FDF">
        <w:rPr>
          <w:b/>
        </w:rPr>
        <w:t>Results</w:t>
      </w:r>
    </w:p>
    <w:p w:rsidR="00B41944" w:rsidRDefault="00B41944" w:rsidP="00B41944">
      <w:pPr>
        <w:ind w:left="1080"/>
        <w:rPr>
          <w:b/>
          <w:bCs/>
        </w:rPr>
      </w:pPr>
      <w:r>
        <w:t>SSA will not publish the results of the information collection.</w:t>
      </w:r>
    </w:p>
    <w:p w:rsidR="00B41944" w:rsidRDefault="00B41944" w:rsidP="00B41944">
      <w:pPr>
        <w:ind w:left="1080"/>
        <w:rPr>
          <w:b/>
          <w:bCs/>
          <w:u w:val="single"/>
        </w:rPr>
      </w:pPr>
    </w:p>
    <w:p w:rsidR="00617806" w:rsidRPr="00B41944" w:rsidRDefault="00B41944" w:rsidP="00617806">
      <w:pPr>
        <w:numPr>
          <w:ilvl w:val="0"/>
          <w:numId w:val="8"/>
        </w:numPr>
        <w:rPr>
          <w:b/>
          <w:bCs/>
          <w:u w:val="single"/>
        </w:rPr>
      </w:pPr>
      <w:r w:rsidRPr="001C4996">
        <w:rPr>
          <w:b/>
          <w:bCs/>
        </w:rPr>
        <w:t>Displaying t</w:t>
      </w:r>
      <w:r>
        <w:rPr>
          <w:b/>
          <w:bCs/>
        </w:rPr>
        <w:t>he OMB Approval Expiration Date</w:t>
      </w:r>
    </w:p>
    <w:p w:rsidR="00B41944" w:rsidRDefault="00B41944" w:rsidP="00B41944">
      <w:pPr>
        <w:ind w:left="1080"/>
        <w:rPr>
          <w:b/>
          <w:bCs/>
        </w:rPr>
      </w:pPr>
      <w:r w:rsidRPr="00310C58">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bCs/>
          <w:iCs/>
        </w:rPr>
        <w:t>.</w:t>
      </w:r>
    </w:p>
    <w:p w:rsidR="00B41944" w:rsidRDefault="00B41944" w:rsidP="00B41944">
      <w:pPr>
        <w:ind w:left="1080"/>
        <w:rPr>
          <w:b/>
          <w:bCs/>
          <w:u w:val="single"/>
        </w:rPr>
      </w:pPr>
    </w:p>
    <w:p w:rsidR="00617806" w:rsidRPr="00B41944" w:rsidRDefault="00B41944" w:rsidP="00617806">
      <w:pPr>
        <w:numPr>
          <w:ilvl w:val="0"/>
          <w:numId w:val="8"/>
        </w:numPr>
        <w:rPr>
          <w:b/>
          <w:bCs/>
          <w:u w:val="single"/>
        </w:rPr>
      </w:pPr>
      <w:r w:rsidRPr="00BC7F42">
        <w:rPr>
          <w:b/>
        </w:rPr>
        <w:t>Exceptions to Certification Statement</w:t>
      </w:r>
    </w:p>
    <w:p w:rsidR="00B41944" w:rsidRDefault="00B41944" w:rsidP="00B41944">
      <w:pPr>
        <w:ind w:left="1080"/>
        <w:rPr>
          <w:b/>
        </w:rPr>
      </w:pPr>
      <w:r w:rsidRPr="00AA5249">
        <w:t>SSA is not requesting an exception to the certification requirements at</w:t>
      </w:r>
      <w:r w:rsidRPr="00AA5249">
        <w:rPr>
          <w:i/>
        </w:rPr>
        <w:t xml:space="preserve"> 5 CFR 1320.9 </w:t>
      </w:r>
      <w:r w:rsidRPr="00AA5249">
        <w:t>and related provisions at</w:t>
      </w:r>
      <w:r w:rsidRPr="00AA5249">
        <w:rPr>
          <w:i/>
        </w:rPr>
        <w:t xml:space="preserve"> 5 CFR 1320.8(b)(3)</w:t>
      </w:r>
      <w:r w:rsidRPr="00AA5249">
        <w:t>.</w:t>
      </w:r>
    </w:p>
    <w:p w:rsidR="00B41944" w:rsidRDefault="00B41944" w:rsidP="00B41944">
      <w:pPr>
        <w:ind w:left="1080"/>
        <w:rPr>
          <w:b/>
          <w:bCs/>
          <w:u w:val="single"/>
        </w:rPr>
      </w:pPr>
    </w:p>
    <w:p w:rsidR="00617806" w:rsidRDefault="00617806" w:rsidP="00617806">
      <w:pPr>
        <w:ind w:left="360"/>
        <w:rPr>
          <w:b/>
          <w:bCs/>
          <w:u w:val="single"/>
        </w:rPr>
      </w:pPr>
    </w:p>
    <w:p w:rsidR="00F72E33" w:rsidRPr="00B41944" w:rsidRDefault="00F72E33" w:rsidP="00F72E33">
      <w:pPr>
        <w:numPr>
          <w:ilvl w:val="0"/>
          <w:numId w:val="7"/>
        </w:numPr>
        <w:rPr>
          <w:u w:val="single"/>
        </w:rPr>
      </w:pPr>
      <w:r w:rsidRPr="00B41944">
        <w:rPr>
          <w:b/>
          <w:bCs/>
          <w:u w:val="single"/>
        </w:rPr>
        <w:t>Collections of Information Employing Statistical Methods</w:t>
      </w:r>
    </w:p>
    <w:p w:rsidR="00F72E33" w:rsidRDefault="00F72E33" w:rsidP="00F72E33">
      <w:pPr>
        <w:rPr>
          <w:b/>
          <w:bCs/>
          <w:u w:val="single"/>
        </w:rPr>
      </w:pPr>
    </w:p>
    <w:p w:rsidR="00F72E33" w:rsidRPr="00E52DA2" w:rsidRDefault="00781F68" w:rsidP="00B41944">
      <w:pPr>
        <w:ind w:left="1080"/>
      </w:pPr>
      <w:r w:rsidRPr="00781F68">
        <w:rPr>
          <w:bCs/>
        </w:rPr>
        <w:t>SSA does not use statistical</w:t>
      </w:r>
      <w:r>
        <w:rPr>
          <w:b/>
          <w:bCs/>
        </w:rPr>
        <w:t xml:space="preserve"> </w:t>
      </w:r>
      <w:r w:rsidR="00F72E33">
        <w:t xml:space="preserve">methods for this information collection. </w:t>
      </w:r>
      <w:r w:rsidR="00F72E33" w:rsidRPr="00E52DA2">
        <w:t xml:space="preserve"> </w:t>
      </w:r>
      <w:r w:rsidR="00F72E33">
        <w:t xml:space="preserve">     </w:t>
      </w:r>
    </w:p>
    <w:p w:rsidR="00F72E33" w:rsidRDefault="00F72E33" w:rsidP="00F72E33"/>
    <w:p w:rsidR="00F72E33" w:rsidRDefault="00F72E33"/>
    <w:sectPr w:rsidR="00F72E33" w:rsidSect="00B06351">
      <w:footerReference w:type="default" r:id="rId9"/>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BC6" w:rsidRDefault="00B11BC6">
      <w:r>
        <w:separator/>
      </w:r>
    </w:p>
  </w:endnote>
  <w:endnote w:type="continuationSeparator" w:id="0">
    <w:p w:rsidR="00B11BC6" w:rsidRDefault="00B1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1D7" w:rsidRDefault="00A401D7" w:rsidP="00781F68">
    <w:pPr>
      <w:pStyle w:val="Footer"/>
      <w:jc w:val="right"/>
      <w:rPr>
        <w:sz w:val="20"/>
        <w:szCs w:val="20"/>
      </w:rPr>
    </w:pPr>
  </w:p>
  <w:p w:rsidR="00A401D7" w:rsidRPr="002A1FE7" w:rsidRDefault="00A401D7" w:rsidP="00781F68">
    <w:pPr>
      <w:pStyle w:val="Footer"/>
      <w:jc w:val="center"/>
      <w:rPr>
        <w:sz w:val="20"/>
        <w:szCs w:val="20"/>
      </w:rPr>
    </w:pPr>
    <w:r w:rsidRPr="002A1FE7">
      <w:rPr>
        <w:rStyle w:val="PageNumber"/>
        <w:sz w:val="20"/>
        <w:szCs w:val="20"/>
      </w:rPr>
      <w:fldChar w:fldCharType="begin"/>
    </w:r>
    <w:r w:rsidRPr="002A1FE7">
      <w:rPr>
        <w:rStyle w:val="PageNumber"/>
        <w:sz w:val="20"/>
        <w:szCs w:val="20"/>
      </w:rPr>
      <w:instrText xml:space="preserve"> PAGE </w:instrText>
    </w:r>
    <w:r w:rsidRPr="002A1FE7">
      <w:rPr>
        <w:rStyle w:val="PageNumber"/>
        <w:sz w:val="20"/>
        <w:szCs w:val="20"/>
      </w:rPr>
      <w:fldChar w:fldCharType="separate"/>
    </w:r>
    <w:r w:rsidR="00866821">
      <w:rPr>
        <w:rStyle w:val="PageNumber"/>
        <w:noProof/>
        <w:sz w:val="20"/>
        <w:szCs w:val="20"/>
      </w:rPr>
      <w:t>1</w:t>
    </w:r>
    <w:r w:rsidRPr="002A1FE7">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BC6" w:rsidRDefault="00B11BC6">
      <w:r>
        <w:separator/>
      </w:r>
    </w:p>
  </w:footnote>
  <w:footnote w:type="continuationSeparator" w:id="0">
    <w:p w:rsidR="00B11BC6" w:rsidRDefault="00B11B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59F"/>
    <w:multiLevelType w:val="hybridMultilevel"/>
    <w:tmpl w:val="996A15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7B22CC6"/>
    <w:multiLevelType w:val="hybridMultilevel"/>
    <w:tmpl w:val="DDEEA21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E695C7A"/>
    <w:multiLevelType w:val="hybridMultilevel"/>
    <w:tmpl w:val="A7E2FB62"/>
    <w:lvl w:ilvl="0" w:tplc="60A06B5C">
      <w:start w:val="1"/>
      <w:numFmt w:val="upperLetter"/>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C0CB0"/>
    <w:multiLevelType w:val="hybridMultilevel"/>
    <w:tmpl w:val="F6663B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F81537"/>
    <w:multiLevelType w:val="hybridMultilevel"/>
    <w:tmpl w:val="3028DC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F845E4"/>
    <w:multiLevelType w:val="hybridMultilevel"/>
    <w:tmpl w:val="1D0CB9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8CE4E62"/>
    <w:multiLevelType w:val="hybridMultilevel"/>
    <w:tmpl w:val="94F4C79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59B076EB"/>
    <w:multiLevelType w:val="hybridMultilevel"/>
    <w:tmpl w:val="5790B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92380B"/>
    <w:multiLevelType w:val="hybridMultilevel"/>
    <w:tmpl w:val="429A989E"/>
    <w:lvl w:ilvl="0" w:tplc="93467BE4">
      <w:start w:val="1"/>
      <w:numFmt w:val="decimal"/>
      <w:lvlText w:val="%1."/>
      <w:lvlJc w:val="left"/>
      <w:pPr>
        <w:tabs>
          <w:tab w:val="num" w:pos="720"/>
        </w:tabs>
        <w:ind w:left="720" w:hanging="360"/>
      </w:pPr>
      <w:rPr>
        <w:b w:val="0"/>
      </w:rPr>
    </w:lvl>
    <w:lvl w:ilvl="1" w:tplc="92F416B6">
      <w:start w:val="1"/>
      <w:numFmt w:val="lowerLetter"/>
      <w:lvlText w:val="%2."/>
      <w:lvlJc w:val="left"/>
      <w:pPr>
        <w:tabs>
          <w:tab w:val="num" w:pos="1440"/>
        </w:tabs>
        <w:ind w:left="1440" w:hanging="360"/>
      </w:pPr>
      <w:rPr>
        <w:b w:val="0"/>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5"/>
  </w:num>
  <w:num w:numId="4">
    <w:abstractNumId w:val="6"/>
  </w:num>
  <w:num w:numId="5">
    <w:abstractNumId w:val="1"/>
  </w:num>
  <w:num w:numId="6">
    <w:abstractNumId w:val="7"/>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33"/>
    <w:rsid w:val="0004620E"/>
    <w:rsid w:val="0004764D"/>
    <w:rsid w:val="00050217"/>
    <w:rsid w:val="000601A4"/>
    <w:rsid w:val="0006044F"/>
    <w:rsid w:val="0009327D"/>
    <w:rsid w:val="0009791F"/>
    <w:rsid w:val="000A2C5F"/>
    <w:rsid w:val="000B05F1"/>
    <w:rsid w:val="000B1CC8"/>
    <w:rsid w:val="000B2749"/>
    <w:rsid w:val="000B4E4D"/>
    <w:rsid w:val="000C5382"/>
    <w:rsid w:val="000E2B9E"/>
    <w:rsid w:val="000F0C95"/>
    <w:rsid w:val="000F24CD"/>
    <w:rsid w:val="00111B73"/>
    <w:rsid w:val="00112761"/>
    <w:rsid w:val="00132582"/>
    <w:rsid w:val="001358C9"/>
    <w:rsid w:val="00190C56"/>
    <w:rsid w:val="001921DD"/>
    <w:rsid w:val="001945E1"/>
    <w:rsid w:val="001A3609"/>
    <w:rsid w:val="001A50CC"/>
    <w:rsid w:val="001A6ED2"/>
    <w:rsid w:val="001C7F28"/>
    <w:rsid w:val="001D2110"/>
    <w:rsid w:val="001D4F60"/>
    <w:rsid w:val="001F011E"/>
    <w:rsid w:val="001F2134"/>
    <w:rsid w:val="00203489"/>
    <w:rsid w:val="002111F2"/>
    <w:rsid w:val="00213F1D"/>
    <w:rsid w:val="00226486"/>
    <w:rsid w:val="00265C98"/>
    <w:rsid w:val="00275658"/>
    <w:rsid w:val="002A5909"/>
    <w:rsid w:val="002B74D6"/>
    <w:rsid w:val="002C031A"/>
    <w:rsid w:val="002C57FD"/>
    <w:rsid w:val="002D3A8C"/>
    <w:rsid w:val="002F3258"/>
    <w:rsid w:val="002F5A93"/>
    <w:rsid w:val="00300A22"/>
    <w:rsid w:val="00331EF0"/>
    <w:rsid w:val="00337913"/>
    <w:rsid w:val="00337D0F"/>
    <w:rsid w:val="00351FF2"/>
    <w:rsid w:val="00363FFB"/>
    <w:rsid w:val="00373FAB"/>
    <w:rsid w:val="00377BB2"/>
    <w:rsid w:val="00385927"/>
    <w:rsid w:val="003C1C3A"/>
    <w:rsid w:val="003D52A8"/>
    <w:rsid w:val="003E79E5"/>
    <w:rsid w:val="00404C2C"/>
    <w:rsid w:val="004218E6"/>
    <w:rsid w:val="00425B39"/>
    <w:rsid w:val="0043224F"/>
    <w:rsid w:val="00435305"/>
    <w:rsid w:val="00442D6C"/>
    <w:rsid w:val="004630CA"/>
    <w:rsid w:val="004A3D98"/>
    <w:rsid w:val="004A4853"/>
    <w:rsid w:val="004B27D0"/>
    <w:rsid w:val="004B6235"/>
    <w:rsid w:val="004D628D"/>
    <w:rsid w:val="004D74FB"/>
    <w:rsid w:val="00533664"/>
    <w:rsid w:val="00533D12"/>
    <w:rsid w:val="0054171A"/>
    <w:rsid w:val="005460FB"/>
    <w:rsid w:val="005530B6"/>
    <w:rsid w:val="005566AB"/>
    <w:rsid w:val="0056279B"/>
    <w:rsid w:val="00563D18"/>
    <w:rsid w:val="005653B4"/>
    <w:rsid w:val="00570C4A"/>
    <w:rsid w:val="0059414F"/>
    <w:rsid w:val="005A5F4B"/>
    <w:rsid w:val="005A6FDF"/>
    <w:rsid w:val="005F58DB"/>
    <w:rsid w:val="00602FB6"/>
    <w:rsid w:val="00617806"/>
    <w:rsid w:val="00625EC5"/>
    <w:rsid w:val="00630EC0"/>
    <w:rsid w:val="006343BB"/>
    <w:rsid w:val="006353C5"/>
    <w:rsid w:val="00642A10"/>
    <w:rsid w:val="00657F63"/>
    <w:rsid w:val="00664DC4"/>
    <w:rsid w:val="00666806"/>
    <w:rsid w:val="00691DC1"/>
    <w:rsid w:val="006A2F3E"/>
    <w:rsid w:val="00704D24"/>
    <w:rsid w:val="00705F27"/>
    <w:rsid w:val="007063E8"/>
    <w:rsid w:val="00730463"/>
    <w:rsid w:val="007306C1"/>
    <w:rsid w:val="00746B77"/>
    <w:rsid w:val="007628F0"/>
    <w:rsid w:val="00764D93"/>
    <w:rsid w:val="00775586"/>
    <w:rsid w:val="00781F68"/>
    <w:rsid w:val="007A28E1"/>
    <w:rsid w:val="007A4E01"/>
    <w:rsid w:val="007C1E23"/>
    <w:rsid w:val="007D01A2"/>
    <w:rsid w:val="008169A5"/>
    <w:rsid w:val="008232E2"/>
    <w:rsid w:val="008527A9"/>
    <w:rsid w:val="00852FE2"/>
    <w:rsid w:val="008658D6"/>
    <w:rsid w:val="00866821"/>
    <w:rsid w:val="00870E2D"/>
    <w:rsid w:val="008755AA"/>
    <w:rsid w:val="008820B0"/>
    <w:rsid w:val="00883490"/>
    <w:rsid w:val="008917F1"/>
    <w:rsid w:val="00897005"/>
    <w:rsid w:val="008A3B19"/>
    <w:rsid w:val="008A7764"/>
    <w:rsid w:val="008C31E9"/>
    <w:rsid w:val="008C4727"/>
    <w:rsid w:val="008C4968"/>
    <w:rsid w:val="008D6FA5"/>
    <w:rsid w:val="00904B9E"/>
    <w:rsid w:val="00933228"/>
    <w:rsid w:val="00936555"/>
    <w:rsid w:val="009410BC"/>
    <w:rsid w:val="00946FD2"/>
    <w:rsid w:val="0096469C"/>
    <w:rsid w:val="0097274C"/>
    <w:rsid w:val="009777BE"/>
    <w:rsid w:val="00983AE3"/>
    <w:rsid w:val="0098578C"/>
    <w:rsid w:val="009934F8"/>
    <w:rsid w:val="00994BEB"/>
    <w:rsid w:val="009B7B07"/>
    <w:rsid w:val="009C55B2"/>
    <w:rsid w:val="009D37D8"/>
    <w:rsid w:val="009F003F"/>
    <w:rsid w:val="00A00DA1"/>
    <w:rsid w:val="00A0383C"/>
    <w:rsid w:val="00A07AC8"/>
    <w:rsid w:val="00A16C7C"/>
    <w:rsid w:val="00A20377"/>
    <w:rsid w:val="00A401D7"/>
    <w:rsid w:val="00A51A84"/>
    <w:rsid w:val="00A60225"/>
    <w:rsid w:val="00A86C8F"/>
    <w:rsid w:val="00A90FC5"/>
    <w:rsid w:val="00AA4E19"/>
    <w:rsid w:val="00AB0FD6"/>
    <w:rsid w:val="00AB3CA4"/>
    <w:rsid w:val="00AD0EFC"/>
    <w:rsid w:val="00AD626D"/>
    <w:rsid w:val="00AE64AC"/>
    <w:rsid w:val="00AF0E1E"/>
    <w:rsid w:val="00B04574"/>
    <w:rsid w:val="00B06351"/>
    <w:rsid w:val="00B11BC6"/>
    <w:rsid w:val="00B146CE"/>
    <w:rsid w:val="00B24D62"/>
    <w:rsid w:val="00B36CDC"/>
    <w:rsid w:val="00B41944"/>
    <w:rsid w:val="00B823D8"/>
    <w:rsid w:val="00B86070"/>
    <w:rsid w:val="00BC139B"/>
    <w:rsid w:val="00BD23FA"/>
    <w:rsid w:val="00BD3F7A"/>
    <w:rsid w:val="00BD513E"/>
    <w:rsid w:val="00BD7EDE"/>
    <w:rsid w:val="00BE7982"/>
    <w:rsid w:val="00C13E29"/>
    <w:rsid w:val="00C36B07"/>
    <w:rsid w:val="00C44BB0"/>
    <w:rsid w:val="00C521C0"/>
    <w:rsid w:val="00C5620A"/>
    <w:rsid w:val="00C76D27"/>
    <w:rsid w:val="00CB14DF"/>
    <w:rsid w:val="00CC4082"/>
    <w:rsid w:val="00CD10BD"/>
    <w:rsid w:val="00CE09E5"/>
    <w:rsid w:val="00D01B8D"/>
    <w:rsid w:val="00D06B3C"/>
    <w:rsid w:val="00D11619"/>
    <w:rsid w:val="00D1632D"/>
    <w:rsid w:val="00D35E8F"/>
    <w:rsid w:val="00D44A57"/>
    <w:rsid w:val="00D54EDB"/>
    <w:rsid w:val="00D7656F"/>
    <w:rsid w:val="00D92742"/>
    <w:rsid w:val="00D92F57"/>
    <w:rsid w:val="00D96326"/>
    <w:rsid w:val="00DB5953"/>
    <w:rsid w:val="00DC0B60"/>
    <w:rsid w:val="00DD28BA"/>
    <w:rsid w:val="00DD7C5B"/>
    <w:rsid w:val="00DE0AAF"/>
    <w:rsid w:val="00DE659E"/>
    <w:rsid w:val="00E00817"/>
    <w:rsid w:val="00E0630B"/>
    <w:rsid w:val="00E16849"/>
    <w:rsid w:val="00E303F1"/>
    <w:rsid w:val="00E3091F"/>
    <w:rsid w:val="00E34B8D"/>
    <w:rsid w:val="00E43E04"/>
    <w:rsid w:val="00E51205"/>
    <w:rsid w:val="00E8592A"/>
    <w:rsid w:val="00E9575F"/>
    <w:rsid w:val="00EA5A09"/>
    <w:rsid w:val="00EA6DA1"/>
    <w:rsid w:val="00EC67D4"/>
    <w:rsid w:val="00EC6FFF"/>
    <w:rsid w:val="00ED082C"/>
    <w:rsid w:val="00EE54E0"/>
    <w:rsid w:val="00EF077E"/>
    <w:rsid w:val="00EF5543"/>
    <w:rsid w:val="00F010A6"/>
    <w:rsid w:val="00F031B6"/>
    <w:rsid w:val="00F14B50"/>
    <w:rsid w:val="00F16FC6"/>
    <w:rsid w:val="00F23147"/>
    <w:rsid w:val="00F26242"/>
    <w:rsid w:val="00F3473D"/>
    <w:rsid w:val="00F439B4"/>
    <w:rsid w:val="00F62BC3"/>
    <w:rsid w:val="00F72E33"/>
    <w:rsid w:val="00F92867"/>
    <w:rsid w:val="00FA1A60"/>
    <w:rsid w:val="00FA66CA"/>
    <w:rsid w:val="00FB7647"/>
    <w:rsid w:val="00FC1506"/>
    <w:rsid w:val="00FC266A"/>
    <w:rsid w:val="00FD7D2C"/>
    <w:rsid w:val="00FE203D"/>
    <w:rsid w:val="00F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E33"/>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72E33"/>
    <w:pPr>
      <w:tabs>
        <w:tab w:val="center" w:pos="4320"/>
        <w:tab w:val="right" w:pos="8640"/>
      </w:tabs>
    </w:pPr>
  </w:style>
  <w:style w:type="character" w:styleId="PageNumber">
    <w:name w:val="page number"/>
    <w:basedOn w:val="DefaultParagraphFont"/>
    <w:rsid w:val="00F72E33"/>
  </w:style>
  <w:style w:type="table" w:styleId="TableGrid">
    <w:name w:val="Table Grid"/>
    <w:basedOn w:val="TableNormal"/>
    <w:rsid w:val="00F72E3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63D18"/>
    <w:rPr>
      <w:sz w:val="16"/>
      <w:szCs w:val="16"/>
    </w:rPr>
  </w:style>
  <w:style w:type="paragraph" w:styleId="CommentText">
    <w:name w:val="annotation text"/>
    <w:basedOn w:val="Normal"/>
    <w:semiHidden/>
    <w:rsid w:val="00563D18"/>
    <w:rPr>
      <w:sz w:val="20"/>
      <w:szCs w:val="20"/>
    </w:rPr>
  </w:style>
  <w:style w:type="paragraph" w:styleId="CommentSubject">
    <w:name w:val="annotation subject"/>
    <w:basedOn w:val="CommentText"/>
    <w:next w:val="CommentText"/>
    <w:semiHidden/>
    <w:rsid w:val="00563D18"/>
    <w:rPr>
      <w:b/>
      <w:bCs/>
    </w:rPr>
  </w:style>
  <w:style w:type="paragraph" w:styleId="BalloonText">
    <w:name w:val="Balloon Text"/>
    <w:basedOn w:val="Normal"/>
    <w:semiHidden/>
    <w:rsid w:val="00563D18"/>
    <w:rPr>
      <w:rFonts w:ascii="Tahoma" w:hAnsi="Tahoma" w:cs="Tahoma"/>
      <w:sz w:val="16"/>
      <w:szCs w:val="16"/>
    </w:rPr>
  </w:style>
  <w:style w:type="paragraph" w:styleId="BodyTextIndent">
    <w:name w:val="Body Text Indent"/>
    <w:basedOn w:val="Normal"/>
    <w:link w:val="BodyTextIndentChar"/>
    <w:rsid w:val="00642A10"/>
    <w:pPr>
      <w:ind w:left="1440" w:hanging="720"/>
    </w:pPr>
    <w:rPr>
      <w:rFonts w:ascii="Courier New" w:eastAsia="Times New Roman" w:hAnsi="Courier New" w:cs="Courier New"/>
    </w:rPr>
  </w:style>
  <w:style w:type="character" w:customStyle="1" w:styleId="BodyTextIndentChar">
    <w:name w:val="Body Text Indent Char"/>
    <w:link w:val="BodyTextIndent"/>
    <w:locked/>
    <w:rsid w:val="00642A10"/>
    <w:rPr>
      <w:rFonts w:ascii="Courier New" w:hAnsi="Courier New" w:cs="Courier New"/>
      <w:sz w:val="24"/>
      <w:szCs w:val="24"/>
      <w:lang w:val="en-US" w:eastAsia="zh-CN" w:bidi="ar-SA"/>
    </w:rPr>
  </w:style>
  <w:style w:type="paragraph" w:styleId="BodyText3">
    <w:name w:val="Body Text 3"/>
    <w:basedOn w:val="Normal"/>
    <w:link w:val="BodyText3Char"/>
    <w:rsid w:val="00642A10"/>
    <w:pPr>
      <w:spacing w:after="120"/>
    </w:pPr>
    <w:rPr>
      <w:rFonts w:ascii="Courier New" w:eastAsia="Times New Roman" w:hAnsi="Courier New" w:cs="Courier New"/>
      <w:sz w:val="16"/>
      <w:szCs w:val="16"/>
    </w:rPr>
  </w:style>
  <w:style w:type="character" w:customStyle="1" w:styleId="BodyText3Char">
    <w:name w:val="Body Text 3 Char"/>
    <w:link w:val="BodyText3"/>
    <w:semiHidden/>
    <w:locked/>
    <w:rsid w:val="00642A10"/>
    <w:rPr>
      <w:rFonts w:ascii="Courier New" w:hAnsi="Courier New" w:cs="Courier New"/>
      <w:sz w:val="16"/>
      <w:szCs w:val="16"/>
      <w:lang w:val="en-US" w:eastAsia="zh-CN" w:bidi="ar-SA"/>
    </w:rPr>
  </w:style>
  <w:style w:type="paragraph" w:styleId="Header">
    <w:name w:val="header"/>
    <w:basedOn w:val="Normal"/>
    <w:rsid w:val="00BD7EDE"/>
    <w:pPr>
      <w:tabs>
        <w:tab w:val="center" w:pos="4320"/>
        <w:tab w:val="right" w:pos="8640"/>
      </w:tabs>
    </w:pPr>
  </w:style>
  <w:style w:type="paragraph" w:styleId="HTMLPreformatted">
    <w:name w:val="HTML Preformatted"/>
    <w:basedOn w:val="Normal"/>
    <w:link w:val="HTMLPreformattedChar"/>
    <w:rsid w:val="00E3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E34B8D"/>
    <w:rPr>
      <w:rFonts w:ascii="Courier New" w:eastAsia="SimSun" w:hAnsi="Courier New" w:cs="Courier New"/>
      <w:lang w:eastAsia="zh-CN"/>
    </w:rPr>
  </w:style>
  <w:style w:type="paragraph" w:styleId="ListParagraph">
    <w:name w:val="List Paragraph"/>
    <w:basedOn w:val="Normal"/>
    <w:qFormat/>
    <w:rsid w:val="00E34B8D"/>
    <w:pPr>
      <w:suppressAutoHyphens/>
      <w:ind w:left="720"/>
      <w:contextualSpacing/>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E33"/>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72E33"/>
    <w:pPr>
      <w:tabs>
        <w:tab w:val="center" w:pos="4320"/>
        <w:tab w:val="right" w:pos="8640"/>
      </w:tabs>
    </w:pPr>
  </w:style>
  <w:style w:type="character" w:styleId="PageNumber">
    <w:name w:val="page number"/>
    <w:basedOn w:val="DefaultParagraphFont"/>
    <w:rsid w:val="00F72E33"/>
  </w:style>
  <w:style w:type="table" w:styleId="TableGrid">
    <w:name w:val="Table Grid"/>
    <w:basedOn w:val="TableNormal"/>
    <w:rsid w:val="00F72E3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63D18"/>
    <w:rPr>
      <w:sz w:val="16"/>
      <w:szCs w:val="16"/>
    </w:rPr>
  </w:style>
  <w:style w:type="paragraph" w:styleId="CommentText">
    <w:name w:val="annotation text"/>
    <w:basedOn w:val="Normal"/>
    <w:semiHidden/>
    <w:rsid w:val="00563D18"/>
    <w:rPr>
      <w:sz w:val="20"/>
      <w:szCs w:val="20"/>
    </w:rPr>
  </w:style>
  <w:style w:type="paragraph" w:styleId="CommentSubject">
    <w:name w:val="annotation subject"/>
    <w:basedOn w:val="CommentText"/>
    <w:next w:val="CommentText"/>
    <w:semiHidden/>
    <w:rsid w:val="00563D18"/>
    <w:rPr>
      <w:b/>
      <w:bCs/>
    </w:rPr>
  </w:style>
  <w:style w:type="paragraph" w:styleId="BalloonText">
    <w:name w:val="Balloon Text"/>
    <w:basedOn w:val="Normal"/>
    <w:semiHidden/>
    <w:rsid w:val="00563D18"/>
    <w:rPr>
      <w:rFonts w:ascii="Tahoma" w:hAnsi="Tahoma" w:cs="Tahoma"/>
      <w:sz w:val="16"/>
      <w:szCs w:val="16"/>
    </w:rPr>
  </w:style>
  <w:style w:type="paragraph" w:styleId="BodyTextIndent">
    <w:name w:val="Body Text Indent"/>
    <w:basedOn w:val="Normal"/>
    <w:link w:val="BodyTextIndentChar"/>
    <w:rsid w:val="00642A10"/>
    <w:pPr>
      <w:ind w:left="1440" w:hanging="720"/>
    </w:pPr>
    <w:rPr>
      <w:rFonts w:ascii="Courier New" w:eastAsia="Times New Roman" w:hAnsi="Courier New" w:cs="Courier New"/>
    </w:rPr>
  </w:style>
  <w:style w:type="character" w:customStyle="1" w:styleId="BodyTextIndentChar">
    <w:name w:val="Body Text Indent Char"/>
    <w:link w:val="BodyTextIndent"/>
    <w:locked/>
    <w:rsid w:val="00642A10"/>
    <w:rPr>
      <w:rFonts w:ascii="Courier New" w:hAnsi="Courier New" w:cs="Courier New"/>
      <w:sz w:val="24"/>
      <w:szCs w:val="24"/>
      <w:lang w:val="en-US" w:eastAsia="zh-CN" w:bidi="ar-SA"/>
    </w:rPr>
  </w:style>
  <w:style w:type="paragraph" w:styleId="BodyText3">
    <w:name w:val="Body Text 3"/>
    <w:basedOn w:val="Normal"/>
    <w:link w:val="BodyText3Char"/>
    <w:rsid w:val="00642A10"/>
    <w:pPr>
      <w:spacing w:after="120"/>
    </w:pPr>
    <w:rPr>
      <w:rFonts w:ascii="Courier New" w:eastAsia="Times New Roman" w:hAnsi="Courier New" w:cs="Courier New"/>
      <w:sz w:val="16"/>
      <w:szCs w:val="16"/>
    </w:rPr>
  </w:style>
  <w:style w:type="character" w:customStyle="1" w:styleId="BodyText3Char">
    <w:name w:val="Body Text 3 Char"/>
    <w:link w:val="BodyText3"/>
    <w:semiHidden/>
    <w:locked/>
    <w:rsid w:val="00642A10"/>
    <w:rPr>
      <w:rFonts w:ascii="Courier New" w:hAnsi="Courier New" w:cs="Courier New"/>
      <w:sz w:val="16"/>
      <w:szCs w:val="16"/>
      <w:lang w:val="en-US" w:eastAsia="zh-CN" w:bidi="ar-SA"/>
    </w:rPr>
  </w:style>
  <w:style w:type="paragraph" w:styleId="Header">
    <w:name w:val="header"/>
    <w:basedOn w:val="Normal"/>
    <w:rsid w:val="00BD7EDE"/>
    <w:pPr>
      <w:tabs>
        <w:tab w:val="center" w:pos="4320"/>
        <w:tab w:val="right" w:pos="8640"/>
      </w:tabs>
    </w:pPr>
  </w:style>
  <w:style w:type="paragraph" w:styleId="HTMLPreformatted">
    <w:name w:val="HTML Preformatted"/>
    <w:basedOn w:val="Normal"/>
    <w:link w:val="HTMLPreformattedChar"/>
    <w:rsid w:val="00E3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E34B8D"/>
    <w:rPr>
      <w:rFonts w:ascii="Courier New" w:eastAsia="SimSun" w:hAnsi="Courier New" w:cs="Courier New"/>
      <w:lang w:eastAsia="zh-CN"/>
    </w:rPr>
  </w:style>
  <w:style w:type="paragraph" w:styleId="ListParagraph">
    <w:name w:val="List Paragraph"/>
    <w:basedOn w:val="Normal"/>
    <w:qFormat/>
    <w:rsid w:val="00E34B8D"/>
    <w:pPr>
      <w:suppressAutoHyphens/>
      <w:ind w:left="720"/>
      <w:contextualSpacing/>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CB82B-9001-45B7-91D1-4849C001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 FORM SSA-____</vt:lpstr>
    </vt:vector>
  </TitlesOfParts>
  <Company>Social Security Administration</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SSA-____</dc:title>
  <dc:subject/>
  <dc:creator>Leah Ann McCormick</dc:creator>
  <cp:keywords/>
  <cp:lastModifiedBy>SYSTEM</cp:lastModifiedBy>
  <cp:revision>2</cp:revision>
  <cp:lastPrinted>2015-07-30T20:00:00Z</cp:lastPrinted>
  <dcterms:created xsi:type="dcterms:W3CDTF">2018-10-08T17:18:00Z</dcterms:created>
  <dcterms:modified xsi:type="dcterms:W3CDTF">2018-10-08T17:18:00Z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-1347342817</vt:i4>
  </property>
  <property fmtid="{D5CDD505-2E9C-101B-9397-08002B2CF9AE}" pid="4" name="_EmailSubject">
    <vt:lpwstr>OEEMP Response: OMB Expiration Notice:  0960-0778 SSA-132</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PreviousAdHocReviewCycleID">
    <vt:i4>-1460599307</vt:i4>
  </property>
  <property fmtid="{D5CDD505-2E9C-101B-9397-08002B2CF9AE}" pid="8" name="_ReviewingToolsShownOnce">
    <vt:lpwstr/>
  </property>
</Properties>
</file>