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0C6" w:rsidRDefault="00FC70C6" w14:paraId="2E72C95F" w14:textId="77777777"/>
    <w:p w:rsidR="002C4C81" w:rsidRDefault="002C4C81" w14:paraId="04A41F1A" w14:textId="77777777"/>
    <w:p w:rsidR="002C4C81" w:rsidRDefault="002C4C81" w14:paraId="2749D6E7" w14:textId="77777777"/>
    <w:p w:rsidR="002C4C81" w:rsidRDefault="002C4C81" w14:paraId="56C62712" w14:textId="77777777"/>
    <w:p w:rsidR="00726EC5" w:rsidP="00726EC5" w:rsidRDefault="00726EC5" w14:paraId="731F47EE" w14:textId="77777777">
      <w:pPr>
        <w:pStyle w:val="NoSpacing"/>
        <w:jc w:val="center"/>
        <w:rPr>
          <w:b/>
        </w:rPr>
      </w:pPr>
      <w:r>
        <w:rPr>
          <w:b/>
        </w:rPr>
        <w:t>Usability Testing to Inform Development of the</w:t>
      </w:r>
    </w:p>
    <w:p w:rsidR="00726EC5" w:rsidP="00726EC5" w:rsidRDefault="00726EC5" w14:paraId="12177CEF" w14:textId="77777777">
      <w:pPr>
        <w:pStyle w:val="NoSpacing"/>
        <w:jc w:val="center"/>
        <w:rPr>
          <w:b/>
        </w:rPr>
      </w:pPr>
      <w:r w:rsidRPr="00335C2C">
        <w:rPr>
          <w:b/>
        </w:rPr>
        <w:t xml:space="preserve">CDC Division of Sexually Transmitted Disease Prevention’s </w:t>
      </w:r>
      <w:r>
        <w:rPr>
          <w:b/>
        </w:rPr>
        <w:t>W</w:t>
      </w:r>
      <w:r w:rsidRPr="00335C2C">
        <w:rPr>
          <w:b/>
        </w:rPr>
        <w:t>ebsite</w:t>
      </w:r>
    </w:p>
    <w:p w:rsidR="00726EC5" w:rsidP="00726EC5" w:rsidRDefault="00726EC5" w14:paraId="2A209FE3" w14:textId="77777777">
      <w:pPr>
        <w:pStyle w:val="NoSpacing"/>
        <w:jc w:val="center"/>
        <w:rPr>
          <w:b/>
        </w:rPr>
      </w:pPr>
    </w:p>
    <w:p w:rsidR="00726EC5" w:rsidP="00726EC5" w:rsidRDefault="00726EC5" w14:paraId="40A290BF" w14:textId="14155658">
      <w:pPr>
        <w:pStyle w:val="NoSpacing"/>
        <w:jc w:val="center"/>
        <w:rPr>
          <w:b/>
        </w:rPr>
      </w:pPr>
      <w:r>
        <w:rPr>
          <w:b/>
        </w:rPr>
        <w:t xml:space="preserve">Generic Information Collection Request under </w:t>
      </w:r>
      <w:r>
        <w:rPr>
          <w:b/>
        </w:rPr>
        <w:br/>
        <w:t xml:space="preserve">Formative Research and Tool Development </w:t>
      </w:r>
      <w:r w:rsidRPr="0074790F" w:rsidR="007113A8">
        <w:rPr>
          <w:rFonts w:asciiTheme="minorHAnsi" w:hAnsiTheme="minorHAnsi" w:cstheme="minorHAnsi"/>
          <w:b/>
        </w:rPr>
        <w:t>OMB #0920-</w:t>
      </w:r>
      <w:r w:rsidR="007113A8">
        <w:rPr>
          <w:rFonts w:asciiTheme="minorHAnsi" w:hAnsiTheme="minorHAnsi" w:cstheme="minorHAnsi"/>
          <w:b/>
        </w:rPr>
        <w:t>0840</w:t>
      </w:r>
    </w:p>
    <w:p w:rsidRPr="00272878" w:rsidR="000537D0" w:rsidP="000537D0" w:rsidRDefault="000537D0" w14:paraId="1FE6F7F2" w14:textId="77777777">
      <w:pPr>
        <w:jc w:val="center"/>
        <w:rPr>
          <w:rFonts w:eastAsia="Calibri"/>
          <w:b/>
          <w:sz w:val="28"/>
          <w:szCs w:val="28"/>
        </w:rPr>
      </w:pPr>
    </w:p>
    <w:p w:rsidRPr="00272878" w:rsidR="000537D0" w:rsidP="000537D0" w:rsidRDefault="000537D0" w14:paraId="7AC2CA10" w14:textId="77777777">
      <w:pPr>
        <w:jc w:val="center"/>
        <w:rPr>
          <w:rFonts w:eastAsia="Calibri"/>
          <w:b/>
          <w:sz w:val="28"/>
          <w:szCs w:val="28"/>
        </w:rPr>
      </w:pPr>
    </w:p>
    <w:p w:rsidRPr="00272878" w:rsidR="000537D0" w:rsidP="000537D0" w:rsidRDefault="000537D0" w14:paraId="1DCECF23" w14:textId="77777777">
      <w:pPr>
        <w:jc w:val="center"/>
        <w:rPr>
          <w:rFonts w:eastAsia="Calibri"/>
          <w:b/>
          <w:sz w:val="28"/>
          <w:szCs w:val="28"/>
        </w:rPr>
      </w:pPr>
    </w:p>
    <w:p w:rsidRPr="00272878" w:rsidR="000537D0" w:rsidP="000537D0" w:rsidRDefault="000537D0" w14:paraId="21ED26FE" w14:textId="77777777">
      <w:pPr>
        <w:jc w:val="center"/>
        <w:rPr>
          <w:rFonts w:eastAsia="Calibri"/>
          <w:b/>
          <w:sz w:val="28"/>
          <w:szCs w:val="28"/>
        </w:rPr>
      </w:pPr>
      <w:r w:rsidRPr="00272878">
        <w:rPr>
          <w:rFonts w:eastAsia="Calibri"/>
          <w:b/>
          <w:sz w:val="28"/>
          <w:szCs w:val="28"/>
        </w:rPr>
        <w:t>Supporting Statement B</w:t>
      </w:r>
    </w:p>
    <w:p w:rsidRPr="000537D0" w:rsidR="000537D0" w:rsidP="000537D0" w:rsidRDefault="000537D0" w14:paraId="21FD975F" w14:textId="77777777">
      <w:pPr>
        <w:jc w:val="center"/>
        <w:rPr>
          <w:rFonts w:eastAsia="Calibri"/>
          <w:b/>
          <w:szCs w:val="22"/>
        </w:rPr>
      </w:pPr>
    </w:p>
    <w:p w:rsidRPr="000537D0" w:rsidR="000537D0" w:rsidP="000537D0" w:rsidRDefault="000537D0" w14:paraId="18A4DABA" w14:textId="77777777">
      <w:pPr>
        <w:jc w:val="center"/>
        <w:rPr>
          <w:rFonts w:eastAsia="Calibri"/>
          <w:b/>
          <w:szCs w:val="22"/>
        </w:rPr>
      </w:pPr>
    </w:p>
    <w:p w:rsidRPr="000537D0" w:rsidR="000537D0" w:rsidP="000537D0" w:rsidRDefault="000537D0" w14:paraId="0767C26D" w14:textId="77777777">
      <w:pPr>
        <w:jc w:val="center"/>
        <w:rPr>
          <w:rFonts w:eastAsia="Calibri"/>
          <w:b/>
          <w:szCs w:val="22"/>
        </w:rPr>
      </w:pPr>
    </w:p>
    <w:p w:rsidR="000537D0" w:rsidP="000537D0" w:rsidRDefault="000537D0" w14:paraId="329A938F" w14:textId="77777777">
      <w:pPr>
        <w:jc w:val="center"/>
        <w:rPr>
          <w:rFonts w:eastAsia="Calibri"/>
          <w:b/>
          <w:szCs w:val="22"/>
        </w:rPr>
      </w:pPr>
    </w:p>
    <w:p w:rsidR="000537D0" w:rsidP="000537D0" w:rsidRDefault="000537D0" w14:paraId="6F1BA51F" w14:textId="77777777">
      <w:pPr>
        <w:jc w:val="center"/>
        <w:rPr>
          <w:rFonts w:eastAsia="Calibri"/>
          <w:b/>
          <w:szCs w:val="22"/>
        </w:rPr>
      </w:pPr>
    </w:p>
    <w:p w:rsidR="000537D0" w:rsidP="000537D0" w:rsidRDefault="000537D0" w14:paraId="129A7DBE" w14:textId="77777777">
      <w:pPr>
        <w:jc w:val="center"/>
        <w:rPr>
          <w:rFonts w:eastAsia="Calibri"/>
          <w:b/>
          <w:szCs w:val="22"/>
        </w:rPr>
      </w:pPr>
    </w:p>
    <w:p w:rsidR="000537D0" w:rsidP="000537D0" w:rsidRDefault="000537D0" w14:paraId="4BD68FA8" w14:textId="77777777">
      <w:pPr>
        <w:jc w:val="center"/>
        <w:rPr>
          <w:rFonts w:eastAsia="Calibri"/>
          <w:b/>
          <w:szCs w:val="22"/>
        </w:rPr>
      </w:pPr>
    </w:p>
    <w:p w:rsidR="000537D0" w:rsidP="000537D0" w:rsidRDefault="000537D0" w14:paraId="0151EB43" w14:textId="77777777">
      <w:pPr>
        <w:jc w:val="center"/>
        <w:rPr>
          <w:rFonts w:eastAsia="Calibri"/>
          <w:b/>
          <w:szCs w:val="22"/>
        </w:rPr>
      </w:pPr>
    </w:p>
    <w:p w:rsidR="000537D0" w:rsidP="000537D0" w:rsidRDefault="000537D0" w14:paraId="3EBB2AE7" w14:textId="77777777">
      <w:pPr>
        <w:jc w:val="center"/>
        <w:rPr>
          <w:rFonts w:eastAsia="Calibri"/>
          <w:b/>
          <w:szCs w:val="22"/>
        </w:rPr>
      </w:pPr>
    </w:p>
    <w:p w:rsidR="000537D0" w:rsidP="000537D0" w:rsidRDefault="000537D0" w14:paraId="385DC604" w14:textId="77777777">
      <w:pPr>
        <w:jc w:val="center"/>
        <w:rPr>
          <w:rFonts w:eastAsia="Calibri"/>
          <w:b/>
          <w:szCs w:val="22"/>
        </w:rPr>
      </w:pPr>
    </w:p>
    <w:p w:rsidR="000537D0" w:rsidP="000537D0" w:rsidRDefault="000537D0" w14:paraId="00825EF9" w14:textId="77777777">
      <w:pPr>
        <w:jc w:val="center"/>
        <w:rPr>
          <w:rFonts w:eastAsia="Calibri"/>
          <w:b/>
          <w:szCs w:val="22"/>
        </w:rPr>
      </w:pPr>
    </w:p>
    <w:p w:rsidRPr="000537D0" w:rsidR="000537D0" w:rsidP="000537D0" w:rsidRDefault="000537D0" w14:paraId="24822FEE" w14:textId="77777777">
      <w:pPr>
        <w:jc w:val="center"/>
        <w:rPr>
          <w:rFonts w:eastAsia="Calibri"/>
          <w:b/>
          <w:szCs w:val="22"/>
        </w:rPr>
      </w:pPr>
    </w:p>
    <w:p w:rsidR="003C0986" w:rsidP="003C0986" w:rsidRDefault="005E1D8C" w14:paraId="1834CFFD" w14:textId="1A859512">
      <w:pPr>
        <w:pStyle w:val="NoSpacing"/>
        <w:jc w:val="center"/>
        <w:rPr>
          <w:b/>
        </w:rPr>
      </w:pPr>
      <w:r>
        <w:rPr>
          <w:b/>
        </w:rPr>
        <w:t>July 1, 2020</w:t>
      </w:r>
      <w:bookmarkStart w:name="_GoBack" w:id="0"/>
      <w:bookmarkEnd w:id="0"/>
    </w:p>
    <w:p w:rsidR="003C0986" w:rsidP="003C0986" w:rsidRDefault="003C0986" w14:paraId="3D1BEB10" w14:textId="77777777">
      <w:pPr>
        <w:pStyle w:val="NoSpacing"/>
        <w:jc w:val="center"/>
        <w:rPr>
          <w:b/>
        </w:rPr>
      </w:pPr>
    </w:p>
    <w:p w:rsidR="003C0986" w:rsidP="003C0986" w:rsidRDefault="003C0986" w14:paraId="73158998" w14:textId="77777777">
      <w:pPr>
        <w:pStyle w:val="NoSpacing"/>
        <w:jc w:val="center"/>
        <w:rPr>
          <w:b/>
        </w:rPr>
      </w:pPr>
    </w:p>
    <w:p w:rsidR="003C0986" w:rsidP="003C0986" w:rsidRDefault="003C0986" w14:paraId="1C4C82AF" w14:textId="77777777">
      <w:pPr>
        <w:pStyle w:val="NoSpacing"/>
        <w:jc w:val="center"/>
        <w:rPr>
          <w:b/>
        </w:rPr>
      </w:pPr>
      <w:r>
        <w:rPr>
          <w:b/>
        </w:rPr>
        <w:t>CONTACT</w:t>
      </w:r>
    </w:p>
    <w:p w:rsidRPr="007113A8" w:rsidR="003C0986" w:rsidP="003C0986" w:rsidRDefault="003C0986" w14:paraId="3E3E2DCB" w14:textId="77777777">
      <w:pPr>
        <w:jc w:val="center"/>
        <w:rPr>
          <w:sz w:val="22"/>
          <w:szCs w:val="22"/>
        </w:rPr>
      </w:pPr>
      <w:r w:rsidRPr="007113A8">
        <w:t>Tiffani Phelps, MPH</w:t>
      </w:r>
    </w:p>
    <w:p w:rsidRPr="007113A8" w:rsidR="003C0986" w:rsidP="003C0986" w:rsidRDefault="003C0986" w14:paraId="726FA3C1" w14:textId="77777777">
      <w:pPr>
        <w:jc w:val="center"/>
        <w:rPr>
          <w:shd w:val="clear" w:color="auto" w:fill="FFFFFF"/>
        </w:rPr>
      </w:pPr>
      <w:r w:rsidRPr="007113A8">
        <w:t>Health Communication Specialist</w:t>
      </w:r>
    </w:p>
    <w:p w:rsidRPr="007113A8" w:rsidR="003C0986" w:rsidP="003C0986" w:rsidRDefault="003C0986" w14:paraId="3FEA093E" w14:textId="77777777">
      <w:pPr>
        <w:jc w:val="center"/>
      </w:pPr>
      <w:r w:rsidRPr="007113A8">
        <w:t>Division of STD Prevention</w:t>
      </w:r>
    </w:p>
    <w:p w:rsidRPr="007113A8" w:rsidR="003C0986" w:rsidP="003C0986" w:rsidRDefault="003C0986" w14:paraId="1071592E" w14:textId="77777777">
      <w:pPr>
        <w:jc w:val="center"/>
      </w:pPr>
      <w:r w:rsidRPr="007113A8">
        <w:t>Centers for Disease Control and Prevention</w:t>
      </w:r>
    </w:p>
    <w:p w:rsidRPr="007113A8" w:rsidR="003C0986" w:rsidP="007113A8" w:rsidRDefault="003C0986" w14:paraId="67770264" w14:textId="77777777">
      <w:pPr>
        <w:jc w:val="center"/>
      </w:pPr>
      <w:r w:rsidRPr="007113A8">
        <w:t>12 Corporate Square Blvd,</w:t>
      </w:r>
      <w:r w:rsidRPr="007113A8">
        <w:rPr>
          <w:shd w:val="clear" w:color="auto" w:fill="FFFFFF"/>
        </w:rPr>
        <w:t xml:space="preserve"> Mailstop H18-3</w:t>
      </w:r>
      <w:r w:rsidRPr="007113A8">
        <w:br/>
        <w:t>Atlanta, GA 30329</w:t>
      </w:r>
    </w:p>
    <w:p w:rsidRPr="007113A8" w:rsidR="003C0986" w:rsidP="003C0986" w:rsidRDefault="003C0986" w14:paraId="5BA39782" w14:textId="77777777">
      <w:pPr>
        <w:jc w:val="center"/>
      </w:pPr>
      <w:r w:rsidRPr="007113A8">
        <w:t>Phone: 404-639-4885</w:t>
      </w:r>
    </w:p>
    <w:p w:rsidRPr="0032464E" w:rsidR="003C0986" w:rsidP="003C0986" w:rsidRDefault="003C0986" w14:paraId="2DF8469F" w14:textId="77777777">
      <w:pPr>
        <w:jc w:val="center"/>
        <w:rPr>
          <w:shd w:val="clear" w:color="auto" w:fill="FFFFFF"/>
        </w:rPr>
      </w:pPr>
      <w:r w:rsidRPr="0032464E">
        <w:rPr>
          <w:shd w:val="clear" w:color="auto" w:fill="FFFFFF"/>
        </w:rPr>
        <w:t>E-mail: itb0@cdc.gov</w:t>
      </w:r>
      <w:r w:rsidRPr="0032464E">
        <w:t> </w:t>
      </w:r>
      <w:r w:rsidRPr="0032464E" w:rsidDel="00010AD8">
        <w:t xml:space="preserve"> </w:t>
      </w:r>
      <w:r w:rsidRPr="0032464E" w:rsidDel="00DC2ED8">
        <w:rPr>
          <w:bCs/>
          <w:shd w:val="clear" w:color="auto" w:fill="FFFFFF"/>
        </w:rPr>
        <w:t xml:space="preserve"> </w:t>
      </w:r>
      <w:r w:rsidRPr="0032464E">
        <w:br/>
      </w:r>
    </w:p>
    <w:p w:rsidRPr="000537D0" w:rsidR="000537D0" w:rsidP="000537D0" w:rsidRDefault="000537D0" w14:paraId="50EE122E" w14:textId="77777777">
      <w:pPr>
        <w:jc w:val="center"/>
        <w:rPr>
          <w:rFonts w:eastAsia="Calibri"/>
          <w:b/>
          <w:szCs w:val="22"/>
        </w:rPr>
      </w:pPr>
    </w:p>
    <w:p w:rsidR="002C4C81" w:rsidRDefault="002C4C81" w14:paraId="583C44BA" w14:textId="77777777">
      <w:pPr>
        <w:spacing w:after="160" w:line="259" w:lineRule="auto"/>
      </w:pPr>
    </w:p>
    <w:p w:rsidR="000537D0" w:rsidRDefault="000537D0" w14:paraId="1B25817E" w14:textId="77777777">
      <w:pPr>
        <w:spacing w:after="160" w:line="259" w:lineRule="auto"/>
      </w:pPr>
      <w:r>
        <w:br w:type="page"/>
      </w:r>
    </w:p>
    <w:p w:rsidR="002C4C81" w:rsidRDefault="002C4C81" w14:paraId="28D15CFE" w14:textId="77777777"/>
    <w:p w:rsidR="002C4C81" w:rsidP="002C4C81" w:rsidRDefault="002C4C81" w14:paraId="02E95751" w14:textId="77777777">
      <w:pPr>
        <w:pStyle w:val="NoSpacing"/>
        <w:pBdr>
          <w:bottom w:val="single" w:color="auto" w:sz="4" w:space="1"/>
        </w:pBdr>
        <w:rPr>
          <w:b/>
        </w:rPr>
      </w:pPr>
      <w:r w:rsidRPr="00D3747B">
        <w:rPr>
          <w:b/>
        </w:rPr>
        <w:t>TABLE OF CONTENTS</w:t>
      </w:r>
    </w:p>
    <w:p w:rsidRPr="00D3747B" w:rsidR="002C4C81" w:rsidP="002C4C81" w:rsidRDefault="002C4C81" w14:paraId="4CC76623" w14:textId="77777777">
      <w:pPr>
        <w:pStyle w:val="NoSpacing"/>
        <w:rPr>
          <w:b/>
        </w:rPr>
      </w:pPr>
    </w:p>
    <w:sdt>
      <w:sdtPr>
        <w:id w:val="1342736994"/>
        <w:docPartObj>
          <w:docPartGallery w:val="Table of Contents"/>
          <w:docPartUnique/>
        </w:docPartObj>
      </w:sdtPr>
      <w:sdtEndPr>
        <w:rPr>
          <w:b/>
          <w:bCs/>
          <w:noProof/>
        </w:rPr>
      </w:sdtEndPr>
      <w:sdtContent>
        <w:p w:rsidR="008C7823" w:rsidRDefault="002C4C81" w14:paraId="3322E65F" w14:textId="76865505">
          <w:pPr>
            <w:pStyle w:val="TOC1"/>
            <w:tabs>
              <w:tab w:val="right" w:leader="dot" w:pos="1007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26954502">
            <w:r w:rsidRPr="00EE52D7" w:rsidR="008C7823">
              <w:rPr>
                <w:rStyle w:val="Hyperlink"/>
                <w:noProof/>
              </w:rPr>
              <w:t>This data collection does not involve statistical methods.</w:t>
            </w:r>
            <w:r w:rsidR="008C7823">
              <w:rPr>
                <w:noProof/>
                <w:webHidden/>
              </w:rPr>
              <w:tab/>
            </w:r>
            <w:r w:rsidR="008C7823">
              <w:rPr>
                <w:noProof/>
                <w:webHidden/>
              </w:rPr>
              <w:fldChar w:fldCharType="begin"/>
            </w:r>
            <w:r w:rsidR="008C7823">
              <w:rPr>
                <w:noProof/>
                <w:webHidden/>
              </w:rPr>
              <w:instrText xml:space="preserve"> PAGEREF _Toc26954502 \h </w:instrText>
            </w:r>
            <w:r w:rsidR="008C7823">
              <w:rPr>
                <w:noProof/>
                <w:webHidden/>
              </w:rPr>
            </w:r>
            <w:r w:rsidR="008C7823">
              <w:rPr>
                <w:noProof/>
                <w:webHidden/>
              </w:rPr>
              <w:fldChar w:fldCharType="separate"/>
            </w:r>
            <w:r w:rsidR="008C7823">
              <w:rPr>
                <w:noProof/>
                <w:webHidden/>
              </w:rPr>
              <w:t>2</w:t>
            </w:r>
            <w:r w:rsidR="008C7823">
              <w:rPr>
                <w:noProof/>
                <w:webHidden/>
              </w:rPr>
              <w:fldChar w:fldCharType="end"/>
            </w:r>
          </w:hyperlink>
        </w:p>
        <w:p w:rsidR="008C7823" w:rsidRDefault="005E1D8C" w14:paraId="5CECA805" w14:textId="56AD5241">
          <w:pPr>
            <w:pStyle w:val="TOC1"/>
            <w:tabs>
              <w:tab w:val="left" w:pos="440"/>
              <w:tab w:val="right" w:leader="dot" w:pos="10070"/>
            </w:tabs>
            <w:rPr>
              <w:rFonts w:asciiTheme="minorHAnsi" w:hAnsiTheme="minorHAnsi" w:eastAsiaTheme="minorEastAsia" w:cstheme="minorBidi"/>
              <w:noProof/>
              <w:sz w:val="22"/>
              <w:szCs w:val="22"/>
            </w:rPr>
          </w:pPr>
          <w:hyperlink w:history="1" w:anchor="_Toc26954503">
            <w:r w:rsidRPr="00EE52D7" w:rsidR="008C7823">
              <w:rPr>
                <w:rStyle w:val="Hyperlink"/>
                <w:noProof/>
              </w:rPr>
              <w:t>1.</w:t>
            </w:r>
            <w:r w:rsidR="008C7823">
              <w:rPr>
                <w:rFonts w:asciiTheme="minorHAnsi" w:hAnsiTheme="minorHAnsi" w:eastAsiaTheme="minorEastAsia" w:cstheme="minorBidi"/>
                <w:noProof/>
                <w:sz w:val="22"/>
                <w:szCs w:val="22"/>
              </w:rPr>
              <w:tab/>
            </w:r>
            <w:r w:rsidRPr="00EE52D7" w:rsidR="008C7823">
              <w:rPr>
                <w:rStyle w:val="Hyperlink"/>
                <w:noProof/>
              </w:rPr>
              <w:t>Respondent Universe and Sampling Methods</w:t>
            </w:r>
            <w:r w:rsidR="008C7823">
              <w:rPr>
                <w:noProof/>
                <w:webHidden/>
              </w:rPr>
              <w:tab/>
            </w:r>
            <w:r w:rsidR="008C7823">
              <w:rPr>
                <w:noProof/>
                <w:webHidden/>
              </w:rPr>
              <w:fldChar w:fldCharType="begin"/>
            </w:r>
            <w:r w:rsidR="008C7823">
              <w:rPr>
                <w:noProof/>
                <w:webHidden/>
              </w:rPr>
              <w:instrText xml:space="preserve"> PAGEREF _Toc26954503 \h </w:instrText>
            </w:r>
            <w:r w:rsidR="008C7823">
              <w:rPr>
                <w:noProof/>
                <w:webHidden/>
              </w:rPr>
            </w:r>
            <w:r w:rsidR="008C7823">
              <w:rPr>
                <w:noProof/>
                <w:webHidden/>
              </w:rPr>
              <w:fldChar w:fldCharType="separate"/>
            </w:r>
            <w:r w:rsidR="008C7823">
              <w:rPr>
                <w:noProof/>
                <w:webHidden/>
              </w:rPr>
              <w:t>2</w:t>
            </w:r>
            <w:r w:rsidR="008C7823">
              <w:rPr>
                <w:noProof/>
                <w:webHidden/>
              </w:rPr>
              <w:fldChar w:fldCharType="end"/>
            </w:r>
          </w:hyperlink>
        </w:p>
        <w:p w:rsidR="008C7823" w:rsidRDefault="005E1D8C" w14:paraId="7DF6BC07" w14:textId="39873105">
          <w:pPr>
            <w:pStyle w:val="TOC1"/>
            <w:tabs>
              <w:tab w:val="left" w:pos="440"/>
              <w:tab w:val="right" w:leader="dot" w:pos="10070"/>
            </w:tabs>
            <w:rPr>
              <w:rFonts w:asciiTheme="minorHAnsi" w:hAnsiTheme="minorHAnsi" w:eastAsiaTheme="minorEastAsia" w:cstheme="minorBidi"/>
              <w:noProof/>
              <w:sz w:val="22"/>
              <w:szCs w:val="22"/>
            </w:rPr>
          </w:pPr>
          <w:hyperlink w:history="1" w:anchor="_Toc26954504">
            <w:r w:rsidRPr="00EE52D7" w:rsidR="008C7823">
              <w:rPr>
                <w:rStyle w:val="Hyperlink"/>
                <w:noProof/>
              </w:rPr>
              <w:t>2.</w:t>
            </w:r>
            <w:r w:rsidR="008C7823">
              <w:rPr>
                <w:rFonts w:asciiTheme="minorHAnsi" w:hAnsiTheme="minorHAnsi" w:eastAsiaTheme="minorEastAsia" w:cstheme="minorBidi"/>
                <w:noProof/>
                <w:sz w:val="22"/>
                <w:szCs w:val="22"/>
              </w:rPr>
              <w:tab/>
            </w:r>
            <w:r w:rsidRPr="00EE52D7" w:rsidR="008C7823">
              <w:rPr>
                <w:rStyle w:val="Hyperlink"/>
                <w:noProof/>
              </w:rPr>
              <w:t>Procedures for the Collection of Information</w:t>
            </w:r>
            <w:r w:rsidR="008C7823">
              <w:rPr>
                <w:noProof/>
                <w:webHidden/>
              </w:rPr>
              <w:tab/>
            </w:r>
            <w:r w:rsidR="008C7823">
              <w:rPr>
                <w:noProof/>
                <w:webHidden/>
              </w:rPr>
              <w:fldChar w:fldCharType="begin"/>
            </w:r>
            <w:r w:rsidR="008C7823">
              <w:rPr>
                <w:noProof/>
                <w:webHidden/>
              </w:rPr>
              <w:instrText xml:space="preserve"> PAGEREF _Toc26954504 \h </w:instrText>
            </w:r>
            <w:r w:rsidR="008C7823">
              <w:rPr>
                <w:noProof/>
                <w:webHidden/>
              </w:rPr>
            </w:r>
            <w:r w:rsidR="008C7823">
              <w:rPr>
                <w:noProof/>
                <w:webHidden/>
              </w:rPr>
              <w:fldChar w:fldCharType="separate"/>
            </w:r>
            <w:r w:rsidR="008C7823">
              <w:rPr>
                <w:noProof/>
                <w:webHidden/>
              </w:rPr>
              <w:t>5</w:t>
            </w:r>
            <w:r w:rsidR="008C7823">
              <w:rPr>
                <w:noProof/>
                <w:webHidden/>
              </w:rPr>
              <w:fldChar w:fldCharType="end"/>
            </w:r>
          </w:hyperlink>
        </w:p>
        <w:p w:rsidR="008C7823" w:rsidRDefault="005E1D8C" w14:paraId="7D984E2D" w14:textId="145317E0">
          <w:pPr>
            <w:pStyle w:val="TOC1"/>
            <w:tabs>
              <w:tab w:val="left" w:pos="440"/>
              <w:tab w:val="right" w:leader="dot" w:pos="10070"/>
            </w:tabs>
            <w:rPr>
              <w:rFonts w:asciiTheme="minorHAnsi" w:hAnsiTheme="minorHAnsi" w:eastAsiaTheme="minorEastAsia" w:cstheme="minorBidi"/>
              <w:noProof/>
              <w:sz w:val="22"/>
              <w:szCs w:val="22"/>
            </w:rPr>
          </w:pPr>
          <w:hyperlink w:history="1" w:anchor="_Toc26954505">
            <w:r w:rsidRPr="00EE52D7" w:rsidR="008C7823">
              <w:rPr>
                <w:rStyle w:val="Hyperlink"/>
                <w:noProof/>
              </w:rPr>
              <w:t>3.</w:t>
            </w:r>
            <w:r w:rsidR="008C7823">
              <w:rPr>
                <w:rFonts w:asciiTheme="minorHAnsi" w:hAnsiTheme="minorHAnsi" w:eastAsiaTheme="minorEastAsia" w:cstheme="minorBidi"/>
                <w:noProof/>
                <w:sz w:val="22"/>
                <w:szCs w:val="22"/>
              </w:rPr>
              <w:tab/>
            </w:r>
            <w:r w:rsidRPr="00EE52D7" w:rsidR="008C7823">
              <w:rPr>
                <w:rStyle w:val="Hyperlink"/>
                <w:noProof/>
              </w:rPr>
              <w:t>Methods to Maximize Response Rates and Deal with No Response</w:t>
            </w:r>
            <w:r w:rsidR="008C7823">
              <w:rPr>
                <w:noProof/>
                <w:webHidden/>
              </w:rPr>
              <w:tab/>
            </w:r>
            <w:r w:rsidR="008C7823">
              <w:rPr>
                <w:noProof/>
                <w:webHidden/>
              </w:rPr>
              <w:fldChar w:fldCharType="begin"/>
            </w:r>
            <w:r w:rsidR="008C7823">
              <w:rPr>
                <w:noProof/>
                <w:webHidden/>
              </w:rPr>
              <w:instrText xml:space="preserve"> PAGEREF _Toc26954505 \h </w:instrText>
            </w:r>
            <w:r w:rsidR="008C7823">
              <w:rPr>
                <w:noProof/>
                <w:webHidden/>
              </w:rPr>
            </w:r>
            <w:r w:rsidR="008C7823">
              <w:rPr>
                <w:noProof/>
                <w:webHidden/>
              </w:rPr>
              <w:fldChar w:fldCharType="separate"/>
            </w:r>
            <w:r w:rsidR="008C7823">
              <w:rPr>
                <w:noProof/>
                <w:webHidden/>
              </w:rPr>
              <w:t>8</w:t>
            </w:r>
            <w:r w:rsidR="008C7823">
              <w:rPr>
                <w:noProof/>
                <w:webHidden/>
              </w:rPr>
              <w:fldChar w:fldCharType="end"/>
            </w:r>
          </w:hyperlink>
        </w:p>
        <w:p w:rsidR="008C7823" w:rsidRDefault="005E1D8C" w14:paraId="56FC1B71" w14:textId="4ECF312A">
          <w:pPr>
            <w:pStyle w:val="TOC1"/>
            <w:tabs>
              <w:tab w:val="left" w:pos="440"/>
              <w:tab w:val="right" w:leader="dot" w:pos="10070"/>
            </w:tabs>
            <w:rPr>
              <w:rFonts w:asciiTheme="minorHAnsi" w:hAnsiTheme="minorHAnsi" w:eastAsiaTheme="minorEastAsia" w:cstheme="minorBidi"/>
              <w:noProof/>
              <w:sz w:val="22"/>
              <w:szCs w:val="22"/>
            </w:rPr>
          </w:pPr>
          <w:hyperlink w:history="1" w:anchor="_Toc26954506">
            <w:r w:rsidRPr="00EE52D7" w:rsidR="008C7823">
              <w:rPr>
                <w:rStyle w:val="Hyperlink"/>
                <w:noProof/>
              </w:rPr>
              <w:t>4.</w:t>
            </w:r>
            <w:r w:rsidR="008C7823">
              <w:rPr>
                <w:rFonts w:asciiTheme="minorHAnsi" w:hAnsiTheme="minorHAnsi" w:eastAsiaTheme="minorEastAsia" w:cstheme="minorBidi"/>
                <w:noProof/>
                <w:sz w:val="22"/>
                <w:szCs w:val="22"/>
              </w:rPr>
              <w:tab/>
            </w:r>
            <w:r w:rsidRPr="00EE52D7" w:rsidR="008C7823">
              <w:rPr>
                <w:rStyle w:val="Hyperlink"/>
                <w:noProof/>
              </w:rPr>
              <w:t>Tests of Procedures or Methods to be Undertaken</w:t>
            </w:r>
            <w:r w:rsidR="008C7823">
              <w:rPr>
                <w:noProof/>
                <w:webHidden/>
              </w:rPr>
              <w:tab/>
            </w:r>
            <w:r w:rsidR="008C7823">
              <w:rPr>
                <w:noProof/>
                <w:webHidden/>
              </w:rPr>
              <w:fldChar w:fldCharType="begin"/>
            </w:r>
            <w:r w:rsidR="008C7823">
              <w:rPr>
                <w:noProof/>
                <w:webHidden/>
              </w:rPr>
              <w:instrText xml:space="preserve"> PAGEREF _Toc26954506 \h </w:instrText>
            </w:r>
            <w:r w:rsidR="008C7823">
              <w:rPr>
                <w:noProof/>
                <w:webHidden/>
              </w:rPr>
            </w:r>
            <w:r w:rsidR="008C7823">
              <w:rPr>
                <w:noProof/>
                <w:webHidden/>
              </w:rPr>
              <w:fldChar w:fldCharType="separate"/>
            </w:r>
            <w:r w:rsidR="008C7823">
              <w:rPr>
                <w:noProof/>
                <w:webHidden/>
              </w:rPr>
              <w:t>9</w:t>
            </w:r>
            <w:r w:rsidR="008C7823">
              <w:rPr>
                <w:noProof/>
                <w:webHidden/>
              </w:rPr>
              <w:fldChar w:fldCharType="end"/>
            </w:r>
          </w:hyperlink>
        </w:p>
        <w:p w:rsidR="008C7823" w:rsidRDefault="005E1D8C" w14:paraId="20B5AB13" w14:textId="44F2F7D9">
          <w:pPr>
            <w:pStyle w:val="TOC1"/>
            <w:tabs>
              <w:tab w:val="left" w:pos="440"/>
              <w:tab w:val="right" w:leader="dot" w:pos="10070"/>
            </w:tabs>
            <w:rPr>
              <w:rFonts w:asciiTheme="minorHAnsi" w:hAnsiTheme="minorHAnsi" w:eastAsiaTheme="minorEastAsia" w:cstheme="minorBidi"/>
              <w:noProof/>
              <w:sz w:val="22"/>
              <w:szCs w:val="22"/>
            </w:rPr>
          </w:pPr>
          <w:hyperlink w:history="1" w:anchor="_Toc26954507">
            <w:r w:rsidRPr="00EE52D7" w:rsidR="008C7823">
              <w:rPr>
                <w:rStyle w:val="Hyperlink"/>
                <w:noProof/>
              </w:rPr>
              <w:t>5.</w:t>
            </w:r>
            <w:r w:rsidR="008C7823">
              <w:rPr>
                <w:rFonts w:asciiTheme="minorHAnsi" w:hAnsiTheme="minorHAnsi" w:eastAsiaTheme="minorEastAsia" w:cstheme="minorBidi"/>
                <w:noProof/>
                <w:sz w:val="22"/>
                <w:szCs w:val="22"/>
              </w:rPr>
              <w:tab/>
            </w:r>
            <w:r w:rsidRPr="00EE52D7" w:rsidR="008C7823">
              <w:rPr>
                <w:rStyle w:val="Hyperlink"/>
                <w:noProof/>
              </w:rPr>
              <w:t>Individuals Consulted on Statistical Aspects and Individuals Collecting and/or Analyzing Data.</w:t>
            </w:r>
            <w:r w:rsidR="008C7823">
              <w:rPr>
                <w:noProof/>
                <w:webHidden/>
              </w:rPr>
              <w:tab/>
            </w:r>
            <w:r w:rsidR="008C7823">
              <w:rPr>
                <w:noProof/>
                <w:webHidden/>
              </w:rPr>
              <w:fldChar w:fldCharType="begin"/>
            </w:r>
            <w:r w:rsidR="008C7823">
              <w:rPr>
                <w:noProof/>
                <w:webHidden/>
              </w:rPr>
              <w:instrText xml:space="preserve"> PAGEREF _Toc26954507 \h </w:instrText>
            </w:r>
            <w:r w:rsidR="008C7823">
              <w:rPr>
                <w:noProof/>
                <w:webHidden/>
              </w:rPr>
            </w:r>
            <w:r w:rsidR="008C7823">
              <w:rPr>
                <w:noProof/>
                <w:webHidden/>
              </w:rPr>
              <w:fldChar w:fldCharType="separate"/>
            </w:r>
            <w:r w:rsidR="008C7823">
              <w:rPr>
                <w:noProof/>
                <w:webHidden/>
              </w:rPr>
              <w:t>9</w:t>
            </w:r>
            <w:r w:rsidR="008C7823">
              <w:rPr>
                <w:noProof/>
                <w:webHidden/>
              </w:rPr>
              <w:fldChar w:fldCharType="end"/>
            </w:r>
          </w:hyperlink>
        </w:p>
        <w:p w:rsidR="002C4C81" w:rsidP="002C4C81" w:rsidRDefault="002C4C81" w14:paraId="700445D5" w14:textId="655619A6">
          <w:r>
            <w:rPr>
              <w:b/>
              <w:bCs/>
              <w:noProof/>
            </w:rPr>
            <w:fldChar w:fldCharType="end"/>
          </w:r>
        </w:p>
      </w:sdtContent>
    </w:sdt>
    <w:p w:rsidR="002C4C81" w:rsidP="002C4C81" w:rsidRDefault="002C4C81" w14:paraId="6EF7FDB4" w14:textId="77777777">
      <w:pPr>
        <w:pStyle w:val="NoSpacing"/>
      </w:pPr>
    </w:p>
    <w:p w:rsidRPr="00B400EA" w:rsidR="002C4C81" w:rsidP="002C4C81" w:rsidRDefault="002C4C81" w14:paraId="3ACCD003" w14:textId="77777777">
      <w:pPr>
        <w:pStyle w:val="Heading1"/>
        <w:numPr>
          <w:ilvl w:val="0"/>
          <w:numId w:val="0"/>
        </w:numPr>
        <w:ind w:left="432" w:hanging="432"/>
        <w:rPr>
          <w:b w:val="0"/>
        </w:rPr>
      </w:pPr>
      <w:bookmarkStart w:name="_Toc507599917" w:id="1"/>
      <w:bookmarkStart w:name="_Toc26954502" w:id="2"/>
      <w:r w:rsidRPr="00B400EA">
        <w:rPr>
          <w:b w:val="0"/>
        </w:rPr>
        <w:t>This data collection does not involve statistical methods.</w:t>
      </w:r>
      <w:bookmarkEnd w:id="1"/>
      <w:bookmarkEnd w:id="2"/>
      <w:r w:rsidRPr="00B400EA">
        <w:rPr>
          <w:b w:val="0"/>
        </w:rPr>
        <w:t xml:space="preserve"> </w:t>
      </w:r>
    </w:p>
    <w:p w:rsidRPr="00B400EA" w:rsidR="00E74396" w:rsidP="00E74396" w:rsidRDefault="00E74396" w14:paraId="292F7C94" w14:textId="77777777"/>
    <w:p w:rsidRPr="00B400EA" w:rsidR="002C4C81" w:rsidP="002C4C81" w:rsidRDefault="002C4C81" w14:paraId="5E54D309" w14:textId="77777777">
      <w:pPr>
        <w:pStyle w:val="Heading1"/>
        <w:numPr>
          <w:ilvl w:val="0"/>
          <w:numId w:val="4"/>
        </w:numPr>
        <w:rPr>
          <w:b w:val="0"/>
        </w:rPr>
      </w:pPr>
      <w:bookmarkStart w:name="_Toc507599918" w:id="3"/>
      <w:bookmarkStart w:name="_Toc26954503" w:id="4"/>
      <w:r w:rsidRPr="00B400EA">
        <w:rPr>
          <w:b w:val="0"/>
        </w:rPr>
        <w:t>Respondent Universe and Sampling Methods</w:t>
      </w:r>
      <w:bookmarkEnd w:id="3"/>
      <w:bookmarkEnd w:id="4"/>
    </w:p>
    <w:p w:rsidRPr="00B400EA" w:rsidR="002C4C81" w:rsidP="002C4C81" w:rsidRDefault="002C4C81" w14:paraId="7730F933" w14:textId="77777777"/>
    <w:p w:rsidR="007113A8" w:rsidP="002C4C81" w:rsidRDefault="00186206" w14:paraId="223528FF" w14:textId="77777777">
      <w:pPr>
        <w:spacing w:line="360" w:lineRule="auto"/>
        <w:rPr>
          <w:szCs w:val="20"/>
        </w:rPr>
      </w:pPr>
      <w:r w:rsidRPr="00B400EA">
        <w:t xml:space="preserve">There are </w:t>
      </w:r>
      <w:r w:rsidRPr="00B400EA" w:rsidR="00726EC5">
        <w:t xml:space="preserve">three </w:t>
      </w:r>
      <w:r w:rsidRPr="00B400EA">
        <w:t xml:space="preserve">sets of participants to be recruited for this </w:t>
      </w:r>
      <w:r w:rsidR="00A96197">
        <w:t>evaluation</w:t>
      </w:r>
      <w:r w:rsidRPr="00B400EA" w:rsidR="00834949">
        <w:t xml:space="preserve">: </w:t>
      </w:r>
      <w:r w:rsidRPr="00B400EA" w:rsidR="00726EC5">
        <w:t xml:space="preserve">adults </w:t>
      </w:r>
      <w:r w:rsidRPr="00B400EA" w:rsidR="00002342">
        <w:t>disproportionately affected by</w:t>
      </w:r>
      <w:r w:rsidRPr="00B400EA" w:rsidR="00726EC5">
        <w:t xml:space="preserve"> STDs</w:t>
      </w:r>
      <w:r w:rsidRPr="00B400EA" w:rsidR="00834949">
        <w:t>;</w:t>
      </w:r>
      <w:r w:rsidRPr="00B400EA" w:rsidR="00726EC5">
        <w:t xml:space="preserve"> </w:t>
      </w:r>
      <w:r w:rsidRPr="00B400EA" w:rsidR="00BC2D0E">
        <w:t xml:space="preserve">healthcare providers who </w:t>
      </w:r>
      <w:r w:rsidRPr="00B400EA" w:rsidR="00F52CA1">
        <w:t>work on STD prevention, testing</w:t>
      </w:r>
      <w:r w:rsidRPr="00B400EA" w:rsidR="00834949">
        <w:t>,</w:t>
      </w:r>
      <w:r w:rsidRPr="00B400EA" w:rsidR="00F52CA1">
        <w:t xml:space="preserve"> and </w:t>
      </w:r>
      <w:r w:rsidRPr="00B400EA" w:rsidR="00BC2D0E">
        <w:t>treat</w:t>
      </w:r>
      <w:r w:rsidRPr="00B400EA" w:rsidR="00F52CA1">
        <w:t>ment</w:t>
      </w:r>
      <w:r w:rsidRPr="00B400EA" w:rsidR="00834949">
        <w:t>;</w:t>
      </w:r>
      <w:r w:rsidRPr="00B400EA" w:rsidR="00F52CA1">
        <w:t xml:space="preserve"> </w:t>
      </w:r>
      <w:r w:rsidRPr="00B400EA" w:rsidR="00BC2D0E">
        <w:t>and public health professionals working on STD prevention and/or treatment. Adult</w:t>
      </w:r>
      <w:r w:rsidRPr="00B400EA" w:rsidR="00546346">
        <w:t xml:space="preserve"> populations</w:t>
      </w:r>
      <w:r w:rsidRPr="00B400EA" w:rsidR="00BC2D0E">
        <w:t xml:space="preserve"> </w:t>
      </w:r>
      <w:r w:rsidRPr="00B400EA" w:rsidR="00002342">
        <w:t xml:space="preserve">disproportionately affected by </w:t>
      </w:r>
      <w:r w:rsidRPr="00B400EA" w:rsidR="00BC2D0E">
        <w:t>STD</w:t>
      </w:r>
      <w:r w:rsidRPr="00B400EA" w:rsidR="00F52CA1">
        <w:t>s</w:t>
      </w:r>
      <w:r w:rsidRPr="00B400EA" w:rsidR="00BC2D0E">
        <w:t xml:space="preserve"> include three </w:t>
      </w:r>
      <w:r w:rsidRPr="00B400EA" w:rsidR="00546346">
        <w:t>subgroups</w:t>
      </w:r>
      <w:r w:rsidRPr="00B400EA" w:rsidR="00BC2D0E">
        <w:t xml:space="preserve">: </w:t>
      </w:r>
      <w:r w:rsidRPr="00B400EA" w:rsidR="00726EC5">
        <w:t>younger adults (</w:t>
      </w:r>
      <w:r w:rsidRPr="00B400EA" w:rsidR="00834949">
        <w:t xml:space="preserve">among adults, </w:t>
      </w:r>
      <w:r w:rsidRPr="00B400EA" w:rsidR="00726EC5">
        <w:t>those age</w:t>
      </w:r>
      <w:r w:rsidRPr="00B400EA" w:rsidR="00834949">
        <w:t>s</w:t>
      </w:r>
      <w:r w:rsidRPr="00B400EA" w:rsidR="00726EC5">
        <w:t xml:space="preserve"> 18-24 experience the highest rates of STDs), men </w:t>
      </w:r>
      <w:r w:rsidRPr="00B400EA" w:rsidR="001D0615">
        <w:t>who have</w:t>
      </w:r>
      <w:r w:rsidRPr="00B400EA" w:rsidR="00726EC5">
        <w:t xml:space="preserve"> sex with men (MSM), and pregnant women</w:t>
      </w:r>
      <w:r w:rsidRPr="00B400EA" w:rsidR="00BC2D0E">
        <w:t>.</w:t>
      </w:r>
      <w:r w:rsidRPr="00B400EA" w:rsidR="00B50FB0">
        <w:t xml:space="preserve"> </w:t>
      </w:r>
      <w:r w:rsidRPr="00B400EA" w:rsidR="00726EC5">
        <w:t xml:space="preserve">The adult population will be recruited from across the United States using a panel provider for expediency and confidentiality given the sensitive nature of the topic. </w:t>
      </w:r>
      <w:r w:rsidRPr="00B400EA" w:rsidR="00BC2D0E">
        <w:t xml:space="preserve">Panel providers have existing categorized lists of potential participants from which they will be able to select an appropriate sample for recruitment for </w:t>
      </w:r>
      <w:r w:rsidRPr="00B400EA" w:rsidR="00BC2D0E">
        <w:rPr>
          <w:szCs w:val="20"/>
        </w:rPr>
        <w:t xml:space="preserve">18 in-depth telephone interviews (IDIs). </w:t>
      </w:r>
    </w:p>
    <w:p w:rsidR="007113A8" w:rsidP="002C4C81" w:rsidRDefault="007113A8" w14:paraId="0230DEEE" w14:textId="77777777">
      <w:pPr>
        <w:spacing w:line="360" w:lineRule="auto"/>
        <w:rPr>
          <w:szCs w:val="20"/>
        </w:rPr>
      </w:pPr>
    </w:p>
    <w:p w:rsidRPr="00B400EA" w:rsidR="002C4C81" w:rsidP="002C4C81" w:rsidRDefault="00726EC5" w14:paraId="2CD5202D" w14:textId="6C7290FB">
      <w:pPr>
        <w:spacing w:line="360" w:lineRule="auto"/>
      </w:pPr>
      <w:r w:rsidRPr="00B400EA">
        <w:t>Healthcare p</w:t>
      </w:r>
      <w:r w:rsidRPr="00B400EA" w:rsidR="00B50FB0">
        <w:t xml:space="preserve">roviders </w:t>
      </w:r>
      <w:r w:rsidRPr="00B400EA">
        <w:t xml:space="preserve">and public health professionals </w:t>
      </w:r>
      <w:r w:rsidRPr="00B400EA" w:rsidR="00F65323">
        <w:t>will be recruited f</w:t>
      </w:r>
      <w:r w:rsidRPr="00B400EA">
        <w:t xml:space="preserve">rom contacts and professional networks </w:t>
      </w:r>
      <w:r w:rsidRPr="00B400EA" w:rsidR="00BC2D0E">
        <w:rPr>
          <w:szCs w:val="20"/>
        </w:rPr>
        <w:t xml:space="preserve">for </w:t>
      </w:r>
      <w:r w:rsidRPr="00B400EA" w:rsidR="007B4B97">
        <w:rPr>
          <w:szCs w:val="20"/>
        </w:rPr>
        <w:t xml:space="preserve">25 </w:t>
      </w:r>
      <w:r w:rsidRPr="00B400EA" w:rsidR="00BC2D0E">
        <w:rPr>
          <w:szCs w:val="20"/>
        </w:rPr>
        <w:t xml:space="preserve">IDIs with </w:t>
      </w:r>
      <w:r w:rsidRPr="00B400EA" w:rsidR="007B4B97">
        <w:rPr>
          <w:szCs w:val="20"/>
        </w:rPr>
        <w:t xml:space="preserve">healthcare </w:t>
      </w:r>
      <w:r w:rsidRPr="00B400EA" w:rsidR="00BC2D0E">
        <w:rPr>
          <w:szCs w:val="20"/>
        </w:rPr>
        <w:t xml:space="preserve">providers, </w:t>
      </w:r>
      <w:r w:rsidRPr="00B400EA" w:rsidR="00834949">
        <w:rPr>
          <w:szCs w:val="20"/>
        </w:rPr>
        <w:t xml:space="preserve">and </w:t>
      </w:r>
      <w:r w:rsidRPr="00B400EA" w:rsidR="00BC2D0E">
        <w:rPr>
          <w:szCs w:val="20"/>
        </w:rPr>
        <w:t xml:space="preserve">15 IDIs with public health professionals. </w:t>
      </w:r>
      <w:r w:rsidRPr="00B400EA" w:rsidR="00834949">
        <w:t>For healthcare provider recruitment, t</w:t>
      </w:r>
      <w:r w:rsidRPr="00B400EA">
        <w:t xml:space="preserve">hese organizations will include the </w:t>
      </w:r>
      <w:r w:rsidRPr="00B400EA">
        <w:rPr>
          <w:lang w:val="x-none"/>
        </w:rPr>
        <w:t xml:space="preserve">National Association of Community Health Centers, </w:t>
      </w:r>
      <w:r w:rsidRPr="00B400EA">
        <w:t xml:space="preserve">the </w:t>
      </w:r>
      <w:r w:rsidRPr="00B400EA">
        <w:rPr>
          <w:lang w:val="x-none"/>
        </w:rPr>
        <w:t xml:space="preserve">National Medical Association, </w:t>
      </w:r>
      <w:r w:rsidRPr="00B400EA">
        <w:t xml:space="preserve">the </w:t>
      </w:r>
      <w:r w:rsidRPr="00B400EA">
        <w:rPr>
          <w:lang w:val="x-none"/>
        </w:rPr>
        <w:t xml:space="preserve">Society for Adolescent Health and Medicine, </w:t>
      </w:r>
      <w:r w:rsidRPr="00B400EA" w:rsidR="00546346">
        <w:t>National Coalition for Sexual Health,</w:t>
      </w:r>
      <w:r w:rsidRPr="00B400EA" w:rsidR="00546346">
        <w:rPr>
          <w:lang w:val="x-none"/>
        </w:rPr>
        <w:t xml:space="preserve"> </w:t>
      </w:r>
      <w:r w:rsidRPr="00B400EA">
        <w:rPr>
          <w:lang w:val="x-none"/>
        </w:rPr>
        <w:t xml:space="preserve">and </w:t>
      </w:r>
      <w:r w:rsidRPr="00B400EA">
        <w:t xml:space="preserve">the </w:t>
      </w:r>
      <w:r w:rsidRPr="00B400EA">
        <w:rPr>
          <w:lang w:val="x-none"/>
        </w:rPr>
        <w:t xml:space="preserve">American Academy of Pediatrics. </w:t>
      </w:r>
      <w:r w:rsidRPr="00B400EA" w:rsidR="00834949">
        <w:t xml:space="preserve">For public health professionals, these organizations will include the Association of State and Territorial Health </w:t>
      </w:r>
      <w:r w:rsidRPr="00B400EA" w:rsidR="003A7A3C">
        <w:t>Officials</w:t>
      </w:r>
      <w:r w:rsidRPr="00B400EA" w:rsidR="00834949">
        <w:t xml:space="preserve">, National Association of County and City Health Officials, National Coalition of STD Directors, and National Public Health Information Coalition. </w:t>
      </w:r>
      <w:r w:rsidRPr="00B400EA">
        <w:rPr>
          <w:lang w:val="x-none"/>
        </w:rPr>
        <w:t xml:space="preserve">The National Network of STD Prevention Training Centers </w:t>
      </w:r>
      <w:r w:rsidRPr="00B400EA" w:rsidR="003A7A3C">
        <w:t>and others from curated CDC lists</w:t>
      </w:r>
      <w:r w:rsidRPr="00B400EA" w:rsidR="003A7A3C">
        <w:rPr>
          <w:lang w:val="x-none"/>
        </w:rPr>
        <w:t xml:space="preserve"> </w:t>
      </w:r>
      <w:r w:rsidRPr="00B400EA">
        <w:rPr>
          <w:lang w:val="x-none"/>
        </w:rPr>
        <w:t xml:space="preserve">also may be a source for participants who have visited the </w:t>
      </w:r>
      <w:r w:rsidRPr="00B400EA" w:rsidR="001D0615">
        <w:t xml:space="preserve">CDC </w:t>
      </w:r>
      <w:r w:rsidRPr="00B400EA">
        <w:rPr>
          <w:lang w:val="x-none"/>
        </w:rPr>
        <w:t>DSTDP website.</w:t>
      </w:r>
      <w:r w:rsidRPr="00B400EA">
        <w:t xml:space="preserve"> </w:t>
      </w:r>
    </w:p>
    <w:p w:rsidRPr="00F52CA1" w:rsidR="00F51298" w:rsidP="002C4C81" w:rsidRDefault="00834949" w14:paraId="1EED0CB8" w14:textId="732BD69F">
      <w:pPr>
        <w:spacing w:line="360" w:lineRule="auto"/>
        <w:rPr>
          <w:b/>
          <w:lang w:val="x-none"/>
        </w:rPr>
      </w:pPr>
      <w:r w:rsidRPr="00B400EA">
        <w:lastRenderedPageBreak/>
        <w:t>A</w:t>
      </w:r>
      <w:r w:rsidRPr="00B400EA" w:rsidR="00F51298">
        <w:t>ll groups will be recruited to include a mixed education</w:t>
      </w:r>
      <w:r w:rsidR="00F51298">
        <w:t xml:space="preserve"> level and geographic mix as well.</w:t>
      </w:r>
    </w:p>
    <w:p w:rsidR="002C4C81" w:rsidP="002C4C81" w:rsidRDefault="002C4C81" w14:paraId="07402190" w14:textId="77777777">
      <w:pPr>
        <w:spacing w:line="360" w:lineRule="auto"/>
      </w:pPr>
    </w:p>
    <w:p w:rsidR="00F51298" w:rsidP="00F51298" w:rsidRDefault="00002342" w14:paraId="70DBD8F1" w14:textId="08DA423E">
      <w:pPr>
        <w:rPr>
          <w:i/>
        </w:rPr>
      </w:pPr>
      <w:r>
        <w:rPr>
          <w:i/>
        </w:rPr>
        <w:t xml:space="preserve">Adult </w:t>
      </w:r>
      <w:r w:rsidR="00D165D6">
        <w:rPr>
          <w:i/>
        </w:rPr>
        <w:t xml:space="preserve">Populations </w:t>
      </w:r>
      <w:r>
        <w:rPr>
          <w:i/>
        </w:rPr>
        <w:t>D</w:t>
      </w:r>
      <w:r w:rsidR="00D165D6">
        <w:rPr>
          <w:i/>
        </w:rPr>
        <w:t xml:space="preserve">isproportionately </w:t>
      </w:r>
      <w:r>
        <w:rPr>
          <w:i/>
        </w:rPr>
        <w:t>A</w:t>
      </w:r>
      <w:r w:rsidR="00D165D6">
        <w:rPr>
          <w:i/>
        </w:rPr>
        <w:t>ffected by STDs</w:t>
      </w:r>
    </w:p>
    <w:p w:rsidR="00F51298" w:rsidP="00F51298" w:rsidRDefault="00F51298" w14:paraId="3D1E8186" w14:textId="77777777">
      <w:pPr>
        <w:spacing w:line="360" w:lineRule="auto"/>
        <w:rPr>
          <w:i/>
        </w:rPr>
      </w:pPr>
    </w:p>
    <w:p w:rsidRPr="004D0E27" w:rsidR="00F51298" w:rsidP="00F51298" w:rsidRDefault="00F51298" w14:paraId="565BC1C7" w14:textId="7A6BAE8A">
      <w:pPr>
        <w:spacing w:line="360" w:lineRule="auto"/>
      </w:pPr>
      <w:r>
        <w:t xml:space="preserve">The </w:t>
      </w:r>
      <w:r w:rsidR="00FE664E">
        <w:t xml:space="preserve">evaluation’s </w:t>
      </w:r>
      <w:r>
        <w:t xml:space="preserve">stated recruitment categories (age, MSM, pregnant women, and education) will be used to identify and recruit participants to achieve </w:t>
      </w:r>
      <w:r w:rsidRPr="004D0E27">
        <w:t xml:space="preserve">a balanced split across the adult subgroups (e.g., </w:t>
      </w:r>
      <w:r>
        <w:t>6</w:t>
      </w:r>
      <w:r w:rsidRPr="004D0E27">
        <w:t xml:space="preserve"> young adults, </w:t>
      </w:r>
      <w:r>
        <w:t>6</w:t>
      </w:r>
      <w:r w:rsidRPr="004D0E27">
        <w:t xml:space="preserve"> pregnant women, </w:t>
      </w:r>
      <w:r>
        <w:t>6</w:t>
      </w:r>
      <w:r w:rsidRPr="004D0E27">
        <w:t xml:space="preserve"> MSM)</w:t>
      </w:r>
      <w:r>
        <w:t xml:space="preserve"> with representation across different types of locations (urbanicity)</w:t>
      </w:r>
      <w:r w:rsidR="00D165D6">
        <w:t>, education</w:t>
      </w:r>
      <w:r>
        <w:t xml:space="preserve"> and racial/ethnic groups. Interviews will be conducted with 6 people from each </w:t>
      </w:r>
      <w:r w:rsidR="00002342">
        <w:t>sub</w:t>
      </w:r>
      <w:r>
        <w:t xml:space="preserve">group with half of those recruited per group having an education level of high school or less and half with some college or more (see Table 1). </w:t>
      </w:r>
      <w:r w:rsidRPr="007605CF">
        <w:t xml:space="preserve">All participants will have had sexual contact in the past year, be likely to use the internet to access health </w:t>
      </w:r>
      <w:r w:rsidRPr="007605CF" w:rsidR="00777CAD">
        <w:t>information and</w:t>
      </w:r>
      <w:r w:rsidRPr="007605CF">
        <w:t xml:space="preserve"> be able to access the </w:t>
      </w:r>
      <w:r w:rsidR="001D0615">
        <w:t xml:space="preserve">CDC </w:t>
      </w:r>
      <w:r w:rsidRPr="007605CF">
        <w:t>DSTDP website on a computer. Those recruited will include a mix of participants who are of different ages within ranges (for those 18-24 years old), race/ethnicity and types of communities (urban, suburban</w:t>
      </w:r>
      <w:r w:rsidR="00834949">
        <w:t>,</w:t>
      </w:r>
      <w:r w:rsidRPr="007605CF">
        <w:t xml:space="preserve"> and rural).</w:t>
      </w:r>
      <w:r>
        <w:t xml:space="preserve"> </w:t>
      </w:r>
      <w:r w:rsidRPr="007605CF">
        <w:t xml:space="preserve">Only one participant per household can be included in the </w:t>
      </w:r>
      <w:r w:rsidR="00A43F4E">
        <w:t>evaluation</w:t>
      </w:r>
      <w:r w:rsidRPr="007605CF">
        <w:t>.</w:t>
      </w:r>
    </w:p>
    <w:p w:rsidR="00F51298" w:rsidP="00F51298" w:rsidRDefault="00F51298" w14:paraId="1925CFCE" w14:textId="1A0C058D">
      <w:pPr>
        <w:spacing w:line="360" w:lineRule="auto"/>
      </w:pPr>
    </w:p>
    <w:p w:rsidRPr="00FD6F20" w:rsidR="00F51298" w:rsidP="00F51298" w:rsidRDefault="00F51298" w14:paraId="0CFE93B1" w14:textId="4E121E52">
      <w:pPr>
        <w:spacing w:line="360" w:lineRule="auto"/>
        <w:ind w:firstLine="720"/>
        <w:rPr>
          <w:b/>
        </w:rPr>
      </w:pPr>
      <w:r>
        <w:rPr>
          <w:b/>
        </w:rPr>
        <w:t xml:space="preserve">    </w:t>
      </w:r>
      <w:r w:rsidRPr="00FD6F20">
        <w:rPr>
          <w:b/>
        </w:rPr>
        <w:t xml:space="preserve">Table </w:t>
      </w:r>
      <w:r>
        <w:rPr>
          <w:b/>
        </w:rPr>
        <w:t>1</w:t>
      </w:r>
      <w:r w:rsidRPr="00FD6F20">
        <w:rPr>
          <w:b/>
        </w:rPr>
        <w:t xml:space="preserve">: </w:t>
      </w:r>
      <w:r>
        <w:rPr>
          <w:b/>
        </w:rPr>
        <w:t>Adults by Type</w:t>
      </w:r>
      <w:r w:rsidRPr="00FD6F20">
        <w:rPr>
          <w:b/>
        </w:rPr>
        <w:t xml:space="preserve"> and Education Level</w:t>
      </w:r>
    </w:p>
    <w:tbl>
      <w:tblPr>
        <w:tblW w:w="80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75"/>
        <w:gridCol w:w="2520"/>
        <w:gridCol w:w="2700"/>
      </w:tblGrid>
      <w:tr w:rsidRPr="0036727A" w:rsidR="00F51298" w:rsidTr="008F6417" w14:paraId="4170DCE1" w14:textId="77777777">
        <w:trPr>
          <w:jc w:val="center"/>
        </w:trPr>
        <w:tc>
          <w:tcPr>
            <w:tcW w:w="2875" w:type="dxa"/>
          </w:tcPr>
          <w:p w:rsidRPr="0036727A" w:rsidR="00F51298" w:rsidP="008F6417" w:rsidRDefault="00F51298" w14:paraId="1D7496AA" w14:textId="77777777">
            <w:pPr>
              <w:jc w:val="center"/>
              <w:rPr>
                <w:rFonts w:asciiTheme="minorHAnsi" w:hAnsiTheme="minorHAnsi" w:cstheme="minorHAnsi"/>
              </w:rPr>
            </w:pPr>
            <w:r w:rsidRPr="0036727A">
              <w:rPr>
                <w:rFonts w:asciiTheme="minorHAnsi" w:hAnsiTheme="minorHAnsi" w:cstheme="minorHAnsi"/>
                <w:b/>
              </w:rPr>
              <w:t>TYPE</w:t>
            </w:r>
          </w:p>
        </w:tc>
        <w:tc>
          <w:tcPr>
            <w:tcW w:w="5220" w:type="dxa"/>
            <w:gridSpan w:val="2"/>
          </w:tcPr>
          <w:p w:rsidRPr="0036727A" w:rsidR="00F51298" w:rsidP="008F6417" w:rsidRDefault="00F51298" w14:paraId="1CC4B56D" w14:textId="77777777">
            <w:pPr>
              <w:jc w:val="center"/>
              <w:rPr>
                <w:rFonts w:asciiTheme="minorHAnsi" w:hAnsiTheme="minorHAnsi" w:cstheme="minorHAnsi"/>
                <w:b/>
              </w:rPr>
            </w:pPr>
            <w:r w:rsidRPr="0036727A">
              <w:rPr>
                <w:rFonts w:asciiTheme="minorHAnsi" w:hAnsiTheme="minorHAnsi" w:cstheme="minorHAnsi"/>
                <w:b/>
              </w:rPr>
              <w:t>EDUCATION LEVEL</w:t>
            </w:r>
          </w:p>
        </w:tc>
      </w:tr>
      <w:tr w:rsidRPr="0036727A" w:rsidR="00F51298" w:rsidTr="008F6417" w14:paraId="024A16D5" w14:textId="77777777">
        <w:trPr>
          <w:jc w:val="center"/>
        </w:trPr>
        <w:tc>
          <w:tcPr>
            <w:tcW w:w="2875" w:type="dxa"/>
          </w:tcPr>
          <w:p w:rsidRPr="0036727A" w:rsidR="00F51298" w:rsidP="008F6417" w:rsidRDefault="00F51298" w14:paraId="21D68C1E" w14:textId="77777777">
            <w:pPr>
              <w:rPr>
                <w:rFonts w:asciiTheme="minorHAnsi" w:hAnsiTheme="minorHAnsi" w:cstheme="minorHAnsi"/>
              </w:rPr>
            </w:pPr>
          </w:p>
        </w:tc>
        <w:tc>
          <w:tcPr>
            <w:tcW w:w="2520" w:type="dxa"/>
          </w:tcPr>
          <w:p w:rsidRPr="0036727A" w:rsidR="00F51298" w:rsidP="008F6417" w:rsidRDefault="00F51298" w14:paraId="3ECA0F59" w14:textId="77777777">
            <w:pPr>
              <w:jc w:val="center"/>
              <w:rPr>
                <w:rFonts w:asciiTheme="minorHAnsi" w:hAnsiTheme="minorHAnsi" w:cstheme="minorHAnsi"/>
                <w:b/>
              </w:rPr>
            </w:pPr>
            <w:r w:rsidRPr="0036727A">
              <w:rPr>
                <w:rFonts w:asciiTheme="minorHAnsi" w:hAnsiTheme="minorHAnsi" w:cstheme="minorHAnsi"/>
                <w:b/>
              </w:rPr>
              <w:t>High School or Less</w:t>
            </w:r>
          </w:p>
        </w:tc>
        <w:tc>
          <w:tcPr>
            <w:tcW w:w="2700" w:type="dxa"/>
            <w:shd w:val="clear" w:color="auto" w:fill="auto"/>
          </w:tcPr>
          <w:p w:rsidRPr="0036727A" w:rsidR="00F51298" w:rsidP="008F6417" w:rsidRDefault="00F51298" w14:paraId="68BBA8DD" w14:textId="77777777">
            <w:pPr>
              <w:jc w:val="center"/>
              <w:rPr>
                <w:rFonts w:asciiTheme="minorHAnsi" w:hAnsiTheme="minorHAnsi" w:cstheme="minorHAnsi"/>
                <w:b/>
              </w:rPr>
            </w:pPr>
            <w:r w:rsidRPr="0036727A">
              <w:rPr>
                <w:rFonts w:asciiTheme="minorHAnsi" w:hAnsiTheme="minorHAnsi" w:cstheme="minorHAnsi"/>
                <w:b/>
              </w:rPr>
              <w:t>Some College or More</w:t>
            </w:r>
          </w:p>
        </w:tc>
      </w:tr>
      <w:tr w:rsidRPr="0036727A" w:rsidR="00F51298" w:rsidTr="008F6417" w14:paraId="00555791" w14:textId="77777777">
        <w:trPr>
          <w:trHeight w:val="620"/>
          <w:jc w:val="center"/>
        </w:trPr>
        <w:tc>
          <w:tcPr>
            <w:tcW w:w="2875" w:type="dxa"/>
            <w:shd w:val="clear" w:color="auto" w:fill="DBDBDB"/>
          </w:tcPr>
          <w:p w:rsidRPr="0036727A" w:rsidR="00F51298" w:rsidP="008F6417" w:rsidRDefault="00F51298" w14:paraId="6F5A961C" w14:textId="77777777">
            <w:pPr>
              <w:rPr>
                <w:rFonts w:asciiTheme="minorHAnsi" w:hAnsiTheme="minorHAnsi" w:cstheme="minorHAnsi"/>
              </w:rPr>
            </w:pPr>
            <w:r w:rsidRPr="0036727A">
              <w:rPr>
                <w:rFonts w:asciiTheme="minorHAnsi" w:hAnsiTheme="minorHAnsi" w:cstheme="minorHAnsi"/>
                <w:b/>
              </w:rPr>
              <w:t>18-24*</w:t>
            </w:r>
          </w:p>
          <w:p w:rsidRPr="0036727A" w:rsidR="00F51298" w:rsidP="008F6417" w:rsidRDefault="00F51298" w14:paraId="013D9AE0" w14:textId="77777777">
            <w:pPr>
              <w:rPr>
                <w:rFonts w:asciiTheme="minorHAnsi" w:hAnsiTheme="minorHAnsi" w:cstheme="minorHAnsi"/>
                <w:b/>
              </w:rPr>
            </w:pPr>
          </w:p>
        </w:tc>
        <w:tc>
          <w:tcPr>
            <w:tcW w:w="2520" w:type="dxa"/>
            <w:shd w:val="clear" w:color="auto" w:fill="DBDBDB"/>
          </w:tcPr>
          <w:p w:rsidRPr="0036727A" w:rsidR="00F51298" w:rsidP="008F6417" w:rsidRDefault="00F51298" w14:paraId="336B40BE" w14:textId="77777777">
            <w:pPr>
              <w:jc w:val="center"/>
              <w:rPr>
                <w:rFonts w:asciiTheme="minorHAnsi" w:hAnsiTheme="minorHAnsi" w:cstheme="minorHAnsi"/>
              </w:rPr>
            </w:pPr>
          </w:p>
          <w:p w:rsidRPr="0036727A" w:rsidR="00F51298" w:rsidP="008F6417" w:rsidRDefault="00F51298" w14:paraId="349F89CC" w14:textId="77777777">
            <w:pPr>
              <w:jc w:val="center"/>
              <w:rPr>
                <w:rFonts w:asciiTheme="minorHAnsi" w:hAnsiTheme="minorHAnsi" w:cstheme="minorHAnsi"/>
              </w:rPr>
            </w:pPr>
            <w:r>
              <w:rPr>
                <w:rFonts w:asciiTheme="minorHAnsi" w:hAnsiTheme="minorHAnsi" w:cstheme="minorHAnsi"/>
              </w:rPr>
              <w:t>3 interviews</w:t>
            </w:r>
          </w:p>
        </w:tc>
        <w:tc>
          <w:tcPr>
            <w:tcW w:w="2700" w:type="dxa"/>
            <w:shd w:val="clear" w:color="auto" w:fill="DBDBDB"/>
          </w:tcPr>
          <w:p w:rsidRPr="0036727A" w:rsidR="00F51298" w:rsidP="008F6417" w:rsidRDefault="00F51298" w14:paraId="6776351B" w14:textId="77777777">
            <w:pPr>
              <w:jc w:val="center"/>
              <w:rPr>
                <w:rFonts w:asciiTheme="minorHAnsi" w:hAnsiTheme="minorHAnsi" w:cstheme="minorHAnsi"/>
              </w:rPr>
            </w:pPr>
          </w:p>
          <w:p w:rsidRPr="0036727A" w:rsidR="00F51298" w:rsidP="008F6417" w:rsidRDefault="00F51298" w14:paraId="3CE034C6" w14:textId="77777777">
            <w:pPr>
              <w:jc w:val="center"/>
              <w:rPr>
                <w:rFonts w:asciiTheme="minorHAnsi" w:hAnsiTheme="minorHAnsi" w:cstheme="minorHAnsi"/>
              </w:rPr>
            </w:pPr>
            <w:r>
              <w:rPr>
                <w:rFonts w:asciiTheme="minorHAnsi" w:hAnsiTheme="minorHAnsi" w:cstheme="minorHAnsi"/>
              </w:rPr>
              <w:t>3 interviews</w:t>
            </w:r>
          </w:p>
        </w:tc>
      </w:tr>
      <w:tr w:rsidRPr="0036727A" w:rsidR="00F51298" w:rsidTr="008F6417" w14:paraId="2DFD2DE2" w14:textId="77777777">
        <w:trPr>
          <w:trHeight w:val="620"/>
          <w:jc w:val="center"/>
        </w:trPr>
        <w:tc>
          <w:tcPr>
            <w:tcW w:w="2875" w:type="dxa"/>
            <w:shd w:val="clear" w:color="auto" w:fill="BFBFBF"/>
          </w:tcPr>
          <w:p w:rsidRPr="0036727A" w:rsidR="00F51298" w:rsidP="008F6417" w:rsidRDefault="00F51298" w14:paraId="650CFBAA" w14:textId="77777777">
            <w:pPr>
              <w:rPr>
                <w:rFonts w:asciiTheme="minorHAnsi" w:hAnsiTheme="minorHAnsi" w:cstheme="minorHAnsi"/>
                <w:b/>
              </w:rPr>
            </w:pPr>
            <w:r w:rsidRPr="0036727A">
              <w:rPr>
                <w:rFonts w:asciiTheme="minorHAnsi" w:hAnsiTheme="minorHAnsi" w:cstheme="minorHAnsi"/>
                <w:b/>
              </w:rPr>
              <w:t>MSM</w:t>
            </w:r>
          </w:p>
        </w:tc>
        <w:tc>
          <w:tcPr>
            <w:tcW w:w="2520" w:type="dxa"/>
            <w:shd w:val="clear" w:color="auto" w:fill="BFBFBF"/>
          </w:tcPr>
          <w:p w:rsidRPr="0036727A" w:rsidR="00F51298" w:rsidP="008F6417" w:rsidRDefault="00F51298" w14:paraId="3E1F861F" w14:textId="77777777">
            <w:pPr>
              <w:jc w:val="center"/>
              <w:rPr>
                <w:rFonts w:asciiTheme="minorHAnsi" w:hAnsiTheme="minorHAnsi" w:cstheme="minorHAnsi"/>
              </w:rPr>
            </w:pPr>
          </w:p>
          <w:p w:rsidRPr="0036727A" w:rsidR="00F51298" w:rsidP="008F6417" w:rsidRDefault="00F51298" w14:paraId="5A69218F" w14:textId="77777777">
            <w:pPr>
              <w:jc w:val="center"/>
              <w:rPr>
                <w:rFonts w:asciiTheme="minorHAnsi" w:hAnsiTheme="minorHAnsi" w:cstheme="minorHAnsi"/>
              </w:rPr>
            </w:pPr>
            <w:r>
              <w:rPr>
                <w:rFonts w:asciiTheme="minorHAnsi" w:hAnsiTheme="minorHAnsi" w:cstheme="minorHAnsi"/>
              </w:rPr>
              <w:t>3 interviews</w:t>
            </w:r>
          </w:p>
        </w:tc>
        <w:tc>
          <w:tcPr>
            <w:tcW w:w="2700" w:type="dxa"/>
            <w:shd w:val="clear" w:color="auto" w:fill="BFBFBF"/>
          </w:tcPr>
          <w:p w:rsidRPr="0036727A" w:rsidR="00F51298" w:rsidP="008F6417" w:rsidRDefault="00F51298" w14:paraId="0E396409" w14:textId="77777777">
            <w:pPr>
              <w:jc w:val="center"/>
              <w:rPr>
                <w:rFonts w:asciiTheme="minorHAnsi" w:hAnsiTheme="minorHAnsi" w:cstheme="minorHAnsi"/>
              </w:rPr>
            </w:pPr>
          </w:p>
          <w:p w:rsidRPr="0036727A" w:rsidR="00F51298" w:rsidP="008F6417" w:rsidRDefault="00F51298" w14:paraId="4ABF7520" w14:textId="77777777">
            <w:pPr>
              <w:jc w:val="center"/>
              <w:rPr>
                <w:rFonts w:asciiTheme="minorHAnsi" w:hAnsiTheme="minorHAnsi" w:cstheme="minorHAnsi"/>
              </w:rPr>
            </w:pPr>
            <w:r>
              <w:rPr>
                <w:rFonts w:asciiTheme="minorHAnsi" w:hAnsiTheme="minorHAnsi" w:cstheme="minorHAnsi"/>
              </w:rPr>
              <w:t>3 interviews</w:t>
            </w:r>
          </w:p>
        </w:tc>
      </w:tr>
      <w:tr w:rsidRPr="0036727A" w:rsidR="00F51298" w:rsidTr="008F6417" w14:paraId="4E93E9FD" w14:textId="77777777">
        <w:trPr>
          <w:trHeight w:val="620"/>
          <w:jc w:val="center"/>
        </w:trPr>
        <w:tc>
          <w:tcPr>
            <w:tcW w:w="2875" w:type="dxa"/>
            <w:shd w:val="clear" w:color="auto" w:fill="A6A6A6"/>
          </w:tcPr>
          <w:p w:rsidRPr="0036727A" w:rsidR="00F51298" w:rsidP="008F6417" w:rsidRDefault="00F51298" w14:paraId="64D60819" w14:textId="77777777">
            <w:pPr>
              <w:rPr>
                <w:rFonts w:asciiTheme="minorHAnsi" w:hAnsiTheme="minorHAnsi" w:cstheme="minorHAnsi"/>
                <w:b/>
              </w:rPr>
            </w:pPr>
            <w:r w:rsidRPr="0036727A">
              <w:rPr>
                <w:rFonts w:asciiTheme="minorHAnsi" w:hAnsiTheme="minorHAnsi" w:cstheme="minorHAnsi"/>
                <w:b/>
              </w:rPr>
              <w:t>Pregnant Women</w:t>
            </w:r>
          </w:p>
          <w:p w:rsidRPr="0036727A" w:rsidR="00F51298" w:rsidP="008F6417" w:rsidRDefault="00F51298" w14:paraId="02018E7D" w14:textId="77777777">
            <w:pPr>
              <w:rPr>
                <w:rFonts w:asciiTheme="minorHAnsi" w:hAnsiTheme="minorHAnsi" w:cstheme="minorHAnsi"/>
                <w:b/>
              </w:rPr>
            </w:pPr>
          </w:p>
        </w:tc>
        <w:tc>
          <w:tcPr>
            <w:tcW w:w="2520" w:type="dxa"/>
            <w:shd w:val="clear" w:color="auto" w:fill="A6A6A6"/>
          </w:tcPr>
          <w:p w:rsidRPr="0036727A" w:rsidR="00F51298" w:rsidP="008F6417" w:rsidRDefault="00F51298" w14:paraId="10C3F800" w14:textId="77777777">
            <w:pPr>
              <w:jc w:val="center"/>
              <w:rPr>
                <w:rFonts w:asciiTheme="minorHAnsi" w:hAnsiTheme="minorHAnsi" w:cstheme="minorHAnsi"/>
              </w:rPr>
            </w:pPr>
          </w:p>
          <w:p w:rsidRPr="0036727A" w:rsidR="00F51298" w:rsidP="008F6417" w:rsidRDefault="00F51298" w14:paraId="490DE062" w14:textId="77777777">
            <w:pPr>
              <w:jc w:val="center"/>
              <w:rPr>
                <w:rFonts w:asciiTheme="minorHAnsi" w:hAnsiTheme="minorHAnsi" w:cstheme="minorHAnsi"/>
              </w:rPr>
            </w:pPr>
            <w:r>
              <w:rPr>
                <w:rFonts w:asciiTheme="minorHAnsi" w:hAnsiTheme="minorHAnsi" w:cstheme="minorHAnsi"/>
              </w:rPr>
              <w:t>3</w:t>
            </w:r>
            <w:r w:rsidRPr="0036727A">
              <w:rPr>
                <w:rFonts w:asciiTheme="minorHAnsi" w:hAnsiTheme="minorHAnsi" w:cstheme="minorHAnsi"/>
              </w:rPr>
              <w:t xml:space="preserve"> </w:t>
            </w:r>
            <w:r>
              <w:rPr>
                <w:rFonts w:asciiTheme="minorHAnsi" w:hAnsiTheme="minorHAnsi" w:cstheme="minorHAnsi"/>
              </w:rPr>
              <w:t>interviews</w:t>
            </w:r>
          </w:p>
        </w:tc>
        <w:tc>
          <w:tcPr>
            <w:tcW w:w="2700" w:type="dxa"/>
            <w:shd w:val="clear" w:color="auto" w:fill="A6A6A6"/>
          </w:tcPr>
          <w:p w:rsidRPr="0036727A" w:rsidR="00F51298" w:rsidP="008F6417" w:rsidRDefault="00F51298" w14:paraId="3465EBEA" w14:textId="77777777">
            <w:pPr>
              <w:jc w:val="center"/>
              <w:rPr>
                <w:rFonts w:asciiTheme="minorHAnsi" w:hAnsiTheme="minorHAnsi" w:cstheme="minorHAnsi"/>
              </w:rPr>
            </w:pPr>
          </w:p>
          <w:p w:rsidRPr="0036727A" w:rsidR="00F51298" w:rsidP="008F6417" w:rsidRDefault="00F51298" w14:paraId="45184174" w14:textId="77777777">
            <w:pPr>
              <w:jc w:val="center"/>
              <w:rPr>
                <w:rFonts w:asciiTheme="minorHAnsi" w:hAnsiTheme="minorHAnsi" w:cstheme="minorHAnsi"/>
              </w:rPr>
            </w:pPr>
            <w:r>
              <w:rPr>
                <w:rFonts w:asciiTheme="minorHAnsi" w:hAnsiTheme="minorHAnsi" w:cstheme="minorHAnsi"/>
              </w:rPr>
              <w:t>3</w:t>
            </w:r>
            <w:r w:rsidRPr="0036727A">
              <w:rPr>
                <w:rFonts w:asciiTheme="minorHAnsi" w:hAnsiTheme="minorHAnsi" w:cstheme="minorHAnsi"/>
              </w:rPr>
              <w:t xml:space="preserve"> </w:t>
            </w:r>
            <w:r>
              <w:rPr>
                <w:rFonts w:asciiTheme="minorHAnsi" w:hAnsiTheme="minorHAnsi" w:cstheme="minorHAnsi"/>
              </w:rPr>
              <w:t>interviews</w:t>
            </w:r>
          </w:p>
        </w:tc>
      </w:tr>
    </w:tbl>
    <w:p w:rsidRPr="0036727A" w:rsidR="00834949" w:rsidP="00834949" w:rsidRDefault="00834949" w14:paraId="06D87A40" w14:textId="0DEC2201">
      <w:pPr>
        <w:ind w:left="720"/>
        <w:rPr>
          <w:rFonts w:ascii="Calibri" w:hAnsi="Calibri"/>
          <w:sz w:val="22"/>
          <w:szCs w:val="22"/>
        </w:rPr>
      </w:pPr>
      <w:r>
        <w:rPr>
          <w:rFonts w:ascii="Calibri" w:hAnsi="Calibri"/>
          <w:sz w:val="22"/>
          <w:szCs w:val="22"/>
        </w:rPr>
        <w:t xml:space="preserve">     </w:t>
      </w:r>
      <w:r w:rsidRPr="0036727A">
        <w:rPr>
          <w:rFonts w:ascii="Calibri" w:hAnsi="Calibri"/>
          <w:sz w:val="22"/>
          <w:szCs w:val="22"/>
        </w:rPr>
        <w:t>*18 to 24-year-old groups will be skewed to over-represent younger participants.</w:t>
      </w:r>
    </w:p>
    <w:p w:rsidR="00F51298" w:rsidP="00F51298" w:rsidRDefault="00F51298" w14:paraId="5A3DB967" w14:textId="77777777">
      <w:pPr>
        <w:spacing w:line="360" w:lineRule="auto"/>
      </w:pPr>
    </w:p>
    <w:p w:rsidRPr="00B400EA" w:rsidR="00F51298" w:rsidP="00F51298" w:rsidRDefault="00F51298" w14:paraId="09B6A194" w14:textId="3E63088F">
      <w:pPr>
        <w:rPr>
          <w:i/>
        </w:rPr>
      </w:pPr>
      <w:r w:rsidRPr="00B400EA">
        <w:rPr>
          <w:i/>
        </w:rPr>
        <w:t xml:space="preserve">Healthcare providers </w:t>
      </w:r>
    </w:p>
    <w:p w:rsidRPr="00B400EA" w:rsidR="00F51298" w:rsidP="00F51298" w:rsidRDefault="00F51298" w14:paraId="780AC269" w14:textId="77777777">
      <w:pPr>
        <w:spacing w:line="360" w:lineRule="auto"/>
      </w:pPr>
    </w:p>
    <w:p w:rsidRPr="00B400EA" w:rsidR="00835B9D" w:rsidP="00835B9D" w:rsidRDefault="00F51298" w14:paraId="6B6A53DA" w14:textId="6762D63A">
      <w:pPr>
        <w:spacing w:line="360" w:lineRule="auto"/>
      </w:pPr>
      <w:r w:rsidRPr="00B400EA">
        <w:t>To ensure that information is gathered from different types of providers, respondents will be segmented by their role (i.e. lead, support</w:t>
      </w:r>
      <w:r w:rsidRPr="00B400EA" w:rsidR="00BA633A">
        <w:t>,</w:t>
      </w:r>
      <w:r w:rsidRPr="00B400EA">
        <w:t xml:space="preserve"> and specialist providers). Lead providers are those who are primarily responsible for patient care and may include these roles: physicians, physician assistants, and nurse practitioners. Support providers are those who support patient care and may include these roles: nurses, health educators, or others who play a significant health education role. Specialists are those who deal exclusively with STD prevention, testing, or treatment. </w:t>
      </w:r>
      <w:r w:rsidRPr="00B400EA" w:rsidR="008561DB">
        <w:t xml:space="preserve">Table 2 presents the segmentation for healthcare providers. </w:t>
      </w:r>
      <w:r w:rsidRPr="00B400EA">
        <w:t xml:space="preserve">Participants will also be screened to ensure a mix of urbanicity of their location, type of work </w:t>
      </w:r>
      <w:r w:rsidRPr="00B400EA">
        <w:lastRenderedPageBreak/>
        <w:t>setting (i.e. public vs. private), age, gender, and familiarity with the CDC DSTDP site</w:t>
      </w:r>
      <w:r w:rsidRPr="00B400EA" w:rsidR="004B2D11">
        <w:t xml:space="preserve">. </w:t>
      </w:r>
      <w:r w:rsidRPr="00B400EA" w:rsidR="00835B9D">
        <w:t>We intend to recruit equal numbers of lead and support providers; however, we will screen for alternatives and collapse these categories if recruitment does not progress as expected.</w:t>
      </w:r>
    </w:p>
    <w:p w:rsidRPr="00B400EA" w:rsidR="008561DB" w:rsidP="008561DB" w:rsidRDefault="008561DB" w14:paraId="2FEEFD02" w14:textId="77777777">
      <w:pPr>
        <w:spacing w:line="360" w:lineRule="auto"/>
      </w:pPr>
    </w:p>
    <w:p w:rsidRPr="00B400EA" w:rsidR="00ED5386" w:rsidP="008561DB" w:rsidRDefault="008561DB" w14:paraId="7F585D6B" w14:textId="7CE9929B">
      <w:pPr>
        <w:spacing w:line="360" w:lineRule="auto"/>
      </w:pPr>
      <w:r w:rsidRPr="00B400EA">
        <w:t xml:space="preserve">To be included, providers will self-report that their work includes STD prevention, testing, or treatment, that they are likely to use the internet to access the type of content and information found on the </w:t>
      </w:r>
      <w:r w:rsidRPr="00B400EA" w:rsidR="001D0615">
        <w:t xml:space="preserve">CDC </w:t>
      </w:r>
      <w:r w:rsidRPr="00B400EA">
        <w:t xml:space="preserve">DSTDP website, and that they are able to access the </w:t>
      </w:r>
      <w:r w:rsidRPr="00B400EA" w:rsidR="001D0615">
        <w:t xml:space="preserve">CDC </w:t>
      </w:r>
      <w:r w:rsidRPr="00B400EA">
        <w:t>DSTDP website on a computer.</w:t>
      </w:r>
      <w:r w:rsidRPr="00B400EA" w:rsidR="00ED5386">
        <w:t xml:space="preserve"> </w:t>
      </w:r>
    </w:p>
    <w:p w:rsidRPr="00B400EA" w:rsidR="00ED5386" w:rsidP="008561DB" w:rsidRDefault="00ED5386" w14:paraId="1773F28F" w14:textId="77777777">
      <w:pPr>
        <w:spacing w:line="360" w:lineRule="auto"/>
      </w:pPr>
    </w:p>
    <w:p w:rsidRPr="00EB5A1D" w:rsidR="00424262" w:rsidP="007B4B97" w:rsidRDefault="00ED5386" w14:paraId="7115EDE9" w14:textId="2E56ECE0">
      <w:pPr>
        <w:spacing w:line="360" w:lineRule="auto"/>
      </w:pPr>
      <w:r w:rsidRPr="00B400EA">
        <w:t>To limit the time required for any one healthcare provider to no more than 30 minutes, the full set of questions has been divided into two separate guides</w:t>
      </w:r>
      <w:r w:rsidRPr="00B400EA" w:rsidR="007C6A8E">
        <w:t xml:space="preserve"> and recruited providers will be only asked to answer questions from one of the two healthcare provider guides</w:t>
      </w:r>
      <w:r w:rsidRPr="00B400EA">
        <w:t xml:space="preserve">. </w:t>
      </w:r>
      <w:r w:rsidRPr="00B400EA" w:rsidR="007C6A8E">
        <w:t xml:space="preserve">The first </w:t>
      </w:r>
      <w:r w:rsidRPr="00B400EA">
        <w:t xml:space="preserve">group of providers will </w:t>
      </w:r>
      <w:r w:rsidRPr="00B400EA" w:rsidR="007C6A8E">
        <w:t>include 15 individuals (6 lead providers, 6 support providers</w:t>
      </w:r>
      <w:r w:rsidRPr="00B400EA" w:rsidR="00834949">
        <w:t>,</w:t>
      </w:r>
      <w:r w:rsidRPr="00B400EA" w:rsidR="007C6A8E">
        <w:t xml:space="preserve"> and 3 STD specialists) and the second group will include </w:t>
      </w:r>
      <w:r w:rsidRPr="00B400EA" w:rsidR="007B4B97">
        <w:t xml:space="preserve">10 </w:t>
      </w:r>
      <w:r w:rsidRPr="00B400EA" w:rsidR="007C6A8E">
        <w:t>providers (</w:t>
      </w:r>
      <w:r w:rsidRPr="00B400EA" w:rsidR="007B4B97">
        <w:t>4 lead providers, 4 support providers</w:t>
      </w:r>
      <w:r w:rsidRPr="00B400EA" w:rsidR="00834949">
        <w:t>,</w:t>
      </w:r>
      <w:r w:rsidRPr="00B400EA" w:rsidR="007B4B97">
        <w:t xml:space="preserve"> and 2 STD specialists</w:t>
      </w:r>
      <w:r w:rsidRPr="00B400EA" w:rsidR="007C6A8E">
        <w:t xml:space="preserve">). </w:t>
      </w:r>
      <w:r w:rsidRPr="00B400EA" w:rsidR="00424262">
        <w:t>The providers from each category will be selected to ensure as much diversity as possible (i.e. geographic, organizational affiliation).</w:t>
      </w:r>
    </w:p>
    <w:p w:rsidR="008561DB" w:rsidP="008561DB" w:rsidRDefault="008561DB" w14:paraId="00E1D666" w14:textId="7AA11C1F">
      <w:pPr>
        <w:spacing w:line="360" w:lineRule="auto"/>
      </w:pPr>
    </w:p>
    <w:p w:rsidRPr="00FD6F20" w:rsidR="00F51298" w:rsidP="00F51298" w:rsidRDefault="00F51298" w14:paraId="162A81F7" w14:textId="342CB6B3">
      <w:pPr>
        <w:spacing w:line="360" w:lineRule="auto"/>
        <w:ind w:firstLine="720"/>
        <w:rPr>
          <w:b/>
        </w:rPr>
      </w:pPr>
      <w:r w:rsidRPr="00FD6F20">
        <w:rPr>
          <w:b/>
        </w:rPr>
        <w:t xml:space="preserve">Table </w:t>
      </w:r>
      <w:r w:rsidR="008561DB">
        <w:rPr>
          <w:b/>
        </w:rPr>
        <w:t>2</w:t>
      </w:r>
      <w:r w:rsidRPr="00FD6F20">
        <w:rPr>
          <w:b/>
        </w:rPr>
        <w:t>: Segmentation for Healthcare Providers</w:t>
      </w:r>
    </w:p>
    <w:tbl>
      <w:tblPr>
        <w:tblW w:w="6318" w:type="dxa"/>
        <w:tblInd w:w="7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25"/>
        <w:gridCol w:w="3893"/>
      </w:tblGrid>
      <w:tr w:rsidRPr="009E3B90" w:rsidR="00F51298" w:rsidTr="008F6417" w14:paraId="626B9CEF" w14:textId="77777777">
        <w:trPr>
          <w:trHeight w:val="596"/>
        </w:trPr>
        <w:tc>
          <w:tcPr>
            <w:tcW w:w="2425" w:type="dxa"/>
            <w:vAlign w:val="center"/>
          </w:tcPr>
          <w:p w:rsidRPr="009E3B90" w:rsidR="00F51298" w:rsidP="008F6417" w:rsidRDefault="00F51298" w14:paraId="77C8AD4E" w14:textId="77777777">
            <w:pPr>
              <w:jc w:val="center"/>
              <w:rPr>
                <w:rFonts w:asciiTheme="minorHAnsi" w:hAnsiTheme="minorHAnsi" w:cstheme="minorHAnsi"/>
                <w:b/>
              </w:rPr>
            </w:pPr>
            <w:r w:rsidRPr="009E3B90">
              <w:rPr>
                <w:rFonts w:asciiTheme="minorHAnsi" w:hAnsiTheme="minorHAnsi" w:cstheme="minorHAnsi"/>
                <w:b/>
              </w:rPr>
              <w:t>ROLE AND SETTING</w:t>
            </w:r>
          </w:p>
        </w:tc>
        <w:tc>
          <w:tcPr>
            <w:tcW w:w="3893" w:type="dxa"/>
            <w:vAlign w:val="center"/>
          </w:tcPr>
          <w:p w:rsidRPr="009E3B90" w:rsidR="00F51298" w:rsidP="008F6417" w:rsidRDefault="00F51298" w14:paraId="68AD7B99" w14:textId="77777777">
            <w:pPr>
              <w:jc w:val="center"/>
              <w:rPr>
                <w:rFonts w:asciiTheme="minorHAnsi" w:hAnsiTheme="minorHAnsi" w:cstheme="minorHAnsi"/>
                <w:b/>
              </w:rPr>
            </w:pPr>
            <w:r>
              <w:rPr>
                <w:rFonts w:asciiTheme="minorHAnsi" w:hAnsiTheme="minorHAnsi" w:cstheme="minorHAnsi"/>
                <w:b/>
              </w:rPr>
              <w:t>NUMBER OF INTERVIEWS</w:t>
            </w:r>
          </w:p>
        </w:tc>
      </w:tr>
      <w:tr w:rsidRPr="009E3B90" w:rsidR="00F51298" w:rsidTr="008F6417" w14:paraId="2C8A3CE7" w14:textId="77777777">
        <w:trPr>
          <w:trHeight w:val="620"/>
        </w:trPr>
        <w:tc>
          <w:tcPr>
            <w:tcW w:w="2425" w:type="dxa"/>
            <w:shd w:val="clear" w:color="auto" w:fill="DBDBDB"/>
            <w:vAlign w:val="center"/>
          </w:tcPr>
          <w:p w:rsidRPr="009E3B90" w:rsidR="00F51298" w:rsidP="008F6417" w:rsidRDefault="00F51298" w14:paraId="55705C6F" w14:textId="77777777">
            <w:pPr>
              <w:jc w:val="center"/>
              <w:rPr>
                <w:rFonts w:asciiTheme="minorHAnsi" w:hAnsiTheme="minorHAnsi" w:cstheme="minorHAnsi"/>
                <w:b/>
              </w:rPr>
            </w:pPr>
            <w:r w:rsidRPr="00A717D6">
              <w:rPr>
                <w:rFonts w:asciiTheme="minorHAnsi" w:hAnsiTheme="minorHAnsi" w:cstheme="minorHAnsi"/>
                <w:b/>
              </w:rPr>
              <w:t>Lead Providers</w:t>
            </w:r>
          </w:p>
        </w:tc>
        <w:tc>
          <w:tcPr>
            <w:tcW w:w="3893" w:type="dxa"/>
            <w:shd w:val="clear" w:color="auto" w:fill="DBDBDB"/>
            <w:vAlign w:val="center"/>
          </w:tcPr>
          <w:p w:rsidRPr="009E3B90" w:rsidR="00F51298" w:rsidP="008F6417" w:rsidRDefault="00F51298" w14:paraId="5296DF79" w14:textId="77777777">
            <w:pPr>
              <w:jc w:val="center"/>
              <w:rPr>
                <w:rFonts w:asciiTheme="minorHAnsi" w:hAnsiTheme="minorHAnsi" w:cstheme="minorHAnsi"/>
              </w:rPr>
            </w:pPr>
          </w:p>
          <w:p w:rsidRPr="009E3B90" w:rsidR="00F51298" w:rsidP="008F6417" w:rsidRDefault="007B4B97" w14:paraId="0107F3F0" w14:textId="6E399E47">
            <w:pPr>
              <w:jc w:val="center"/>
              <w:rPr>
                <w:rFonts w:asciiTheme="minorHAnsi" w:hAnsiTheme="minorHAnsi" w:cstheme="minorHAnsi"/>
              </w:rPr>
            </w:pPr>
            <w:r>
              <w:rPr>
                <w:rFonts w:asciiTheme="minorHAnsi" w:hAnsiTheme="minorHAnsi" w:cstheme="minorHAnsi"/>
              </w:rPr>
              <w:t>10</w:t>
            </w:r>
            <w:r w:rsidRPr="009E3B90">
              <w:rPr>
                <w:rFonts w:asciiTheme="minorHAnsi" w:hAnsiTheme="minorHAnsi" w:cstheme="minorHAnsi"/>
              </w:rPr>
              <w:t xml:space="preserve"> </w:t>
            </w:r>
            <w:r w:rsidRPr="009E3B90" w:rsidR="00F51298">
              <w:rPr>
                <w:rFonts w:asciiTheme="minorHAnsi" w:hAnsiTheme="minorHAnsi" w:cstheme="minorHAnsi"/>
              </w:rPr>
              <w:t>interview</w:t>
            </w:r>
            <w:r w:rsidR="00F51298">
              <w:rPr>
                <w:rFonts w:asciiTheme="minorHAnsi" w:hAnsiTheme="minorHAnsi" w:cstheme="minorHAnsi"/>
              </w:rPr>
              <w:t>s</w:t>
            </w:r>
          </w:p>
          <w:p w:rsidRPr="009E3B90" w:rsidR="00F51298" w:rsidP="008F6417" w:rsidRDefault="00F51298" w14:paraId="2925DC89" w14:textId="77777777">
            <w:pPr>
              <w:jc w:val="center"/>
              <w:rPr>
                <w:rFonts w:asciiTheme="minorHAnsi" w:hAnsiTheme="minorHAnsi" w:cstheme="minorHAnsi"/>
              </w:rPr>
            </w:pPr>
          </w:p>
        </w:tc>
      </w:tr>
      <w:tr w:rsidRPr="009E3B90" w:rsidR="00F51298" w:rsidTr="008F6417" w14:paraId="7706F012" w14:textId="77777777">
        <w:trPr>
          <w:trHeight w:val="620"/>
        </w:trPr>
        <w:tc>
          <w:tcPr>
            <w:tcW w:w="2425" w:type="dxa"/>
            <w:shd w:val="clear" w:color="auto" w:fill="BFBFBF"/>
            <w:vAlign w:val="center"/>
          </w:tcPr>
          <w:p w:rsidRPr="00A717D6" w:rsidR="00F51298" w:rsidP="008F6417" w:rsidRDefault="00F51298" w14:paraId="4E4F33AF" w14:textId="77777777">
            <w:pPr>
              <w:jc w:val="center"/>
              <w:rPr>
                <w:rFonts w:asciiTheme="minorHAnsi" w:hAnsiTheme="minorHAnsi" w:cstheme="minorHAnsi"/>
                <w:b/>
              </w:rPr>
            </w:pPr>
            <w:r w:rsidRPr="00A717D6">
              <w:rPr>
                <w:rFonts w:asciiTheme="minorHAnsi" w:hAnsiTheme="minorHAnsi" w:cstheme="minorHAnsi"/>
                <w:b/>
              </w:rPr>
              <w:t>Support Providers</w:t>
            </w:r>
          </w:p>
          <w:p w:rsidRPr="009E3B90" w:rsidR="00F51298" w:rsidP="008F6417" w:rsidRDefault="00F51298" w14:paraId="4F7EA6E3" w14:textId="77777777">
            <w:pPr>
              <w:jc w:val="center"/>
              <w:rPr>
                <w:rFonts w:asciiTheme="minorHAnsi" w:hAnsiTheme="minorHAnsi" w:cstheme="minorHAnsi"/>
                <w:b/>
              </w:rPr>
            </w:pPr>
          </w:p>
        </w:tc>
        <w:tc>
          <w:tcPr>
            <w:tcW w:w="3893" w:type="dxa"/>
            <w:shd w:val="clear" w:color="auto" w:fill="BFBFBF"/>
            <w:vAlign w:val="center"/>
          </w:tcPr>
          <w:p w:rsidRPr="009E3B90" w:rsidR="00F51298" w:rsidP="008F6417" w:rsidRDefault="00F51298" w14:paraId="48D5409C" w14:textId="77777777">
            <w:pPr>
              <w:jc w:val="center"/>
              <w:rPr>
                <w:rFonts w:asciiTheme="minorHAnsi" w:hAnsiTheme="minorHAnsi" w:cstheme="minorHAnsi"/>
              </w:rPr>
            </w:pPr>
          </w:p>
          <w:p w:rsidRPr="009E3B90" w:rsidR="00F51298" w:rsidP="008F6417" w:rsidRDefault="007B4B97" w14:paraId="381C7AF6" w14:textId="68B691CC">
            <w:pPr>
              <w:jc w:val="center"/>
              <w:rPr>
                <w:rFonts w:asciiTheme="minorHAnsi" w:hAnsiTheme="minorHAnsi" w:cstheme="minorHAnsi"/>
              </w:rPr>
            </w:pPr>
            <w:r>
              <w:rPr>
                <w:rFonts w:asciiTheme="minorHAnsi" w:hAnsiTheme="minorHAnsi" w:cstheme="minorHAnsi"/>
              </w:rPr>
              <w:t>10</w:t>
            </w:r>
            <w:r w:rsidRPr="009E3B90">
              <w:rPr>
                <w:rFonts w:asciiTheme="minorHAnsi" w:hAnsiTheme="minorHAnsi" w:cstheme="minorHAnsi"/>
              </w:rPr>
              <w:t xml:space="preserve"> </w:t>
            </w:r>
            <w:r w:rsidRPr="009E3B90" w:rsidR="00F51298">
              <w:rPr>
                <w:rFonts w:asciiTheme="minorHAnsi" w:hAnsiTheme="minorHAnsi" w:cstheme="minorHAnsi"/>
              </w:rPr>
              <w:t>interview</w:t>
            </w:r>
            <w:r w:rsidR="00F51298">
              <w:rPr>
                <w:rFonts w:asciiTheme="minorHAnsi" w:hAnsiTheme="minorHAnsi" w:cstheme="minorHAnsi"/>
              </w:rPr>
              <w:t>s</w:t>
            </w:r>
          </w:p>
          <w:p w:rsidRPr="009E3B90" w:rsidR="00F51298" w:rsidP="008F6417" w:rsidRDefault="00F51298" w14:paraId="37A6047D" w14:textId="77777777">
            <w:pPr>
              <w:jc w:val="center"/>
              <w:rPr>
                <w:rFonts w:asciiTheme="minorHAnsi" w:hAnsiTheme="minorHAnsi" w:cstheme="minorHAnsi"/>
              </w:rPr>
            </w:pPr>
          </w:p>
        </w:tc>
      </w:tr>
      <w:tr w:rsidRPr="009E3B90" w:rsidR="00F51298" w:rsidTr="008F6417" w14:paraId="7426E576" w14:textId="77777777">
        <w:trPr>
          <w:trHeight w:val="620"/>
        </w:trPr>
        <w:tc>
          <w:tcPr>
            <w:tcW w:w="2425" w:type="dxa"/>
            <w:shd w:val="clear" w:color="auto" w:fill="BFBFBF"/>
            <w:vAlign w:val="center"/>
          </w:tcPr>
          <w:p w:rsidRPr="009E3B90" w:rsidR="00F51298" w:rsidP="008F6417" w:rsidRDefault="00F51298" w14:paraId="6034D960" w14:textId="77777777">
            <w:pPr>
              <w:jc w:val="center"/>
              <w:rPr>
                <w:b/>
              </w:rPr>
            </w:pPr>
            <w:r w:rsidRPr="009E3B90">
              <w:rPr>
                <w:rFonts w:asciiTheme="minorHAnsi" w:hAnsiTheme="minorHAnsi" w:cstheme="minorHAnsi"/>
                <w:b/>
              </w:rPr>
              <w:t>STD Specialist</w:t>
            </w:r>
            <w:r>
              <w:rPr>
                <w:rFonts w:asciiTheme="minorHAnsi" w:hAnsiTheme="minorHAnsi" w:cstheme="minorHAnsi"/>
                <w:b/>
              </w:rPr>
              <w:t>s</w:t>
            </w:r>
          </w:p>
        </w:tc>
        <w:tc>
          <w:tcPr>
            <w:tcW w:w="3893" w:type="dxa"/>
            <w:shd w:val="clear" w:color="auto" w:fill="BFBFBF"/>
            <w:vAlign w:val="center"/>
          </w:tcPr>
          <w:p w:rsidRPr="009E3B90" w:rsidR="00F51298" w:rsidP="008F6417" w:rsidRDefault="007B4B97" w14:paraId="66841502" w14:textId="1E547063">
            <w:pPr>
              <w:jc w:val="center"/>
              <w:rPr>
                <w:rFonts w:asciiTheme="minorHAnsi" w:hAnsiTheme="minorHAnsi" w:cstheme="minorHAnsi"/>
              </w:rPr>
            </w:pPr>
            <w:r>
              <w:rPr>
                <w:rFonts w:asciiTheme="minorHAnsi" w:hAnsiTheme="minorHAnsi" w:cstheme="minorHAnsi"/>
              </w:rPr>
              <w:t>5</w:t>
            </w:r>
            <w:r w:rsidRPr="009E3B90">
              <w:rPr>
                <w:rFonts w:asciiTheme="minorHAnsi" w:hAnsiTheme="minorHAnsi" w:cstheme="minorHAnsi"/>
              </w:rPr>
              <w:t xml:space="preserve"> </w:t>
            </w:r>
            <w:r w:rsidRPr="009E3B90" w:rsidR="00F51298">
              <w:rPr>
                <w:rFonts w:asciiTheme="minorHAnsi" w:hAnsiTheme="minorHAnsi" w:cstheme="minorHAnsi"/>
              </w:rPr>
              <w:t>interview</w:t>
            </w:r>
            <w:r w:rsidR="00F51298">
              <w:rPr>
                <w:rFonts w:asciiTheme="minorHAnsi" w:hAnsiTheme="minorHAnsi" w:cstheme="minorHAnsi"/>
              </w:rPr>
              <w:t>s</w:t>
            </w:r>
          </w:p>
        </w:tc>
      </w:tr>
    </w:tbl>
    <w:p w:rsidR="00F51298" w:rsidP="00F51298" w:rsidRDefault="00F51298" w14:paraId="133DC3C0" w14:textId="77777777">
      <w:pPr>
        <w:rPr>
          <w:i/>
        </w:rPr>
      </w:pPr>
    </w:p>
    <w:p w:rsidR="00F51298" w:rsidP="00F51298" w:rsidRDefault="00F51298" w14:paraId="438B552C" w14:textId="77777777">
      <w:pPr>
        <w:rPr>
          <w:i/>
        </w:rPr>
      </w:pPr>
    </w:p>
    <w:p w:rsidRPr="00B400EA" w:rsidR="00F51298" w:rsidP="00F51298" w:rsidRDefault="008561DB" w14:paraId="1C0FAA68" w14:textId="1D059E4F">
      <w:pPr>
        <w:rPr>
          <w:i/>
        </w:rPr>
      </w:pPr>
      <w:r w:rsidRPr="00B400EA">
        <w:rPr>
          <w:i/>
        </w:rPr>
        <w:t>P</w:t>
      </w:r>
      <w:r w:rsidRPr="00B400EA" w:rsidR="00F51298">
        <w:rPr>
          <w:i/>
        </w:rPr>
        <w:t xml:space="preserve">ublic health professionals </w:t>
      </w:r>
    </w:p>
    <w:p w:rsidRPr="00B400EA" w:rsidR="00F51298" w:rsidP="00F51298" w:rsidRDefault="00F51298" w14:paraId="276FA860" w14:textId="77777777">
      <w:pPr>
        <w:spacing w:line="360" w:lineRule="auto"/>
      </w:pPr>
    </w:p>
    <w:p w:rsidR="00F51298" w:rsidP="00CD530A" w:rsidRDefault="00F51298" w14:paraId="045F38B1" w14:textId="42D03E91">
      <w:pPr>
        <w:spacing w:line="360" w:lineRule="auto"/>
      </w:pPr>
      <w:r w:rsidRPr="00B400EA">
        <w:t>To ensure that information is gathered from different types of public health professionals, respondents will be segmented by their role (STD directors, public health information officers</w:t>
      </w:r>
      <w:r w:rsidRPr="00B400EA" w:rsidR="00834949">
        <w:t>,</w:t>
      </w:r>
      <w:r w:rsidRPr="00B400EA">
        <w:t xml:space="preserve"> and advocates) and whether they work at the state or local level (although advocates may include those working at the</w:t>
      </w:r>
      <w:r>
        <w:t xml:space="preserve"> national level as well). </w:t>
      </w:r>
      <w:r w:rsidRPr="005F7F17">
        <w:t xml:space="preserve">“STD </w:t>
      </w:r>
      <w:r>
        <w:t>d</w:t>
      </w:r>
      <w:r w:rsidRPr="005F7F17">
        <w:t xml:space="preserve">irectors” are those </w:t>
      </w:r>
      <w:r w:rsidR="00587B5E">
        <w:t>in a</w:t>
      </w:r>
      <w:r w:rsidRPr="005F7F17" w:rsidR="00587B5E">
        <w:t xml:space="preserve"> </w:t>
      </w:r>
      <w:r w:rsidRPr="005F7F17">
        <w:t>lead</w:t>
      </w:r>
      <w:r w:rsidR="00587B5E">
        <w:t>ership position within</w:t>
      </w:r>
      <w:r w:rsidRPr="005F7F17">
        <w:t xml:space="preserve"> STD programs in state/territorial or local public health departments. “Public health information officers” are those in </w:t>
      </w:r>
      <w:r w:rsidRPr="005F7F17">
        <w:lastRenderedPageBreak/>
        <w:t>state/territorial or local public health departments who can implement public education campaigns and communication efforts that encourage STD prevention interventions. “Advocates” are those who work at national</w:t>
      </w:r>
      <w:r w:rsidR="00BA633A">
        <w:t>, state,</w:t>
      </w:r>
      <w:r w:rsidRPr="005F7F17">
        <w:t xml:space="preserve"> or local non-profit organizations with STD prevention, testing, or treatment within their mission, such as community health centers, LGBT advocacy groups, etc. </w:t>
      </w:r>
      <w:r w:rsidR="008561DB">
        <w:t xml:space="preserve">Table 3 presents the segmentation across all categories of public health professionals. </w:t>
      </w:r>
      <w:r>
        <w:t>Participants will also be screened to ensure a mix of urbanicity of their location, age, gender, and familiarity with the CDC DSTDP site</w:t>
      </w:r>
      <w:r w:rsidR="004B2D11">
        <w:t xml:space="preserve">.  </w:t>
      </w:r>
      <w:r w:rsidR="00A9671D">
        <w:t>We intend to recruit equal number of state and local public health professionals; however, we will screen for alternatives and collapse these categories if recruitment does not progress as expected.</w:t>
      </w:r>
    </w:p>
    <w:p w:rsidR="008561DB" w:rsidP="008561DB" w:rsidRDefault="008561DB" w14:paraId="4A252945" w14:textId="0EAD20A0">
      <w:pPr>
        <w:spacing w:line="360" w:lineRule="auto"/>
        <w:rPr>
          <w:sz w:val="26"/>
          <w:szCs w:val="26"/>
        </w:rPr>
      </w:pPr>
    </w:p>
    <w:p w:rsidRPr="00ED5386" w:rsidR="008561DB" w:rsidP="0037717E" w:rsidRDefault="008561DB" w14:paraId="22C94476" w14:textId="4AF35D40">
      <w:pPr>
        <w:spacing w:line="360" w:lineRule="auto"/>
      </w:pPr>
      <w:r>
        <w:t>To be included, public health professionals will self-report that their work</w:t>
      </w:r>
      <w:r w:rsidRPr="00A5042D">
        <w:t xml:space="preserve"> </w:t>
      </w:r>
      <w:r>
        <w:t xml:space="preserve">includes </w:t>
      </w:r>
      <w:r w:rsidRPr="00A5042D">
        <w:t>STD prevention, testing, or treatment</w:t>
      </w:r>
      <w:r>
        <w:t>, that they are</w:t>
      </w:r>
      <w:r w:rsidRPr="00A5042D">
        <w:t xml:space="preserve"> likely to use the internet to access the type of content and information found on the </w:t>
      </w:r>
      <w:r w:rsidR="001D0615">
        <w:t xml:space="preserve">CDC </w:t>
      </w:r>
      <w:r w:rsidRPr="00A5042D">
        <w:t>DSTDP website</w:t>
      </w:r>
      <w:r>
        <w:t xml:space="preserve">, and that they are </w:t>
      </w:r>
      <w:r w:rsidRPr="00A5042D">
        <w:t xml:space="preserve">able to access the </w:t>
      </w:r>
      <w:r w:rsidR="001D0615">
        <w:t xml:space="preserve">CDC </w:t>
      </w:r>
      <w:r w:rsidRPr="00A5042D">
        <w:t>DSTDP website on a computer.</w:t>
      </w:r>
    </w:p>
    <w:p w:rsidR="00F51298" w:rsidP="00F51298" w:rsidRDefault="00F51298" w14:paraId="540E9705" w14:textId="77777777">
      <w:pPr>
        <w:spacing w:line="360" w:lineRule="auto"/>
      </w:pPr>
    </w:p>
    <w:p w:rsidRPr="00FD6F20" w:rsidR="00F51298" w:rsidP="00F51298" w:rsidRDefault="00F51298" w14:paraId="4EC487E9" w14:textId="16E2F159">
      <w:pPr>
        <w:spacing w:line="360" w:lineRule="auto"/>
        <w:ind w:firstLine="720"/>
        <w:rPr>
          <w:b/>
        </w:rPr>
      </w:pPr>
      <w:r w:rsidRPr="00FD6F20">
        <w:rPr>
          <w:b/>
        </w:rPr>
        <w:t xml:space="preserve">Table </w:t>
      </w:r>
      <w:r w:rsidR="008561DB">
        <w:rPr>
          <w:b/>
        </w:rPr>
        <w:t>3</w:t>
      </w:r>
      <w:r w:rsidRPr="00FD6F20">
        <w:rPr>
          <w:b/>
        </w:rPr>
        <w:t xml:space="preserve">: Segmentation for </w:t>
      </w:r>
      <w:r>
        <w:rPr>
          <w:b/>
        </w:rPr>
        <w:t>P</w:t>
      </w:r>
      <w:r w:rsidRPr="00453877">
        <w:rPr>
          <w:b/>
        </w:rPr>
        <w:t xml:space="preserve">ublic </w:t>
      </w:r>
      <w:r>
        <w:rPr>
          <w:b/>
        </w:rPr>
        <w:t>H</w:t>
      </w:r>
      <w:r w:rsidRPr="00453877">
        <w:rPr>
          <w:b/>
        </w:rPr>
        <w:t xml:space="preserve">ealth </w:t>
      </w:r>
      <w:r>
        <w:rPr>
          <w:b/>
        </w:rPr>
        <w:t>P</w:t>
      </w:r>
      <w:r w:rsidRPr="00453877">
        <w:rPr>
          <w:b/>
        </w:rPr>
        <w:t xml:space="preserve">rofessionals </w:t>
      </w:r>
    </w:p>
    <w:tbl>
      <w:tblPr>
        <w:tblW w:w="8005"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29"/>
        <w:gridCol w:w="2788"/>
        <w:gridCol w:w="2788"/>
      </w:tblGrid>
      <w:tr w:rsidRPr="009E3B90" w:rsidR="00F51298" w:rsidTr="008F6417" w14:paraId="4A1F59B0" w14:textId="77777777">
        <w:tc>
          <w:tcPr>
            <w:tcW w:w="2429" w:type="dxa"/>
          </w:tcPr>
          <w:p w:rsidRPr="009E3B90" w:rsidR="00F51298" w:rsidP="008F6417" w:rsidRDefault="00F51298" w14:paraId="649EE177" w14:textId="77777777">
            <w:pPr>
              <w:jc w:val="center"/>
              <w:rPr>
                <w:rFonts w:asciiTheme="minorHAnsi" w:hAnsiTheme="minorHAnsi" w:cstheme="minorHAnsi"/>
                <w:b/>
              </w:rPr>
            </w:pPr>
            <w:r>
              <w:rPr>
                <w:rFonts w:asciiTheme="minorHAnsi" w:hAnsiTheme="minorHAnsi" w:cstheme="minorHAnsi"/>
                <w:b/>
              </w:rPr>
              <w:t>PUBLIC HEALTH ROLE</w:t>
            </w:r>
          </w:p>
        </w:tc>
        <w:tc>
          <w:tcPr>
            <w:tcW w:w="2788" w:type="dxa"/>
          </w:tcPr>
          <w:p w:rsidRPr="009E3B90" w:rsidR="00F51298" w:rsidP="008F6417" w:rsidRDefault="00F51298" w14:paraId="3E3C7AAE" w14:textId="77777777">
            <w:pPr>
              <w:jc w:val="center"/>
              <w:rPr>
                <w:rFonts w:asciiTheme="minorHAnsi" w:hAnsiTheme="minorHAnsi" w:cstheme="minorHAnsi"/>
                <w:b/>
              </w:rPr>
            </w:pPr>
            <w:r>
              <w:rPr>
                <w:rFonts w:asciiTheme="minorHAnsi" w:hAnsiTheme="minorHAnsi" w:cstheme="minorHAnsi"/>
                <w:b/>
              </w:rPr>
              <w:t>STATE</w:t>
            </w:r>
          </w:p>
        </w:tc>
        <w:tc>
          <w:tcPr>
            <w:tcW w:w="2788" w:type="dxa"/>
          </w:tcPr>
          <w:p w:rsidR="00F51298" w:rsidP="008F6417" w:rsidRDefault="00F51298" w14:paraId="313B46FE" w14:textId="77777777">
            <w:pPr>
              <w:jc w:val="center"/>
              <w:rPr>
                <w:rFonts w:asciiTheme="minorHAnsi" w:hAnsiTheme="minorHAnsi" w:cstheme="minorHAnsi"/>
                <w:b/>
              </w:rPr>
            </w:pPr>
            <w:r>
              <w:rPr>
                <w:rFonts w:asciiTheme="minorHAnsi" w:hAnsiTheme="minorHAnsi" w:cstheme="minorHAnsi"/>
                <w:b/>
              </w:rPr>
              <w:t>LOCAL</w:t>
            </w:r>
          </w:p>
        </w:tc>
      </w:tr>
      <w:tr w:rsidRPr="009E3B90" w:rsidR="00F51298" w:rsidTr="008F6417" w14:paraId="22CD806B" w14:textId="77777777">
        <w:trPr>
          <w:trHeight w:val="620"/>
        </w:trPr>
        <w:tc>
          <w:tcPr>
            <w:tcW w:w="2429" w:type="dxa"/>
            <w:shd w:val="clear" w:color="auto" w:fill="D9D9D9" w:themeFill="background1" w:themeFillShade="D9"/>
          </w:tcPr>
          <w:p w:rsidRPr="006F62EA" w:rsidR="00F51298" w:rsidP="008F6417" w:rsidRDefault="00F51298" w14:paraId="2FC07F7E" w14:textId="77777777">
            <w:pPr>
              <w:rPr>
                <w:rFonts w:asciiTheme="minorHAnsi" w:hAnsiTheme="minorHAnsi" w:cstheme="minorHAnsi"/>
                <w:b/>
              </w:rPr>
            </w:pPr>
            <w:r w:rsidRPr="006F62EA">
              <w:rPr>
                <w:rFonts w:asciiTheme="minorHAnsi" w:hAnsiTheme="minorHAnsi" w:cstheme="minorHAnsi"/>
                <w:b/>
              </w:rPr>
              <w:t xml:space="preserve">STD Directors </w:t>
            </w:r>
          </w:p>
          <w:p w:rsidRPr="009E3B90" w:rsidR="00F51298" w:rsidP="008F6417" w:rsidRDefault="00F51298" w14:paraId="06E7D45A" w14:textId="77777777">
            <w:pPr>
              <w:rPr>
                <w:rFonts w:asciiTheme="minorHAnsi" w:hAnsiTheme="minorHAnsi" w:cstheme="minorHAnsi"/>
                <w:b/>
              </w:rPr>
            </w:pPr>
          </w:p>
        </w:tc>
        <w:tc>
          <w:tcPr>
            <w:tcW w:w="2788" w:type="dxa"/>
            <w:shd w:val="clear" w:color="auto" w:fill="D9D9D9" w:themeFill="background1" w:themeFillShade="D9"/>
          </w:tcPr>
          <w:p w:rsidR="00F51298" w:rsidP="008F6417" w:rsidRDefault="00F51298" w14:paraId="06CA306E" w14:textId="77777777">
            <w:pPr>
              <w:jc w:val="center"/>
              <w:rPr>
                <w:rFonts w:asciiTheme="minorHAnsi" w:hAnsiTheme="minorHAnsi" w:cstheme="minorHAnsi"/>
              </w:rPr>
            </w:pPr>
          </w:p>
          <w:p w:rsidR="00F51298" w:rsidP="008F6417" w:rsidRDefault="00F51298" w14:paraId="15B09420" w14:textId="77777777">
            <w:pPr>
              <w:jc w:val="center"/>
              <w:rPr>
                <w:rFonts w:asciiTheme="minorHAnsi" w:hAnsiTheme="minorHAnsi" w:cstheme="minorHAnsi"/>
              </w:rPr>
            </w:pPr>
            <w:r>
              <w:rPr>
                <w:rFonts w:asciiTheme="minorHAnsi" w:hAnsiTheme="minorHAnsi" w:cstheme="minorHAnsi"/>
              </w:rPr>
              <w:t>3 interviews</w:t>
            </w:r>
          </w:p>
          <w:p w:rsidRPr="009E3B90" w:rsidR="00F51298" w:rsidP="008F6417" w:rsidRDefault="00F51298" w14:paraId="322F50E4" w14:textId="77777777">
            <w:pPr>
              <w:jc w:val="center"/>
              <w:rPr>
                <w:rFonts w:asciiTheme="minorHAnsi" w:hAnsiTheme="minorHAnsi" w:cstheme="minorHAnsi"/>
              </w:rPr>
            </w:pPr>
          </w:p>
        </w:tc>
        <w:tc>
          <w:tcPr>
            <w:tcW w:w="2788" w:type="dxa"/>
            <w:shd w:val="clear" w:color="auto" w:fill="D9D9D9" w:themeFill="background1" w:themeFillShade="D9"/>
          </w:tcPr>
          <w:p w:rsidR="00F51298" w:rsidP="008F6417" w:rsidRDefault="00F51298" w14:paraId="5C3EF652" w14:textId="77777777">
            <w:pPr>
              <w:jc w:val="center"/>
              <w:rPr>
                <w:rFonts w:asciiTheme="minorHAnsi" w:hAnsiTheme="minorHAnsi" w:cstheme="minorHAnsi"/>
              </w:rPr>
            </w:pPr>
          </w:p>
          <w:p w:rsidR="00F51298" w:rsidP="008F6417" w:rsidRDefault="00F51298" w14:paraId="767C8A2B" w14:textId="77777777">
            <w:pPr>
              <w:jc w:val="center"/>
              <w:rPr>
                <w:rFonts w:asciiTheme="minorHAnsi" w:hAnsiTheme="minorHAnsi" w:cstheme="minorHAnsi"/>
              </w:rPr>
            </w:pPr>
            <w:r>
              <w:rPr>
                <w:rFonts w:asciiTheme="minorHAnsi" w:hAnsiTheme="minorHAnsi" w:cstheme="minorHAnsi"/>
              </w:rPr>
              <w:t>3 interviews</w:t>
            </w:r>
          </w:p>
        </w:tc>
      </w:tr>
      <w:tr w:rsidRPr="009E3B90" w:rsidR="00F51298" w:rsidTr="008F6417" w14:paraId="690F77A1" w14:textId="77777777">
        <w:trPr>
          <w:trHeight w:val="620"/>
        </w:trPr>
        <w:tc>
          <w:tcPr>
            <w:tcW w:w="2429" w:type="dxa"/>
            <w:shd w:val="clear" w:color="auto" w:fill="D9D9D9" w:themeFill="background1" w:themeFillShade="D9"/>
          </w:tcPr>
          <w:p w:rsidRPr="006F62EA" w:rsidR="00F51298" w:rsidP="008F6417" w:rsidRDefault="00F51298" w14:paraId="40C458D2" w14:textId="77777777">
            <w:pPr>
              <w:autoSpaceDE w:val="0"/>
              <w:autoSpaceDN w:val="0"/>
              <w:adjustRightInd w:val="0"/>
              <w:rPr>
                <w:rFonts w:asciiTheme="minorHAnsi" w:hAnsiTheme="minorHAnsi" w:cstheme="minorHAnsi"/>
                <w:b/>
              </w:rPr>
            </w:pPr>
            <w:r>
              <w:rPr>
                <w:rFonts w:asciiTheme="minorHAnsi" w:hAnsiTheme="minorHAnsi" w:cstheme="minorHAnsi"/>
                <w:b/>
              </w:rPr>
              <w:t>Public Health Information Officers</w:t>
            </w:r>
          </w:p>
        </w:tc>
        <w:tc>
          <w:tcPr>
            <w:tcW w:w="2788" w:type="dxa"/>
            <w:shd w:val="clear" w:color="auto" w:fill="D9D9D9" w:themeFill="background1" w:themeFillShade="D9"/>
          </w:tcPr>
          <w:p w:rsidR="00F51298" w:rsidP="008F6417" w:rsidRDefault="00F51298" w14:paraId="479042DC" w14:textId="77777777">
            <w:pPr>
              <w:jc w:val="center"/>
              <w:rPr>
                <w:rFonts w:asciiTheme="minorHAnsi" w:hAnsiTheme="minorHAnsi" w:cstheme="minorHAnsi"/>
              </w:rPr>
            </w:pPr>
          </w:p>
          <w:p w:rsidR="00F51298" w:rsidP="008F6417" w:rsidRDefault="00F51298" w14:paraId="0461D235" w14:textId="77777777">
            <w:pPr>
              <w:jc w:val="center"/>
              <w:rPr>
                <w:rFonts w:asciiTheme="minorHAnsi" w:hAnsiTheme="minorHAnsi" w:cstheme="minorHAnsi"/>
              </w:rPr>
            </w:pPr>
            <w:r>
              <w:rPr>
                <w:rFonts w:asciiTheme="minorHAnsi" w:hAnsiTheme="minorHAnsi" w:cstheme="minorHAnsi"/>
              </w:rPr>
              <w:t>3 interviews</w:t>
            </w:r>
          </w:p>
          <w:p w:rsidRPr="009E3B90" w:rsidR="00F51298" w:rsidP="008F6417" w:rsidRDefault="00F51298" w14:paraId="37C9FE64" w14:textId="77777777">
            <w:pPr>
              <w:jc w:val="center"/>
              <w:rPr>
                <w:rFonts w:asciiTheme="minorHAnsi" w:hAnsiTheme="minorHAnsi" w:cstheme="minorHAnsi"/>
              </w:rPr>
            </w:pPr>
          </w:p>
        </w:tc>
        <w:tc>
          <w:tcPr>
            <w:tcW w:w="2788" w:type="dxa"/>
            <w:shd w:val="clear" w:color="auto" w:fill="D9D9D9" w:themeFill="background1" w:themeFillShade="D9"/>
          </w:tcPr>
          <w:p w:rsidR="00F51298" w:rsidP="008F6417" w:rsidRDefault="00F51298" w14:paraId="5B311293" w14:textId="77777777">
            <w:pPr>
              <w:jc w:val="center"/>
              <w:rPr>
                <w:rFonts w:asciiTheme="minorHAnsi" w:hAnsiTheme="minorHAnsi" w:cstheme="minorHAnsi"/>
              </w:rPr>
            </w:pPr>
          </w:p>
          <w:p w:rsidR="00F51298" w:rsidP="008F6417" w:rsidRDefault="00F51298" w14:paraId="04A27FDA" w14:textId="77777777">
            <w:pPr>
              <w:jc w:val="center"/>
              <w:rPr>
                <w:rFonts w:asciiTheme="minorHAnsi" w:hAnsiTheme="minorHAnsi" w:cstheme="minorHAnsi"/>
              </w:rPr>
            </w:pPr>
            <w:r>
              <w:rPr>
                <w:rFonts w:asciiTheme="minorHAnsi" w:hAnsiTheme="minorHAnsi" w:cstheme="minorHAnsi"/>
              </w:rPr>
              <w:t>3 interviews</w:t>
            </w:r>
          </w:p>
        </w:tc>
      </w:tr>
      <w:tr w:rsidRPr="009E3B90" w:rsidR="00F51298" w:rsidTr="008F6417" w14:paraId="6D524BC6" w14:textId="77777777">
        <w:trPr>
          <w:trHeight w:val="620"/>
        </w:trPr>
        <w:tc>
          <w:tcPr>
            <w:tcW w:w="2429" w:type="dxa"/>
            <w:shd w:val="clear" w:color="auto" w:fill="D9D9D9" w:themeFill="background1" w:themeFillShade="D9"/>
          </w:tcPr>
          <w:p w:rsidRPr="006F62EA" w:rsidR="00F51298" w:rsidP="008F6417" w:rsidRDefault="00F51298" w14:paraId="116D467D" w14:textId="77777777">
            <w:pPr>
              <w:rPr>
                <w:rFonts w:asciiTheme="minorHAnsi" w:hAnsiTheme="minorHAnsi" w:cstheme="minorHAnsi"/>
                <w:b/>
              </w:rPr>
            </w:pPr>
            <w:r>
              <w:rPr>
                <w:rFonts w:asciiTheme="minorHAnsi" w:hAnsiTheme="minorHAnsi" w:cstheme="minorHAnsi"/>
                <w:b/>
              </w:rPr>
              <w:t>Advocates</w:t>
            </w:r>
          </w:p>
        </w:tc>
        <w:tc>
          <w:tcPr>
            <w:tcW w:w="5576" w:type="dxa"/>
            <w:gridSpan w:val="2"/>
            <w:shd w:val="clear" w:color="auto" w:fill="D9D9D9" w:themeFill="background1" w:themeFillShade="D9"/>
          </w:tcPr>
          <w:p w:rsidR="00F51298" w:rsidP="008F6417" w:rsidRDefault="00F51298" w14:paraId="2835EB93" w14:textId="77777777">
            <w:pPr>
              <w:jc w:val="center"/>
              <w:rPr>
                <w:rFonts w:asciiTheme="minorHAnsi" w:hAnsiTheme="minorHAnsi" w:cstheme="minorHAnsi"/>
              </w:rPr>
            </w:pPr>
          </w:p>
          <w:p w:rsidR="00F51298" w:rsidP="008F6417" w:rsidRDefault="00F51298" w14:paraId="379B28CA" w14:textId="77777777">
            <w:pPr>
              <w:jc w:val="center"/>
              <w:rPr>
                <w:rFonts w:asciiTheme="minorHAnsi" w:hAnsiTheme="minorHAnsi" w:cstheme="minorHAnsi"/>
              </w:rPr>
            </w:pPr>
            <w:r>
              <w:rPr>
                <w:rFonts w:asciiTheme="minorHAnsi" w:hAnsiTheme="minorHAnsi" w:cstheme="minorHAnsi"/>
              </w:rPr>
              <w:t>3 interviews</w:t>
            </w:r>
          </w:p>
          <w:p w:rsidR="00F51298" w:rsidP="008F6417" w:rsidRDefault="00F51298" w14:paraId="5678A4AC" w14:textId="77777777">
            <w:pPr>
              <w:jc w:val="center"/>
              <w:rPr>
                <w:rFonts w:asciiTheme="minorHAnsi" w:hAnsiTheme="minorHAnsi" w:cstheme="minorHAnsi"/>
              </w:rPr>
            </w:pPr>
          </w:p>
        </w:tc>
      </w:tr>
    </w:tbl>
    <w:p w:rsidR="00F51298" w:rsidP="002C4C81" w:rsidRDefault="00F51298" w14:paraId="59D3F5D0" w14:textId="338A07E7">
      <w:pPr>
        <w:spacing w:line="360" w:lineRule="auto"/>
      </w:pPr>
    </w:p>
    <w:p w:rsidRPr="00B400EA" w:rsidR="002C4C81" w:rsidP="002C4C81" w:rsidRDefault="002C4C81" w14:paraId="472D5938" w14:textId="77777777">
      <w:pPr>
        <w:pStyle w:val="Heading1"/>
        <w:numPr>
          <w:ilvl w:val="0"/>
          <w:numId w:val="4"/>
        </w:numPr>
      </w:pPr>
      <w:bookmarkStart w:name="_Toc507599919" w:id="5"/>
      <w:bookmarkStart w:name="_Toc26954504" w:id="6"/>
      <w:r w:rsidRPr="00BB6466">
        <w:t xml:space="preserve">Procedures for </w:t>
      </w:r>
      <w:r w:rsidRPr="00B400EA">
        <w:t>the Collection of Information</w:t>
      </w:r>
      <w:bookmarkEnd w:id="5"/>
      <w:bookmarkEnd w:id="6"/>
    </w:p>
    <w:p w:rsidRPr="00B400EA" w:rsidR="002C4C81" w:rsidP="002C4C81" w:rsidRDefault="002C4C81" w14:paraId="31C49761" w14:textId="77777777"/>
    <w:p w:rsidRPr="00B400EA" w:rsidR="007C6A8E" w:rsidP="007C6A8E" w:rsidRDefault="002C4C81" w14:paraId="73ADFA5D" w14:textId="477F50A8">
      <w:pPr>
        <w:spacing w:line="360" w:lineRule="auto"/>
      </w:pPr>
      <w:r w:rsidRPr="00B400EA">
        <w:t xml:space="preserve">All data collection activities will be conducted by the appointed </w:t>
      </w:r>
      <w:r w:rsidR="000B1CB0">
        <w:t>evaluation</w:t>
      </w:r>
      <w:r w:rsidRPr="00B400EA" w:rsidR="000B1CB0">
        <w:t xml:space="preserve"> </w:t>
      </w:r>
      <w:r w:rsidRPr="00B400EA">
        <w:t>team</w:t>
      </w:r>
      <w:r w:rsidRPr="00B400EA" w:rsidR="00B325A2">
        <w:t>.</w:t>
      </w:r>
      <w:r w:rsidRPr="00B400EA">
        <w:t xml:space="preserve"> </w:t>
      </w:r>
      <w:r w:rsidRPr="00B400EA" w:rsidR="008561DB">
        <w:t xml:space="preserve">As is depicted in Tables 1-3 above, we </w:t>
      </w:r>
      <w:r w:rsidRPr="00B400EA" w:rsidR="001C5789">
        <w:t xml:space="preserve">propose to conduct </w:t>
      </w:r>
      <w:r w:rsidRPr="000B1CB0" w:rsidR="008561DB">
        <w:t xml:space="preserve">18 </w:t>
      </w:r>
      <w:r w:rsidRPr="000B1CB0" w:rsidR="001C5789">
        <w:t xml:space="preserve">telephone </w:t>
      </w:r>
      <w:r w:rsidRPr="000B1CB0" w:rsidR="008561DB">
        <w:t>in-depth interviews</w:t>
      </w:r>
      <w:r w:rsidRPr="000B1CB0" w:rsidR="001C5789">
        <w:t xml:space="preserve"> with </w:t>
      </w:r>
      <w:r w:rsidRPr="000B1CB0" w:rsidR="00002342">
        <w:t xml:space="preserve">members of </w:t>
      </w:r>
      <w:r w:rsidRPr="000B1CB0" w:rsidR="008561DB">
        <w:t>adult</w:t>
      </w:r>
      <w:r w:rsidRPr="000B1CB0" w:rsidR="00002342">
        <w:t xml:space="preserve"> populations disproportionately affected by STDs</w:t>
      </w:r>
      <w:r w:rsidRPr="000B1CB0" w:rsidR="008561DB">
        <w:t xml:space="preserve">, </w:t>
      </w:r>
      <w:r w:rsidRPr="000B1CB0" w:rsidR="007B4B97">
        <w:t xml:space="preserve">25 </w:t>
      </w:r>
      <w:r w:rsidRPr="000B1CB0" w:rsidR="008561DB">
        <w:t>telephone in-depth interviews with healthcare providers</w:t>
      </w:r>
      <w:r w:rsidRPr="000B1CB0" w:rsidR="00834949">
        <w:t>,</w:t>
      </w:r>
      <w:r w:rsidRPr="000B1CB0" w:rsidR="008561DB">
        <w:t xml:space="preserve"> and 15 telephone in-depth interviews with public health professionals</w:t>
      </w:r>
      <w:r w:rsidRPr="000B1CB0" w:rsidR="001C5789">
        <w:t>.</w:t>
      </w:r>
      <w:r w:rsidRPr="00B400EA" w:rsidR="001C5789">
        <w:t xml:space="preserve"> </w:t>
      </w:r>
      <w:r w:rsidRPr="00B400EA">
        <w:t xml:space="preserve">Interviews </w:t>
      </w:r>
      <w:r w:rsidRPr="00B400EA" w:rsidR="00CB537E">
        <w:t>with adults</w:t>
      </w:r>
      <w:r w:rsidRPr="00B400EA" w:rsidR="007C6A8E">
        <w:t xml:space="preserve"> and public health professionals </w:t>
      </w:r>
      <w:r w:rsidRPr="00B400EA">
        <w:t xml:space="preserve">will </w:t>
      </w:r>
      <w:r w:rsidRPr="00B400EA" w:rsidR="007032E6">
        <w:t>gather information on why and how each of these</w:t>
      </w:r>
      <w:r w:rsidR="007032E6">
        <w:t xml:space="preserve"> three respondent groups need and use websites to gather information on STDs, feedback on the </w:t>
      </w:r>
      <w:r w:rsidRPr="00052923" w:rsidR="007032E6">
        <w:t>content</w:t>
      </w:r>
      <w:r w:rsidR="007032E6">
        <w:t xml:space="preserve"> and resources available on the CDC DSTDP website</w:t>
      </w:r>
      <w:r w:rsidR="00834949">
        <w:t>,</w:t>
      </w:r>
      <w:r w:rsidR="007032E6">
        <w:t xml:space="preserve"> and feedback on the architecture of the site and on the ease with </w:t>
      </w:r>
      <w:r w:rsidR="007032E6">
        <w:lastRenderedPageBreak/>
        <w:t xml:space="preserve">which users are able to navigate through it. Respondents will be asked about their need for and use </w:t>
      </w:r>
      <w:r w:rsidRPr="00B400EA" w:rsidR="007032E6">
        <w:t xml:space="preserve">of CDC’s DSTDP website and other similar sites and also about the content and their feedback on the website. </w:t>
      </w:r>
    </w:p>
    <w:p w:rsidRPr="00B400EA" w:rsidR="00834949" w:rsidP="007C6A8E" w:rsidRDefault="00834949" w14:paraId="013FE27F" w14:textId="77777777">
      <w:pPr>
        <w:spacing w:line="360" w:lineRule="auto"/>
      </w:pPr>
    </w:p>
    <w:p w:rsidRPr="00B400EA" w:rsidR="007C6A8E" w:rsidP="007C6A8E" w:rsidRDefault="007C6A8E" w14:paraId="269905CE" w14:textId="375DCC8F">
      <w:pPr>
        <w:spacing w:line="360" w:lineRule="auto"/>
      </w:pPr>
      <w:r w:rsidRPr="00B400EA">
        <w:t>As stated above, to limit the time required for any one healthcare provider to no more than 30 minutes, the full set of questions has been divided into two separate guides. One group of providers (15 people) will respond to questions about their need for and use of the CDC DTSTP website and will conduct a card sort activity to capture how they would categorize the website’s information. Another group (</w:t>
      </w:r>
      <w:r w:rsidRPr="00B400EA" w:rsidR="007B4B97">
        <w:t xml:space="preserve">10 </w:t>
      </w:r>
      <w:r w:rsidRPr="00B400EA">
        <w:t xml:space="preserve">people) will focus on site exploration, specified tasks, and impressions of the site. </w:t>
      </w:r>
    </w:p>
    <w:p w:rsidRPr="00B400EA" w:rsidR="007032E6" w:rsidP="008561DB" w:rsidRDefault="007032E6" w14:paraId="2749E8A1" w14:textId="11FDC64F">
      <w:pPr>
        <w:spacing w:line="360" w:lineRule="auto"/>
      </w:pPr>
    </w:p>
    <w:p w:rsidR="007032E6" w:rsidP="008561DB" w:rsidRDefault="007C6A8E" w14:paraId="60602C73" w14:textId="18B70414">
      <w:pPr>
        <w:spacing w:line="360" w:lineRule="auto"/>
      </w:pPr>
      <w:r w:rsidRPr="00B400EA">
        <w:t>I</w:t>
      </w:r>
      <w:r w:rsidRPr="00B400EA" w:rsidR="007032E6">
        <w:t xml:space="preserve">nformation will be collected using standard open-ended questions along with two specific activities </w:t>
      </w:r>
      <w:r w:rsidRPr="00B400EA" w:rsidR="0037717E">
        <w:t xml:space="preserve">(scenarios and card sorting) </w:t>
      </w:r>
      <w:r w:rsidRPr="00B400EA" w:rsidR="007032E6">
        <w:t>that will allow</w:t>
      </w:r>
      <w:r w:rsidR="00974F6D">
        <w:t xml:space="preserve"> the evaluation team</w:t>
      </w:r>
      <w:r w:rsidRPr="00B400EA" w:rsidR="007032E6">
        <w:t xml:space="preserve"> to better understand the respondents’ interaction with the site </w:t>
      </w:r>
      <w:r w:rsidRPr="00B400EA" w:rsidR="0037717E">
        <w:t>as well as how they would expect information on the site to be organized. To understand their user experience</w:t>
      </w:r>
      <w:r w:rsidR="00974F6D">
        <w:t>,</w:t>
      </w:r>
      <w:r w:rsidRPr="00B400EA" w:rsidR="0037717E">
        <w:t xml:space="preserve"> </w:t>
      </w:r>
      <w:r w:rsidR="00974F6D">
        <w:t xml:space="preserve">the evaluation team </w:t>
      </w:r>
      <w:r w:rsidRPr="00B400EA" w:rsidR="0037717E">
        <w:t>will provide scenarios to participants</w:t>
      </w:r>
      <w:r w:rsidRPr="007032E6" w:rsidR="0037717E">
        <w:t xml:space="preserve"> to learn how they use (or would use) the website and to receive feedback on content. </w:t>
      </w:r>
      <w:r w:rsidR="0037717E">
        <w:t>Open</w:t>
      </w:r>
      <w:r w:rsidRPr="007032E6" w:rsidR="0037717E">
        <w:t xml:space="preserve">-ended initial scenarios </w:t>
      </w:r>
      <w:r w:rsidR="0037717E">
        <w:t xml:space="preserve">are used </w:t>
      </w:r>
      <w:r w:rsidRPr="007032E6" w:rsidR="0037717E">
        <w:t>to encourage free exploration (e.g., “What would you do first if you arrived on this website?”)</w:t>
      </w:r>
      <w:r w:rsidR="00900016">
        <w:t xml:space="preserve"> and some more general scenarios are used to see how individuals approach common tasks (“Please s</w:t>
      </w:r>
      <w:r w:rsidRPr="00900016" w:rsidR="00900016">
        <w:t>how me how you would find fact sheets about STDs to share with your patients</w:t>
      </w:r>
      <w:r w:rsidR="00900016">
        <w:t>”).</w:t>
      </w:r>
      <w:r w:rsidRPr="00900016" w:rsidR="00900016">
        <w:t xml:space="preserve"> </w:t>
      </w:r>
      <w:r w:rsidR="00900016">
        <w:t>If time permits, an optional set of s</w:t>
      </w:r>
      <w:r w:rsidRPr="007032E6" w:rsidR="00900016">
        <w:t xml:space="preserve">cenarios </w:t>
      </w:r>
      <w:r w:rsidR="00900016">
        <w:t xml:space="preserve">will be included that are specifically selected for each of the different respondent groups and </w:t>
      </w:r>
      <w:r w:rsidRPr="007032E6" w:rsidR="00900016">
        <w:t>focus on gaining insight on the existing site architecture and determining which content is most valuable.</w:t>
      </w:r>
    </w:p>
    <w:p w:rsidR="00900016" w:rsidP="008561DB" w:rsidRDefault="00900016" w14:paraId="743814DD" w14:textId="77777777">
      <w:pPr>
        <w:spacing w:line="360" w:lineRule="auto"/>
      </w:pPr>
    </w:p>
    <w:p w:rsidRPr="00B400EA" w:rsidR="007032E6" w:rsidP="007032E6" w:rsidRDefault="0037717E" w14:paraId="2EB7F95B" w14:textId="76F75CA1">
      <w:pPr>
        <w:spacing w:line="360" w:lineRule="auto"/>
      </w:pPr>
      <w:r>
        <w:t xml:space="preserve">A card sort activity is included to </w:t>
      </w:r>
      <w:r w:rsidRPr="007032E6" w:rsidR="007032E6">
        <w:t xml:space="preserve">explore how participants think about and mentally organize the type of information the </w:t>
      </w:r>
      <w:r w:rsidR="001D0615">
        <w:t xml:space="preserve">CDC </w:t>
      </w:r>
      <w:r w:rsidRPr="007032E6" w:rsidR="007032E6">
        <w:t xml:space="preserve">DSTDP site provides. </w:t>
      </w:r>
      <w:r w:rsidR="009F0657">
        <w:t xml:space="preserve">Participants will be </w:t>
      </w:r>
      <w:r w:rsidRPr="007032E6" w:rsidR="007032E6">
        <w:t>ask</w:t>
      </w:r>
      <w:r w:rsidR="009F0657">
        <w:t>ed</w:t>
      </w:r>
      <w:r w:rsidRPr="007032E6" w:rsidR="007032E6">
        <w:t xml:space="preserve"> to sort online “</w:t>
      </w:r>
      <w:r w:rsidRPr="007032E6" w:rsidR="00CB537E">
        <w:t>cards”</w:t>
      </w:r>
      <w:r w:rsidR="00CB537E">
        <w:t xml:space="preserve"> (</w:t>
      </w:r>
      <w:r w:rsidR="00900016">
        <w:t>topics)</w:t>
      </w:r>
      <w:r w:rsidRPr="007032E6" w:rsidR="007032E6">
        <w:t xml:space="preserve"> </w:t>
      </w:r>
      <w:r w:rsidRPr="00B400EA" w:rsidR="007032E6">
        <w:t>into groups that are most intuitive to them</w:t>
      </w:r>
      <w:r w:rsidRPr="00B400EA">
        <w:t xml:space="preserve"> using</w:t>
      </w:r>
      <w:r w:rsidRPr="00B400EA" w:rsidR="007032E6">
        <w:t xml:space="preserve"> an online card sorting tool (e.g., </w:t>
      </w:r>
      <w:proofErr w:type="spellStart"/>
      <w:r w:rsidRPr="00B400EA" w:rsidR="007032E6">
        <w:t>OptimalSort</w:t>
      </w:r>
      <w:proofErr w:type="spellEnd"/>
      <w:r w:rsidRPr="00B400EA" w:rsidR="007032E6">
        <w:t xml:space="preserve">), which will provide the most efficient data collection and analysis process. </w:t>
      </w:r>
      <w:r w:rsidRPr="00B400EA">
        <w:t>Respondents</w:t>
      </w:r>
      <w:r w:rsidRPr="00B400EA" w:rsidR="007032E6">
        <w:t xml:space="preserve"> will label the groupings of cards they’ve created</w:t>
      </w:r>
      <w:r w:rsidRPr="00B400EA">
        <w:t>.</w:t>
      </w:r>
      <w:r w:rsidRPr="00B400EA" w:rsidR="007032E6">
        <w:t xml:space="preserve"> </w:t>
      </w:r>
    </w:p>
    <w:p w:rsidRPr="00B400EA" w:rsidR="0037717E" w:rsidP="002C4C81" w:rsidRDefault="0037717E" w14:paraId="04D249E3" w14:textId="77777777">
      <w:pPr>
        <w:spacing w:line="360" w:lineRule="auto"/>
      </w:pPr>
    </w:p>
    <w:p w:rsidRPr="00B400EA" w:rsidR="002C4C81" w:rsidP="002C4C81" w:rsidRDefault="002C4C81" w14:paraId="1E6F5EE0" w14:textId="5F9F39CB">
      <w:pPr>
        <w:pStyle w:val="NormalWeb"/>
        <w:spacing w:before="0" w:beforeAutospacing="0" w:after="0" w:afterAutospacing="0" w:line="360" w:lineRule="auto"/>
        <w:rPr>
          <w:szCs w:val="20"/>
        </w:rPr>
      </w:pPr>
      <w:r w:rsidRPr="00B400EA">
        <w:rPr>
          <w:szCs w:val="20"/>
        </w:rPr>
        <w:t>Only individuals 18 years and old</w:t>
      </w:r>
      <w:r w:rsidRPr="00B400EA" w:rsidR="003E76C0">
        <w:rPr>
          <w:szCs w:val="20"/>
        </w:rPr>
        <w:t>er</w:t>
      </w:r>
      <w:r w:rsidRPr="00B400EA">
        <w:rPr>
          <w:szCs w:val="20"/>
        </w:rPr>
        <w:t xml:space="preserve"> will be involved in the proposed </w:t>
      </w:r>
      <w:r w:rsidR="00A43F4E">
        <w:rPr>
          <w:szCs w:val="20"/>
        </w:rPr>
        <w:t>evaluation</w:t>
      </w:r>
      <w:r w:rsidRPr="00B400EA">
        <w:rPr>
          <w:szCs w:val="20"/>
        </w:rPr>
        <w:t xml:space="preserve">. Written consent will be obtained for </w:t>
      </w:r>
      <w:r w:rsidRPr="00B400EA" w:rsidR="008C6726">
        <w:rPr>
          <w:szCs w:val="20"/>
        </w:rPr>
        <w:t xml:space="preserve">all participants when confirming their participation in the </w:t>
      </w:r>
      <w:r w:rsidR="00974F6D">
        <w:rPr>
          <w:szCs w:val="20"/>
        </w:rPr>
        <w:t>evaluation</w:t>
      </w:r>
      <w:r w:rsidRPr="00B400EA">
        <w:rPr>
          <w:szCs w:val="20"/>
        </w:rPr>
        <w:t xml:space="preserve">. </w:t>
      </w:r>
      <w:r w:rsidRPr="00B400EA" w:rsidR="008C6726">
        <w:rPr>
          <w:szCs w:val="20"/>
        </w:rPr>
        <w:t xml:space="preserve">Consent forms will be written in </w:t>
      </w:r>
      <w:r w:rsidRPr="00B400EA" w:rsidR="00814E37">
        <w:rPr>
          <w:szCs w:val="20"/>
        </w:rPr>
        <w:t xml:space="preserve">plain </w:t>
      </w:r>
      <w:r w:rsidRPr="00B400EA" w:rsidR="008C6726">
        <w:rPr>
          <w:szCs w:val="20"/>
        </w:rPr>
        <w:t xml:space="preserve">language. Details </w:t>
      </w:r>
      <w:r w:rsidR="00974F6D">
        <w:rPr>
          <w:szCs w:val="20"/>
        </w:rPr>
        <w:t xml:space="preserve">about </w:t>
      </w:r>
      <w:r w:rsidRPr="00B400EA" w:rsidR="008C6726">
        <w:rPr>
          <w:szCs w:val="20"/>
        </w:rPr>
        <w:t>participatin</w:t>
      </w:r>
      <w:r w:rsidR="00974F6D">
        <w:rPr>
          <w:szCs w:val="20"/>
        </w:rPr>
        <w:t>g in the evaluation</w:t>
      </w:r>
      <w:r w:rsidRPr="00B400EA" w:rsidR="008C6726">
        <w:rPr>
          <w:szCs w:val="20"/>
        </w:rPr>
        <w:t xml:space="preserve"> will be described in the consent form and explained verbally. A copy of the consent form will be provided to all participants and include </w:t>
      </w:r>
      <w:r w:rsidRPr="00B400EA" w:rsidR="008C6726">
        <w:rPr>
          <w:szCs w:val="20"/>
        </w:rPr>
        <w:lastRenderedPageBreak/>
        <w:t xml:space="preserve">telephone numbers </w:t>
      </w:r>
      <w:r w:rsidR="00974F6D">
        <w:rPr>
          <w:szCs w:val="20"/>
        </w:rPr>
        <w:t>of the evaluation staff</w:t>
      </w:r>
      <w:r w:rsidRPr="00B400EA" w:rsidR="0011131A">
        <w:rPr>
          <w:szCs w:val="20"/>
        </w:rPr>
        <w:t xml:space="preserve">, who </w:t>
      </w:r>
      <w:r w:rsidRPr="00B400EA" w:rsidR="008C6726">
        <w:rPr>
          <w:szCs w:val="20"/>
        </w:rPr>
        <w:t xml:space="preserve">participants can call with questions or concerns. </w:t>
      </w:r>
      <w:r w:rsidRPr="00B400EA" w:rsidR="00C40395">
        <w:rPr>
          <w:szCs w:val="20"/>
        </w:rPr>
        <w:t xml:space="preserve">Only qualified personnel will consent </w:t>
      </w:r>
      <w:r w:rsidR="00974F6D">
        <w:rPr>
          <w:szCs w:val="20"/>
        </w:rPr>
        <w:t>participants</w:t>
      </w:r>
      <w:r w:rsidRPr="00B400EA" w:rsidR="00C40395">
        <w:rPr>
          <w:szCs w:val="20"/>
        </w:rPr>
        <w:t xml:space="preserve">. </w:t>
      </w:r>
      <w:r w:rsidRPr="00B400EA" w:rsidR="008C6726">
        <w:rPr>
          <w:szCs w:val="20"/>
        </w:rPr>
        <w:t>Before each interview, moderators will again inform participants that the session will be audio recorded for the purposes of accurate reporting. Participants will be asked to verbally consent to being recorded. If an</w:t>
      </w:r>
      <w:r w:rsidRPr="00B400EA" w:rsidR="003E76C0">
        <w:rPr>
          <w:szCs w:val="20"/>
        </w:rPr>
        <w:t>y</w:t>
      </w:r>
      <w:r w:rsidRPr="00B400EA" w:rsidR="008C6726">
        <w:rPr>
          <w:szCs w:val="20"/>
        </w:rPr>
        <w:t xml:space="preserve"> interview participant</w:t>
      </w:r>
      <w:r w:rsidRPr="00B400EA" w:rsidR="003E76C0">
        <w:rPr>
          <w:szCs w:val="20"/>
        </w:rPr>
        <w:t>s</w:t>
      </w:r>
      <w:r w:rsidRPr="00B400EA" w:rsidR="008C6726">
        <w:rPr>
          <w:szCs w:val="20"/>
        </w:rPr>
        <w:t xml:space="preserve"> do not want to be recorded, they will still be able to participate in the </w:t>
      </w:r>
      <w:r w:rsidR="00A43F4E">
        <w:rPr>
          <w:szCs w:val="20"/>
        </w:rPr>
        <w:t>evaluation</w:t>
      </w:r>
      <w:r w:rsidRPr="00B400EA" w:rsidR="008C6726">
        <w:rPr>
          <w:szCs w:val="20"/>
        </w:rPr>
        <w:t xml:space="preserve"> (and an audio recording will not be made of the interview). </w:t>
      </w:r>
    </w:p>
    <w:p w:rsidRPr="00B400EA" w:rsidR="0011131A" w:rsidP="002C4C81" w:rsidRDefault="0011131A" w14:paraId="62244CB9" w14:textId="77777777">
      <w:pPr>
        <w:pStyle w:val="NormalWeb"/>
        <w:spacing w:before="0" w:beforeAutospacing="0" w:after="0" w:afterAutospacing="0" w:line="360" w:lineRule="auto"/>
        <w:rPr>
          <w:szCs w:val="20"/>
        </w:rPr>
      </w:pPr>
    </w:p>
    <w:p w:rsidRPr="00B400EA" w:rsidR="002C4C81" w:rsidP="002C4C81" w:rsidRDefault="002C4C81" w14:paraId="1BBF5E48" w14:textId="3880005C">
      <w:pPr>
        <w:spacing w:line="360" w:lineRule="auto"/>
      </w:pPr>
      <w:r w:rsidRPr="00B400EA">
        <w:t xml:space="preserve">The following data collection instruments will be used in this </w:t>
      </w:r>
      <w:r w:rsidR="00974F6D">
        <w:t>evaluation</w:t>
      </w:r>
      <w:r w:rsidRPr="00B400EA">
        <w:t>:</w:t>
      </w:r>
    </w:p>
    <w:p w:rsidRPr="00B400EA" w:rsidR="00834949" w:rsidP="002C4C81" w:rsidRDefault="00834949" w14:paraId="72C3CD58" w14:textId="77777777">
      <w:pPr>
        <w:spacing w:line="360" w:lineRule="auto"/>
        <w:rPr>
          <w:i/>
        </w:rPr>
      </w:pPr>
    </w:p>
    <w:p w:rsidRPr="00B400EA" w:rsidR="002C4C81" w:rsidP="002C4C81" w:rsidRDefault="002C4C81" w14:paraId="1790A07D" w14:textId="57121F52">
      <w:pPr>
        <w:spacing w:line="360" w:lineRule="auto"/>
      </w:pPr>
      <w:r w:rsidRPr="0032464E">
        <w:rPr>
          <w:b/>
          <w:bCs/>
          <w:iCs/>
        </w:rPr>
        <w:t xml:space="preserve">Eligibility Screeners for </w:t>
      </w:r>
      <w:r w:rsidRPr="0032464E" w:rsidR="00EF38EE">
        <w:rPr>
          <w:b/>
          <w:bCs/>
          <w:iCs/>
        </w:rPr>
        <w:t>Adults</w:t>
      </w:r>
      <w:r w:rsidRPr="0032464E" w:rsidR="00824474">
        <w:rPr>
          <w:b/>
          <w:bCs/>
          <w:iCs/>
        </w:rPr>
        <w:t xml:space="preserve"> (Attachment E1)</w:t>
      </w:r>
      <w:r w:rsidRPr="0032464E" w:rsidR="00EF38EE">
        <w:rPr>
          <w:b/>
          <w:bCs/>
          <w:iCs/>
        </w:rPr>
        <w:t xml:space="preserve">, </w:t>
      </w:r>
      <w:r w:rsidRPr="0032464E" w:rsidR="008C6726">
        <w:rPr>
          <w:b/>
          <w:bCs/>
          <w:iCs/>
        </w:rPr>
        <w:t>Healthcare</w:t>
      </w:r>
      <w:r w:rsidRPr="0032464E">
        <w:rPr>
          <w:b/>
          <w:bCs/>
          <w:iCs/>
        </w:rPr>
        <w:t xml:space="preserve"> Providers</w:t>
      </w:r>
      <w:r w:rsidRPr="0032464E" w:rsidR="0032464E">
        <w:rPr>
          <w:b/>
          <w:bCs/>
          <w:iCs/>
        </w:rPr>
        <w:t xml:space="preserve"> </w:t>
      </w:r>
      <w:r w:rsidRPr="0032464E" w:rsidR="00824474">
        <w:rPr>
          <w:b/>
          <w:bCs/>
          <w:iCs/>
        </w:rPr>
        <w:t>(Attachment E2), and Public Health Professionals (Attachment E3)</w:t>
      </w:r>
      <w:r w:rsidRPr="0032464E">
        <w:rPr>
          <w:iCs/>
        </w:rPr>
        <w:t xml:space="preserve">: </w:t>
      </w:r>
      <w:r w:rsidRPr="00B400EA">
        <w:t xml:space="preserve">Eligibility screeners will be </w:t>
      </w:r>
      <w:r w:rsidRPr="00B400EA" w:rsidR="00D165D6">
        <w:t xml:space="preserve">used </w:t>
      </w:r>
      <w:r w:rsidRPr="00B400EA">
        <w:t>to identify eligible respondents and take approximately 10 minutes to complete. If eligible, participants will be schedule</w:t>
      </w:r>
      <w:r w:rsidRPr="00B400EA" w:rsidR="008C6726">
        <w:t>d</w:t>
      </w:r>
      <w:r w:rsidRPr="00B400EA">
        <w:t xml:space="preserve"> </w:t>
      </w:r>
      <w:r w:rsidRPr="00B400EA" w:rsidR="008C6726">
        <w:t>for an</w:t>
      </w:r>
      <w:r w:rsidRPr="00B400EA">
        <w:t xml:space="preserve"> interview.  </w:t>
      </w:r>
    </w:p>
    <w:p w:rsidRPr="00B400EA" w:rsidR="002C4C81" w:rsidP="002C4C81" w:rsidRDefault="002C4C81" w14:paraId="226994F5" w14:textId="77777777">
      <w:pPr>
        <w:spacing w:line="360" w:lineRule="auto"/>
      </w:pPr>
    </w:p>
    <w:p w:rsidRPr="00785F8D" w:rsidR="002C4C81" w:rsidP="002C4C81" w:rsidRDefault="002C4C81" w14:paraId="478441A9" w14:textId="3755D9DC">
      <w:pPr>
        <w:spacing w:line="360" w:lineRule="auto"/>
      </w:pPr>
      <w:r w:rsidRPr="00B400EA">
        <w:rPr>
          <w:i/>
        </w:rPr>
        <w:t>In-Depth Interview</w:t>
      </w:r>
      <w:r w:rsidRPr="00B400EA" w:rsidR="001C5789">
        <w:rPr>
          <w:i/>
        </w:rPr>
        <w:t xml:space="preserve"> Guides</w:t>
      </w:r>
      <w:r w:rsidRPr="00B400EA">
        <w:rPr>
          <w:i/>
        </w:rPr>
        <w:t>:</w:t>
      </w:r>
      <w:r w:rsidRPr="00B400EA">
        <w:t xml:space="preserve"> All </w:t>
      </w:r>
      <w:r w:rsidRPr="00B400EA" w:rsidR="001C5789">
        <w:t xml:space="preserve">interviews </w:t>
      </w:r>
      <w:r w:rsidRPr="00B400EA">
        <w:t xml:space="preserve">will be conducted by staff using </w:t>
      </w:r>
      <w:r w:rsidRPr="00B400EA" w:rsidR="001C5789">
        <w:t>semi-structured</w:t>
      </w:r>
      <w:r w:rsidRPr="00B400EA">
        <w:t xml:space="preserve"> </w:t>
      </w:r>
      <w:r w:rsidRPr="00B400EA" w:rsidR="001C5789">
        <w:t xml:space="preserve">interview discussion </w:t>
      </w:r>
      <w:r w:rsidRPr="00B400EA">
        <w:t>guide</w:t>
      </w:r>
      <w:r w:rsidRPr="00B400EA" w:rsidR="001C5789">
        <w:t>s</w:t>
      </w:r>
      <w:r w:rsidRPr="00B400EA">
        <w:t xml:space="preserve">. </w:t>
      </w:r>
      <w:r w:rsidRPr="0032464E">
        <w:rPr>
          <w:b/>
          <w:bCs/>
        </w:rPr>
        <w:t>(</w:t>
      </w:r>
      <w:r w:rsidRPr="00B400EA">
        <w:rPr>
          <w:b/>
        </w:rPr>
        <w:t>Attachments</w:t>
      </w:r>
      <w:r w:rsidR="0032464E">
        <w:rPr>
          <w:b/>
        </w:rPr>
        <w:t xml:space="preserve"> –</w:t>
      </w:r>
      <w:r w:rsidRPr="00B400EA">
        <w:rPr>
          <w:b/>
        </w:rPr>
        <w:t xml:space="preserve"> </w:t>
      </w:r>
      <w:r w:rsidR="00824474">
        <w:rPr>
          <w:b/>
        </w:rPr>
        <w:t>F1: Adult Interview Guide</w:t>
      </w:r>
      <w:r w:rsidR="0032464E">
        <w:rPr>
          <w:b/>
        </w:rPr>
        <w:t>;</w:t>
      </w:r>
      <w:r w:rsidR="00824474">
        <w:rPr>
          <w:b/>
        </w:rPr>
        <w:t xml:space="preserve"> F2: Healthcare Provider Interview Guide A</w:t>
      </w:r>
      <w:r w:rsidR="0032464E">
        <w:rPr>
          <w:b/>
        </w:rPr>
        <w:t>;</w:t>
      </w:r>
      <w:r w:rsidRPr="00B400EA" w:rsidR="00640E29">
        <w:rPr>
          <w:b/>
        </w:rPr>
        <w:t xml:space="preserve"> </w:t>
      </w:r>
      <w:r w:rsidR="00824474">
        <w:rPr>
          <w:b/>
        </w:rPr>
        <w:t xml:space="preserve">F3: Healthcare Provider Interview Guide </w:t>
      </w:r>
      <w:r w:rsidR="0032464E">
        <w:rPr>
          <w:b/>
        </w:rPr>
        <w:t xml:space="preserve">B; </w:t>
      </w:r>
      <w:r w:rsidR="00824474">
        <w:rPr>
          <w:b/>
        </w:rPr>
        <w:t>F4: Public Health Professional Interview Guide</w:t>
      </w:r>
      <w:r w:rsidRPr="0032464E">
        <w:rPr>
          <w:b/>
          <w:bCs/>
        </w:rPr>
        <w:t>)</w:t>
      </w:r>
      <w:r w:rsidRPr="00B400EA">
        <w:t xml:space="preserve">. </w:t>
      </w:r>
      <w:r w:rsidRPr="00B400EA" w:rsidR="001C5789">
        <w:t>All</w:t>
      </w:r>
      <w:r w:rsidRPr="00B400EA">
        <w:t xml:space="preserve"> audio-recordings </w:t>
      </w:r>
      <w:r w:rsidRPr="00B400EA" w:rsidR="001C5789">
        <w:t xml:space="preserve">will be </w:t>
      </w:r>
      <w:r w:rsidRPr="00B400EA" w:rsidR="00CB537E">
        <w:t>transcribed,</w:t>
      </w:r>
      <w:r w:rsidRPr="00B400EA" w:rsidR="001C5789">
        <w:t xml:space="preserve"> </w:t>
      </w:r>
      <w:r w:rsidRPr="00B400EA" w:rsidR="00A43F4E">
        <w:t>and staff</w:t>
      </w:r>
      <w:r w:rsidRPr="00B400EA" w:rsidR="001C5789">
        <w:t xml:space="preserve"> will </w:t>
      </w:r>
      <w:r w:rsidRPr="00B400EA">
        <w:t>maintain all transcripts on password protected</w:t>
      </w:r>
      <w:r w:rsidRPr="00C262EC">
        <w:t xml:space="preserve">/encrypted </w:t>
      </w:r>
      <w:r w:rsidR="00E24E9C">
        <w:t>computers</w:t>
      </w:r>
      <w:r w:rsidRPr="00C262EC">
        <w:t>.</w:t>
      </w:r>
      <w:r>
        <w:t xml:space="preserve"> </w:t>
      </w:r>
    </w:p>
    <w:p w:rsidR="002C4C81" w:rsidP="002C4C81" w:rsidRDefault="002C4C81" w14:paraId="37D7D540" w14:textId="77777777">
      <w:pPr>
        <w:pStyle w:val="NormalWeb"/>
        <w:spacing w:before="0" w:beforeAutospacing="0" w:after="0" w:afterAutospacing="0" w:line="360" w:lineRule="auto"/>
        <w:jc w:val="center"/>
        <w:rPr>
          <w:b/>
          <w:szCs w:val="20"/>
        </w:rPr>
      </w:pPr>
    </w:p>
    <w:p w:rsidR="00E74396" w:rsidP="002C4C81" w:rsidRDefault="00E74396" w14:paraId="420BFE42" w14:textId="77777777">
      <w:pPr>
        <w:pStyle w:val="NormalWeb"/>
        <w:spacing w:before="0" w:beforeAutospacing="0" w:after="0" w:afterAutospacing="0" w:line="360" w:lineRule="auto"/>
        <w:rPr>
          <w:b/>
          <w:szCs w:val="20"/>
        </w:rPr>
      </w:pPr>
    </w:p>
    <w:p w:rsidR="002C4C81" w:rsidP="002C4C81" w:rsidRDefault="002C4C81" w14:paraId="6E1CBE75" w14:textId="77777777">
      <w:pPr>
        <w:pStyle w:val="NormalWeb"/>
        <w:spacing w:before="0" w:beforeAutospacing="0" w:after="0" w:afterAutospacing="0" w:line="360" w:lineRule="auto"/>
        <w:rPr>
          <w:b/>
          <w:szCs w:val="20"/>
        </w:rPr>
      </w:pPr>
      <w:r w:rsidRPr="00BA75E7">
        <w:rPr>
          <w:b/>
          <w:szCs w:val="20"/>
        </w:rPr>
        <w:t>Data Analysis</w:t>
      </w:r>
    </w:p>
    <w:p w:rsidRPr="00414C23" w:rsidR="00414C23" w:rsidP="00AC3860" w:rsidRDefault="002C4C81" w14:paraId="6AFF71BF" w14:textId="770E1B12">
      <w:pPr>
        <w:pStyle w:val="NormalWeb"/>
        <w:spacing w:line="360" w:lineRule="auto"/>
        <w:rPr>
          <w:szCs w:val="20"/>
        </w:rPr>
      </w:pPr>
      <w:r w:rsidRPr="00BA75E7">
        <w:rPr>
          <w:szCs w:val="20"/>
        </w:rPr>
        <w:t xml:space="preserve">Interview notes will be transcribed and analyzed </w:t>
      </w:r>
      <w:r w:rsidR="00EF38EE">
        <w:rPr>
          <w:szCs w:val="20"/>
        </w:rPr>
        <w:t>for the</w:t>
      </w:r>
      <w:r w:rsidRPr="00BA75E7" w:rsidR="00EF38EE">
        <w:rPr>
          <w:szCs w:val="20"/>
        </w:rPr>
        <w:t xml:space="preserve"> </w:t>
      </w:r>
      <w:r w:rsidRPr="00BA75E7">
        <w:rPr>
          <w:szCs w:val="20"/>
        </w:rPr>
        <w:t>identification of recurrent themes following Crabtree and Miller’s 5 step “interpretive process</w:t>
      </w:r>
      <w:r w:rsidR="00E24E9C">
        <w:rPr>
          <w:szCs w:val="20"/>
        </w:rPr>
        <w:t>.</w:t>
      </w:r>
      <w:r w:rsidRPr="00BA75E7">
        <w:rPr>
          <w:szCs w:val="20"/>
        </w:rPr>
        <w:t>” Transcripts will be read to identify common themes, codes will be developed</w:t>
      </w:r>
      <w:r w:rsidR="00E24E9C">
        <w:rPr>
          <w:szCs w:val="20"/>
        </w:rPr>
        <w:t>,</w:t>
      </w:r>
      <w:r w:rsidRPr="00BA75E7">
        <w:rPr>
          <w:szCs w:val="20"/>
        </w:rPr>
        <w:t xml:space="preserve"> and ~10% of data will be double coded and inter-rater reliability assessed. Coded text will be extracted and organized and read to identify emergent themes.</w:t>
      </w:r>
      <w:r>
        <w:rPr>
          <w:szCs w:val="20"/>
        </w:rPr>
        <w:t xml:space="preserve"> </w:t>
      </w:r>
      <w:r w:rsidRPr="00BA75E7">
        <w:rPr>
          <w:szCs w:val="20"/>
        </w:rPr>
        <w:t xml:space="preserve">A sequential, empirically-informed approach will be used to synthesize findings to develop recommendations </w:t>
      </w:r>
      <w:r w:rsidR="00EF38EE">
        <w:rPr>
          <w:szCs w:val="20"/>
        </w:rPr>
        <w:t>for improving the CDC DSTDP website.</w:t>
      </w:r>
      <w:r w:rsidRPr="00BA75E7">
        <w:rPr>
          <w:szCs w:val="20"/>
        </w:rPr>
        <w:t xml:space="preserve"> </w:t>
      </w:r>
      <w:r w:rsidR="00414C23">
        <w:rPr>
          <w:szCs w:val="20"/>
        </w:rPr>
        <w:t xml:space="preserve">Additionally, the recommendations will be informed by the analysis of the scenario and card-sort activities. </w:t>
      </w:r>
      <w:r w:rsidRPr="00414C23" w:rsidR="00414C23">
        <w:rPr>
          <w:szCs w:val="20"/>
        </w:rPr>
        <w:t xml:space="preserve">Responses to navigation scenarios will be organized by navigation path followed and any additional comments will be transcribed. Responses for the card sort exercise will be analyzed using use an online card sorting tool, such as </w:t>
      </w:r>
      <w:proofErr w:type="spellStart"/>
      <w:r w:rsidRPr="00414C23" w:rsidR="00414C23">
        <w:rPr>
          <w:szCs w:val="20"/>
        </w:rPr>
        <w:t>OptimalSort</w:t>
      </w:r>
      <w:proofErr w:type="spellEnd"/>
      <w:r w:rsidRPr="00414C23" w:rsidR="00414C23">
        <w:rPr>
          <w:szCs w:val="20"/>
        </w:rPr>
        <w:t>, to provide the most efficient analysis process.</w:t>
      </w:r>
    </w:p>
    <w:p w:rsidR="002C4C81" w:rsidP="002C4C81" w:rsidRDefault="002C4C81" w14:paraId="5DBA38EC" w14:textId="6BB097E1">
      <w:pPr>
        <w:pStyle w:val="NormalWeb"/>
        <w:spacing w:before="0" w:beforeAutospacing="0" w:after="0" w:afterAutospacing="0" w:line="360" w:lineRule="auto"/>
        <w:rPr>
          <w:szCs w:val="20"/>
        </w:rPr>
      </w:pPr>
      <w:r w:rsidRPr="00BA75E7">
        <w:rPr>
          <w:szCs w:val="20"/>
        </w:rPr>
        <w:lastRenderedPageBreak/>
        <w:t>S</w:t>
      </w:r>
      <w:r>
        <w:rPr>
          <w:szCs w:val="20"/>
        </w:rPr>
        <w:t>pecific steps will be followed:</w:t>
      </w:r>
    </w:p>
    <w:p w:rsidR="002C4C81" w:rsidP="002C4C81" w:rsidRDefault="002C4C81" w14:paraId="4C26A9CC" w14:textId="73645362">
      <w:pPr>
        <w:pStyle w:val="NormalWeb"/>
        <w:numPr>
          <w:ilvl w:val="0"/>
          <w:numId w:val="3"/>
        </w:numPr>
        <w:spacing w:before="0" w:beforeAutospacing="0" w:after="0" w:afterAutospacing="0" w:line="360" w:lineRule="auto"/>
        <w:rPr>
          <w:szCs w:val="20"/>
        </w:rPr>
      </w:pPr>
      <w:r w:rsidRPr="00BA75E7">
        <w:rPr>
          <w:szCs w:val="20"/>
        </w:rPr>
        <w:t>Step 1: Use qualitative data from interviews</w:t>
      </w:r>
      <w:r w:rsidR="00414C23">
        <w:rPr>
          <w:szCs w:val="20"/>
        </w:rPr>
        <w:t>, scenario observations</w:t>
      </w:r>
      <w:r w:rsidR="00834949">
        <w:rPr>
          <w:szCs w:val="20"/>
        </w:rPr>
        <w:t>,</w:t>
      </w:r>
      <w:r w:rsidR="00414C23">
        <w:rPr>
          <w:szCs w:val="20"/>
        </w:rPr>
        <w:t xml:space="preserve"> and card sort activities</w:t>
      </w:r>
      <w:r w:rsidRPr="00BA75E7">
        <w:rPr>
          <w:szCs w:val="20"/>
        </w:rPr>
        <w:t xml:space="preserve"> to develop a summary of findings. </w:t>
      </w:r>
    </w:p>
    <w:p w:rsidR="002C4C81" w:rsidP="002C4C81" w:rsidRDefault="002C4C81" w14:paraId="024CDED0" w14:textId="6B6134DF">
      <w:pPr>
        <w:pStyle w:val="NormalWeb"/>
        <w:numPr>
          <w:ilvl w:val="0"/>
          <w:numId w:val="3"/>
        </w:numPr>
        <w:spacing w:before="0" w:beforeAutospacing="0" w:after="0" w:afterAutospacing="0" w:line="360" w:lineRule="auto"/>
        <w:rPr>
          <w:szCs w:val="20"/>
        </w:rPr>
      </w:pPr>
      <w:r w:rsidRPr="00BA75E7">
        <w:rPr>
          <w:szCs w:val="20"/>
        </w:rPr>
        <w:t xml:space="preserve">Step 2: </w:t>
      </w:r>
      <w:r w:rsidR="009D71C8">
        <w:rPr>
          <w:szCs w:val="20"/>
        </w:rPr>
        <w:t>S</w:t>
      </w:r>
      <w:r w:rsidRPr="00BA75E7">
        <w:rPr>
          <w:szCs w:val="20"/>
        </w:rPr>
        <w:t xml:space="preserve">ynthesize qualitative findings to develop a set of recommendations for </w:t>
      </w:r>
      <w:r w:rsidR="009D71C8">
        <w:rPr>
          <w:szCs w:val="20"/>
        </w:rPr>
        <w:t xml:space="preserve">improving the </w:t>
      </w:r>
      <w:r w:rsidR="00EF38EE">
        <w:rPr>
          <w:szCs w:val="20"/>
        </w:rPr>
        <w:t>CDC DSTDP website</w:t>
      </w:r>
      <w:r w:rsidRPr="00BA75E7">
        <w:rPr>
          <w:szCs w:val="20"/>
        </w:rPr>
        <w:t xml:space="preserve">. </w:t>
      </w:r>
    </w:p>
    <w:p w:rsidRPr="00B400EA" w:rsidR="002C4C81" w:rsidP="009D71C8" w:rsidRDefault="002C4C81" w14:paraId="2F978871" w14:textId="24D5AE44">
      <w:pPr>
        <w:pStyle w:val="NormalWeb"/>
        <w:numPr>
          <w:ilvl w:val="0"/>
          <w:numId w:val="3"/>
        </w:numPr>
        <w:spacing w:before="0" w:beforeAutospacing="0" w:after="0" w:afterAutospacing="0" w:line="360" w:lineRule="auto"/>
        <w:rPr>
          <w:color w:val="000000" w:themeColor="text1"/>
          <w:szCs w:val="20"/>
        </w:rPr>
      </w:pPr>
      <w:r w:rsidRPr="00BA75E7">
        <w:rPr>
          <w:szCs w:val="20"/>
        </w:rPr>
        <w:t>Step 3: Present key find</w:t>
      </w:r>
      <w:r w:rsidR="009D71C8">
        <w:rPr>
          <w:szCs w:val="20"/>
        </w:rPr>
        <w:t>ings and recommendations to DSTDP staff,</w:t>
      </w:r>
      <w:r w:rsidRPr="00BA75E7">
        <w:rPr>
          <w:szCs w:val="20"/>
        </w:rPr>
        <w:t xml:space="preserve"> obtain additi</w:t>
      </w:r>
      <w:r w:rsidR="009D71C8">
        <w:rPr>
          <w:szCs w:val="20"/>
        </w:rPr>
        <w:t>onal suggestions for refinement</w:t>
      </w:r>
      <w:r w:rsidR="00E24E9C">
        <w:rPr>
          <w:szCs w:val="20"/>
        </w:rPr>
        <w:t>,</w:t>
      </w:r>
      <w:r w:rsidR="009D71C8">
        <w:rPr>
          <w:szCs w:val="20"/>
        </w:rPr>
        <w:t xml:space="preserve"> and prepare a final report.</w:t>
      </w:r>
      <w:r w:rsidRPr="00FA7485" w:rsidR="00FA7485">
        <w:rPr>
          <w:color w:val="FF0000"/>
        </w:rPr>
        <w:t xml:space="preserve"> </w:t>
      </w:r>
      <w:r w:rsidRPr="00AC3860" w:rsidR="00FA7485">
        <w:rPr>
          <w:color w:val="000000" w:themeColor="text1"/>
        </w:rPr>
        <w:t>The final data DSTDP will receive will be de-</w:t>
      </w:r>
      <w:r w:rsidRPr="00B400EA" w:rsidR="00FA7485">
        <w:rPr>
          <w:color w:val="000000" w:themeColor="text1"/>
        </w:rPr>
        <w:t>identified and aggregated.</w:t>
      </w:r>
    </w:p>
    <w:p w:rsidRPr="00B400EA" w:rsidR="002C4C81" w:rsidP="002C4C81" w:rsidRDefault="002C4C81" w14:paraId="635A34DC" w14:textId="77777777">
      <w:pPr>
        <w:spacing w:line="360" w:lineRule="auto"/>
      </w:pPr>
    </w:p>
    <w:p w:rsidR="002C4C81" w:rsidP="002C4C81" w:rsidRDefault="002C4C81" w14:paraId="16AAC5A6" w14:textId="16205A75">
      <w:pPr>
        <w:spacing w:line="360" w:lineRule="auto"/>
      </w:pPr>
      <w:r w:rsidRPr="00B400EA">
        <w:t>Consent documents and data collection tools will be retained</w:t>
      </w:r>
      <w:r w:rsidRPr="00B400EA" w:rsidR="00DC3E3C">
        <w:t xml:space="preserve"> in</w:t>
      </w:r>
      <w:r w:rsidRPr="00B400EA" w:rsidR="007C7F7E">
        <w:t xml:space="preserve"> password-protected computer files</w:t>
      </w:r>
      <w:r w:rsidRPr="00B400EA">
        <w:t xml:space="preserve"> and will only be accessible to senior investigators or designated staff. All participants will be identified by</w:t>
      </w:r>
      <w:r w:rsidR="00A43F4E">
        <w:t xml:space="preserve"> </w:t>
      </w:r>
      <w:r w:rsidRPr="00B400EA">
        <w:t xml:space="preserve">ID numbers only. Participants’ names will not be included on materials. A master list of participant names linked with IDs will be kept in a password-protected computer file. All computer records will be protected by standard measures that limit data access to authorized </w:t>
      </w:r>
      <w:r w:rsidRPr="00B400EA" w:rsidR="00CB537E">
        <w:t>personnel and</w:t>
      </w:r>
      <w:r w:rsidRPr="00B400EA">
        <w:t xml:space="preserve"> will be identifiable only by participants’ IDs. Digitally</w:t>
      </w:r>
      <w:r w:rsidR="00824474">
        <w:t xml:space="preserve"> </w:t>
      </w:r>
      <w:r w:rsidRPr="00B400EA">
        <w:t xml:space="preserve">recorded qualitative data will be stored on a secure password protected server following </w:t>
      </w:r>
      <w:r w:rsidRPr="00B400EA" w:rsidR="00CB537E">
        <w:t xml:space="preserve">each </w:t>
      </w:r>
      <w:r w:rsidRPr="00B400EA">
        <w:t>interview</w:t>
      </w:r>
      <w:r w:rsidRPr="00B400EA" w:rsidR="00C40395">
        <w:t>.</w:t>
      </w:r>
      <w:r w:rsidRPr="00B400EA">
        <w:t xml:space="preserve"> </w:t>
      </w:r>
      <w:r w:rsidRPr="00B400EA" w:rsidR="00C40395">
        <w:t>Once</w:t>
      </w:r>
      <w:r w:rsidR="00C40395">
        <w:t xml:space="preserve"> transcribed, the original audio file will be </w:t>
      </w:r>
      <w:r w:rsidRPr="00F67B70">
        <w:t>delet</w:t>
      </w:r>
      <w:r w:rsidR="00C40395">
        <w:t>ed</w:t>
      </w:r>
      <w:r w:rsidRPr="00F67B70">
        <w:t xml:space="preserve">. Transcription and data analysis will be done through secure password-protected server. All of these procedures will be adhered to in the proposed </w:t>
      </w:r>
      <w:r w:rsidR="00A43F4E">
        <w:t>evaluation</w:t>
      </w:r>
      <w:r w:rsidRPr="00F67B70">
        <w:t xml:space="preserve">. </w:t>
      </w:r>
    </w:p>
    <w:p w:rsidR="002C4C81" w:rsidP="002C4C81" w:rsidRDefault="002C4C81" w14:paraId="306D3019" w14:textId="77777777">
      <w:pPr>
        <w:autoSpaceDE w:val="0"/>
        <w:autoSpaceDN w:val="0"/>
        <w:adjustRightInd w:val="0"/>
      </w:pPr>
    </w:p>
    <w:p w:rsidR="002C4C81" w:rsidP="002C4C81" w:rsidRDefault="002C4C81" w14:paraId="67DAEACC" w14:textId="77777777">
      <w:pPr>
        <w:pStyle w:val="Heading1"/>
        <w:numPr>
          <w:ilvl w:val="0"/>
          <w:numId w:val="4"/>
        </w:numPr>
        <w:ind w:left="432"/>
      </w:pPr>
      <w:bookmarkStart w:name="_Toc507599920" w:id="7"/>
      <w:bookmarkStart w:name="_Toc26954505" w:id="8"/>
      <w:r>
        <w:t>Methods to Maximize Response Rates and Deal with No Response</w:t>
      </w:r>
      <w:bookmarkEnd w:id="7"/>
      <w:bookmarkEnd w:id="8"/>
    </w:p>
    <w:p w:rsidR="002C4C81" w:rsidP="002C4C81" w:rsidRDefault="002C4C81" w14:paraId="546E8B65" w14:textId="77777777"/>
    <w:p w:rsidR="002C4C81" w:rsidP="002C4C81" w:rsidRDefault="00414C23" w14:paraId="2FE68220" w14:textId="38CF9940">
      <w:pPr>
        <w:autoSpaceDE w:val="0"/>
        <w:autoSpaceDN w:val="0"/>
        <w:adjustRightInd w:val="0"/>
        <w:spacing w:line="360" w:lineRule="auto"/>
        <w:rPr>
          <w:bCs/>
        </w:rPr>
      </w:pPr>
      <w:r>
        <w:rPr>
          <w:bCs/>
        </w:rPr>
        <w:t>The</w:t>
      </w:r>
      <w:r w:rsidR="002C4C81">
        <w:rPr>
          <w:bCs/>
        </w:rPr>
        <w:t xml:space="preserve"> following procedures </w:t>
      </w:r>
      <w:r>
        <w:rPr>
          <w:bCs/>
        </w:rPr>
        <w:t xml:space="preserve">will be used </w:t>
      </w:r>
      <w:r w:rsidR="002C4C81">
        <w:rPr>
          <w:bCs/>
        </w:rPr>
        <w:t>to maximize cooperation and to achieve the desired response rate:</w:t>
      </w:r>
    </w:p>
    <w:p w:rsidRPr="003C3437" w:rsidR="00414C23" w:rsidP="003C3437" w:rsidRDefault="002C4C81" w14:paraId="1D6057DC" w14:textId="43E78178">
      <w:pPr>
        <w:pStyle w:val="NormalWeb"/>
        <w:numPr>
          <w:ilvl w:val="0"/>
          <w:numId w:val="3"/>
        </w:numPr>
        <w:spacing w:before="0" w:beforeAutospacing="0" w:after="0" w:afterAutospacing="0" w:line="360" w:lineRule="auto"/>
        <w:rPr>
          <w:szCs w:val="20"/>
        </w:rPr>
      </w:pPr>
      <w:r w:rsidRPr="003C3437">
        <w:rPr>
          <w:szCs w:val="20"/>
        </w:rPr>
        <w:t xml:space="preserve">All recruitment materials indicate the voluntary nature of </w:t>
      </w:r>
      <w:r w:rsidRPr="003C3437" w:rsidR="007C7F7E">
        <w:rPr>
          <w:szCs w:val="20"/>
        </w:rPr>
        <w:t xml:space="preserve">participation in </w:t>
      </w:r>
      <w:r w:rsidRPr="003C3437">
        <w:rPr>
          <w:szCs w:val="20"/>
        </w:rPr>
        <w:t xml:space="preserve">the </w:t>
      </w:r>
      <w:r w:rsidR="00A43F4E">
        <w:rPr>
          <w:szCs w:val="20"/>
        </w:rPr>
        <w:t>evaluation</w:t>
      </w:r>
      <w:r w:rsidRPr="003C3437" w:rsidR="007C7F7E">
        <w:rPr>
          <w:szCs w:val="20"/>
        </w:rPr>
        <w:t xml:space="preserve"> and the value of providing feedback to improve </w:t>
      </w:r>
      <w:r w:rsidRPr="003C3437" w:rsidR="00EF38EE">
        <w:rPr>
          <w:szCs w:val="20"/>
        </w:rPr>
        <w:t>the CDC DSTDP website</w:t>
      </w:r>
      <w:r w:rsidRPr="003C3437" w:rsidR="007C7F7E">
        <w:rPr>
          <w:szCs w:val="20"/>
        </w:rPr>
        <w:t>.</w:t>
      </w:r>
    </w:p>
    <w:p w:rsidRPr="003C3437" w:rsidR="00414C23" w:rsidP="003C3437" w:rsidRDefault="00414C23" w14:paraId="2D0A48BC" w14:textId="627806DE">
      <w:pPr>
        <w:pStyle w:val="NormalWeb"/>
        <w:numPr>
          <w:ilvl w:val="0"/>
          <w:numId w:val="3"/>
        </w:numPr>
        <w:spacing w:before="0" w:beforeAutospacing="0" w:after="0" w:afterAutospacing="0" w:line="360" w:lineRule="auto"/>
        <w:rPr>
          <w:szCs w:val="20"/>
        </w:rPr>
      </w:pPr>
      <w:r w:rsidRPr="003C3437">
        <w:rPr>
          <w:szCs w:val="20"/>
        </w:rPr>
        <w:t xml:space="preserve">Tokens of appreciation </w:t>
      </w:r>
      <w:r w:rsidRPr="003C3437" w:rsidR="002C4C81">
        <w:rPr>
          <w:szCs w:val="20"/>
        </w:rPr>
        <w:t>in the form of a</w:t>
      </w:r>
      <w:r w:rsidRPr="003C3437" w:rsidR="00E24E9C">
        <w:rPr>
          <w:szCs w:val="20"/>
        </w:rPr>
        <w:t>n online</w:t>
      </w:r>
      <w:r w:rsidRPr="003C3437" w:rsidR="002C4C81">
        <w:rPr>
          <w:szCs w:val="20"/>
        </w:rPr>
        <w:t xml:space="preserve"> gift card</w:t>
      </w:r>
      <w:r w:rsidRPr="003C3437" w:rsidR="00E24E9C">
        <w:rPr>
          <w:szCs w:val="20"/>
        </w:rPr>
        <w:t>,</w:t>
      </w:r>
      <w:r w:rsidRPr="003C3437" w:rsidR="002C4C81">
        <w:rPr>
          <w:szCs w:val="20"/>
        </w:rPr>
        <w:t xml:space="preserve"> will be </w:t>
      </w:r>
      <w:r w:rsidRPr="003C3437" w:rsidR="00E24E9C">
        <w:rPr>
          <w:szCs w:val="20"/>
        </w:rPr>
        <w:t xml:space="preserve">emailed </w:t>
      </w:r>
      <w:r w:rsidRPr="003C3437" w:rsidR="002C4C81">
        <w:rPr>
          <w:szCs w:val="20"/>
        </w:rPr>
        <w:t>to</w:t>
      </w:r>
      <w:r w:rsidRPr="003C3437" w:rsidR="00D8438A">
        <w:rPr>
          <w:szCs w:val="20"/>
        </w:rPr>
        <w:t xml:space="preserve"> participants</w:t>
      </w:r>
      <w:r w:rsidRPr="003C3437" w:rsidR="002C4C81">
        <w:rPr>
          <w:szCs w:val="20"/>
        </w:rPr>
        <w:t xml:space="preserve"> upon completion of the</w:t>
      </w:r>
      <w:r w:rsidRPr="003C3437" w:rsidR="00EF38EE">
        <w:rPr>
          <w:szCs w:val="20"/>
        </w:rPr>
        <w:t>ir interviews</w:t>
      </w:r>
      <w:r w:rsidRPr="003C3437" w:rsidR="002C4C81">
        <w:rPr>
          <w:szCs w:val="20"/>
        </w:rPr>
        <w:t xml:space="preserve">. </w:t>
      </w:r>
      <w:r w:rsidRPr="003C3437">
        <w:rPr>
          <w:szCs w:val="20"/>
        </w:rPr>
        <w:t>Adults will receive a $</w:t>
      </w:r>
      <w:r w:rsidR="005E1D8C">
        <w:rPr>
          <w:szCs w:val="20"/>
        </w:rPr>
        <w:t>40</w:t>
      </w:r>
      <w:r w:rsidRPr="003C3437">
        <w:rPr>
          <w:szCs w:val="20"/>
        </w:rPr>
        <w:t xml:space="preserve"> gift card, h</w:t>
      </w:r>
      <w:r w:rsidRPr="003C3437" w:rsidR="00E74396">
        <w:rPr>
          <w:szCs w:val="20"/>
        </w:rPr>
        <w:t>ealth</w:t>
      </w:r>
      <w:r w:rsidRPr="003C3437" w:rsidR="00D8438A">
        <w:rPr>
          <w:szCs w:val="20"/>
        </w:rPr>
        <w:t xml:space="preserve">care providers </w:t>
      </w:r>
      <w:r w:rsidRPr="003C3437">
        <w:rPr>
          <w:szCs w:val="20"/>
        </w:rPr>
        <w:t xml:space="preserve">will receive a </w:t>
      </w:r>
      <w:r w:rsidRPr="003C3437" w:rsidR="00864CEC">
        <w:rPr>
          <w:szCs w:val="20"/>
        </w:rPr>
        <w:t xml:space="preserve">$100 </w:t>
      </w:r>
      <w:r w:rsidRPr="003C3437">
        <w:rPr>
          <w:szCs w:val="20"/>
        </w:rPr>
        <w:t>gift card</w:t>
      </w:r>
      <w:r w:rsidRPr="003C3437" w:rsidR="00864CEC">
        <w:rPr>
          <w:szCs w:val="20"/>
        </w:rPr>
        <w:t>,</w:t>
      </w:r>
      <w:r w:rsidRPr="003C3437">
        <w:rPr>
          <w:szCs w:val="20"/>
        </w:rPr>
        <w:t xml:space="preserve"> </w:t>
      </w:r>
      <w:r w:rsidRPr="003C3437" w:rsidR="00EF38EE">
        <w:rPr>
          <w:szCs w:val="20"/>
        </w:rPr>
        <w:t xml:space="preserve">and public health professionals </w:t>
      </w:r>
      <w:r w:rsidRPr="003C3437" w:rsidR="00D8438A">
        <w:rPr>
          <w:szCs w:val="20"/>
        </w:rPr>
        <w:t xml:space="preserve">will receive </w:t>
      </w:r>
      <w:r w:rsidRPr="003C3437">
        <w:rPr>
          <w:szCs w:val="20"/>
        </w:rPr>
        <w:t xml:space="preserve">a </w:t>
      </w:r>
      <w:r w:rsidRPr="003C3437" w:rsidR="00864CEC">
        <w:rPr>
          <w:szCs w:val="20"/>
        </w:rPr>
        <w:t xml:space="preserve">$30 </w:t>
      </w:r>
      <w:r w:rsidRPr="003C3437">
        <w:rPr>
          <w:szCs w:val="20"/>
        </w:rPr>
        <w:t>gift card</w:t>
      </w:r>
      <w:r w:rsidRPr="003C3437" w:rsidR="00D8438A">
        <w:rPr>
          <w:szCs w:val="20"/>
        </w:rPr>
        <w:t xml:space="preserve">. </w:t>
      </w:r>
    </w:p>
    <w:p w:rsidRPr="003C3437" w:rsidR="00414C23" w:rsidP="003C3437" w:rsidRDefault="00414C23" w14:paraId="30E2E34F" w14:textId="126C2D8C">
      <w:pPr>
        <w:pStyle w:val="NormalWeb"/>
        <w:numPr>
          <w:ilvl w:val="0"/>
          <w:numId w:val="3"/>
        </w:numPr>
        <w:spacing w:before="0" w:beforeAutospacing="0" w:after="0" w:afterAutospacing="0" w:line="360" w:lineRule="auto"/>
        <w:rPr>
          <w:szCs w:val="20"/>
        </w:rPr>
      </w:pPr>
      <w:r w:rsidRPr="003C3437">
        <w:rPr>
          <w:szCs w:val="20"/>
        </w:rPr>
        <w:t>There will be an adequate recruiting period before the start of fielding (as well as ongoing recruiting as needed during fielding period</w:t>
      </w:r>
      <w:r w:rsidRPr="003C3437" w:rsidR="00864CEC">
        <w:rPr>
          <w:szCs w:val="20"/>
        </w:rPr>
        <w:t>)</w:t>
      </w:r>
      <w:r w:rsidRPr="003C3437">
        <w:rPr>
          <w:szCs w:val="20"/>
        </w:rPr>
        <w:t xml:space="preserve">. </w:t>
      </w:r>
    </w:p>
    <w:p w:rsidRPr="003C3437" w:rsidR="00414C23" w:rsidP="003C3437" w:rsidRDefault="00414C23" w14:paraId="08D30840" w14:textId="0779372D">
      <w:pPr>
        <w:pStyle w:val="NormalWeb"/>
        <w:numPr>
          <w:ilvl w:val="0"/>
          <w:numId w:val="3"/>
        </w:numPr>
        <w:spacing w:before="0" w:beforeAutospacing="0" w:after="0" w:afterAutospacing="0" w:line="360" w:lineRule="auto"/>
        <w:rPr>
          <w:szCs w:val="20"/>
        </w:rPr>
      </w:pPr>
      <w:r w:rsidRPr="003C3437">
        <w:rPr>
          <w:szCs w:val="20"/>
        </w:rPr>
        <w:t>There will be an availability of sessions at time slots that are typically popular among healthcare providers and public health professionals—for example, early morning, evenings,</w:t>
      </w:r>
      <w:r w:rsidRPr="003C3437" w:rsidR="00864CEC">
        <w:rPr>
          <w:szCs w:val="20"/>
        </w:rPr>
        <w:t xml:space="preserve"> and</w:t>
      </w:r>
      <w:r w:rsidRPr="003C3437">
        <w:rPr>
          <w:szCs w:val="20"/>
        </w:rPr>
        <w:t xml:space="preserve"> lunch.</w:t>
      </w:r>
    </w:p>
    <w:p w:rsidR="002C4C81" w:rsidP="002C4C81" w:rsidRDefault="002C4C81" w14:paraId="2983771A" w14:textId="77777777">
      <w:pPr>
        <w:pStyle w:val="Heading1"/>
        <w:numPr>
          <w:ilvl w:val="0"/>
          <w:numId w:val="4"/>
        </w:numPr>
        <w:ind w:left="432"/>
      </w:pPr>
      <w:bookmarkStart w:name="_Toc507599921" w:id="9"/>
      <w:bookmarkStart w:name="_Toc26954506" w:id="10"/>
      <w:r>
        <w:lastRenderedPageBreak/>
        <w:t>Tests of Procedures or Methods to be Undertaken</w:t>
      </w:r>
      <w:bookmarkEnd w:id="9"/>
      <w:bookmarkEnd w:id="10"/>
    </w:p>
    <w:p w:rsidR="002C4C81" w:rsidP="002C4C81" w:rsidRDefault="002C4C81" w14:paraId="337CE934" w14:textId="77777777"/>
    <w:p w:rsidR="002C4C81" w:rsidP="002C4C81" w:rsidRDefault="007C7F7E" w14:paraId="5A0B31AD" w14:textId="30C66E39">
      <w:pPr>
        <w:autoSpaceDE w:val="0"/>
        <w:autoSpaceDN w:val="0"/>
        <w:adjustRightInd w:val="0"/>
        <w:spacing w:line="360" w:lineRule="auto"/>
        <w:jc w:val="both"/>
      </w:pPr>
      <w:r>
        <w:t xml:space="preserve">The </w:t>
      </w:r>
      <w:r w:rsidR="00974F6D">
        <w:t xml:space="preserve">evaluation </w:t>
      </w:r>
      <w:r w:rsidR="002C4C81">
        <w:t xml:space="preserve">team </w:t>
      </w:r>
      <w:r w:rsidR="00D165D6">
        <w:t>includes</w:t>
      </w:r>
      <w:r w:rsidR="002C4C81">
        <w:t xml:space="preserve"> experts with experience </w:t>
      </w:r>
      <w:r w:rsidR="00EF38EE">
        <w:t xml:space="preserve">in </w:t>
      </w:r>
      <w:r w:rsidR="002C4C81">
        <w:t xml:space="preserve">conducting </w:t>
      </w:r>
      <w:r w:rsidR="0011131A">
        <w:t xml:space="preserve">usability </w:t>
      </w:r>
      <w:r w:rsidR="002C4C81">
        <w:t xml:space="preserve">research </w:t>
      </w:r>
      <w:r>
        <w:t>with healthcare providers</w:t>
      </w:r>
      <w:r w:rsidR="00AC3860">
        <w:t>, public health professionals</w:t>
      </w:r>
      <w:r w:rsidR="00864CEC">
        <w:t>,</w:t>
      </w:r>
      <w:r>
        <w:t xml:space="preserve"> and </w:t>
      </w:r>
      <w:r w:rsidR="00864CEC">
        <w:t>other</w:t>
      </w:r>
      <w:r>
        <w:t xml:space="preserve"> audiences</w:t>
      </w:r>
      <w:r w:rsidR="00EF38EE">
        <w:t xml:space="preserve"> </w:t>
      </w:r>
      <w:r w:rsidR="00864CEC">
        <w:t xml:space="preserve">and </w:t>
      </w:r>
      <w:r w:rsidR="0011131A">
        <w:t xml:space="preserve">research </w:t>
      </w:r>
      <w:r w:rsidR="00864CEC">
        <w:t>on sensitive topics</w:t>
      </w:r>
      <w:r>
        <w:t>.</w:t>
      </w:r>
      <w:r w:rsidR="00814E37">
        <w:t xml:space="preserve"> </w:t>
      </w:r>
    </w:p>
    <w:p w:rsidR="002C4C81" w:rsidP="002C4C81" w:rsidRDefault="002C4C81" w14:paraId="7A7DA61E" w14:textId="4A4E093F">
      <w:pPr>
        <w:pStyle w:val="Heading1"/>
        <w:numPr>
          <w:ilvl w:val="0"/>
          <w:numId w:val="4"/>
        </w:numPr>
        <w:ind w:left="432"/>
      </w:pPr>
      <w:bookmarkStart w:name="_Toc507599922" w:id="11"/>
      <w:bookmarkStart w:name="_Toc26954507" w:id="12"/>
      <w:r>
        <w:t>Individuals Consulted on Statistical Aspects and Individuals Collecting and/or Analyzing Data</w:t>
      </w:r>
      <w:bookmarkEnd w:id="11"/>
      <w:r w:rsidR="00E74396">
        <w:t>.</w:t>
      </w:r>
      <w:bookmarkEnd w:id="12"/>
      <w:r w:rsidR="00E74396">
        <w:t xml:space="preserve"> </w:t>
      </w:r>
    </w:p>
    <w:p w:rsidR="002C4C81" w:rsidP="002C4C81" w:rsidRDefault="002C4C81" w14:paraId="415AB8CC" w14:textId="77777777"/>
    <w:p w:rsidR="002C4C81" w:rsidP="002C4C81" w:rsidRDefault="002C4C81" w14:paraId="5070332A" w14:textId="562DAFE5">
      <w:pPr>
        <w:spacing w:line="360" w:lineRule="auto"/>
      </w:pPr>
      <w:r w:rsidRPr="00322A33">
        <w:rPr>
          <w:b/>
        </w:rPr>
        <w:t>Exhibit B5.1</w:t>
      </w:r>
      <w:r>
        <w:t xml:space="preserve"> </w:t>
      </w:r>
      <w:r w:rsidRPr="008A18E1">
        <w:t xml:space="preserve">below lists the team members who were consulted on </w:t>
      </w:r>
      <w:r w:rsidR="00FE664E">
        <w:t xml:space="preserve">the </w:t>
      </w:r>
      <w:r w:rsidRPr="008A18E1">
        <w:t xml:space="preserve">aspects of </w:t>
      </w:r>
      <w:r w:rsidR="009F0657">
        <w:t>evaluation</w:t>
      </w:r>
      <w:r w:rsidRPr="008A18E1" w:rsidR="009F0657">
        <w:t xml:space="preserve"> </w:t>
      </w:r>
      <w:r w:rsidRPr="008A18E1">
        <w:t xml:space="preserve">design and </w:t>
      </w:r>
      <w:r w:rsidR="00891752">
        <w:t xml:space="preserve">team members who will </w:t>
      </w:r>
      <w:r w:rsidRPr="008A18E1">
        <w:t xml:space="preserve">be collecting and analyzing the data. Please note: The CDC </w:t>
      </w:r>
      <w:r>
        <w:t>staff</w:t>
      </w:r>
      <w:r w:rsidRPr="008A18E1">
        <w:t xml:space="preserve"> are primarily responsible for providing technical assistance in the design and implementation of th</w:t>
      </w:r>
      <w:r w:rsidR="00CA4C5F">
        <w:t>is evaluation</w:t>
      </w:r>
      <w:r w:rsidRPr="008A18E1">
        <w:t>; assisting in the development of the protocol and data collection instruments for CDC Project Determination; working with</w:t>
      </w:r>
      <w:r w:rsidR="00CA4C5F">
        <w:t xml:space="preserve"> the evaluation team</w:t>
      </w:r>
      <w:r w:rsidRPr="008A18E1" w:rsidR="00CA4C5F">
        <w:t xml:space="preserve"> </w:t>
      </w:r>
      <w:r w:rsidRPr="008A18E1">
        <w:t xml:space="preserve">to facilitate appropriate activities; and presenting findings at meetings and in publications. </w:t>
      </w:r>
      <w:r>
        <w:t xml:space="preserve">The data are primarily qualitative in nature and will be analyzed accordingly. </w:t>
      </w:r>
    </w:p>
    <w:p w:rsidR="00E24E9C" w:rsidP="002C4C81" w:rsidRDefault="00E24E9C" w14:paraId="7FB527EE" w14:textId="77777777">
      <w:pPr>
        <w:spacing w:line="360" w:lineRule="auto"/>
      </w:pPr>
    </w:p>
    <w:p w:rsidR="002C4C81" w:rsidP="002C4C81" w:rsidRDefault="002C4C81" w14:paraId="7B67AFEA" w14:textId="0710F652">
      <w:pPr>
        <w:spacing w:line="360" w:lineRule="auto"/>
      </w:pPr>
      <w:r>
        <w:t>CDC staff</w:t>
      </w:r>
      <w:r w:rsidRPr="008A18E1">
        <w:t xml:space="preserve"> will </w:t>
      </w:r>
      <w:r w:rsidR="00E24E9C">
        <w:t>not be engaged</w:t>
      </w:r>
      <w:r>
        <w:t xml:space="preserve"> in the direct collection of information</w:t>
      </w:r>
      <w:r w:rsidR="00864CEC">
        <w:t>.</w:t>
      </w:r>
      <w:r>
        <w:t xml:space="preserve"> CDC staff will </w:t>
      </w:r>
      <w:r w:rsidRPr="008A18E1">
        <w:t xml:space="preserve">neither collect data from nor interact with </w:t>
      </w:r>
      <w:r w:rsidR="00A43F4E">
        <w:t>participants</w:t>
      </w:r>
      <w:r w:rsidR="007C7F7E">
        <w:t>.</w:t>
      </w:r>
      <w:r>
        <w:t xml:space="preserve"> </w:t>
      </w:r>
      <w:r w:rsidRPr="008A18E1">
        <w:t xml:space="preserve">Data will be collected by members of </w:t>
      </w:r>
      <w:r w:rsidR="00640E29">
        <w:t xml:space="preserve">the external </w:t>
      </w:r>
      <w:r w:rsidR="00A43F4E">
        <w:t>evaluation team.</w:t>
      </w:r>
      <w:r w:rsidRPr="008A18E1">
        <w:t xml:space="preserve"> No individual identifiers will be linkable to collected data, and no individually identifiable private information will be shared with or accessible by CDC staff. </w:t>
      </w:r>
    </w:p>
    <w:p w:rsidR="002C4C81" w:rsidP="002C4C81" w:rsidRDefault="002C4C81" w14:paraId="53D4A628" w14:textId="77777777"/>
    <w:p w:rsidR="002C4C81" w:rsidP="002C4C81" w:rsidRDefault="002C4C81" w14:paraId="1FF73A01" w14:textId="79DE68DE">
      <w:pPr>
        <w:pStyle w:val="Caption"/>
      </w:pPr>
      <w:bookmarkStart w:name="_Toc475950365" w:id="13"/>
      <w:r>
        <w:t>Exhibit B</w:t>
      </w:r>
      <w:r w:rsidR="009E6ADE">
        <w:rPr>
          <w:noProof/>
        </w:rPr>
        <w:fldChar w:fldCharType="begin"/>
      </w:r>
      <w:r w:rsidR="009E6ADE">
        <w:rPr>
          <w:noProof/>
        </w:rPr>
        <w:instrText xml:space="preserve"> STYLEREF 1 \s </w:instrText>
      </w:r>
      <w:r w:rsidR="009E6ADE">
        <w:rPr>
          <w:noProof/>
        </w:rPr>
        <w:fldChar w:fldCharType="separate"/>
      </w:r>
      <w:r w:rsidR="00726EC5">
        <w:rPr>
          <w:noProof/>
        </w:rPr>
        <w:t>5</w:t>
      </w:r>
      <w:r w:rsidR="009E6ADE">
        <w:rPr>
          <w:noProof/>
        </w:rPr>
        <w:fldChar w:fldCharType="end"/>
      </w:r>
      <w:r>
        <w:t>.</w:t>
      </w:r>
      <w:r w:rsidR="009E6ADE">
        <w:rPr>
          <w:noProof/>
        </w:rPr>
        <w:fldChar w:fldCharType="begin"/>
      </w:r>
      <w:r w:rsidR="009E6ADE">
        <w:rPr>
          <w:noProof/>
        </w:rPr>
        <w:instrText xml:space="preserve"> SEQ Exhibit \* ARABIC \s 1 </w:instrText>
      </w:r>
      <w:r w:rsidR="009E6ADE">
        <w:rPr>
          <w:noProof/>
        </w:rPr>
        <w:fldChar w:fldCharType="separate"/>
      </w:r>
      <w:r w:rsidR="00726EC5">
        <w:rPr>
          <w:noProof/>
        </w:rPr>
        <w:t>1</w:t>
      </w:r>
      <w:r w:rsidR="009E6ADE">
        <w:rPr>
          <w:noProof/>
        </w:rPr>
        <w:fldChar w:fldCharType="end"/>
      </w:r>
      <w:r>
        <w:t>: Statistical Consultants</w:t>
      </w:r>
      <w:bookmarkEnd w:id="13"/>
    </w:p>
    <w:tbl>
      <w:tblPr>
        <w:tblStyle w:val="TableGrid"/>
        <w:tblW w:w="0" w:type="auto"/>
        <w:tblLook w:val="04A0" w:firstRow="1" w:lastRow="0" w:firstColumn="1" w:lastColumn="0" w:noHBand="0" w:noVBand="1"/>
      </w:tblPr>
      <w:tblGrid>
        <w:gridCol w:w="2138"/>
        <w:gridCol w:w="2627"/>
        <w:gridCol w:w="3425"/>
      </w:tblGrid>
      <w:tr w:rsidRPr="008A18E1" w:rsidR="002C4C81" w:rsidTr="0094215E" w14:paraId="558745EF" w14:textId="77777777">
        <w:tc>
          <w:tcPr>
            <w:tcW w:w="2138" w:type="dxa"/>
            <w:shd w:val="clear" w:color="auto" w:fill="BDD6EE" w:themeFill="accent1" w:themeFillTint="66"/>
          </w:tcPr>
          <w:p w:rsidRPr="00B423EE" w:rsidR="002C4C81" w:rsidP="0063092E" w:rsidRDefault="002C4C81" w14:paraId="6A78FA4C" w14:textId="77777777">
            <w:pPr>
              <w:rPr>
                <w:b/>
                <w:sz w:val="20"/>
                <w:szCs w:val="20"/>
              </w:rPr>
            </w:pPr>
            <w:r w:rsidRPr="00B423EE">
              <w:rPr>
                <w:b/>
                <w:sz w:val="20"/>
                <w:szCs w:val="20"/>
              </w:rPr>
              <w:t>Team Member</w:t>
            </w:r>
          </w:p>
        </w:tc>
        <w:tc>
          <w:tcPr>
            <w:tcW w:w="2627" w:type="dxa"/>
            <w:shd w:val="clear" w:color="auto" w:fill="BDD6EE" w:themeFill="accent1" w:themeFillTint="66"/>
          </w:tcPr>
          <w:p w:rsidRPr="00B423EE" w:rsidR="002C4C81" w:rsidP="0063092E" w:rsidRDefault="002C4C81" w14:paraId="3E272FD1" w14:textId="77777777">
            <w:pPr>
              <w:rPr>
                <w:b/>
                <w:sz w:val="20"/>
                <w:szCs w:val="20"/>
              </w:rPr>
            </w:pPr>
            <w:r w:rsidRPr="00B423EE">
              <w:rPr>
                <w:b/>
                <w:sz w:val="20"/>
                <w:szCs w:val="20"/>
              </w:rPr>
              <w:t>Organization</w:t>
            </w:r>
          </w:p>
        </w:tc>
        <w:tc>
          <w:tcPr>
            <w:tcW w:w="3425" w:type="dxa"/>
            <w:shd w:val="clear" w:color="auto" w:fill="BDD6EE" w:themeFill="accent1" w:themeFillTint="66"/>
          </w:tcPr>
          <w:p w:rsidRPr="00B423EE" w:rsidR="002C4C81" w:rsidP="0063092E" w:rsidRDefault="002C4C81" w14:paraId="00624896" w14:textId="77777777">
            <w:pPr>
              <w:rPr>
                <w:b/>
                <w:sz w:val="20"/>
                <w:szCs w:val="20"/>
              </w:rPr>
            </w:pPr>
            <w:r w:rsidRPr="00B423EE">
              <w:rPr>
                <w:b/>
                <w:sz w:val="20"/>
                <w:szCs w:val="20"/>
              </w:rPr>
              <w:t>Email</w:t>
            </w:r>
          </w:p>
        </w:tc>
      </w:tr>
      <w:tr w:rsidRPr="008A18E1" w:rsidR="00EF063E" w:rsidTr="0094215E" w14:paraId="1F086C8A" w14:textId="77777777">
        <w:tc>
          <w:tcPr>
            <w:tcW w:w="2138" w:type="dxa"/>
          </w:tcPr>
          <w:p w:rsidR="00EF063E" w:rsidP="0063092E" w:rsidRDefault="00EF063E" w14:paraId="3F7D6315" w14:textId="6453F18E">
            <w:pPr>
              <w:rPr>
                <w:sz w:val="20"/>
                <w:szCs w:val="20"/>
              </w:rPr>
            </w:pPr>
            <w:r>
              <w:rPr>
                <w:sz w:val="20"/>
                <w:szCs w:val="20"/>
              </w:rPr>
              <w:t>Nikki Mayes</w:t>
            </w:r>
          </w:p>
        </w:tc>
        <w:tc>
          <w:tcPr>
            <w:tcW w:w="2627" w:type="dxa"/>
          </w:tcPr>
          <w:p w:rsidR="00EF063E" w:rsidP="0063092E" w:rsidRDefault="00EF063E" w14:paraId="484F048E" w14:textId="3CFA233A">
            <w:pPr>
              <w:rPr>
                <w:sz w:val="20"/>
                <w:szCs w:val="20"/>
              </w:rPr>
            </w:pPr>
            <w:r>
              <w:rPr>
                <w:sz w:val="20"/>
                <w:szCs w:val="20"/>
              </w:rPr>
              <w:t>CDC</w:t>
            </w:r>
          </w:p>
        </w:tc>
        <w:tc>
          <w:tcPr>
            <w:tcW w:w="3425" w:type="dxa"/>
          </w:tcPr>
          <w:p w:rsidR="00EF063E" w:rsidP="0063092E" w:rsidRDefault="00EF063E" w14:paraId="1A6E92F4" w14:textId="4C63CD98">
            <w:pPr>
              <w:rPr>
                <w:sz w:val="20"/>
                <w:szCs w:val="20"/>
              </w:rPr>
            </w:pPr>
            <w:r>
              <w:rPr>
                <w:sz w:val="20"/>
                <w:szCs w:val="20"/>
              </w:rPr>
              <w:t>G</w:t>
            </w:r>
            <w:r w:rsidRPr="00EF063E">
              <w:rPr>
                <w:sz w:val="20"/>
                <w:szCs w:val="20"/>
              </w:rPr>
              <w:t>rz3@cdc.gov</w:t>
            </w:r>
          </w:p>
        </w:tc>
      </w:tr>
      <w:tr w:rsidRPr="008A18E1" w:rsidR="002C4C81" w:rsidTr="0094215E" w14:paraId="1733EA5C" w14:textId="77777777">
        <w:tc>
          <w:tcPr>
            <w:tcW w:w="2138" w:type="dxa"/>
          </w:tcPr>
          <w:p w:rsidRPr="00B423EE" w:rsidR="002C4C81" w:rsidP="0063092E" w:rsidRDefault="002C4C81" w14:paraId="6905D335" w14:textId="77777777">
            <w:pPr>
              <w:rPr>
                <w:sz w:val="20"/>
                <w:szCs w:val="20"/>
              </w:rPr>
            </w:pPr>
            <w:r>
              <w:rPr>
                <w:sz w:val="20"/>
                <w:szCs w:val="20"/>
              </w:rPr>
              <w:t xml:space="preserve">Salina Smith </w:t>
            </w:r>
          </w:p>
        </w:tc>
        <w:tc>
          <w:tcPr>
            <w:tcW w:w="2627" w:type="dxa"/>
          </w:tcPr>
          <w:p w:rsidRPr="00B423EE" w:rsidR="002C4C81" w:rsidP="0063092E" w:rsidRDefault="002C4C81" w14:paraId="1F848EA5" w14:textId="77777777">
            <w:pPr>
              <w:rPr>
                <w:sz w:val="20"/>
                <w:szCs w:val="20"/>
              </w:rPr>
            </w:pPr>
            <w:r>
              <w:rPr>
                <w:sz w:val="20"/>
                <w:szCs w:val="20"/>
              </w:rPr>
              <w:t>CDC</w:t>
            </w:r>
          </w:p>
        </w:tc>
        <w:tc>
          <w:tcPr>
            <w:tcW w:w="3425" w:type="dxa"/>
          </w:tcPr>
          <w:p w:rsidRPr="00B423EE" w:rsidR="002C4C81" w:rsidP="0063092E" w:rsidRDefault="005E1D8C" w14:paraId="3B611A1F" w14:textId="6F9D34E1">
            <w:pPr>
              <w:rPr>
                <w:sz w:val="20"/>
                <w:szCs w:val="20"/>
              </w:rPr>
            </w:pPr>
            <w:hyperlink w:history="1" r:id="rId8">
              <w:r w:rsidRPr="00CD530A" w:rsidR="00EF063E">
                <w:rPr>
                  <w:sz w:val="20"/>
                  <w:szCs w:val="20"/>
                </w:rPr>
                <w:t>Vgw6@cdc.gov</w:t>
              </w:r>
            </w:hyperlink>
          </w:p>
        </w:tc>
      </w:tr>
      <w:tr w:rsidRPr="008A18E1" w:rsidR="00E74396" w:rsidTr="0094215E" w14:paraId="4371E3B7" w14:textId="77777777">
        <w:tc>
          <w:tcPr>
            <w:tcW w:w="2138" w:type="dxa"/>
          </w:tcPr>
          <w:p w:rsidRPr="00B423EE" w:rsidR="00E74396" w:rsidP="0063092E" w:rsidRDefault="00824474" w14:paraId="3DB28FC2" w14:textId="70637189">
            <w:pPr>
              <w:rPr>
                <w:sz w:val="20"/>
                <w:szCs w:val="20"/>
              </w:rPr>
            </w:pPr>
            <w:r>
              <w:rPr>
                <w:sz w:val="20"/>
                <w:szCs w:val="20"/>
              </w:rPr>
              <w:t xml:space="preserve">Tiffani </w:t>
            </w:r>
          </w:p>
        </w:tc>
        <w:tc>
          <w:tcPr>
            <w:tcW w:w="2627" w:type="dxa"/>
          </w:tcPr>
          <w:p w:rsidRPr="00B423EE" w:rsidR="00E74396" w:rsidP="0063092E" w:rsidRDefault="00824474" w14:paraId="0641D222" w14:textId="320788E9">
            <w:pPr>
              <w:rPr>
                <w:sz w:val="20"/>
                <w:szCs w:val="20"/>
              </w:rPr>
            </w:pPr>
            <w:r>
              <w:rPr>
                <w:sz w:val="20"/>
                <w:szCs w:val="20"/>
              </w:rPr>
              <w:t>CDC</w:t>
            </w:r>
          </w:p>
        </w:tc>
        <w:tc>
          <w:tcPr>
            <w:tcW w:w="3425" w:type="dxa"/>
          </w:tcPr>
          <w:p w:rsidRPr="00B423EE" w:rsidR="00E74396" w:rsidP="0063092E" w:rsidRDefault="00824474" w14:paraId="26270EDC" w14:textId="25A2C4C5">
            <w:pPr>
              <w:rPr>
                <w:sz w:val="20"/>
                <w:szCs w:val="20"/>
              </w:rPr>
            </w:pPr>
            <w:r>
              <w:rPr>
                <w:sz w:val="20"/>
                <w:szCs w:val="20"/>
              </w:rPr>
              <w:t>itb0@cdc.gov</w:t>
            </w:r>
          </w:p>
        </w:tc>
      </w:tr>
      <w:tr w:rsidRPr="008A18E1" w:rsidR="00E74396" w:rsidTr="0094215E" w14:paraId="4084A2F9" w14:textId="77777777">
        <w:tc>
          <w:tcPr>
            <w:tcW w:w="2138" w:type="dxa"/>
          </w:tcPr>
          <w:p w:rsidRPr="00B423EE" w:rsidR="00E74396" w:rsidP="0063092E" w:rsidRDefault="007C7F7E" w14:paraId="0339BC80" w14:textId="0DE6C2A3">
            <w:pPr>
              <w:rPr>
                <w:sz w:val="20"/>
                <w:szCs w:val="20"/>
              </w:rPr>
            </w:pPr>
            <w:r>
              <w:rPr>
                <w:sz w:val="20"/>
                <w:szCs w:val="20"/>
              </w:rPr>
              <w:t>Joanna Barbour</w:t>
            </w:r>
          </w:p>
        </w:tc>
        <w:tc>
          <w:tcPr>
            <w:tcW w:w="2627" w:type="dxa"/>
          </w:tcPr>
          <w:p w:rsidRPr="00B423EE" w:rsidR="00E74396" w:rsidP="0063092E" w:rsidRDefault="007C7F7E" w14:paraId="590125E2" w14:textId="76D2BE98">
            <w:pPr>
              <w:rPr>
                <w:sz w:val="20"/>
                <w:szCs w:val="20"/>
              </w:rPr>
            </w:pPr>
            <w:r>
              <w:rPr>
                <w:sz w:val="20"/>
                <w:szCs w:val="20"/>
              </w:rPr>
              <w:t>Trillium</w:t>
            </w:r>
          </w:p>
        </w:tc>
        <w:tc>
          <w:tcPr>
            <w:tcW w:w="3425" w:type="dxa"/>
          </w:tcPr>
          <w:p w:rsidRPr="00B423EE" w:rsidR="00E74396" w:rsidP="0063092E" w:rsidRDefault="007C7F7E" w14:paraId="1C172F77" w14:textId="50A576FE">
            <w:pPr>
              <w:rPr>
                <w:sz w:val="20"/>
                <w:szCs w:val="20"/>
              </w:rPr>
            </w:pPr>
            <w:r w:rsidRPr="007C7F7E">
              <w:rPr>
                <w:sz w:val="20"/>
                <w:szCs w:val="20"/>
              </w:rPr>
              <w:t>joanna.barbour@trilliuminfo.com</w:t>
            </w:r>
          </w:p>
        </w:tc>
      </w:tr>
      <w:tr w:rsidRPr="008A18E1" w:rsidR="00E74396" w:rsidTr="0094215E" w14:paraId="734EDB42" w14:textId="77777777">
        <w:tc>
          <w:tcPr>
            <w:tcW w:w="2138" w:type="dxa"/>
          </w:tcPr>
          <w:p w:rsidR="00E74396" w:rsidP="0063092E" w:rsidRDefault="00824474" w14:paraId="3B6D13E2" w14:textId="3560F3D3">
            <w:pPr>
              <w:rPr>
                <w:sz w:val="20"/>
                <w:szCs w:val="20"/>
              </w:rPr>
            </w:pPr>
            <w:r>
              <w:rPr>
                <w:sz w:val="20"/>
                <w:szCs w:val="20"/>
              </w:rPr>
              <w:t>Patrick Cook</w:t>
            </w:r>
          </w:p>
        </w:tc>
        <w:tc>
          <w:tcPr>
            <w:tcW w:w="2627" w:type="dxa"/>
          </w:tcPr>
          <w:p w:rsidR="00E74396" w:rsidP="0063092E" w:rsidRDefault="00EF38EE" w14:paraId="62A08E61" w14:textId="630573DC">
            <w:pPr>
              <w:rPr>
                <w:sz w:val="20"/>
                <w:szCs w:val="20"/>
              </w:rPr>
            </w:pPr>
            <w:r>
              <w:rPr>
                <w:sz w:val="20"/>
                <w:szCs w:val="20"/>
              </w:rPr>
              <w:t>Trillium</w:t>
            </w:r>
          </w:p>
        </w:tc>
        <w:tc>
          <w:tcPr>
            <w:tcW w:w="3425" w:type="dxa"/>
          </w:tcPr>
          <w:p w:rsidR="00E74396" w:rsidP="0063092E" w:rsidRDefault="00824474" w14:paraId="448311CE" w14:textId="22B4F55E">
            <w:pPr>
              <w:rPr>
                <w:sz w:val="20"/>
                <w:szCs w:val="20"/>
              </w:rPr>
            </w:pPr>
            <w:r>
              <w:rPr>
                <w:sz w:val="20"/>
                <w:szCs w:val="20"/>
              </w:rPr>
              <w:t>patrick.cook</w:t>
            </w:r>
            <w:r w:rsidRPr="00EF38EE" w:rsidR="00EF38EE">
              <w:rPr>
                <w:sz w:val="20"/>
                <w:szCs w:val="20"/>
              </w:rPr>
              <w:t>@</w:t>
            </w:r>
            <w:r>
              <w:rPr>
                <w:sz w:val="20"/>
                <w:szCs w:val="20"/>
              </w:rPr>
              <w:t>trilliuminfo.com</w:t>
            </w:r>
            <w:r w:rsidRPr="00EF38EE" w:rsidR="00EF38EE">
              <w:rPr>
                <w:sz w:val="20"/>
                <w:szCs w:val="20"/>
              </w:rPr>
              <w:t xml:space="preserve"> </w:t>
            </w:r>
          </w:p>
        </w:tc>
      </w:tr>
    </w:tbl>
    <w:p w:rsidR="002C4C81" w:rsidP="002C4C81" w:rsidRDefault="002C4C81" w14:paraId="5CB65ECD" w14:textId="77777777"/>
    <w:p w:rsidR="002C4C81" w:rsidRDefault="002C4C81" w14:paraId="5B5FC80C" w14:textId="77777777"/>
    <w:sectPr w:rsidR="002C4C81" w:rsidSect="00D2690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F2762" w14:textId="77777777" w:rsidR="00BF70A4" w:rsidRDefault="00BF70A4" w:rsidP="002C4C81">
      <w:r>
        <w:separator/>
      </w:r>
    </w:p>
  </w:endnote>
  <w:endnote w:type="continuationSeparator" w:id="0">
    <w:p w14:paraId="6EDF2AD1" w14:textId="77777777" w:rsidR="00BF70A4" w:rsidRDefault="00BF70A4" w:rsidP="002C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418591"/>
      <w:docPartObj>
        <w:docPartGallery w:val="Page Numbers (Bottom of Page)"/>
        <w:docPartUnique/>
      </w:docPartObj>
    </w:sdtPr>
    <w:sdtEndPr>
      <w:rPr>
        <w:noProof/>
      </w:rPr>
    </w:sdtEndPr>
    <w:sdtContent>
      <w:p w14:paraId="48DA42D3" w14:textId="60EBA249" w:rsidR="002C4C81" w:rsidRDefault="002C4C81">
        <w:pPr>
          <w:pStyle w:val="Footer"/>
          <w:jc w:val="center"/>
        </w:pPr>
        <w:r>
          <w:fldChar w:fldCharType="begin"/>
        </w:r>
        <w:r>
          <w:instrText xml:space="preserve"> PAGE   \* MERGEFORMAT </w:instrText>
        </w:r>
        <w:r>
          <w:fldChar w:fldCharType="separate"/>
        </w:r>
        <w:r w:rsidR="004B2D11">
          <w:rPr>
            <w:noProof/>
          </w:rPr>
          <w:t>1</w:t>
        </w:r>
        <w:r>
          <w:rPr>
            <w:noProof/>
          </w:rPr>
          <w:fldChar w:fldCharType="end"/>
        </w:r>
      </w:p>
    </w:sdtContent>
  </w:sdt>
  <w:p w14:paraId="784267D9" w14:textId="77777777" w:rsidR="002C4C81" w:rsidRDefault="002C4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B0863" w14:textId="77777777" w:rsidR="00BF70A4" w:rsidRDefault="00BF70A4" w:rsidP="002C4C81">
      <w:r>
        <w:separator/>
      </w:r>
    </w:p>
  </w:footnote>
  <w:footnote w:type="continuationSeparator" w:id="0">
    <w:p w14:paraId="59A805B4" w14:textId="77777777" w:rsidR="00BF70A4" w:rsidRDefault="00BF70A4" w:rsidP="002C4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36C24"/>
    <w:multiLevelType w:val="hybridMultilevel"/>
    <w:tmpl w:val="CEDE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4910CC"/>
    <w:multiLevelType w:val="hybridMultilevel"/>
    <w:tmpl w:val="3FF85C4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17763B6"/>
    <w:multiLevelType w:val="hybridMultilevel"/>
    <w:tmpl w:val="B9104F8C"/>
    <w:lvl w:ilvl="0" w:tplc="24845A3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473B70C9"/>
    <w:multiLevelType w:val="hybridMultilevel"/>
    <w:tmpl w:val="DB0C1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83198E"/>
    <w:multiLevelType w:val="hybridMultilevel"/>
    <w:tmpl w:val="00C02072"/>
    <w:lvl w:ilvl="0" w:tplc="04090001">
      <w:start w:val="1"/>
      <w:numFmt w:val="bullet"/>
      <w:lvlText w:val=""/>
      <w:lvlJc w:val="left"/>
      <w:pPr>
        <w:tabs>
          <w:tab w:val="num" w:pos="630"/>
        </w:tabs>
        <w:ind w:left="630" w:hanging="360"/>
      </w:pPr>
      <w:rPr>
        <w:rFonts w:ascii="Symbol" w:hAnsi="Symbol" w:cs="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start w:val="1"/>
      <w:numFmt w:val="bullet"/>
      <w:lvlText w:val=""/>
      <w:lvlJc w:val="left"/>
      <w:pPr>
        <w:tabs>
          <w:tab w:val="num" w:pos="2070"/>
        </w:tabs>
        <w:ind w:left="2070" w:hanging="360"/>
      </w:pPr>
      <w:rPr>
        <w:rFonts w:ascii="Wingdings" w:hAnsi="Wingdings" w:cs="Wingdings" w:hint="default"/>
      </w:rPr>
    </w:lvl>
    <w:lvl w:ilvl="3" w:tplc="04090001">
      <w:start w:val="1"/>
      <w:numFmt w:val="bullet"/>
      <w:lvlText w:val=""/>
      <w:lvlJc w:val="left"/>
      <w:pPr>
        <w:tabs>
          <w:tab w:val="num" w:pos="2790"/>
        </w:tabs>
        <w:ind w:left="2790" w:hanging="360"/>
      </w:pPr>
      <w:rPr>
        <w:rFonts w:ascii="Symbol" w:hAnsi="Symbol" w:cs="Symbol" w:hint="default"/>
      </w:rPr>
    </w:lvl>
    <w:lvl w:ilvl="4" w:tplc="04090003">
      <w:start w:val="1"/>
      <w:numFmt w:val="bullet"/>
      <w:lvlText w:val="o"/>
      <w:lvlJc w:val="left"/>
      <w:pPr>
        <w:tabs>
          <w:tab w:val="num" w:pos="3510"/>
        </w:tabs>
        <w:ind w:left="3510" w:hanging="360"/>
      </w:pPr>
      <w:rPr>
        <w:rFonts w:ascii="Courier New" w:hAnsi="Courier New" w:cs="Courier New" w:hint="default"/>
      </w:rPr>
    </w:lvl>
    <w:lvl w:ilvl="5" w:tplc="04090005">
      <w:start w:val="1"/>
      <w:numFmt w:val="bullet"/>
      <w:lvlText w:val=""/>
      <w:lvlJc w:val="left"/>
      <w:pPr>
        <w:tabs>
          <w:tab w:val="num" w:pos="4230"/>
        </w:tabs>
        <w:ind w:left="4230" w:hanging="360"/>
      </w:pPr>
      <w:rPr>
        <w:rFonts w:ascii="Wingdings" w:hAnsi="Wingdings" w:cs="Wingdings" w:hint="default"/>
      </w:rPr>
    </w:lvl>
    <w:lvl w:ilvl="6" w:tplc="04090001">
      <w:start w:val="1"/>
      <w:numFmt w:val="bullet"/>
      <w:lvlText w:val=""/>
      <w:lvlJc w:val="left"/>
      <w:pPr>
        <w:tabs>
          <w:tab w:val="num" w:pos="4950"/>
        </w:tabs>
        <w:ind w:left="4950" w:hanging="360"/>
      </w:pPr>
      <w:rPr>
        <w:rFonts w:ascii="Symbol" w:hAnsi="Symbol" w:cs="Symbol" w:hint="default"/>
      </w:rPr>
    </w:lvl>
    <w:lvl w:ilvl="7" w:tplc="04090003">
      <w:start w:val="1"/>
      <w:numFmt w:val="bullet"/>
      <w:lvlText w:val="o"/>
      <w:lvlJc w:val="left"/>
      <w:pPr>
        <w:tabs>
          <w:tab w:val="num" w:pos="5670"/>
        </w:tabs>
        <w:ind w:left="5670" w:hanging="360"/>
      </w:pPr>
      <w:rPr>
        <w:rFonts w:ascii="Courier New" w:hAnsi="Courier New" w:cs="Courier New" w:hint="default"/>
      </w:rPr>
    </w:lvl>
    <w:lvl w:ilvl="8" w:tplc="04090005">
      <w:start w:val="1"/>
      <w:numFmt w:val="bullet"/>
      <w:lvlText w:val=""/>
      <w:lvlJc w:val="left"/>
      <w:pPr>
        <w:tabs>
          <w:tab w:val="num" w:pos="6390"/>
        </w:tabs>
        <w:ind w:left="6390" w:hanging="360"/>
      </w:pPr>
      <w:rPr>
        <w:rFonts w:ascii="Wingdings" w:hAnsi="Wingdings" w:cs="Wingdings" w:hint="default"/>
      </w:rPr>
    </w:lvl>
  </w:abstractNum>
  <w:abstractNum w:abstractNumId="6" w15:restartNumberingAfterBreak="0">
    <w:nsid w:val="610D0273"/>
    <w:multiLevelType w:val="hybridMultilevel"/>
    <w:tmpl w:val="4310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627A5C"/>
    <w:multiLevelType w:val="hybridMultilevel"/>
    <w:tmpl w:val="6F744E5E"/>
    <w:lvl w:ilvl="0" w:tplc="744277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1E10EB"/>
    <w:multiLevelType w:val="multilevel"/>
    <w:tmpl w:val="F5F0AB58"/>
    <w:lvl w:ilvl="0">
      <w:start w:val="1"/>
      <w:numFmt w:val="decimal"/>
      <w:pStyle w:val="Heading1"/>
      <w:lvlText w:val="%1."/>
      <w:lvlJc w:val="left"/>
      <w:pPr>
        <w:ind w:left="52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8"/>
  </w:num>
  <w:num w:numId="2">
    <w:abstractNumId w:val="1"/>
  </w:num>
  <w:num w:numId="3">
    <w:abstractNumId w:val="6"/>
  </w:num>
  <w:num w:numId="4">
    <w:abstractNumId w:val="3"/>
  </w:num>
  <w:num w:numId="5">
    <w:abstractNumId w:val="5"/>
  </w:num>
  <w:num w:numId="6">
    <w:abstractNumId w:val="2"/>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81"/>
    <w:rsid w:val="00002342"/>
    <w:rsid w:val="00012341"/>
    <w:rsid w:val="00013B75"/>
    <w:rsid w:val="00044C76"/>
    <w:rsid w:val="00045588"/>
    <w:rsid w:val="000537D0"/>
    <w:rsid w:val="000B1CB0"/>
    <w:rsid w:val="000D5A78"/>
    <w:rsid w:val="0011131A"/>
    <w:rsid w:val="001143E4"/>
    <w:rsid w:val="00121894"/>
    <w:rsid w:val="00186206"/>
    <w:rsid w:val="00194D12"/>
    <w:rsid w:val="001C5789"/>
    <w:rsid w:val="001D0615"/>
    <w:rsid w:val="001F4CAE"/>
    <w:rsid w:val="002354C9"/>
    <w:rsid w:val="002463D4"/>
    <w:rsid w:val="00271B25"/>
    <w:rsid w:val="00272878"/>
    <w:rsid w:val="00274462"/>
    <w:rsid w:val="002C4C81"/>
    <w:rsid w:val="003215B5"/>
    <w:rsid w:val="0032464E"/>
    <w:rsid w:val="00324F0E"/>
    <w:rsid w:val="0035693D"/>
    <w:rsid w:val="0037717E"/>
    <w:rsid w:val="003935FF"/>
    <w:rsid w:val="003A7A3C"/>
    <w:rsid w:val="003C0986"/>
    <w:rsid w:val="003C3437"/>
    <w:rsid w:val="003C3ED5"/>
    <w:rsid w:val="003D29EE"/>
    <w:rsid w:val="003E4A43"/>
    <w:rsid w:val="003E76C0"/>
    <w:rsid w:val="00414C23"/>
    <w:rsid w:val="00424262"/>
    <w:rsid w:val="00434D5A"/>
    <w:rsid w:val="00480DA7"/>
    <w:rsid w:val="00491725"/>
    <w:rsid w:val="004A20AB"/>
    <w:rsid w:val="004B2D11"/>
    <w:rsid w:val="004E1F73"/>
    <w:rsid w:val="004F2F2A"/>
    <w:rsid w:val="004F4022"/>
    <w:rsid w:val="00546346"/>
    <w:rsid w:val="00587B5E"/>
    <w:rsid w:val="005D4836"/>
    <w:rsid w:val="005E07B2"/>
    <w:rsid w:val="005E1D8C"/>
    <w:rsid w:val="005E2DFE"/>
    <w:rsid w:val="0063267E"/>
    <w:rsid w:val="00640E29"/>
    <w:rsid w:val="00653645"/>
    <w:rsid w:val="00671DAE"/>
    <w:rsid w:val="00693C82"/>
    <w:rsid w:val="006E7EBD"/>
    <w:rsid w:val="007032E6"/>
    <w:rsid w:val="007113A8"/>
    <w:rsid w:val="00721C6F"/>
    <w:rsid w:val="00723C26"/>
    <w:rsid w:val="00726EC5"/>
    <w:rsid w:val="00777CAD"/>
    <w:rsid w:val="007B4B97"/>
    <w:rsid w:val="007C6784"/>
    <w:rsid w:val="007C6A8E"/>
    <w:rsid w:val="007C7F7E"/>
    <w:rsid w:val="00814E37"/>
    <w:rsid w:val="008242C1"/>
    <w:rsid w:val="00824474"/>
    <w:rsid w:val="00834949"/>
    <w:rsid w:val="00835B9D"/>
    <w:rsid w:val="008561DB"/>
    <w:rsid w:val="00864CEC"/>
    <w:rsid w:val="00891752"/>
    <w:rsid w:val="008C6726"/>
    <w:rsid w:val="008C7627"/>
    <w:rsid w:val="008C7823"/>
    <w:rsid w:val="008E4B67"/>
    <w:rsid w:val="00900016"/>
    <w:rsid w:val="00912B14"/>
    <w:rsid w:val="00927241"/>
    <w:rsid w:val="0094215E"/>
    <w:rsid w:val="00967474"/>
    <w:rsid w:val="00974F6D"/>
    <w:rsid w:val="009B7454"/>
    <w:rsid w:val="009D5AE1"/>
    <w:rsid w:val="009D71C8"/>
    <w:rsid w:val="009E6ADE"/>
    <w:rsid w:val="009F0657"/>
    <w:rsid w:val="00A00B3A"/>
    <w:rsid w:val="00A43F4E"/>
    <w:rsid w:val="00A96197"/>
    <w:rsid w:val="00A9671D"/>
    <w:rsid w:val="00AB6946"/>
    <w:rsid w:val="00AC0517"/>
    <w:rsid w:val="00AC3860"/>
    <w:rsid w:val="00AF29EA"/>
    <w:rsid w:val="00B325A2"/>
    <w:rsid w:val="00B400EA"/>
    <w:rsid w:val="00B50FB0"/>
    <w:rsid w:val="00B65242"/>
    <w:rsid w:val="00BA633A"/>
    <w:rsid w:val="00BC2D0E"/>
    <w:rsid w:val="00BF2AF5"/>
    <w:rsid w:val="00BF70A4"/>
    <w:rsid w:val="00C23ACF"/>
    <w:rsid w:val="00C34199"/>
    <w:rsid w:val="00C40395"/>
    <w:rsid w:val="00CA4C5F"/>
    <w:rsid w:val="00CB537E"/>
    <w:rsid w:val="00CC1006"/>
    <w:rsid w:val="00CD530A"/>
    <w:rsid w:val="00CF780B"/>
    <w:rsid w:val="00D165D6"/>
    <w:rsid w:val="00D203C1"/>
    <w:rsid w:val="00D26908"/>
    <w:rsid w:val="00D829B0"/>
    <w:rsid w:val="00D8438A"/>
    <w:rsid w:val="00DB4547"/>
    <w:rsid w:val="00DC3E3C"/>
    <w:rsid w:val="00DF5B16"/>
    <w:rsid w:val="00E24E9C"/>
    <w:rsid w:val="00E74396"/>
    <w:rsid w:val="00E90348"/>
    <w:rsid w:val="00EC4B83"/>
    <w:rsid w:val="00ED5386"/>
    <w:rsid w:val="00EE171E"/>
    <w:rsid w:val="00EF063E"/>
    <w:rsid w:val="00EF38EE"/>
    <w:rsid w:val="00F25FA5"/>
    <w:rsid w:val="00F31115"/>
    <w:rsid w:val="00F51298"/>
    <w:rsid w:val="00F52CA1"/>
    <w:rsid w:val="00F61353"/>
    <w:rsid w:val="00F65323"/>
    <w:rsid w:val="00F75F28"/>
    <w:rsid w:val="00F7768C"/>
    <w:rsid w:val="00FA7485"/>
    <w:rsid w:val="00FC11E5"/>
    <w:rsid w:val="00FC3499"/>
    <w:rsid w:val="00FC70C6"/>
    <w:rsid w:val="00FD155C"/>
    <w:rsid w:val="00FE664E"/>
    <w:rsid w:val="00FE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D032B"/>
  <w15:chartTrackingRefBased/>
  <w15:docId w15:val="{81473E92-C8AC-4C36-BCAA-E41CBBE5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4C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4C81"/>
    <w:pPr>
      <w:keepNext/>
      <w:keepLines/>
      <w:numPr>
        <w:numId w:val="1"/>
      </w:numPr>
      <w:spacing w:before="240"/>
      <w:ind w:left="432"/>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C4C81"/>
    <w:pPr>
      <w:keepNext/>
      <w:keepLines/>
      <w:numPr>
        <w:ilvl w:val="1"/>
        <w:numId w:val="1"/>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2C4C81"/>
    <w:pPr>
      <w:keepNext/>
      <w:keepLines/>
      <w:numPr>
        <w:ilvl w:val="2"/>
        <w:numId w:val="1"/>
      </w:numPr>
      <w:spacing w:before="40"/>
      <w:ind w:left="2160" w:hanging="36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2C4C8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C4C8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C4C8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C4C8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C4C8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4C8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C8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2C4C81"/>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2C4C8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C4C81"/>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2C4C81"/>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2C4C81"/>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2C4C81"/>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2C4C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4C81"/>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2C4C81"/>
    <w:pPr>
      <w:spacing w:after="0" w:line="240" w:lineRule="auto"/>
    </w:pPr>
    <w:rPr>
      <w:rFonts w:ascii="Times New Roman" w:hAnsi="Times New Roman"/>
      <w:sz w:val="24"/>
    </w:rPr>
  </w:style>
  <w:style w:type="character" w:styleId="Hyperlink">
    <w:name w:val="Hyperlink"/>
    <w:basedOn w:val="DefaultParagraphFont"/>
    <w:uiPriority w:val="99"/>
    <w:unhideWhenUsed/>
    <w:rsid w:val="002C4C81"/>
    <w:rPr>
      <w:color w:val="0563C1" w:themeColor="hyperlink"/>
      <w:u w:val="single"/>
    </w:rPr>
  </w:style>
  <w:style w:type="table" w:styleId="TableGrid">
    <w:name w:val="Table Grid"/>
    <w:basedOn w:val="TableNormal"/>
    <w:uiPriority w:val="59"/>
    <w:rsid w:val="002C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2C4C81"/>
    <w:rPr>
      <w:b/>
      <w:bCs/>
      <w:sz w:val="20"/>
      <w:szCs w:val="20"/>
    </w:rPr>
  </w:style>
  <w:style w:type="paragraph" w:styleId="TOC1">
    <w:name w:val="toc 1"/>
    <w:basedOn w:val="Normal"/>
    <w:next w:val="Normal"/>
    <w:autoRedefine/>
    <w:uiPriority w:val="39"/>
    <w:unhideWhenUsed/>
    <w:rsid w:val="002C4C81"/>
    <w:pPr>
      <w:spacing w:after="100"/>
    </w:pPr>
  </w:style>
  <w:style w:type="paragraph" w:styleId="NormalWeb">
    <w:name w:val="Normal (Web)"/>
    <w:basedOn w:val="Normal"/>
    <w:uiPriority w:val="99"/>
    <w:rsid w:val="002C4C81"/>
    <w:pPr>
      <w:spacing w:before="100" w:beforeAutospacing="1" w:after="100" w:afterAutospacing="1"/>
    </w:pPr>
  </w:style>
  <w:style w:type="paragraph" w:styleId="Header">
    <w:name w:val="header"/>
    <w:basedOn w:val="Normal"/>
    <w:link w:val="HeaderChar"/>
    <w:uiPriority w:val="99"/>
    <w:unhideWhenUsed/>
    <w:rsid w:val="002C4C81"/>
    <w:pPr>
      <w:tabs>
        <w:tab w:val="center" w:pos="4680"/>
        <w:tab w:val="right" w:pos="9360"/>
      </w:tabs>
    </w:pPr>
  </w:style>
  <w:style w:type="character" w:customStyle="1" w:styleId="HeaderChar">
    <w:name w:val="Header Char"/>
    <w:basedOn w:val="DefaultParagraphFont"/>
    <w:link w:val="Header"/>
    <w:uiPriority w:val="99"/>
    <w:rsid w:val="002C4C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4C81"/>
    <w:pPr>
      <w:tabs>
        <w:tab w:val="center" w:pos="4680"/>
        <w:tab w:val="right" w:pos="9360"/>
      </w:tabs>
    </w:pPr>
  </w:style>
  <w:style w:type="character" w:customStyle="1" w:styleId="FooterChar">
    <w:name w:val="Footer Char"/>
    <w:basedOn w:val="DefaultParagraphFont"/>
    <w:link w:val="Footer"/>
    <w:uiPriority w:val="99"/>
    <w:rsid w:val="002C4C81"/>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121894"/>
    <w:rPr>
      <w:sz w:val="16"/>
      <w:szCs w:val="16"/>
    </w:rPr>
  </w:style>
  <w:style w:type="paragraph" w:styleId="CommentText">
    <w:name w:val="annotation text"/>
    <w:basedOn w:val="Normal"/>
    <w:link w:val="CommentTextChar"/>
    <w:uiPriority w:val="99"/>
    <w:unhideWhenUsed/>
    <w:rsid w:val="00121894"/>
    <w:rPr>
      <w:sz w:val="20"/>
      <w:szCs w:val="20"/>
    </w:rPr>
  </w:style>
  <w:style w:type="character" w:customStyle="1" w:styleId="CommentTextChar">
    <w:name w:val="Comment Text Char"/>
    <w:basedOn w:val="DefaultParagraphFont"/>
    <w:link w:val="CommentText"/>
    <w:uiPriority w:val="99"/>
    <w:rsid w:val="001218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1894"/>
    <w:rPr>
      <w:b/>
      <w:bCs/>
    </w:rPr>
  </w:style>
  <w:style w:type="character" w:customStyle="1" w:styleId="CommentSubjectChar">
    <w:name w:val="Comment Subject Char"/>
    <w:basedOn w:val="CommentTextChar"/>
    <w:link w:val="CommentSubject"/>
    <w:uiPriority w:val="99"/>
    <w:semiHidden/>
    <w:rsid w:val="0012189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1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894"/>
    <w:rPr>
      <w:rFonts w:ascii="Segoe UI" w:eastAsia="Times New Roman" w:hAnsi="Segoe UI" w:cs="Segoe UI"/>
      <w:sz w:val="18"/>
      <w:szCs w:val="18"/>
    </w:rPr>
  </w:style>
  <w:style w:type="paragraph" w:styleId="FootnoteText">
    <w:name w:val="footnote text"/>
    <w:basedOn w:val="Normal"/>
    <w:link w:val="FootnoteTextChar"/>
    <w:uiPriority w:val="99"/>
    <w:rsid w:val="00DB4547"/>
    <w:rPr>
      <w:sz w:val="20"/>
      <w:szCs w:val="20"/>
    </w:rPr>
  </w:style>
  <w:style w:type="character" w:customStyle="1" w:styleId="FootnoteTextChar">
    <w:name w:val="Footnote Text Char"/>
    <w:basedOn w:val="DefaultParagraphFont"/>
    <w:link w:val="FootnoteText"/>
    <w:uiPriority w:val="99"/>
    <w:rsid w:val="00DB4547"/>
    <w:rPr>
      <w:rFonts w:ascii="Times New Roman" w:eastAsia="Times New Roman" w:hAnsi="Times New Roman" w:cs="Times New Roman"/>
      <w:sz w:val="20"/>
      <w:szCs w:val="20"/>
    </w:rPr>
  </w:style>
  <w:style w:type="character" w:styleId="FootnoteReference">
    <w:name w:val="footnote reference"/>
    <w:uiPriority w:val="99"/>
    <w:rsid w:val="00DB4547"/>
    <w:rPr>
      <w:rFonts w:cs="Times New Roman"/>
      <w:vertAlign w:val="superscript"/>
    </w:rPr>
  </w:style>
  <w:style w:type="paragraph" w:styleId="ListParagraph">
    <w:name w:val="List Paragraph"/>
    <w:aliases w:val="CH Bullets (square),CH_List Paragraph,Question"/>
    <w:basedOn w:val="Normal"/>
    <w:link w:val="ListParagraphChar"/>
    <w:uiPriority w:val="99"/>
    <w:qFormat/>
    <w:rsid w:val="00F51298"/>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aliases w:val="CH Bullets (square) Char,CH_List Paragraph Char,Question Char"/>
    <w:link w:val="ListParagraph"/>
    <w:uiPriority w:val="99"/>
    <w:locked/>
    <w:rsid w:val="00F51298"/>
    <w:rPr>
      <w:rFonts w:ascii="Calibri" w:eastAsia="Times New Roman" w:hAnsi="Calibri" w:cs="Times New Roman"/>
      <w:lang w:val="x-none" w:eastAsia="x-none"/>
    </w:rPr>
  </w:style>
  <w:style w:type="character" w:customStyle="1" w:styleId="UnresolvedMention1">
    <w:name w:val="Unresolved Mention1"/>
    <w:basedOn w:val="DefaultParagraphFont"/>
    <w:uiPriority w:val="99"/>
    <w:semiHidden/>
    <w:unhideWhenUsed/>
    <w:rsid w:val="007032E6"/>
    <w:rPr>
      <w:color w:val="605E5C"/>
      <w:shd w:val="clear" w:color="auto" w:fill="E1DFDD"/>
    </w:rPr>
  </w:style>
  <w:style w:type="paragraph" w:styleId="Revision">
    <w:name w:val="Revision"/>
    <w:hidden/>
    <w:uiPriority w:val="99"/>
    <w:semiHidden/>
    <w:rsid w:val="00F52CA1"/>
    <w:pPr>
      <w:spacing w:after="0"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EF0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18033">
      <w:bodyDiv w:val="1"/>
      <w:marLeft w:val="0"/>
      <w:marRight w:val="0"/>
      <w:marTop w:val="0"/>
      <w:marBottom w:val="0"/>
      <w:divBdr>
        <w:top w:val="none" w:sz="0" w:space="0" w:color="auto"/>
        <w:left w:val="none" w:sz="0" w:space="0" w:color="auto"/>
        <w:bottom w:val="none" w:sz="0" w:space="0" w:color="auto"/>
        <w:right w:val="none" w:sz="0" w:space="0" w:color="auto"/>
      </w:divBdr>
    </w:div>
    <w:div w:id="176719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gw6@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B2D13-B323-4C76-B8C6-908F573A2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2736</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Bonds, Constance (CDC/OID/NCHHSTP)</dc:creator>
  <cp:keywords/>
  <dc:description/>
  <cp:lastModifiedBy>Phelps, Tiffani L. (CDC/DDID/NCHHSTP/DSTDP)</cp:lastModifiedBy>
  <cp:revision>2</cp:revision>
  <cp:lastPrinted>2019-02-06T15:10:00Z</cp:lastPrinted>
  <dcterms:created xsi:type="dcterms:W3CDTF">2020-07-01T18:41:00Z</dcterms:created>
  <dcterms:modified xsi:type="dcterms:W3CDTF">2020-07-01T18:41:00Z</dcterms:modified>
</cp:coreProperties>
</file>