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10A71F" w14:textId="77777777" w:rsidR="005342FB" w:rsidRDefault="005342FB" w:rsidP="0057145B">
      <w:pPr>
        <w:pStyle w:val="NoSpacing"/>
        <w:spacing w:before="120" w:after="120"/>
        <w:jc w:val="center"/>
        <w:rPr>
          <w:b/>
        </w:rPr>
      </w:pPr>
      <w:bookmarkStart w:id="0" w:name="_GoBack"/>
      <w:bookmarkEnd w:id="0"/>
    </w:p>
    <w:p w14:paraId="0B422AC0" w14:textId="73C3BE49" w:rsidR="00FD5A95" w:rsidRPr="005C1657" w:rsidRDefault="006D7A8C" w:rsidP="006D7A8C">
      <w:pPr>
        <w:pStyle w:val="NoSpacing"/>
        <w:spacing w:before="120" w:after="120"/>
        <w:jc w:val="center"/>
      </w:pPr>
      <w:r w:rsidRPr="005C1657">
        <w:t>Assessment of Gonorrhea Case Interviewing in STD Surveillance Network Sites</w:t>
      </w:r>
    </w:p>
    <w:p w14:paraId="371CCAB0" w14:textId="6CF85B54" w:rsidR="005342FB" w:rsidRPr="00002C5F" w:rsidRDefault="00D14157" w:rsidP="0057145B">
      <w:pPr>
        <w:pStyle w:val="NoSpacing"/>
        <w:spacing w:before="120" w:after="120"/>
        <w:jc w:val="center"/>
      </w:pPr>
      <w:r w:rsidRPr="00002C5F">
        <w:t>Ge</w:t>
      </w:r>
      <w:r w:rsidR="00527188" w:rsidRPr="00002C5F">
        <w:t xml:space="preserve">neric </w:t>
      </w:r>
      <w:r w:rsidR="005342FB" w:rsidRPr="00002C5F">
        <w:t xml:space="preserve">Information Collection Request under </w:t>
      </w:r>
      <w:r w:rsidR="005342FB" w:rsidRPr="006009F0">
        <w:t>OMB #0920-</w:t>
      </w:r>
      <w:r w:rsidR="006009F0">
        <w:t>0840</w:t>
      </w:r>
    </w:p>
    <w:p w14:paraId="6698A4FE" w14:textId="77777777" w:rsidR="005342FB" w:rsidRPr="00002C5F" w:rsidRDefault="005342FB" w:rsidP="0057145B">
      <w:pPr>
        <w:pStyle w:val="NoSpacing"/>
        <w:spacing w:before="120" w:after="120"/>
        <w:jc w:val="center"/>
      </w:pPr>
    </w:p>
    <w:p w14:paraId="08FE8310" w14:textId="77777777" w:rsidR="005342FB" w:rsidRPr="00002C5F" w:rsidRDefault="005342FB" w:rsidP="0057145B">
      <w:pPr>
        <w:pStyle w:val="NoSpacing"/>
        <w:spacing w:before="120" w:after="120"/>
        <w:jc w:val="center"/>
      </w:pPr>
    </w:p>
    <w:p w14:paraId="26F6A7AC" w14:textId="77777777" w:rsidR="005342FB" w:rsidRPr="00002C5F" w:rsidRDefault="005342FB" w:rsidP="0057145B">
      <w:pPr>
        <w:pStyle w:val="NoSpacing"/>
        <w:spacing w:before="120" w:after="120"/>
        <w:jc w:val="center"/>
      </w:pPr>
    </w:p>
    <w:p w14:paraId="5F8B476D" w14:textId="77777777" w:rsidR="005342FB" w:rsidRPr="00002C5F" w:rsidRDefault="005342FB" w:rsidP="0057145B">
      <w:pPr>
        <w:pStyle w:val="NoSpacing"/>
        <w:spacing w:before="120" w:after="120"/>
        <w:jc w:val="center"/>
      </w:pPr>
      <w:r w:rsidRPr="00002C5F">
        <w:t>Section B: Supporting Statement</w:t>
      </w:r>
    </w:p>
    <w:p w14:paraId="7D40078C" w14:textId="77777777" w:rsidR="005342FB" w:rsidRDefault="005342FB" w:rsidP="0057145B">
      <w:pPr>
        <w:pStyle w:val="NoSpacing"/>
        <w:spacing w:before="120" w:after="120"/>
        <w:jc w:val="center"/>
        <w:rPr>
          <w:b/>
        </w:rPr>
      </w:pPr>
    </w:p>
    <w:p w14:paraId="1C6E75BB" w14:textId="77777777" w:rsidR="005342FB" w:rsidRDefault="005342FB" w:rsidP="0057145B">
      <w:pPr>
        <w:pStyle w:val="NoSpacing"/>
        <w:spacing w:before="120" w:after="120"/>
        <w:jc w:val="center"/>
        <w:rPr>
          <w:b/>
        </w:rPr>
      </w:pPr>
    </w:p>
    <w:p w14:paraId="54A741C0" w14:textId="77777777" w:rsidR="005342FB" w:rsidRDefault="005342FB" w:rsidP="0057145B">
      <w:pPr>
        <w:pStyle w:val="NoSpacing"/>
        <w:spacing w:before="120" w:after="120"/>
        <w:rPr>
          <w:b/>
        </w:rPr>
      </w:pPr>
    </w:p>
    <w:p w14:paraId="2F925325" w14:textId="77777777" w:rsidR="005342FB" w:rsidRDefault="005342FB" w:rsidP="0057145B">
      <w:pPr>
        <w:pStyle w:val="NoSpacing"/>
        <w:spacing w:before="120" w:after="120"/>
        <w:jc w:val="center"/>
        <w:rPr>
          <w:b/>
        </w:rPr>
      </w:pPr>
    </w:p>
    <w:p w14:paraId="1B8C779A" w14:textId="600AA7E6" w:rsidR="00013F21" w:rsidRPr="00002C5F" w:rsidRDefault="003561AC" w:rsidP="0057145B">
      <w:pPr>
        <w:pStyle w:val="NoSpacing"/>
        <w:spacing w:before="120" w:after="120"/>
        <w:jc w:val="center"/>
      </w:pPr>
      <w:r>
        <w:t>June 24</w:t>
      </w:r>
      <w:r w:rsidR="00190CE1">
        <w:t>, 2019</w:t>
      </w:r>
    </w:p>
    <w:p w14:paraId="76D51B85" w14:textId="77777777" w:rsidR="005342FB" w:rsidRDefault="005342FB" w:rsidP="0057145B">
      <w:pPr>
        <w:pStyle w:val="NoSpacing"/>
        <w:spacing w:before="120" w:after="120"/>
        <w:jc w:val="center"/>
        <w:rPr>
          <w:b/>
        </w:rPr>
      </w:pPr>
    </w:p>
    <w:p w14:paraId="688DAF94" w14:textId="77777777" w:rsidR="005342FB" w:rsidRDefault="005342FB" w:rsidP="0057145B">
      <w:pPr>
        <w:pStyle w:val="NoSpacing"/>
        <w:spacing w:before="120" w:after="120"/>
        <w:jc w:val="center"/>
        <w:rPr>
          <w:b/>
        </w:rPr>
      </w:pPr>
    </w:p>
    <w:p w14:paraId="1E95C11F" w14:textId="77777777" w:rsidR="005342FB" w:rsidRDefault="005342FB" w:rsidP="0057145B">
      <w:pPr>
        <w:pStyle w:val="NoSpacing"/>
        <w:spacing w:before="120" w:after="120"/>
        <w:jc w:val="center"/>
        <w:rPr>
          <w:b/>
        </w:rPr>
      </w:pPr>
      <w:r>
        <w:rPr>
          <w:b/>
        </w:rPr>
        <w:t>CONTACT</w:t>
      </w:r>
    </w:p>
    <w:p w14:paraId="45F15F46" w14:textId="77777777" w:rsidR="006D7A8C" w:rsidRPr="00603813" w:rsidRDefault="006D7A8C" w:rsidP="006D7A8C">
      <w:pPr>
        <w:spacing w:before="120" w:after="120"/>
        <w:mirrorIndents/>
        <w:jc w:val="center"/>
        <w:rPr>
          <w:shd w:val="clear" w:color="auto" w:fill="FFFFFF"/>
        </w:rPr>
      </w:pPr>
      <w:r>
        <w:rPr>
          <w:bCs/>
          <w:shd w:val="clear" w:color="auto" w:fill="FFFFFF"/>
        </w:rPr>
        <w:t xml:space="preserve">Brandy L. Maddox, </w:t>
      </w:r>
      <w:r>
        <w:t>MPH, MCHES</w:t>
      </w:r>
      <w:r w:rsidRPr="00603813">
        <w:br/>
      </w:r>
      <w:r>
        <w:t>Health Scientist / Principal Investigator</w:t>
      </w:r>
    </w:p>
    <w:p w14:paraId="57E0E834" w14:textId="77777777" w:rsidR="006D7A8C" w:rsidRDefault="006D7A8C" w:rsidP="006D7A8C">
      <w:pPr>
        <w:pStyle w:val="NoSpacing"/>
        <w:spacing w:before="120" w:after="120"/>
        <w:mirrorIndents/>
        <w:jc w:val="center"/>
        <w:rPr>
          <w:shd w:val="clear" w:color="auto" w:fill="FFFFFF"/>
        </w:rPr>
      </w:pPr>
      <w:r w:rsidRPr="00603813">
        <w:rPr>
          <w:shd w:val="clear" w:color="auto" w:fill="FFFFFF"/>
        </w:rPr>
        <w:t>Centers for Disease Control and Prevention</w:t>
      </w:r>
      <w:r w:rsidRPr="00603813">
        <w:br/>
      </w:r>
      <w:r w:rsidRPr="00603813">
        <w:rPr>
          <w:shd w:val="clear" w:color="auto" w:fill="FFFFFF"/>
        </w:rPr>
        <w:t xml:space="preserve">Division of </w:t>
      </w:r>
      <w:r>
        <w:rPr>
          <w:shd w:val="clear" w:color="auto" w:fill="FFFFFF"/>
        </w:rPr>
        <w:t>STD</w:t>
      </w:r>
      <w:r w:rsidRPr="00603813">
        <w:rPr>
          <w:shd w:val="clear" w:color="auto" w:fill="FFFFFF"/>
        </w:rPr>
        <w:t xml:space="preserve"> Prevention</w:t>
      </w:r>
      <w:r w:rsidRPr="00603813">
        <w:t xml:space="preserve"> </w:t>
      </w:r>
      <w:r w:rsidRPr="00603813">
        <w:br/>
      </w:r>
      <w:r w:rsidRPr="00603813">
        <w:rPr>
          <w:shd w:val="clear" w:color="auto" w:fill="FFFFFF"/>
        </w:rPr>
        <w:t xml:space="preserve">1600 Clifton Road, NE, Mailstop </w:t>
      </w:r>
      <w:r>
        <w:rPr>
          <w:shd w:val="clear" w:color="auto" w:fill="FFFFFF"/>
        </w:rPr>
        <w:t>US 12-2</w:t>
      </w:r>
    </w:p>
    <w:p w14:paraId="6A3902AE" w14:textId="77777777" w:rsidR="006D7A8C" w:rsidRPr="00491EB1" w:rsidRDefault="006D7A8C" w:rsidP="006D7A8C">
      <w:pPr>
        <w:pStyle w:val="NoSpacing"/>
        <w:spacing w:before="120" w:after="120"/>
        <w:mirrorIndents/>
        <w:jc w:val="center"/>
        <w:rPr>
          <w:shd w:val="clear" w:color="auto" w:fill="FFFFFF"/>
        </w:rPr>
      </w:pPr>
      <w:r w:rsidRPr="00603813">
        <w:rPr>
          <w:shd w:val="clear" w:color="auto" w:fill="FFFFFF"/>
        </w:rPr>
        <w:t>Atlanta, GA 30333</w:t>
      </w:r>
      <w:r w:rsidRPr="00603813">
        <w:br/>
      </w:r>
      <w:r w:rsidRPr="00603813">
        <w:rPr>
          <w:shd w:val="clear" w:color="auto" w:fill="FFFFFF"/>
        </w:rPr>
        <w:t xml:space="preserve">Phone: </w:t>
      </w:r>
      <w:r>
        <w:rPr>
          <w:shd w:val="clear" w:color="auto" w:fill="FFFFFF"/>
        </w:rPr>
        <w:t>404-639-8511</w:t>
      </w:r>
      <w:r w:rsidRPr="00603813">
        <w:br/>
      </w:r>
      <w:r w:rsidRPr="00603813">
        <w:rPr>
          <w:shd w:val="clear" w:color="auto" w:fill="FFFFFF"/>
        </w:rPr>
        <w:t>E-mail:</w:t>
      </w:r>
      <w:r w:rsidRPr="00603813">
        <w:t> </w:t>
      </w:r>
      <w:r>
        <w:t>ftn6@cdc.gov</w:t>
      </w:r>
    </w:p>
    <w:p w14:paraId="417F2FC7" w14:textId="77777777" w:rsidR="00DC57CC" w:rsidRDefault="00DC57CC" w:rsidP="0057145B">
      <w:pPr>
        <w:spacing w:before="120" w:after="120"/>
      </w:pPr>
    </w:p>
    <w:p w14:paraId="4758AA4D" w14:textId="77777777" w:rsidR="005342FB" w:rsidRDefault="005342FB" w:rsidP="0057145B">
      <w:pPr>
        <w:spacing w:before="120" w:after="120"/>
        <w:rPr>
          <w:rFonts w:eastAsiaTheme="minorHAnsi" w:cstheme="minorBidi"/>
          <w:szCs w:val="22"/>
        </w:rPr>
      </w:pPr>
      <w:r>
        <w:br w:type="page"/>
      </w:r>
    </w:p>
    <w:p w14:paraId="2F8A30FA" w14:textId="77777777" w:rsidR="005342FB" w:rsidRDefault="005342FB" w:rsidP="0057145B">
      <w:pPr>
        <w:pStyle w:val="NoSpacing"/>
        <w:pBdr>
          <w:bottom w:val="single" w:sz="4" w:space="1" w:color="auto"/>
        </w:pBdr>
        <w:spacing w:before="120" w:after="120"/>
        <w:rPr>
          <w:b/>
        </w:rPr>
      </w:pPr>
      <w:r w:rsidRPr="00D3747B">
        <w:rPr>
          <w:b/>
        </w:rPr>
        <w:lastRenderedPageBreak/>
        <w:t>TABLE OF CONTENTS</w:t>
      </w:r>
    </w:p>
    <w:p w14:paraId="6385BAF7" w14:textId="77777777" w:rsidR="00D3747B" w:rsidRPr="00D3747B" w:rsidRDefault="00D3747B" w:rsidP="0057145B">
      <w:pPr>
        <w:pStyle w:val="NoSpacing"/>
        <w:spacing w:before="120" w:after="120"/>
        <w:rPr>
          <w:b/>
        </w:rPr>
      </w:pPr>
    </w:p>
    <w:sdt>
      <w:sdtPr>
        <w:id w:val="1342736994"/>
        <w:docPartObj>
          <w:docPartGallery w:val="Table of Contents"/>
          <w:docPartUnique/>
        </w:docPartObj>
      </w:sdtPr>
      <w:sdtEndPr>
        <w:rPr>
          <w:b/>
          <w:bCs/>
          <w:noProof/>
        </w:rPr>
      </w:sdtEndPr>
      <w:sdtContent>
        <w:p w14:paraId="1C626EE6" w14:textId="191FF71F" w:rsidR="00D3747B" w:rsidRDefault="00D3747B" w:rsidP="0057145B">
          <w:pPr>
            <w:pStyle w:val="TOC1"/>
            <w:spacing w:before="120" w:after="120"/>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445107011" w:history="1">
            <w:r w:rsidRPr="009C4819">
              <w:rPr>
                <w:rStyle w:val="Hyperlink"/>
                <w:rFonts w:eastAsiaTheme="majorEastAsia"/>
                <w:noProof/>
              </w:rPr>
              <w:t>1.</w:t>
            </w:r>
            <w:r>
              <w:rPr>
                <w:rFonts w:asciiTheme="minorHAnsi" w:eastAsiaTheme="minorEastAsia" w:hAnsiTheme="minorHAnsi" w:cstheme="minorBidi"/>
                <w:noProof/>
                <w:sz w:val="22"/>
                <w:szCs w:val="22"/>
              </w:rPr>
              <w:tab/>
            </w:r>
            <w:r w:rsidRPr="009C4819">
              <w:rPr>
                <w:rStyle w:val="Hyperlink"/>
                <w:rFonts w:eastAsiaTheme="majorEastAsia"/>
                <w:noProof/>
              </w:rPr>
              <w:t>Respondent Universe and Sampling Methods</w:t>
            </w:r>
            <w:r>
              <w:rPr>
                <w:noProof/>
                <w:webHidden/>
              </w:rPr>
              <w:tab/>
            </w:r>
            <w:r>
              <w:rPr>
                <w:noProof/>
                <w:webHidden/>
              </w:rPr>
              <w:fldChar w:fldCharType="begin"/>
            </w:r>
            <w:r>
              <w:rPr>
                <w:noProof/>
                <w:webHidden/>
              </w:rPr>
              <w:instrText xml:space="preserve"> PAGEREF _Toc445107011 \h </w:instrText>
            </w:r>
            <w:r>
              <w:rPr>
                <w:noProof/>
                <w:webHidden/>
              </w:rPr>
            </w:r>
            <w:r>
              <w:rPr>
                <w:noProof/>
                <w:webHidden/>
              </w:rPr>
              <w:fldChar w:fldCharType="separate"/>
            </w:r>
            <w:r w:rsidR="00455029">
              <w:rPr>
                <w:noProof/>
                <w:webHidden/>
              </w:rPr>
              <w:t>3</w:t>
            </w:r>
            <w:r>
              <w:rPr>
                <w:noProof/>
                <w:webHidden/>
              </w:rPr>
              <w:fldChar w:fldCharType="end"/>
            </w:r>
          </w:hyperlink>
        </w:p>
        <w:p w14:paraId="074526E1" w14:textId="3A2B612A" w:rsidR="00D3747B" w:rsidRDefault="00006EC8" w:rsidP="0057145B">
          <w:pPr>
            <w:pStyle w:val="TOC1"/>
            <w:spacing w:before="120" w:after="120"/>
            <w:rPr>
              <w:rFonts w:asciiTheme="minorHAnsi" w:eastAsiaTheme="minorEastAsia" w:hAnsiTheme="minorHAnsi" w:cstheme="minorBidi"/>
              <w:noProof/>
              <w:sz w:val="22"/>
              <w:szCs w:val="22"/>
            </w:rPr>
          </w:pPr>
          <w:hyperlink w:anchor="_Toc445107012" w:history="1">
            <w:r w:rsidR="00D3747B" w:rsidRPr="009C4819">
              <w:rPr>
                <w:rStyle w:val="Hyperlink"/>
                <w:rFonts w:eastAsiaTheme="majorEastAsia"/>
                <w:noProof/>
              </w:rPr>
              <w:t>2.</w:t>
            </w:r>
            <w:r w:rsidR="00D3747B">
              <w:rPr>
                <w:rFonts w:asciiTheme="minorHAnsi" w:eastAsiaTheme="minorEastAsia" w:hAnsiTheme="minorHAnsi" w:cstheme="minorBidi"/>
                <w:noProof/>
                <w:sz w:val="22"/>
                <w:szCs w:val="22"/>
              </w:rPr>
              <w:tab/>
            </w:r>
            <w:r w:rsidR="00D3747B" w:rsidRPr="009C4819">
              <w:rPr>
                <w:rStyle w:val="Hyperlink"/>
                <w:rFonts w:eastAsiaTheme="majorEastAsia"/>
                <w:noProof/>
              </w:rPr>
              <w:t>Procedures for the Collection of Information</w:t>
            </w:r>
            <w:r w:rsidR="00D3747B">
              <w:rPr>
                <w:noProof/>
                <w:webHidden/>
              </w:rPr>
              <w:tab/>
            </w:r>
            <w:r w:rsidR="00D3747B">
              <w:rPr>
                <w:noProof/>
                <w:webHidden/>
              </w:rPr>
              <w:fldChar w:fldCharType="begin"/>
            </w:r>
            <w:r w:rsidR="00D3747B">
              <w:rPr>
                <w:noProof/>
                <w:webHidden/>
              </w:rPr>
              <w:instrText xml:space="preserve"> PAGEREF _Toc445107012 \h </w:instrText>
            </w:r>
            <w:r w:rsidR="00D3747B">
              <w:rPr>
                <w:noProof/>
                <w:webHidden/>
              </w:rPr>
            </w:r>
            <w:r w:rsidR="00D3747B">
              <w:rPr>
                <w:noProof/>
                <w:webHidden/>
              </w:rPr>
              <w:fldChar w:fldCharType="separate"/>
            </w:r>
            <w:r w:rsidR="00455029">
              <w:rPr>
                <w:noProof/>
                <w:webHidden/>
              </w:rPr>
              <w:t>5</w:t>
            </w:r>
            <w:r w:rsidR="00D3747B">
              <w:rPr>
                <w:noProof/>
                <w:webHidden/>
              </w:rPr>
              <w:fldChar w:fldCharType="end"/>
            </w:r>
          </w:hyperlink>
        </w:p>
        <w:p w14:paraId="02F1377F" w14:textId="56DC5109" w:rsidR="00D3747B" w:rsidRDefault="00006EC8" w:rsidP="0057145B">
          <w:pPr>
            <w:pStyle w:val="TOC1"/>
            <w:spacing w:before="120" w:after="120"/>
            <w:rPr>
              <w:rFonts w:asciiTheme="minorHAnsi" w:eastAsiaTheme="minorEastAsia" w:hAnsiTheme="minorHAnsi" w:cstheme="minorBidi"/>
              <w:noProof/>
              <w:sz w:val="22"/>
              <w:szCs w:val="22"/>
            </w:rPr>
          </w:pPr>
          <w:hyperlink w:anchor="_Toc445107013" w:history="1">
            <w:r w:rsidR="00D3747B" w:rsidRPr="009C4819">
              <w:rPr>
                <w:rStyle w:val="Hyperlink"/>
                <w:rFonts w:eastAsiaTheme="majorEastAsia"/>
                <w:noProof/>
              </w:rPr>
              <w:t>3.</w:t>
            </w:r>
            <w:r w:rsidR="00D3747B">
              <w:rPr>
                <w:rFonts w:asciiTheme="minorHAnsi" w:eastAsiaTheme="minorEastAsia" w:hAnsiTheme="minorHAnsi" w:cstheme="minorBidi"/>
                <w:noProof/>
                <w:sz w:val="22"/>
                <w:szCs w:val="22"/>
              </w:rPr>
              <w:tab/>
            </w:r>
            <w:r w:rsidR="00D3747B" w:rsidRPr="009C4819">
              <w:rPr>
                <w:rStyle w:val="Hyperlink"/>
                <w:rFonts w:eastAsiaTheme="majorEastAsia"/>
                <w:noProof/>
              </w:rPr>
              <w:t>Methods to Maximize Response Rates and Deal with No Response</w:t>
            </w:r>
            <w:r w:rsidR="00D3747B">
              <w:rPr>
                <w:noProof/>
                <w:webHidden/>
              </w:rPr>
              <w:tab/>
            </w:r>
            <w:r w:rsidR="00D3747B">
              <w:rPr>
                <w:noProof/>
                <w:webHidden/>
              </w:rPr>
              <w:fldChar w:fldCharType="begin"/>
            </w:r>
            <w:r w:rsidR="00D3747B">
              <w:rPr>
                <w:noProof/>
                <w:webHidden/>
              </w:rPr>
              <w:instrText xml:space="preserve"> PAGEREF _Toc445107013 \h </w:instrText>
            </w:r>
            <w:r w:rsidR="00D3747B">
              <w:rPr>
                <w:noProof/>
                <w:webHidden/>
              </w:rPr>
            </w:r>
            <w:r w:rsidR="00D3747B">
              <w:rPr>
                <w:noProof/>
                <w:webHidden/>
              </w:rPr>
              <w:fldChar w:fldCharType="separate"/>
            </w:r>
            <w:r w:rsidR="00455029">
              <w:rPr>
                <w:noProof/>
                <w:webHidden/>
              </w:rPr>
              <w:t>7</w:t>
            </w:r>
            <w:r w:rsidR="00D3747B">
              <w:rPr>
                <w:noProof/>
                <w:webHidden/>
              </w:rPr>
              <w:fldChar w:fldCharType="end"/>
            </w:r>
          </w:hyperlink>
        </w:p>
        <w:p w14:paraId="7AEAA7A0" w14:textId="5357F212" w:rsidR="00D3747B" w:rsidRDefault="00006EC8" w:rsidP="0057145B">
          <w:pPr>
            <w:pStyle w:val="TOC1"/>
            <w:spacing w:before="120" w:after="120"/>
            <w:rPr>
              <w:rFonts w:asciiTheme="minorHAnsi" w:eastAsiaTheme="minorEastAsia" w:hAnsiTheme="minorHAnsi" w:cstheme="minorBidi"/>
              <w:noProof/>
              <w:sz w:val="22"/>
              <w:szCs w:val="22"/>
            </w:rPr>
          </w:pPr>
          <w:hyperlink w:anchor="_Toc445107014" w:history="1">
            <w:r w:rsidR="00D3747B" w:rsidRPr="009C4819">
              <w:rPr>
                <w:rStyle w:val="Hyperlink"/>
                <w:rFonts w:eastAsiaTheme="majorEastAsia"/>
                <w:noProof/>
              </w:rPr>
              <w:t>4.</w:t>
            </w:r>
            <w:r w:rsidR="00D3747B">
              <w:rPr>
                <w:rFonts w:asciiTheme="minorHAnsi" w:eastAsiaTheme="minorEastAsia" w:hAnsiTheme="minorHAnsi" w:cstheme="minorBidi"/>
                <w:noProof/>
                <w:sz w:val="22"/>
                <w:szCs w:val="22"/>
              </w:rPr>
              <w:tab/>
            </w:r>
            <w:r w:rsidR="00D3747B" w:rsidRPr="009C4819">
              <w:rPr>
                <w:rStyle w:val="Hyperlink"/>
                <w:rFonts w:eastAsiaTheme="majorEastAsia"/>
                <w:noProof/>
              </w:rPr>
              <w:t>Tests of Procedures or Methods to be Undertaken</w:t>
            </w:r>
            <w:r w:rsidR="00D3747B">
              <w:rPr>
                <w:noProof/>
                <w:webHidden/>
              </w:rPr>
              <w:tab/>
            </w:r>
            <w:r w:rsidR="00D3747B">
              <w:rPr>
                <w:noProof/>
                <w:webHidden/>
              </w:rPr>
              <w:fldChar w:fldCharType="begin"/>
            </w:r>
            <w:r w:rsidR="00D3747B">
              <w:rPr>
                <w:noProof/>
                <w:webHidden/>
              </w:rPr>
              <w:instrText xml:space="preserve"> PAGEREF _Toc445107014 \h </w:instrText>
            </w:r>
            <w:r w:rsidR="00D3747B">
              <w:rPr>
                <w:noProof/>
                <w:webHidden/>
              </w:rPr>
            </w:r>
            <w:r w:rsidR="00D3747B">
              <w:rPr>
                <w:noProof/>
                <w:webHidden/>
              </w:rPr>
              <w:fldChar w:fldCharType="separate"/>
            </w:r>
            <w:r w:rsidR="00455029">
              <w:rPr>
                <w:noProof/>
                <w:webHidden/>
              </w:rPr>
              <w:t>7</w:t>
            </w:r>
            <w:r w:rsidR="00D3747B">
              <w:rPr>
                <w:noProof/>
                <w:webHidden/>
              </w:rPr>
              <w:fldChar w:fldCharType="end"/>
            </w:r>
          </w:hyperlink>
        </w:p>
        <w:p w14:paraId="172D9094" w14:textId="2920C5D8" w:rsidR="00D3747B" w:rsidRDefault="00006EC8" w:rsidP="0057145B">
          <w:pPr>
            <w:pStyle w:val="TOC1"/>
            <w:spacing w:before="120" w:after="120"/>
            <w:rPr>
              <w:rFonts w:asciiTheme="minorHAnsi" w:eastAsiaTheme="minorEastAsia" w:hAnsiTheme="minorHAnsi" w:cstheme="minorBidi"/>
              <w:noProof/>
              <w:sz w:val="22"/>
              <w:szCs w:val="22"/>
            </w:rPr>
          </w:pPr>
          <w:hyperlink w:anchor="_Toc445107015" w:history="1">
            <w:r w:rsidR="00D3747B" w:rsidRPr="009C4819">
              <w:rPr>
                <w:rStyle w:val="Hyperlink"/>
                <w:rFonts w:eastAsiaTheme="majorEastAsia"/>
                <w:noProof/>
              </w:rPr>
              <w:t>5.</w:t>
            </w:r>
            <w:r w:rsidR="00D3747B">
              <w:rPr>
                <w:rFonts w:asciiTheme="minorHAnsi" w:eastAsiaTheme="minorEastAsia" w:hAnsiTheme="minorHAnsi" w:cstheme="minorBidi"/>
                <w:noProof/>
                <w:sz w:val="22"/>
                <w:szCs w:val="22"/>
              </w:rPr>
              <w:tab/>
            </w:r>
            <w:r w:rsidR="00D3747B" w:rsidRPr="009C4819">
              <w:rPr>
                <w:rStyle w:val="Hyperlink"/>
                <w:rFonts w:eastAsiaTheme="majorEastAsia"/>
                <w:noProof/>
              </w:rPr>
              <w:t>Individuals Consulted on Statistical Aspects and Individuals Collecting and/or Analyzing Data</w:t>
            </w:r>
            <w:r w:rsidR="00D3747B">
              <w:rPr>
                <w:noProof/>
                <w:webHidden/>
              </w:rPr>
              <w:tab/>
            </w:r>
            <w:r w:rsidR="00D3747B">
              <w:rPr>
                <w:noProof/>
                <w:webHidden/>
              </w:rPr>
              <w:fldChar w:fldCharType="begin"/>
            </w:r>
            <w:r w:rsidR="00D3747B">
              <w:rPr>
                <w:noProof/>
                <w:webHidden/>
              </w:rPr>
              <w:instrText xml:space="preserve"> PAGEREF _Toc445107015 \h </w:instrText>
            </w:r>
            <w:r w:rsidR="00D3747B">
              <w:rPr>
                <w:noProof/>
                <w:webHidden/>
              </w:rPr>
            </w:r>
            <w:r w:rsidR="00D3747B">
              <w:rPr>
                <w:noProof/>
                <w:webHidden/>
              </w:rPr>
              <w:fldChar w:fldCharType="separate"/>
            </w:r>
            <w:r w:rsidR="00455029">
              <w:rPr>
                <w:noProof/>
                <w:webHidden/>
              </w:rPr>
              <w:t>7</w:t>
            </w:r>
            <w:r w:rsidR="00D3747B">
              <w:rPr>
                <w:noProof/>
                <w:webHidden/>
              </w:rPr>
              <w:fldChar w:fldCharType="end"/>
            </w:r>
          </w:hyperlink>
        </w:p>
        <w:p w14:paraId="4A103417" w14:textId="77777777" w:rsidR="00D3747B" w:rsidRDefault="00D3747B" w:rsidP="0057145B">
          <w:pPr>
            <w:spacing w:before="120" w:after="120"/>
          </w:pPr>
          <w:r>
            <w:rPr>
              <w:b/>
              <w:bCs/>
              <w:noProof/>
            </w:rPr>
            <w:fldChar w:fldCharType="end"/>
          </w:r>
        </w:p>
      </w:sdtContent>
    </w:sdt>
    <w:p w14:paraId="6AAB2447" w14:textId="77777777" w:rsidR="005342FB" w:rsidRDefault="005342FB" w:rsidP="0057145B">
      <w:pPr>
        <w:pStyle w:val="NoSpacing"/>
        <w:spacing w:before="120" w:after="120"/>
      </w:pPr>
    </w:p>
    <w:p w14:paraId="429BB466" w14:textId="77777777" w:rsidR="005342FB" w:rsidRDefault="00D3747B" w:rsidP="0057145B">
      <w:pPr>
        <w:pStyle w:val="NoSpacing"/>
        <w:pBdr>
          <w:bottom w:val="single" w:sz="4" w:space="1" w:color="auto"/>
        </w:pBdr>
        <w:spacing w:before="120" w:after="120"/>
        <w:rPr>
          <w:b/>
        </w:rPr>
      </w:pPr>
      <w:r w:rsidRPr="00D3747B">
        <w:rPr>
          <w:b/>
        </w:rPr>
        <w:t>EXHIBITS</w:t>
      </w:r>
    </w:p>
    <w:p w14:paraId="6A648984" w14:textId="77777777" w:rsidR="00FF1B1C" w:rsidRPr="00D3747B" w:rsidRDefault="00FF1B1C" w:rsidP="0057145B">
      <w:pPr>
        <w:pStyle w:val="NoSpacing"/>
        <w:spacing w:before="120" w:after="120"/>
        <w:rPr>
          <w:b/>
        </w:rPr>
      </w:pPr>
    </w:p>
    <w:p w14:paraId="2DFC6C57" w14:textId="664C9E3C" w:rsidR="00BA26E1" w:rsidRDefault="007F29CE">
      <w:pPr>
        <w:pStyle w:val="TableofFigures"/>
        <w:tabs>
          <w:tab w:val="right" w:leader="dot" w:pos="9350"/>
        </w:tabs>
        <w:rPr>
          <w:rFonts w:asciiTheme="minorHAnsi" w:eastAsiaTheme="minorEastAsia" w:hAnsiTheme="minorHAnsi" w:cstheme="minorBidi"/>
          <w:noProof/>
          <w:sz w:val="22"/>
          <w:szCs w:val="22"/>
        </w:rPr>
      </w:pPr>
      <w:r>
        <w:fldChar w:fldCharType="begin"/>
      </w:r>
      <w:r>
        <w:instrText xml:space="preserve"> TOC \h \z \c "Exhibit" </w:instrText>
      </w:r>
      <w:r>
        <w:fldChar w:fldCharType="separate"/>
      </w:r>
      <w:hyperlink w:anchor="_Toc500513544" w:history="1">
        <w:r w:rsidR="00BA26E1" w:rsidRPr="00A33C5C">
          <w:rPr>
            <w:rStyle w:val="Hyperlink"/>
            <w:noProof/>
          </w:rPr>
          <w:t>Exhibit 5.1: Statistical Consultants</w:t>
        </w:r>
        <w:r w:rsidR="00BA26E1">
          <w:rPr>
            <w:noProof/>
            <w:webHidden/>
          </w:rPr>
          <w:tab/>
        </w:r>
        <w:r w:rsidR="00BA26E1">
          <w:rPr>
            <w:noProof/>
            <w:webHidden/>
          </w:rPr>
          <w:fldChar w:fldCharType="begin"/>
        </w:r>
        <w:r w:rsidR="00BA26E1">
          <w:rPr>
            <w:noProof/>
            <w:webHidden/>
          </w:rPr>
          <w:instrText xml:space="preserve"> PAGEREF _Toc500513544 \h </w:instrText>
        </w:r>
        <w:r w:rsidR="00BA26E1">
          <w:rPr>
            <w:noProof/>
            <w:webHidden/>
          </w:rPr>
        </w:r>
        <w:r w:rsidR="00BA26E1">
          <w:rPr>
            <w:noProof/>
            <w:webHidden/>
          </w:rPr>
          <w:fldChar w:fldCharType="separate"/>
        </w:r>
        <w:r w:rsidR="00455029">
          <w:rPr>
            <w:noProof/>
            <w:webHidden/>
          </w:rPr>
          <w:t>7</w:t>
        </w:r>
        <w:r w:rsidR="00BA26E1">
          <w:rPr>
            <w:noProof/>
            <w:webHidden/>
          </w:rPr>
          <w:fldChar w:fldCharType="end"/>
        </w:r>
      </w:hyperlink>
    </w:p>
    <w:p w14:paraId="47D501D9" w14:textId="77777777" w:rsidR="00FF1B1C" w:rsidRDefault="007F29CE" w:rsidP="0057145B">
      <w:pPr>
        <w:pStyle w:val="NoSpacing"/>
        <w:spacing w:before="120" w:after="120"/>
        <w:rPr>
          <w:b/>
        </w:rPr>
      </w:pPr>
      <w:r>
        <w:fldChar w:fldCharType="end"/>
      </w:r>
      <w:r w:rsidRPr="00D3747B">
        <w:rPr>
          <w:b/>
        </w:rPr>
        <w:t xml:space="preserve"> </w:t>
      </w:r>
    </w:p>
    <w:p w14:paraId="51B4BD2B" w14:textId="77777777" w:rsidR="005342FB" w:rsidRPr="00E451A4" w:rsidRDefault="005342FB" w:rsidP="0057145B">
      <w:pPr>
        <w:pStyle w:val="NoSpacing"/>
        <w:tabs>
          <w:tab w:val="left" w:pos="360"/>
        </w:tabs>
        <w:spacing w:before="120" w:after="120"/>
      </w:pPr>
      <w:r w:rsidRPr="00D3747B">
        <w:rPr>
          <w:b/>
        </w:rPr>
        <w:br w:type="page"/>
      </w:r>
    </w:p>
    <w:p w14:paraId="1DCA0492" w14:textId="77777777" w:rsidR="005342FB" w:rsidRDefault="005342FB" w:rsidP="0057145B">
      <w:pPr>
        <w:pStyle w:val="Heading1"/>
        <w:spacing w:before="120" w:after="120"/>
      </w:pPr>
      <w:bookmarkStart w:id="1" w:name="_Toc445107011"/>
      <w:r>
        <w:lastRenderedPageBreak/>
        <w:t>Respondent Universe and Sampling Methods</w:t>
      </w:r>
      <w:bookmarkEnd w:id="1"/>
    </w:p>
    <w:p w14:paraId="6A1E28BB" w14:textId="77777777" w:rsidR="00D90173" w:rsidRPr="00D90173" w:rsidRDefault="00267890" w:rsidP="0057145B">
      <w:pPr>
        <w:spacing w:before="120" w:after="120"/>
        <w:rPr>
          <w:b/>
        </w:rPr>
      </w:pPr>
      <w:r>
        <w:rPr>
          <w:b/>
        </w:rPr>
        <w:t>Site</w:t>
      </w:r>
      <w:r w:rsidR="00D90173" w:rsidRPr="00D90173">
        <w:rPr>
          <w:b/>
        </w:rPr>
        <w:t xml:space="preserve"> Selection</w:t>
      </w:r>
    </w:p>
    <w:p w14:paraId="220D8A04" w14:textId="58531D88" w:rsidR="00671880" w:rsidRPr="00513EBB" w:rsidRDefault="00671880" w:rsidP="00513EBB">
      <w:pPr>
        <w:pStyle w:val="Normal1"/>
        <w:spacing w:before="120" w:after="120"/>
      </w:pPr>
      <w:r>
        <w:t xml:space="preserve">The </w:t>
      </w:r>
      <w:r w:rsidR="00465BBD">
        <w:t>study will be carried out</w:t>
      </w:r>
      <w:r w:rsidR="00FF14A5">
        <w:t xml:space="preserve"> in </w:t>
      </w:r>
      <w:r w:rsidR="006D7A8C">
        <w:t>t</w:t>
      </w:r>
      <w:r w:rsidR="006D7A8C" w:rsidRPr="006D7A8C">
        <w:t>he 10 jurisdictions participating in SSuN</w:t>
      </w:r>
      <w:r w:rsidR="006D7A8C">
        <w:t xml:space="preserve"> which</w:t>
      </w:r>
      <w:r w:rsidR="006D7A8C" w:rsidRPr="006D7A8C">
        <w:t xml:space="preserve"> include the health departments of Baltimore, California, Florida, Massachusetts, Minnesota, Multnomah County Oregon, New York City, Philadelphia, San Francisco, and Washington</w:t>
      </w:r>
      <w:r w:rsidR="008A04E1">
        <w:t>. The</w:t>
      </w:r>
      <w:r w:rsidR="004F3BC3">
        <w:t>se</w:t>
      </w:r>
      <w:r w:rsidR="008A04E1">
        <w:t xml:space="preserve"> </w:t>
      </w:r>
      <w:r w:rsidR="006D7A8C">
        <w:t>sit</w:t>
      </w:r>
      <w:r w:rsidR="008A04E1">
        <w:t xml:space="preserve">es were selected, because </w:t>
      </w:r>
      <w:r w:rsidR="00513EBB">
        <w:t>these</w:t>
      </w:r>
      <w:r w:rsidR="00513EBB" w:rsidRPr="00513EBB">
        <w:t xml:space="preserve"> 10 sites are funded by CDC’s existing PS13-1306 cooperative agreement </w:t>
      </w:r>
      <w:r w:rsidR="00513EBB">
        <w:t>to</w:t>
      </w:r>
      <w:r w:rsidR="00513EBB" w:rsidRPr="00513EBB">
        <w:t xml:space="preserve"> conduct interviews with a random sample of reported GC cases</w:t>
      </w:r>
      <w:r w:rsidR="00513EBB">
        <w:t xml:space="preserve">.  These sites are purposively selected to document </w:t>
      </w:r>
      <w:r w:rsidR="00513EBB" w:rsidRPr="00513EBB">
        <w:t>the barriers and facilitators to conducting and completing GC interviews</w:t>
      </w:r>
      <w:r w:rsidR="00513EBB">
        <w:t xml:space="preserve"> as a related SSuN activity</w:t>
      </w:r>
      <w:r w:rsidR="00513EBB" w:rsidRPr="00513EBB">
        <w:t>.</w:t>
      </w:r>
    </w:p>
    <w:p w14:paraId="12ECE8B9" w14:textId="556AF746" w:rsidR="00490D2F" w:rsidRDefault="00490D2F" w:rsidP="0057145B">
      <w:pPr>
        <w:spacing w:before="120" w:after="120"/>
        <w:rPr>
          <w:b/>
        </w:rPr>
      </w:pPr>
    </w:p>
    <w:p w14:paraId="25A8B356" w14:textId="77777777" w:rsidR="00465BBD" w:rsidRDefault="0057145B" w:rsidP="0057145B">
      <w:pPr>
        <w:spacing w:before="120" w:after="120"/>
      </w:pPr>
      <w:r>
        <w:rPr>
          <w:b/>
        </w:rPr>
        <w:t>Target P</w:t>
      </w:r>
      <w:r w:rsidR="00DD7025">
        <w:rPr>
          <w:b/>
        </w:rPr>
        <w:t>opulation</w:t>
      </w:r>
    </w:p>
    <w:p w14:paraId="153FC2FE" w14:textId="68DE26EC" w:rsidR="00A22655" w:rsidRDefault="004F3BC3" w:rsidP="00A22655">
      <w:pPr>
        <w:pStyle w:val="Normal1"/>
        <w:spacing w:before="120" w:after="120"/>
      </w:pPr>
      <w:r w:rsidRPr="00624CE1">
        <w:t>The purpose of th</w:t>
      </w:r>
      <w:r>
        <w:t xml:space="preserve">is information collection is to </w:t>
      </w:r>
      <w:r w:rsidR="006D7A8C" w:rsidRPr="006D7A8C">
        <w:t>assess the barriers and facilitators contributing to variations in GC case interview completion rates among the 10 SSuN Cycle III jurisdictions. SSuN gathers enhanced GC patient information through collaboration with the 10 jurisdictions to better understand the epidemiology of GC.</w:t>
      </w:r>
      <w:r>
        <w:t xml:space="preserve"> </w:t>
      </w:r>
    </w:p>
    <w:p w14:paraId="741D2E55" w14:textId="0F403BF5" w:rsidR="008A04E1" w:rsidRDefault="004F3BC3" w:rsidP="00513EBB">
      <w:pPr>
        <w:pStyle w:val="NoSpacing"/>
        <w:spacing w:before="120" w:after="120"/>
        <w:mirrorIndents/>
        <w:rPr>
          <w:rFonts w:cs="Times New Roman"/>
        </w:rPr>
      </w:pPr>
      <w:r>
        <w:t xml:space="preserve">Interview data will be gathered from a total of </w:t>
      </w:r>
      <w:r w:rsidR="006D7A8C">
        <w:t>50 persons. These include</w:t>
      </w:r>
      <w:r w:rsidR="006D7A8C" w:rsidRPr="006D7A8C">
        <w:t xml:space="preserve"> 30 staff (3 per SSuN site) responsible for conducting GC case interviewing (e.g., disease investigation specialist, contract workers) and 20 staff (2 per SSuN site) responsible for supervising or overseeing GC case interviewing (e.g., STD managers, SSuN site PI). These 50 staff will be selected from the 10 SSuN sites located in Baltimore, California, Florida, Massachusetts, Minnesota, Multnomah County Oregon, New York City, Philadelphia, San Francisco, and </w:t>
      </w:r>
      <w:r w:rsidR="006D7A8C">
        <w:t>Washington</w:t>
      </w:r>
      <w:r>
        <w:t xml:space="preserve">. </w:t>
      </w:r>
      <w:r w:rsidR="006D7A8C" w:rsidRPr="006D7A8C">
        <w:rPr>
          <w:rFonts w:cs="Times New Roman"/>
        </w:rPr>
        <w:t>Assessment outcomes will be communicated to SSuN staff in positions to consider and implement site-specific improvements in their GC case interviewing processes. The results are not intended to be generalized to the larger population. Assessment of the factors related to GC case interview completion will help document best practices and inform future strategies to improve GC case interviewing efforts of health departments in participating SSuN jurisdictions. The results also will provide CDC an increased understanding of the factors that contribute to effective GC case interviews provided by facilities participating in SSuN.</w:t>
      </w:r>
    </w:p>
    <w:p w14:paraId="2E48E566" w14:textId="77777777" w:rsidR="00513EBB" w:rsidRPr="00513EBB" w:rsidRDefault="00513EBB" w:rsidP="00513EBB">
      <w:pPr>
        <w:pStyle w:val="NoSpacing"/>
        <w:spacing w:before="120" w:after="120"/>
        <w:mirrorIndents/>
      </w:pPr>
    </w:p>
    <w:p w14:paraId="2AE7AD0F" w14:textId="2604E29C" w:rsidR="00513EBB" w:rsidRPr="00513EBB" w:rsidRDefault="00D207FC" w:rsidP="00513EBB">
      <w:pPr>
        <w:spacing w:before="120" w:after="120"/>
        <w:rPr>
          <w:i/>
        </w:rPr>
      </w:pPr>
      <w:r w:rsidRPr="007643F2">
        <w:rPr>
          <w:i/>
        </w:rPr>
        <w:t>Inclusion criteria:</w:t>
      </w:r>
    </w:p>
    <w:p w14:paraId="4E2894DC" w14:textId="3580D7E8" w:rsidR="00494459" w:rsidRDefault="00D95F49" w:rsidP="0057145B">
      <w:pPr>
        <w:spacing w:before="120" w:after="120"/>
        <w:ind w:right="159"/>
        <w:rPr>
          <w:rFonts w:eastAsia="Calibri"/>
        </w:rPr>
      </w:pPr>
      <w:r>
        <w:rPr>
          <w:rFonts w:eastAsia="Calibri"/>
        </w:rPr>
        <w:t>SSuN staff participants</w:t>
      </w:r>
      <w:r w:rsidR="006D7A8C">
        <w:rPr>
          <w:rFonts w:eastAsia="Calibri"/>
        </w:rPr>
        <w:t xml:space="preserve"> must be </w:t>
      </w:r>
    </w:p>
    <w:p w14:paraId="05E39B62" w14:textId="667C0DBE" w:rsidR="00494459" w:rsidRDefault="008A04E1" w:rsidP="00FD3E15">
      <w:pPr>
        <w:pStyle w:val="ListParagraph"/>
        <w:numPr>
          <w:ilvl w:val="0"/>
          <w:numId w:val="9"/>
        </w:numPr>
        <w:ind w:right="158"/>
        <w:contextualSpacing w:val="0"/>
        <w:rPr>
          <w:rFonts w:eastAsia="Calibri"/>
        </w:rPr>
      </w:pPr>
      <w:r>
        <w:rPr>
          <w:rFonts w:eastAsia="Calibri"/>
        </w:rPr>
        <w:t>18</w:t>
      </w:r>
      <w:r w:rsidR="007643F2" w:rsidRPr="00494459">
        <w:rPr>
          <w:rFonts w:eastAsia="Calibri"/>
        </w:rPr>
        <w:t xml:space="preserve"> years of age</w:t>
      </w:r>
      <w:r w:rsidR="006D7A8C">
        <w:rPr>
          <w:rFonts w:eastAsia="Calibri"/>
        </w:rPr>
        <w:t xml:space="preserve"> or older</w:t>
      </w:r>
      <w:r w:rsidR="00B91D6D">
        <w:rPr>
          <w:rFonts w:eastAsia="Calibri"/>
        </w:rPr>
        <w:t>;</w:t>
      </w:r>
    </w:p>
    <w:p w14:paraId="154B2411" w14:textId="77777777" w:rsidR="00513EBB" w:rsidRDefault="007643F2" w:rsidP="00513EBB">
      <w:pPr>
        <w:pStyle w:val="ListParagraph"/>
        <w:numPr>
          <w:ilvl w:val="0"/>
          <w:numId w:val="9"/>
        </w:numPr>
        <w:ind w:right="158"/>
        <w:contextualSpacing w:val="0"/>
        <w:rPr>
          <w:rFonts w:eastAsia="Calibri"/>
        </w:rPr>
      </w:pPr>
      <w:r w:rsidRPr="00494459">
        <w:rPr>
          <w:rFonts w:eastAsia="Calibri"/>
        </w:rPr>
        <w:t>able to speak English and consent to participate</w:t>
      </w:r>
      <w:r w:rsidR="00B91D6D">
        <w:rPr>
          <w:rFonts w:eastAsia="Calibri"/>
        </w:rPr>
        <w:t>;</w:t>
      </w:r>
      <w:r w:rsidRPr="00494459">
        <w:rPr>
          <w:rFonts w:eastAsia="Calibri"/>
        </w:rPr>
        <w:t xml:space="preserve"> </w:t>
      </w:r>
    </w:p>
    <w:p w14:paraId="25AAB5A8" w14:textId="3FB43E1E" w:rsidR="00513EBB" w:rsidRDefault="00513EBB" w:rsidP="00513EBB">
      <w:pPr>
        <w:pStyle w:val="ListParagraph"/>
        <w:numPr>
          <w:ilvl w:val="0"/>
          <w:numId w:val="9"/>
        </w:numPr>
        <w:ind w:right="158"/>
        <w:contextualSpacing w:val="0"/>
        <w:rPr>
          <w:rFonts w:eastAsia="Calibri"/>
        </w:rPr>
      </w:pPr>
      <w:r>
        <w:rPr>
          <w:rFonts w:eastAsia="Calibri"/>
        </w:rPr>
        <w:t xml:space="preserve">be </w:t>
      </w:r>
      <w:r w:rsidRPr="00513EBB">
        <w:rPr>
          <w:rFonts w:eastAsia="Calibri"/>
        </w:rPr>
        <w:t xml:space="preserve">responsible for conducting GC case interviewing </w:t>
      </w:r>
      <w:r>
        <w:rPr>
          <w:rFonts w:eastAsia="Calibri"/>
        </w:rPr>
        <w:t>or</w:t>
      </w:r>
      <w:r w:rsidRPr="00513EBB">
        <w:rPr>
          <w:rFonts w:eastAsia="Calibri"/>
        </w:rPr>
        <w:t xml:space="preserve"> responsible for supervising or overseeing GC case interviewing</w:t>
      </w:r>
    </w:p>
    <w:p w14:paraId="00BFC976" w14:textId="77777777" w:rsidR="00513EBB" w:rsidRPr="00513EBB" w:rsidRDefault="00513EBB" w:rsidP="00513EBB">
      <w:pPr>
        <w:pStyle w:val="ListParagraph"/>
        <w:ind w:right="158"/>
        <w:contextualSpacing w:val="0"/>
        <w:rPr>
          <w:rFonts w:eastAsia="Calibri"/>
        </w:rPr>
      </w:pPr>
    </w:p>
    <w:p w14:paraId="1AF6E45B" w14:textId="4EEE43C5" w:rsidR="00D207FC" w:rsidRPr="007643F2" w:rsidRDefault="00D207FC" w:rsidP="0057145B">
      <w:pPr>
        <w:tabs>
          <w:tab w:val="left" w:pos="3907"/>
        </w:tabs>
        <w:spacing w:before="120" w:after="120"/>
        <w:rPr>
          <w:i/>
        </w:rPr>
      </w:pPr>
      <w:r w:rsidRPr="007643F2">
        <w:rPr>
          <w:i/>
        </w:rPr>
        <w:t>Exclusion criteria:</w:t>
      </w:r>
      <w:r w:rsidR="00C33466" w:rsidRPr="007643F2">
        <w:rPr>
          <w:i/>
        </w:rPr>
        <w:tab/>
      </w:r>
    </w:p>
    <w:p w14:paraId="0CA33434" w14:textId="55AD2237" w:rsidR="001809A3" w:rsidRDefault="00D95F49" w:rsidP="0057145B">
      <w:pPr>
        <w:spacing w:before="120" w:after="120"/>
        <w:rPr>
          <w:rFonts w:eastAsia="Calibri"/>
        </w:rPr>
      </w:pPr>
      <w:r>
        <w:rPr>
          <w:rFonts w:eastAsia="Calibri"/>
        </w:rPr>
        <w:t>SSuN staff participants</w:t>
      </w:r>
      <w:r w:rsidR="008A04E1">
        <w:rPr>
          <w:rFonts w:eastAsia="Calibri"/>
        </w:rPr>
        <w:t xml:space="preserve"> </w:t>
      </w:r>
      <w:r w:rsidR="007643F2">
        <w:rPr>
          <w:rFonts w:eastAsia="Calibri"/>
        </w:rPr>
        <w:t xml:space="preserve">will be excluded from the study if they </w:t>
      </w:r>
    </w:p>
    <w:p w14:paraId="6C166AC2" w14:textId="77777777" w:rsidR="001809A3" w:rsidRPr="00776859" w:rsidRDefault="007643F2" w:rsidP="001F37A1">
      <w:pPr>
        <w:pStyle w:val="ListParagraph"/>
        <w:numPr>
          <w:ilvl w:val="0"/>
          <w:numId w:val="11"/>
        </w:numPr>
        <w:contextualSpacing w:val="0"/>
      </w:pPr>
      <w:r w:rsidRPr="001809A3">
        <w:rPr>
          <w:rFonts w:eastAsia="Calibri"/>
        </w:rPr>
        <w:t>are unwilling or unable to provide consent</w:t>
      </w:r>
      <w:r w:rsidR="00B91D6D">
        <w:rPr>
          <w:rFonts w:eastAsia="Calibri"/>
        </w:rPr>
        <w:t>;</w:t>
      </w:r>
    </w:p>
    <w:p w14:paraId="330A7356" w14:textId="77777777" w:rsidR="007643F2" w:rsidRPr="00A2498B" w:rsidRDefault="007643F2" w:rsidP="001F37A1">
      <w:pPr>
        <w:pStyle w:val="ListParagraph"/>
        <w:numPr>
          <w:ilvl w:val="0"/>
          <w:numId w:val="11"/>
        </w:numPr>
        <w:contextualSpacing w:val="0"/>
      </w:pPr>
      <w:r w:rsidRPr="001809A3">
        <w:rPr>
          <w:rFonts w:eastAsia="Calibri"/>
        </w:rPr>
        <w:t>do not meet the other eligibility cr</w:t>
      </w:r>
      <w:r w:rsidR="00B91D6D">
        <w:rPr>
          <w:rFonts w:eastAsia="Calibri"/>
        </w:rPr>
        <w:t>iteria.</w:t>
      </w:r>
    </w:p>
    <w:p w14:paraId="32F78295" w14:textId="77777777" w:rsidR="00073E48" w:rsidRDefault="00073E48" w:rsidP="0057145B">
      <w:pPr>
        <w:spacing w:before="120" w:after="120"/>
      </w:pPr>
    </w:p>
    <w:p w14:paraId="5C596DE3" w14:textId="58669B68" w:rsidR="00073E48" w:rsidRDefault="00073E48" w:rsidP="00073E48">
      <w:r>
        <w:t xml:space="preserve">This </w:t>
      </w:r>
      <w:r w:rsidRPr="00B43DB4">
        <w:t xml:space="preserve">distribution of respondents </w:t>
      </w:r>
      <w:r w:rsidR="00581B33">
        <w:t>may</w:t>
      </w:r>
      <w:r w:rsidRPr="00B43DB4">
        <w:t xml:space="preserve"> vary somewhat from place to place based on</w:t>
      </w:r>
      <w:r w:rsidR="00A22655">
        <w:t xml:space="preserve"> </w:t>
      </w:r>
      <w:r w:rsidR="006D7A8C">
        <w:t>availability and</w:t>
      </w:r>
      <w:r w:rsidR="00A22655">
        <w:t xml:space="preserve"> the numbers of eligible staff at the </w:t>
      </w:r>
      <w:r w:rsidR="006D7A8C">
        <w:t>10 SSuN sites</w:t>
      </w:r>
      <w:r w:rsidR="00A22655">
        <w:t>.</w:t>
      </w:r>
      <w:r>
        <w:t xml:space="preserve"> This is a qualitative research study and is not designed to make comparisons between groups</w:t>
      </w:r>
      <w:r w:rsidR="00296D84">
        <w:t xml:space="preserve"> or to make generalizations. Probability sampling methods are not appropriate for our qualitative study purposes</w:t>
      </w:r>
      <w:r w:rsidR="00296D84" w:rsidRPr="00513EBB">
        <w:t xml:space="preserve">. Instead we will select respondents to </w:t>
      </w:r>
      <w:r w:rsidR="00513EBB" w:rsidRPr="00513EBB">
        <w:t>ensure</w:t>
      </w:r>
      <w:r w:rsidRPr="00513EBB">
        <w:t xml:space="preserve"> a ran</w:t>
      </w:r>
      <w:r w:rsidR="00A22655" w:rsidRPr="00513EBB">
        <w:t xml:space="preserve">ge of experiences </w:t>
      </w:r>
      <w:r w:rsidR="006512A8" w:rsidRPr="00513EBB">
        <w:t xml:space="preserve">of </w:t>
      </w:r>
      <w:r w:rsidR="00296D84" w:rsidRPr="00513EBB">
        <w:t xml:space="preserve">staff </w:t>
      </w:r>
      <w:r w:rsidR="00A22655" w:rsidRPr="00513EBB">
        <w:t>are captured.</w:t>
      </w:r>
    </w:p>
    <w:p w14:paraId="6DD97C8C" w14:textId="77777777" w:rsidR="00937383" w:rsidRPr="00E65754" w:rsidRDefault="00937383" w:rsidP="0057145B">
      <w:pPr>
        <w:pStyle w:val="Normal1"/>
        <w:spacing w:before="120" w:after="120"/>
        <w:rPr>
          <w:highlight w:val="yellow"/>
        </w:rPr>
      </w:pPr>
    </w:p>
    <w:p w14:paraId="4B8BF3F4" w14:textId="77777777" w:rsidR="00846787" w:rsidRDefault="005342FB" w:rsidP="00846787">
      <w:pPr>
        <w:pStyle w:val="Heading1"/>
        <w:spacing w:before="120" w:after="120"/>
      </w:pPr>
      <w:bookmarkStart w:id="2" w:name="_Toc445107012"/>
      <w:r>
        <w:t>Procedures for the Collection of Information</w:t>
      </w:r>
      <w:bookmarkEnd w:id="2"/>
    </w:p>
    <w:p w14:paraId="44C96E51" w14:textId="25D37190" w:rsidR="00846787" w:rsidRDefault="00513EBB" w:rsidP="0057145B">
      <w:pPr>
        <w:spacing w:before="120" w:after="120"/>
        <w:mirrorIndents/>
      </w:pPr>
      <w:r w:rsidRPr="00513EBB">
        <w:t xml:space="preserve">PIs will provide the initial gateway to approach staff for participation. CDC/DSTDP staff involved with this assessment will identify eligible staff through SSuN site PIs and by examining personnel lists. Once project clearances have been obtained, we will request name and contact information </w:t>
      </w:r>
      <w:r>
        <w:t xml:space="preserve">(name, phone, email), </w:t>
      </w:r>
      <w:r w:rsidRPr="00513EBB">
        <w:t>for all staff on the list, and will use that list to recru</w:t>
      </w:r>
      <w:r>
        <w:t>it participants and invite them</w:t>
      </w:r>
      <w:r w:rsidR="00B177B4">
        <w:t xml:space="preserve"> to </w:t>
      </w:r>
      <w:r w:rsidR="00E15DBC">
        <w:t xml:space="preserve">participate and to </w:t>
      </w:r>
      <w:r w:rsidR="00B177B4">
        <w:t>schedule the in-depth interview</w:t>
      </w:r>
      <w:r w:rsidR="00846787">
        <w:t>.</w:t>
      </w:r>
      <w:r w:rsidR="007F7A34">
        <w:t xml:space="preserve"> T</w:t>
      </w:r>
      <w:r w:rsidR="00846787">
        <w:t>his contact information will be hand written on paper, and not be computerized</w:t>
      </w:r>
      <w:r w:rsidR="007F7A34">
        <w:t xml:space="preserve"> on a form</w:t>
      </w:r>
      <w:r w:rsidR="00846787">
        <w:t xml:space="preserve">. When not in </w:t>
      </w:r>
      <w:r w:rsidR="007F7A34">
        <w:t xml:space="preserve">active </w:t>
      </w:r>
      <w:r w:rsidR="00846787">
        <w:t xml:space="preserve">use, the papers containing </w:t>
      </w:r>
      <w:r w:rsidR="000C1542">
        <w:t xml:space="preserve">the contact information will be stored in locked cabinets </w:t>
      </w:r>
      <w:r w:rsidR="00D2200F">
        <w:t xml:space="preserve">separate from other study data </w:t>
      </w:r>
      <w:r w:rsidR="000C1542">
        <w:t>at the contractor’s office facility.</w:t>
      </w:r>
      <w:r w:rsidR="007F7A34">
        <w:t xml:space="preserve"> These papers with the participant’s contact information will be destroyed after the interview is completed and the interview data have been fully transcribed and </w:t>
      </w:r>
      <w:r w:rsidR="005002CE">
        <w:t>verified for accuracy</w:t>
      </w:r>
      <w:r w:rsidR="007F7A34">
        <w:t>.</w:t>
      </w:r>
    </w:p>
    <w:p w14:paraId="7E99FB34" w14:textId="29E42D70" w:rsidR="000C1542" w:rsidRDefault="00015EF5" w:rsidP="0057145B">
      <w:pPr>
        <w:spacing w:before="120" w:after="120"/>
        <w:mirrorIndents/>
      </w:pPr>
      <w:r>
        <w:t>A</w:t>
      </w:r>
      <w:r w:rsidR="000C1542">
        <w:t xml:space="preserve">t the beginning of the </w:t>
      </w:r>
      <w:r>
        <w:t xml:space="preserve">in-depth </w:t>
      </w:r>
      <w:r w:rsidR="000C1542">
        <w:t xml:space="preserve">interview, </w:t>
      </w:r>
      <w:r w:rsidR="002C0062">
        <w:t xml:space="preserve">a </w:t>
      </w:r>
      <w:r w:rsidR="000C1542">
        <w:t xml:space="preserve">member of the </w:t>
      </w:r>
      <w:r w:rsidR="00E15DBC">
        <w:t>DSTDP</w:t>
      </w:r>
      <w:r w:rsidR="000C1542">
        <w:t xml:space="preserve"> team will review the purpose of the </w:t>
      </w:r>
      <w:r w:rsidR="00E15DBC">
        <w:t xml:space="preserve">assessment </w:t>
      </w:r>
      <w:r w:rsidR="000C1542">
        <w:t>with the participant and answer any questions they might have. The participant will be asked to provide signed informed consent (</w:t>
      </w:r>
      <w:r w:rsidR="000C1542" w:rsidRPr="00851B91">
        <w:rPr>
          <w:b/>
        </w:rPr>
        <w:t xml:space="preserve">Attachment </w:t>
      </w:r>
      <w:r w:rsidR="00CC32B3">
        <w:rPr>
          <w:b/>
        </w:rPr>
        <w:t>1</w:t>
      </w:r>
      <w:r w:rsidR="000C1542">
        <w:t xml:space="preserve">). This includes permission to audio record the interview. After </w:t>
      </w:r>
      <w:r w:rsidR="00E15DBC" w:rsidRPr="004E489F">
        <w:t xml:space="preserve">participants complete the informed consent and receive a copy </w:t>
      </w:r>
      <w:r w:rsidR="00E15DBC">
        <w:t>of the consent for their record, the consent process is finished and</w:t>
      </w:r>
      <w:r w:rsidR="000C1542">
        <w:t xml:space="preserve"> the interview will begin.</w:t>
      </w:r>
      <w:r w:rsidR="007F7A34">
        <w:t xml:space="preserve"> </w:t>
      </w:r>
    </w:p>
    <w:p w14:paraId="623199AC" w14:textId="6026D4BE" w:rsidR="007B4308" w:rsidRPr="00E65754" w:rsidRDefault="007F7A34" w:rsidP="0057145B">
      <w:pPr>
        <w:spacing w:before="120" w:after="120"/>
        <w:rPr>
          <w:highlight w:val="yellow"/>
        </w:rPr>
      </w:pPr>
      <w:r>
        <w:t xml:space="preserve">For both the </w:t>
      </w:r>
      <w:r w:rsidR="00B02E5D">
        <w:t>staff and supervisors</w:t>
      </w:r>
      <w:r>
        <w:t xml:space="preserve">, </w:t>
      </w:r>
      <w:r w:rsidR="00B02E5D">
        <w:t>the DSTDP team</w:t>
      </w:r>
      <w:r w:rsidR="00360D45">
        <w:t xml:space="preserve"> </w:t>
      </w:r>
      <w:r w:rsidR="007B4308" w:rsidRPr="00A920ED">
        <w:t xml:space="preserve">will </w:t>
      </w:r>
      <w:r>
        <w:t>conduct</w:t>
      </w:r>
      <w:r w:rsidR="007B4308" w:rsidRPr="00A920ED">
        <w:t xml:space="preserve"> qualitative, in-depth interviews</w:t>
      </w:r>
      <w:r w:rsidR="005F079D" w:rsidRPr="00A920ED">
        <w:t xml:space="preserve"> </w:t>
      </w:r>
      <w:r w:rsidR="00720E62" w:rsidRPr="00A920ED">
        <w:t>lasting one hour, on average,</w:t>
      </w:r>
      <w:r w:rsidR="007B4308" w:rsidRPr="00A920ED">
        <w:t xml:space="preserve"> to collect information for this study (</w:t>
      </w:r>
      <w:r w:rsidR="00A920ED" w:rsidRPr="00851B91">
        <w:rPr>
          <w:b/>
        </w:rPr>
        <w:t xml:space="preserve">Attachments </w:t>
      </w:r>
      <w:r w:rsidR="00CC32B3">
        <w:rPr>
          <w:b/>
        </w:rPr>
        <w:t>2a</w:t>
      </w:r>
      <w:r w:rsidR="00A920ED" w:rsidRPr="00851B91">
        <w:rPr>
          <w:b/>
        </w:rPr>
        <w:t>-</w:t>
      </w:r>
      <w:r w:rsidR="00CC32B3">
        <w:rPr>
          <w:b/>
        </w:rPr>
        <w:t>b</w:t>
      </w:r>
      <w:r w:rsidR="007B4308" w:rsidRPr="00A920ED">
        <w:t>).</w:t>
      </w:r>
      <w:r w:rsidR="005F079D" w:rsidRPr="00A920ED">
        <w:t xml:space="preserve"> Interviews will be conducted in a pri</w:t>
      </w:r>
      <w:r w:rsidR="00A920ED" w:rsidRPr="00A920ED">
        <w:t>vate setting</w:t>
      </w:r>
      <w:r w:rsidR="004F75AD" w:rsidRPr="00A920ED">
        <w:t xml:space="preserve"> by trained interviewers</w:t>
      </w:r>
      <w:r w:rsidR="00720E62" w:rsidRPr="00A920ED">
        <w:t>. W</w:t>
      </w:r>
      <w:r w:rsidR="005F079D" w:rsidRPr="00A920ED">
        <w:t>ith the respondent’s permission, interviewers will digitally a</w:t>
      </w:r>
      <w:r w:rsidR="00720E62" w:rsidRPr="00A920ED">
        <w:t xml:space="preserve">udio record each interview and will remind participants not to use their full names or other identifying information. </w:t>
      </w:r>
      <w:r w:rsidR="007B4308" w:rsidRPr="00A920ED">
        <w:t xml:space="preserve">The interviews will primarily include open-ended questions designed to elicit information on </w:t>
      </w:r>
      <w:r w:rsidR="004D7453" w:rsidRPr="004D7453">
        <w:t xml:space="preserve">the factors related to GC case interview completion </w:t>
      </w:r>
      <w:r w:rsidR="004D7453">
        <w:t xml:space="preserve">to </w:t>
      </w:r>
      <w:r w:rsidR="004D7453" w:rsidRPr="004D7453">
        <w:t>help document facilitators and barriers</w:t>
      </w:r>
      <w:r w:rsidR="007B4308" w:rsidRPr="004D7453">
        <w:t>,</w:t>
      </w:r>
      <w:r w:rsidR="007B4308" w:rsidRPr="00A920ED">
        <w:t xml:space="preserve"> </w:t>
      </w:r>
      <w:r w:rsidR="00A920ED" w:rsidRPr="00A920ED">
        <w:t xml:space="preserve">and their perspectives on the </w:t>
      </w:r>
      <w:r w:rsidR="004D7453">
        <w:t>SSuN GC interviewing activity</w:t>
      </w:r>
      <w:r w:rsidR="007B4308" w:rsidRPr="00A920ED">
        <w:t xml:space="preserve"> </w:t>
      </w:r>
      <w:r w:rsidR="00A920ED" w:rsidRPr="00A920ED">
        <w:t>in their</w:t>
      </w:r>
      <w:r w:rsidR="007B4308" w:rsidRPr="00A920ED">
        <w:t xml:space="preserve"> jurisdiction.</w:t>
      </w:r>
      <w:r w:rsidR="00A920ED" w:rsidRPr="00A920ED">
        <w:t xml:space="preserve"> </w:t>
      </w:r>
      <w:r w:rsidR="004D7453" w:rsidRPr="004D7453">
        <w:t>Interview questions will examine staff characteristics (i.e., training, job background, responsibilities), attitudes and perceptions towards interviewing, interview processes and procedures, and community context (e.g., health department reputation, over-sampling).</w:t>
      </w:r>
    </w:p>
    <w:p w14:paraId="23E15180" w14:textId="4C275FD1" w:rsidR="0015788E" w:rsidRDefault="004D7453" w:rsidP="007C3075">
      <w:pPr>
        <w:spacing w:before="120" w:after="120"/>
        <w:mirrorIndents/>
      </w:pPr>
      <w:r w:rsidRPr="004D7453">
        <w:t>Only the evaluation team will have access to data collected from the interviews. All project records, including data collection forms, consent forms, interview recordings and notes, will be maintained in an electronic file or database and stored securely on a secure CDC server with password protection. To maintain physical security, signed consent forms and data will be stored securely in a locked cabinet and/or office at the CDC in Atlanta according to record management polices established by the United States Government</w:t>
      </w:r>
      <w:r>
        <w:t xml:space="preserve"> and as</w:t>
      </w:r>
      <w:r w:rsidR="0015788E">
        <w:t xml:space="preserve"> </w:t>
      </w:r>
      <w:r>
        <w:t>required for possible IRB</w:t>
      </w:r>
      <w:r w:rsidR="0015788E">
        <w:t>. No data set file will contain any personally identifiable information from the participant; instead, a unique study ID number will be used to label each study participant’s data records.</w:t>
      </w:r>
    </w:p>
    <w:p w14:paraId="16005233" w14:textId="5679CC7A" w:rsidR="007C3075" w:rsidRDefault="000B4057" w:rsidP="007C3075">
      <w:pPr>
        <w:spacing w:before="120" w:after="120"/>
        <w:mirrorIndents/>
      </w:pPr>
      <w:r w:rsidRPr="005775AC">
        <w:t xml:space="preserve">All </w:t>
      </w:r>
      <w:r w:rsidR="00D2200F">
        <w:t xml:space="preserve">interview </w:t>
      </w:r>
      <w:r w:rsidRPr="005775AC">
        <w:t xml:space="preserve">audio files will be stored on the recorders; </w:t>
      </w:r>
      <w:r w:rsidR="004D7453">
        <w:t xml:space="preserve">interview notes (not full </w:t>
      </w:r>
      <w:r w:rsidRPr="005775AC">
        <w:t>transcript</w:t>
      </w:r>
      <w:r w:rsidR="004D7453">
        <w:t xml:space="preserve">s) </w:t>
      </w:r>
      <w:r w:rsidRPr="005775AC">
        <w:t xml:space="preserve">will be done in house </w:t>
      </w:r>
      <w:r w:rsidR="004D7453">
        <w:t xml:space="preserve">by DSTDP </w:t>
      </w:r>
      <w:r w:rsidR="00D2200F">
        <w:t xml:space="preserve">team members </w:t>
      </w:r>
      <w:r w:rsidRPr="005775AC">
        <w:t xml:space="preserve">by listening to the recording device and </w:t>
      </w:r>
      <w:r w:rsidR="004D7453">
        <w:t xml:space="preserve">supplementing hand written notes </w:t>
      </w:r>
      <w:r w:rsidRPr="005775AC">
        <w:t xml:space="preserve">to stand-alone computers that are not networked, taking care to remove any </w:t>
      </w:r>
      <w:r w:rsidR="00D2200F">
        <w:t>personally identifiable information (</w:t>
      </w:r>
      <w:r w:rsidRPr="005775AC">
        <w:t>PII</w:t>
      </w:r>
      <w:r w:rsidR="00D2200F">
        <w:t>)</w:t>
      </w:r>
      <w:r w:rsidRPr="005775AC">
        <w:t xml:space="preserve"> </w:t>
      </w:r>
      <w:r>
        <w:t>that may have</w:t>
      </w:r>
      <w:r w:rsidRPr="005775AC">
        <w:t xml:space="preserve"> </w:t>
      </w:r>
      <w:r>
        <w:t>been transcribed accidentally</w:t>
      </w:r>
      <w:r w:rsidRPr="005775AC">
        <w:t xml:space="preserve">. Data brought to </w:t>
      </w:r>
      <w:r>
        <w:t>study</w:t>
      </w:r>
      <w:r w:rsidRPr="005775AC">
        <w:t xml:space="preserve"> offices will be securely managed by securing the paper and recordings in </w:t>
      </w:r>
      <w:r>
        <w:t xml:space="preserve">separate </w:t>
      </w:r>
      <w:r w:rsidRPr="005775AC">
        <w:t>locked offices, cabinets, drawers</w:t>
      </w:r>
      <w:r>
        <w:t>,</w:t>
      </w:r>
      <w:r w:rsidRPr="005775AC">
        <w:t xml:space="preserve"> and briefcases.  Only project staff will have access to the records, study documents, and data.</w:t>
      </w:r>
      <w:r>
        <w:t xml:space="preserve"> Electronic files will be password protected and stored on a secure server. </w:t>
      </w:r>
      <w:r w:rsidR="007C3075">
        <w:t>No final interview transcript or other computerized data file will contain any personally identifiable information from the participant.</w:t>
      </w:r>
    </w:p>
    <w:p w14:paraId="255E38EF" w14:textId="18856396" w:rsidR="000B4057" w:rsidRDefault="000B4057" w:rsidP="0057145B">
      <w:pPr>
        <w:spacing w:before="120" w:after="120"/>
      </w:pPr>
      <w:r w:rsidRPr="005775AC">
        <w:t xml:space="preserve">Each </w:t>
      </w:r>
      <w:r>
        <w:t xml:space="preserve">interview </w:t>
      </w:r>
      <w:r w:rsidRPr="005775AC">
        <w:t xml:space="preserve">will be transcribed into an encrypted MS Word document. Transcripts and NVivo files for individual cases will be stored on and edited from a CDC-approved encrypted USB drive plugged into a standalone, non-networked computer </w:t>
      </w:r>
      <w:r>
        <w:t>(</w:t>
      </w:r>
      <w:r w:rsidRPr="005775AC">
        <w:t>without Internet access</w:t>
      </w:r>
      <w:r>
        <w:t>)</w:t>
      </w:r>
      <w:r w:rsidRPr="005775AC">
        <w:t xml:space="preserve"> at </w:t>
      </w:r>
      <w:r>
        <w:t xml:space="preserve">study </w:t>
      </w:r>
      <w:r w:rsidRPr="005775AC">
        <w:t xml:space="preserve">offices. NVivo analysis files will be stored in on a dedicated data server. Backup files will be encrypted and maintained on flash drives securely kept under lock and key.  </w:t>
      </w:r>
    </w:p>
    <w:p w14:paraId="2ABAEA77" w14:textId="489E473D" w:rsidR="00AB002F" w:rsidRDefault="004D7453" w:rsidP="0057145B">
      <w:pPr>
        <w:autoSpaceDE w:val="0"/>
        <w:autoSpaceDN w:val="0"/>
        <w:adjustRightInd w:val="0"/>
        <w:spacing w:before="120" w:after="120"/>
      </w:pPr>
      <w:r>
        <w:t>The DSTDP team</w:t>
      </w:r>
      <w:r w:rsidR="000B4057" w:rsidRPr="00AB04FA">
        <w:t xml:space="preserve"> will keep paper and audio files of the interviews as well as the completed interview guides, contact information and other project materials throug</w:t>
      </w:r>
      <w:r>
        <w:t xml:space="preserve">h the period of transcription </w:t>
      </w:r>
      <w:r w:rsidR="000B4057" w:rsidRPr="00AB04FA">
        <w:t xml:space="preserve">and QA/QC processes. </w:t>
      </w:r>
      <w:r w:rsidR="00453F8E">
        <w:t xml:space="preserve">Participant contact information will be destroyed after completing the transcription process. </w:t>
      </w:r>
      <w:r w:rsidR="00AB002F" w:rsidRPr="00AB04FA">
        <w:t>All consent documents will be maintained in locked cabinets within a secured, physical space, separate from other study data, of which only key study staff have access to records. All electronic study data (transcripts without PII) will be kept in encrypted or password protected files. Analysis will be done on secure network systems or stand-alone (non-networked) password protected computers in secure locations.</w:t>
      </w:r>
      <w:r w:rsidR="00453F8E">
        <w:t xml:space="preserve"> Study participants will only be labeled with unique numeric ID numbers in the final computerized data sets. </w:t>
      </w:r>
    </w:p>
    <w:p w14:paraId="5FC18F33" w14:textId="6310E4F9" w:rsidR="000B4057" w:rsidRDefault="00FA2F57" w:rsidP="0057145B">
      <w:pPr>
        <w:autoSpaceDE w:val="0"/>
        <w:autoSpaceDN w:val="0"/>
        <w:adjustRightInd w:val="0"/>
        <w:spacing w:before="120" w:after="120"/>
      </w:pPr>
      <w:r w:rsidRPr="006009F0">
        <w:t xml:space="preserve">To protect study participant </w:t>
      </w:r>
      <w:r w:rsidR="00F4439E" w:rsidRPr="006009F0">
        <w:t>identities</w:t>
      </w:r>
      <w:r w:rsidRPr="006009F0">
        <w:t>, CDC has completed a Privacy Impact Assessment of the data system u</w:t>
      </w:r>
      <w:r w:rsidR="00DD7025" w:rsidRPr="006009F0">
        <w:t xml:space="preserve">sed by the </w:t>
      </w:r>
      <w:r w:rsidR="004D7453" w:rsidRPr="006009F0">
        <w:t xml:space="preserve">DSTDP </w:t>
      </w:r>
      <w:r w:rsidR="00DD7025" w:rsidRPr="006009F0">
        <w:t>team (</w:t>
      </w:r>
      <w:r w:rsidRPr="006009F0">
        <w:rPr>
          <w:b/>
        </w:rPr>
        <w:t xml:space="preserve">Attachment </w:t>
      </w:r>
      <w:r w:rsidR="003561AC">
        <w:rPr>
          <w:b/>
        </w:rPr>
        <w:t>4</w:t>
      </w:r>
      <w:r w:rsidRPr="006009F0">
        <w:t xml:space="preserve">). </w:t>
      </w:r>
    </w:p>
    <w:p w14:paraId="46BDE76D" w14:textId="77777777" w:rsidR="00720E62" w:rsidRDefault="00720E62" w:rsidP="0057145B">
      <w:pPr>
        <w:autoSpaceDE w:val="0"/>
        <w:autoSpaceDN w:val="0"/>
        <w:adjustRightInd w:val="0"/>
        <w:spacing w:before="120" w:after="120"/>
      </w:pPr>
    </w:p>
    <w:p w14:paraId="7E64254C" w14:textId="77777777" w:rsidR="005342FB" w:rsidRDefault="005342FB" w:rsidP="0057145B">
      <w:pPr>
        <w:pStyle w:val="Heading1"/>
        <w:spacing w:before="120" w:after="120"/>
      </w:pPr>
      <w:bookmarkStart w:id="3" w:name="_Toc445107013"/>
      <w:r>
        <w:t>Methods to Maximize Response Rates and Deal with No Response</w:t>
      </w:r>
      <w:bookmarkEnd w:id="3"/>
    </w:p>
    <w:p w14:paraId="62F7D99B" w14:textId="0D5070D3" w:rsidR="0014326C" w:rsidRPr="00141DB4" w:rsidRDefault="00360D45" w:rsidP="0057145B">
      <w:pPr>
        <w:autoSpaceDE w:val="0"/>
        <w:autoSpaceDN w:val="0"/>
        <w:adjustRightInd w:val="0"/>
        <w:spacing w:before="120" w:after="120"/>
        <w:rPr>
          <w:bCs/>
        </w:rPr>
      </w:pPr>
      <w:r>
        <w:rPr>
          <w:bCs/>
        </w:rPr>
        <w:t>C</w:t>
      </w:r>
      <w:r w:rsidR="00CC32B3">
        <w:rPr>
          <w:bCs/>
        </w:rPr>
        <w:t xml:space="preserve">DC </w:t>
      </w:r>
      <w:r>
        <w:rPr>
          <w:bCs/>
        </w:rPr>
        <w:t>staff</w:t>
      </w:r>
      <w:r w:rsidR="0014326C" w:rsidRPr="00141DB4">
        <w:rPr>
          <w:bCs/>
        </w:rPr>
        <w:t xml:space="preserve"> will use the following procedures to maximize cooperation and to achieve the desired high response rate:</w:t>
      </w:r>
    </w:p>
    <w:p w14:paraId="5963F908" w14:textId="5F85171F" w:rsidR="004F75AD" w:rsidRPr="00AB002F" w:rsidRDefault="00141DB4" w:rsidP="00073E48">
      <w:pPr>
        <w:numPr>
          <w:ilvl w:val="0"/>
          <w:numId w:val="8"/>
        </w:numPr>
        <w:autoSpaceDE w:val="0"/>
        <w:autoSpaceDN w:val="0"/>
        <w:adjustRightInd w:val="0"/>
        <w:rPr>
          <w:bCs/>
        </w:rPr>
      </w:pPr>
      <w:bookmarkStart w:id="4" w:name="_Toc445107014"/>
      <w:r w:rsidRPr="00141DB4">
        <w:rPr>
          <w:bCs/>
        </w:rPr>
        <w:t>P</w:t>
      </w:r>
      <w:r w:rsidR="004F75AD" w:rsidRPr="00141DB4">
        <w:rPr>
          <w:bCs/>
        </w:rPr>
        <w:t xml:space="preserve">articipants </w:t>
      </w:r>
      <w:r w:rsidR="004F75AD" w:rsidRPr="00AB002F">
        <w:rPr>
          <w:bCs/>
        </w:rPr>
        <w:t xml:space="preserve">will be identified through </w:t>
      </w:r>
      <w:r w:rsidR="008A04E1">
        <w:rPr>
          <w:bCs/>
        </w:rPr>
        <w:t xml:space="preserve">the </w:t>
      </w:r>
      <w:r w:rsidR="00D02074">
        <w:rPr>
          <w:bCs/>
        </w:rPr>
        <w:t>SSuN site PIs</w:t>
      </w:r>
      <w:r w:rsidR="008A04E1">
        <w:rPr>
          <w:bCs/>
        </w:rPr>
        <w:t xml:space="preserve"> </w:t>
      </w:r>
      <w:r w:rsidR="00073E48">
        <w:rPr>
          <w:bCs/>
        </w:rPr>
        <w:t xml:space="preserve">who may have trusted relationships with eligible participants. </w:t>
      </w:r>
    </w:p>
    <w:p w14:paraId="4C115A88" w14:textId="77777777" w:rsidR="004F75AD" w:rsidRPr="0057145B" w:rsidRDefault="004F75AD" w:rsidP="00073E48">
      <w:pPr>
        <w:numPr>
          <w:ilvl w:val="0"/>
          <w:numId w:val="8"/>
        </w:numPr>
        <w:autoSpaceDE w:val="0"/>
        <w:autoSpaceDN w:val="0"/>
        <w:adjustRightInd w:val="0"/>
        <w:rPr>
          <w:b/>
          <w:bCs/>
        </w:rPr>
      </w:pPr>
      <w:r w:rsidRPr="00AB002F">
        <w:rPr>
          <w:bCs/>
        </w:rPr>
        <w:t xml:space="preserve">All recruitment materials indicate the voluntary nature of the study. </w:t>
      </w:r>
    </w:p>
    <w:p w14:paraId="50CAE467" w14:textId="77777777" w:rsidR="0057145B" w:rsidRPr="00AB002F" w:rsidRDefault="0057145B" w:rsidP="0057145B">
      <w:pPr>
        <w:autoSpaceDE w:val="0"/>
        <w:autoSpaceDN w:val="0"/>
        <w:adjustRightInd w:val="0"/>
        <w:spacing w:before="120" w:after="120"/>
        <w:ind w:left="720"/>
        <w:rPr>
          <w:b/>
          <w:bCs/>
        </w:rPr>
      </w:pPr>
    </w:p>
    <w:p w14:paraId="12A92AD2" w14:textId="77777777" w:rsidR="005342FB" w:rsidRDefault="005342FB" w:rsidP="0057145B">
      <w:pPr>
        <w:pStyle w:val="Heading1"/>
        <w:spacing w:before="120" w:after="120"/>
      </w:pPr>
      <w:r w:rsidRPr="00AB002F">
        <w:t>Tests of Procedures</w:t>
      </w:r>
      <w:r>
        <w:t xml:space="preserve"> or Methods to be Undertaken</w:t>
      </w:r>
      <w:bookmarkEnd w:id="4"/>
    </w:p>
    <w:p w14:paraId="7EDC873D" w14:textId="71CB1B28" w:rsidR="004F75AD" w:rsidRDefault="00D02074" w:rsidP="0057145B">
      <w:pPr>
        <w:autoSpaceDE w:val="0"/>
        <w:autoSpaceDN w:val="0"/>
        <w:adjustRightInd w:val="0"/>
        <w:spacing w:before="120" w:after="120"/>
      </w:pPr>
      <w:bookmarkStart w:id="5" w:name="_Toc445107015"/>
      <w:r w:rsidRPr="00D02074">
        <w:t>An evaluation team composed of CDC DSTDP staff will lead the evaluation design, data collection, analysis, and dissemination of evaluation results</w:t>
      </w:r>
      <w:r>
        <w:t xml:space="preserve">. </w:t>
      </w:r>
      <w:r w:rsidR="00141DB4">
        <w:t>The</w:t>
      </w:r>
      <w:r w:rsidR="004F75AD" w:rsidRPr="00141DB4">
        <w:t xml:space="preserve"> </w:t>
      </w:r>
      <w:r w:rsidR="00C24CB1" w:rsidRPr="00141DB4">
        <w:t xml:space="preserve">research </w:t>
      </w:r>
      <w:r w:rsidR="004F75AD" w:rsidRPr="00141DB4">
        <w:t xml:space="preserve">team includes experts with </w:t>
      </w:r>
      <w:r w:rsidR="00C24CB1" w:rsidRPr="00141DB4">
        <w:t xml:space="preserve">experience conducting </w:t>
      </w:r>
      <w:r>
        <w:t xml:space="preserve">STD </w:t>
      </w:r>
      <w:r w:rsidR="00C24CB1" w:rsidRPr="00141DB4">
        <w:t xml:space="preserve">research </w:t>
      </w:r>
      <w:r>
        <w:t xml:space="preserve">and evaluation </w:t>
      </w:r>
      <w:r w:rsidR="00C24CB1" w:rsidRPr="00141DB4">
        <w:t>with</w:t>
      </w:r>
      <w:r w:rsidR="004F75AD" w:rsidRPr="00141DB4">
        <w:t xml:space="preserve"> health departments and qualitative research, including screening and interview development and testing. </w:t>
      </w:r>
      <w:r w:rsidRPr="00D02074">
        <w:t xml:space="preserve">Follow-up communication with PIs will occur following agency clearance approvals via email and telephone to assess interest and gather additional information to identify eligible staff to participate. </w:t>
      </w:r>
    </w:p>
    <w:p w14:paraId="6D3D1DE7" w14:textId="77777777" w:rsidR="0057145B" w:rsidRDefault="0057145B" w:rsidP="0057145B">
      <w:pPr>
        <w:autoSpaceDE w:val="0"/>
        <w:autoSpaceDN w:val="0"/>
        <w:adjustRightInd w:val="0"/>
        <w:spacing w:before="120" w:after="120"/>
      </w:pPr>
    </w:p>
    <w:p w14:paraId="5CB112BD" w14:textId="77777777" w:rsidR="005342FB" w:rsidRDefault="005342FB" w:rsidP="0057145B">
      <w:pPr>
        <w:pStyle w:val="Heading1"/>
        <w:spacing w:before="120" w:after="120"/>
      </w:pPr>
      <w:r>
        <w:t>Individuals Consulted on Statistical Aspects and Individuals Collecting and/or Analyzing Data</w:t>
      </w:r>
      <w:bookmarkEnd w:id="5"/>
    </w:p>
    <w:p w14:paraId="1028C530" w14:textId="17B96544" w:rsidR="005342FB" w:rsidRDefault="008A18E1" w:rsidP="0057145B">
      <w:pPr>
        <w:spacing w:before="120" w:after="120"/>
      </w:pPr>
      <w:r w:rsidRPr="00712100">
        <w:t xml:space="preserve">Exhibit </w:t>
      </w:r>
      <w:r w:rsidR="00FF1B1C" w:rsidRPr="00712100">
        <w:t>5.1</w:t>
      </w:r>
      <w:r w:rsidRPr="00712100">
        <w:t xml:space="preserve"> below lists the project team </w:t>
      </w:r>
      <w:r w:rsidRPr="00D02074">
        <w:t xml:space="preserve">members who were consulted on the aspects of </w:t>
      </w:r>
      <w:r w:rsidR="00D02074" w:rsidRPr="00D02074">
        <w:t xml:space="preserve">the evaluation </w:t>
      </w:r>
      <w:r w:rsidRPr="00D02074">
        <w:t xml:space="preserve">design and those who will be collecting and analyzing the data. The CDC staff are primarily responsible for the design and implementation of the </w:t>
      </w:r>
      <w:r w:rsidR="00D02074" w:rsidRPr="00D02074">
        <w:t xml:space="preserve">evaluation, </w:t>
      </w:r>
      <w:r w:rsidRPr="00D02074">
        <w:t xml:space="preserve">the development of the protocol and data collection instruments for CDC </w:t>
      </w:r>
      <w:r w:rsidR="00712100" w:rsidRPr="00D02074">
        <w:t>IRB review</w:t>
      </w:r>
      <w:r w:rsidR="00D02074" w:rsidRPr="00D02074">
        <w:t xml:space="preserve">, collecting </w:t>
      </w:r>
      <w:r w:rsidRPr="00D02074">
        <w:t xml:space="preserve">and analyzing data and presenting findings at meetings and in publications. </w:t>
      </w:r>
      <w:r w:rsidR="00C24CB1" w:rsidRPr="00712100">
        <w:t xml:space="preserve">All members of the </w:t>
      </w:r>
      <w:r w:rsidR="00D02074">
        <w:t xml:space="preserve">DSTDP </w:t>
      </w:r>
      <w:r w:rsidR="00C24CB1" w:rsidRPr="00712100">
        <w:t>team will work together to analyze the data and generate reports containing summaries of the findings.</w:t>
      </w:r>
    </w:p>
    <w:p w14:paraId="072184D4" w14:textId="22B2953C" w:rsidR="008A18E1" w:rsidRDefault="007F29CE" w:rsidP="0057145B">
      <w:pPr>
        <w:pStyle w:val="Caption"/>
        <w:spacing w:before="120" w:after="120"/>
      </w:pPr>
      <w:bookmarkStart w:id="6" w:name="_Toc500513544"/>
      <w:r>
        <w:t xml:space="preserve">Exhibit </w:t>
      </w:r>
      <w:r w:rsidR="008A6C1D">
        <w:rPr>
          <w:noProof/>
        </w:rPr>
        <w:fldChar w:fldCharType="begin"/>
      </w:r>
      <w:r w:rsidR="008A6C1D">
        <w:rPr>
          <w:noProof/>
        </w:rPr>
        <w:instrText xml:space="preserve"> STYLEREF 1 \s </w:instrText>
      </w:r>
      <w:r w:rsidR="008A6C1D">
        <w:rPr>
          <w:noProof/>
        </w:rPr>
        <w:fldChar w:fldCharType="separate"/>
      </w:r>
      <w:r w:rsidR="00455029">
        <w:rPr>
          <w:noProof/>
        </w:rPr>
        <w:t>5</w:t>
      </w:r>
      <w:r w:rsidR="008A6C1D">
        <w:rPr>
          <w:noProof/>
        </w:rPr>
        <w:fldChar w:fldCharType="end"/>
      </w:r>
      <w:r>
        <w:t>.</w:t>
      </w:r>
      <w:r w:rsidR="008A6C1D">
        <w:rPr>
          <w:noProof/>
        </w:rPr>
        <w:fldChar w:fldCharType="begin"/>
      </w:r>
      <w:r w:rsidR="008A6C1D">
        <w:rPr>
          <w:noProof/>
        </w:rPr>
        <w:instrText xml:space="preserve"> SEQ Exhibit \* ARABIC \s 1 </w:instrText>
      </w:r>
      <w:r w:rsidR="008A6C1D">
        <w:rPr>
          <w:noProof/>
        </w:rPr>
        <w:fldChar w:fldCharType="separate"/>
      </w:r>
      <w:r w:rsidR="00455029">
        <w:rPr>
          <w:noProof/>
        </w:rPr>
        <w:t>1</w:t>
      </w:r>
      <w:r w:rsidR="008A6C1D">
        <w:rPr>
          <w:noProof/>
        </w:rPr>
        <w:fldChar w:fldCharType="end"/>
      </w:r>
      <w:r>
        <w:t>: Statistical Consultants</w:t>
      </w:r>
      <w:bookmarkEnd w:id="6"/>
    </w:p>
    <w:tbl>
      <w:tblPr>
        <w:tblStyle w:val="TableGrid"/>
        <w:tblW w:w="0" w:type="auto"/>
        <w:tblLook w:val="04A0" w:firstRow="1" w:lastRow="0" w:firstColumn="1" w:lastColumn="0" w:noHBand="0" w:noVBand="1"/>
      </w:tblPr>
      <w:tblGrid>
        <w:gridCol w:w="2335"/>
        <w:gridCol w:w="2430"/>
      </w:tblGrid>
      <w:tr w:rsidR="00D02074" w:rsidRPr="00073E48" w14:paraId="6077F904" w14:textId="77777777" w:rsidTr="00D02074">
        <w:tc>
          <w:tcPr>
            <w:tcW w:w="2335" w:type="dxa"/>
            <w:shd w:val="clear" w:color="auto" w:fill="F2F2F2" w:themeFill="background1" w:themeFillShade="F2"/>
          </w:tcPr>
          <w:p w14:paraId="2BF169F2" w14:textId="77777777" w:rsidR="00D02074" w:rsidRPr="00073E48" w:rsidRDefault="00D02074" w:rsidP="0057145B">
            <w:pPr>
              <w:rPr>
                <w:b/>
                <w:sz w:val="20"/>
                <w:szCs w:val="20"/>
              </w:rPr>
            </w:pPr>
            <w:r w:rsidRPr="00073E48">
              <w:rPr>
                <w:b/>
                <w:sz w:val="20"/>
                <w:szCs w:val="20"/>
              </w:rPr>
              <w:t>Team Member</w:t>
            </w:r>
          </w:p>
        </w:tc>
        <w:tc>
          <w:tcPr>
            <w:tcW w:w="2430" w:type="dxa"/>
            <w:shd w:val="clear" w:color="auto" w:fill="F2F2F2" w:themeFill="background1" w:themeFillShade="F2"/>
          </w:tcPr>
          <w:p w14:paraId="677A33D7" w14:textId="77777777" w:rsidR="00D02074" w:rsidRPr="00073E48" w:rsidRDefault="00D02074" w:rsidP="0057145B">
            <w:pPr>
              <w:rPr>
                <w:b/>
                <w:sz w:val="20"/>
                <w:szCs w:val="20"/>
              </w:rPr>
            </w:pPr>
            <w:r w:rsidRPr="00073E48">
              <w:rPr>
                <w:b/>
                <w:sz w:val="20"/>
                <w:szCs w:val="20"/>
              </w:rPr>
              <w:t>Organization</w:t>
            </w:r>
          </w:p>
        </w:tc>
      </w:tr>
      <w:tr w:rsidR="00D02074" w:rsidRPr="00073E48" w14:paraId="3C6A5FED" w14:textId="77777777" w:rsidTr="00D02074">
        <w:tc>
          <w:tcPr>
            <w:tcW w:w="2335" w:type="dxa"/>
          </w:tcPr>
          <w:p w14:paraId="75990AD5" w14:textId="5A4CE86F" w:rsidR="00D02074" w:rsidRPr="00073E48" w:rsidRDefault="00D02074" w:rsidP="0057145B">
            <w:pPr>
              <w:rPr>
                <w:sz w:val="20"/>
                <w:szCs w:val="20"/>
              </w:rPr>
            </w:pPr>
            <w:r>
              <w:rPr>
                <w:sz w:val="20"/>
                <w:szCs w:val="20"/>
              </w:rPr>
              <w:t>Brandy L. Maddox</w:t>
            </w:r>
          </w:p>
        </w:tc>
        <w:tc>
          <w:tcPr>
            <w:tcW w:w="2430" w:type="dxa"/>
          </w:tcPr>
          <w:p w14:paraId="0B417B4D" w14:textId="62FF6143" w:rsidR="00D02074" w:rsidRPr="00073E48" w:rsidRDefault="00D02074" w:rsidP="0057145B">
            <w:pPr>
              <w:rPr>
                <w:sz w:val="20"/>
                <w:szCs w:val="20"/>
              </w:rPr>
            </w:pPr>
            <w:r w:rsidRPr="00073E48">
              <w:rPr>
                <w:sz w:val="20"/>
                <w:szCs w:val="20"/>
              </w:rPr>
              <w:t>CDC</w:t>
            </w:r>
            <w:r>
              <w:rPr>
                <w:sz w:val="20"/>
                <w:szCs w:val="20"/>
              </w:rPr>
              <w:t>/DSTDP</w:t>
            </w:r>
          </w:p>
        </w:tc>
      </w:tr>
      <w:tr w:rsidR="00D02074" w:rsidRPr="00073E48" w14:paraId="1C9072A4" w14:textId="77777777" w:rsidTr="00D02074">
        <w:tc>
          <w:tcPr>
            <w:tcW w:w="2335" w:type="dxa"/>
          </w:tcPr>
          <w:p w14:paraId="57EEE283" w14:textId="57995C6A" w:rsidR="00D02074" w:rsidRPr="00073E48" w:rsidRDefault="00D02074" w:rsidP="0057145B">
            <w:pPr>
              <w:rPr>
                <w:sz w:val="20"/>
                <w:szCs w:val="20"/>
              </w:rPr>
            </w:pPr>
            <w:r>
              <w:rPr>
                <w:sz w:val="20"/>
                <w:szCs w:val="20"/>
              </w:rPr>
              <w:t>Marion Carter</w:t>
            </w:r>
          </w:p>
        </w:tc>
        <w:tc>
          <w:tcPr>
            <w:tcW w:w="2430" w:type="dxa"/>
          </w:tcPr>
          <w:p w14:paraId="02749D27" w14:textId="0C0349FA" w:rsidR="00D02074" w:rsidRPr="00073E48" w:rsidRDefault="00D02074" w:rsidP="0057145B">
            <w:pPr>
              <w:rPr>
                <w:sz w:val="20"/>
                <w:szCs w:val="20"/>
              </w:rPr>
            </w:pPr>
            <w:r w:rsidRPr="00073E48">
              <w:rPr>
                <w:sz w:val="20"/>
                <w:szCs w:val="20"/>
              </w:rPr>
              <w:t>CDC</w:t>
            </w:r>
            <w:r>
              <w:rPr>
                <w:sz w:val="20"/>
                <w:szCs w:val="20"/>
              </w:rPr>
              <w:t>/DSTDP</w:t>
            </w:r>
          </w:p>
        </w:tc>
      </w:tr>
      <w:tr w:rsidR="00D02074" w:rsidRPr="00073E48" w14:paraId="7034E2CF" w14:textId="77777777" w:rsidTr="00D02074">
        <w:tc>
          <w:tcPr>
            <w:tcW w:w="2335" w:type="dxa"/>
          </w:tcPr>
          <w:p w14:paraId="1F66365D" w14:textId="3BB7AA9D" w:rsidR="00D02074" w:rsidRPr="00073E48" w:rsidRDefault="00D02074" w:rsidP="00D02074">
            <w:pPr>
              <w:rPr>
                <w:sz w:val="20"/>
                <w:szCs w:val="20"/>
              </w:rPr>
            </w:pPr>
            <w:r>
              <w:rPr>
                <w:sz w:val="20"/>
                <w:szCs w:val="20"/>
              </w:rPr>
              <w:t>Emiy Hays</w:t>
            </w:r>
          </w:p>
        </w:tc>
        <w:tc>
          <w:tcPr>
            <w:tcW w:w="2430" w:type="dxa"/>
          </w:tcPr>
          <w:p w14:paraId="2F403EA4" w14:textId="75EAC548" w:rsidR="00D02074" w:rsidRPr="00073E48" w:rsidRDefault="00D02074" w:rsidP="00D02074">
            <w:pPr>
              <w:rPr>
                <w:sz w:val="20"/>
                <w:szCs w:val="20"/>
              </w:rPr>
            </w:pPr>
            <w:r w:rsidRPr="00434FB7">
              <w:rPr>
                <w:sz w:val="20"/>
                <w:szCs w:val="20"/>
              </w:rPr>
              <w:t>CDC/DSTDP</w:t>
            </w:r>
          </w:p>
        </w:tc>
      </w:tr>
      <w:tr w:rsidR="00D02074" w:rsidRPr="00073E48" w14:paraId="551BECB6" w14:textId="77777777" w:rsidTr="00D02074">
        <w:tc>
          <w:tcPr>
            <w:tcW w:w="2335" w:type="dxa"/>
          </w:tcPr>
          <w:p w14:paraId="37EE197C" w14:textId="682844DA" w:rsidR="00D02074" w:rsidRPr="00073E48" w:rsidRDefault="00D02074" w:rsidP="00D02074">
            <w:pPr>
              <w:rPr>
                <w:sz w:val="20"/>
                <w:szCs w:val="20"/>
              </w:rPr>
            </w:pPr>
            <w:r>
              <w:rPr>
                <w:sz w:val="20"/>
                <w:szCs w:val="20"/>
              </w:rPr>
              <w:t>Mark Stenger</w:t>
            </w:r>
          </w:p>
        </w:tc>
        <w:tc>
          <w:tcPr>
            <w:tcW w:w="2430" w:type="dxa"/>
          </w:tcPr>
          <w:p w14:paraId="44546E4E" w14:textId="5DC8B272" w:rsidR="00D02074" w:rsidRPr="00073E48" w:rsidRDefault="00D02074" w:rsidP="00D02074">
            <w:pPr>
              <w:rPr>
                <w:sz w:val="20"/>
                <w:szCs w:val="20"/>
              </w:rPr>
            </w:pPr>
            <w:r w:rsidRPr="00434FB7">
              <w:rPr>
                <w:sz w:val="20"/>
                <w:szCs w:val="20"/>
              </w:rPr>
              <w:t>CDC/DSTDP</w:t>
            </w:r>
          </w:p>
        </w:tc>
      </w:tr>
      <w:tr w:rsidR="00D02074" w:rsidRPr="00073E48" w14:paraId="0D638342" w14:textId="77777777" w:rsidTr="00D02074">
        <w:tc>
          <w:tcPr>
            <w:tcW w:w="2335" w:type="dxa"/>
          </w:tcPr>
          <w:p w14:paraId="1061E14D" w14:textId="7ED97F88" w:rsidR="00D02074" w:rsidRPr="00073E48" w:rsidRDefault="00D12360" w:rsidP="00D12360">
            <w:pPr>
              <w:rPr>
                <w:sz w:val="20"/>
                <w:szCs w:val="20"/>
              </w:rPr>
            </w:pPr>
            <w:r>
              <w:rPr>
                <w:sz w:val="20"/>
                <w:szCs w:val="20"/>
              </w:rPr>
              <w:t>Eloisa</w:t>
            </w:r>
            <w:r w:rsidR="00D02074">
              <w:rPr>
                <w:sz w:val="20"/>
                <w:szCs w:val="20"/>
              </w:rPr>
              <w:t xml:space="preserve"> Ll</w:t>
            </w:r>
            <w:r>
              <w:rPr>
                <w:sz w:val="20"/>
                <w:szCs w:val="20"/>
              </w:rPr>
              <w:t>a</w:t>
            </w:r>
            <w:r w:rsidR="00D02074">
              <w:rPr>
                <w:sz w:val="20"/>
                <w:szCs w:val="20"/>
              </w:rPr>
              <w:t xml:space="preserve">ta </w:t>
            </w:r>
          </w:p>
        </w:tc>
        <w:tc>
          <w:tcPr>
            <w:tcW w:w="2430" w:type="dxa"/>
          </w:tcPr>
          <w:p w14:paraId="160D0AC9" w14:textId="32DE8B9E" w:rsidR="00D02074" w:rsidRPr="00434FB7" w:rsidRDefault="00D02074" w:rsidP="00D02074">
            <w:pPr>
              <w:rPr>
                <w:sz w:val="20"/>
                <w:szCs w:val="20"/>
              </w:rPr>
            </w:pPr>
            <w:r w:rsidRPr="00D02074">
              <w:rPr>
                <w:sz w:val="20"/>
                <w:szCs w:val="20"/>
              </w:rPr>
              <w:t>CDC/DSTDP</w:t>
            </w:r>
          </w:p>
        </w:tc>
      </w:tr>
    </w:tbl>
    <w:p w14:paraId="5624A524" w14:textId="2D0EBE8A" w:rsidR="00302D00" w:rsidRPr="00942B9C" w:rsidRDefault="0072096D" w:rsidP="00A25777">
      <w:pPr>
        <w:pStyle w:val="EndNoteBibliography"/>
        <w:spacing w:before="120" w:after="120"/>
        <w:ind w:left="720" w:hanging="720"/>
      </w:pPr>
      <w:r>
        <w:tab/>
      </w:r>
      <w:r w:rsidR="00A25777">
        <w:t xml:space="preserve"> </w:t>
      </w:r>
    </w:p>
    <w:p w14:paraId="3C62E740" w14:textId="4AACEC6B" w:rsidR="00A25777" w:rsidRDefault="00A25777" w:rsidP="00007829">
      <w:pPr>
        <w:pStyle w:val="EndNoteBibliography"/>
        <w:spacing w:before="120" w:after="120"/>
        <w:ind w:left="720" w:hanging="720"/>
      </w:pPr>
    </w:p>
    <w:p w14:paraId="424D5076" w14:textId="77777777" w:rsidR="00A25777" w:rsidRDefault="00A25777" w:rsidP="00007829">
      <w:pPr>
        <w:pStyle w:val="EndNoteBibliography"/>
        <w:spacing w:before="120" w:after="120"/>
        <w:ind w:left="720" w:hanging="720"/>
      </w:pPr>
    </w:p>
    <w:p w14:paraId="63BDACB3" w14:textId="77777777" w:rsidR="00A25777" w:rsidRDefault="00A25777" w:rsidP="00007829">
      <w:pPr>
        <w:pStyle w:val="EndNoteBibliography"/>
        <w:spacing w:before="120" w:after="120"/>
        <w:ind w:left="720" w:hanging="720"/>
      </w:pPr>
    </w:p>
    <w:p w14:paraId="1A5238B1" w14:textId="0A9A2223" w:rsidR="00302D00" w:rsidRDefault="00302D00" w:rsidP="00007829">
      <w:pPr>
        <w:pStyle w:val="EndNoteBibliography"/>
        <w:spacing w:before="120" w:after="120"/>
        <w:ind w:left="720" w:hanging="720"/>
      </w:pPr>
    </w:p>
    <w:sectPr w:rsidR="00302D00" w:rsidSect="00776859">
      <w:footerReference w:type="default" r:id="rId9"/>
      <w:endnotePr>
        <w:numFmt w:val="decimal"/>
      </w:endnotePr>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991DE5" w14:textId="77777777" w:rsidR="00815162" w:rsidRDefault="00815162" w:rsidP="008B5D54">
      <w:r>
        <w:separator/>
      </w:r>
    </w:p>
  </w:endnote>
  <w:endnote w:type="continuationSeparator" w:id="0">
    <w:p w14:paraId="3C847B61" w14:textId="77777777" w:rsidR="00815162" w:rsidRDefault="00815162"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164076"/>
      <w:docPartObj>
        <w:docPartGallery w:val="Page Numbers (Bottom of Page)"/>
        <w:docPartUnique/>
      </w:docPartObj>
    </w:sdtPr>
    <w:sdtEndPr>
      <w:rPr>
        <w:noProof/>
      </w:rPr>
    </w:sdtEndPr>
    <w:sdtContent>
      <w:p w14:paraId="7EDD85FC" w14:textId="4E56FD2B" w:rsidR="008A6C1D" w:rsidRDefault="008A6C1D">
        <w:pPr>
          <w:pStyle w:val="Footer"/>
          <w:jc w:val="right"/>
        </w:pPr>
        <w:r>
          <w:fldChar w:fldCharType="begin"/>
        </w:r>
        <w:r>
          <w:instrText xml:space="preserve"> PAGE   \* MERGEFORMAT </w:instrText>
        </w:r>
        <w:r>
          <w:fldChar w:fldCharType="separate"/>
        </w:r>
        <w:r w:rsidR="00006EC8">
          <w:rPr>
            <w:noProof/>
          </w:rPr>
          <w:t>1</w:t>
        </w:r>
        <w:r>
          <w:rPr>
            <w:noProof/>
          </w:rPr>
          <w:fldChar w:fldCharType="end"/>
        </w:r>
      </w:p>
    </w:sdtContent>
  </w:sdt>
  <w:p w14:paraId="136A1CD8" w14:textId="77777777" w:rsidR="008A6C1D" w:rsidRDefault="008A6C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D04026" w14:textId="77777777" w:rsidR="00815162" w:rsidRDefault="00815162" w:rsidP="008B5D54">
      <w:r>
        <w:separator/>
      </w:r>
    </w:p>
  </w:footnote>
  <w:footnote w:type="continuationSeparator" w:id="0">
    <w:p w14:paraId="00D2A1C0" w14:textId="77777777" w:rsidR="00815162" w:rsidRDefault="00815162"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4565D"/>
    <w:multiLevelType w:val="hybridMultilevel"/>
    <w:tmpl w:val="EDA8D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E964D9"/>
    <w:multiLevelType w:val="hybridMultilevel"/>
    <w:tmpl w:val="5596E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D549DE"/>
    <w:multiLevelType w:val="hybridMultilevel"/>
    <w:tmpl w:val="F2CC025C"/>
    <w:lvl w:ilvl="0" w:tplc="2C481A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DD0B65"/>
    <w:multiLevelType w:val="hybridMultilevel"/>
    <w:tmpl w:val="FF4485BA"/>
    <w:lvl w:ilvl="0" w:tplc="56E0602C">
      <w:start w:val="1"/>
      <w:numFmt w:val="bullet"/>
      <w:lvlText w:val=""/>
      <w:lvlJc w:val="left"/>
      <w:pPr>
        <w:ind w:left="720" w:hanging="360"/>
      </w:pPr>
      <w:rPr>
        <w:rFonts w:ascii="Wingdings" w:hAnsi="Wingdings"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EDA1BB3"/>
    <w:multiLevelType w:val="hybridMultilevel"/>
    <w:tmpl w:val="A35444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nsid w:val="31D045A6"/>
    <w:multiLevelType w:val="hybridMultilevel"/>
    <w:tmpl w:val="4FF8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4567AD2"/>
    <w:multiLevelType w:val="hybridMultilevel"/>
    <w:tmpl w:val="487044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4A4317B"/>
    <w:multiLevelType w:val="hybridMultilevel"/>
    <w:tmpl w:val="842E7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2883067"/>
    <w:multiLevelType w:val="hybridMultilevel"/>
    <w:tmpl w:val="28AEDD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BB64139"/>
    <w:multiLevelType w:val="hybridMultilevel"/>
    <w:tmpl w:val="29807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8FB12C7"/>
    <w:multiLevelType w:val="multilevel"/>
    <w:tmpl w:val="93B4C760"/>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abstractNumId w:val="10"/>
  </w:num>
  <w:num w:numId="2">
    <w:abstractNumId w:val="3"/>
  </w:num>
  <w:num w:numId="3">
    <w:abstractNumId w:val="8"/>
  </w:num>
  <w:num w:numId="4">
    <w:abstractNumId w:val="7"/>
  </w:num>
  <w:num w:numId="5">
    <w:abstractNumId w:val="9"/>
  </w:num>
  <w:num w:numId="6">
    <w:abstractNumId w:val="1"/>
  </w:num>
  <w:num w:numId="7">
    <w:abstractNumId w:val="0"/>
  </w:num>
  <w:num w:numId="8">
    <w:abstractNumId w:val="3"/>
  </w:num>
  <w:num w:numId="9">
    <w:abstractNumId w:val="5"/>
  </w:num>
  <w:num w:numId="10">
    <w:abstractNumId w:val="4"/>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mer J Prev Medicine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fe2rpadwfdf21ezrr3vdad6zpzrrvzwdv09&quot;&gt;iQual Citations&lt;record-ids&gt;&lt;item&gt;1&lt;/item&gt;&lt;/record-ids&gt;&lt;/item&gt;&lt;/Libraries&gt;"/>
  </w:docVars>
  <w:rsids>
    <w:rsidRoot w:val="005342FB"/>
    <w:rsid w:val="00002C5F"/>
    <w:rsid w:val="00006EC8"/>
    <w:rsid w:val="00007829"/>
    <w:rsid w:val="00013F21"/>
    <w:rsid w:val="00015EF5"/>
    <w:rsid w:val="000366A9"/>
    <w:rsid w:val="00045245"/>
    <w:rsid w:val="000609EC"/>
    <w:rsid w:val="00062F18"/>
    <w:rsid w:val="00072466"/>
    <w:rsid w:val="00073E48"/>
    <w:rsid w:val="000B4057"/>
    <w:rsid w:val="000C1542"/>
    <w:rsid w:val="000D03CA"/>
    <w:rsid w:val="000E44D4"/>
    <w:rsid w:val="00103914"/>
    <w:rsid w:val="00104443"/>
    <w:rsid w:val="00124844"/>
    <w:rsid w:val="00134942"/>
    <w:rsid w:val="001371C7"/>
    <w:rsid w:val="00141DB4"/>
    <w:rsid w:val="0014326C"/>
    <w:rsid w:val="00144C9D"/>
    <w:rsid w:val="0015788E"/>
    <w:rsid w:val="0016459B"/>
    <w:rsid w:val="001809A3"/>
    <w:rsid w:val="00187F1C"/>
    <w:rsid w:val="00190CE1"/>
    <w:rsid w:val="001A6B03"/>
    <w:rsid w:val="001C3299"/>
    <w:rsid w:val="001F37A1"/>
    <w:rsid w:val="00246F1C"/>
    <w:rsid w:val="00267890"/>
    <w:rsid w:val="00267AA8"/>
    <w:rsid w:val="00277210"/>
    <w:rsid w:val="00296D84"/>
    <w:rsid w:val="002C0062"/>
    <w:rsid w:val="002F27E6"/>
    <w:rsid w:val="002F42D4"/>
    <w:rsid w:val="00302D00"/>
    <w:rsid w:val="00304668"/>
    <w:rsid w:val="00311E64"/>
    <w:rsid w:val="0031423B"/>
    <w:rsid w:val="0032129A"/>
    <w:rsid w:val="00325C9D"/>
    <w:rsid w:val="0032730F"/>
    <w:rsid w:val="003561AC"/>
    <w:rsid w:val="0035710F"/>
    <w:rsid w:val="00360D45"/>
    <w:rsid w:val="003908E6"/>
    <w:rsid w:val="003978FC"/>
    <w:rsid w:val="0039799B"/>
    <w:rsid w:val="003A2A70"/>
    <w:rsid w:val="003A2F22"/>
    <w:rsid w:val="003D3BBE"/>
    <w:rsid w:val="003D4F04"/>
    <w:rsid w:val="003D5CAB"/>
    <w:rsid w:val="003E0B03"/>
    <w:rsid w:val="003F06B2"/>
    <w:rsid w:val="003F35DB"/>
    <w:rsid w:val="00402291"/>
    <w:rsid w:val="0042065E"/>
    <w:rsid w:val="00421540"/>
    <w:rsid w:val="00453F8E"/>
    <w:rsid w:val="00455029"/>
    <w:rsid w:val="00465BBD"/>
    <w:rsid w:val="00471A8D"/>
    <w:rsid w:val="00480A43"/>
    <w:rsid w:val="00490D2F"/>
    <w:rsid w:val="00494459"/>
    <w:rsid w:val="004A7CB0"/>
    <w:rsid w:val="004C36D1"/>
    <w:rsid w:val="004D7453"/>
    <w:rsid w:val="004E489F"/>
    <w:rsid w:val="004F3BC3"/>
    <w:rsid w:val="004F3FD5"/>
    <w:rsid w:val="004F75AD"/>
    <w:rsid w:val="005002CE"/>
    <w:rsid w:val="00513EBB"/>
    <w:rsid w:val="0051707B"/>
    <w:rsid w:val="00522512"/>
    <w:rsid w:val="00527188"/>
    <w:rsid w:val="005339B7"/>
    <w:rsid w:val="005342FB"/>
    <w:rsid w:val="0053739F"/>
    <w:rsid w:val="00541A6E"/>
    <w:rsid w:val="00554673"/>
    <w:rsid w:val="0055675E"/>
    <w:rsid w:val="00566CC6"/>
    <w:rsid w:val="0057145B"/>
    <w:rsid w:val="00575167"/>
    <w:rsid w:val="00581B33"/>
    <w:rsid w:val="00597105"/>
    <w:rsid w:val="005A3A8D"/>
    <w:rsid w:val="005A6CB0"/>
    <w:rsid w:val="005C1657"/>
    <w:rsid w:val="005C226C"/>
    <w:rsid w:val="005C7D3F"/>
    <w:rsid w:val="005D0F7C"/>
    <w:rsid w:val="005E2E30"/>
    <w:rsid w:val="005F079D"/>
    <w:rsid w:val="006009F0"/>
    <w:rsid w:val="00606E0F"/>
    <w:rsid w:val="00607C89"/>
    <w:rsid w:val="00615AD1"/>
    <w:rsid w:val="00644E20"/>
    <w:rsid w:val="006512A8"/>
    <w:rsid w:val="00670D29"/>
    <w:rsid w:val="00671880"/>
    <w:rsid w:val="0067665A"/>
    <w:rsid w:val="00686860"/>
    <w:rsid w:val="006B0155"/>
    <w:rsid w:val="006C6578"/>
    <w:rsid w:val="006D5AE8"/>
    <w:rsid w:val="006D7A8C"/>
    <w:rsid w:val="006E3721"/>
    <w:rsid w:val="006F6C4E"/>
    <w:rsid w:val="0070250C"/>
    <w:rsid w:val="00712100"/>
    <w:rsid w:val="0072096D"/>
    <w:rsid w:val="00720E62"/>
    <w:rsid w:val="00762367"/>
    <w:rsid w:val="007643F2"/>
    <w:rsid w:val="00776859"/>
    <w:rsid w:val="00786952"/>
    <w:rsid w:val="00792029"/>
    <w:rsid w:val="007A56E0"/>
    <w:rsid w:val="007B4308"/>
    <w:rsid w:val="007B485A"/>
    <w:rsid w:val="007B5497"/>
    <w:rsid w:val="007C3075"/>
    <w:rsid w:val="007C43A0"/>
    <w:rsid w:val="007D4C9E"/>
    <w:rsid w:val="007E0DC4"/>
    <w:rsid w:val="007F29CE"/>
    <w:rsid w:val="007F5034"/>
    <w:rsid w:val="007F7A34"/>
    <w:rsid w:val="00815162"/>
    <w:rsid w:val="008238F6"/>
    <w:rsid w:val="008253CC"/>
    <w:rsid w:val="00831DC9"/>
    <w:rsid w:val="00846787"/>
    <w:rsid w:val="00851A91"/>
    <w:rsid w:val="00851B91"/>
    <w:rsid w:val="008561AC"/>
    <w:rsid w:val="00892BA9"/>
    <w:rsid w:val="008A04E1"/>
    <w:rsid w:val="008A18E1"/>
    <w:rsid w:val="008A423B"/>
    <w:rsid w:val="008A6C1D"/>
    <w:rsid w:val="008B22CA"/>
    <w:rsid w:val="008B2F17"/>
    <w:rsid w:val="008B5D54"/>
    <w:rsid w:val="008D34B2"/>
    <w:rsid w:val="008D61A7"/>
    <w:rsid w:val="008F519C"/>
    <w:rsid w:val="008F57CA"/>
    <w:rsid w:val="00907990"/>
    <w:rsid w:val="0091459E"/>
    <w:rsid w:val="00922698"/>
    <w:rsid w:val="00923019"/>
    <w:rsid w:val="0092340F"/>
    <w:rsid w:val="0092419F"/>
    <w:rsid w:val="00937383"/>
    <w:rsid w:val="00945206"/>
    <w:rsid w:val="009467D2"/>
    <w:rsid w:val="0095730B"/>
    <w:rsid w:val="00957AB6"/>
    <w:rsid w:val="009A0B10"/>
    <w:rsid w:val="009C1652"/>
    <w:rsid w:val="00A22655"/>
    <w:rsid w:val="00A25777"/>
    <w:rsid w:val="00A347F2"/>
    <w:rsid w:val="00A920ED"/>
    <w:rsid w:val="00AA739C"/>
    <w:rsid w:val="00AB002F"/>
    <w:rsid w:val="00AB04FA"/>
    <w:rsid w:val="00AB6846"/>
    <w:rsid w:val="00AC1ACA"/>
    <w:rsid w:val="00AC47D6"/>
    <w:rsid w:val="00AF3865"/>
    <w:rsid w:val="00AF3A32"/>
    <w:rsid w:val="00B02E5D"/>
    <w:rsid w:val="00B177B4"/>
    <w:rsid w:val="00B27474"/>
    <w:rsid w:val="00B471BB"/>
    <w:rsid w:val="00B55735"/>
    <w:rsid w:val="00B608AC"/>
    <w:rsid w:val="00B873AA"/>
    <w:rsid w:val="00B91D6D"/>
    <w:rsid w:val="00B96201"/>
    <w:rsid w:val="00B97486"/>
    <w:rsid w:val="00BA1CA4"/>
    <w:rsid w:val="00BA26E1"/>
    <w:rsid w:val="00BC11C9"/>
    <w:rsid w:val="00BE5C39"/>
    <w:rsid w:val="00BF7FA1"/>
    <w:rsid w:val="00C24CB1"/>
    <w:rsid w:val="00C33466"/>
    <w:rsid w:val="00C34C13"/>
    <w:rsid w:val="00C40F09"/>
    <w:rsid w:val="00C67A4F"/>
    <w:rsid w:val="00C722C4"/>
    <w:rsid w:val="00C76EA3"/>
    <w:rsid w:val="00C8223C"/>
    <w:rsid w:val="00C946C2"/>
    <w:rsid w:val="00CC32B3"/>
    <w:rsid w:val="00CC3D19"/>
    <w:rsid w:val="00CC755C"/>
    <w:rsid w:val="00CD1409"/>
    <w:rsid w:val="00CD6D16"/>
    <w:rsid w:val="00CE6AA8"/>
    <w:rsid w:val="00CF3DD7"/>
    <w:rsid w:val="00D0040C"/>
    <w:rsid w:val="00D02074"/>
    <w:rsid w:val="00D025A5"/>
    <w:rsid w:val="00D12360"/>
    <w:rsid w:val="00D14157"/>
    <w:rsid w:val="00D207FC"/>
    <w:rsid w:val="00D2200F"/>
    <w:rsid w:val="00D24DE7"/>
    <w:rsid w:val="00D254EE"/>
    <w:rsid w:val="00D3747B"/>
    <w:rsid w:val="00D42DFD"/>
    <w:rsid w:val="00D547BF"/>
    <w:rsid w:val="00D554F6"/>
    <w:rsid w:val="00D67D34"/>
    <w:rsid w:val="00D81402"/>
    <w:rsid w:val="00D90173"/>
    <w:rsid w:val="00D95F49"/>
    <w:rsid w:val="00DA02D4"/>
    <w:rsid w:val="00DC57CC"/>
    <w:rsid w:val="00DD0CC8"/>
    <w:rsid w:val="00DD286B"/>
    <w:rsid w:val="00DD7025"/>
    <w:rsid w:val="00DE25CC"/>
    <w:rsid w:val="00DE34D1"/>
    <w:rsid w:val="00DE69FC"/>
    <w:rsid w:val="00DE77DD"/>
    <w:rsid w:val="00DF6A21"/>
    <w:rsid w:val="00E04084"/>
    <w:rsid w:val="00E15DBC"/>
    <w:rsid w:val="00E31337"/>
    <w:rsid w:val="00E3297C"/>
    <w:rsid w:val="00E3387C"/>
    <w:rsid w:val="00E451A4"/>
    <w:rsid w:val="00E45AB7"/>
    <w:rsid w:val="00E557C3"/>
    <w:rsid w:val="00E65754"/>
    <w:rsid w:val="00E66EA4"/>
    <w:rsid w:val="00E769A2"/>
    <w:rsid w:val="00E80326"/>
    <w:rsid w:val="00EA0E5E"/>
    <w:rsid w:val="00EE64BF"/>
    <w:rsid w:val="00EF2A6A"/>
    <w:rsid w:val="00EF61CB"/>
    <w:rsid w:val="00EF7978"/>
    <w:rsid w:val="00F04D64"/>
    <w:rsid w:val="00F14245"/>
    <w:rsid w:val="00F14695"/>
    <w:rsid w:val="00F21E20"/>
    <w:rsid w:val="00F26AE9"/>
    <w:rsid w:val="00F4439E"/>
    <w:rsid w:val="00F615AE"/>
    <w:rsid w:val="00FA06CC"/>
    <w:rsid w:val="00FA09E0"/>
    <w:rsid w:val="00FA2F57"/>
    <w:rsid w:val="00FC0B16"/>
    <w:rsid w:val="00FD3E15"/>
    <w:rsid w:val="00FD5A95"/>
    <w:rsid w:val="00FF14A5"/>
    <w:rsid w:val="00FF1B1C"/>
    <w:rsid w:val="00FF6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D52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42FB"/>
    <w:pPr>
      <w:keepNext/>
      <w:keepLines/>
      <w:numPr>
        <w:numId w:val="1"/>
      </w:numPr>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5342FB"/>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42FB"/>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342FB"/>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42F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42F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42F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42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42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5342FB"/>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342F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5342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342F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342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342F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342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42FB"/>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D3747B"/>
    <w:pPr>
      <w:numPr>
        <w:numId w:val="0"/>
      </w:num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F14245"/>
    <w:pPr>
      <w:tabs>
        <w:tab w:val="left" w:pos="440"/>
        <w:tab w:val="right" w:leader="dot" w:pos="10070"/>
      </w:tabs>
      <w:spacing w:after="100"/>
    </w:pPr>
  </w:style>
  <w:style w:type="character" w:styleId="Hyperlink">
    <w:name w:val="Hyperlink"/>
    <w:basedOn w:val="DefaultParagraphFont"/>
    <w:uiPriority w:val="99"/>
    <w:unhideWhenUsed/>
    <w:rsid w:val="00D3747B"/>
    <w:rPr>
      <w:color w:val="0000FF" w:themeColor="hyperlink"/>
      <w:u w:val="single"/>
    </w:rPr>
  </w:style>
  <w:style w:type="paragraph" w:styleId="EndnoteText">
    <w:name w:val="endnote text"/>
    <w:basedOn w:val="Normal"/>
    <w:link w:val="EndnoteTextChar"/>
    <w:uiPriority w:val="99"/>
    <w:semiHidden/>
    <w:unhideWhenUsed/>
    <w:rsid w:val="00E04084"/>
    <w:rPr>
      <w:sz w:val="20"/>
      <w:szCs w:val="20"/>
    </w:rPr>
  </w:style>
  <w:style w:type="character" w:customStyle="1" w:styleId="EndnoteTextChar">
    <w:name w:val="Endnote Text Char"/>
    <w:basedOn w:val="DefaultParagraphFont"/>
    <w:link w:val="EndnoteText"/>
    <w:uiPriority w:val="99"/>
    <w:semiHidden/>
    <w:rsid w:val="00E040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04084"/>
    <w:rPr>
      <w:vertAlign w:val="superscript"/>
    </w:rPr>
  </w:style>
  <w:style w:type="paragraph" w:styleId="FootnoteText">
    <w:name w:val="footnote text"/>
    <w:basedOn w:val="Normal"/>
    <w:link w:val="FootnoteTextChar"/>
    <w:uiPriority w:val="99"/>
    <w:semiHidden/>
    <w:unhideWhenUsed/>
    <w:rsid w:val="005A6CB0"/>
    <w:rPr>
      <w:sz w:val="20"/>
      <w:szCs w:val="20"/>
    </w:rPr>
  </w:style>
  <w:style w:type="character" w:customStyle="1" w:styleId="FootnoteTextChar">
    <w:name w:val="Footnote Text Char"/>
    <w:basedOn w:val="DefaultParagraphFont"/>
    <w:link w:val="FootnoteText"/>
    <w:uiPriority w:val="99"/>
    <w:semiHidden/>
    <w:rsid w:val="005A6C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6CB0"/>
    <w:rPr>
      <w:vertAlign w:val="superscript"/>
    </w:rPr>
  </w:style>
  <w:style w:type="paragraph" w:styleId="BodyTextIndent">
    <w:name w:val="Body Text Indent"/>
    <w:basedOn w:val="Normal"/>
    <w:link w:val="BodyTextIndentChar"/>
    <w:rsid w:val="00EE64BF"/>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EE64BF"/>
    <w:rPr>
      <w:rFonts w:ascii="Times New Roman" w:eastAsia="Times New Roman" w:hAnsi="Times New Roman" w:cs="Times New Roman"/>
      <w:sz w:val="24"/>
      <w:szCs w:val="20"/>
      <w:lang w:val="x-none" w:eastAsia="x-none"/>
    </w:rPr>
  </w:style>
  <w:style w:type="character" w:customStyle="1" w:styleId="bodytext">
    <w:name w:val="bodytext"/>
    <w:rsid w:val="00EE64BF"/>
    <w:rPr>
      <w:rFonts w:cs="Times New Roman"/>
    </w:rPr>
  </w:style>
  <w:style w:type="table" w:styleId="TableGrid">
    <w:name w:val="Table Grid"/>
    <w:basedOn w:val="TableNormal"/>
    <w:uiPriority w:val="59"/>
    <w:rsid w:val="007C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06E0F"/>
    <w:pPr>
      <w:spacing w:after="200"/>
    </w:pPr>
    <w:rPr>
      <w:b/>
      <w:iCs/>
      <w:szCs w:val="18"/>
    </w:rPr>
  </w:style>
  <w:style w:type="character" w:styleId="CommentReference">
    <w:name w:val="annotation reference"/>
    <w:basedOn w:val="DefaultParagraphFont"/>
    <w:uiPriority w:val="99"/>
    <w:unhideWhenUsed/>
    <w:rsid w:val="008253CC"/>
    <w:rPr>
      <w:sz w:val="16"/>
      <w:szCs w:val="16"/>
    </w:rPr>
  </w:style>
  <w:style w:type="paragraph" w:styleId="CommentText">
    <w:name w:val="annotation text"/>
    <w:basedOn w:val="Normal"/>
    <w:link w:val="CommentTextChar"/>
    <w:uiPriority w:val="99"/>
    <w:unhideWhenUsed/>
    <w:rsid w:val="008253CC"/>
    <w:rPr>
      <w:sz w:val="20"/>
      <w:szCs w:val="20"/>
    </w:rPr>
  </w:style>
  <w:style w:type="character" w:customStyle="1" w:styleId="CommentTextChar">
    <w:name w:val="Comment Text Char"/>
    <w:basedOn w:val="DefaultParagraphFont"/>
    <w:link w:val="CommentText"/>
    <w:uiPriority w:val="99"/>
    <w:rsid w:val="008253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3CC"/>
    <w:rPr>
      <w:rFonts w:ascii="Segoe UI" w:eastAsia="Times New Roman" w:hAnsi="Segoe UI" w:cs="Segoe UI"/>
      <w:sz w:val="18"/>
      <w:szCs w:val="18"/>
    </w:rPr>
  </w:style>
  <w:style w:type="paragraph" w:styleId="TableofFigures">
    <w:name w:val="table of figures"/>
    <w:basedOn w:val="Normal"/>
    <w:next w:val="Normal"/>
    <w:uiPriority w:val="99"/>
    <w:unhideWhenUsed/>
    <w:rsid w:val="007F29CE"/>
  </w:style>
  <w:style w:type="paragraph" w:styleId="CommentSubject">
    <w:name w:val="annotation subject"/>
    <w:basedOn w:val="CommentText"/>
    <w:next w:val="CommentText"/>
    <w:link w:val="CommentSubjectChar"/>
    <w:uiPriority w:val="99"/>
    <w:semiHidden/>
    <w:unhideWhenUsed/>
    <w:rsid w:val="00C722C4"/>
    <w:rPr>
      <w:b/>
      <w:bCs/>
    </w:rPr>
  </w:style>
  <w:style w:type="character" w:customStyle="1" w:styleId="CommentSubjectChar">
    <w:name w:val="Comment Subject Char"/>
    <w:basedOn w:val="CommentTextChar"/>
    <w:link w:val="CommentSubject"/>
    <w:uiPriority w:val="99"/>
    <w:semiHidden/>
    <w:rsid w:val="00C722C4"/>
    <w:rPr>
      <w:rFonts w:ascii="Times New Roman" w:eastAsia="Times New Roman" w:hAnsi="Times New Roman" w:cs="Times New Roman"/>
      <w:b/>
      <w:bCs/>
      <w:sz w:val="20"/>
      <w:szCs w:val="20"/>
    </w:rPr>
  </w:style>
  <w:style w:type="paragraph" w:styleId="ListParagraph">
    <w:name w:val="List Paragraph"/>
    <w:basedOn w:val="Normal"/>
    <w:uiPriority w:val="34"/>
    <w:qFormat/>
    <w:rsid w:val="00013F21"/>
    <w:pPr>
      <w:ind w:left="720"/>
      <w:contextualSpacing/>
    </w:pPr>
  </w:style>
  <w:style w:type="paragraph" w:customStyle="1" w:styleId="EndNoteBibliographyTitle">
    <w:name w:val="EndNote Bibliography Title"/>
    <w:basedOn w:val="Normal"/>
    <w:link w:val="EndNoteBibliographyTitleChar"/>
    <w:rsid w:val="0053739F"/>
    <w:pPr>
      <w:jc w:val="center"/>
    </w:pPr>
    <w:rPr>
      <w:noProof/>
    </w:rPr>
  </w:style>
  <w:style w:type="character" w:customStyle="1" w:styleId="EndNoteBibliographyTitleChar">
    <w:name w:val="EndNote Bibliography Title Char"/>
    <w:basedOn w:val="DefaultParagraphFont"/>
    <w:link w:val="EndNoteBibliographyTitle"/>
    <w:rsid w:val="0053739F"/>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3739F"/>
    <w:rPr>
      <w:noProof/>
    </w:rPr>
  </w:style>
  <w:style w:type="character" w:customStyle="1" w:styleId="EndNoteBibliographyChar">
    <w:name w:val="EndNote Bibliography Char"/>
    <w:basedOn w:val="DefaultParagraphFont"/>
    <w:link w:val="EndNoteBibliography"/>
    <w:rsid w:val="0053739F"/>
    <w:rPr>
      <w:rFonts w:ascii="Times New Roman" w:eastAsia="Times New Roman" w:hAnsi="Times New Roman" w:cs="Times New Roman"/>
      <w:noProof/>
      <w:sz w:val="24"/>
      <w:szCs w:val="24"/>
    </w:rPr>
  </w:style>
  <w:style w:type="paragraph" w:customStyle="1" w:styleId="Normal1">
    <w:name w:val="Normal1"/>
    <w:basedOn w:val="Normal"/>
    <w:link w:val="Normal1Char"/>
    <w:qFormat/>
    <w:rsid w:val="0053739F"/>
    <w:rPr>
      <w:rFonts w:cs="Arial"/>
    </w:rPr>
  </w:style>
  <w:style w:type="character" w:customStyle="1" w:styleId="Normal1Char">
    <w:name w:val="Normal1 Char"/>
    <w:basedOn w:val="DefaultParagraphFont"/>
    <w:link w:val="Normal1"/>
    <w:rsid w:val="0053739F"/>
    <w:rPr>
      <w:rFonts w:ascii="Times New Roman" w:eastAsia="Times New Roman" w:hAnsi="Times New Roman" w:cs="Arial"/>
      <w:sz w:val="24"/>
      <w:szCs w:val="24"/>
    </w:rPr>
  </w:style>
  <w:style w:type="table" w:customStyle="1" w:styleId="GridTableLight">
    <w:name w:val="Grid Table Light"/>
    <w:basedOn w:val="TableNormal"/>
    <w:uiPriority w:val="40"/>
    <w:rsid w:val="008D34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tocol">
    <w:name w:val="Protocol"/>
    <w:basedOn w:val="NoSpacing"/>
    <w:link w:val="ProtocolChar"/>
    <w:autoRedefine/>
    <w:qFormat/>
    <w:rsid w:val="00A920ED"/>
    <w:pPr>
      <w:spacing w:before="120" w:after="120"/>
    </w:pPr>
    <w:rPr>
      <w:rFonts w:eastAsia="Times New Roman" w:cs="Times New Roman"/>
      <w:szCs w:val="24"/>
    </w:rPr>
  </w:style>
  <w:style w:type="character" w:customStyle="1" w:styleId="ProtocolChar">
    <w:name w:val="Protocol Char"/>
    <w:basedOn w:val="DefaultParagraphFont"/>
    <w:link w:val="Protocol"/>
    <w:rsid w:val="00A920ED"/>
    <w:rPr>
      <w:rFonts w:ascii="Times New Roman" w:eastAsia="Times New Roman" w:hAnsi="Times New Roman" w:cs="Times New Roman"/>
      <w:sz w:val="24"/>
      <w:szCs w:val="24"/>
    </w:rPr>
  </w:style>
  <w:style w:type="paragraph" w:styleId="TOC2">
    <w:name w:val="toc 2"/>
    <w:basedOn w:val="Normal"/>
    <w:next w:val="Normal"/>
    <w:autoRedefine/>
    <w:uiPriority w:val="39"/>
    <w:semiHidden/>
    <w:unhideWhenUsed/>
    <w:rsid w:val="00A347F2"/>
    <w:pPr>
      <w:spacing w:after="100"/>
      <w:ind w:left="240"/>
    </w:pPr>
  </w:style>
  <w:style w:type="paragraph" w:styleId="Revision">
    <w:name w:val="Revision"/>
    <w:hidden/>
    <w:uiPriority w:val="99"/>
    <w:semiHidden/>
    <w:rsid w:val="008A04E1"/>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2F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342FB"/>
    <w:pPr>
      <w:keepNext/>
      <w:keepLines/>
      <w:numPr>
        <w:numId w:val="1"/>
      </w:numPr>
      <w:spacing w:before="240"/>
      <w:outlineLvl w:val="0"/>
    </w:pPr>
    <w:rPr>
      <w:rFonts w:eastAsiaTheme="majorEastAsia" w:cstheme="majorBidi"/>
      <w:b/>
      <w:szCs w:val="32"/>
    </w:rPr>
  </w:style>
  <w:style w:type="paragraph" w:styleId="Heading2">
    <w:name w:val="heading 2"/>
    <w:basedOn w:val="Normal"/>
    <w:next w:val="Normal"/>
    <w:link w:val="Heading2Char"/>
    <w:uiPriority w:val="9"/>
    <w:semiHidden/>
    <w:unhideWhenUsed/>
    <w:qFormat/>
    <w:rsid w:val="005342FB"/>
    <w:pPr>
      <w:keepNext/>
      <w:keepLines/>
      <w:numPr>
        <w:ilvl w:val="1"/>
        <w:numId w:val="1"/>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5342FB"/>
    <w:pPr>
      <w:keepNext/>
      <w:keepLines/>
      <w:numPr>
        <w:ilvl w:val="2"/>
        <w:numId w:val="1"/>
      </w:numPr>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5342FB"/>
    <w:pPr>
      <w:keepNext/>
      <w:keepLines/>
      <w:numPr>
        <w:ilvl w:val="3"/>
        <w:numId w:val="1"/>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5342FB"/>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5342FB"/>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5342FB"/>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5342FB"/>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342FB"/>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NoSpacing">
    <w:name w:val="No Spacing"/>
    <w:uiPriority w:val="1"/>
    <w:qFormat/>
    <w:rsid w:val="005342FB"/>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5342FB"/>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semiHidden/>
    <w:rsid w:val="005342FB"/>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5342FB"/>
    <w:rPr>
      <w:rFonts w:asciiTheme="majorHAnsi" w:eastAsiaTheme="majorEastAsia" w:hAnsiTheme="majorHAnsi" w:cstheme="majorBidi"/>
      <w:i/>
      <w:iCs/>
      <w:color w:val="365F91" w:themeColor="accent1" w:themeShade="BF"/>
      <w:sz w:val="24"/>
      <w:szCs w:val="24"/>
    </w:rPr>
  </w:style>
  <w:style w:type="character" w:customStyle="1" w:styleId="Heading5Char">
    <w:name w:val="Heading 5 Char"/>
    <w:basedOn w:val="DefaultParagraphFont"/>
    <w:link w:val="Heading5"/>
    <w:uiPriority w:val="9"/>
    <w:semiHidden/>
    <w:rsid w:val="005342FB"/>
    <w:rPr>
      <w:rFonts w:asciiTheme="majorHAnsi" w:eastAsiaTheme="majorEastAsia" w:hAnsiTheme="majorHAnsi" w:cstheme="majorBidi"/>
      <w:color w:val="365F91" w:themeColor="accent1" w:themeShade="BF"/>
      <w:sz w:val="24"/>
      <w:szCs w:val="24"/>
    </w:rPr>
  </w:style>
  <w:style w:type="character" w:customStyle="1" w:styleId="Heading6Char">
    <w:name w:val="Heading 6 Char"/>
    <w:basedOn w:val="DefaultParagraphFont"/>
    <w:link w:val="Heading6"/>
    <w:uiPriority w:val="9"/>
    <w:semiHidden/>
    <w:rsid w:val="005342FB"/>
    <w:rPr>
      <w:rFonts w:asciiTheme="majorHAnsi" w:eastAsiaTheme="majorEastAsia" w:hAnsiTheme="majorHAnsi" w:cstheme="majorBidi"/>
      <w:color w:val="243F60" w:themeColor="accent1" w:themeShade="7F"/>
      <w:sz w:val="24"/>
      <w:szCs w:val="24"/>
    </w:rPr>
  </w:style>
  <w:style w:type="character" w:customStyle="1" w:styleId="Heading7Char">
    <w:name w:val="Heading 7 Char"/>
    <w:basedOn w:val="DefaultParagraphFont"/>
    <w:link w:val="Heading7"/>
    <w:uiPriority w:val="9"/>
    <w:semiHidden/>
    <w:rsid w:val="005342FB"/>
    <w:rPr>
      <w:rFonts w:asciiTheme="majorHAnsi" w:eastAsiaTheme="majorEastAsia" w:hAnsiTheme="majorHAnsi" w:cstheme="majorBidi"/>
      <w:i/>
      <w:iCs/>
      <w:color w:val="243F60" w:themeColor="accent1" w:themeShade="7F"/>
      <w:sz w:val="24"/>
      <w:szCs w:val="24"/>
    </w:rPr>
  </w:style>
  <w:style w:type="character" w:customStyle="1" w:styleId="Heading8Char">
    <w:name w:val="Heading 8 Char"/>
    <w:basedOn w:val="DefaultParagraphFont"/>
    <w:link w:val="Heading8"/>
    <w:uiPriority w:val="9"/>
    <w:semiHidden/>
    <w:rsid w:val="005342F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342FB"/>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D3747B"/>
    <w:pPr>
      <w:numPr>
        <w:numId w:val="0"/>
      </w:numPr>
      <w:spacing w:line="259" w:lineRule="auto"/>
      <w:outlineLvl w:val="9"/>
    </w:pPr>
    <w:rPr>
      <w:rFonts w:asciiTheme="majorHAnsi" w:hAnsiTheme="majorHAnsi"/>
      <w:b w:val="0"/>
      <w:color w:val="365F91" w:themeColor="accent1" w:themeShade="BF"/>
      <w:sz w:val="32"/>
    </w:rPr>
  </w:style>
  <w:style w:type="paragraph" w:styleId="TOC1">
    <w:name w:val="toc 1"/>
    <w:basedOn w:val="Normal"/>
    <w:next w:val="Normal"/>
    <w:autoRedefine/>
    <w:uiPriority w:val="39"/>
    <w:unhideWhenUsed/>
    <w:rsid w:val="00F14245"/>
    <w:pPr>
      <w:tabs>
        <w:tab w:val="left" w:pos="440"/>
        <w:tab w:val="right" w:leader="dot" w:pos="10070"/>
      </w:tabs>
      <w:spacing w:after="100"/>
    </w:pPr>
  </w:style>
  <w:style w:type="character" w:styleId="Hyperlink">
    <w:name w:val="Hyperlink"/>
    <w:basedOn w:val="DefaultParagraphFont"/>
    <w:uiPriority w:val="99"/>
    <w:unhideWhenUsed/>
    <w:rsid w:val="00D3747B"/>
    <w:rPr>
      <w:color w:val="0000FF" w:themeColor="hyperlink"/>
      <w:u w:val="single"/>
    </w:rPr>
  </w:style>
  <w:style w:type="paragraph" w:styleId="EndnoteText">
    <w:name w:val="endnote text"/>
    <w:basedOn w:val="Normal"/>
    <w:link w:val="EndnoteTextChar"/>
    <w:uiPriority w:val="99"/>
    <w:semiHidden/>
    <w:unhideWhenUsed/>
    <w:rsid w:val="00E04084"/>
    <w:rPr>
      <w:sz w:val="20"/>
      <w:szCs w:val="20"/>
    </w:rPr>
  </w:style>
  <w:style w:type="character" w:customStyle="1" w:styleId="EndnoteTextChar">
    <w:name w:val="Endnote Text Char"/>
    <w:basedOn w:val="DefaultParagraphFont"/>
    <w:link w:val="EndnoteText"/>
    <w:uiPriority w:val="99"/>
    <w:semiHidden/>
    <w:rsid w:val="00E0408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E04084"/>
    <w:rPr>
      <w:vertAlign w:val="superscript"/>
    </w:rPr>
  </w:style>
  <w:style w:type="paragraph" w:styleId="FootnoteText">
    <w:name w:val="footnote text"/>
    <w:basedOn w:val="Normal"/>
    <w:link w:val="FootnoteTextChar"/>
    <w:uiPriority w:val="99"/>
    <w:semiHidden/>
    <w:unhideWhenUsed/>
    <w:rsid w:val="005A6CB0"/>
    <w:rPr>
      <w:sz w:val="20"/>
      <w:szCs w:val="20"/>
    </w:rPr>
  </w:style>
  <w:style w:type="character" w:customStyle="1" w:styleId="FootnoteTextChar">
    <w:name w:val="Footnote Text Char"/>
    <w:basedOn w:val="DefaultParagraphFont"/>
    <w:link w:val="FootnoteText"/>
    <w:uiPriority w:val="99"/>
    <w:semiHidden/>
    <w:rsid w:val="005A6C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5A6CB0"/>
    <w:rPr>
      <w:vertAlign w:val="superscript"/>
    </w:rPr>
  </w:style>
  <w:style w:type="paragraph" w:styleId="BodyTextIndent">
    <w:name w:val="Body Text Indent"/>
    <w:basedOn w:val="Normal"/>
    <w:link w:val="BodyTextIndentChar"/>
    <w:rsid w:val="00EE64BF"/>
    <w:pPr>
      <w:spacing w:line="360" w:lineRule="auto"/>
      <w:ind w:firstLine="720"/>
    </w:pPr>
    <w:rPr>
      <w:szCs w:val="20"/>
      <w:lang w:val="x-none" w:eastAsia="x-none"/>
    </w:rPr>
  </w:style>
  <w:style w:type="character" w:customStyle="1" w:styleId="BodyTextIndentChar">
    <w:name w:val="Body Text Indent Char"/>
    <w:basedOn w:val="DefaultParagraphFont"/>
    <w:link w:val="BodyTextIndent"/>
    <w:rsid w:val="00EE64BF"/>
    <w:rPr>
      <w:rFonts w:ascii="Times New Roman" w:eastAsia="Times New Roman" w:hAnsi="Times New Roman" w:cs="Times New Roman"/>
      <w:sz w:val="24"/>
      <w:szCs w:val="20"/>
      <w:lang w:val="x-none" w:eastAsia="x-none"/>
    </w:rPr>
  </w:style>
  <w:style w:type="character" w:customStyle="1" w:styleId="bodytext">
    <w:name w:val="bodytext"/>
    <w:rsid w:val="00EE64BF"/>
    <w:rPr>
      <w:rFonts w:cs="Times New Roman"/>
    </w:rPr>
  </w:style>
  <w:style w:type="table" w:styleId="TableGrid">
    <w:name w:val="Table Grid"/>
    <w:basedOn w:val="TableNormal"/>
    <w:uiPriority w:val="59"/>
    <w:rsid w:val="007C43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06E0F"/>
    <w:pPr>
      <w:spacing w:after="200"/>
    </w:pPr>
    <w:rPr>
      <w:b/>
      <w:iCs/>
      <w:szCs w:val="18"/>
    </w:rPr>
  </w:style>
  <w:style w:type="character" w:styleId="CommentReference">
    <w:name w:val="annotation reference"/>
    <w:basedOn w:val="DefaultParagraphFont"/>
    <w:uiPriority w:val="99"/>
    <w:unhideWhenUsed/>
    <w:rsid w:val="008253CC"/>
    <w:rPr>
      <w:sz w:val="16"/>
      <w:szCs w:val="16"/>
    </w:rPr>
  </w:style>
  <w:style w:type="paragraph" w:styleId="CommentText">
    <w:name w:val="annotation text"/>
    <w:basedOn w:val="Normal"/>
    <w:link w:val="CommentTextChar"/>
    <w:uiPriority w:val="99"/>
    <w:unhideWhenUsed/>
    <w:rsid w:val="008253CC"/>
    <w:rPr>
      <w:sz w:val="20"/>
      <w:szCs w:val="20"/>
    </w:rPr>
  </w:style>
  <w:style w:type="character" w:customStyle="1" w:styleId="CommentTextChar">
    <w:name w:val="Comment Text Char"/>
    <w:basedOn w:val="DefaultParagraphFont"/>
    <w:link w:val="CommentText"/>
    <w:uiPriority w:val="99"/>
    <w:rsid w:val="008253C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253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53CC"/>
    <w:rPr>
      <w:rFonts w:ascii="Segoe UI" w:eastAsia="Times New Roman" w:hAnsi="Segoe UI" w:cs="Segoe UI"/>
      <w:sz w:val="18"/>
      <w:szCs w:val="18"/>
    </w:rPr>
  </w:style>
  <w:style w:type="paragraph" w:styleId="TableofFigures">
    <w:name w:val="table of figures"/>
    <w:basedOn w:val="Normal"/>
    <w:next w:val="Normal"/>
    <w:uiPriority w:val="99"/>
    <w:unhideWhenUsed/>
    <w:rsid w:val="007F29CE"/>
  </w:style>
  <w:style w:type="paragraph" w:styleId="CommentSubject">
    <w:name w:val="annotation subject"/>
    <w:basedOn w:val="CommentText"/>
    <w:next w:val="CommentText"/>
    <w:link w:val="CommentSubjectChar"/>
    <w:uiPriority w:val="99"/>
    <w:semiHidden/>
    <w:unhideWhenUsed/>
    <w:rsid w:val="00C722C4"/>
    <w:rPr>
      <w:b/>
      <w:bCs/>
    </w:rPr>
  </w:style>
  <w:style w:type="character" w:customStyle="1" w:styleId="CommentSubjectChar">
    <w:name w:val="Comment Subject Char"/>
    <w:basedOn w:val="CommentTextChar"/>
    <w:link w:val="CommentSubject"/>
    <w:uiPriority w:val="99"/>
    <w:semiHidden/>
    <w:rsid w:val="00C722C4"/>
    <w:rPr>
      <w:rFonts w:ascii="Times New Roman" w:eastAsia="Times New Roman" w:hAnsi="Times New Roman" w:cs="Times New Roman"/>
      <w:b/>
      <w:bCs/>
      <w:sz w:val="20"/>
      <w:szCs w:val="20"/>
    </w:rPr>
  </w:style>
  <w:style w:type="paragraph" w:styleId="ListParagraph">
    <w:name w:val="List Paragraph"/>
    <w:basedOn w:val="Normal"/>
    <w:uiPriority w:val="34"/>
    <w:qFormat/>
    <w:rsid w:val="00013F21"/>
    <w:pPr>
      <w:ind w:left="720"/>
      <w:contextualSpacing/>
    </w:pPr>
  </w:style>
  <w:style w:type="paragraph" w:customStyle="1" w:styleId="EndNoteBibliographyTitle">
    <w:name w:val="EndNote Bibliography Title"/>
    <w:basedOn w:val="Normal"/>
    <w:link w:val="EndNoteBibliographyTitleChar"/>
    <w:rsid w:val="0053739F"/>
    <w:pPr>
      <w:jc w:val="center"/>
    </w:pPr>
    <w:rPr>
      <w:noProof/>
    </w:rPr>
  </w:style>
  <w:style w:type="character" w:customStyle="1" w:styleId="EndNoteBibliographyTitleChar">
    <w:name w:val="EndNote Bibliography Title Char"/>
    <w:basedOn w:val="DefaultParagraphFont"/>
    <w:link w:val="EndNoteBibliographyTitle"/>
    <w:rsid w:val="0053739F"/>
    <w:rPr>
      <w:rFonts w:ascii="Times New Roman" w:eastAsia="Times New Roman" w:hAnsi="Times New Roman" w:cs="Times New Roman"/>
      <w:noProof/>
      <w:sz w:val="24"/>
      <w:szCs w:val="24"/>
    </w:rPr>
  </w:style>
  <w:style w:type="paragraph" w:customStyle="1" w:styleId="EndNoteBibliography">
    <w:name w:val="EndNote Bibliography"/>
    <w:basedOn w:val="Normal"/>
    <w:link w:val="EndNoteBibliographyChar"/>
    <w:rsid w:val="0053739F"/>
    <w:rPr>
      <w:noProof/>
    </w:rPr>
  </w:style>
  <w:style w:type="character" w:customStyle="1" w:styleId="EndNoteBibliographyChar">
    <w:name w:val="EndNote Bibliography Char"/>
    <w:basedOn w:val="DefaultParagraphFont"/>
    <w:link w:val="EndNoteBibliography"/>
    <w:rsid w:val="0053739F"/>
    <w:rPr>
      <w:rFonts w:ascii="Times New Roman" w:eastAsia="Times New Roman" w:hAnsi="Times New Roman" w:cs="Times New Roman"/>
      <w:noProof/>
      <w:sz w:val="24"/>
      <w:szCs w:val="24"/>
    </w:rPr>
  </w:style>
  <w:style w:type="paragraph" w:customStyle="1" w:styleId="Normal1">
    <w:name w:val="Normal1"/>
    <w:basedOn w:val="Normal"/>
    <w:link w:val="Normal1Char"/>
    <w:qFormat/>
    <w:rsid w:val="0053739F"/>
    <w:rPr>
      <w:rFonts w:cs="Arial"/>
    </w:rPr>
  </w:style>
  <w:style w:type="character" w:customStyle="1" w:styleId="Normal1Char">
    <w:name w:val="Normal1 Char"/>
    <w:basedOn w:val="DefaultParagraphFont"/>
    <w:link w:val="Normal1"/>
    <w:rsid w:val="0053739F"/>
    <w:rPr>
      <w:rFonts w:ascii="Times New Roman" w:eastAsia="Times New Roman" w:hAnsi="Times New Roman" w:cs="Arial"/>
      <w:sz w:val="24"/>
      <w:szCs w:val="24"/>
    </w:rPr>
  </w:style>
  <w:style w:type="table" w:customStyle="1" w:styleId="GridTableLight">
    <w:name w:val="Grid Table Light"/>
    <w:basedOn w:val="TableNormal"/>
    <w:uiPriority w:val="40"/>
    <w:rsid w:val="008D34B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tocol">
    <w:name w:val="Protocol"/>
    <w:basedOn w:val="NoSpacing"/>
    <w:link w:val="ProtocolChar"/>
    <w:autoRedefine/>
    <w:qFormat/>
    <w:rsid w:val="00A920ED"/>
    <w:pPr>
      <w:spacing w:before="120" w:after="120"/>
    </w:pPr>
    <w:rPr>
      <w:rFonts w:eastAsia="Times New Roman" w:cs="Times New Roman"/>
      <w:szCs w:val="24"/>
    </w:rPr>
  </w:style>
  <w:style w:type="character" w:customStyle="1" w:styleId="ProtocolChar">
    <w:name w:val="Protocol Char"/>
    <w:basedOn w:val="DefaultParagraphFont"/>
    <w:link w:val="Protocol"/>
    <w:rsid w:val="00A920ED"/>
    <w:rPr>
      <w:rFonts w:ascii="Times New Roman" w:eastAsia="Times New Roman" w:hAnsi="Times New Roman" w:cs="Times New Roman"/>
      <w:sz w:val="24"/>
      <w:szCs w:val="24"/>
    </w:rPr>
  </w:style>
  <w:style w:type="paragraph" w:styleId="TOC2">
    <w:name w:val="toc 2"/>
    <w:basedOn w:val="Normal"/>
    <w:next w:val="Normal"/>
    <w:autoRedefine/>
    <w:uiPriority w:val="39"/>
    <w:semiHidden/>
    <w:unhideWhenUsed/>
    <w:rsid w:val="00A347F2"/>
    <w:pPr>
      <w:spacing w:after="100"/>
      <w:ind w:left="240"/>
    </w:pPr>
  </w:style>
  <w:style w:type="paragraph" w:styleId="Revision">
    <w:name w:val="Revision"/>
    <w:hidden/>
    <w:uiPriority w:val="99"/>
    <w:semiHidden/>
    <w:rsid w:val="008A04E1"/>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828533">
      <w:bodyDiv w:val="1"/>
      <w:marLeft w:val="0"/>
      <w:marRight w:val="0"/>
      <w:marTop w:val="0"/>
      <w:marBottom w:val="0"/>
      <w:divBdr>
        <w:top w:val="none" w:sz="0" w:space="0" w:color="auto"/>
        <w:left w:val="none" w:sz="0" w:space="0" w:color="auto"/>
        <w:bottom w:val="none" w:sz="0" w:space="0" w:color="auto"/>
        <w:right w:val="none" w:sz="0" w:space="0" w:color="auto"/>
      </w:divBdr>
    </w:div>
    <w:div w:id="723724787">
      <w:bodyDiv w:val="1"/>
      <w:marLeft w:val="0"/>
      <w:marRight w:val="0"/>
      <w:marTop w:val="0"/>
      <w:marBottom w:val="0"/>
      <w:divBdr>
        <w:top w:val="none" w:sz="0" w:space="0" w:color="auto"/>
        <w:left w:val="none" w:sz="0" w:space="0" w:color="auto"/>
        <w:bottom w:val="none" w:sz="0" w:space="0" w:color="auto"/>
        <w:right w:val="none" w:sz="0" w:space="0" w:color="auto"/>
      </w:divBdr>
    </w:div>
    <w:div w:id="965043926">
      <w:bodyDiv w:val="1"/>
      <w:marLeft w:val="0"/>
      <w:marRight w:val="0"/>
      <w:marTop w:val="0"/>
      <w:marBottom w:val="0"/>
      <w:divBdr>
        <w:top w:val="none" w:sz="0" w:space="0" w:color="auto"/>
        <w:left w:val="none" w:sz="0" w:space="0" w:color="auto"/>
        <w:bottom w:val="none" w:sz="0" w:space="0" w:color="auto"/>
        <w:right w:val="none" w:sz="0" w:space="0" w:color="auto"/>
      </w:divBdr>
    </w:div>
    <w:div w:id="978606611">
      <w:bodyDiv w:val="1"/>
      <w:marLeft w:val="0"/>
      <w:marRight w:val="0"/>
      <w:marTop w:val="0"/>
      <w:marBottom w:val="0"/>
      <w:divBdr>
        <w:top w:val="none" w:sz="0" w:space="0" w:color="auto"/>
        <w:left w:val="none" w:sz="0" w:space="0" w:color="auto"/>
        <w:bottom w:val="none" w:sz="0" w:space="0" w:color="auto"/>
        <w:right w:val="none" w:sz="0" w:space="0" w:color="auto"/>
      </w:divBdr>
    </w:div>
    <w:div w:id="1238517240">
      <w:bodyDiv w:val="1"/>
      <w:marLeft w:val="0"/>
      <w:marRight w:val="0"/>
      <w:marTop w:val="0"/>
      <w:marBottom w:val="0"/>
      <w:divBdr>
        <w:top w:val="none" w:sz="0" w:space="0" w:color="auto"/>
        <w:left w:val="none" w:sz="0" w:space="0" w:color="auto"/>
        <w:bottom w:val="none" w:sz="0" w:space="0" w:color="auto"/>
        <w:right w:val="none" w:sz="0" w:space="0" w:color="auto"/>
      </w:divBdr>
    </w:div>
    <w:div w:id="1510368374">
      <w:bodyDiv w:val="1"/>
      <w:marLeft w:val="0"/>
      <w:marRight w:val="0"/>
      <w:marTop w:val="0"/>
      <w:marBottom w:val="0"/>
      <w:divBdr>
        <w:top w:val="none" w:sz="0" w:space="0" w:color="auto"/>
        <w:left w:val="none" w:sz="0" w:space="0" w:color="auto"/>
        <w:bottom w:val="none" w:sz="0" w:space="0" w:color="auto"/>
        <w:right w:val="none" w:sz="0" w:space="0" w:color="auto"/>
      </w:divBdr>
    </w:div>
    <w:div w:id="1606498083">
      <w:bodyDiv w:val="1"/>
      <w:marLeft w:val="0"/>
      <w:marRight w:val="0"/>
      <w:marTop w:val="0"/>
      <w:marBottom w:val="0"/>
      <w:divBdr>
        <w:top w:val="none" w:sz="0" w:space="0" w:color="auto"/>
        <w:left w:val="none" w:sz="0" w:space="0" w:color="auto"/>
        <w:bottom w:val="none" w:sz="0" w:space="0" w:color="auto"/>
        <w:right w:val="none" w:sz="0" w:space="0" w:color="auto"/>
      </w:divBdr>
    </w:div>
    <w:div w:id="1611158890">
      <w:bodyDiv w:val="1"/>
      <w:marLeft w:val="0"/>
      <w:marRight w:val="0"/>
      <w:marTop w:val="0"/>
      <w:marBottom w:val="0"/>
      <w:divBdr>
        <w:top w:val="none" w:sz="0" w:space="0" w:color="auto"/>
        <w:left w:val="none" w:sz="0" w:space="0" w:color="auto"/>
        <w:bottom w:val="none" w:sz="0" w:space="0" w:color="auto"/>
        <w:right w:val="none" w:sz="0" w:space="0" w:color="auto"/>
      </w:divBdr>
    </w:div>
    <w:div w:id="1778400844">
      <w:bodyDiv w:val="1"/>
      <w:marLeft w:val="0"/>
      <w:marRight w:val="0"/>
      <w:marTop w:val="0"/>
      <w:marBottom w:val="0"/>
      <w:divBdr>
        <w:top w:val="none" w:sz="0" w:space="0" w:color="auto"/>
        <w:left w:val="none" w:sz="0" w:space="0" w:color="auto"/>
        <w:bottom w:val="none" w:sz="0" w:space="0" w:color="auto"/>
        <w:right w:val="none" w:sz="0" w:space="0" w:color="auto"/>
      </w:divBdr>
    </w:div>
    <w:div w:id="1883397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5B898047-57F5-4458-B69C-FFA9C88D1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1728</Words>
  <Characters>9853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11558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Baack, Brittney N. (CDC/OID/NCHHSTP)</dc:creator>
  <cp:keywords/>
  <dc:description/>
  <cp:lastModifiedBy>SYSTEM</cp:lastModifiedBy>
  <cp:revision>2</cp:revision>
  <cp:lastPrinted>2018-11-15T19:48:00Z</cp:lastPrinted>
  <dcterms:created xsi:type="dcterms:W3CDTF">2019-08-08T00:26:00Z</dcterms:created>
  <dcterms:modified xsi:type="dcterms:W3CDTF">2019-08-08T00:26:00Z</dcterms:modified>
</cp:coreProperties>
</file>