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38515" w14:textId="76D4CB54" w:rsidR="006869D4" w:rsidRDefault="006869D4" w:rsidP="00F95454">
      <w:pPr>
        <w:pStyle w:val="NoSpacing"/>
        <w:spacing w:before="120" w:after="120"/>
        <w:mirrorIndents/>
        <w:jc w:val="center"/>
        <w:rPr>
          <w:b/>
        </w:rPr>
      </w:pPr>
      <w:bookmarkStart w:id="0" w:name="_GoBack"/>
      <w:bookmarkEnd w:id="0"/>
    </w:p>
    <w:p w14:paraId="09CB9C00" w14:textId="07640916" w:rsidR="00A32FBE" w:rsidRPr="00212D0C" w:rsidRDefault="00491EB1" w:rsidP="00F95454">
      <w:pPr>
        <w:pStyle w:val="NoSpacing"/>
        <w:spacing w:before="120" w:after="120"/>
        <w:mirrorIndents/>
        <w:jc w:val="center"/>
        <w:rPr>
          <w:szCs w:val="24"/>
        </w:rPr>
      </w:pPr>
      <w:r w:rsidRPr="00212D0C">
        <w:rPr>
          <w:szCs w:val="24"/>
        </w:rPr>
        <w:t>Assessment of Gonorrhea Case Interviewing in STD Surveillance Network Sites</w:t>
      </w:r>
      <w:r w:rsidR="00A32FBE" w:rsidRPr="00212D0C">
        <w:rPr>
          <w:szCs w:val="24"/>
        </w:rPr>
        <w:t xml:space="preserve"> </w:t>
      </w:r>
    </w:p>
    <w:p w14:paraId="2D4C5522" w14:textId="7A82CEBF" w:rsidR="00E227E6" w:rsidRPr="00412543" w:rsidRDefault="00E227E6" w:rsidP="00F95454">
      <w:pPr>
        <w:pStyle w:val="NoSpacing"/>
        <w:spacing w:before="120" w:after="120"/>
        <w:mirrorIndents/>
        <w:jc w:val="center"/>
      </w:pPr>
      <w:r w:rsidRPr="00412543">
        <w:t>Gen</w:t>
      </w:r>
      <w:r w:rsidR="001F2D33" w:rsidRPr="00412543">
        <w:t>eric</w:t>
      </w:r>
      <w:r w:rsidRPr="00412543">
        <w:t xml:space="preserve"> Information Collection under OMB #</w:t>
      </w:r>
      <w:r w:rsidR="00491EB1" w:rsidRPr="00491EB1">
        <w:t xml:space="preserve"> </w:t>
      </w:r>
      <w:r w:rsidR="00491EB1" w:rsidRPr="002B31BA">
        <w:t>0920-0840</w:t>
      </w:r>
    </w:p>
    <w:p w14:paraId="646ACD0B" w14:textId="77777777" w:rsidR="00E227E6" w:rsidRDefault="00E227E6" w:rsidP="00F95454">
      <w:pPr>
        <w:pStyle w:val="NoSpacing"/>
        <w:spacing w:before="120" w:after="120"/>
        <w:mirrorIndents/>
        <w:jc w:val="center"/>
        <w:rPr>
          <w:b/>
        </w:rPr>
      </w:pPr>
    </w:p>
    <w:p w14:paraId="70491B13" w14:textId="77777777" w:rsidR="00E227E6" w:rsidRDefault="00E227E6" w:rsidP="00F95454">
      <w:pPr>
        <w:pStyle w:val="NoSpacing"/>
        <w:spacing w:before="120" w:after="120"/>
        <w:mirrorIndents/>
        <w:jc w:val="center"/>
        <w:rPr>
          <w:b/>
        </w:rPr>
      </w:pPr>
    </w:p>
    <w:p w14:paraId="3FA0A050" w14:textId="77777777" w:rsidR="0098673D" w:rsidRDefault="0098673D" w:rsidP="00F95454">
      <w:pPr>
        <w:pStyle w:val="NoSpacing"/>
        <w:spacing w:before="120" w:after="120"/>
        <w:mirrorIndents/>
        <w:jc w:val="center"/>
        <w:rPr>
          <w:b/>
        </w:rPr>
      </w:pPr>
    </w:p>
    <w:p w14:paraId="1032F302" w14:textId="01A5147B" w:rsidR="0098673D" w:rsidRDefault="00256843" w:rsidP="00F95454">
      <w:pPr>
        <w:pStyle w:val="NoSpacing"/>
        <w:spacing w:before="120" w:after="120"/>
        <w:mirrorIndents/>
        <w:jc w:val="center"/>
        <w:rPr>
          <w:b/>
        </w:rPr>
      </w:pPr>
      <w:r>
        <w:rPr>
          <w:b/>
        </w:rPr>
        <w:t xml:space="preserve"> </w:t>
      </w:r>
    </w:p>
    <w:p w14:paraId="0DA15451" w14:textId="77777777" w:rsidR="0098673D" w:rsidRPr="00412543" w:rsidRDefault="0098673D" w:rsidP="00F95454">
      <w:pPr>
        <w:pStyle w:val="NoSpacing"/>
        <w:spacing w:before="120" w:after="120"/>
        <w:mirrorIndents/>
        <w:jc w:val="center"/>
      </w:pPr>
      <w:r w:rsidRPr="00412543">
        <w:t>Section A: Supporting Statement</w:t>
      </w:r>
    </w:p>
    <w:p w14:paraId="012C70EF" w14:textId="77777777" w:rsidR="0098673D" w:rsidRDefault="0098673D" w:rsidP="00F95454">
      <w:pPr>
        <w:pStyle w:val="NoSpacing"/>
        <w:spacing w:before="120" w:after="120"/>
        <w:mirrorIndents/>
        <w:jc w:val="center"/>
        <w:rPr>
          <w:b/>
        </w:rPr>
      </w:pPr>
    </w:p>
    <w:p w14:paraId="20F53B92" w14:textId="77777777" w:rsidR="0098673D" w:rsidRDefault="0098673D" w:rsidP="00F95454">
      <w:pPr>
        <w:pStyle w:val="NoSpacing"/>
        <w:spacing w:before="120" w:after="120"/>
        <w:mirrorIndents/>
        <w:jc w:val="center"/>
        <w:rPr>
          <w:b/>
        </w:rPr>
      </w:pPr>
    </w:p>
    <w:p w14:paraId="7AFB1319" w14:textId="77777777" w:rsidR="00053671" w:rsidRDefault="00053671" w:rsidP="00F95454">
      <w:pPr>
        <w:pStyle w:val="NoSpacing"/>
        <w:spacing w:before="120" w:after="120"/>
        <w:mirrorIndents/>
        <w:jc w:val="center"/>
        <w:rPr>
          <w:b/>
        </w:rPr>
      </w:pPr>
    </w:p>
    <w:p w14:paraId="04EE08F6" w14:textId="77777777" w:rsidR="00053671" w:rsidRDefault="00053671" w:rsidP="00F95454">
      <w:pPr>
        <w:pStyle w:val="NoSpacing"/>
        <w:spacing w:before="120" w:after="120"/>
        <w:mirrorIndents/>
        <w:jc w:val="center"/>
        <w:rPr>
          <w:b/>
        </w:rPr>
      </w:pPr>
    </w:p>
    <w:p w14:paraId="09B6F01D" w14:textId="7A02A0D8" w:rsidR="005A0F49" w:rsidRPr="00412543" w:rsidRDefault="00383D44" w:rsidP="00F95454">
      <w:pPr>
        <w:pStyle w:val="NoSpacing"/>
        <w:spacing w:before="120" w:after="120"/>
        <w:mirrorIndents/>
        <w:jc w:val="center"/>
      </w:pPr>
      <w:r>
        <w:t>June 24</w:t>
      </w:r>
      <w:r w:rsidR="00B45435">
        <w:t>, 2019</w:t>
      </w:r>
    </w:p>
    <w:p w14:paraId="3ADA8582" w14:textId="77777777" w:rsidR="00053671" w:rsidRDefault="00053671" w:rsidP="00F95454">
      <w:pPr>
        <w:pStyle w:val="NoSpacing"/>
        <w:spacing w:before="120" w:after="120"/>
        <w:mirrorIndents/>
        <w:jc w:val="center"/>
        <w:rPr>
          <w:b/>
        </w:rPr>
      </w:pPr>
    </w:p>
    <w:p w14:paraId="6C409248" w14:textId="77777777" w:rsidR="00053671" w:rsidRDefault="00053671" w:rsidP="00F95454">
      <w:pPr>
        <w:pStyle w:val="NoSpacing"/>
        <w:spacing w:before="120" w:after="120"/>
        <w:mirrorIndents/>
        <w:jc w:val="center"/>
        <w:rPr>
          <w:b/>
        </w:rPr>
      </w:pPr>
    </w:p>
    <w:p w14:paraId="0438CDFE" w14:textId="77777777" w:rsidR="00053671" w:rsidRDefault="00053671" w:rsidP="00F95454">
      <w:pPr>
        <w:pStyle w:val="NoSpacing"/>
        <w:spacing w:before="120" w:after="120"/>
        <w:mirrorIndents/>
        <w:jc w:val="center"/>
        <w:rPr>
          <w:b/>
        </w:rPr>
      </w:pPr>
      <w:r>
        <w:rPr>
          <w:b/>
        </w:rPr>
        <w:t>CONTACT</w:t>
      </w:r>
    </w:p>
    <w:p w14:paraId="12434A3D" w14:textId="14414B53" w:rsidR="00053671" w:rsidRPr="00603813" w:rsidRDefault="00491EB1" w:rsidP="00F95454">
      <w:pPr>
        <w:spacing w:before="120" w:after="120"/>
        <w:mirrorIndents/>
        <w:jc w:val="center"/>
        <w:rPr>
          <w:shd w:val="clear" w:color="auto" w:fill="FFFFFF"/>
        </w:rPr>
      </w:pPr>
      <w:r>
        <w:rPr>
          <w:bCs/>
          <w:shd w:val="clear" w:color="auto" w:fill="FFFFFF"/>
        </w:rPr>
        <w:t xml:space="preserve">Brandy L. Maddox, </w:t>
      </w:r>
      <w:r w:rsidR="00AC254E">
        <w:t>MPH</w:t>
      </w:r>
      <w:r>
        <w:t>, MCHES</w:t>
      </w:r>
      <w:r w:rsidR="00053671" w:rsidRPr="00603813">
        <w:br/>
      </w:r>
      <w:r>
        <w:t>Health Scientist</w:t>
      </w:r>
      <w:r w:rsidR="00E3737B">
        <w:t xml:space="preserve"> / Principal Investigator</w:t>
      </w:r>
    </w:p>
    <w:p w14:paraId="3320011F" w14:textId="2F91D620" w:rsidR="00491EB1" w:rsidRDefault="00053671" w:rsidP="00F95454">
      <w:pPr>
        <w:pStyle w:val="NoSpacing"/>
        <w:spacing w:before="120" w:after="120"/>
        <w:mirrorIndents/>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 xml:space="preserve">Division of </w:t>
      </w:r>
      <w:r w:rsidR="00491EB1">
        <w:rPr>
          <w:shd w:val="clear" w:color="auto" w:fill="FFFFFF"/>
        </w:rPr>
        <w:t>STD</w:t>
      </w:r>
      <w:r w:rsidRPr="00603813">
        <w:rPr>
          <w:shd w:val="clear" w:color="auto" w:fill="FFFFFF"/>
        </w:rPr>
        <w:t xml:space="preserve"> Prevention</w:t>
      </w:r>
      <w:r w:rsidRPr="00603813">
        <w:t xml:space="preserve"> </w:t>
      </w:r>
      <w:r w:rsidRPr="00603813">
        <w:br/>
      </w:r>
      <w:r w:rsidRPr="00603813">
        <w:rPr>
          <w:shd w:val="clear" w:color="auto" w:fill="FFFFFF"/>
        </w:rPr>
        <w:t xml:space="preserve">1600 Clifton Road, NE, Mailstop </w:t>
      </w:r>
      <w:r w:rsidR="00491EB1">
        <w:rPr>
          <w:shd w:val="clear" w:color="auto" w:fill="FFFFFF"/>
        </w:rPr>
        <w:t>US 12-2</w:t>
      </w:r>
    </w:p>
    <w:p w14:paraId="3A83CC25" w14:textId="0508C1DB" w:rsidR="00053671" w:rsidRPr="00491EB1" w:rsidRDefault="00053671" w:rsidP="00F95454">
      <w:pPr>
        <w:pStyle w:val="NoSpacing"/>
        <w:spacing w:before="120" w:after="120"/>
        <w:mirrorIndents/>
        <w:jc w:val="center"/>
        <w:rPr>
          <w:shd w:val="clear" w:color="auto" w:fill="FFFFFF"/>
        </w:rPr>
      </w:pPr>
      <w:r w:rsidRPr="00603813">
        <w:rPr>
          <w:shd w:val="clear" w:color="auto" w:fill="FFFFFF"/>
        </w:rPr>
        <w:t>Atlanta, GA 30333</w:t>
      </w:r>
      <w:r w:rsidRPr="00603813">
        <w:br/>
      </w:r>
      <w:r w:rsidRPr="00603813">
        <w:rPr>
          <w:shd w:val="clear" w:color="auto" w:fill="FFFFFF"/>
        </w:rPr>
        <w:t xml:space="preserve">Phone: </w:t>
      </w:r>
      <w:r w:rsidR="004657BF">
        <w:rPr>
          <w:shd w:val="clear" w:color="auto" w:fill="FFFFFF"/>
        </w:rPr>
        <w:t>404-639-</w:t>
      </w:r>
      <w:r w:rsidR="00491EB1">
        <w:rPr>
          <w:shd w:val="clear" w:color="auto" w:fill="FFFFFF"/>
        </w:rPr>
        <w:t>8511</w:t>
      </w:r>
      <w:r w:rsidRPr="00603813">
        <w:br/>
      </w:r>
      <w:r w:rsidRPr="00603813">
        <w:rPr>
          <w:shd w:val="clear" w:color="auto" w:fill="FFFFFF"/>
        </w:rPr>
        <w:t>E-mail:</w:t>
      </w:r>
      <w:r w:rsidRPr="00603813">
        <w:t> </w:t>
      </w:r>
      <w:r w:rsidR="00491EB1">
        <w:t>ftn6</w:t>
      </w:r>
      <w:r w:rsidR="00542640">
        <w:t>@cdc.gov</w:t>
      </w:r>
    </w:p>
    <w:p w14:paraId="6D3B73F1" w14:textId="77777777" w:rsidR="00542640" w:rsidRDefault="00542640" w:rsidP="00F95454">
      <w:pPr>
        <w:pStyle w:val="NoSpacing"/>
        <w:spacing w:before="120" w:after="120"/>
        <w:mirrorIndents/>
        <w:jc w:val="center"/>
        <w:rPr>
          <w:b/>
        </w:rPr>
      </w:pPr>
    </w:p>
    <w:p w14:paraId="1CDBCFDA" w14:textId="77777777" w:rsidR="00542640" w:rsidRDefault="00542640" w:rsidP="00F95454">
      <w:pPr>
        <w:pStyle w:val="NoSpacing"/>
        <w:spacing w:before="120" w:after="120"/>
        <w:mirrorIndents/>
        <w:jc w:val="center"/>
        <w:rPr>
          <w:b/>
        </w:rPr>
      </w:pPr>
    </w:p>
    <w:p w14:paraId="37C195DE" w14:textId="77777777" w:rsidR="00542640" w:rsidRDefault="00542640" w:rsidP="00F95454">
      <w:pPr>
        <w:pStyle w:val="NoSpacing"/>
        <w:spacing w:before="120" w:after="120"/>
        <w:mirrorIndents/>
        <w:jc w:val="center"/>
        <w:rPr>
          <w:b/>
        </w:rPr>
      </w:pPr>
    </w:p>
    <w:p w14:paraId="189F3DEB" w14:textId="77777777" w:rsidR="00542640" w:rsidRDefault="00542640" w:rsidP="00F95454">
      <w:pPr>
        <w:pStyle w:val="NoSpacing"/>
        <w:spacing w:before="120" w:after="120"/>
        <w:mirrorIndents/>
        <w:jc w:val="center"/>
        <w:rPr>
          <w:b/>
        </w:rPr>
      </w:pPr>
    </w:p>
    <w:p w14:paraId="301712CD" w14:textId="77777777" w:rsidR="00542640" w:rsidRDefault="00542640" w:rsidP="00F95454">
      <w:pPr>
        <w:spacing w:before="120" w:after="120"/>
        <w:mirrorIndents/>
        <w:rPr>
          <w:rFonts w:eastAsiaTheme="minorHAnsi" w:cstheme="minorBidi"/>
          <w:b/>
          <w:szCs w:val="22"/>
        </w:rPr>
      </w:pPr>
      <w:r>
        <w:rPr>
          <w:b/>
        </w:rPr>
        <w:br w:type="page"/>
      </w:r>
    </w:p>
    <w:p w14:paraId="0038FF52" w14:textId="77777777" w:rsidR="00542640" w:rsidRDefault="00542640" w:rsidP="003B3841">
      <w:pPr>
        <w:pStyle w:val="NoSpacing"/>
        <w:pBdr>
          <w:bottom w:val="single" w:sz="4" w:space="1" w:color="auto"/>
        </w:pBdr>
        <w:mirrorIndents/>
        <w:rPr>
          <w:b/>
        </w:rPr>
      </w:pPr>
      <w:r w:rsidRPr="00E2574F">
        <w:rPr>
          <w:b/>
        </w:rPr>
        <w:lastRenderedPageBreak/>
        <w:t>TABLE OF CONTENTS</w:t>
      </w:r>
    </w:p>
    <w:p w14:paraId="25A78CC9" w14:textId="77777777" w:rsidR="00542640" w:rsidRDefault="00542640" w:rsidP="003B3841">
      <w:pPr>
        <w:pStyle w:val="NoSpacing"/>
        <w:mirrorIndents/>
        <w:rPr>
          <w:b/>
        </w:rPr>
      </w:pPr>
    </w:p>
    <w:sdt>
      <w:sdtPr>
        <w:id w:val="1602600070"/>
        <w:docPartObj>
          <w:docPartGallery w:val="Table of Contents"/>
          <w:docPartUnique/>
        </w:docPartObj>
      </w:sdtPr>
      <w:sdtEndPr>
        <w:rPr>
          <w:b/>
          <w:bCs/>
          <w:noProof/>
        </w:rPr>
      </w:sdtEndPr>
      <w:sdtContent>
        <w:p w14:paraId="166B3B02" w14:textId="746EF446" w:rsidR="006C655A" w:rsidRDefault="00B12EA3"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48296072" w:history="1">
            <w:r w:rsidR="006C655A" w:rsidRPr="00CF5A5B">
              <w:rPr>
                <w:rStyle w:val="Hyperlink"/>
                <w:noProof/>
              </w:rPr>
              <w:t>1.</w:t>
            </w:r>
            <w:r w:rsidR="006C655A">
              <w:rPr>
                <w:rFonts w:asciiTheme="minorHAnsi" w:eastAsiaTheme="minorEastAsia" w:hAnsiTheme="minorHAnsi" w:cstheme="minorBidi"/>
                <w:noProof/>
                <w:sz w:val="22"/>
                <w:szCs w:val="22"/>
              </w:rPr>
              <w:tab/>
            </w:r>
            <w:r w:rsidR="006C655A" w:rsidRPr="00CF5A5B">
              <w:rPr>
                <w:rStyle w:val="Hyperlink"/>
                <w:noProof/>
              </w:rPr>
              <w:t>Circumstances Making the Collection of Information Necessary</w:t>
            </w:r>
            <w:r w:rsidR="006C655A">
              <w:rPr>
                <w:noProof/>
                <w:webHidden/>
              </w:rPr>
              <w:tab/>
            </w:r>
            <w:r w:rsidR="006C655A">
              <w:rPr>
                <w:noProof/>
                <w:webHidden/>
              </w:rPr>
              <w:fldChar w:fldCharType="begin"/>
            </w:r>
            <w:r w:rsidR="006C655A">
              <w:rPr>
                <w:noProof/>
                <w:webHidden/>
              </w:rPr>
              <w:instrText xml:space="preserve"> PAGEREF _Toc448296072 \h </w:instrText>
            </w:r>
            <w:r w:rsidR="006C655A">
              <w:rPr>
                <w:noProof/>
                <w:webHidden/>
              </w:rPr>
            </w:r>
            <w:r w:rsidR="006C655A">
              <w:rPr>
                <w:noProof/>
                <w:webHidden/>
              </w:rPr>
              <w:fldChar w:fldCharType="separate"/>
            </w:r>
            <w:r w:rsidR="00CC297C">
              <w:rPr>
                <w:noProof/>
                <w:webHidden/>
              </w:rPr>
              <w:t>3</w:t>
            </w:r>
            <w:r w:rsidR="006C655A">
              <w:rPr>
                <w:noProof/>
                <w:webHidden/>
              </w:rPr>
              <w:fldChar w:fldCharType="end"/>
            </w:r>
          </w:hyperlink>
        </w:p>
        <w:p w14:paraId="2AC37EA4" w14:textId="5EF63F51"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3" w:history="1">
            <w:r w:rsidR="006C655A" w:rsidRPr="00CF5A5B">
              <w:rPr>
                <w:rStyle w:val="Hyperlink"/>
                <w:noProof/>
              </w:rPr>
              <w:t>2.</w:t>
            </w:r>
            <w:r w:rsidR="006C655A">
              <w:rPr>
                <w:rFonts w:asciiTheme="minorHAnsi" w:eastAsiaTheme="minorEastAsia" w:hAnsiTheme="minorHAnsi" w:cstheme="minorBidi"/>
                <w:noProof/>
                <w:sz w:val="22"/>
                <w:szCs w:val="22"/>
              </w:rPr>
              <w:tab/>
            </w:r>
            <w:r w:rsidR="006C655A" w:rsidRPr="00CF5A5B">
              <w:rPr>
                <w:rStyle w:val="Hyperlink"/>
                <w:noProof/>
              </w:rPr>
              <w:t>Purpose and Use of the Information Collection</w:t>
            </w:r>
            <w:r w:rsidR="006C655A">
              <w:rPr>
                <w:noProof/>
                <w:webHidden/>
              </w:rPr>
              <w:tab/>
            </w:r>
            <w:r w:rsidR="006C655A">
              <w:rPr>
                <w:noProof/>
                <w:webHidden/>
              </w:rPr>
              <w:fldChar w:fldCharType="begin"/>
            </w:r>
            <w:r w:rsidR="006C655A">
              <w:rPr>
                <w:noProof/>
                <w:webHidden/>
              </w:rPr>
              <w:instrText xml:space="preserve"> PAGEREF _Toc448296073 \h </w:instrText>
            </w:r>
            <w:r w:rsidR="006C655A">
              <w:rPr>
                <w:noProof/>
                <w:webHidden/>
              </w:rPr>
            </w:r>
            <w:r w:rsidR="006C655A">
              <w:rPr>
                <w:noProof/>
                <w:webHidden/>
              </w:rPr>
              <w:fldChar w:fldCharType="separate"/>
            </w:r>
            <w:r w:rsidR="00CC297C">
              <w:rPr>
                <w:noProof/>
                <w:webHidden/>
              </w:rPr>
              <w:t>3</w:t>
            </w:r>
            <w:r w:rsidR="006C655A">
              <w:rPr>
                <w:noProof/>
                <w:webHidden/>
              </w:rPr>
              <w:fldChar w:fldCharType="end"/>
            </w:r>
          </w:hyperlink>
        </w:p>
        <w:p w14:paraId="28DE14EC" w14:textId="0656D996"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4" w:history="1">
            <w:r w:rsidR="006C655A" w:rsidRPr="00CF5A5B">
              <w:rPr>
                <w:rStyle w:val="Hyperlink"/>
                <w:noProof/>
              </w:rPr>
              <w:t>3.</w:t>
            </w:r>
            <w:r w:rsidR="006C655A">
              <w:rPr>
                <w:rFonts w:asciiTheme="minorHAnsi" w:eastAsiaTheme="minorEastAsia" w:hAnsiTheme="minorHAnsi" w:cstheme="minorBidi"/>
                <w:noProof/>
                <w:sz w:val="22"/>
                <w:szCs w:val="22"/>
              </w:rPr>
              <w:tab/>
            </w:r>
            <w:r w:rsidR="006C655A" w:rsidRPr="00CF5A5B">
              <w:rPr>
                <w:rStyle w:val="Hyperlink"/>
                <w:noProof/>
              </w:rPr>
              <w:t>Use of Improved Information Technology and Burden Reduction</w:t>
            </w:r>
            <w:r w:rsidR="006C655A">
              <w:rPr>
                <w:noProof/>
                <w:webHidden/>
              </w:rPr>
              <w:tab/>
            </w:r>
            <w:r w:rsidR="006C655A">
              <w:rPr>
                <w:noProof/>
                <w:webHidden/>
              </w:rPr>
              <w:fldChar w:fldCharType="begin"/>
            </w:r>
            <w:r w:rsidR="006C655A">
              <w:rPr>
                <w:noProof/>
                <w:webHidden/>
              </w:rPr>
              <w:instrText xml:space="preserve"> PAGEREF _Toc448296074 \h </w:instrText>
            </w:r>
            <w:r w:rsidR="006C655A">
              <w:rPr>
                <w:noProof/>
                <w:webHidden/>
              </w:rPr>
            </w:r>
            <w:r w:rsidR="006C655A">
              <w:rPr>
                <w:noProof/>
                <w:webHidden/>
              </w:rPr>
              <w:fldChar w:fldCharType="separate"/>
            </w:r>
            <w:r w:rsidR="00CC297C">
              <w:rPr>
                <w:noProof/>
                <w:webHidden/>
              </w:rPr>
              <w:t>6</w:t>
            </w:r>
            <w:r w:rsidR="006C655A">
              <w:rPr>
                <w:noProof/>
                <w:webHidden/>
              </w:rPr>
              <w:fldChar w:fldCharType="end"/>
            </w:r>
          </w:hyperlink>
        </w:p>
        <w:p w14:paraId="6AD5762D" w14:textId="2D3B0AB8"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5" w:history="1">
            <w:r w:rsidR="006C655A" w:rsidRPr="00CF5A5B">
              <w:rPr>
                <w:rStyle w:val="Hyperlink"/>
                <w:noProof/>
              </w:rPr>
              <w:t>4.</w:t>
            </w:r>
            <w:r w:rsidR="006C655A">
              <w:rPr>
                <w:rFonts w:asciiTheme="minorHAnsi" w:eastAsiaTheme="minorEastAsia" w:hAnsiTheme="minorHAnsi" w:cstheme="minorBidi"/>
                <w:noProof/>
                <w:sz w:val="22"/>
                <w:szCs w:val="22"/>
              </w:rPr>
              <w:tab/>
            </w:r>
            <w:r w:rsidR="006C655A" w:rsidRPr="00CF5A5B">
              <w:rPr>
                <w:rStyle w:val="Hyperlink"/>
                <w:noProof/>
              </w:rPr>
              <w:t>Efforts to Identify Duplication and Use of Similar Information</w:t>
            </w:r>
            <w:r w:rsidR="006C655A">
              <w:rPr>
                <w:noProof/>
                <w:webHidden/>
              </w:rPr>
              <w:tab/>
            </w:r>
            <w:r w:rsidR="006C655A">
              <w:rPr>
                <w:noProof/>
                <w:webHidden/>
              </w:rPr>
              <w:fldChar w:fldCharType="begin"/>
            </w:r>
            <w:r w:rsidR="006C655A">
              <w:rPr>
                <w:noProof/>
                <w:webHidden/>
              </w:rPr>
              <w:instrText xml:space="preserve"> PAGEREF _Toc448296075 \h </w:instrText>
            </w:r>
            <w:r w:rsidR="006C655A">
              <w:rPr>
                <w:noProof/>
                <w:webHidden/>
              </w:rPr>
            </w:r>
            <w:r w:rsidR="006C655A">
              <w:rPr>
                <w:noProof/>
                <w:webHidden/>
              </w:rPr>
              <w:fldChar w:fldCharType="separate"/>
            </w:r>
            <w:r w:rsidR="00CC297C">
              <w:rPr>
                <w:noProof/>
                <w:webHidden/>
              </w:rPr>
              <w:t>8</w:t>
            </w:r>
            <w:r w:rsidR="006C655A">
              <w:rPr>
                <w:noProof/>
                <w:webHidden/>
              </w:rPr>
              <w:fldChar w:fldCharType="end"/>
            </w:r>
          </w:hyperlink>
        </w:p>
        <w:p w14:paraId="1A239163" w14:textId="051A499A"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6" w:history="1">
            <w:r w:rsidR="006C655A" w:rsidRPr="00CF5A5B">
              <w:rPr>
                <w:rStyle w:val="Hyperlink"/>
                <w:noProof/>
              </w:rPr>
              <w:t>5.</w:t>
            </w:r>
            <w:r w:rsidR="006C655A">
              <w:rPr>
                <w:rFonts w:asciiTheme="minorHAnsi" w:eastAsiaTheme="minorEastAsia" w:hAnsiTheme="minorHAnsi" w:cstheme="minorBidi"/>
                <w:noProof/>
                <w:sz w:val="22"/>
                <w:szCs w:val="22"/>
              </w:rPr>
              <w:tab/>
            </w:r>
            <w:r w:rsidR="006C655A" w:rsidRPr="00CF5A5B">
              <w:rPr>
                <w:rStyle w:val="Hyperlink"/>
                <w:noProof/>
              </w:rPr>
              <w:t>Impact on Small Businesses or Other Small Entities</w:t>
            </w:r>
            <w:r w:rsidR="006C655A">
              <w:rPr>
                <w:noProof/>
                <w:webHidden/>
              </w:rPr>
              <w:tab/>
            </w:r>
            <w:r w:rsidR="006C655A">
              <w:rPr>
                <w:noProof/>
                <w:webHidden/>
              </w:rPr>
              <w:fldChar w:fldCharType="begin"/>
            </w:r>
            <w:r w:rsidR="006C655A">
              <w:rPr>
                <w:noProof/>
                <w:webHidden/>
              </w:rPr>
              <w:instrText xml:space="preserve"> PAGEREF _Toc448296076 \h </w:instrText>
            </w:r>
            <w:r w:rsidR="006C655A">
              <w:rPr>
                <w:noProof/>
                <w:webHidden/>
              </w:rPr>
            </w:r>
            <w:r w:rsidR="006C655A">
              <w:rPr>
                <w:noProof/>
                <w:webHidden/>
              </w:rPr>
              <w:fldChar w:fldCharType="separate"/>
            </w:r>
            <w:r w:rsidR="00CC297C">
              <w:rPr>
                <w:noProof/>
                <w:webHidden/>
              </w:rPr>
              <w:t>8</w:t>
            </w:r>
            <w:r w:rsidR="006C655A">
              <w:rPr>
                <w:noProof/>
                <w:webHidden/>
              </w:rPr>
              <w:fldChar w:fldCharType="end"/>
            </w:r>
          </w:hyperlink>
        </w:p>
        <w:p w14:paraId="618D5250" w14:textId="24547DC2"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7" w:history="1">
            <w:r w:rsidR="006C655A" w:rsidRPr="00CF5A5B">
              <w:rPr>
                <w:rStyle w:val="Hyperlink"/>
                <w:noProof/>
              </w:rPr>
              <w:t>6.</w:t>
            </w:r>
            <w:r w:rsidR="006C655A">
              <w:rPr>
                <w:rFonts w:asciiTheme="minorHAnsi" w:eastAsiaTheme="minorEastAsia" w:hAnsiTheme="minorHAnsi" w:cstheme="minorBidi"/>
                <w:noProof/>
                <w:sz w:val="22"/>
                <w:szCs w:val="22"/>
              </w:rPr>
              <w:tab/>
            </w:r>
            <w:r w:rsidR="006C655A" w:rsidRPr="00CF5A5B">
              <w:rPr>
                <w:rStyle w:val="Hyperlink"/>
                <w:noProof/>
              </w:rPr>
              <w:t>Consequences of Collecting the Information Less Frequently</w:t>
            </w:r>
            <w:r w:rsidR="006C655A">
              <w:rPr>
                <w:noProof/>
                <w:webHidden/>
              </w:rPr>
              <w:tab/>
            </w:r>
            <w:r w:rsidR="006C655A">
              <w:rPr>
                <w:noProof/>
                <w:webHidden/>
              </w:rPr>
              <w:fldChar w:fldCharType="begin"/>
            </w:r>
            <w:r w:rsidR="006C655A">
              <w:rPr>
                <w:noProof/>
                <w:webHidden/>
              </w:rPr>
              <w:instrText xml:space="preserve"> PAGEREF _Toc448296077 \h </w:instrText>
            </w:r>
            <w:r w:rsidR="006C655A">
              <w:rPr>
                <w:noProof/>
                <w:webHidden/>
              </w:rPr>
            </w:r>
            <w:r w:rsidR="006C655A">
              <w:rPr>
                <w:noProof/>
                <w:webHidden/>
              </w:rPr>
              <w:fldChar w:fldCharType="separate"/>
            </w:r>
            <w:r w:rsidR="00CC297C">
              <w:rPr>
                <w:noProof/>
                <w:webHidden/>
              </w:rPr>
              <w:t>8</w:t>
            </w:r>
            <w:r w:rsidR="006C655A">
              <w:rPr>
                <w:noProof/>
                <w:webHidden/>
              </w:rPr>
              <w:fldChar w:fldCharType="end"/>
            </w:r>
          </w:hyperlink>
        </w:p>
        <w:p w14:paraId="059BAE9E" w14:textId="57CD8635"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8" w:history="1">
            <w:r w:rsidR="006C655A" w:rsidRPr="00CF5A5B">
              <w:rPr>
                <w:rStyle w:val="Hyperlink"/>
                <w:noProof/>
              </w:rPr>
              <w:t>7.</w:t>
            </w:r>
            <w:r w:rsidR="006C655A">
              <w:rPr>
                <w:rFonts w:asciiTheme="minorHAnsi" w:eastAsiaTheme="minorEastAsia" w:hAnsiTheme="minorHAnsi" w:cstheme="minorBidi"/>
                <w:noProof/>
                <w:sz w:val="22"/>
                <w:szCs w:val="22"/>
              </w:rPr>
              <w:tab/>
            </w:r>
            <w:r w:rsidR="006C655A" w:rsidRPr="00CF5A5B">
              <w:rPr>
                <w:rStyle w:val="Hyperlink"/>
                <w:noProof/>
              </w:rPr>
              <w:t>Special Circumstances Relating to the Guidelines of 5 CFR 1320.5</w:t>
            </w:r>
            <w:r w:rsidR="006C655A">
              <w:rPr>
                <w:noProof/>
                <w:webHidden/>
              </w:rPr>
              <w:tab/>
            </w:r>
            <w:r w:rsidR="006C655A">
              <w:rPr>
                <w:noProof/>
                <w:webHidden/>
              </w:rPr>
              <w:fldChar w:fldCharType="begin"/>
            </w:r>
            <w:r w:rsidR="006C655A">
              <w:rPr>
                <w:noProof/>
                <w:webHidden/>
              </w:rPr>
              <w:instrText xml:space="preserve"> PAGEREF _Toc448296078 \h </w:instrText>
            </w:r>
            <w:r w:rsidR="006C655A">
              <w:rPr>
                <w:noProof/>
                <w:webHidden/>
              </w:rPr>
            </w:r>
            <w:r w:rsidR="006C655A">
              <w:rPr>
                <w:noProof/>
                <w:webHidden/>
              </w:rPr>
              <w:fldChar w:fldCharType="separate"/>
            </w:r>
            <w:r w:rsidR="00CC297C">
              <w:rPr>
                <w:noProof/>
                <w:webHidden/>
              </w:rPr>
              <w:t>9</w:t>
            </w:r>
            <w:r w:rsidR="006C655A">
              <w:rPr>
                <w:noProof/>
                <w:webHidden/>
              </w:rPr>
              <w:fldChar w:fldCharType="end"/>
            </w:r>
          </w:hyperlink>
        </w:p>
        <w:p w14:paraId="408697EC" w14:textId="2DC1A2C1"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9" w:history="1">
            <w:r w:rsidR="006C655A" w:rsidRPr="00CF5A5B">
              <w:rPr>
                <w:rStyle w:val="Hyperlink"/>
                <w:noProof/>
              </w:rPr>
              <w:t>8.</w:t>
            </w:r>
            <w:r w:rsidR="006C655A">
              <w:rPr>
                <w:rFonts w:asciiTheme="minorHAnsi" w:eastAsiaTheme="minorEastAsia" w:hAnsiTheme="minorHAnsi" w:cstheme="minorBidi"/>
                <w:noProof/>
                <w:sz w:val="22"/>
                <w:szCs w:val="22"/>
              </w:rPr>
              <w:tab/>
            </w:r>
            <w:r w:rsidR="006C655A" w:rsidRPr="00CF5A5B">
              <w:rPr>
                <w:rStyle w:val="Hyperlink"/>
                <w:noProof/>
              </w:rPr>
              <w:t>Comments in Response to the Federal Register Notice and Efforts to Consult Outside the Agency</w:t>
            </w:r>
            <w:r w:rsidR="006C655A">
              <w:rPr>
                <w:noProof/>
                <w:webHidden/>
              </w:rPr>
              <w:tab/>
            </w:r>
            <w:r w:rsidR="006C655A">
              <w:rPr>
                <w:noProof/>
                <w:webHidden/>
              </w:rPr>
              <w:fldChar w:fldCharType="begin"/>
            </w:r>
            <w:r w:rsidR="006C655A">
              <w:rPr>
                <w:noProof/>
                <w:webHidden/>
              </w:rPr>
              <w:instrText xml:space="preserve"> PAGEREF _Toc448296079 \h </w:instrText>
            </w:r>
            <w:r w:rsidR="006C655A">
              <w:rPr>
                <w:noProof/>
                <w:webHidden/>
              </w:rPr>
            </w:r>
            <w:r w:rsidR="006C655A">
              <w:rPr>
                <w:noProof/>
                <w:webHidden/>
              </w:rPr>
              <w:fldChar w:fldCharType="separate"/>
            </w:r>
            <w:r w:rsidR="00CC297C">
              <w:rPr>
                <w:noProof/>
                <w:webHidden/>
              </w:rPr>
              <w:t>9</w:t>
            </w:r>
            <w:r w:rsidR="006C655A">
              <w:rPr>
                <w:noProof/>
                <w:webHidden/>
              </w:rPr>
              <w:fldChar w:fldCharType="end"/>
            </w:r>
          </w:hyperlink>
        </w:p>
        <w:p w14:paraId="067F1F3D" w14:textId="6AFC4ACC" w:rsidR="006C655A" w:rsidRDefault="009F735D"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80" w:history="1">
            <w:r w:rsidR="006C655A" w:rsidRPr="00CF5A5B">
              <w:rPr>
                <w:rStyle w:val="Hyperlink"/>
                <w:noProof/>
              </w:rPr>
              <w:t>9.</w:t>
            </w:r>
            <w:r w:rsidR="006C655A">
              <w:rPr>
                <w:rFonts w:asciiTheme="minorHAnsi" w:eastAsiaTheme="minorEastAsia" w:hAnsiTheme="minorHAnsi" w:cstheme="minorBidi"/>
                <w:noProof/>
                <w:sz w:val="22"/>
                <w:szCs w:val="22"/>
              </w:rPr>
              <w:tab/>
            </w:r>
            <w:r w:rsidR="006C655A" w:rsidRPr="00CF5A5B">
              <w:rPr>
                <w:rStyle w:val="Hyperlink"/>
                <w:noProof/>
              </w:rPr>
              <w:t>Explanation of Any Payment or Gift to Respondents</w:t>
            </w:r>
            <w:r w:rsidR="006C655A">
              <w:rPr>
                <w:noProof/>
                <w:webHidden/>
              </w:rPr>
              <w:tab/>
            </w:r>
            <w:r w:rsidR="006C655A">
              <w:rPr>
                <w:noProof/>
                <w:webHidden/>
              </w:rPr>
              <w:fldChar w:fldCharType="begin"/>
            </w:r>
            <w:r w:rsidR="006C655A">
              <w:rPr>
                <w:noProof/>
                <w:webHidden/>
              </w:rPr>
              <w:instrText xml:space="preserve"> PAGEREF _Toc448296080 \h </w:instrText>
            </w:r>
            <w:r w:rsidR="006C655A">
              <w:rPr>
                <w:noProof/>
                <w:webHidden/>
              </w:rPr>
            </w:r>
            <w:r w:rsidR="006C655A">
              <w:rPr>
                <w:noProof/>
                <w:webHidden/>
              </w:rPr>
              <w:fldChar w:fldCharType="separate"/>
            </w:r>
            <w:r w:rsidR="00CC297C">
              <w:rPr>
                <w:noProof/>
                <w:webHidden/>
              </w:rPr>
              <w:t>10</w:t>
            </w:r>
            <w:r w:rsidR="006C655A">
              <w:rPr>
                <w:noProof/>
                <w:webHidden/>
              </w:rPr>
              <w:fldChar w:fldCharType="end"/>
            </w:r>
          </w:hyperlink>
        </w:p>
        <w:p w14:paraId="55DE2D38" w14:textId="6914C108"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1" w:history="1">
            <w:r w:rsidR="006C655A" w:rsidRPr="00CF5A5B">
              <w:rPr>
                <w:rStyle w:val="Hyperlink"/>
                <w:noProof/>
              </w:rPr>
              <w:t>10.</w:t>
            </w:r>
            <w:r w:rsidR="006C655A">
              <w:rPr>
                <w:rFonts w:asciiTheme="minorHAnsi" w:eastAsiaTheme="minorEastAsia" w:hAnsiTheme="minorHAnsi" w:cstheme="minorBidi"/>
                <w:noProof/>
                <w:sz w:val="22"/>
                <w:szCs w:val="22"/>
              </w:rPr>
              <w:tab/>
            </w:r>
            <w:r w:rsidR="006C655A" w:rsidRPr="00CF5A5B">
              <w:rPr>
                <w:rStyle w:val="Hyperlink"/>
                <w:noProof/>
              </w:rPr>
              <w:t>Protection of the Privacy and Confidentiality of Information Provided by Respondents</w:t>
            </w:r>
            <w:r w:rsidR="006C655A">
              <w:rPr>
                <w:noProof/>
                <w:webHidden/>
              </w:rPr>
              <w:tab/>
            </w:r>
            <w:r w:rsidR="006C655A">
              <w:rPr>
                <w:noProof/>
                <w:webHidden/>
              </w:rPr>
              <w:fldChar w:fldCharType="begin"/>
            </w:r>
            <w:r w:rsidR="006C655A">
              <w:rPr>
                <w:noProof/>
                <w:webHidden/>
              </w:rPr>
              <w:instrText xml:space="preserve"> PAGEREF _Toc448296081 \h </w:instrText>
            </w:r>
            <w:r w:rsidR="006C655A">
              <w:rPr>
                <w:noProof/>
                <w:webHidden/>
              </w:rPr>
            </w:r>
            <w:r w:rsidR="006C655A">
              <w:rPr>
                <w:noProof/>
                <w:webHidden/>
              </w:rPr>
              <w:fldChar w:fldCharType="separate"/>
            </w:r>
            <w:r w:rsidR="00CC297C">
              <w:rPr>
                <w:noProof/>
                <w:webHidden/>
              </w:rPr>
              <w:t>10</w:t>
            </w:r>
            <w:r w:rsidR="006C655A">
              <w:rPr>
                <w:noProof/>
                <w:webHidden/>
              </w:rPr>
              <w:fldChar w:fldCharType="end"/>
            </w:r>
          </w:hyperlink>
        </w:p>
        <w:p w14:paraId="477990D0" w14:textId="5D82D49E"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2" w:history="1">
            <w:r w:rsidR="006C655A" w:rsidRPr="00CF5A5B">
              <w:rPr>
                <w:rStyle w:val="Hyperlink"/>
                <w:noProof/>
              </w:rPr>
              <w:t>11.</w:t>
            </w:r>
            <w:r w:rsidR="006C655A">
              <w:rPr>
                <w:rFonts w:asciiTheme="minorHAnsi" w:eastAsiaTheme="minorEastAsia" w:hAnsiTheme="minorHAnsi" w:cstheme="minorBidi"/>
                <w:noProof/>
                <w:sz w:val="22"/>
                <w:szCs w:val="22"/>
              </w:rPr>
              <w:tab/>
            </w:r>
            <w:r w:rsidR="006C655A" w:rsidRPr="00CF5A5B">
              <w:rPr>
                <w:rStyle w:val="Hyperlink"/>
                <w:noProof/>
              </w:rPr>
              <w:t>Institutional Review Board (IRB) and Justification for Sensitive Questions</w:t>
            </w:r>
            <w:r w:rsidR="006C655A">
              <w:rPr>
                <w:noProof/>
                <w:webHidden/>
              </w:rPr>
              <w:tab/>
            </w:r>
            <w:r w:rsidR="006C655A">
              <w:rPr>
                <w:noProof/>
                <w:webHidden/>
              </w:rPr>
              <w:fldChar w:fldCharType="begin"/>
            </w:r>
            <w:r w:rsidR="006C655A">
              <w:rPr>
                <w:noProof/>
                <w:webHidden/>
              </w:rPr>
              <w:instrText xml:space="preserve"> PAGEREF _Toc448296082 \h </w:instrText>
            </w:r>
            <w:r w:rsidR="006C655A">
              <w:rPr>
                <w:noProof/>
                <w:webHidden/>
              </w:rPr>
            </w:r>
            <w:r w:rsidR="006C655A">
              <w:rPr>
                <w:noProof/>
                <w:webHidden/>
              </w:rPr>
              <w:fldChar w:fldCharType="separate"/>
            </w:r>
            <w:r w:rsidR="00CC297C">
              <w:rPr>
                <w:noProof/>
                <w:webHidden/>
              </w:rPr>
              <w:t>11</w:t>
            </w:r>
            <w:r w:rsidR="006C655A">
              <w:rPr>
                <w:noProof/>
                <w:webHidden/>
              </w:rPr>
              <w:fldChar w:fldCharType="end"/>
            </w:r>
          </w:hyperlink>
        </w:p>
        <w:p w14:paraId="1DB562BE" w14:textId="1544CAEF"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3" w:history="1">
            <w:r w:rsidR="006C655A" w:rsidRPr="00CF5A5B">
              <w:rPr>
                <w:rStyle w:val="Hyperlink"/>
                <w:noProof/>
              </w:rPr>
              <w:t>12.</w:t>
            </w:r>
            <w:r w:rsidR="006C655A">
              <w:rPr>
                <w:rFonts w:asciiTheme="minorHAnsi" w:eastAsiaTheme="minorEastAsia" w:hAnsiTheme="minorHAnsi" w:cstheme="minorBidi"/>
                <w:noProof/>
                <w:sz w:val="22"/>
                <w:szCs w:val="22"/>
              </w:rPr>
              <w:tab/>
            </w:r>
            <w:r w:rsidR="006C655A" w:rsidRPr="00CF5A5B">
              <w:rPr>
                <w:rStyle w:val="Hyperlink"/>
                <w:noProof/>
              </w:rPr>
              <w:t>Estimates of Annualized Burden Hours and Costs</w:t>
            </w:r>
            <w:r w:rsidR="006C655A">
              <w:rPr>
                <w:noProof/>
                <w:webHidden/>
              </w:rPr>
              <w:tab/>
            </w:r>
            <w:r w:rsidR="006C655A">
              <w:rPr>
                <w:noProof/>
                <w:webHidden/>
              </w:rPr>
              <w:fldChar w:fldCharType="begin"/>
            </w:r>
            <w:r w:rsidR="006C655A">
              <w:rPr>
                <w:noProof/>
                <w:webHidden/>
              </w:rPr>
              <w:instrText xml:space="preserve"> PAGEREF _Toc448296083 \h </w:instrText>
            </w:r>
            <w:r w:rsidR="006C655A">
              <w:rPr>
                <w:noProof/>
                <w:webHidden/>
              </w:rPr>
            </w:r>
            <w:r w:rsidR="006C655A">
              <w:rPr>
                <w:noProof/>
                <w:webHidden/>
              </w:rPr>
              <w:fldChar w:fldCharType="separate"/>
            </w:r>
            <w:r w:rsidR="00CC297C">
              <w:rPr>
                <w:noProof/>
                <w:webHidden/>
              </w:rPr>
              <w:t>11</w:t>
            </w:r>
            <w:r w:rsidR="006C655A">
              <w:rPr>
                <w:noProof/>
                <w:webHidden/>
              </w:rPr>
              <w:fldChar w:fldCharType="end"/>
            </w:r>
          </w:hyperlink>
        </w:p>
        <w:p w14:paraId="186522B5" w14:textId="6288DD3A"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6" w:history="1">
            <w:r w:rsidR="006C655A" w:rsidRPr="00CF5A5B">
              <w:rPr>
                <w:rStyle w:val="Hyperlink"/>
                <w:noProof/>
              </w:rPr>
              <w:t>13.</w:t>
            </w:r>
            <w:r w:rsidR="006C655A">
              <w:rPr>
                <w:rFonts w:asciiTheme="minorHAnsi" w:eastAsiaTheme="minorEastAsia" w:hAnsiTheme="minorHAnsi" w:cstheme="minorBidi"/>
                <w:noProof/>
                <w:sz w:val="22"/>
                <w:szCs w:val="22"/>
              </w:rPr>
              <w:tab/>
            </w:r>
            <w:r w:rsidR="006C655A" w:rsidRPr="00CF5A5B">
              <w:rPr>
                <w:rStyle w:val="Hyperlink"/>
                <w:noProof/>
              </w:rPr>
              <w:t>Estimates of Other Total Annual Cost Burden to Respondents and Record Keepers</w:t>
            </w:r>
            <w:r w:rsidR="006C655A">
              <w:rPr>
                <w:noProof/>
                <w:webHidden/>
              </w:rPr>
              <w:tab/>
            </w:r>
            <w:r w:rsidR="006C655A">
              <w:rPr>
                <w:noProof/>
                <w:webHidden/>
              </w:rPr>
              <w:fldChar w:fldCharType="begin"/>
            </w:r>
            <w:r w:rsidR="006C655A">
              <w:rPr>
                <w:noProof/>
                <w:webHidden/>
              </w:rPr>
              <w:instrText xml:space="preserve"> PAGEREF _Toc448296086 \h </w:instrText>
            </w:r>
            <w:r w:rsidR="006C655A">
              <w:rPr>
                <w:noProof/>
                <w:webHidden/>
              </w:rPr>
            </w:r>
            <w:r w:rsidR="006C655A">
              <w:rPr>
                <w:noProof/>
                <w:webHidden/>
              </w:rPr>
              <w:fldChar w:fldCharType="separate"/>
            </w:r>
            <w:r w:rsidR="00CC297C">
              <w:rPr>
                <w:noProof/>
                <w:webHidden/>
              </w:rPr>
              <w:t>12</w:t>
            </w:r>
            <w:r w:rsidR="006C655A">
              <w:rPr>
                <w:noProof/>
                <w:webHidden/>
              </w:rPr>
              <w:fldChar w:fldCharType="end"/>
            </w:r>
          </w:hyperlink>
        </w:p>
        <w:p w14:paraId="7AF1389E" w14:textId="73FFF691"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7" w:history="1">
            <w:r w:rsidR="006C655A" w:rsidRPr="00CF5A5B">
              <w:rPr>
                <w:rStyle w:val="Hyperlink"/>
                <w:noProof/>
              </w:rPr>
              <w:t>14.</w:t>
            </w:r>
            <w:r w:rsidR="006C655A">
              <w:rPr>
                <w:rFonts w:asciiTheme="minorHAnsi" w:eastAsiaTheme="minorEastAsia" w:hAnsiTheme="minorHAnsi" w:cstheme="minorBidi"/>
                <w:noProof/>
                <w:sz w:val="22"/>
                <w:szCs w:val="22"/>
              </w:rPr>
              <w:tab/>
            </w:r>
            <w:r w:rsidR="006C655A" w:rsidRPr="00CF5A5B">
              <w:rPr>
                <w:rStyle w:val="Hyperlink"/>
                <w:noProof/>
              </w:rPr>
              <w:t>Annualized Cost to the Federal Government</w:t>
            </w:r>
            <w:r w:rsidR="006C655A">
              <w:rPr>
                <w:noProof/>
                <w:webHidden/>
              </w:rPr>
              <w:tab/>
            </w:r>
            <w:r w:rsidR="006C655A">
              <w:rPr>
                <w:noProof/>
                <w:webHidden/>
              </w:rPr>
              <w:fldChar w:fldCharType="begin"/>
            </w:r>
            <w:r w:rsidR="006C655A">
              <w:rPr>
                <w:noProof/>
                <w:webHidden/>
              </w:rPr>
              <w:instrText xml:space="preserve"> PAGEREF _Toc448296087 \h </w:instrText>
            </w:r>
            <w:r w:rsidR="006C655A">
              <w:rPr>
                <w:noProof/>
                <w:webHidden/>
              </w:rPr>
            </w:r>
            <w:r w:rsidR="006C655A">
              <w:rPr>
                <w:noProof/>
                <w:webHidden/>
              </w:rPr>
              <w:fldChar w:fldCharType="separate"/>
            </w:r>
            <w:r w:rsidR="00CC297C">
              <w:rPr>
                <w:noProof/>
                <w:webHidden/>
              </w:rPr>
              <w:t>12</w:t>
            </w:r>
            <w:r w:rsidR="006C655A">
              <w:rPr>
                <w:noProof/>
                <w:webHidden/>
              </w:rPr>
              <w:fldChar w:fldCharType="end"/>
            </w:r>
          </w:hyperlink>
        </w:p>
        <w:p w14:paraId="1315EE73" w14:textId="33F5CD62"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8" w:history="1">
            <w:r w:rsidR="006C655A" w:rsidRPr="00CF5A5B">
              <w:rPr>
                <w:rStyle w:val="Hyperlink"/>
                <w:noProof/>
              </w:rPr>
              <w:t>15.</w:t>
            </w:r>
            <w:r w:rsidR="006C655A">
              <w:rPr>
                <w:rFonts w:asciiTheme="minorHAnsi" w:eastAsiaTheme="minorEastAsia" w:hAnsiTheme="minorHAnsi" w:cstheme="minorBidi"/>
                <w:noProof/>
                <w:sz w:val="22"/>
                <w:szCs w:val="22"/>
              </w:rPr>
              <w:tab/>
            </w:r>
            <w:r w:rsidR="006C655A" w:rsidRPr="00CF5A5B">
              <w:rPr>
                <w:rStyle w:val="Hyperlink"/>
                <w:noProof/>
              </w:rPr>
              <w:t>Explanation for Program Changes or Adjustments</w:t>
            </w:r>
            <w:r w:rsidR="006C655A">
              <w:rPr>
                <w:noProof/>
                <w:webHidden/>
              </w:rPr>
              <w:tab/>
            </w:r>
            <w:r w:rsidR="006C655A">
              <w:rPr>
                <w:noProof/>
                <w:webHidden/>
              </w:rPr>
              <w:fldChar w:fldCharType="begin"/>
            </w:r>
            <w:r w:rsidR="006C655A">
              <w:rPr>
                <w:noProof/>
                <w:webHidden/>
              </w:rPr>
              <w:instrText xml:space="preserve"> PAGEREF _Toc448296088 \h </w:instrText>
            </w:r>
            <w:r w:rsidR="006C655A">
              <w:rPr>
                <w:noProof/>
                <w:webHidden/>
              </w:rPr>
            </w:r>
            <w:r w:rsidR="006C655A">
              <w:rPr>
                <w:noProof/>
                <w:webHidden/>
              </w:rPr>
              <w:fldChar w:fldCharType="separate"/>
            </w:r>
            <w:r w:rsidR="00CC297C">
              <w:rPr>
                <w:noProof/>
                <w:webHidden/>
              </w:rPr>
              <w:t>13</w:t>
            </w:r>
            <w:r w:rsidR="006C655A">
              <w:rPr>
                <w:noProof/>
                <w:webHidden/>
              </w:rPr>
              <w:fldChar w:fldCharType="end"/>
            </w:r>
          </w:hyperlink>
        </w:p>
        <w:p w14:paraId="4B697EBA" w14:textId="4219173B"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9" w:history="1">
            <w:r w:rsidR="006C655A" w:rsidRPr="00CF5A5B">
              <w:rPr>
                <w:rStyle w:val="Hyperlink"/>
                <w:noProof/>
              </w:rPr>
              <w:t>16.</w:t>
            </w:r>
            <w:r w:rsidR="006C655A">
              <w:rPr>
                <w:rFonts w:asciiTheme="minorHAnsi" w:eastAsiaTheme="minorEastAsia" w:hAnsiTheme="minorHAnsi" w:cstheme="minorBidi"/>
                <w:noProof/>
                <w:sz w:val="22"/>
                <w:szCs w:val="22"/>
              </w:rPr>
              <w:tab/>
            </w:r>
            <w:r w:rsidR="006C655A" w:rsidRPr="00CF5A5B">
              <w:rPr>
                <w:rStyle w:val="Hyperlink"/>
                <w:noProof/>
              </w:rPr>
              <w:t>Plans for Tabulation and Publication and Project Time Schedule</w:t>
            </w:r>
            <w:r w:rsidR="006C655A">
              <w:rPr>
                <w:noProof/>
                <w:webHidden/>
              </w:rPr>
              <w:tab/>
            </w:r>
            <w:r w:rsidR="006C655A">
              <w:rPr>
                <w:noProof/>
                <w:webHidden/>
              </w:rPr>
              <w:fldChar w:fldCharType="begin"/>
            </w:r>
            <w:r w:rsidR="006C655A">
              <w:rPr>
                <w:noProof/>
                <w:webHidden/>
              </w:rPr>
              <w:instrText xml:space="preserve"> PAGEREF _Toc448296089 \h </w:instrText>
            </w:r>
            <w:r w:rsidR="006C655A">
              <w:rPr>
                <w:noProof/>
                <w:webHidden/>
              </w:rPr>
            </w:r>
            <w:r w:rsidR="006C655A">
              <w:rPr>
                <w:noProof/>
                <w:webHidden/>
              </w:rPr>
              <w:fldChar w:fldCharType="separate"/>
            </w:r>
            <w:r w:rsidR="00CC297C">
              <w:rPr>
                <w:noProof/>
                <w:webHidden/>
              </w:rPr>
              <w:t>13</w:t>
            </w:r>
            <w:r w:rsidR="006C655A">
              <w:rPr>
                <w:noProof/>
                <w:webHidden/>
              </w:rPr>
              <w:fldChar w:fldCharType="end"/>
            </w:r>
          </w:hyperlink>
        </w:p>
        <w:p w14:paraId="292F9451" w14:textId="3F70E527"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90" w:history="1">
            <w:r w:rsidR="006C655A" w:rsidRPr="00CF5A5B">
              <w:rPr>
                <w:rStyle w:val="Hyperlink"/>
                <w:noProof/>
              </w:rPr>
              <w:t>17.</w:t>
            </w:r>
            <w:r w:rsidR="006C655A">
              <w:rPr>
                <w:rFonts w:asciiTheme="minorHAnsi" w:eastAsiaTheme="minorEastAsia" w:hAnsiTheme="minorHAnsi" w:cstheme="minorBidi"/>
                <w:noProof/>
                <w:sz w:val="22"/>
                <w:szCs w:val="22"/>
              </w:rPr>
              <w:tab/>
            </w:r>
            <w:r w:rsidR="006C655A" w:rsidRPr="00CF5A5B">
              <w:rPr>
                <w:rStyle w:val="Hyperlink"/>
                <w:noProof/>
              </w:rPr>
              <w:t>Reason(s) Display of OMB Expiration Date is Inappropriate</w:t>
            </w:r>
            <w:r w:rsidR="006C655A">
              <w:rPr>
                <w:noProof/>
                <w:webHidden/>
              </w:rPr>
              <w:tab/>
            </w:r>
            <w:r w:rsidR="006C655A">
              <w:rPr>
                <w:noProof/>
                <w:webHidden/>
              </w:rPr>
              <w:fldChar w:fldCharType="begin"/>
            </w:r>
            <w:r w:rsidR="006C655A">
              <w:rPr>
                <w:noProof/>
                <w:webHidden/>
              </w:rPr>
              <w:instrText xml:space="preserve"> PAGEREF _Toc448296090 \h </w:instrText>
            </w:r>
            <w:r w:rsidR="006C655A">
              <w:rPr>
                <w:noProof/>
                <w:webHidden/>
              </w:rPr>
            </w:r>
            <w:r w:rsidR="006C655A">
              <w:rPr>
                <w:noProof/>
                <w:webHidden/>
              </w:rPr>
              <w:fldChar w:fldCharType="separate"/>
            </w:r>
            <w:r w:rsidR="00CC297C">
              <w:rPr>
                <w:noProof/>
                <w:webHidden/>
              </w:rPr>
              <w:t>14</w:t>
            </w:r>
            <w:r w:rsidR="006C655A">
              <w:rPr>
                <w:noProof/>
                <w:webHidden/>
              </w:rPr>
              <w:fldChar w:fldCharType="end"/>
            </w:r>
          </w:hyperlink>
        </w:p>
        <w:p w14:paraId="2159ACBD" w14:textId="3B3D924C" w:rsidR="006C655A" w:rsidRDefault="009F735D"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91" w:history="1">
            <w:r w:rsidR="006C655A" w:rsidRPr="00CF5A5B">
              <w:rPr>
                <w:rStyle w:val="Hyperlink"/>
                <w:noProof/>
              </w:rPr>
              <w:t>18.</w:t>
            </w:r>
            <w:r w:rsidR="006C655A">
              <w:rPr>
                <w:rFonts w:asciiTheme="minorHAnsi" w:eastAsiaTheme="minorEastAsia" w:hAnsiTheme="minorHAnsi" w:cstheme="minorBidi"/>
                <w:noProof/>
                <w:sz w:val="22"/>
                <w:szCs w:val="22"/>
              </w:rPr>
              <w:tab/>
            </w:r>
            <w:r w:rsidR="006C655A" w:rsidRPr="00CF5A5B">
              <w:rPr>
                <w:rStyle w:val="Hyperlink"/>
                <w:noProof/>
              </w:rPr>
              <w:t>Exceptions to Certification for Paperwork Reduction Act Submissions</w:t>
            </w:r>
            <w:r w:rsidR="006C655A">
              <w:rPr>
                <w:noProof/>
                <w:webHidden/>
              </w:rPr>
              <w:tab/>
            </w:r>
            <w:r w:rsidR="006C655A">
              <w:rPr>
                <w:noProof/>
                <w:webHidden/>
              </w:rPr>
              <w:fldChar w:fldCharType="begin"/>
            </w:r>
            <w:r w:rsidR="006C655A">
              <w:rPr>
                <w:noProof/>
                <w:webHidden/>
              </w:rPr>
              <w:instrText xml:space="preserve"> PAGEREF _Toc448296091 \h </w:instrText>
            </w:r>
            <w:r w:rsidR="006C655A">
              <w:rPr>
                <w:noProof/>
                <w:webHidden/>
              </w:rPr>
            </w:r>
            <w:r w:rsidR="006C655A">
              <w:rPr>
                <w:noProof/>
                <w:webHidden/>
              </w:rPr>
              <w:fldChar w:fldCharType="separate"/>
            </w:r>
            <w:r w:rsidR="00CC297C">
              <w:rPr>
                <w:noProof/>
                <w:webHidden/>
              </w:rPr>
              <w:t>14</w:t>
            </w:r>
            <w:r w:rsidR="006C655A">
              <w:rPr>
                <w:noProof/>
                <w:webHidden/>
              </w:rPr>
              <w:fldChar w:fldCharType="end"/>
            </w:r>
          </w:hyperlink>
        </w:p>
        <w:p w14:paraId="084482D0" w14:textId="6EB7BF81" w:rsidR="006C655A" w:rsidRDefault="009F735D" w:rsidP="003B3841">
          <w:pPr>
            <w:pStyle w:val="TOC1"/>
            <w:tabs>
              <w:tab w:val="right" w:leader="dot" w:pos="10070"/>
            </w:tabs>
            <w:spacing w:after="0"/>
            <w:mirrorIndents/>
            <w:rPr>
              <w:rFonts w:asciiTheme="minorHAnsi" w:eastAsiaTheme="minorEastAsia" w:hAnsiTheme="minorHAnsi" w:cstheme="minorBidi"/>
              <w:noProof/>
              <w:sz w:val="22"/>
              <w:szCs w:val="22"/>
            </w:rPr>
          </w:pPr>
          <w:hyperlink w:anchor="_Toc448296092" w:history="1">
            <w:r w:rsidR="006C655A" w:rsidRPr="00CF5A5B">
              <w:rPr>
                <w:rStyle w:val="Hyperlink"/>
                <w:noProof/>
              </w:rPr>
              <w:t>References:</w:t>
            </w:r>
            <w:r w:rsidR="006C655A">
              <w:rPr>
                <w:noProof/>
                <w:webHidden/>
              </w:rPr>
              <w:tab/>
            </w:r>
            <w:r w:rsidR="006C655A">
              <w:rPr>
                <w:noProof/>
                <w:webHidden/>
              </w:rPr>
              <w:fldChar w:fldCharType="begin"/>
            </w:r>
            <w:r w:rsidR="006C655A">
              <w:rPr>
                <w:noProof/>
                <w:webHidden/>
              </w:rPr>
              <w:instrText xml:space="preserve"> PAGEREF _Toc448296092 \h </w:instrText>
            </w:r>
            <w:r w:rsidR="006C655A">
              <w:rPr>
                <w:noProof/>
                <w:webHidden/>
              </w:rPr>
            </w:r>
            <w:r w:rsidR="006C655A">
              <w:rPr>
                <w:noProof/>
                <w:webHidden/>
              </w:rPr>
              <w:fldChar w:fldCharType="separate"/>
            </w:r>
            <w:r w:rsidR="00CC297C">
              <w:rPr>
                <w:noProof/>
                <w:webHidden/>
              </w:rPr>
              <w:t>14</w:t>
            </w:r>
            <w:r w:rsidR="006C655A">
              <w:rPr>
                <w:noProof/>
                <w:webHidden/>
              </w:rPr>
              <w:fldChar w:fldCharType="end"/>
            </w:r>
          </w:hyperlink>
        </w:p>
        <w:p w14:paraId="1BBE6876" w14:textId="77777777" w:rsidR="00B12EA3" w:rsidRDefault="00B12EA3" w:rsidP="003B3841">
          <w:pPr>
            <w:mirrorIndents/>
          </w:pPr>
          <w:r w:rsidRPr="00B12EA3">
            <w:rPr>
              <w:bCs/>
              <w:noProof/>
            </w:rPr>
            <w:fldChar w:fldCharType="end"/>
          </w:r>
        </w:p>
      </w:sdtContent>
    </w:sdt>
    <w:p w14:paraId="054F860B" w14:textId="56D5F962" w:rsidR="009221FF" w:rsidRDefault="009221FF" w:rsidP="003B3841">
      <w:pPr>
        <w:pStyle w:val="NoSpacing"/>
        <w:pBdr>
          <w:bottom w:val="single" w:sz="4" w:space="1" w:color="auto"/>
        </w:pBdr>
        <w:mirrorIndents/>
        <w:rPr>
          <w:b/>
        </w:rPr>
      </w:pPr>
      <w:r>
        <w:rPr>
          <w:b/>
        </w:rPr>
        <w:t>EXHIBITS</w:t>
      </w:r>
    </w:p>
    <w:p w14:paraId="0B9738F4" w14:textId="77777777" w:rsidR="009221FF" w:rsidRPr="009221FF" w:rsidRDefault="009221FF" w:rsidP="003B3841">
      <w:pPr>
        <w:pStyle w:val="NoSpacing"/>
        <w:mirrorIndents/>
        <w:rPr>
          <w:b/>
        </w:rPr>
      </w:pPr>
    </w:p>
    <w:p w14:paraId="495A81B6" w14:textId="236F5F6F" w:rsidR="00CF44C9" w:rsidRDefault="009221FF" w:rsidP="003B3841">
      <w:pPr>
        <w:pStyle w:val="TableofFigures"/>
        <w:tabs>
          <w:tab w:val="right" w:leader="dot" w:pos="10070"/>
        </w:tabs>
        <w:mirrorIndent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49541622" w:history="1">
        <w:r w:rsidR="00CF44C9" w:rsidRPr="00702F75">
          <w:rPr>
            <w:rStyle w:val="Hyperlink"/>
            <w:noProof/>
          </w:rPr>
          <w:t>Exhibit 2.1: Overview of Key Variables</w:t>
        </w:r>
        <w:r w:rsidR="00CF44C9">
          <w:rPr>
            <w:noProof/>
            <w:webHidden/>
          </w:rPr>
          <w:tab/>
        </w:r>
        <w:r w:rsidR="00CF44C9">
          <w:rPr>
            <w:noProof/>
            <w:webHidden/>
          </w:rPr>
          <w:fldChar w:fldCharType="begin"/>
        </w:r>
        <w:r w:rsidR="00CF44C9">
          <w:rPr>
            <w:noProof/>
            <w:webHidden/>
          </w:rPr>
          <w:instrText xml:space="preserve"> PAGEREF _Toc449541622 \h </w:instrText>
        </w:r>
        <w:r w:rsidR="00CF44C9">
          <w:rPr>
            <w:noProof/>
            <w:webHidden/>
          </w:rPr>
        </w:r>
        <w:r w:rsidR="00CF44C9">
          <w:rPr>
            <w:noProof/>
            <w:webHidden/>
          </w:rPr>
          <w:fldChar w:fldCharType="separate"/>
        </w:r>
        <w:r w:rsidR="00CC297C">
          <w:rPr>
            <w:noProof/>
            <w:webHidden/>
          </w:rPr>
          <w:t>7</w:t>
        </w:r>
        <w:r w:rsidR="00CF44C9">
          <w:rPr>
            <w:noProof/>
            <w:webHidden/>
          </w:rPr>
          <w:fldChar w:fldCharType="end"/>
        </w:r>
      </w:hyperlink>
    </w:p>
    <w:p w14:paraId="302EED39" w14:textId="3E420869" w:rsidR="00CF44C9" w:rsidRDefault="009F735D"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3" w:history="1">
        <w:r w:rsidR="00CF44C9" w:rsidRPr="00702F75">
          <w:rPr>
            <w:rStyle w:val="Hyperlink"/>
            <w:noProof/>
          </w:rPr>
          <w:t>Exhibit 12.1: Estimated Annualized Burden Hours</w:t>
        </w:r>
        <w:r w:rsidR="00CF44C9">
          <w:rPr>
            <w:noProof/>
            <w:webHidden/>
          </w:rPr>
          <w:tab/>
        </w:r>
        <w:r w:rsidR="00CF44C9">
          <w:rPr>
            <w:noProof/>
            <w:webHidden/>
          </w:rPr>
          <w:fldChar w:fldCharType="begin"/>
        </w:r>
        <w:r w:rsidR="00CF44C9">
          <w:rPr>
            <w:noProof/>
            <w:webHidden/>
          </w:rPr>
          <w:instrText xml:space="preserve"> PAGEREF _Toc449541623 \h </w:instrText>
        </w:r>
        <w:r w:rsidR="00CF44C9">
          <w:rPr>
            <w:noProof/>
            <w:webHidden/>
          </w:rPr>
        </w:r>
        <w:r w:rsidR="00CF44C9">
          <w:rPr>
            <w:noProof/>
            <w:webHidden/>
          </w:rPr>
          <w:fldChar w:fldCharType="separate"/>
        </w:r>
        <w:r w:rsidR="00CC297C">
          <w:rPr>
            <w:noProof/>
            <w:webHidden/>
          </w:rPr>
          <w:t>11</w:t>
        </w:r>
        <w:r w:rsidR="00CF44C9">
          <w:rPr>
            <w:noProof/>
            <w:webHidden/>
          </w:rPr>
          <w:fldChar w:fldCharType="end"/>
        </w:r>
      </w:hyperlink>
    </w:p>
    <w:p w14:paraId="134F6FD6" w14:textId="4A370EF5" w:rsidR="00CF44C9" w:rsidRDefault="009F735D"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4" w:history="1">
        <w:r w:rsidR="00CF44C9" w:rsidRPr="00702F75">
          <w:rPr>
            <w:rStyle w:val="Hyperlink"/>
            <w:noProof/>
          </w:rPr>
          <w:t>Exhibit 12.2: Estimated Annualized Burden Costs</w:t>
        </w:r>
        <w:r w:rsidR="00CF44C9">
          <w:rPr>
            <w:noProof/>
            <w:webHidden/>
          </w:rPr>
          <w:tab/>
        </w:r>
        <w:r w:rsidR="00CF44C9">
          <w:rPr>
            <w:noProof/>
            <w:webHidden/>
          </w:rPr>
          <w:fldChar w:fldCharType="begin"/>
        </w:r>
        <w:r w:rsidR="00CF44C9">
          <w:rPr>
            <w:noProof/>
            <w:webHidden/>
          </w:rPr>
          <w:instrText xml:space="preserve"> PAGEREF _Toc449541624 \h </w:instrText>
        </w:r>
        <w:r w:rsidR="00CF44C9">
          <w:rPr>
            <w:noProof/>
            <w:webHidden/>
          </w:rPr>
        </w:r>
        <w:r w:rsidR="00CF44C9">
          <w:rPr>
            <w:noProof/>
            <w:webHidden/>
          </w:rPr>
          <w:fldChar w:fldCharType="separate"/>
        </w:r>
        <w:r w:rsidR="00CC297C">
          <w:rPr>
            <w:noProof/>
            <w:webHidden/>
          </w:rPr>
          <w:t>12</w:t>
        </w:r>
        <w:r w:rsidR="00CF44C9">
          <w:rPr>
            <w:noProof/>
            <w:webHidden/>
          </w:rPr>
          <w:fldChar w:fldCharType="end"/>
        </w:r>
      </w:hyperlink>
    </w:p>
    <w:p w14:paraId="69822D32" w14:textId="34DC359B" w:rsidR="00CF44C9" w:rsidRDefault="009F735D"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5" w:history="1">
        <w:r w:rsidR="00CF44C9" w:rsidRPr="00702F75">
          <w:rPr>
            <w:rStyle w:val="Hyperlink"/>
            <w:noProof/>
          </w:rPr>
          <w:t>Exhibit 14.1: Annualized Cost to the Government</w:t>
        </w:r>
        <w:r w:rsidR="00CF44C9">
          <w:rPr>
            <w:noProof/>
            <w:webHidden/>
          </w:rPr>
          <w:tab/>
        </w:r>
        <w:r w:rsidR="00CF44C9">
          <w:rPr>
            <w:noProof/>
            <w:webHidden/>
          </w:rPr>
          <w:fldChar w:fldCharType="begin"/>
        </w:r>
        <w:r w:rsidR="00CF44C9">
          <w:rPr>
            <w:noProof/>
            <w:webHidden/>
          </w:rPr>
          <w:instrText xml:space="preserve"> PAGEREF _Toc449541625 \h </w:instrText>
        </w:r>
        <w:r w:rsidR="00CF44C9">
          <w:rPr>
            <w:noProof/>
            <w:webHidden/>
          </w:rPr>
        </w:r>
        <w:r w:rsidR="00CF44C9">
          <w:rPr>
            <w:noProof/>
            <w:webHidden/>
          </w:rPr>
          <w:fldChar w:fldCharType="separate"/>
        </w:r>
        <w:r w:rsidR="00CC297C">
          <w:rPr>
            <w:noProof/>
            <w:webHidden/>
          </w:rPr>
          <w:t>13</w:t>
        </w:r>
        <w:r w:rsidR="00CF44C9">
          <w:rPr>
            <w:noProof/>
            <w:webHidden/>
          </w:rPr>
          <w:fldChar w:fldCharType="end"/>
        </w:r>
      </w:hyperlink>
    </w:p>
    <w:p w14:paraId="420CC9CE" w14:textId="7096EB33" w:rsidR="00CF44C9" w:rsidRDefault="009F735D"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6" w:history="1">
        <w:r w:rsidR="00CF44C9" w:rsidRPr="00702F75">
          <w:rPr>
            <w:rStyle w:val="Hyperlink"/>
            <w:noProof/>
          </w:rPr>
          <w:t>Exhibit 16.1: Project Time Schedule</w:t>
        </w:r>
        <w:r w:rsidR="00CF44C9">
          <w:rPr>
            <w:noProof/>
            <w:webHidden/>
          </w:rPr>
          <w:tab/>
        </w:r>
        <w:r w:rsidR="00CF44C9">
          <w:rPr>
            <w:noProof/>
            <w:webHidden/>
          </w:rPr>
          <w:fldChar w:fldCharType="begin"/>
        </w:r>
        <w:r w:rsidR="00CF44C9">
          <w:rPr>
            <w:noProof/>
            <w:webHidden/>
          </w:rPr>
          <w:instrText xml:space="preserve"> PAGEREF _Toc449541626 \h </w:instrText>
        </w:r>
        <w:r w:rsidR="00CF44C9">
          <w:rPr>
            <w:noProof/>
            <w:webHidden/>
          </w:rPr>
        </w:r>
        <w:r w:rsidR="00CF44C9">
          <w:rPr>
            <w:noProof/>
            <w:webHidden/>
          </w:rPr>
          <w:fldChar w:fldCharType="separate"/>
        </w:r>
        <w:r w:rsidR="00CC297C">
          <w:rPr>
            <w:noProof/>
            <w:webHidden/>
          </w:rPr>
          <w:t>13</w:t>
        </w:r>
        <w:r w:rsidR="00CF44C9">
          <w:rPr>
            <w:noProof/>
            <w:webHidden/>
          </w:rPr>
          <w:fldChar w:fldCharType="end"/>
        </w:r>
      </w:hyperlink>
    </w:p>
    <w:p w14:paraId="3FB7760C" w14:textId="1846C216" w:rsidR="003B3841" w:rsidRDefault="009221FF" w:rsidP="003B3841">
      <w:pPr>
        <w:pStyle w:val="NoSpacing"/>
        <w:mirrorIndents/>
        <w:rPr>
          <w:b/>
        </w:rPr>
      </w:pPr>
      <w:r>
        <w:fldChar w:fldCharType="end"/>
      </w:r>
    </w:p>
    <w:p w14:paraId="2D50569E" w14:textId="2B3F8AAA" w:rsidR="00347120" w:rsidRPr="00C46977" w:rsidRDefault="00347120" w:rsidP="003B3841">
      <w:pPr>
        <w:pStyle w:val="NoSpacing"/>
        <w:pBdr>
          <w:bottom w:val="single" w:sz="4" w:space="1" w:color="auto"/>
        </w:pBdr>
        <w:mirrorIndents/>
        <w:rPr>
          <w:b/>
        </w:rPr>
      </w:pPr>
      <w:r w:rsidRPr="00C46977">
        <w:rPr>
          <w:b/>
        </w:rPr>
        <w:t>LIST OF ATTACHMENTS</w:t>
      </w:r>
    </w:p>
    <w:p w14:paraId="09F5260B" w14:textId="77777777" w:rsidR="00347120" w:rsidRDefault="00347120" w:rsidP="003B3841">
      <w:pPr>
        <w:pStyle w:val="NoSpacing"/>
        <w:mirrorIndents/>
      </w:pPr>
    </w:p>
    <w:p w14:paraId="792DF4DC" w14:textId="2AB28910" w:rsidR="009951A9" w:rsidRPr="00D96359" w:rsidRDefault="009951A9" w:rsidP="003B3841">
      <w:pPr>
        <w:pStyle w:val="NoSpacing"/>
        <w:tabs>
          <w:tab w:val="left" w:pos="360"/>
        </w:tabs>
        <w:mirrorIndents/>
      </w:pPr>
      <w:r w:rsidRPr="00D96359">
        <w:rPr>
          <w:b/>
        </w:rPr>
        <w:t>Attachment 1</w:t>
      </w:r>
      <w:r w:rsidR="00D96359" w:rsidRPr="00D96359">
        <w:t xml:space="preserve"> </w:t>
      </w:r>
      <w:r w:rsidR="002B4C91">
        <w:tab/>
      </w:r>
      <w:r w:rsidR="009C1E8F">
        <w:t>Informed Consent</w:t>
      </w:r>
    </w:p>
    <w:p w14:paraId="7032D2FF" w14:textId="1670E3D7" w:rsidR="00E72740" w:rsidRPr="00D96359" w:rsidRDefault="009951A9" w:rsidP="003B3841">
      <w:pPr>
        <w:pStyle w:val="NoSpacing"/>
        <w:tabs>
          <w:tab w:val="left" w:pos="360"/>
        </w:tabs>
        <w:mirrorIndents/>
      </w:pPr>
      <w:r w:rsidRPr="00D96359">
        <w:rPr>
          <w:b/>
        </w:rPr>
        <w:t>Attachment 2</w:t>
      </w:r>
      <w:r w:rsidR="00491EB1">
        <w:rPr>
          <w:b/>
        </w:rPr>
        <w:t>a</w:t>
      </w:r>
      <w:r w:rsidR="00347120" w:rsidRPr="00D96359">
        <w:rPr>
          <w:b/>
        </w:rPr>
        <w:t xml:space="preserve"> </w:t>
      </w:r>
      <w:r w:rsidR="002B4C91">
        <w:rPr>
          <w:b/>
        </w:rPr>
        <w:tab/>
      </w:r>
      <w:r w:rsidR="00491EB1">
        <w:t>Interview Guide for Staff</w:t>
      </w:r>
    </w:p>
    <w:p w14:paraId="79606E93" w14:textId="192164D4" w:rsidR="00D96359" w:rsidRPr="00D96359" w:rsidRDefault="00D96359" w:rsidP="003B3841">
      <w:pPr>
        <w:pStyle w:val="NoSpacing"/>
        <w:tabs>
          <w:tab w:val="left" w:pos="360"/>
        </w:tabs>
        <w:mirrorIndents/>
        <w:rPr>
          <w:b/>
        </w:rPr>
      </w:pPr>
      <w:r w:rsidRPr="00D96359">
        <w:rPr>
          <w:b/>
        </w:rPr>
        <w:t xml:space="preserve">Attachment </w:t>
      </w:r>
      <w:r w:rsidR="00491EB1">
        <w:rPr>
          <w:b/>
        </w:rPr>
        <w:t>2b</w:t>
      </w:r>
      <w:r w:rsidRPr="00D96359">
        <w:t xml:space="preserve"> </w:t>
      </w:r>
      <w:r w:rsidR="002B4C91">
        <w:tab/>
      </w:r>
      <w:r w:rsidR="00491EB1" w:rsidRPr="00491EB1">
        <w:t>Interview Guide for S</w:t>
      </w:r>
      <w:r w:rsidR="00491EB1">
        <w:t>upervisors</w:t>
      </w:r>
    </w:p>
    <w:p w14:paraId="7E34262B" w14:textId="04A15371" w:rsidR="00347120" w:rsidRPr="00D96359" w:rsidRDefault="00D96359" w:rsidP="003B3841">
      <w:pPr>
        <w:pStyle w:val="NoSpacing"/>
        <w:tabs>
          <w:tab w:val="left" w:pos="360"/>
        </w:tabs>
        <w:mirrorIndents/>
      </w:pPr>
      <w:r w:rsidRPr="00D96359">
        <w:rPr>
          <w:b/>
        </w:rPr>
        <w:t>Attachment</w:t>
      </w:r>
      <w:r w:rsidRPr="00D96359">
        <w:t xml:space="preserve"> </w:t>
      </w:r>
      <w:r w:rsidR="009951A9" w:rsidRPr="00D96359">
        <w:rPr>
          <w:b/>
        </w:rPr>
        <w:t>3</w:t>
      </w:r>
      <w:r w:rsidR="00491EB1">
        <w:rPr>
          <w:b/>
        </w:rPr>
        <w:t xml:space="preserve"> </w:t>
      </w:r>
      <w:r w:rsidR="002B4C91">
        <w:rPr>
          <w:b/>
        </w:rPr>
        <w:tab/>
      </w:r>
      <w:r w:rsidR="00491EB1" w:rsidRPr="00491EB1">
        <w:t>CDC IRB Approval</w:t>
      </w:r>
    </w:p>
    <w:p w14:paraId="682388CC" w14:textId="4E54BB08" w:rsidR="009B5C38" w:rsidRDefault="009B5C38" w:rsidP="003B3841">
      <w:pPr>
        <w:pStyle w:val="NoSpacing"/>
        <w:tabs>
          <w:tab w:val="left" w:pos="360"/>
        </w:tabs>
        <w:mirrorIndents/>
      </w:pPr>
      <w:r w:rsidRPr="009B5C38">
        <w:rPr>
          <w:b/>
        </w:rPr>
        <w:t xml:space="preserve">Attachment </w:t>
      </w:r>
      <w:r w:rsidR="00491EB1">
        <w:rPr>
          <w:b/>
        </w:rPr>
        <w:t>4</w:t>
      </w:r>
      <w:r>
        <w:t xml:space="preserve"> </w:t>
      </w:r>
      <w:r w:rsidR="002B4C91">
        <w:tab/>
      </w:r>
      <w:r w:rsidR="005B54DD">
        <w:t>Privacy Impact Assessment</w:t>
      </w:r>
    </w:p>
    <w:p w14:paraId="171B3D85" w14:textId="3BB2022A" w:rsidR="005B5D5C" w:rsidRDefault="005B5D5C" w:rsidP="003B3841">
      <w:pPr>
        <w:pStyle w:val="NoSpacing"/>
        <w:tabs>
          <w:tab w:val="left" w:pos="360"/>
        </w:tabs>
        <w:mirrorIndents/>
      </w:pPr>
    </w:p>
    <w:p w14:paraId="57FEAA20" w14:textId="1C850E91" w:rsidR="005B3D89" w:rsidRDefault="005B3D89" w:rsidP="003B3841">
      <w:pPr>
        <w:pStyle w:val="NoSpacing"/>
        <w:tabs>
          <w:tab w:val="left" w:pos="360"/>
        </w:tabs>
        <w:mirrorIndents/>
      </w:pPr>
    </w:p>
    <w:p w14:paraId="6E137FD1" w14:textId="3666E127" w:rsidR="00542640" w:rsidRDefault="00542640" w:rsidP="003B3841">
      <w:pPr>
        <w:mirrorIndents/>
        <w:rPr>
          <w:b/>
        </w:rPr>
      </w:pPr>
    </w:p>
    <w:p w14:paraId="55181C2A" w14:textId="77777777" w:rsidR="00200D2C" w:rsidRPr="00E2574F" w:rsidRDefault="00200D2C" w:rsidP="003B3841">
      <w:pPr>
        <w:mirrorIndents/>
        <w:rPr>
          <w:b/>
        </w:rPr>
      </w:pP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211ADFB2" w14:textId="0826979A" w:rsidR="008A16FB" w:rsidRPr="008A16FB" w:rsidRDefault="00B12EA3" w:rsidP="00032D19">
            <w:pPr>
              <w:pStyle w:val="NoSpacing"/>
              <w:numPr>
                <w:ilvl w:val="0"/>
                <w:numId w:val="1"/>
              </w:numPr>
              <w:spacing w:before="120" w:after="120"/>
              <w:mirrorIndents/>
              <w:rPr>
                <w:b/>
              </w:rPr>
            </w:pPr>
            <w:r w:rsidRPr="00FB7AA8">
              <w:rPr>
                <w:b/>
              </w:rPr>
              <w:lastRenderedPageBreak/>
              <w:t xml:space="preserve">Goals of the study: </w:t>
            </w:r>
            <w:r w:rsidR="00F30E45">
              <w:t xml:space="preserve">This qualitative </w:t>
            </w:r>
            <w:r w:rsidR="00032D19">
              <w:t>assessment</w:t>
            </w:r>
            <w:r w:rsidR="00F30E45">
              <w:t xml:space="preserve"> focuses on </w:t>
            </w:r>
            <w:r w:rsidR="00032D19">
              <w:t xml:space="preserve">10 </w:t>
            </w:r>
            <w:r w:rsidR="00032D19" w:rsidRPr="00032D19">
              <w:t>city, county and state health departments participating in Cycle III of the STD Surveillance Network (SSuN)</w:t>
            </w:r>
            <w:r w:rsidR="00F30E45">
              <w:t xml:space="preserve">. </w:t>
            </w:r>
            <w:r w:rsidR="00B328D6" w:rsidRPr="00FB7AA8">
              <w:t xml:space="preserve">The </w:t>
            </w:r>
            <w:r w:rsidR="00FB7AA8" w:rsidRPr="00FB7AA8">
              <w:t>goal</w:t>
            </w:r>
            <w:r w:rsidR="00B328D6" w:rsidRPr="00FB7AA8">
              <w:t xml:space="preserve"> of this</w:t>
            </w:r>
            <w:r w:rsidR="005248A5" w:rsidRPr="00FB7AA8">
              <w:t xml:space="preserve"> </w:t>
            </w:r>
            <w:r w:rsidR="00032D19">
              <w:t>qualitative assessment</w:t>
            </w:r>
            <w:r w:rsidR="00965E71" w:rsidRPr="00FB7AA8">
              <w:t xml:space="preserve"> </w:t>
            </w:r>
            <w:r w:rsidR="00FB7AA8" w:rsidRPr="00FB7AA8">
              <w:t xml:space="preserve">is to identify </w:t>
            </w:r>
            <w:r w:rsidR="00C00EDB">
              <w:t xml:space="preserve">factors </w:t>
            </w:r>
            <w:r w:rsidR="00491EB1" w:rsidRPr="00491EB1">
              <w:t xml:space="preserve">contributing to variations in gonorrhea (GC) case interview completion rates across </w:t>
            </w:r>
            <w:r w:rsidR="00032D19">
              <w:t xml:space="preserve">the SSuN sites. </w:t>
            </w:r>
            <w:r w:rsidR="008A16FB">
              <w:t xml:space="preserve">These </w:t>
            </w:r>
            <w:r w:rsidR="00032D19">
              <w:t>10 sites</w:t>
            </w:r>
            <w:r w:rsidR="008A16FB">
              <w:t xml:space="preserve"> are funded by CDC’s existing </w:t>
            </w:r>
            <w:r w:rsidR="00491EB1" w:rsidRPr="00491EB1">
              <w:t>PS13-1306</w:t>
            </w:r>
            <w:r w:rsidR="00491EB1">
              <w:t xml:space="preserve"> cooperative agreement</w:t>
            </w:r>
            <w:r w:rsidR="008A16FB">
              <w:t xml:space="preserve"> to </w:t>
            </w:r>
            <w:r w:rsidR="00032D19" w:rsidRPr="00032D19">
              <w:t>address STD surveillance problems of national, state, and local interest</w:t>
            </w:r>
            <w:r w:rsidR="00032D19">
              <w:t xml:space="preserve"> and to </w:t>
            </w:r>
            <w:r w:rsidR="00032D19" w:rsidRPr="00032D19">
              <w:t>better understand the epidemiology of STDs and to inform national and local STD prevention efforts</w:t>
            </w:r>
            <w:r w:rsidR="008A16FB">
              <w:t>.</w:t>
            </w:r>
          </w:p>
          <w:p w14:paraId="1D02776F" w14:textId="5C9F106A" w:rsidR="00B12EA3" w:rsidRPr="00AC05E8" w:rsidRDefault="00B12EA3" w:rsidP="00032D19">
            <w:pPr>
              <w:pStyle w:val="NoSpacing"/>
              <w:numPr>
                <w:ilvl w:val="0"/>
                <w:numId w:val="1"/>
              </w:numPr>
              <w:spacing w:before="120" w:after="120"/>
              <w:mirrorIndents/>
              <w:rPr>
                <w:b/>
              </w:rPr>
            </w:pPr>
            <w:r w:rsidRPr="00FB7AA8">
              <w:rPr>
                <w:b/>
              </w:rPr>
              <w:t>Intended use:</w:t>
            </w:r>
            <w:r w:rsidR="00B328D6" w:rsidRPr="00FB7AA8">
              <w:rPr>
                <w:b/>
              </w:rPr>
              <w:t xml:space="preserve"> </w:t>
            </w:r>
            <w:r w:rsidR="00032D19">
              <w:rPr>
                <w:rFonts w:cs="Times New Roman"/>
                <w:szCs w:val="24"/>
              </w:rPr>
              <w:t>Assessment o</w:t>
            </w:r>
            <w:r w:rsidR="00AC05E8">
              <w:rPr>
                <w:rFonts w:cs="Times New Roman"/>
                <w:szCs w:val="24"/>
              </w:rPr>
              <w:t>utcomes will be communicated</w:t>
            </w:r>
            <w:r w:rsidR="00AC05E8" w:rsidRPr="00342435">
              <w:rPr>
                <w:rFonts w:cs="Times New Roman"/>
                <w:szCs w:val="24"/>
              </w:rPr>
              <w:t xml:space="preserve"> to </w:t>
            </w:r>
            <w:r w:rsidR="00032D19">
              <w:rPr>
                <w:rFonts w:cs="Times New Roman"/>
                <w:szCs w:val="24"/>
              </w:rPr>
              <w:t>SSuN</w:t>
            </w:r>
            <w:r w:rsidR="00C00EDB">
              <w:rPr>
                <w:rFonts w:cs="Times New Roman"/>
                <w:szCs w:val="24"/>
              </w:rPr>
              <w:t xml:space="preserve"> staff</w:t>
            </w:r>
            <w:r w:rsidR="00AC05E8" w:rsidRPr="00342435">
              <w:rPr>
                <w:rFonts w:cs="Times New Roman"/>
                <w:szCs w:val="24"/>
              </w:rPr>
              <w:t xml:space="preserve"> in </w:t>
            </w:r>
            <w:r w:rsidR="00AC05E8" w:rsidRPr="007B2EBE">
              <w:rPr>
                <w:rFonts w:cs="Times New Roman"/>
                <w:szCs w:val="24"/>
              </w:rPr>
              <w:t xml:space="preserve">positions to consider and implement site-specific improvements in </w:t>
            </w:r>
            <w:r w:rsidR="00AC05E8">
              <w:rPr>
                <w:rFonts w:cs="Times New Roman"/>
                <w:szCs w:val="24"/>
              </w:rPr>
              <w:t xml:space="preserve">their </w:t>
            </w:r>
            <w:r w:rsidR="00032D19">
              <w:rPr>
                <w:rFonts w:cs="Times New Roman"/>
                <w:szCs w:val="24"/>
              </w:rPr>
              <w:t>GC case interviewing processes</w:t>
            </w:r>
            <w:r w:rsidR="00C00EDB">
              <w:rPr>
                <w:rFonts w:cs="Times New Roman"/>
                <w:szCs w:val="24"/>
              </w:rPr>
              <w:t>. T</w:t>
            </w:r>
            <w:r w:rsidR="00AC05E8" w:rsidRPr="00FB7AA8">
              <w:t>he results are not intended to be generalized to the larger population.</w:t>
            </w:r>
            <w:r w:rsidR="00AC05E8" w:rsidRPr="00AC05E8">
              <w:rPr>
                <w:rFonts w:cs="Times New Roman"/>
                <w:szCs w:val="24"/>
              </w:rPr>
              <w:t xml:space="preserve"> </w:t>
            </w:r>
            <w:r w:rsidR="00032D19" w:rsidRPr="00032D19">
              <w:rPr>
                <w:rFonts w:cs="Times New Roman"/>
                <w:szCs w:val="24"/>
              </w:rPr>
              <w:t>Assessment of the factors related to GC case interview completion will help document best practices and inform future strategies to improve GC case interviewing efforts of health departments in participating SSuN jurisdictions.</w:t>
            </w:r>
            <w:r w:rsidR="00032D19">
              <w:rPr>
                <w:rFonts w:cs="Times New Roman"/>
                <w:szCs w:val="24"/>
              </w:rPr>
              <w:t xml:space="preserve"> </w:t>
            </w:r>
            <w:r w:rsidR="00AC05E8">
              <w:t>The results also</w:t>
            </w:r>
            <w:r w:rsidR="00FB7AA8">
              <w:t xml:space="preserve"> will </w:t>
            </w:r>
            <w:r w:rsidR="00FB7AA8" w:rsidRPr="00FB7AA8">
              <w:t>provide CDC an increased understanding of the factor</w:t>
            </w:r>
            <w:r w:rsidR="00C00EDB">
              <w:t>s t</w:t>
            </w:r>
            <w:r w:rsidR="0006639A">
              <w:t xml:space="preserve">hat contribute to effective </w:t>
            </w:r>
            <w:r w:rsidR="00032D19">
              <w:rPr>
                <w:rFonts w:cs="Times New Roman"/>
                <w:szCs w:val="24"/>
              </w:rPr>
              <w:t>GC case interviews</w:t>
            </w:r>
            <w:r w:rsidR="0006639A">
              <w:t xml:space="preserve"> provided by </w:t>
            </w:r>
            <w:r w:rsidR="00032D19">
              <w:t>facilities participating in SSuN</w:t>
            </w:r>
            <w:r w:rsidR="00731B24" w:rsidRPr="00FB7AA8">
              <w:t>.</w:t>
            </w:r>
          </w:p>
          <w:p w14:paraId="02AC9B98" w14:textId="28B0CC64" w:rsidR="00810B9E" w:rsidRPr="00FB7AA8" w:rsidRDefault="00B12EA3" w:rsidP="00F95454">
            <w:pPr>
              <w:pStyle w:val="NoSpacing"/>
              <w:numPr>
                <w:ilvl w:val="0"/>
                <w:numId w:val="1"/>
              </w:numPr>
              <w:spacing w:before="120" w:after="120"/>
              <w:mirrorIndents/>
              <w:rPr>
                <w:b/>
              </w:rPr>
            </w:pPr>
            <w:r w:rsidRPr="00FB7AA8">
              <w:rPr>
                <w:b/>
              </w:rPr>
              <w:t>Methods to be used to collect data:</w:t>
            </w:r>
            <w:r w:rsidR="00A34D13" w:rsidRPr="00FB7AA8">
              <w:rPr>
                <w:b/>
              </w:rPr>
              <w:t xml:space="preserve"> </w:t>
            </w:r>
            <w:r w:rsidR="00A34D13" w:rsidRPr="00FB7AA8">
              <w:t xml:space="preserve">Data will be collected </w:t>
            </w:r>
            <w:r w:rsidR="003E2A65" w:rsidRPr="00FB7AA8">
              <w:t xml:space="preserve">from </w:t>
            </w:r>
            <w:r w:rsidR="00150705">
              <w:t xml:space="preserve">a total of </w:t>
            </w:r>
            <w:r w:rsidR="00032D19">
              <w:t xml:space="preserve">50 </w:t>
            </w:r>
            <w:r w:rsidR="009A2571" w:rsidRPr="00FB7AA8">
              <w:t xml:space="preserve">individuals through </w:t>
            </w:r>
            <w:r w:rsidR="00731B24" w:rsidRPr="00FB7AA8">
              <w:t>semi-structured</w:t>
            </w:r>
            <w:r w:rsidR="009A2571" w:rsidRPr="00FB7AA8">
              <w:t>, qualitative</w:t>
            </w:r>
            <w:r w:rsidR="00F353ED" w:rsidRPr="00FB7AA8">
              <w:t xml:space="preserve"> </w:t>
            </w:r>
            <w:r w:rsidR="004B25CE">
              <w:t>in-depth</w:t>
            </w:r>
            <w:r w:rsidR="009A2571" w:rsidRPr="00FB7AA8">
              <w:t xml:space="preserve"> interviews</w:t>
            </w:r>
            <w:r w:rsidR="004B25CE">
              <w:t xml:space="preserve"> (IDIs)</w:t>
            </w:r>
            <w:r w:rsidR="00731B24" w:rsidRPr="00FB7AA8">
              <w:t>.</w:t>
            </w:r>
          </w:p>
          <w:p w14:paraId="205F61C7" w14:textId="554820F5" w:rsidR="00CB62C5" w:rsidRPr="00FB7AA8" w:rsidRDefault="00F30E45" w:rsidP="003127A5">
            <w:pPr>
              <w:pStyle w:val="NoSpacing"/>
              <w:numPr>
                <w:ilvl w:val="0"/>
                <w:numId w:val="1"/>
              </w:numPr>
              <w:spacing w:before="120" w:after="120"/>
              <w:mirrorIndents/>
              <w:rPr>
                <w:b/>
              </w:rPr>
            </w:pPr>
            <w:r>
              <w:rPr>
                <w:b/>
              </w:rPr>
              <w:t>S</w:t>
            </w:r>
            <w:r w:rsidR="00B12EA3" w:rsidRPr="00FB7AA8">
              <w:rPr>
                <w:b/>
              </w:rPr>
              <w:t>ubpopulation</w:t>
            </w:r>
            <w:r>
              <w:rPr>
                <w:b/>
              </w:rPr>
              <w:t>s</w:t>
            </w:r>
            <w:r w:rsidR="00B12EA3" w:rsidRPr="00FB7AA8">
              <w:rPr>
                <w:b/>
              </w:rPr>
              <w:t xml:space="preserve"> to be studied:</w:t>
            </w:r>
            <w:r w:rsidR="00207534" w:rsidRPr="00FB7AA8">
              <w:rPr>
                <w:b/>
              </w:rPr>
              <w:t xml:space="preserve"> </w:t>
            </w:r>
            <w:r w:rsidR="00CB62C5" w:rsidRPr="00FB7AA8">
              <w:t xml:space="preserve">We will </w:t>
            </w:r>
            <w:r>
              <w:t>obtain data from</w:t>
            </w:r>
            <w:r w:rsidR="00CB62C5" w:rsidRPr="00FB7AA8">
              <w:t xml:space="preserve"> </w:t>
            </w:r>
            <w:r w:rsidR="003127A5">
              <w:t>3</w:t>
            </w:r>
            <w:r w:rsidR="00032D19">
              <w:t>0</w:t>
            </w:r>
            <w:r w:rsidR="003127A5">
              <w:t xml:space="preserve"> staff</w:t>
            </w:r>
            <w:r w:rsidR="00032D19">
              <w:t xml:space="preserve"> </w:t>
            </w:r>
            <w:r w:rsidR="003127A5">
              <w:t xml:space="preserve">(3 per SSuN site) </w:t>
            </w:r>
            <w:r w:rsidR="003127A5" w:rsidRPr="003127A5">
              <w:t>responsible for co</w:t>
            </w:r>
            <w:r w:rsidR="003127A5">
              <w:t>nducting</w:t>
            </w:r>
            <w:r w:rsidR="003127A5" w:rsidRPr="003127A5">
              <w:t xml:space="preserve"> GC case interviewing (e.g., disease investigation specialist, </w:t>
            </w:r>
            <w:r w:rsidR="003127A5">
              <w:t xml:space="preserve">contract workers) and 20 staff (2 per SSuN site) </w:t>
            </w:r>
            <w:r w:rsidR="003127A5" w:rsidRPr="003127A5">
              <w:t>responsible for supervising or overseeing GC case interviewing (e.</w:t>
            </w:r>
            <w:r w:rsidR="003127A5">
              <w:t>g., STD managers, SSuN site PI). These 50</w:t>
            </w:r>
            <w:r w:rsidR="00B76615">
              <w:t xml:space="preserve"> staff will be s</w:t>
            </w:r>
            <w:r w:rsidR="003127A5">
              <w:t>elected</w:t>
            </w:r>
            <w:r w:rsidR="00B76615">
              <w:t xml:space="preserve"> from</w:t>
            </w:r>
            <w:r w:rsidR="007810DC">
              <w:t xml:space="preserve"> the</w:t>
            </w:r>
            <w:r w:rsidR="00B76615">
              <w:t xml:space="preserve"> </w:t>
            </w:r>
            <w:r w:rsidR="003127A5">
              <w:t>10</w:t>
            </w:r>
            <w:r w:rsidR="00B76615">
              <w:t xml:space="preserve"> </w:t>
            </w:r>
            <w:r w:rsidR="003127A5">
              <w:t xml:space="preserve">SSuN sites </w:t>
            </w:r>
            <w:r w:rsidR="00B76615">
              <w:t xml:space="preserve">located in </w:t>
            </w:r>
            <w:r w:rsidR="003127A5" w:rsidRPr="003127A5">
              <w:t>Baltimore, California, Florida, Massachusetts, Minnesota, Multnomah County Oregon, New York City, Philadelphia, San Francisco, and Washington</w:t>
            </w:r>
            <w:r w:rsidR="00B76615">
              <w:t>.</w:t>
            </w:r>
          </w:p>
          <w:p w14:paraId="67C82716" w14:textId="28C334EE" w:rsidR="00B12EA3" w:rsidRPr="00B12EA3" w:rsidRDefault="00B12EA3" w:rsidP="007810DC">
            <w:pPr>
              <w:pStyle w:val="NoSpacing"/>
              <w:numPr>
                <w:ilvl w:val="0"/>
                <w:numId w:val="1"/>
              </w:numPr>
              <w:spacing w:before="120" w:after="120"/>
              <w:mirrorIndents/>
              <w:rPr>
                <w:b/>
              </w:rPr>
            </w:pPr>
            <w:r w:rsidRPr="00FB7AA8">
              <w:rPr>
                <w:b/>
              </w:rPr>
              <w:t>How data will be analyzed:</w:t>
            </w:r>
            <w:r w:rsidR="003539FB" w:rsidRPr="00FB7AA8">
              <w:rPr>
                <w:b/>
              </w:rPr>
              <w:t xml:space="preserve"> </w:t>
            </w:r>
            <w:r w:rsidR="007810DC">
              <w:rPr>
                <w:noProof/>
                <w:szCs w:val="24"/>
              </w:rPr>
              <w:t>Qualitative coding of</w:t>
            </w:r>
            <w:r w:rsidR="003E2A65" w:rsidRPr="00FB7AA8">
              <w:rPr>
                <w:noProof/>
                <w:szCs w:val="24"/>
              </w:rPr>
              <w:t xml:space="preserve"> </w:t>
            </w:r>
            <w:r w:rsidR="004B25CE">
              <w:rPr>
                <w:noProof/>
                <w:szCs w:val="24"/>
              </w:rPr>
              <w:t>IDI</w:t>
            </w:r>
            <w:r w:rsidR="00CB62C5" w:rsidRPr="00FB7AA8">
              <w:rPr>
                <w:noProof/>
                <w:szCs w:val="24"/>
              </w:rPr>
              <w:t xml:space="preserve"> </w:t>
            </w:r>
            <w:r w:rsidR="007810DC">
              <w:rPr>
                <w:noProof/>
                <w:szCs w:val="24"/>
              </w:rPr>
              <w:t>notes</w:t>
            </w:r>
            <w:r w:rsidR="00CB62C5" w:rsidRPr="00FB7AA8">
              <w:rPr>
                <w:noProof/>
                <w:szCs w:val="24"/>
              </w:rPr>
              <w:t xml:space="preserve"> using computer-</w:t>
            </w:r>
            <w:r w:rsidR="003E2A65" w:rsidRPr="00FB7AA8">
              <w:rPr>
                <w:noProof/>
                <w:szCs w:val="24"/>
              </w:rPr>
              <w:t>assisted qualitative data analysis software</w:t>
            </w:r>
            <w:r w:rsidR="007810DC">
              <w:rPr>
                <w:noProof/>
                <w:szCs w:val="24"/>
              </w:rPr>
              <w:t xml:space="preserve"> (e.g., NVivo)</w:t>
            </w:r>
            <w:r w:rsidR="003E2A65" w:rsidRPr="00FB7AA8">
              <w:rPr>
                <w:noProof/>
                <w:szCs w:val="24"/>
              </w:rPr>
              <w:t>.</w:t>
            </w:r>
          </w:p>
        </w:tc>
      </w:tr>
    </w:tbl>
    <w:p w14:paraId="33849E7F" w14:textId="77777777" w:rsidR="00B12EA3" w:rsidRDefault="00B12EA3" w:rsidP="00F95454">
      <w:pPr>
        <w:pStyle w:val="NoSpacing"/>
        <w:spacing w:before="120" w:after="120"/>
        <w:mirrorIndents/>
      </w:pPr>
    </w:p>
    <w:p w14:paraId="6B0500C1" w14:textId="77777777" w:rsidR="00F734ED" w:rsidRPr="00F734ED" w:rsidRDefault="00F734ED" w:rsidP="00F95454">
      <w:pPr>
        <w:pStyle w:val="NoSpacing"/>
        <w:spacing w:before="120" w:after="120"/>
        <w:mirrorIndents/>
        <w:rPr>
          <w:b/>
        </w:rPr>
      </w:pPr>
      <w:r w:rsidRPr="00F734ED">
        <w:rPr>
          <w:b/>
        </w:rPr>
        <w:t>Supporting Statement</w:t>
      </w:r>
    </w:p>
    <w:p w14:paraId="32E1ACF3" w14:textId="2F1C42DA" w:rsidR="00B12EA3" w:rsidRPr="00E90840" w:rsidRDefault="00F734ED" w:rsidP="00F95454">
      <w:pPr>
        <w:pStyle w:val="NoSpacing"/>
        <w:spacing w:before="120" w:after="120"/>
        <w:mirrorIndents/>
        <w:rPr>
          <w:b/>
        </w:rPr>
      </w:pPr>
      <w:r w:rsidRPr="00F734ED">
        <w:rPr>
          <w:b/>
        </w:rPr>
        <w:t xml:space="preserve">A. </w:t>
      </w:r>
      <w:r w:rsidRPr="00F734ED">
        <w:rPr>
          <w:b/>
          <w:u w:val="single"/>
        </w:rPr>
        <w:t>Justification</w:t>
      </w:r>
    </w:p>
    <w:p w14:paraId="16B4B2A2" w14:textId="21511C47" w:rsidR="00B12EA3" w:rsidRDefault="00B12EA3" w:rsidP="00F95454">
      <w:pPr>
        <w:pStyle w:val="Heading1"/>
        <w:spacing w:before="120" w:after="120"/>
        <w:mirrorIndents/>
      </w:pPr>
      <w:bookmarkStart w:id="1" w:name="_Toc448296072"/>
      <w:r w:rsidRPr="00B12EA3">
        <w:t>Circumstances Making the Collection of Information Necessary</w:t>
      </w:r>
      <w:bookmarkEnd w:id="1"/>
    </w:p>
    <w:p w14:paraId="5F472E7A" w14:textId="1AC8E48C" w:rsidR="00067E1B" w:rsidRPr="009A38A1" w:rsidRDefault="00067E1B" w:rsidP="009636FA">
      <w:pPr>
        <w:widowControl w:val="0"/>
        <w:spacing w:before="120" w:after="120"/>
        <w:mirrorIndents/>
        <w:rPr>
          <w:b/>
        </w:rPr>
      </w:pPr>
      <w:r w:rsidRPr="00067E1B">
        <w:t>The Centers for Disease Control and Prevention’s</w:t>
      </w:r>
      <w:r w:rsidR="00F94AE4">
        <w:t xml:space="preserve"> (CDC)</w:t>
      </w:r>
      <w:r w:rsidRPr="00067E1B">
        <w:t xml:space="preserve"> Division of </w:t>
      </w:r>
      <w:r w:rsidR="007810DC">
        <w:t>STD Prevention (DSTDP</w:t>
      </w:r>
      <w:r w:rsidR="00F15707">
        <w:t>)</w:t>
      </w:r>
      <w:r w:rsidR="00C94C91">
        <w:t>,</w:t>
      </w:r>
      <w:r w:rsidR="00F15707">
        <w:t xml:space="preserve"> requests OMB approval for a qualitative</w:t>
      </w:r>
      <w:r w:rsidR="00F94AE4">
        <w:t xml:space="preserve"> </w:t>
      </w:r>
      <w:r w:rsidR="007810DC">
        <w:t>assessment</w:t>
      </w:r>
      <w:r w:rsidRPr="00067E1B">
        <w:t xml:space="preserve"> entitled, “</w:t>
      </w:r>
      <w:r w:rsidR="007810DC" w:rsidRPr="007810DC">
        <w:t>Assessment of Gonorrhea Case Interviewing in STD Surveillance Network Sites</w:t>
      </w:r>
      <w:r w:rsidRPr="007810DC">
        <w:t>”</w:t>
      </w:r>
      <w:r w:rsidRPr="00067E1B">
        <w:t xml:space="preserve"> under </w:t>
      </w:r>
      <w:r w:rsidR="00BF4C06" w:rsidRPr="002B31BA">
        <w:t xml:space="preserve">the </w:t>
      </w:r>
      <w:r w:rsidR="00573625" w:rsidRPr="002B31BA">
        <w:t>“</w:t>
      </w:r>
      <w:r w:rsidR="007810DC" w:rsidRPr="002B31BA">
        <w:t>Formative Research and Tool Development” (OMB#0920-0840, exp. 1</w:t>
      </w:r>
      <w:r w:rsidR="002B31BA">
        <w:t>0/31/2021</w:t>
      </w:r>
      <w:r w:rsidR="007810DC" w:rsidRPr="002B31BA">
        <w:t>)</w:t>
      </w:r>
      <w:r w:rsidR="007810DC">
        <w:t xml:space="preserve"> </w:t>
      </w:r>
      <w:r w:rsidRPr="00067E1B">
        <w:t>Generic Clearance.</w:t>
      </w:r>
      <w:r w:rsidR="00F94AE4">
        <w:t xml:space="preserve"> </w:t>
      </w:r>
      <w:r w:rsidR="005E6F8D">
        <w:t>D</w:t>
      </w:r>
      <w:r w:rsidR="007325ED">
        <w:t xml:space="preserve">ata collection will be carried out by </w:t>
      </w:r>
      <w:r w:rsidR="00573625">
        <w:t xml:space="preserve">an </w:t>
      </w:r>
      <w:r w:rsidR="00573625" w:rsidRPr="00573625">
        <w:t xml:space="preserve">evaluation team composed of CDC DSTDP staff </w:t>
      </w:r>
      <w:r w:rsidR="00573625">
        <w:t xml:space="preserve">who </w:t>
      </w:r>
      <w:r w:rsidR="00573625" w:rsidRPr="00573625">
        <w:t>will lead the evaluation design, data collection, analysis, and dissemination of evaluation results</w:t>
      </w:r>
      <w:r w:rsidR="007325ED">
        <w:t xml:space="preserve">. </w:t>
      </w:r>
    </w:p>
    <w:p w14:paraId="6914EEEE" w14:textId="77777777" w:rsidR="00573625" w:rsidRPr="00573625" w:rsidRDefault="00573625" w:rsidP="00573625">
      <w:pPr>
        <w:pStyle w:val="Normal1"/>
        <w:spacing w:before="120" w:after="120"/>
        <w:mirrorIndents/>
        <w:rPr>
          <w:color w:val="000000"/>
          <w:shd w:val="clear" w:color="auto" w:fill="FFFFFF"/>
        </w:rPr>
      </w:pPr>
      <w:bookmarkStart w:id="2" w:name="_Toc448296073"/>
      <w:r w:rsidRPr="00573625">
        <w:rPr>
          <w:color w:val="000000"/>
          <w:shd w:val="clear" w:color="auto" w:fill="FFFFFF"/>
        </w:rPr>
        <w:t>Gonorrhea (GC) is the second most common notifiable disease reported in the United States with over half a million cases reported in 2017</w:t>
      </w:r>
      <w:r w:rsidRPr="00573625">
        <w:rPr>
          <w:color w:val="000000"/>
          <w:shd w:val="clear" w:color="auto" w:fill="FFFFFF"/>
          <w:vertAlign w:val="superscript"/>
        </w:rPr>
        <w:t>1</w:t>
      </w:r>
      <w:r w:rsidRPr="00573625">
        <w:rPr>
          <w:color w:val="000000"/>
          <w:shd w:val="clear" w:color="auto" w:fill="FFFFFF"/>
        </w:rPr>
        <w:t>. GC rates continue to rise with an 18.6% increase since 2016 and a 75.2% increase since a historic low in 2009</w:t>
      </w:r>
      <w:r w:rsidRPr="00573625">
        <w:rPr>
          <w:color w:val="000000"/>
          <w:shd w:val="clear" w:color="auto" w:fill="FFFFFF"/>
          <w:vertAlign w:val="superscript"/>
        </w:rPr>
        <w:t>1</w:t>
      </w:r>
      <w:r w:rsidRPr="00573625">
        <w:rPr>
          <w:color w:val="000000"/>
          <w:shd w:val="clear" w:color="auto" w:fill="FFFFFF"/>
        </w:rPr>
        <w:t>. GC infections are a leading cause of pelvic inflammatory disease (PID), which can lead to tubal infertilities, ectopic pregnancy, and chronic pelvic pain in women. In addition, research has found that GC infections can facilitate the transmission of HIV</w:t>
      </w:r>
      <w:r w:rsidRPr="00573625">
        <w:rPr>
          <w:color w:val="000000"/>
          <w:shd w:val="clear" w:color="auto" w:fill="FFFFFF"/>
          <w:vertAlign w:val="superscript"/>
        </w:rPr>
        <w:t>2</w:t>
      </w:r>
      <w:r w:rsidRPr="00573625">
        <w:rPr>
          <w:color w:val="000000"/>
          <w:shd w:val="clear" w:color="auto" w:fill="FFFFFF"/>
        </w:rPr>
        <w:t xml:space="preserve">. </w:t>
      </w:r>
    </w:p>
    <w:p w14:paraId="631F1AF8" w14:textId="77777777" w:rsidR="00573625" w:rsidRPr="00573625" w:rsidRDefault="00573625" w:rsidP="00573625">
      <w:pPr>
        <w:pStyle w:val="Normal1"/>
        <w:spacing w:before="120" w:after="120"/>
        <w:mirrorIndents/>
        <w:rPr>
          <w:color w:val="000000"/>
          <w:shd w:val="clear" w:color="auto" w:fill="FFFFFF"/>
        </w:rPr>
      </w:pPr>
    </w:p>
    <w:p w14:paraId="3B5A8C43" w14:textId="77777777" w:rsidR="00573625" w:rsidRPr="00573625" w:rsidRDefault="00573625" w:rsidP="00573625">
      <w:pPr>
        <w:pStyle w:val="Normal1"/>
        <w:spacing w:before="120" w:after="120"/>
        <w:mirrorIndents/>
        <w:rPr>
          <w:color w:val="000000"/>
          <w:shd w:val="clear" w:color="auto" w:fill="FFFFFF"/>
        </w:rPr>
      </w:pPr>
      <w:r w:rsidRPr="00573625">
        <w:rPr>
          <w:color w:val="000000"/>
          <w:shd w:val="clear" w:color="auto" w:fill="FFFFFF"/>
        </w:rPr>
        <w:t>In 2005, the CDC Department of STD Prevention (DSTDP) established the STD Surveillance Network (SSuN) to gather enhanced STD data from selected health departments. The information gathered from the network sites is used to better understand the epidemiology of STDs and inform national and local STD prevention efforts. DSTDP currently funds 10 jurisdictions as part of Cycle III of the SSuN cooperative agreement. As part of the cooperative agreement, the health departments associated with each jurisdiction conduct interviews with a random sample of reported GC cases to obtain additional demographic and behavioral information (e.g., age, race and Hispanic ethnicity, gender of recent sex partners, symptoms, and treatment received). The optimal rate for interview completion among the sampled GC cases is 65%. Over the past few years, jurisdictions have experienced difficulty in completing patient interviews among sampled cases. From January 2018 to November 2018 the overall interview completion rate across all SSuN sites was 40%, with a range from 21% to 62% between sites</w:t>
      </w:r>
      <w:r w:rsidRPr="00573625">
        <w:rPr>
          <w:color w:val="000000"/>
          <w:shd w:val="clear" w:color="auto" w:fill="FFFFFF"/>
          <w:vertAlign w:val="superscript"/>
        </w:rPr>
        <w:t>3</w:t>
      </w:r>
      <w:r w:rsidRPr="00573625">
        <w:rPr>
          <w:color w:val="000000"/>
          <w:shd w:val="clear" w:color="auto" w:fill="FFFFFF"/>
        </w:rPr>
        <w:t>. This low completion rate, as well as the range across SSuN sites, may be explained by differences among sites in the characteristics of staff conducting the interviews (e.g. training, background, job role and responsibilities, attitude, funding), the procedure for interviewing (e.g. consent, contact information, methods, timing, documentation/tracking, callbacks), the context of the community served (e.g. clinic reputation, over sampling, attitudes, perceptions), and characteristics of patients (e.g. variation in patient characteristics of those who have complete versus incomplete interviews). A better understanding of the barriers and facilitators to conducting and completing GC interviews is essential to strengthening enhanced surveillance data that informs national and local STD prevention efforts.</w:t>
      </w:r>
    </w:p>
    <w:p w14:paraId="62E24C59" w14:textId="33B2AEE3" w:rsidR="0082377F" w:rsidRDefault="0082377F" w:rsidP="009636FA">
      <w:pPr>
        <w:pStyle w:val="Normal1"/>
        <w:spacing w:before="120" w:after="120"/>
        <w:mirrorIndents/>
      </w:pPr>
    </w:p>
    <w:p w14:paraId="24BFF15F" w14:textId="152EED82" w:rsidR="00CC6AB1" w:rsidRDefault="00CC6AB1" w:rsidP="00F95454">
      <w:pPr>
        <w:pStyle w:val="Heading1"/>
        <w:spacing w:before="120" w:after="120"/>
        <w:mirrorIndents/>
      </w:pPr>
      <w:r w:rsidRPr="00B12EA3">
        <w:t>Purpose and Use of the Information Collection</w:t>
      </w:r>
      <w:bookmarkEnd w:id="2"/>
    </w:p>
    <w:p w14:paraId="56A921A4" w14:textId="675EF963" w:rsidR="008A16FB" w:rsidRDefault="0082377F" w:rsidP="00C94C91">
      <w:pPr>
        <w:pStyle w:val="Normal1"/>
        <w:spacing w:before="120" w:after="120"/>
      </w:pPr>
      <w:r w:rsidRPr="00624CE1">
        <w:t>The purpose of th</w:t>
      </w:r>
      <w:r w:rsidR="00F64CC0">
        <w:t xml:space="preserve">is information collection is to </w:t>
      </w:r>
      <w:r w:rsidR="00F64CC0" w:rsidRPr="00FB7AA8">
        <w:t xml:space="preserve">identify </w:t>
      </w:r>
      <w:r w:rsidR="00F64CC0">
        <w:t xml:space="preserve">factors </w:t>
      </w:r>
      <w:r w:rsidR="00C94C91" w:rsidRPr="00C94C91">
        <w:t xml:space="preserve">contributing to variations in </w:t>
      </w:r>
      <w:r w:rsidR="00C94C91">
        <w:t>GC</w:t>
      </w:r>
      <w:r w:rsidR="00C94C91" w:rsidRPr="00C94C91">
        <w:t xml:space="preserve"> case interview completion rates across the SSuN sites. </w:t>
      </w:r>
      <w:r w:rsidR="00F64CC0">
        <w:t xml:space="preserve">Specifically, this </w:t>
      </w:r>
      <w:r w:rsidR="00C94C91">
        <w:t xml:space="preserve">assessment </w:t>
      </w:r>
      <w:r w:rsidR="00F64CC0">
        <w:t xml:space="preserve">focuses </w:t>
      </w:r>
      <w:r w:rsidR="00C94C91" w:rsidRPr="00C94C91">
        <w:t>on 10 city, county and state health departments participating in Cycle III of the STD Surveillance Network (SSuN).</w:t>
      </w:r>
      <w:r w:rsidR="00B42992">
        <w:t xml:space="preserve"> The study will take place </w:t>
      </w:r>
      <w:r w:rsidR="00C94C91">
        <w:t>at the SSuN sites that volunteer to participate</w:t>
      </w:r>
      <w:r w:rsidR="00B42992">
        <w:t xml:space="preserve"> located in </w:t>
      </w:r>
      <w:r w:rsidR="00C94C91" w:rsidRPr="00C94C91">
        <w:t>Baltimore, California, Florida, Massachusetts, Minnesota, Multnomah County Oregon, New York City, Philadelphia, San Francisco, and Washington</w:t>
      </w:r>
      <w:r w:rsidR="00B42992">
        <w:t>.</w:t>
      </w:r>
      <w:r w:rsidR="008A16FB">
        <w:t xml:space="preserve"> </w:t>
      </w:r>
      <w:r w:rsidR="00C94C91" w:rsidRPr="00C94C91">
        <w:t>These 10 sites are funded by CDC’s existing PS13-1306 cooperative agreement to address STD surveillance problems of national, state, and local interest and to better understand the epidemiology of STDs and to inform national a</w:t>
      </w:r>
      <w:r w:rsidR="00C94C91">
        <w:t>nd local STD prevention efforts.</w:t>
      </w:r>
    </w:p>
    <w:p w14:paraId="30D1CDC2" w14:textId="7A762434" w:rsidR="0082377F" w:rsidRPr="00B42992" w:rsidRDefault="00B42992" w:rsidP="00B42992">
      <w:pPr>
        <w:pStyle w:val="NoSpacing"/>
        <w:spacing w:before="120" w:after="120"/>
        <w:mirrorIndents/>
        <w:rPr>
          <w:b/>
        </w:rPr>
      </w:pPr>
      <w:r>
        <w:t xml:space="preserve">Interview data will be gathered from a total of </w:t>
      </w:r>
      <w:r w:rsidR="00C94C91">
        <w:t>50</w:t>
      </w:r>
      <w:r>
        <w:t xml:space="preserve"> persons. These include </w:t>
      </w:r>
      <w:r w:rsidR="00C94C91" w:rsidRPr="00C94C91">
        <w:t>30 staff (3 per SSuN site) responsible for conducting GC case interviewing (e.g., disease investigation specialist, contract workers) and 20 staff (2 per SSuN site) responsible for supervising or overseeing GC case interviewing (e.g., STD managers, SSuN site PI).</w:t>
      </w:r>
      <w:r>
        <w:t xml:space="preserve"> </w:t>
      </w:r>
    </w:p>
    <w:p w14:paraId="1F5A07F3" w14:textId="1C560F66" w:rsidR="001319BD" w:rsidRPr="003A6A6C" w:rsidRDefault="00582903" w:rsidP="00740059">
      <w:pPr>
        <w:spacing w:before="120" w:after="120"/>
        <w:mirrorIndents/>
      </w:pPr>
      <w:r w:rsidRPr="0082377F">
        <w:t xml:space="preserve">The qualitative data collected through this study will be used to </w:t>
      </w:r>
      <w:r w:rsidR="00740059" w:rsidRPr="00740059">
        <w:t xml:space="preserve">inform policies and practices of the SSuN sites included in the evaluation. CDC DSTDP and sites participating in SSuN may use findings to address barriers and implement strategies to improve completion of GC case interviews and develop a plan of action to address key recommendations. </w:t>
      </w:r>
      <w:r w:rsidR="00740059">
        <w:t xml:space="preserve">The results also will </w:t>
      </w:r>
      <w:r w:rsidR="00740059" w:rsidRPr="00FB7AA8">
        <w:t xml:space="preserve">provide CDC an increased understanding of the factors </w:t>
      </w:r>
      <w:r w:rsidR="00740059">
        <w:t xml:space="preserve">that contribute to effective GC case interviewing provided by SSuN sites </w:t>
      </w:r>
      <w:r w:rsidR="00740059">
        <w:rPr>
          <w:rFonts w:eastAsia="Calibri"/>
          <w:bCs/>
        </w:rPr>
        <w:t>in different geographic locations</w:t>
      </w:r>
      <w:r w:rsidR="00C941AB">
        <w:rPr>
          <w:rFonts w:eastAsia="Calibri"/>
          <w:bCs/>
        </w:rPr>
        <w:t>.</w:t>
      </w:r>
      <w:r w:rsidR="00740059" w:rsidRPr="00740059">
        <w:t xml:space="preserve"> As this is Cycle III and DSTDP is planning for Cycle IV, this assessment may help CDC/DSTDP identify programmatic changes and provide guidance related to GC case interviewing as a SSuN activity.</w:t>
      </w:r>
      <w:r w:rsidR="003962DF">
        <w:t xml:space="preserve"> </w:t>
      </w:r>
      <w:r w:rsidR="00740059">
        <w:t>These r</w:t>
      </w:r>
      <w:r w:rsidR="00740059" w:rsidRPr="004B315D">
        <w:t xml:space="preserve">esults will be communicated to relevant </w:t>
      </w:r>
      <w:r w:rsidR="00740059">
        <w:t>SSuN site personnel in a position to</w:t>
      </w:r>
      <w:r w:rsidR="00740059" w:rsidRPr="004B315D">
        <w:t xml:space="preserve"> use the results to further strengthen their </w:t>
      </w:r>
      <w:r w:rsidR="00740059">
        <w:t>GC interviewing practices</w:t>
      </w:r>
      <w:r w:rsidR="00740059" w:rsidRPr="004B315D">
        <w:t>.</w:t>
      </w:r>
      <w:r w:rsidR="00740059">
        <w:t xml:space="preserve"> CDC/DSTDP will </w:t>
      </w:r>
      <w:r w:rsidR="00740059" w:rsidRPr="00740059">
        <w:t>disseminate the information through presentation at a SSuN site recipient meeting or distribution of an evaluation report. Subsequent presentation of this evaluation and any program changes that may result from the evaluation may also be shared with other STD control partners and may occur at a scientific meeting or be presented in a scientific manuscript.</w:t>
      </w:r>
      <w:r w:rsidR="00740059">
        <w:t>.</w:t>
      </w:r>
    </w:p>
    <w:p w14:paraId="62EC8E59" w14:textId="75F85483" w:rsidR="00FA0589" w:rsidRPr="00FA0589" w:rsidRDefault="00070D4D" w:rsidP="001A4580">
      <w:pPr>
        <w:spacing w:before="120" w:after="120"/>
        <w:mirrorIndents/>
      </w:pPr>
      <w:r>
        <w:t xml:space="preserve">The </w:t>
      </w:r>
      <w:r w:rsidR="00FA0589">
        <w:t xml:space="preserve">30 SSuN site </w:t>
      </w:r>
      <w:r w:rsidR="00D70265" w:rsidRPr="001319BD">
        <w:t>staff</w:t>
      </w:r>
      <w:r w:rsidR="001319BD" w:rsidRPr="001319BD">
        <w:t xml:space="preserve"> and </w:t>
      </w:r>
      <w:r w:rsidR="00FA0589">
        <w:t>20 SSuN site supervisors</w:t>
      </w:r>
      <w:r w:rsidR="001319BD" w:rsidRPr="001319BD">
        <w:t xml:space="preserve"> </w:t>
      </w:r>
      <w:r w:rsidR="00ED75FB" w:rsidRPr="001319BD">
        <w:t>will be recruite</w:t>
      </w:r>
      <w:r w:rsidR="00240E62">
        <w:t>d for</w:t>
      </w:r>
      <w:r w:rsidR="00150BF0">
        <w:t xml:space="preserve"> in-depth interviews</w:t>
      </w:r>
      <w:r w:rsidR="00240E62">
        <w:t xml:space="preserve"> </w:t>
      </w:r>
      <w:r w:rsidR="00150BF0">
        <w:t>(</w:t>
      </w:r>
      <w:r w:rsidR="00240E62">
        <w:t>IDIs</w:t>
      </w:r>
      <w:r w:rsidR="00150BF0">
        <w:t>)</w:t>
      </w:r>
      <w:r w:rsidR="00240E62">
        <w:t xml:space="preserve"> </w:t>
      </w:r>
      <w:r w:rsidR="00ED75FB" w:rsidRPr="001319BD">
        <w:t xml:space="preserve">across all </w:t>
      </w:r>
      <w:r w:rsidR="00FA0589">
        <w:t xml:space="preserve">ten </w:t>
      </w:r>
      <w:r w:rsidR="001319BD" w:rsidRPr="001319BD">
        <w:t>sites.</w:t>
      </w:r>
      <w:r>
        <w:t xml:space="preserve"> </w:t>
      </w:r>
      <w:r w:rsidR="00FA0589" w:rsidRPr="00FA0589">
        <w:t xml:space="preserve">An initial concept for the evaluation plan was presented to SSuN jurisdiction principal investigators (PIs) during the November 2018 quarterly conference call.  Follow-up communication with PIs will occur following agency clearance approvals via email and telephone to assess interest and gather additional information to identify eligible staff to participate. PIs will provide the initial gateway to approach staff for participation. </w:t>
      </w:r>
      <w:r w:rsidR="00BD64D6">
        <w:t>CDC/DSTDP staff</w:t>
      </w:r>
      <w:r w:rsidR="00044340">
        <w:t xml:space="preserve"> </w:t>
      </w:r>
      <w:r>
        <w:t xml:space="preserve">involved with this </w:t>
      </w:r>
      <w:r w:rsidR="00BD64D6">
        <w:t xml:space="preserve">assessment </w:t>
      </w:r>
      <w:r w:rsidR="00F83380">
        <w:t xml:space="preserve">will identify eligible </w:t>
      </w:r>
      <w:r w:rsidR="008D5F8D">
        <w:t>staff</w:t>
      </w:r>
      <w:r w:rsidR="001319BD">
        <w:t xml:space="preserve"> </w:t>
      </w:r>
      <w:r w:rsidR="00BD64D6">
        <w:t xml:space="preserve">through SSuN site PIs and </w:t>
      </w:r>
      <w:r w:rsidR="00FD2FD5">
        <w:t xml:space="preserve">by examining </w:t>
      </w:r>
      <w:r w:rsidR="00BD64D6">
        <w:t xml:space="preserve">personnel </w:t>
      </w:r>
      <w:r w:rsidR="00FD2FD5">
        <w:t>lists</w:t>
      </w:r>
      <w:r w:rsidR="00F83380">
        <w:t>.</w:t>
      </w:r>
      <w:r w:rsidR="001319BD" w:rsidRPr="003638C5">
        <w:rPr>
          <w:rStyle w:val="Normal1Char"/>
        </w:rPr>
        <w:t xml:space="preserve"> </w:t>
      </w:r>
      <w:r w:rsidR="00FE505B">
        <w:rPr>
          <w:rStyle w:val="Normal1Char"/>
        </w:rPr>
        <w:t>The</w:t>
      </w:r>
      <w:r>
        <w:rPr>
          <w:rStyle w:val="Normal1Char"/>
        </w:rPr>
        <w:t>se</w:t>
      </w:r>
      <w:r w:rsidR="00FE505B">
        <w:rPr>
          <w:rStyle w:val="Normal1Char"/>
        </w:rPr>
        <w:t xml:space="preserve"> </w:t>
      </w:r>
      <w:r>
        <w:rPr>
          <w:rStyle w:val="Normal1Char"/>
        </w:rPr>
        <w:t>staff</w:t>
      </w:r>
      <w:r w:rsidR="00FE505B">
        <w:rPr>
          <w:rStyle w:val="Normal1Char"/>
        </w:rPr>
        <w:t xml:space="preserve"> will</w:t>
      </w:r>
      <w:r w:rsidR="00FD2FD5">
        <w:rPr>
          <w:rStyle w:val="Normal1Char"/>
        </w:rPr>
        <w:t xml:space="preserve"> </w:t>
      </w:r>
      <w:r w:rsidR="007F4F7A">
        <w:rPr>
          <w:rStyle w:val="Normal1Char"/>
        </w:rPr>
        <w:t xml:space="preserve">include </w:t>
      </w:r>
      <w:r>
        <w:rPr>
          <w:rStyle w:val="Normal1Char"/>
        </w:rPr>
        <w:t>individuals</w:t>
      </w:r>
      <w:r w:rsidR="007F4F7A">
        <w:rPr>
          <w:rStyle w:val="Normal1Char"/>
        </w:rPr>
        <w:t xml:space="preserve"> </w:t>
      </w:r>
      <w:r w:rsidR="00BD64D6" w:rsidRPr="00BD64D6">
        <w:rPr>
          <w:rStyle w:val="Normal1Char"/>
        </w:rPr>
        <w:t xml:space="preserve">responsible for completing GC case interviewing (e.g., disease investigation specialist, contract workers (MPH students)) and </w:t>
      </w:r>
      <w:r w:rsidR="00BD64D6">
        <w:rPr>
          <w:rStyle w:val="Normal1Char"/>
        </w:rPr>
        <w:t xml:space="preserve">individuals </w:t>
      </w:r>
      <w:r w:rsidR="00BD64D6" w:rsidRPr="00BD64D6">
        <w:rPr>
          <w:rStyle w:val="Normal1Char"/>
        </w:rPr>
        <w:t>responsible for supervising or overseeing GC case interviewing (e.g., STD managers, SSuN site PI)</w:t>
      </w:r>
      <w:r w:rsidR="007F4F7A">
        <w:rPr>
          <w:rStyle w:val="Normal1Char"/>
        </w:rPr>
        <w:t xml:space="preserve">. </w:t>
      </w:r>
      <w:r w:rsidR="008D5F8D" w:rsidRPr="003638C5">
        <w:rPr>
          <w:rStyle w:val="Normal1Char"/>
        </w:rPr>
        <w:t>Once project clearances have been obtained, we</w:t>
      </w:r>
      <w:r w:rsidR="008D5F8D">
        <w:t xml:space="preserve"> will request name and contact information for all staff on the list, and will use that list to recruit</w:t>
      </w:r>
      <w:r w:rsidR="00FD2FD5">
        <w:t xml:space="preserve"> participants</w:t>
      </w:r>
      <w:r w:rsidR="00A40E3B">
        <w:t xml:space="preserve"> and invite them for an interview</w:t>
      </w:r>
      <w:r w:rsidR="008D5F8D">
        <w:t>. Participation in</w:t>
      </w:r>
      <w:r w:rsidR="007F4F7A">
        <w:t xml:space="preserve"> this </w:t>
      </w:r>
      <w:r w:rsidR="00A40E3B">
        <w:t xml:space="preserve">assessment </w:t>
      </w:r>
      <w:r w:rsidR="007F4F7A">
        <w:t xml:space="preserve">will not impact </w:t>
      </w:r>
      <w:r w:rsidR="00FE505B">
        <w:t xml:space="preserve">staff </w:t>
      </w:r>
      <w:r w:rsidR="008D5F8D">
        <w:t xml:space="preserve">job performance, and there is no requirement </w:t>
      </w:r>
      <w:r w:rsidR="00FE505B">
        <w:t xml:space="preserve">for </w:t>
      </w:r>
      <w:r>
        <w:t xml:space="preserve">the </w:t>
      </w:r>
      <w:r w:rsidR="00A40E3B">
        <w:t>50</w:t>
      </w:r>
      <w:r>
        <w:t xml:space="preserve"> </w:t>
      </w:r>
      <w:r w:rsidR="00FE505B">
        <w:t>staff</w:t>
      </w:r>
      <w:r>
        <w:t xml:space="preserve"> members</w:t>
      </w:r>
      <w:r w:rsidR="00A40E3B">
        <w:t xml:space="preserve"> and supervisors</w:t>
      </w:r>
      <w:r w:rsidR="00FE505B">
        <w:t xml:space="preserve"> </w:t>
      </w:r>
      <w:r w:rsidR="008D5F8D">
        <w:t xml:space="preserve">to participate in this </w:t>
      </w:r>
      <w:r w:rsidR="00A40E3B">
        <w:t>assessment</w:t>
      </w:r>
      <w:r w:rsidR="008D5F8D">
        <w:t xml:space="preserve"> as a function of </w:t>
      </w:r>
      <w:r w:rsidR="00FE505B">
        <w:t xml:space="preserve">their </w:t>
      </w:r>
      <w:r w:rsidR="008D5F8D">
        <w:t xml:space="preserve">job performance. </w:t>
      </w:r>
      <w:r w:rsidR="005E2979">
        <w:t xml:space="preserve">No screening tool is needed for staff participants because they </w:t>
      </w:r>
      <w:r w:rsidR="00E50DA8">
        <w:t>will</w:t>
      </w:r>
      <w:r w:rsidR="005E2979">
        <w:t xml:space="preserve"> be purposively recruited based on the </w:t>
      </w:r>
      <w:r w:rsidR="00FE505B">
        <w:t xml:space="preserve">roles they play in </w:t>
      </w:r>
      <w:r w:rsidR="005E2979">
        <w:t xml:space="preserve">the </w:t>
      </w:r>
      <w:r w:rsidR="00A40E3B">
        <w:t>10 SSuN sites</w:t>
      </w:r>
      <w:r w:rsidR="005E2979">
        <w:t>.</w:t>
      </w:r>
      <w:r w:rsidR="00574FA6" w:rsidRPr="00B64D28">
        <w:t xml:space="preserve"> </w:t>
      </w:r>
      <w:r w:rsidR="00775675" w:rsidRPr="00653A0E">
        <w:t xml:space="preserve">(For </w:t>
      </w:r>
      <w:r w:rsidR="00882365" w:rsidRPr="00653A0E">
        <w:t xml:space="preserve">additional </w:t>
      </w:r>
      <w:r w:rsidR="00AD617D" w:rsidRPr="00653A0E">
        <w:t xml:space="preserve">details </w:t>
      </w:r>
      <w:r w:rsidR="00775675" w:rsidRPr="00653A0E">
        <w:t>on how we protect the identities of study participants, see the Protection of the Privacy and Confidentiality of Information Provided by Respondents section included below in this document.)</w:t>
      </w:r>
    </w:p>
    <w:p w14:paraId="336192A7" w14:textId="2E64EDDE" w:rsidR="001B4A66" w:rsidRPr="00C36986" w:rsidRDefault="00155815" w:rsidP="00F95454">
      <w:pPr>
        <w:spacing w:before="120" w:after="120"/>
        <w:mirrorIndents/>
        <w:rPr>
          <w:color w:val="000000" w:themeColor="text1"/>
          <w:highlight w:val="yellow"/>
        </w:rPr>
      </w:pPr>
      <w:r>
        <w:t xml:space="preserve">Eligible </w:t>
      </w:r>
      <w:r w:rsidR="001A4580">
        <w:t>staff</w:t>
      </w:r>
      <w:r w:rsidR="001B4A66" w:rsidRPr="009A4982">
        <w:t xml:space="preserve"> who choose to </w:t>
      </w:r>
      <w:r w:rsidR="001A4580">
        <w:t>participate in the assessment</w:t>
      </w:r>
      <w:r w:rsidR="001B4A66" w:rsidRPr="009A4982">
        <w:t xml:space="preserve"> will be sch</w:t>
      </w:r>
      <w:r w:rsidR="00240E62">
        <w:t xml:space="preserve">eduled for an </w:t>
      </w:r>
      <w:r>
        <w:t>interview</w:t>
      </w:r>
      <w:r w:rsidR="001B4A66" w:rsidRPr="009A4982">
        <w:t xml:space="preserve">. At </w:t>
      </w:r>
      <w:r w:rsidR="00C17EE7">
        <w:t xml:space="preserve">the </w:t>
      </w:r>
      <w:r w:rsidR="00B64D28">
        <w:t>beginning</w:t>
      </w:r>
      <w:r w:rsidR="00B64D28" w:rsidRPr="009A4982">
        <w:t xml:space="preserve"> of</w:t>
      </w:r>
      <w:r w:rsidR="001B4A66" w:rsidRPr="009A4982">
        <w:t xml:space="preserve"> </w:t>
      </w:r>
      <w:r w:rsidR="008320F7">
        <w:t>each</w:t>
      </w:r>
      <w:r w:rsidR="001B4A66" w:rsidRPr="009A4982">
        <w:t xml:space="preserve"> interview</w:t>
      </w:r>
      <w:r w:rsidR="0081086B">
        <w:t xml:space="preserve"> with staff </w:t>
      </w:r>
      <w:r w:rsidR="00C17EE7">
        <w:t>and before any data collection starts</w:t>
      </w:r>
      <w:r w:rsidR="001B4A66" w:rsidRPr="009A4982">
        <w:t xml:space="preserve">, </w:t>
      </w:r>
      <w:r w:rsidR="00AB40B0">
        <w:t>the DSTDP team</w:t>
      </w:r>
      <w:r w:rsidR="001B4A66" w:rsidRPr="009A4982">
        <w:t xml:space="preserve"> will review the </w:t>
      </w:r>
      <w:r w:rsidR="00AB40B0">
        <w:t>assessment</w:t>
      </w:r>
      <w:r w:rsidR="001B4A66" w:rsidRPr="009A4982">
        <w:t xml:space="preserve"> procedures</w:t>
      </w:r>
      <w:r w:rsidR="0045429A">
        <w:t xml:space="preserve"> with each participant</w:t>
      </w:r>
      <w:r w:rsidR="00C17EE7">
        <w:t>. P</w:t>
      </w:r>
      <w:r w:rsidR="001B4A66" w:rsidRPr="009A4982">
        <w:t>articipants will</w:t>
      </w:r>
      <w:r w:rsidR="00C17EE7">
        <w:t xml:space="preserve"> be asked to</w:t>
      </w:r>
      <w:r w:rsidR="001B4A66" w:rsidRPr="009A4982">
        <w:t xml:space="preserve"> complete </w:t>
      </w:r>
      <w:r w:rsidR="00D70D00">
        <w:t>a</w:t>
      </w:r>
      <w:r w:rsidR="00C17EE7">
        <w:t>n</w:t>
      </w:r>
      <w:r w:rsidR="001B4A66" w:rsidRPr="009A4982">
        <w:t xml:space="preserve"> informed consent</w:t>
      </w:r>
      <w:r w:rsidR="00C17EE7">
        <w:t xml:space="preserve"> form</w:t>
      </w:r>
      <w:r w:rsidR="001B4A66" w:rsidRPr="009A4982">
        <w:t xml:space="preserve"> </w:t>
      </w:r>
      <w:r w:rsidR="001B4A66" w:rsidRPr="00E70C71">
        <w:rPr>
          <w:b/>
        </w:rPr>
        <w:t>(</w:t>
      </w:r>
      <w:r w:rsidR="001B4A66" w:rsidRPr="009A4982">
        <w:rPr>
          <w:b/>
        </w:rPr>
        <w:t xml:space="preserve">Attachment </w:t>
      </w:r>
      <w:r w:rsidR="00AB40B0">
        <w:rPr>
          <w:b/>
        </w:rPr>
        <w:t>1</w:t>
      </w:r>
      <w:r w:rsidR="001B4A66" w:rsidRPr="009A4982">
        <w:t xml:space="preserve">). </w:t>
      </w:r>
      <w:r w:rsidR="00ED3A5B">
        <w:t xml:space="preserve">The wording of these forms </w:t>
      </w:r>
      <w:r w:rsidR="00ED3A5B" w:rsidRPr="00C36986">
        <w:rPr>
          <w:color w:val="000000" w:themeColor="text1"/>
        </w:rPr>
        <w:t>has been reviewed and approved by the CDC IRB (</w:t>
      </w:r>
      <w:r w:rsidR="00AB40B0">
        <w:rPr>
          <w:b/>
          <w:color w:val="000000" w:themeColor="text1"/>
        </w:rPr>
        <w:t>Attachment 3</w:t>
      </w:r>
      <w:r w:rsidR="00ED3A5B" w:rsidRPr="00C36986">
        <w:rPr>
          <w:color w:val="000000" w:themeColor="text1"/>
        </w:rPr>
        <w:t>).</w:t>
      </w:r>
      <w:r w:rsidR="00681610">
        <w:rPr>
          <w:color w:val="000000" w:themeColor="text1"/>
        </w:rPr>
        <w:t xml:space="preserve"> </w:t>
      </w:r>
      <w:r w:rsidR="00681610">
        <w:t xml:space="preserve">CDC IRB protocol approval was received </w:t>
      </w:r>
      <w:r w:rsidR="00AB40B0">
        <w:t>April 4, 2019</w:t>
      </w:r>
      <w:r w:rsidR="00681610">
        <w:t>.</w:t>
      </w:r>
    </w:p>
    <w:p w14:paraId="143F1395" w14:textId="57092227" w:rsidR="00FE505B" w:rsidRDefault="001B4A66" w:rsidP="00C06875">
      <w:pPr>
        <w:spacing w:before="120" w:after="120"/>
        <w:mirrorIndents/>
      </w:pPr>
      <w:r w:rsidRPr="001319BD">
        <w:t>We will use</w:t>
      </w:r>
      <w:r w:rsidR="005B016B">
        <w:t xml:space="preserve"> two</w:t>
      </w:r>
      <w:r w:rsidRPr="001319BD">
        <w:t xml:space="preserve"> </w:t>
      </w:r>
      <w:r w:rsidR="00DD1B1B">
        <w:t xml:space="preserve">semi-structured </w:t>
      </w:r>
      <w:r w:rsidRPr="001319BD">
        <w:t xml:space="preserve">qualitative </w:t>
      </w:r>
      <w:r w:rsidR="00150BF0">
        <w:t>interview guides</w:t>
      </w:r>
      <w:r w:rsidRPr="001319BD">
        <w:t xml:space="preserve"> to collect information for this </w:t>
      </w:r>
      <w:r w:rsidR="00C06875">
        <w:t>assessment</w:t>
      </w:r>
      <w:r w:rsidR="00FE505B">
        <w:t xml:space="preserve">, one for </w:t>
      </w:r>
      <w:r w:rsidR="00C06875">
        <w:t>SSuN site staff</w:t>
      </w:r>
      <w:r w:rsidR="00C24A59">
        <w:t xml:space="preserve">, and the other for </w:t>
      </w:r>
      <w:r w:rsidR="00C06875">
        <w:t>SSuN site supervisors</w:t>
      </w:r>
      <w:r w:rsidR="000E1128" w:rsidRPr="009A4982">
        <w:t xml:space="preserve"> (</w:t>
      </w:r>
      <w:r w:rsidR="009A4982" w:rsidRPr="009A4982">
        <w:rPr>
          <w:b/>
        </w:rPr>
        <w:t xml:space="preserve">Attachments </w:t>
      </w:r>
      <w:r w:rsidR="00C06875">
        <w:rPr>
          <w:b/>
        </w:rPr>
        <w:t>2a-b</w:t>
      </w:r>
      <w:r w:rsidR="000E1128" w:rsidRPr="00E70C71">
        <w:rPr>
          <w:b/>
        </w:rPr>
        <w:t>)</w:t>
      </w:r>
      <w:r w:rsidRPr="009A4982">
        <w:t>.</w:t>
      </w:r>
      <w:r w:rsidR="000E1128" w:rsidRPr="009A4982">
        <w:t xml:space="preserve"> </w:t>
      </w:r>
      <w:r w:rsidR="00150BF0">
        <w:t>Both types of i</w:t>
      </w:r>
      <w:r w:rsidR="000E1128" w:rsidRPr="00F42159">
        <w:t xml:space="preserve">nterviews include </w:t>
      </w:r>
      <w:r w:rsidR="00FE505B">
        <w:t>open-ended questions</w:t>
      </w:r>
      <w:r w:rsidR="000E1128" w:rsidRPr="00F42159">
        <w:t xml:space="preserve">. </w:t>
      </w:r>
      <w:r w:rsidR="00F42159">
        <w:t>For</w:t>
      </w:r>
      <w:r w:rsidR="00FE505B">
        <w:t xml:space="preserve"> the</w:t>
      </w:r>
      <w:r w:rsidR="00F42159">
        <w:t xml:space="preserve"> </w:t>
      </w:r>
      <w:r w:rsidR="00C06875">
        <w:t>participants</w:t>
      </w:r>
      <w:r w:rsidR="00F42159" w:rsidRPr="00F42159">
        <w:t>, t</w:t>
      </w:r>
      <w:r w:rsidR="00F72954" w:rsidRPr="00F42159">
        <w:t xml:space="preserve">he </w:t>
      </w:r>
      <w:bookmarkStart w:id="3" w:name="_Toc448296074"/>
      <w:r w:rsidR="00FE505B">
        <w:t xml:space="preserve">interview guide </w:t>
      </w:r>
      <w:r w:rsidR="00FE505B">
        <w:rPr>
          <w:bCs/>
        </w:rPr>
        <w:t xml:space="preserve">begins with a series of </w:t>
      </w:r>
      <w:r w:rsidR="00C06875">
        <w:rPr>
          <w:bCs/>
        </w:rPr>
        <w:t xml:space="preserve">open-ended questions </w:t>
      </w:r>
      <w:r w:rsidR="00FE505B">
        <w:rPr>
          <w:bCs/>
        </w:rPr>
        <w:t xml:space="preserve">that elicit descriptive characteristics of the respondent, including the role they have within the </w:t>
      </w:r>
      <w:r w:rsidR="00C06875">
        <w:rPr>
          <w:bCs/>
        </w:rPr>
        <w:t>SSuN site</w:t>
      </w:r>
      <w:r w:rsidR="00FE505B">
        <w:rPr>
          <w:bCs/>
        </w:rPr>
        <w:t xml:space="preserve"> (</w:t>
      </w:r>
      <w:r w:rsidR="00FE505B" w:rsidRPr="00FE505B">
        <w:rPr>
          <w:b/>
          <w:bCs/>
        </w:rPr>
        <w:t xml:space="preserve">Attachment </w:t>
      </w:r>
      <w:r w:rsidR="00C06875">
        <w:rPr>
          <w:b/>
          <w:bCs/>
        </w:rPr>
        <w:t>2a-2b</w:t>
      </w:r>
      <w:r w:rsidR="00FE505B">
        <w:rPr>
          <w:bCs/>
        </w:rPr>
        <w:t>).  In addition</w:t>
      </w:r>
      <w:r w:rsidR="00C06875" w:rsidRPr="00C06875">
        <w:t xml:space="preserve"> </w:t>
      </w:r>
      <w:r w:rsidR="00C06875">
        <w:rPr>
          <w:bCs/>
        </w:rPr>
        <w:t>staff</w:t>
      </w:r>
      <w:r w:rsidR="00C06875" w:rsidRPr="00C06875">
        <w:rPr>
          <w:bCs/>
        </w:rPr>
        <w:t xml:space="preserve"> will be interviewed regarding their job background related to GC case interviewing, interviewing procedures and processes, and the context of the community where GC case interviews are conducted.  Interview questions will examine staff characteristics (i.e., training, job background, and responsibilities), attitudes and perceptions towards interviewing, interview processes and procedures, and community context (e.g., health department reputation, over-sampling). </w:t>
      </w:r>
    </w:p>
    <w:p w14:paraId="052AC805" w14:textId="206D0968" w:rsidR="00F72954" w:rsidRDefault="00F72954" w:rsidP="00F95454">
      <w:pPr>
        <w:spacing w:before="120" w:after="120"/>
        <w:mirrorIndents/>
      </w:pPr>
      <w:r w:rsidRPr="008B7B1C">
        <w:t>Key variables</w:t>
      </w:r>
      <w:r w:rsidR="008B7B1C" w:rsidRPr="008B7B1C">
        <w:t xml:space="preserve"> to be explored through the </w:t>
      </w:r>
      <w:r w:rsidRPr="008B7B1C">
        <w:t xml:space="preserve">participant interviews are described in Exhibit </w:t>
      </w:r>
      <w:r w:rsidR="00C91C02" w:rsidRPr="008B7B1C">
        <w:t>2.1</w:t>
      </w:r>
      <w:r w:rsidRPr="008B7B1C">
        <w:t xml:space="preserve"> below. All data collection</w:t>
      </w:r>
      <w:r w:rsidRPr="00F42159">
        <w:t xml:space="preserve"> instruments have been approved by </w:t>
      </w:r>
      <w:r w:rsidRPr="009A4982">
        <w:t xml:space="preserve">the </w:t>
      </w:r>
      <w:r w:rsidR="00F42159" w:rsidRPr="009A4982">
        <w:t>CDC</w:t>
      </w:r>
      <w:r w:rsidRPr="009A4982">
        <w:t xml:space="preserve"> IRB</w:t>
      </w:r>
      <w:r w:rsidRPr="00316981">
        <w:rPr>
          <w:b/>
        </w:rPr>
        <w:t xml:space="preserve"> (Attachment </w:t>
      </w:r>
      <w:r w:rsidR="00C06875">
        <w:rPr>
          <w:b/>
        </w:rPr>
        <w:t>3</w:t>
      </w:r>
      <w:r w:rsidRPr="00316981">
        <w:rPr>
          <w:b/>
        </w:rPr>
        <w:t>)</w:t>
      </w:r>
      <w:r w:rsidRPr="00316981">
        <w:t>.</w:t>
      </w:r>
    </w:p>
    <w:p w14:paraId="24B744D8" w14:textId="77777777" w:rsidR="00412543" w:rsidRDefault="00412543">
      <w:pPr>
        <w:spacing w:after="200" w:line="276" w:lineRule="auto"/>
        <w:rPr>
          <w:b/>
          <w:bCs/>
          <w:sz w:val="20"/>
          <w:szCs w:val="20"/>
        </w:rPr>
      </w:pPr>
      <w:bookmarkStart w:id="4" w:name="_Toc449541622"/>
      <w:r>
        <w:br w:type="page"/>
      </w:r>
    </w:p>
    <w:p w14:paraId="1A7585C2" w14:textId="2295C5CB" w:rsidR="00F72954" w:rsidRPr="009B396D" w:rsidRDefault="00C91C02" w:rsidP="00973A03">
      <w:pPr>
        <w:pStyle w:val="Caption"/>
        <w:mirrorIndents/>
        <w:rPr>
          <w:sz w:val="24"/>
          <w:szCs w:val="24"/>
        </w:rPr>
      </w:pPr>
      <w:r w:rsidRPr="009B396D">
        <w:rPr>
          <w:sz w:val="24"/>
          <w:szCs w:val="24"/>
        </w:rPr>
        <w:t>Exhibit</w:t>
      </w:r>
      <w:r w:rsidR="009B396D">
        <w:rPr>
          <w:sz w:val="24"/>
          <w:szCs w:val="24"/>
        </w:rPr>
        <w:t xml:space="preserve"> 2</w:t>
      </w:r>
      <w:r w:rsidRPr="009B396D">
        <w:rPr>
          <w:sz w:val="24"/>
          <w:szCs w:val="24"/>
        </w:rPr>
        <w:t>.</w:t>
      </w:r>
      <w:r w:rsidR="003962DF" w:rsidRPr="009B396D">
        <w:rPr>
          <w:sz w:val="24"/>
          <w:szCs w:val="24"/>
        </w:rPr>
        <w:fldChar w:fldCharType="begin"/>
      </w:r>
      <w:r w:rsidR="003962DF" w:rsidRPr="009B396D">
        <w:rPr>
          <w:sz w:val="24"/>
          <w:szCs w:val="24"/>
        </w:rPr>
        <w:instrText xml:space="preserve"> SEQ Exhibit \* ARABIC \s 1 </w:instrText>
      </w:r>
      <w:r w:rsidR="003962DF" w:rsidRPr="009B396D">
        <w:rPr>
          <w:sz w:val="24"/>
          <w:szCs w:val="24"/>
        </w:rPr>
        <w:fldChar w:fldCharType="separate"/>
      </w:r>
      <w:r w:rsidR="00CC297C">
        <w:rPr>
          <w:noProof/>
          <w:sz w:val="24"/>
          <w:szCs w:val="24"/>
        </w:rPr>
        <w:t>1</w:t>
      </w:r>
      <w:r w:rsidR="003962DF" w:rsidRPr="009B396D">
        <w:rPr>
          <w:noProof/>
          <w:sz w:val="24"/>
          <w:szCs w:val="24"/>
        </w:rPr>
        <w:fldChar w:fldCharType="end"/>
      </w:r>
      <w:r w:rsidRPr="009B396D">
        <w:rPr>
          <w:sz w:val="24"/>
          <w:szCs w:val="24"/>
        </w:rPr>
        <w:t>: Overview of Key Variables</w:t>
      </w:r>
      <w:bookmarkEnd w:id="4"/>
    </w:p>
    <w:tbl>
      <w:tblPr>
        <w:tblStyle w:val="TableGrid"/>
        <w:tblW w:w="10620" w:type="dxa"/>
        <w:tblInd w:w="-275" w:type="dxa"/>
        <w:tblLook w:val="04A0" w:firstRow="1" w:lastRow="0" w:firstColumn="1" w:lastColumn="0" w:noHBand="0" w:noVBand="1"/>
      </w:tblPr>
      <w:tblGrid>
        <w:gridCol w:w="5310"/>
        <w:gridCol w:w="5310"/>
      </w:tblGrid>
      <w:tr w:rsidR="00F72954" w:rsidRPr="00973A03" w14:paraId="174053D7" w14:textId="2EB751E6" w:rsidTr="003E5DBD">
        <w:tc>
          <w:tcPr>
            <w:tcW w:w="5310" w:type="dxa"/>
          </w:tcPr>
          <w:p w14:paraId="32C8A612" w14:textId="4D30EF69" w:rsidR="00F72954" w:rsidRPr="00973A03" w:rsidRDefault="00BB0F3A" w:rsidP="00C06875">
            <w:pPr>
              <w:pStyle w:val="ListParagraph"/>
              <w:spacing w:after="0" w:line="240" w:lineRule="auto"/>
              <w:ind w:left="360"/>
              <w:contextualSpacing w:val="0"/>
              <w:mirrorIndents/>
              <w:jc w:val="center"/>
              <w:rPr>
                <w:rFonts w:ascii="Times New Roman" w:hAnsi="Times New Roman"/>
                <w:b/>
                <w:sz w:val="20"/>
                <w:szCs w:val="20"/>
              </w:rPr>
            </w:pPr>
            <w:r w:rsidRPr="00973A03">
              <w:rPr>
                <w:rFonts w:ascii="Times New Roman" w:hAnsi="Times New Roman"/>
                <w:b/>
                <w:sz w:val="20"/>
                <w:szCs w:val="20"/>
                <w:lang w:val="en-US"/>
              </w:rPr>
              <w:t>Staff</w:t>
            </w:r>
            <w:r w:rsidRPr="00973A03">
              <w:rPr>
                <w:rFonts w:ascii="Times New Roman" w:hAnsi="Times New Roman"/>
                <w:b/>
                <w:sz w:val="20"/>
                <w:szCs w:val="20"/>
              </w:rPr>
              <w:t xml:space="preserve"> (Att</w:t>
            </w:r>
            <w:r w:rsidR="009C5D88" w:rsidRPr="00973A03">
              <w:rPr>
                <w:rFonts w:ascii="Times New Roman" w:hAnsi="Times New Roman"/>
                <w:b/>
                <w:sz w:val="20"/>
                <w:szCs w:val="20"/>
                <w:lang w:val="en-US"/>
              </w:rPr>
              <w:t>.</w:t>
            </w:r>
            <w:r w:rsidRPr="00973A03">
              <w:rPr>
                <w:rFonts w:ascii="Times New Roman" w:hAnsi="Times New Roman"/>
                <w:b/>
                <w:sz w:val="20"/>
                <w:szCs w:val="20"/>
              </w:rPr>
              <w:t xml:space="preserve"> </w:t>
            </w:r>
            <w:r w:rsidR="00C06875">
              <w:rPr>
                <w:rFonts w:ascii="Times New Roman" w:hAnsi="Times New Roman"/>
                <w:b/>
                <w:sz w:val="20"/>
                <w:szCs w:val="20"/>
                <w:lang w:val="en-US"/>
              </w:rPr>
              <w:t>2a</w:t>
            </w:r>
            <w:r w:rsidR="00F72954" w:rsidRPr="00973A03">
              <w:rPr>
                <w:rFonts w:ascii="Times New Roman" w:hAnsi="Times New Roman"/>
                <w:b/>
                <w:sz w:val="20"/>
                <w:szCs w:val="20"/>
              </w:rPr>
              <w:t>)</w:t>
            </w:r>
          </w:p>
        </w:tc>
        <w:tc>
          <w:tcPr>
            <w:tcW w:w="5310" w:type="dxa"/>
          </w:tcPr>
          <w:p w14:paraId="5697C3D3" w14:textId="5E645676" w:rsidR="00F72954" w:rsidRPr="00973A03" w:rsidRDefault="00C06875" w:rsidP="00C06875">
            <w:pPr>
              <w:mirrorIndents/>
              <w:jc w:val="center"/>
              <w:rPr>
                <w:b/>
                <w:sz w:val="20"/>
                <w:szCs w:val="20"/>
              </w:rPr>
            </w:pPr>
            <w:r>
              <w:rPr>
                <w:b/>
                <w:sz w:val="20"/>
                <w:szCs w:val="20"/>
              </w:rPr>
              <w:t>Supervisors</w:t>
            </w:r>
            <w:r w:rsidR="002368E4" w:rsidRPr="00973A03">
              <w:rPr>
                <w:b/>
                <w:sz w:val="20"/>
                <w:szCs w:val="20"/>
              </w:rPr>
              <w:t xml:space="preserve"> </w:t>
            </w:r>
            <w:r w:rsidR="00BB0F3A" w:rsidRPr="00973A03">
              <w:rPr>
                <w:b/>
                <w:sz w:val="20"/>
                <w:szCs w:val="20"/>
              </w:rPr>
              <w:t>(Att</w:t>
            </w:r>
            <w:r w:rsidR="009C5D88" w:rsidRPr="00973A03">
              <w:rPr>
                <w:b/>
                <w:sz w:val="20"/>
                <w:szCs w:val="20"/>
              </w:rPr>
              <w:t>.</w:t>
            </w:r>
            <w:r w:rsidR="00BB0F3A" w:rsidRPr="00973A03">
              <w:rPr>
                <w:b/>
                <w:sz w:val="20"/>
                <w:szCs w:val="20"/>
              </w:rPr>
              <w:t xml:space="preserve"> </w:t>
            </w:r>
            <w:r>
              <w:rPr>
                <w:b/>
                <w:sz w:val="20"/>
                <w:szCs w:val="20"/>
              </w:rPr>
              <w:t>2</w:t>
            </w:r>
            <w:r w:rsidR="00CF3EE1">
              <w:rPr>
                <w:b/>
                <w:sz w:val="20"/>
                <w:szCs w:val="20"/>
              </w:rPr>
              <w:t>b</w:t>
            </w:r>
            <w:r w:rsidR="00F72954" w:rsidRPr="00973A03">
              <w:rPr>
                <w:b/>
                <w:sz w:val="20"/>
                <w:szCs w:val="20"/>
              </w:rPr>
              <w:t>)</w:t>
            </w:r>
          </w:p>
        </w:tc>
      </w:tr>
      <w:tr w:rsidR="00F72954" w:rsidRPr="00973A03" w14:paraId="5097009E" w14:textId="5F849DB8" w:rsidTr="003E5DBD">
        <w:tc>
          <w:tcPr>
            <w:tcW w:w="5310" w:type="dxa"/>
          </w:tcPr>
          <w:p w14:paraId="26CEAAFB" w14:textId="243B4269" w:rsidR="00CF3EE1"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w:t>
            </w:r>
            <w:r w:rsidR="00C06875">
              <w:rPr>
                <w:rFonts w:ascii="Times New Roman" w:hAnsi="Times New Roman"/>
                <w:sz w:val="24"/>
                <w:szCs w:val="24"/>
                <w:lang w:val="en-US"/>
              </w:rPr>
              <w:t>role at health department (SSuN site)</w:t>
            </w:r>
          </w:p>
          <w:p w14:paraId="6BBE054F" w14:textId="5E6D159F" w:rsidR="00C06875" w:rsidRPr="00DE7C7E" w:rsidRDefault="00C06875" w:rsidP="00C06875">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bCs/>
                <w:sz w:val="24"/>
                <w:szCs w:val="24"/>
                <w:lang w:val="en-US"/>
              </w:rPr>
              <w:t>Staff training related to GC case interviewing</w:t>
            </w:r>
          </w:p>
          <w:p w14:paraId="19E36681" w14:textId="306E69C0" w:rsidR="00DE7C7E" w:rsidRPr="00C06875" w:rsidRDefault="00DE7C7E" w:rsidP="00C06875">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bCs/>
                <w:sz w:val="24"/>
                <w:szCs w:val="24"/>
                <w:lang w:val="en-US"/>
              </w:rPr>
              <w:t>Health department procedures for interviewing a GC case</w:t>
            </w:r>
          </w:p>
          <w:p w14:paraId="386C54D8" w14:textId="37ACC230" w:rsidR="00743F22" w:rsidRPr="009B396D" w:rsidRDefault="00C06875"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sz w:val="24"/>
                <w:szCs w:val="24"/>
                <w:lang w:val="en-US"/>
              </w:rPr>
              <w:t>Staff process for interviewing a GC case</w:t>
            </w:r>
          </w:p>
          <w:p w14:paraId="5EB8F1BF" w14:textId="50D3BEF6" w:rsidR="00743F22"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w:t>
            </w:r>
            <w:r w:rsidR="00C06875">
              <w:rPr>
                <w:rFonts w:ascii="Times New Roman" w:hAnsi="Times New Roman"/>
                <w:sz w:val="24"/>
                <w:szCs w:val="24"/>
                <w:lang w:val="en-US"/>
              </w:rPr>
              <w:t>what facilitates or hinders GC case interview completion</w:t>
            </w:r>
          </w:p>
          <w:p w14:paraId="1D05071B" w14:textId="719791B6" w:rsidR="00743F22" w:rsidRPr="009B396D" w:rsidRDefault="00CF3EE1" w:rsidP="00973A03">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w:t>
            </w:r>
            <w:r w:rsidR="00DE7C7E">
              <w:rPr>
                <w:rFonts w:ascii="Times New Roman" w:hAnsi="Times New Roman"/>
                <w:sz w:val="24"/>
                <w:szCs w:val="24"/>
                <w:lang w:val="en-US"/>
              </w:rPr>
              <w:t xml:space="preserve">attitudes and </w:t>
            </w:r>
            <w:r w:rsidRPr="009B396D">
              <w:rPr>
                <w:rFonts w:ascii="Times New Roman" w:hAnsi="Times New Roman"/>
                <w:sz w:val="24"/>
                <w:szCs w:val="24"/>
                <w:lang w:val="en-US"/>
              </w:rPr>
              <w:t xml:space="preserve">perspectives </w:t>
            </w:r>
            <w:r w:rsidR="00DE7C7E">
              <w:rPr>
                <w:rFonts w:ascii="Times New Roman" w:hAnsi="Times New Roman"/>
                <w:sz w:val="24"/>
                <w:szCs w:val="24"/>
                <w:lang w:val="en-US"/>
              </w:rPr>
              <w:t>towards GC case interviewing</w:t>
            </w:r>
          </w:p>
          <w:p w14:paraId="48DAB482" w14:textId="4919E986" w:rsidR="00BB0F3A" w:rsidRPr="003E5DBD" w:rsidRDefault="00CF3EE1" w:rsidP="003E5DBD">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9B396D">
              <w:rPr>
                <w:rFonts w:ascii="Times New Roman" w:hAnsi="Times New Roman"/>
                <w:sz w:val="24"/>
                <w:szCs w:val="24"/>
                <w:lang w:val="en-US"/>
              </w:rPr>
              <w:t xml:space="preserve">Staff perspectives on </w:t>
            </w:r>
            <w:r w:rsidR="00DE7C7E">
              <w:rPr>
                <w:rFonts w:ascii="Times New Roman" w:hAnsi="Times New Roman"/>
                <w:sz w:val="24"/>
                <w:szCs w:val="24"/>
                <w:lang w:val="en-US"/>
              </w:rPr>
              <w:t>the community context surrounding GC case interviewing</w:t>
            </w:r>
          </w:p>
        </w:tc>
        <w:tc>
          <w:tcPr>
            <w:tcW w:w="5310" w:type="dxa"/>
          </w:tcPr>
          <w:p w14:paraId="4DEB84FC" w14:textId="627F7575" w:rsidR="00DE7C7E" w:rsidRPr="009B396D" w:rsidRDefault="00DE7C7E"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sz w:val="24"/>
                <w:szCs w:val="24"/>
                <w:lang w:val="en-US"/>
              </w:rPr>
              <w:t>Supervisor role at health department (SSuN site)</w:t>
            </w:r>
          </w:p>
          <w:p w14:paraId="6D9E3D68" w14:textId="156ECEFA" w:rsidR="00DE7C7E" w:rsidRPr="00DE7C7E" w:rsidRDefault="00DE7C7E"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bCs/>
                <w:sz w:val="24"/>
                <w:szCs w:val="24"/>
                <w:lang w:val="en-US"/>
              </w:rPr>
              <w:t>Staff training related to GC case interviewing</w:t>
            </w:r>
          </w:p>
          <w:p w14:paraId="4544814E" w14:textId="23AE37C5" w:rsidR="00DE7C7E" w:rsidRPr="00DE7C7E" w:rsidRDefault="00DE7C7E"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DE7C7E">
              <w:rPr>
                <w:rFonts w:ascii="Times New Roman" w:hAnsi="Times New Roman"/>
                <w:bCs/>
                <w:sz w:val="24"/>
                <w:szCs w:val="24"/>
              </w:rPr>
              <w:t>Health department procedures for interviewing a GC case</w:t>
            </w:r>
          </w:p>
          <w:p w14:paraId="087F07E9" w14:textId="7EEC8408" w:rsidR="00DE7C7E" w:rsidRPr="009B396D" w:rsidRDefault="003E5DBD"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sz w:val="24"/>
                <w:szCs w:val="24"/>
                <w:lang w:val="en-US"/>
              </w:rPr>
              <w:t>Supervisor perspective</w:t>
            </w:r>
            <w:r w:rsidR="00DE7C7E">
              <w:rPr>
                <w:rFonts w:ascii="Times New Roman" w:hAnsi="Times New Roman"/>
                <w:sz w:val="24"/>
                <w:szCs w:val="24"/>
                <w:lang w:val="en-US"/>
              </w:rPr>
              <w:t xml:space="preserve"> of staff process for interviewing a GC case</w:t>
            </w:r>
          </w:p>
          <w:p w14:paraId="0C5F28E6" w14:textId="5D5B12BA" w:rsidR="00DE7C7E" w:rsidRPr="009B396D" w:rsidRDefault="003E5DBD"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sz w:val="24"/>
                <w:szCs w:val="24"/>
                <w:lang w:val="en-US"/>
              </w:rPr>
              <w:t xml:space="preserve">Supervisor </w:t>
            </w:r>
            <w:r w:rsidR="00DE7C7E" w:rsidRPr="009B396D">
              <w:rPr>
                <w:rFonts w:ascii="Times New Roman" w:hAnsi="Times New Roman"/>
                <w:sz w:val="24"/>
                <w:szCs w:val="24"/>
                <w:lang w:val="en-US"/>
              </w:rPr>
              <w:t xml:space="preserve">perspectives on </w:t>
            </w:r>
            <w:r w:rsidR="00DE7C7E">
              <w:rPr>
                <w:rFonts w:ascii="Times New Roman" w:hAnsi="Times New Roman"/>
                <w:sz w:val="24"/>
                <w:szCs w:val="24"/>
                <w:lang w:val="en-US"/>
              </w:rPr>
              <w:t>what facilitates or hinders GC case interview completion</w:t>
            </w:r>
          </w:p>
          <w:p w14:paraId="39B0BC52" w14:textId="44E06C22" w:rsidR="00DE7C7E" w:rsidRPr="009B396D" w:rsidRDefault="003E5DBD"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sz w:val="24"/>
                <w:szCs w:val="24"/>
                <w:lang w:val="en-US"/>
              </w:rPr>
              <w:t>Supervisor</w:t>
            </w:r>
            <w:r w:rsidR="00DE7C7E" w:rsidRPr="009B396D">
              <w:rPr>
                <w:rFonts w:ascii="Times New Roman" w:hAnsi="Times New Roman"/>
                <w:sz w:val="24"/>
                <w:szCs w:val="24"/>
                <w:lang w:val="en-US"/>
              </w:rPr>
              <w:t xml:space="preserve"> </w:t>
            </w:r>
            <w:r w:rsidR="00DE7C7E">
              <w:rPr>
                <w:rFonts w:ascii="Times New Roman" w:hAnsi="Times New Roman"/>
                <w:sz w:val="24"/>
                <w:szCs w:val="24"/>
                <w:lang w:val="en-US"/>
              </w:rPr>
              <w:t xml:space="preserve">attitudes and </w:t>
            </w:r>
            <w:r w:rsidR="00DE7C7E" w:rsidRPr="009B396D">
              <w:rPr>
                <w:rFonts w:ascii="Times New Roman" w:hAnsi="Times New Roman"/>
                <w:sz w:val="24"/>
                <w:szCs w:val="24"/>
                <w:lang w:val="en-US"/>
              </w:rPr>
              <w:t xml:space="preserve">perspectives </w:t>
            </w:r>
            <w:r w:rsidR="00DE7C7E">
              <w:rPr>
                <w:rFonts w:ascii="Times New Roman" w:hAnsi="Times New Roman"/>
                <w:sz w:val="24"/>
                <w:szCs w:val="24"/>
                <w:lang w:val="en-US"/>
              </w:rPr>
              <w:t>towards GC case interviewing</w:t>
            </w:r>
            <w:r>
              <w:rPr>
                <w:rFonts w:ascii="Times New Roman" w:hAnsi="Times New Roman"/>
                <w:sz w:val="24"/>
                <w:szCs w:val="24"/>
                <w:lang w:val="en-US"/>
              </w:rPr>
              <w:t xml:space="preserve"> and perspective of staff attitudes</w:t>
            </w:r>
          </w:p>
          <w:p w14:paraId="4C357B8B" w14:textId="45C45AE4" w:rsidR="00DE7C7E" w:rsidRPr="009B396D" w:rsidRDefault="003E5DBD" w:rsidP="00DE7C7E">
            <w:pPr>
              <w:pStyle w:val="ListParagraph"/>
              <w:numPr>
                <w:ilvl w:val="0"/>
                <w:numId w:val="15"/>
              </w:numPr>
              <w:spacing w:after="0" w:line="240" w:lineRule="auto"/>
              <w:ind w:left="332" w:hanging="270"/>
              <w:contextualSpacing w:val="0"/>
              <w:mirrorIndents/>
              <w:rPr>
                <w:rFonts w:ascii="Times New Roman" w:hAnsi="Times New Roman"/>
                <w:sz w:val="24"/>
                <w:szCs w:val="24"/>
              </w:rPr>
            </w:pPr>
            <w:r>
              <w:rPr>
                <w:rFonts w:ascii="Times New Roman" w:hAnsi="Times New Roman"/>
                <w:sz w:val="24"/>
                <w:szCs w:val="24"/>
                <w:lang w:val="en-US"/>
              </w:rPr>
              <w:t xml:space="preserve">Supervisor </w:t>
            </w:r>
            <w:r w:rsidR="00DE7C7E" w:rsidRPr="009B396D">
              <w:rPr>
                <w:rFonts w:ascii="Times New Roman" w:hAnsi="Times New Roman"/>
                <w:sz w:val="24"/>
                <w:szCs w:val="24"/>
                <w:lang w:val="en-US"/>
              </w:rPr>
              <w:t xml:space="preserve">perspectives on </w:t>
            </w:r>
            <w:r w:rsidR="00DE7C7E">
              <w:rPr>
                <w:rFonts w:ascii="Times New Roman" w:hAnsi="Times New Roman"/>
                <w:sz w:val="24"/>
                <w:szCs w:val="24"/>
                <w:lang w:val="en-US"/>
              </w:rPr>
              <w:t>the community context surrounding GC case interviewing</w:t>
            </w:r>
          </w:p>
          <w:p w14:paraId="5DA9A7CB" w14:textId="13474675" w:rsidR="00F72954" w:rsidRPr="00973A03" w:rsidRDefault="00F72954" w:rsidP="003E5DBD">
            <w:pPr>
              <w:pStyle w:val="ListParagraph"/>
              <w:spacing w:after="0" w:line="240" w:lineRule="auto"/>
              <w:ind w:left="314"/>
              <w:contextualSpacing w:val="0"/>
              <w:mirrorIndents/>
              <w:rPr>
                <w:sz w:val="20"/>
                <w:szCs w:val="20"/>
              </w:rPr>
            </w:pPr>
          </w:p>
        </w:tc>
      </w:tr>
    </w:tbl>
    <w:p w14:paraId="32E4AA00" w14:textId="77777777" w:rsidR="00F72954" w:rsidRDefault="00F72954" w:rsidP="00F95454">
      <w:pPr>
        <w:spacing w:before="120" w:after="120"/>
        <w:mirrorIndents/>
      </w:pPr>
    </w:p>
    <w:p w14:paraId="607EBA2E" w14:textId="650FCE14" w:rsidR="00CC6AB1" w:rsidRDefault="00CC6AB1" w:rsidP="00F95454">
      <w:pPr>
        <w:pStyle w:val="Heading1"/>
        <w:spacing w:before="120" w:after="120"/>
        <w:mirrorIndents/>
      </w:pPr>
      <w:r w:rsidRPr="00B12EA3">
        <w:t>Use of Improved Information Technology and Burden Reduction</w:t>
      </w:r>
      <w:bookmarkEnd w:id="3"/>
    </w:p>
    <w:p w14:paraId="54CD4506" w14:textId="095A5961" w:rsidR="00E06F4F" w:rsidRDefault="00B10353" w:rsidP="00F95454">
      <w:pPr>
        <w:spacing w:before="120" w:after="120"/>
        <w:mirrorIndents/>
      </w:pPr>
      <w:r>
        <w:t>The DSTDP team</w:t>
      </w:r>
      <w:r w:rsidR="002F4995">
        <w:t xml:space="preserve"> </w:t>
      </w:r>
      <w:r w:rsidR="00933271" w:rsidRPr="00F42159">
        <w:t xml:space="preserve">will conduct individual </w:t>
      </w:r>
      <w:r w:rsidR="00200B70">
        <w:t>IDIs</w:t>
      </w:r>
      <w:r w:rsidR="00933271" w:rsidRPr="00F42159">
        <w:t xml:space="preserve"> </w:t>
      </w:r>
      <w:r>
        <w:t>in person at each participating SSuN site</w:t>
      </w:r>
      <w:r w:rsidR="00933271" w:rsidRPr="00F42159">
        <w:t xml:space="preserve">. Telephone interviews or visual remote interviews (such as web or Skype interviews) are not a good vehicle for developing the necessary rapport between interviewer and </w:t>
      </w:r>
      <w:r w:rsidR="00591E48">
        <w:t xml:space="preserve">client </w:t>
      </w:r>
      <w:r w:rsidR="003C10A5">
        <w:t>participant</w:t>
      </w:r>
      <w:r w:rsidR="00933271" w:rsidRPr="00F42159">
        <w:t xml:space="preserve"> for a successful qualitative interview. Body language and facial cues are critical to understand where additional probing may be needed or should stop, and telephone or web interviews limit the interviewer’s abi</w:t>
      </w:r>
      <w:r w:rsidR="00933271" w:rsidRPr="00C5458E">
        <w:t xml:space="preserve">lity to read both. Thus, the </w:t>
      </w:r>
      <w:r>
        <w:t>DSTDP</w:t>
      </w:r>
      <w:r w:rsidR="00933271" w:rsidRPr="00C5458E">
        <w:t xml:space="preserve"> team will conduct the i</w:t>
      </w:r>
      <w:r w:rsidR="00240E62">
        <w:t>ndividual IDIs</w:t>
      </w:r>
      <w:r w:rsidR="00933271" w:rsidRPr="00C5458E">
        <w:t xml:space="preserve"> in person.</w:t>
      </w:r>
      <w:r w:rsidR="00F42159" w:rsidRPr="00C5458E">
        <w:t xml:space="preserve"> </w:t>
      </w:r>
    </w:p>
    <w:p w14:paraId="11A6A2D2" w14:textId="4A1D0D66" w:rsidR="00E06F4F" w:rsidRDefault="00E06F4F" w:rsidP="00F95454">
      <w:pPr>
        <w:spacing w:before="120" w:after="120"/>
        <w:mirrorIndents/>
      </w:pPr>
      <w:r>
        <w:t xml:space="preserve">A member of the </w:t>
      </w:r>
      <w:r w:rsidR="00B10353">
        <w:t>DSTDP</w:t>
      </w:r>
      <w:r>
        <w:t xml:space="preserve"> team will invite staff to participate, either by telephone or by email. </w:t>
      </w:r>
      <w:r w:rsidR="00AD7976">
        <w:t xml:space="preserve">No staff screening tool is needed with potential staff respondents because they will be invited based on their job roles within the </w:t>
      </w:r>
      <w:r w:rsidR="00B10353">
        <w:t>SSuN site</w:t>
      </w:r>
      <w:r w:rsidR="00AD7976">
        <w:t xml:space="preserve"> (for example, </w:t>
      </w:r>
      <w:r w:rsidR="00B10353">
        <w:t xml:space="preserve">staff </w:t>
      </w:r>
      <w:r w:rsidR="00B10353" w:rsidRPr="00B10353">
        <w:t xml:space="preserve">responsible for completing GC case interviewing </w:t>
      </w:r>
      <w:r w:rsidR="00B10353">
        <w:t>or</w:t>
      </w:r>
      <w:r w:rsidR="00B10353" w:rsidRPr="00B10353">
        <w:t xml:space="preserve"> supervising or overseeing GC case interviewing</w:t>
      </w:r>
      <w:r w:rsidR="00AD7976">
        <w:t xml:space="preserve">). </w:t>
      </w:r>
      <w:r>
        <w:t xml:space="preserve">When possible, the </w:t>
      </w:r>
      <w:r w:rsidR="00B10353">
        <w:t xml:space="preserve">DSTDP </w:t>
      </w:r>
      <w:r>
        <w:t>team will conduct face-to-face interviews with the staff participants. However, this may not always be possible because of busy work schedules for the staff. In those situations, some program staff may be conducted by phone instead of face-to-face.</w:t>
      </w:r>
    </w:p>
    <w:p w14:paraId="6A8EFB70" w14:textId="244DDD51" w:rsidR="006775DC" w:rsidRDefault="00B10353" w:rsidP="00F95454">
      <w:pPr>
        <w:spacing w:before="120" w:after="120"/>
        <w:mirrorIndents/>
      </w:pPr>
      <w:r>
        <w:t>Participating staff</w:t>
      </w:r>
      <w:r w:rsidR="00E06F4F">
        <w:t xml:space="preserve"> will all be asked to provide a signed consent form prior to doing the interview (</w:t>
      </w:r>
      <w:r w:rsidR="00E06F4F" w:rsidRPr="00B64D28">
        <w:rPr>
          <w:b/>
        </w:rPr>
        <w:t xml:space="preserve">Attachment </w:t>
      </w:r>
      <w:r>
        <w:rPr>
          <w:b/>
        </w:rPr>
        <w:t>1</w:t>
      </w:r>
      <w:r w:rsidR="00E06F4F">
        <w:t xml:space="preserve">). </w:t>
      </w:r>
      <w:r w:rsidR="00C231D2">
        <w:t>The consent form has</w:t>
      </w:r>
      <w:r w:rsidR="00E65FF8" w:rsidRPr="00F42159">
        <w:t xml:space="preserve"> been </w:t>
      </w:r>
      <w:r w:rsidR="00C231D2">
        <w:t>reviewed</w:t>
      </w:r>
      <w:r w:rsidR="00E65FF8">
        <w:t xml:space="preserve"> and </w:t>
      </w:r>
      <w:r w:rsidR="00E65FF8" w:rsidRPr="00F42159">
        <w:t xml:space="preserve">approved by </w:t>
      </w:r>
      <w:r w:rsidR="00E65FF8" w:rsidRPr="009A4982">
        <w:t>the CDC IRB</w:t>
      </w:r>
      <w:r w:rsidR="00E65FF8" w:rsidRPr="00316981">
        <w:rPr>
          <w:b/>
        </w:rPr>
        <w:t xml:space="preserve"> (Attachment </w:t>
      </w:r>
      <w:r w:rsidR="00C231D2">
        <w:rPr>
          <w:b/>
        </w:rPr>
        <w:t>3</w:t>
      </w:r>
      <w:r w:rsidR="00E65FF8" w:rsidRPr="00316981">
        <w:rPr>
          <w:b/>
        </w:rPr>
        <w:t>)</w:t>
      </w:r>
      <w:r w:rsidR="00E65FF8" w:rsidRPr="00316981">
        <w:t>.</w:t>
      </w:r>
      <w:r w:rsidR="00E65FF8">
        <w:t xml:space="preserve"> </w:t>
      </w:r>
      <w:r w:rsidR="00933271" w:rsidRPr="00C5458E">
        <w:t>After asking for and re</w:t>
      </w:r>
      <w:r w:rsidR="00674DC2">
        <w:t xml:space="preserve">ceiving </w:t>
      </w:r>
      <w:r w:rsidR="00A63A65">
        <w:t>signed consent forms</w:t>
      </w:r>
      <w:r w:rsidR="00674DC2">
        <w:t xml:space="preserve"> from the participant</w:t>
      </w:r>
      <w:r w:rsidR="00933271" w:rsidRPr="00C5458E">
        <w:t xml:space="preserve">, the contracting team will audio-record the interviews and transcribe recordings after the interview. This limits the burden on the </w:t>
      </w:r>
      <w:r w:rsidR="00C03F9D">
        <w:t>participant</w:t>
      </w:r>
      <w:r w:rsidR="00933271" w:rsidRPr="00C5458E">
        <w:t xml:space="preserve"> (no additional burden after completing the interview) and allows the interviewer to focus on building and maintaining rapport with the </w:t>
      </w:r>
      <w:r w:rsidR="00C03F9D">
        <w:t>participant</w:t>
      </w:r>
      <w:r w:rsidR="00933271" w:rsidRPr="00C5458E">
        <w:t>.</w:t>
      </w:r>
    </w:p>
    <w:p w14:paraId="77A42E3E" w14:textId="77777777" w:rsidR="005E6F8D" w:rsidRDefault="005E6F8D" w:rsidP="00F95454">
      <w:pPr>
        <w:spacing w:before="120" w:after="120"/>
        <w:mirrorIndents/>
        <w:jc w:val="both"/>
      </w:pPr>
    </w:p>
    <w:p w14:paraId="0F163E5C" w14:textId="22597E96" w:rsidR="00CC6AB1" w:rsidRDefault="00CC6AB1" w:rsidP="00F95454">
      <w:pPr>
        <w:pStyle w:val="Heading1"/>
        <w:spacing w:before="120" w:after="120"/>
        <w:mirrorIndents/>
      </w:pPr>
      <w:bookmarkStart w:id="5" w:name="_Toc448296075"/>
      <w:r w:rsidRPr="00B12EA3">
        <w:t>Efforts to Identify Duplication and Use of Similar Information</w:t>
      </w:r>
      <w:bookmarkEnd w:id="5"/>
    </w:p>
    <w:p w14:paraId="30C796A1" w14:textId="503DAA82" w:rsidR="00FF37D9" w:rsidRPr="00C231D2" w:rsidRDefault="00E232C2" w:rsidP="00C231D2">
      <w:pPr>
        <w:tabs>
          <w:tab w:val="left" w:pos="720"/>
        </w:tabs>
        <w:spacing w:before="120" w:after="120"/>
        <w:mirrorIndents/>
      </w:pPr>
      <w:r w:rsidRPr="00C231D2">
        <w:t xml:space="preserve">This evaluation is an effort to assess the activities of the SSuN jurisdictions involved in SSuN Cycle III as this is a distinct activity of the network. </w:t>
      </w:r>
      <w:r w:rsidR="00082EA9" w:rsidRPr="00A04495">
        <w:t xml:space="preserve">This </w:t>
      </w:r>
      <w:r w:rsidR="00C231D2">
        <w:t>assessment</w:t>
      </w:r>
      <w:r w:rsidR="00082EA9" w:rsidRPr="00A04495">
        <w:t xml:space="preserve"> will </w:t>
      </w:r>
      <w:r w:rsidR="003A6A6C">
        <w:t xml:space="preserve">gather information </w:t>
      </w:r>
      <w:r w:rsidR="00FF37D9">
        <w:t>about</w:t>
      </w:r>
      <w:r w:rsidR="00FF37D9" w:rsidRPr="00FB7AA8">
        <w:t xml:space="preserve"> </w:t>
      </w:r>
      <w:r w:rsidR="00FF37D9">
        <w:t xml:space="preserve">factors </w:t>
      </w:r>
      <w:r w:rsidR="00C231D2" w:rsidRPr="00C231D2">
        <w:t xml:space="preserve">contributing to variations in </w:t>
      </w:r>
      <w:r>
        <w:t>GC</w:t>
      </w:r>
      <w:r w:rsidR="00C231D2" w:rsidRPr="00C231D2">
        <w:t xml:space="preserve"> case interview completion rates across 10 city, county and state health departments participating in Cycle III o</w:t>
      </w:r>
      <w:r>
        <w:t>f SSuN</w:t>
      </w:r>
      <w:r w:rsidR="00C231D2" w:rsidRPr="00C231D2">
        <w:t>. Because variation among SSuN health department sites for GC case interviewing are currently not well understood, descriptive, qualitative data are needed to allow the identification of the full range of practices, barriers, and facilitators involved. Thus, we will conduct qualitative semi-structured interviews (up to 60 minutes) with staff at the volunteer health departments. Assessment of the factors related to GC case interview completion will help document facilitators and barriers and may assist in improving program outcomes.</w:t>
      </w:r>
    </w:p>
    <w:p w14:paraId="07CCA877" w14:textId="6404974F" w:rsidR="00C231D2" w:rsidRPr="00C231D2" w:rsidRDefault="00E232C2" w:rsidP="00C231D2">
      <w:pPr>
        <w:tabs>
          <w:tab w:val="left" w:pos="720"/>
        </w:tabs>
        <w:spacing w:before="120" w:after="120"/>
        <w:mirrorIndents/>
      </w:pPr>
      <w:r>
        <w:t>W</w:t>
      </w:r>
      <w:r w:rsidR="00CC211B">
        <w:t xml:space="preserve">e are not aware of any previous studies that have collected information on factors that influence </w:t>
      </w:r>
      <w:r>
        <w:t>GC case interview completion</w:t>
      </w:r>
      <w:r w:rsidR="00CC211B">
        <w:t>. To the Agency’s knowledge, the current proposed information collection will be the first study to examine these issues.</w:t>
      </w:r>
      <w:r w:rsidR="00BF2A04">
        <w:t xml:space="preserve"> The results obtained from the proposed</w:t>
      </w:r>
      <w:r>
        <w:t xml:space="preserve"> assessment</w:t>
      </w:r>
      <w:r w:rsidR="00BF2A04">
        <w:t xml:space="preserve"> will provide unique, novel, and useful information that </w:t>
      </w:r>
      <w:r>
        <w:t xml:space="preserve">can be </w:t>
      </w:r>
      <w:r w:rsidRPr="00E232C2">
        <w:t>used to inform policies and practices of the SSuN sites included in the evaluation</w:t>
      </w:r>
      <w:r w:rsidR="005B7DF7">
        <w:t>.</w:t>
      </w:r>
      <w:r w:rsidR="00CC211B">
        <w:t xml:space="preserve"> </w:t>
      </w:r>
      <w:r w:rsidR="00C231D2" w:rsidRPr="00C231D2">
        <w:t>There is no other existing network of this kind, to our knowledge, and there is no indication that this level of activity would occur elsewhere or by another agency.</w:t>
      </w:r>
    </w:p>
    <w:p w14:paraId="6C5766A6" w14:textId="508578B2" w:rsidR="00933271" w:rsidRPr="003A6A6C" w:rsidRDefault="00A04495" w:rsidP="003A6A6C">
      <w:pPr>
        <w:tabs>
          <w:tab w:val="left" w:pos="720"/>
        </w:tabs>
        <w:spacing w:before="120" w:after="120"/>
        <w:mirrorIndents/>
        <w:rPr>
          <w:rFonts w:eastAsia="Calibri"/>
        </w:rPr>
      </w:pPr>
      <w:r w:rsidRPr="00A04495">
        <w:t xml:space="preserve">Thus, </w:t>
      </w:r>
      <w:r w:rsidR="00CC211B">
        <w:t>t</w:t>
      </w:r>
      <w:r w:rsidR="003A6A6C">
        <w:t xml:space="preserve">he Agency </w:t>
      </w:r>
      <w:r w:rsidR="00933271" w:rsidRPr="00A04495">
        <w:t xml:space="preserve">believes this </w:t>
      </w:r>
      <w:r w:rsidR="00CC211B">
        <w:t xml:space="preserve">proposed </w:t>
      </w:r>
      <w:r w:rsidR="00933271" w:rsidRPr="00A04495">
        <w:t>informa</w:t>
      </w:r>
      <w:r w:rsidR="003A6A6C">
        <w:t>tion</w:t>
      </w:r>
      <w:r w:rsidR="00CC211B">
        <w:t xml:space="preserve"> collection</w:t>
      </w:r>
      <w:r w:rsidR="003A6A6C">
        <w:t xml:space="preserve"> is not captured elsewhere, and that </w:t>
      </w:r>
      <w:r w:rsidR="00933271" w:rsidRPr="00A04495">
        <w:t>no other data collection effort has been conducted or has been planned to collect similar information for this population</w:t>
      </w:r>
      <w:r w:rsidR="00815C35" w:rsidRPr="00A04495">
        <w:t xml:space="preserve"> in these jurisdictions</w:t>
      </w:r>
      <w:r w:rsidR="00933271" w:rsidRPr="00A04495">
        <w:t xml:space="preserve">. Therefore, our evaluation requires the collection of this new primary data. There would be no reason for another Federal Agency to evaluate </w:t>
      </w:r>
      <w:r w:rsidR="00582903" w:rsidRPr="00A04495">
        <w:t>these research questions</w:t>
      </w:r>
      <w:r w:rsidR="00933271" w:rsidRPr="00A04495">
        <w:t>.</w:t>
      </w:r>
    </w:p>
    <w:p w14:paraId="3697F9FB" w14:textId="77777777" w:rsidR="00F95454" w:rsidRDefault="00F95454" w:rsidP="00F95454">
      <w:pPr>
        <w:spacing w:before="120" w:after="120"/>
        <w:mirrorIndents/>
      </w:pPr>
    </w:p>
    <w:p w14:paraId="45B921C7" w14:textId="5E59F610" w:rsidR="00CC6AB1" w:rsidRDefault="00CC6AB1" w:rsidP="00F95454">
      <w:pPr>
        <w:pStyle w:val="Heading1"/>
        <w:spacing w:before="120" w:after="120"/>
        <w:mirrorIndents/>
      </w:pPr>
      <w:bookmarkStart w:id="6" w:name="_Toc448296076"/>
      <w:r w:rsidRPr="00B12EA3">
        <w:t>Impact on Small Businesses or Other Small Entities</w:t>
      </w:r>
      <w:bookmarkEnd w:id="6"/>
    </w:p>
    <w:p w14:paraId="544AD443" w14:textId="27F4F996" w:rsidR="00CC6AB1" w:rsidRDefault="00CC6AB1" w:rsidP="00F95454">
      <w:pPr>
        <w:spacing w:before="120" w:after="120"/>
        <w:mirrorIndents/>
      </w:pPr>
      <w:r w:rsidRPr="00F42159">
        <w:t xml:space="preserve">This </w:t>
      </w:r>
      <w:r w:rsidR="00E368ED" w:rsidRPr="00F42159">
        <w:t xml:space="preserve">information </w:t>
      </w:r>
      <w:r w:rsidRPr="00F42159">
        <w:t>collection does not involve burden to small businesses or other small entities.</w:t>
      </w:r>
    </w:p>
    <w:p w14:paraId="7C17A669" w14:textId="77777777" w:rsidR="00F95454" w:rsidRDefault="00F95454" w:rsidP="00F95454">
      <w:pPr>
        <w:spacing w:before="120" w:after="120"/>
        <w:mirrorIndents/>
      </w:pPr>
    </w:p>
    <w:p w14:paraId="55BE02A1" w14:textId="1A42ADD3" w:rsidR="00CC6AB1" w:rsidRDefault="00CC6AB1" w:rsidP="00F95454">
      <w:pPr>
        <w:pStyle w:val="Heading1"/>
        <w:spacing w:before="120" w:after="120"/>
        <w:mirrorIndents/>
      </w:pPr>
      <w:bookmarkStart w:id="7" w:name="_Toc448296077"/>
      <w:r w:rsidRPr="00F9622C">
        <w:t>Consequences</w:t>
      </w:r>
      <w:r w:rsidRPr="00B12EA3">
        <w:t xml:space="preserve"> of Collecting the Information Less Frequently</w:t>
      </w:r>
      <w:bookmarkEnd w:id="7"/>
    </w:p>
    <w:p w14:paraId="03741B81" w14:textId="66D48ACF" w:rsidR="00A51C29" w:rsidRDefault="007F7EDD" w:rsidP="00F95454">
      <w:pPr>
        <w:spacing w:before="120" w:after="120"/>
        <w:mirrorIndents/>
        <w:rPr>
          <w:bCs/>
          <w:lang w:bidi="en-US"/>
        </w:rPr>
      </w:pPr>
      <w:r w:rsidRPr="00A04495">
        <w:rPr>
          <w:bCs/>
        </w:rPr>
        <w:t xml:space="preserve">This </w:t>
      </w:r>
      <w:r w:rsidR="00444532">
        <w:rPr>
          <w:bCs/>
        </w:rPr>
        <w:t>will be a one-time information collection from sites participating in SSuN Cycle III. This i</w:t>
      </w:r>
      <w:r w:rsidRPr="00A04495">
        <w:rPr>
          <w:bCs/>
        </w:rPr>
        <w:t xml:space="preserve">nformation collection </w:t>
      </w:r>
      <w:r w:rsidR="00DC0C2E" w:rsidRPr="00A04495">
        <w:rPr>
          <w:bCs/>
        </w:rPr>
        <w:t xml:space="preserve">will provide the primary qualitative data needed to understand </w:t>
      </w:r>
      <w:r w:rsidR="00444532" w:rsidRPr="00444532">
        <w:t xml:space="preserve">the facilitators and barriers </w:t>
      </w:r>
      <w:r w:rsidR="00444532">
        <w:t>to effective GC case interviewing and interview completion in individual SSuN sites</w:t>
      </w:r>
      <w:r w:rsidR="002C3AE2" w:rsidRPr="00A04495">
        <w:rPr>
          <w:bCs/>
        </w:rPr>
        <w:t xml:space="preserve">. If this case study were not conducted, it would not be possible to form an in-depth contextual understanding </w:t>
      </w:r>
      <w:r w:rsidR="002C3AE2" w:rsidRPr="00A04495">
        <w:rPr>
          <w:bCs/>
          <w:lang w:bidi="en-US"/>
        </w:rPr>
        <w:t>of</w:t>
      </w:r>
      <w:r w:rsidR="000816E0">
        <w:rPr>
          <w:bCs/>
          <w:lang w:bidi="en-US"/>
        </w:rPr>
        <w:t xml:space="preserve"> factors that may affect the success of </w:t>
      </w:r>
      <w:r w:rsidR="00444532">
        <w:rPr>
          <w:bCs/>
          <w:lang w:bidi="en-US"/>
        </w:rPr>
        <w:t>SSuN sites providing GC case interviews in their respective jurisdictions</w:t>
      </w:r>
      <w:r w:rsidR="002C3AE2" w:rsidRPr="00A04495">
        <w:rPr>
          <w:bCs/>
          <w:lang w:bidi="en-US"/>
        </w:rPr>
        <w:t>.</w:t>
      </w:r>
      <w:r w:rsidR="00582903" w:rsidRPr="00A04495">
        <w:rPr>
          <w:bCs/>
          <w:lang w:bidi="en-US"/>
        </w:rPr>
        <w:t xml:space="preserve"> </w:t>
      </w:r>
      <w:r w:rsidR="00E344D5" w:rsidRPr="00A04495">
        <w:rPr>
          <w:bCs/>
          <w:lang w:bidi="en-US"/>
        </w:rPr>
        <w:t xml:space="preserve">Collecting this type of jurisdiction-specific information is important, as </w:t>
      </w:r>
      <w:r w:rsidR="007F1E53" w:rsidRPr="00A04495">
        <w:rPr>
          <w:bCs/>
          <w:lang w:bidi="en-US"/>
        </w:rPr>
        <w:t>it will allow</w:t>
      </w:r>
      <w:r w:rsidR="00E344D5" w:rsidRPr="00A04495">
        <w:rPr>
          <w:bCs/>
          <w:lang w:bidi="en-US"/>
        </w:rPr>
        <w:t xml:space="preserve"> us to provide feedback to </w:t>
      </w:r>
      <w:r w:rsidR="00444532">
        <w:rPr>
          <w:bCs/>
          <w:lang w:bidi="en-US"/>
        </w:rPr>
        <w:t xml:space="preserve">SSuN sites </w:t>
      </w:r>
      <w:r w:rsidR="00E344D5" w:rsidRPr="00565EDB">
        <w:rPr>
          <w:bCs/>
          <w:lang w:bidi="en-US"/>
        </w:rPr>
        <w:t xml:space="preserve">and other </w:t>
      </w:r>
      <w:r w:rsidR="000816E0">
        <w:rPr>
          <w:bCs/>
          <w:lang w:bidi="en-US"/>
        </w:rPr>
        <w:t xml:space="preserve">public health </w:t>
      </w:r>
      <w:r w:rsidR="00E344D5" w:rsidRPr="00565EDB">
        <w:rPr>
          <w:bCs/>
          <w:lang w:bidi="en-US"/>
        </w:rPr>
        <w:t>stakeholders that is relevant</w:t>
      </w:r>
      <w:r w:rsidR="00493F64">
        <w:rPr>
          <w:bCs/>
          <w:lang w:bidi="en-US"/>
        </w:rPr>
        <w:t xml:space="preserve"> for improving </w:t>
      </w:r>
      <w:r w:rsidR="00444532">
        <w:rPr>
          <w:bCs/>
          <w:lang w:bidi="en-US"/>
        </w:rPr>
        <w:t>GC case interviews conducted by the SSuN sits</w:t>
      </w:r>
      <w:r w:rsidR="00E344D5" w:rsidRPr="00565EDB">
        <w:rPr>
          <w:bCs/>
          <w:lang w:bidi="en-US"/>
        </w:rPr>
        <w:t xml:space="preserve">. </w:t>
      </w:r>
      <w:r w:rsidR="002C3AE2" w:rsidRPr="00565EDB">
        <w:rPr>
          <w:bCs/>
          <w:lang w:bidi="en-US"/>
        </w:rPr>
        <w:t xml:space="preserve">The </w:t>
      </w:r>
      <w:r w:rsidR="004C581B">
        <w:rPr>
          <w:bCs/>
          <w:lang w:bidi="en-US"/>
        </w:rPr>
        <w:t xml:space="preserve">total </w:t>
      </w:r>
      <w:r w:rsidR="002C3AE2" w:rsidRPr="00565EDB">
        <w:rPr>
          <w:bCs/>
          <w:lang w:bidi="en-US"/>
        </w:rPr>
        <w:t xml:space="preserve">length of data collection </w:t>
      </w:r>
      <w:r w:rsidR="004F56DE" w:rsidRPr="00565EDB">
        <w:rPr>
          <w:bCs/>
          <w:lang w:bidi="en-US"/>
        </w:rPr>
        <w:t>is 3-4 months and data will only be collected once.</w:t>
      </w:r>
    </w:p>
    <w:p w14:paraId="660C26E5" w14:textId="77777777" w:rsidR="00316981" w:rsidRDefault="00316981" w:rsidP="00F95454">
      <w:pPr>
        <w:spacing w:before="120" w:after="120"/>
        <w:mirrorIndents/>
      </w:pPr>
    </w:p>
    <w:p w14:paraId="19581741" w14:textId="36DB443F" w:rsidR="00CC6AB1" w:rsidRDefault="00CC6AB1" w:rsidP="00F95454">
      <w:pPr>
        <w:pStyle w:val="Heading1"/>
        <w:spacing w:before="120" w:after="120"/>
        <w:mirrorIndents/>
      </w:pPr>
      <w:bookmarkStart w:id="8" w:name="_Toc448296078"/>
      <w:r w:rsidRPr="00B12EA3">
        <w:t>Special Circumstances Relating to the Guidelines of 5 CFR 1320.5</w:t>
      </w:r>
      <w:bookmarkEnd w:id="8"/>
    </w:p>
    <w:p w14:paraId="5C965F8D" w14:textId="41137467" w:rsidR="00CC6AB1" w:rsidRDefault="00CC6AB1" w:rsidP="00F95454">
      <w:pPr>
        <w:spacing w:before="120" w:after="120"/>
        <w:mirrorIndents/>
      </w:pPr>
      <w:r w:rsidRPr="00A04495">
        <w:t>This data collection effort does not involve any special circumstances.</w:t>
      </w:r>
    </w:p>
    <w:p w14:paraId="226566BE" w14:textId="77777777" w:rsidR="00F95454" w:rsidRPr="00D467C4" w:rsidRDefault="00F95454" w:rsidP="00F95454">
      <w:pPr>
        <w:spacing w:before="120" w:after="120"/>
        <w:mirrorIndents/>
      </w:pPr>
    </w:p>
    <w:p w14:paraId="0FDC9E36" w14:textId="109020A0" w:rsidR="00CC6AB1" w:rsidRDefault="00CC6AB1" w:rsidP="00F95454">
      <w:pPr>
        <w:pStyle w:val="Heading1"/>
        <w:spacing w:before="120" w:after="120"/>
        <w:mirrorIndents/>
      </w:pPr>
      <w:bookmarkStart w:id="9" w:name="_Toc448296079"/>
      <w:r w:rsidRPr="00B12EA3">
        <w:t>Comments in Response to the Federal Register Notice and Efforts to Consult Outside the Agency</w:t>
      </w:r>
      <w:bookmarkEnd w:id="9"/>
    </w:p>
    <w:p w14:paraId="74F8AA59" w14:textId="49AF5E7B" w:rsidR="00CC6AB1" w:rsidRPr="00131371" w:rsidRDefault="00CC6AB1" w:rsidP="00F95454">
      <w:pPr>
        <w:spacing w:before="120" w:after="120"/>
        <w:mirrorIndents/>
        <w:rPr>
          <w:highlight w:val="yellow"/>
        </w:rPr>
      </w:pPr>
      <w:r w:rsidRPr="002B31BA">
        <w:t>A 60 day FRN notice to solicit public comments was published for the Generic umbrella collection (0920-</w:t>
      </w:r>
      <w:r w:rsidR="002B31BA" w:rsidRPr="002B31BA">
        <w:t>0840</w:t>
      </w:r>
      <w:r w:rsidRPr="002B31BA">
        <w:t xml:space="preserve">) in the Federal Register on </w:t>
      </w:r>
      <w:r w:rsidR="00F15707" w:rsidRPr="002B31BA">
        <w:t>0</w:t>
      </w:r>
      <w:r w:rsidR="002B31BA">
        <w:t>4</w:t>
      </w:r>
      <w:r w:rsidR="00F15707" w:rsidRPr="002B31BA">
        <w:t>/2</w:t>
      </w:r>
      <w:r w:rsidR="002B31BA">
        <w:t>3</w:t>
      </w:r>
      <w:r w:rsidR="00F15707" w:rsidRPr="002B31BA">
        <w:t>/201</w:t>
      </w:r>
      <w:r w:rsidR="002B31BA">
        <w:t>8</w:t>
      </w:r>
      <w:r w:rsidRPr="002B31BA">
        <w:t>, Volume 8</w:t>
      </w:r>
      <w:r w:rsidR="002B31BA">
        <w:t>3</w:t>
      </w:r>
      <w:r w:rsidRPr="002B31BA">
        <w:t>, Number</w:t>
      </w:r>
      <w:r w:rsidR="00F15707" w:rsidRPr="002B31BA">
        <w:t xml:space="preserve"> </w:t>
      </w:r>
      <w:r w:rsidR="002B31BA">
        <w:t>78</w:t>
      </w:r>
      <w:r w:rsidRPr="002B31BA">
        <w:t xml:space="preserve">, Page Number </w:t>
      </w:r>
      <w:r w:rsidR="002B31BA">
        <w:t xml:space="preserve">17663-17664. </w:t>
      </w:r>
      <w:r w:rsidRPr="002B31BA">
        <w:t>No public comments were received.</w:t>
      </w:r>
    </w:p>
    <w:p w14:paraId="5700D26F" w14:textId="60D6E8B5" w:rsidR="00C1216F" w:rsidRPr="003A6A6C" w:rsidRDefault="00C1216F" w:rsidP="00F95454">
      <w:pPr>
        <w:spacing w:before="120" w:after="120"/>
        <w:mirrorIndents/>
      </w:pPr>
      <w:r w:rsidRPr="004B4023">
        <w:t xml:space="preserve">In addition, </w:t>
      </w:r>
      <w:r w:rsidR="004B4023" w:rsidRPr="004B4023">
        <w:t xml:space="preserve">an initial concept for the evaluation plan was presented to SSuN jurisdiction principal investigators (PIs) during the November 2018 quarterly conference call.  Follow-up communication with PIs will occur following agency clearance approvals via email and telephone to assess interest to participate. </w:t>
      </w:r>
      <w:r w:rsidR="00A71916" w:rsidRPr="004B4023">
        <w:t xml:space="preserve">There were no unresolved issues associated with </w:t>
      </w:r>
      <w:r w:rsidR="004B4023" w:rsidRPr="004B4023">
        <w:t>this initial concept</w:t>
      </w:r>
      <w:r w:rsidR="00A71916" w:rsidRPr="004B4023">
        <w:t xml:space="preserve"> process</w:t>
      </w:r>
      <w:r w:rsidR="00A71916" w:rsidRPr="002B31BA">
        <w:t xml:space="preserve">. </w:t>
      </w:r>
    </w:p>
    <w:p w14:paraId="2E4EA80C" w14:textId="77777777" w:rsidR="00C1216F" w:rsidRDefault="00C1216F" w:rsidP="00F95454">
      <w:pPr>
        <w:spacing w:before="120" w:after="120"/>
        <w:mirrorIndents/>
      </w:pPr>
    </w:p>
    <w:p w14:paraId="2F989310" w14:textId="04404510" w:rsidR="00CC6AB1" w:rsidRDefault="00CC6AB1" w:rsidP="00F95454">
      <w:pPr>
        <w:pStyle w:val="Heading1"/>
        <w:spacing w:before="120" w:after="120"/>
        <w:mirrorIndents/>
      </w:pPr>
      <w:bookmarkStart w:id="10" w:name="_Toc448296080"/>
      <w:r w:rsidRPr="00B12EA3">
        <w:t>Explanation of Any Payment or Gift to Respondents</w:t>
      </w:r>
      <w:bookmarkEnd w:id="10"/>
    </w:p>
    <w:p w14:paraId="39FDAFCB" w14:textId="47C3EC54" w:rsidR="00F83380" w:rsidRPr="004B4023" w:rsidRDefault="001C516C" w:rsidP="004B4023">
      <w:pPr>
        <w:spacing w:before="120" w:after="120"/>
        <w:mirrorIndents/>
      </w:pPr>
      <w:r>
        <w:t xml:space="preserve">Interview participants will not receive token of appreciation funds. </w:t>
      </w:r>
      <w:r w:rsidR="004B4023" w:rsidRPr="004B4023">
        <w:t>No incentives will be provided. Health department staff will not be compensated for their participation in the evaluation as interviews can be accomplished during normal business hours and pertain to their work as health professionals.</w:t>
      </w:r>
    </w:p>
    <w:p w14:paraId="04285968" w14:textId="0CDBC4F4" w:rsidR="001C516C" w:rsidRDefault="001C516C" w:rsidP="00432322">
      <w:pPr>
        <w:spacing w:before="120" w:after="120"/>
        <w:mirrorIndents/>
        <w:rPr>
          <w:bCs/>
          <w:iCs/>
        </w:rPr>
      </w:pPr>
    </w:p>
    <w:p w14:paraId="65CCCDCB" w14:textId="1E23E4E7" w:rsidR="00B12EA3" w:rsidRDefault="00B12EA3" w:rsidP="00F95454">
      <w:pPr>
        <w:pStyle w:val="Heading1"/>
        <w:spacing w:before="120" w:after="120"/>
        <w:mirrorIndents/>
      </w:pPr>
      <w:bookmarkStart w:id="11" w:name="_Toc448296081"/>
      <w:r w:rsidRPr="00B12EA3">
        <w:t>Protection of the Privacy and Confidentiality of Information Provided by Respondents</w:t>
      </w:r>
      <w:bookmarkEnd w:id="11"/>
    </w:p>
    <w:p w14:paraId="3AFAD46F" w14:textId="00B57546" w:rsidR="009C7405" w:rsidRDefault="00827286" w:rsidP="0011632B">
      <w:pPr>
        <w:spacing w:before="120" w:after="120"/>
        <w:mirrorIndents/>
      </w:pPr>
      <w:r w:rsidRPr="00827286">
        <w:t xml:space="preserve">The CDC Privacy Officer has assessed this package for applicability of 5 U.S.C. § 552a, and determined </w:t>
      </w:r>
      <w:r w:rsidRPr="002B31BA">
        <w:t xml:space="preserve">that the Privacy Act does apply to the overall information collection. </w:t>
      </w:r>
      <w:r w:rsidR="00073EFB" w:rsidRPr="002B31BA">
        <w:t xml:space="preserve">CDC has completed a Privacy Impact Assessment of the </w:t>
      </w:r>
      <w:r w:rsidR="00755BBA" w:rsidRPr="002B31BA">
        <w:t xml:space="preserve">data </w:t>
      </w:r>
      <w:r w:rsidR="00073EFB" w:rsidRPr="002B31BA">
        <w:t xml:space="preserve">system used by the </w:t>
      </w:r>
      <w:r w:rsidR="00BB7AF0" w:rsidRPr="002B31BA">
        <w:t>DSTDP</w:t>
      </w:r>
      <w:r w:rsidR="00073EFB" w:rsidRPr="002B31BA">
        <w:t xml:space="preserve"> team (</w:t>
      </w:r>
      <w:r w:rsidR="00073EFB" w:rsidRPr="002B31BA">
        <w:rPr>
          <w:b/>
        </w:rPr>
        <w:t xml:space="preserve">Attachment </w:t>
      </w:r>
      <w:r w:rsidR="00EF1926">
        <w:rPr>
          <w:b/>
        </w:rPr>
        <w:t>4</w:t>
      </w:r>
      <w:r w:rsidR="00073EFB" w:rsidRPr="002B31BA">
        <w:t>).</w:t>
      </w:r>
      <w:r w:rsidR="00073EFB">
        <w:t xml:space="preserve"> </w:t>
      </w:r>
      <w:r>
        <w:t xml:space="preserve"> </w:t>
      </w:r>
    </w:p>
    <w:p w14:paraId="60F37AA3" w14:textId="3B2A2233" w:rsidR="00827286" w:rsidRDefault="00BB7AF0" w:rsidP="00827286">
      <w:pPr>
        <w:spacing w:before="120" w:after="120"/>
        <w:mirrorIndents/>
      </w:pPr>
      <w:r>
        <w:t xml:space="preserve">Participants </w:t>
      </w:r>
      <w:r w:rsidR="00827286">
        <w:t xml:space="preserve">will be invited to provide their contact information (name, phone, email), in order to schedule the in-depth interview. This contact information will be hand written on paper, and not be computerized on a form. When not in active use, the papers containing the contact information will be stored in locked cabinets separate from other study data at the </w:t>
      </w:r>
      <w:r>
        <w:t>CDC/DSTDP team office</w:t>
      </w:r>
      <w:r w:rsidR="00827286">
        <w:t>. These papers with the participant’s contact information will be destroyed after the interview is completed and the interview data have been fully transcribed and verified for accuracy.</w:t>
      </w:r>
    </w:p>
    <w:p w14:paraId="21798AE8" w14:textId="53841FB8" w:rsidR="00827286" w:rsidRDefault="00827286" w:rsidP="00827286">
      <w:pPr>
        <w:autoSpaceDE w:val="0"/>
        <w:autoSpaceDN w:val="0"/>
        <w:adjustRightInd w:val="0"/>
        <w:spacing w:before="120" w:after="120"/>
      </w:pPr>
      <w:r>
        <w:t xml:space="preserve">At the beginning of the in-depth interview, a member of the </w:t>
      </w:r>
      <w:r w:rsidR="00BB7AF0">
        <w:t>DSTDP</w:t>
      </w:r>
      <w:r>
        <w:t xml:space="preserve"> team will review the purpose of the study with the participant and answer any questions they might have. The participant will be asked to provide signed informed consent (</w:t>
      </w:r>
      <w:r w:rsidRPr="00827286">
        <w:rPr>
          <w:b/>
        </w:rPr>
        <w:t xml:space="preserve">Attachment </w:t>
      </w:r>
      <w:r w:rsidR="00131371">
        <w:rPr>
          <w:b/>
        </w:rPr>
        <w:t>1</w:t>
      </w:r>
      <w:r>
        <w:t xml:space="preserve">). This includes permission to audio record the interview. After the consent process is finished, the interview will begin.  </w:t>
      </w:r>
      <w:r w:rsidRPr="00C34C13">
        <w:t>Only project staff will have access to the records, study documents, and data.</w:t>
      </w:r>
      <w:r w:rsidR="00877BE2">
        <w:t xml:space="preserve"> </w:t>
      </w:r>
    </w:p>
    <w:p w14:paraId="43EBB4BB" w14:textId="17E8B575" w:rsidR="00827286" w:rsidRDefault="00827286" w:rsidP="00827286">
      <w:pPr>
        <w:spacing w:before="120" w:after="120"/>
        <w:mirrorIndents/>
      </w:pPr>
    </w:p>
    <w:p w14:paraId="72128784" w14:textId="72270540" w:rsidR="00B12EA3" w:rsidRDefault="00B12EA3" w:rsidP="00F95454">
      <w:pPr>
        <w:pStyle w:val="Heading1"/>
        <w:spacing w:before="120" w:after="120"/>
        <w:mirrorIndents/>
      </w:pPr>
      <w:bookmarkStart w:id="12" w:name="_Toc448296082"/>
      <w:r w:rsidRPr="00B12EA3">
        <w:t>Institutional Review Board (IRB) and Justification for Sensitive Questions</w:t>
      </w:r>
      <w:bookmarkEnd w:id="12"/>
    </w:p>
    <w:p w14:paraId="6602B565" w14:textId="3EA5B9E1" w:rsidR="00D312D3" w:rsidRPr="008172D1" w:rsidRDefault="00D312D3" w:rsidP="003C10A5">
      <w:pPr>
        <w:spacing w:before="120" w:after="120"/>
        <w:mirrorIndents/>
      </w:pPr>
      <w:r w:rsidRPr="008172D1">
        <w:t>IRB Approval</w:t>
      </w:r>
    </w:p>
    <w:p w14:paraId="1F65D3C3" w14:textId="454C8439" w:rsidR="003C3C33" w:rsidRPr="000A56BD" w:rsidRDefault="003340FF" w:rsidP="003C10A5">
      <w:pPr>
        <w:spacing w:before="120" w:after="120"/>
        <w:mirrorIndents/>
        <w:rPr>
          <w:highlight w:val="yellow"/>
        </w:rPr>
      </w:pPr>
      <w:r w:rsidRPr="008172D1">
        <w:t xml:space="preserve">This study has been reviewed and approved by the </w:t>
      </w:r>
      <w:r w:rsidR="008172D1" w:rsidRPr="008172D1">
        <w:t>CDC</w:t>
      </w:r>
      <w:r w:rsidRPr="008172D1">
        <w:t xml:space="preserve"> </w:t>
      </w:r>
      <w:r w:rsidRPr="00A06E57">
        <w:t>IRB</w:t>
      </w:r>
      <w:r w:rsidR="009951A9" w:rsidRPr="00A06E57">
        <w:t xml:space="preserve"> </w:t>
      </w:r>
      <w:r w:rsidR="009951A9" w:rsidRPr="00E70C71">
        <w:rPr>
          <w:b/>
        </w:rPr>
        <w:t>(</w:t>
      </w:r>
      <w:r w:rsidR="00A06E57" w:rsidRPr="00A06E57">
        <w:rPr>
          <w:b/>
        </w:rPr>
        <w:t xml:space="preserve">Attachment </w:t>
      </w:r>
      <w:r w:rsidR="00131371">
        <w:rPr>
          <w:b/>
        </w:rPr>
        <w:t>3</w:t>
      </w:r>
      <w:r w:rsidR="009D6649" w:rsidRPr="00E70C71">
        <w:rPr>
          <w:b/>
        </w:rPr>
        <w:t>)</w:t>
      </w:r>
      <w:r w:rsidRPr="00A06E57">
        <w:t xml:space="preserve">. </w:t>
      </w:r>
    </w:p>
    <w:p w14:paraId="1761E88A" w14:textId="271C53FC" w:rsidR="003C3C33" w:rsidRPr="008172D1" w:rsidRDefault="003C3C33" w:rsidP="003C10A5">
      <w:pPr>
        <w:spacing w:before="120" w:after="120"/>
        <w:mirrorIndents/>
      </w:pPr>
      <w:r w:rsidRPr="008172D1">
        <w:t>Sensitive Questions</w:t>
      </w:r>
    </w:p>
    <w:p w14:paraId="6C660CBC" w14:textId="28A76188" w:rsidR="00AC254E" w:rsidRDefault="00D6673F" w:rsidP="003C10A5">
      <w:pPr>
        <w:spacing w:before="120" w:after="120"/>
        <w:mirrorIndents/>
      </w:pPr>
      <w:r w:rsidRPr="008172D1">
        <w:t xml:space="preserve">This </w:t>
      </w:r>
      <w:r w:rsidR="00FE4A1B">
        <w:t>is an assessment</w:t>
      </w:r>
      <w:r w:rsidRPr="008172D1">
        <w:t xml:space="preserve"> </w:t>
      </w:r>
      <w:r w:rsidR="00270C3A">
        <w:t xml:space="preserve">to </w:t>
      </w:r>
      <w:r w:rsidR="00270C3A" w:rsidRPr="00FB7AA8">
        <w:t xml:space="preserve">identify </w:t>
      </w:r>
      <w:r w:rsidR="00270C3A">
        <w:t xml:space="preserve">factors that </w:t>
      </w:r>
      <w:r w:rsidR="00FE4A1B">
        <w:t>facilitate or hinder</w:t>
      </w:r>
      <w:r w:rsidR="00FE4A1B" w:rsidRPr="00FE4A1B">
        <w:t xml:space="preserve"> effective GC case interviewing and interview completion in individual SSuN sites</w:t>
      </w:r>
      <w:r w:rsidRPr="008172D1">
        <w:t xml:space="preserve">. </w:t>
      </w:r>
      <w:r w:rsidR="00FE4A1B" w:rsidRPr="00FE4A1B">
        <w:t xml:space="preserve">This assessment involves no more than minimal risk to participants, as the probability and magnitude of harm or discomfort anticipated in the evaluation are not greater in and of themselves than those ordinarily encountered in daily life. At most, participating in these discussions may cause participants to think more about their behavior at work, and they may feel uncomfortable if they realize that they could have conducted GC case interviewing more effectively in the past. </w:t>
      </w:r>
      <w:r w:rsidR="00FE4A1B">
        <w:t>S</w:t>
      </w:r>
      <w:r w:rsidR="00FE4A1B" w:rsidRPr="00FE4A1B">
        <w:t>taff completing GC case interviews at the volunteer sites will be interviewed regarding their job background related to GC case interviewing, interviewing procedures and processes, and the context of the community where GC case interviews are conducted.  Interview questions will examine staff characteristics (i.e., training, job background, and responsibilities), attitudes and perceptions towards interviewing, interview processes and procedures, and community context (e.g., health department reputation, over-sampling).</w:t>
      </w:r>
      <w:r w:rsidRPr="00076D10">
        <w:t xml:space="preserve"> </w:t>
      </w:r>
      <w:r w:rsidRPr="008172D1">
        <w:t>We will inform all participants that they may skip any question or stop</w:t>
      </w:r>
      <w:r w:rsidR="00623078">
        <w:t xml:space="preserve"> interviews</w:t>
      </w:r>
      <w:r w:rsidRPr="008172D1">
        <w:t xml:space="preserve"> at any time for any reason.</w:t>
      </w:r>
      <w:r w:rsidRPr="00603813">
        <w:t xml:space="preserve">  </w:t>
      </w:r>
    </w:p>
    <w:p w14:paraId="0A6C012E" w14:textId="77777777" w:rsidR="00F95454" w:rsidRDefault="00F95454" w:rsidP="00F95454">
      <w:pPr>
        <w:spacing w:before="120" w:after="120"/>
        <w:mirrorIndents/>
        <w:jc w:val="both"/>
      </w:pPr>
    </w:p>
    <w:p w14:paraId="7D1DAD7B" w14:textId="5E01587E" w:rsidR="00B12EA3" w:rsidRDefault="00B12EA3" w:rsidP="00F95454">
      <w:pPr>
        <w:pStyle w:val="Heading1"/>
        <w:spacing w:before="120" w:after="120"/>
        <w:mirrorIndents/>
      </w:pPr>
      <w:bookmarkStart w:id="13" w:name="_Toc448296083"/>
      <w:r w:rsidRPr="00B057DB">
        <w:t>Estimates of Annualized Burden Hours and Costs</w:t>
      </w:r>
      <w:bookmarkEnd w:id="13"/>
    </w:p>
    <w:p w14:paraId="55510EF6" w14:textId="25D45EEB" w:rsidR="003D7EF0" w:rsidRDefault="002368E4" w:rsidP="00F95454">
      <w:pPr>
        <w:spacing w:before="120" w:after="120"/>
        <w:mirrorIndents/>
      </w:pPr>
      <w:r w:rsidRPr="002368E4">
        <w:t>T</w:t>
      </w:r>
      <w:r w:rsidR="001015FC">
        <w:t xml:space="preserve">his data collection will include </w:t>
      </w:r>
      <w:r w:rsidR="00FE4A1B">
        <w:t>50</w:t>
      </w:r>
      <w:r w:rsidR="001015FC">
        <w:t xml:space="preserve"> individuals</w:t>
      </w:r>
      <w:r w:rsidR="00C85B78">
        <w:t xml:space="preserve"> (30 staff </w:t>
      </w:r>
      <w:r w:rsidR="00C85B78" w:rsidRPr="00C85B78">
        <w:t xml:space="preserve">responsible for completing GC case interviewing and </w:t>
      </w:r>
      <w:r w:rsidR="00C85B78">
        <w:t>20 staff</w:t>
      </w:r>
      <w:r w:rsidR="00C85B78" w:rsidRPr="00C85B78">
        <w:t xml:space="preserve"> responsible for supervising or overseeing GC case interviewing</w:t>
      </w:r>
      <w:r w:rsidR="00C85B78">
        <w:t>)</w:t>
      </w:r>
      <w:r w:rsidR="001015FC" w:rsidRPr="00C85B78">
        <w:t>.</w:t>
      </w:r>
      <w:r w:rsidR="001015FC" w:rsidRPr="001015FC">
        <w:t xml:space="preserve"> </w:t>
      </w:r>
      <w:r>
        <w:t xml:space="preserve">The </w:t>
      </w:r>
      <w:r w:rsidR="000E1E22">
        <w:t xml:space="preserve">staff and supervisor interviews </w:t>
      </w:r>
      <w:r w:rsidRPr="00CB51BB">
        <w:rPr>
          <w:b/>
        </w:rPr>
        <w:t xml:space="preserve">(Attachment </w:t>
      </w:r>
      <w:r w:rsidR="000E1E22">
        <w:rPr>
          <w:b/>
        </w:rPr>
        <w:t>2a-2</w:t>
      </w:r>
      <w:r w:rsidRPr="00CB51BB">
        <w:rPr>
          <w:b/>
        </w:rPr>
        <w:t>b)</w:t>
      </w:r>
      <w:r>
        <w:t xml:space="preserve"> will take 60 minutes to complete and will be administered once. </w:t>
      </w:r>
    </w:p>
    <w:p w14:paraId="76954D5A" w14:textId="49DDB451" w:rsidR="003340FF" w:rsidRDefault="002E5112" w:rsidP="00F95454">
      <w:pPr>
        <w:spacing w:before="120" w:after="120"/>
        <w:mirrorIndents/>
      </w:pPr>
      <w:r w:rsidRPr="000F4CAA">
        <w:t>Exhibits 12.1 and 12.2 provide further details about how the estimates of burden hours and costs were calculated.</w:t>
      </w:r>
      <w:r w:rsidR="008A19F2">
        <w:t xml:space="preserve"> </w:t>
      </w:r>
      <w:r w:rsidR="008A19F2" w:rsidRPr="00B65A4F">
        <w:t xml:space="preserve">The estimated annualized burden is </w:t>
      </w:r>
      <w:r w:rsidR="00131371">
        <w:t>50</w:t>
      </w:r>
      <w:r w:rsidR="00FD6AEB">
        <w:t xml:space="preserve"> </w:t>
      </w:r>
      <w:r w:rsidR="008A19F2" w:rsidRPr="00B65A4F">
        <w:t>hours.</w:t>
      </w:r>
    </w:p>
    <w:p w14:paraId="58C577B2" w14:textId="0CEFAFFF" w:rsidR="00332F80" w:rsidRDefault="00332F80" w:rsidP="00F95454">
      <w:pPr>
        <w:pStyle w:val="Heading2"/>
        <w:spacing w:before="120" w:after="120"/>
        <w:mirrorIndents/>
      </w:pPr>
      <w:bookmarkStart w:id="14" w:name="_Toc444867858"/>
      <w:bookmarkStart w:id="15" w:name="_Toc444883709"/>
      <w:bookmarkStart w:id="16" w:name="_Toc445385234"/>
      <w:bookmarkStart w:id="17" w:name="_Toc448296084"/>
      <w:r>
        <w:t>Estimated Annualized Burden Hours</w:t>
      </w:r>
      <w:bookmarkEnd w:id="14"/>
      <w:bookmarkEnd w:id="15"/>
      <w:bookmarkEnd w:id="16"/>
      <w:bookmarkEnd w:id="17"/>
    </w:p>
    <w:p w14:paraId="59EE5EE9" w14:textId="67AA7C3F" w:rsidR="00E53653" w:rsidRPr="007376F4" w:rsidRDefault="00E86C70" w:rsidP="00F95454">
      <w:pPr>
        <w:pStyle w:val="Caption"/>
        <w:spacing w:before="120" w:after="120"/>
        <w:mirrorIndents/>
      </w:pPr>
      <w:bookmarkStart w:id="18" w:name="_Toc449541623"/>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C297C">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C297C">
        <w:rPr>
          <w:noProof/>
          <w:sz w:val="24"/>
          <w:szCs w:val="24"/>
        </w:rPr>
        <w:t>1</w:t>
      </w:r>
      <w:r w:rsidR="00C91C02">
        <w:rPr>
          <w:sz w:val="24"/>
          <w:szCs w:val="24"/>
        </w:rPr>
        <w:fldChar w:fldCharType="end"/>
      </w:r>
      <w:r w:rsidRPr="00E6566E">
        <w:rPr>
          <w:sz w:val="24"/>
          <w:szCs w:val="24"/>
        </w:rPr>
        <w:t>: Estimated Annualized Burden Hours</w:t>
      </w:r>
      <w:bookmarkEnd w:id="18"/>
    </w:p>
    <w:tbl>
      <w:tblPr>
        <w:tblW w:w="9717" w:type="dxa"/>
        <w:tblLayout w:type="fixed"/>
        <w:tblCellMar>
          <w:left w:w="129" w:type="dxa"/>
          <w:right w:w="129" w:type="dxa"/>
        </w:tblCellMar>
        <w:tblLook w:val="0000" w:firstRow="0" w:lastRow="0" w:firstColumn="0" w:lastColumn="0" w:noHBand="0" w:noVBand="0"/>
      </w:tblPr>
      <w:tblGrid>
        <w:gridCol w:w="1527"/>
        <w:gridCol w:w="1800"/>
        <w:gridCol w:w="1620"/>
        <w:gridCol w:w="1710"/>
        <w:gridCol w:w="1980"/>
        <w:gridCol w:w="1080"/>
      </w:tblGrid>
      <w:tr w:rsidR="000879CA" w:rsidRPr="0062606A" w14:paraId="53C2C1BB" w14:textId="77777777" w:rsidTr="00B45435">
        <w:trPr>
          <w:cantSplit/>
          <w:tblHeader/>
        </w:trPr>
        <w:tc>
          <w:tcPr>
            <w:tcW w:w="1527" w:type="dxa"/>
            <w:tcBorders>
              <w:top w:val="single" w:sz="2" w:space="0" w:color="000000"/>
              <w:left w:val="single" w:sz="2" w:space="0" w:color="000000"/>
              <w:bottom w:val="single" w:sz="2" w:space="0" w:color="000000"/>
              <w:right w:val="nil"/>
            </w:tcBorders>
          </w:tcPr>
          <w:p w14:paraId="135B48D5" w14:textId="77777777" w:rsidR="000879CA" w:rsidRPr="0062606A" w:rsidRDefault="000879CA" w:rsidP="00F95454">
            <w:pPr>
              <w:mirrorIndents/>
              <w:rPr>
                <w:b/>
              </w:rPr>
            </w:pPr>
            <w:r w:rsidRPr="0062606A">
              <w:rPr>
                <w:b/>
              </w:rPr>
              <w:t>Type of Respondent</w:t>
            </w:r>
          </w:p>
        </w:tc>
        <w:tc>
          <w:tcPr>
            <w:tcW w:w="1800" w:type="dxa"/>
            <w:tcBorders>
              <w:top w:val="single" w:sz="2" w:space="0" w:color="000000"/>
              <w:left w:val="single" w:sz="2" w:space="0" w:color="000000"/>
              <w:bottom w:val="nil"/>
              <w:right w:val="nil"/>
            </w:tcBorders>
          </w:tcPr>
          <w:p w14:paraId="3005DAB6" w14:textId="77777777" w:rsidR="000879CA" w:rsidRPr="0062606A" w:rsidRDefault="000879CA" w:rsidP="00F95454">
            <w:pPr>
              <w:mirrorIndents/>
              <w:rPr>
                <w:b/>
              </w:rPr>
            </w:pPr>
            <w:r w:rsidRPr="0062606A">
              <w:rPr>
                <w:b/>
              </w:rPr>
              <w:t>Form Name</w:t>
            </w:r>
          </w:p>
        </w:tc>
        <w:tc>
          <w:tcPr>
            <w:tcW w:w="1620" w:type="dxa"/>
            <w:tcBorders>
              <w:top w:val="single" w:sz="2" w:space="0" w:color="000000"/>
              <w:left w:val="single" w:sz="2" w:space="0" w:color="000000"/>
              <w:bottom w:val="nil"/>
              <w:right w:val="nil"/>
            </w:tcBorders>
          </w:tcPr>
          <w:p w14:paraId="6BA44EF5" w14:textId="77777777" w:rsidR="000879CA" w:rsidRPr="0062606A" w:rsidRDefault="000879CA" w:rsidP="00F95454">
            <w:pPr>
              <w:mirrorIndents/>
              <w:jc w:val="center"/>
              <w:rPr>
                <w:b/>
              </w:rPr>
            </w:pPr>
            <w:r w:rsidRPr="0062606A">
              <w:rPr>
                <w:b/>
              </w:rPr>
              <w:t>No. of Respondents</w:t>
            </w:r>
          </w:p>
        </w:tc>
        <w:tc>
          <w:tcPr>
            <w:tcW w:w="1710" w:type="dxa"/>
            <w:tcBorders>
              <w:top w:val="single" w:sz="2" w:space="0" w:color="000000"/>
              <w:left w:val="single" w:sz="2" w:space="0" w:color="000000"/>
              <w:bottom w:val="nil"/>
              <w:right w:val="nil"/>
            </w:tcBorders>
          </w:tcPr>
          <w:p w14:paraId="1975FADA" w14:textId="77777777" w:rsidR="000879CA" w:rsidRPr="0062606A" w:rsidRDefault="000879CA" w:rsidP="00F95454">
            <w:pPr>
              <w:mirrorIndents/>
              <w:jc w:val="center"/>
              <w:rPr>
                <w:b/>
              </w:rPr>
            </w:pPr>
            <w:r w:rsidRPr="0062606A">
              <w:rPr>
                <w:b/>
              </w:rPr>
              <w:t>No. of Responses Per Respondent</w:t>
            </w:r>
          </w:p>
        </w:tc>
        <w:tc>
          <w:tcPr>
            <w:tcW w:w="1980" w:type="dxa"/>
            <w:tcBorders>
              <w:top w:val="single" w:sz="2" w:space="0" w:color="000000"/>
              <w:left w:val="single" w:sz="2" w:space="0" w:color="000000"/>
              <w:bottom w:val="nil"/>
              <w:right w:val="single" w:sz="2" w:space="0" w:color="000000"/>
            </w:tcBorders>
          </w:tcPr>
          <w:p w14:paraId="5E253BC2" w14:textId="5B47AA39" w:rsidR="000879CA" w:rsidRPr="0062606A" w:rsidRDefault="0025627B" w:rsidP="00F95454">
            <w:pPr>
              <w:mirrorIndents/>
              <w:jc w:val="center"/>
              <w:rPr>
                <w:b/>
              </w:rPr>
            </w:pPr>
            <w:r w:rsidRPr="0062606A">
              <w:rPr>
                <w:b/>
              </w:rPr>
              <w:t>Average Burden Per Response (h</w:t>
            </w:r>
            <w:r w:rsidR="000879CA" w:rsidRPr="0062606A">
              <w:rPr>
                <w:b/>
              </w:rPr>
              <w:t>ours)</w:t>
            </w:r>
          </w:p>
        </w:tc>
        <w:tc>
          <w:tcPr>
            <w:tcW w:w="1080" w:type="dxa"/>
            <w:tcBorders>
              <w:top w:val="single" w:sz="2" w:space="0" w:color="000000"/>
              <w:left w:val="single" w:sz="2" w:space="0" w:color="000000"/>
              <w:bottom w:val="nil"/>
              <w:right w:val="single" w:sz="2" w:space="0" w:color="000000"/>
            </w:tcBorders>
          </w:tcPr>
          <w:p w14:paraId="55727504" w14:textId="675A4663" w:rsidR="000879CA" w:rsidRPr="0062606A" w:rsidRDefault="000879CA" w:rsidP="00F95454">
            <w:pPr>
              <w:mirrorIndents/>
              <w:jc w:val="center"/>
              <w:rPr>
                <w:b/>
              </w:rPr>
            </w:pPr>
            <w:r w:rsidRPr="0062606A">
              <w:rPr>
                <w:b/>
              </w:rPr>
              <w:t>Total</w:t>
            </w:r>
          </w:p>
          <w:p w14:paraId="22FFF7BE" w14:textId="77777777" w:rsidR="000879CA" w:rsidRPr="0062606A" w:rsidRDefault="000879CA" w:rsidP="00F95454">
            <w:pPr>
              <w:mirrorIndents/>
              <w:jc w:val="center"/>
              <w:rPr>
                <w:b/>
              </w:rPr>
            </w:pPr>
            <w:r w:rsidRPr="0062606A">
              <w:rPr>
                <w:b/>
              </w:rPr>
              <w:t>Burden</w:t>
            </w:r>
          </w:p>
          <w:p w14:paraId="50CFECF8" w14:textId="77777777" w:rsidR="000879CA" w:rsidRPr="0062606A" w:rsidRDefault="000879CA" w:rsidP="00F95454">
            <w:pPr>
              <w:mirrorIndents/>
              <w:jc w:val="center"/>
              <w:rPr>
                <w:b/>
              </w:rPr>
            </w:pPr>
            <w:r w:rsidRPr="0062606A">
              <w:rPr>
                <w:b/>
              </w:rPr>
              <w:t>Hours</w:t>
            </w:r>
          </w:p>
        </w:tc>
      </w:tr>
      <w:tr w:rsidR="00131371" w:rsidRPr="0062606A" w14:paraId="6A71D2DA" w14:textId="77777777" w:rsidTr="00C06875">
        <w:trPr>
          <w:cantSplit/>
        </w:trPr>
        <w:tc>
          <w:tcPr>
            <w:tcW w:w="1527" w:type="dxa"/>
            <w:tcBorders>
              <w:top w:val="single" w:sz="4" w:space="0" w:color="auto"/>
              <w:left w:val="single" w:sz="4" w:space="0" w:color="auto"/>
              <w:bottom w:val="single" w:sz="4" w:space="0" w:color="auto"/>
              <w:right w:val="single" w:sz="4" w:space="0" w:color="auto"/>
            </w:tcBorders>
          </w:tcPr>
          <w:p w14:paraId="7331D6BA" w14:textId="19B8BBD5" w:rsidR="00131371" w:rsidRPr="0062606A" w:rsidRDefault="00131371" w:rsidP="00131371">
            <w:pPr>
              <w:mirrorIndents/>
              <w:jc w:val="both"/>
            </w:pPr>
            <w:r>
              <w:t>Health Department</w:t>
            </w:r>
            <w:r w:rsidRPr="0062606A">
              <w:t xml:space="preserve">- </w:t>
            </w:r>
            <w:r>
              <w:t>Staff</w:t>
            </w:r>
          </w:p>
        </w:tc>
        <w:tc>
          <w:tcPr>
            <w:tcW w:w="1800" w:type="dxa"/>
            <w:tcBorders>
              <w:top w:val="single" w:sz="2" w:space="0" w:color="000000"/>
              <w:left w:val="single" w:sz="4" w:space="0" w:color="auto"/>
              <w:bottom w:val="single" w:sz="2" w:space="0" w:color="000000"/>
              <w:right w:val="nil"/>
            </w:tcBorders>
          </w:tcPr>
          <w:p w14:paraId="5A079BF9" w14:textId="33ABB3D3" w:rsidR="00131371" w:rsidRPr="0062606A" w:rsidRDefault="00131371" w:rsidP="00131371">
            <w:pPr>
              <w:ind w:left="-39" w:right="51"/>
              <w:mirrorIndents/>
              <w:rPr>
                <w:iCs/>
              </w:rPr>
            </w:pPr>
            <w:r>
              <w:rPr>
                <w:iCs/>
              </w:rPr>
              <w:t xml:space="preserve">Staff Interview </w:t>
            </w:r>
            <w:r w:rsidRPr="0062606A">
              <w:rPr>
                <w:iCs/>
              </w:rPr>
              <w:t xml:space="preserve">(Att. </w:t>
            </w:r>
            <w:r>
              <w:rPr>
                <w:iCs/>
              </w:rPr>
              <w:t>2</w:t>
            </w:r>
            <w:r w:rsidRPr="0062606A">
              <w:rPr>
                <w:iCs/>
              </w:rPr>
              <w:t>a)</w:t>
            </w:r>
          </w:p>
        </w:tc>
        <w:tc>
          <w:tcPr>
            <w:tcW w:w="1620" w:type="dxa"/>
            <w:tcBorders>
              <w:top w:val="single" w:sz="2" w:space="0" w:color="000000"/>
              <w:left w:val="single" w:sz="2" w:space="0" w:color="000000"/>
              <w:bottom w:val="single" w:sz="2" w:space="0" w:color="000000"/>
              <w:right w:val="nil"/>
            </w:tcBorders>
            <w:vAlign w:val="center"/>
          </w:tcPr>
          <w:p w14:paraId="70F789C7" w14:textId="7616760E" w:rsidR="00131371" w:rsidRPr="0062606A" w:rsidRDefault="00131371" w:rsidP="00131371">
            <w:pPr>
              <w:mirrorIndents/>
              <w:jc w:val="center"/>
            </w:pPr>
            <w:r>
              <w:t>30</w:t>
            </w:r>
          </w:p>
        </w:tc>
        <w:tc>
          <w:tcPr>
            <w:tcW w:w="1710" w:type="dxa"/>
            <w:tcBorders>
              <w:top w:val="single" w:sz="2" w:space="0" w:color="000000"/>
              <w:left w:val="single" w:sz="2" w:space="0" w:color="000000"/>
              <w:bottom w:val="single" w:sz="2" w:space="0" w:color="000000"/>
              <w:right w:val="nil"/>
            </w:tcBorders>
            <w:vAlign w:val="center"/>
          </w:tcPr>
          <w:p w14:paraId="636D8DD4" w14:textId="32F6D7FA" w:rsidR="00131371" w:rsidRPr="0062606A" w:rsidRDefault="00131371" w:rsidP="00131371">
            <w:pPr>
              <w:ind w:right="-39"/>
              <w:mirrorIndents/>
              <w:jc w:val="center"/>
              <w:rPr>
                <w:highlight w:val="yellow"/>
              </w:rP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7CE6E5A3" w14:textId="60746739" w:rsidR="00131371" w:rsidRPr="0062606A" w:rsidRDefault="002B31BA" w:rsidP="00131371">
            <w:pPr>
              <w:ind w:right="-39"/>
              <w:mirrorIndents/>
              <w:jc w:val="center"/>
              <w:rPr>
                <w:highlight w:val="yellow"/>
              </w:rPr>
            </w:pPr>
            <w:r>
              <w:t>1</w:t>
            </w:r>
          </w:p>
        </w:tc>
        <w:tc>
          <w:tcPr>
            <w:tcW w:w="1080" w:type="dxa"/>
            <w:tcBorders>
              <w:top w:val="single" w:sz="2" w:space="0" w:color="000000"/>
              <w:left w:val="single" w:sz="2" w:space="0" w:color="000000"/>
              <w:bottom w:val="single" w:sz="2" w:space="0" w:color="000000"/>
              <w:right w:val="single" w:sz="2" w:space="0" w:color="000000"/>
            </w:tcBorders>
            <w:vAlign w:val="center"/>
          </w:tcPr>
          <w:p w14:paraId="4104A66F" w14:textId="67F2AE75" w:rsidR="00131371" w:rsidRPr="0062606A" w:rsidRDefault="00131371" w:rsidP="00131371">
            <w:pPr>
              <w:mirrorIndents/>
              <w:jc w:val="center"/>
              <w:rPr>
                <w:highlight w:val="yellow"/>
              </w:rPr>
            </w:pPr>
            <w:r>
              <w:t>30</w:t>
            </w:r>
          </w:p>
        </w:tc>
      </w:tr>
      <w:tr w:rsidR="00131371" w:rsidRPr="0062606A" w14:paraId="20BDBA89" w14:textId="77777777" w:rsidTr="00C06875">
        <w:trPr>
          <w:cantSplit/>
        </w:trPr>
        <w:tc>
          <w:tcPr>
            <w:tcW w:w="1527" w:type="dxa"/>
            <w:tcBorders>
              <w:top w:val="single" w:sz="4" w:space="0" w:color="auto"/>
              <w:left w:val="single" w:sz="4" w:space="0" w:color="auto"/>
              <w:bottom w:val="single" w:sz="4" w:space="0" w:color="auto"/>
              <w:right w:val="single" w:sz="4" w:space="0" w:color="auto"/>
            </w:tcBorders>
          </w:tcPr>
          <w:p w14:paraId="718F0264" w14:textId="5BF0B238" w:rsidR="00131371" w:rsidRPr="0062606A" w:rsidRDefault="00131371" w:rsidP="00131371">
            <w:pPr>
              <w:mirrorIndents/>
              <w:jc w:val="both"/>
            </w:pPr>
            <w:r>
              <w:t>Health Department</w:t>
            </w:r>
            <w:r w:rsidRPr="0062606A">
              <w:t xml:space="preserve">- </w:t>
            </w:r>
            <w:r>
              <w:t>Supervisors</w:t>
            </w:r>
          </w:p>
        </w:tc>
        <w:tc>
          <w:tcPr>
            <w:tcW w:w="1800" w:type="dxa"/>
            <w:tcBorders>
              <w:top w:val="single" w:sz="2" w:space="0" w:color="000000"/>
              <w:left w:val="single" w:sz="4" w:space="0" w:color="auto"/>
              <w:bottom w:val="single" w:sz="2" w:space="0" w:color="000000"/>
              <w:right w:val="nil"/>
            </w:tcBorders>
          </w:tcPr>
          <w:p w14:paraId="165B9FE8" w14:textId="4D36A449" w:rsidR="00131371" w:rsidRPr="0062606A" w:rsidRDefault="00131371" w:rsidP="00131371">
            <w:pPr>
              <w:ind w:left="-39" w:right="51"/>
              <w:mirrorIndents/>
            </w:pPr>
            <w:r>
              <w:rPr>
                <w:iCs/>
              </w:rPr>
              <w:t>Supervisor</w:t>
            </w:r>
            <w:r w:rsidRPr="0062606A">
              <w:rPr>
                <w:iCs/>
              </w:rPr>
              <w:t xml:space="preserve"> Interview (Att. </w:t>
            </w:r>
            <w:r>
              <w:rPr>
                <w:iCs/>
              </w:rPr>
              <w:t>2</w:t>
            </w:r>
            <w:r w:rsidRPr="0062606A">
              <w:rPr>
                <w:iCs/>
              </w:rPr>
              <w:t>b)</w:t>
            </w:r>
          </w:p>
        </w:tc>
        <w:tc>
          <w:tcPr>
            <w:tcW w:w="1620" w:type="dxa"/>
            <w:tcBorders>
              <w:top w:val="single" w:sz="2" w:space="0" w:color="000000"/>
              <w:left w:val="single" w:sz="2" w:space="0" w:color="000000"/>
              <w:bottom w:val="single" w:sz="2" w:space="0" w:color="000000"/>
              <w:right w:val="nil"/>
            </w:tcBorders>
            <w:vAlign w:val="center"/>
          </w:tcPr>
          <w:p w14:paraId="54123835" w14:textId="57DC71D1" w:rsidR="00131371" w:rsidRPr="0062606A" w:rsidRDefault="00131371" w:rsidP="00131371">
            <w:pPr>
              <w:mirrorIndents/>
              <w:jc w:val="center"/>
            </w:pPr>
            <w:r>
              <w:t>20</w:t>
            </w:r>
          </w:p>
        </w:tc>
        <w:tc>
          <w:tcPr>
            <w:tcW w:w="1710" w:type="dxa"/>
            <w:tcBorders>
              <w:top w:val="single" w:sz="2" w:space="0" w:color="000000"/>
              <w:left w:val="single" w:sz="2" w:space="0" w:color="000000"/>
              <w:bottom w:val="single" w:sz="2" w:space="0" w:color="000000"/>
              <w:right w:val="nil"/>
            </w:tcBorders>
            <w:vAlign w:val="center"/>
          </w:tcPr>
          <w:p w14:paraId="5A033A8B" w14:textId="6935FAE5" w:rsidR="00131371" w:rsidRPr="0062606A" w:rsidRDefault="00131371" w:rsidP="00131371">
            <w:pPr>
              <w:ind w:right="-39"/>
              <w:mirrorIndents/>
              <w:jc w:val="cente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48E9D8E9" w14:textId="4B14941C" w:rsidR="00131371" w:rsidRPr="0062606A" w:rsidRDefault="002B31BA" w:rsidP="00131371">
            <w:pPr>
              <w:ind w:right="-39"/>
              <w:mirrorIndents/>
              <w:jc w:val="center"/>
            </w:pPr>
            <w:r>
              <w:t>1</w:t>
            </w:r>
          </w:p>
        </w:tc>
        <w:tc>
          <w:tcPr>
            <w:tcW w:w="1080" w:type="dxa"/>
            <w:tcBorders>
              <w:top w:val="single" w:sz="2" w:space="0" w:color="000000"/>
              <w:left w:val="single" w:sz="2" w:space="0" w:color="000000"/>
              <w:bottom w:val="single" w:sz="2" w:space="0" w:color="000000"/>
              <w:right w:val="single" w:sz="2" w:space="0" w:color="000000"/>
            </w:tcBorders>
            <w:vAlign w:val="center"/>
          </w:tcPr>
          <w:p w14:paraId="4E334A7F" w14:textId="4F312224" w:rsidR="00131371" w:rsidRPr="0062606A" w:rsidRDefault="00131371" w:rsidP="00131371">
            <w:pPr>
              <w:mirrorIndents/>
              <w:jc w:val="center"/>
            </w:pPr>
            <w:r>
              <w:t>20</w:t>
            </w:r>
          </w:p>
        </w:tc>
      </w:tr>
      <w:tr w:rsidR="000879CA" w:rsidRPr="0062606A" w14:paraId="003AEEEE" w14:textId="77777777" w:rsidTr="0025627B">
        <w:trPr>
          <w:cantSplit/>
        </w:trPr>
        <w:tc>
          <w:tcPr>
            <w:tcW w:w="8637"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2606A" w:rsidRDefault="000879CA" w:rsidP="00F95454">
            <w:pPr>
              <w:ind w:right="224"/>
              <w:mirrorIndents/>
              <w:jc w:val="right"/>
              <w:rPr>
                <w:b/>
              </w:rPr>
            </w:pPr>
            <w:r w:rsidRPr="0062606A">
              <w:rPr>
                <w:b/>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14:paraId="544BEFCA" w14:textId="28FC9694" w:rsidR="000879CA" w:rsidRPr="0062606A" w:rsidRDefault="00131371" w:rsidP="00FD6AEB">
            <w:pPr>
              <w:mirrorIndents/>
              <w:jc w:val="center"/>
              <w:rPr>
                <w:b/>
              </w:rPr>
            </w:pPr>
            <w:r>
              <w:rPr>
                <w:b/>
              </w:rPr>
              <w:t>50</w:t>
            </w:r>
          </w:p>
        </w:tc>
      </w:tr>
    </w:tbl>
    <w:p w14:paraId="6FECCC11" w14:textId="77777777" w:rsidR="00332F80" w:rsidRPr="00603813" w:rsidRDefault="00332F80" w:rsidP="00F95454">
      <w:pPr>
        <w:spacing w:before="120" w:after="120"/>
        <w:mirrorIndents/>
        <w:rPr>
          <w:b/>
        </w:rPr>
      </w:pPr>
    </w:p>
    <w:p w14:paraId="6A5D9D70" w14:textId="0327A8B9" w:rsidR="00332F80" w:rsidRPr="00E6566E" w:rsidRDefault="00332F80" w:rsidP="00F95454">
      <w:pPr>
        <w:pStyle w:val="Heading2"/>
        <w:spacing w:before="120" w:after="120"/>
        <w:mirrorIndents/>
        <w:rPr>
          <w:b w:val="0"/>
        </w:rPr>
      </w:pPr>
      <w:bookmarkStart w:id="19" w:name="_Toc444867859"/>
      <w:bookmarkStart w:id="20" w:name="_Toc444883710"/>
      <w:bookmarkStart w:id="21" w:name="_Toc445385235"/>
      <w:bookmarkStart w:id="22" w:name="_Toc448296085"/>
      <w:r w:rsidRPr="00E6566E">
        <w:t>Estimated Annualized Burden Costs</w:t>
      </w:r>
      <w:bookmarkEnd w:id="19"/>
      <w:bookmarkEnd w:id="20"/>
      <w:bookmarkEnd w:id="21"/>
      <w:bookmarkEnd w:id="22"/>
    </w:p>
    <w:p w14:paraId="220EC10A" w14:textId="66527402" w:rsidR="00332F80" w:rsidRPr="00603813" w:rsidRDefault="00332F80" w:rsidP="00F95454">
      <w:pPr>
        <w:spacing w:before="120" w:after="120"/>
        <w:mirrorIndents/>
      </w:pPr>
      <w:r w:rsidRPr="007E5176">
        <w:t xml:space="preserve">The annualized costs to the </w:t>
      </w:r>
      <w:r w:rsidR="003C10A5">
        <w:t>participants</w:t>
      </w:r>
      <w:r w:rsidRPr="007E5176">
        <w:t xml:space="preserve"> are described in Exhibit </w:t>
      </w:r>
      <w:r w:rsidR="0029515C" w:rsidRPr="007E5176">
        <w:t>12</w:t>
      </w:r>
      <w:r w:rsidR="00DE4370" w:rsidRPr="007E5176">
        <w:t>.</w:t>
      </w:r>
      <w:r w:rsidR="002E5112">
        <w:t>2</w:t>
      </w:r>
      <w:r w:rsidRPr="007E5176">
        <w:t xml:space="preserve">. The United States </w:t>
      </w:r>
      <w:r w:rsidR="0029515C" w:rsidRPr="007E5176">
        <w:t>Bureau</w:t>
      </w:r>
      <w:r w:rsidRPr="007E5176">
        <w:t xml:space="preserve"> of Labor Statistics</w:t>
      </w:r>
      <w:r w:rsidR="0029515C" w:rsidRPr="007E5176">
        <w:t xml:space="preserve">’ employment and wages estimates </w:t>
      </w:r>
      <w:r w:rsidR="0029515C" w:rsidRPr="000E1E22">
        <w:t>from</w:t>
      </w:r>
      <w:r w:rsidRPr="000E1E22">
        <w:t xml:space="preserve"> </w:t>
      </w:r>
      <w:r w:rsidR="00EB7D6E" w:rsidRPr="000E1E22">
        <w:t xml:space="preserve">April </w:t>
      </w:r>
      <w:r w:rsidR="002763E2" w:rsidRPr="000E1E22">
        <w:t>5</w:t>
      </w:r>
      <w:r w:rsidR="00EB7D6E" w:rsidRPr="000E1E22">
        <w:t>, 201</w:t>
      </w:r>
      <w:r w:rsidR="002763E2" w:rsidRPr="000E1E22">
        <w:t xml:space="preserve">9 </w:t>
      </w:r>
      <w:r w:rsidR="0029515C" w:rsidRPr="000E1E22">
        <w:t>(</w:t>
      </w:r>
      <w:hyperlink r:id="rId9" w:history="1">
        <w:r w:rsidR="00EB7D6E" w:rsidRPr="000E1E22">
          <w:rPr>
            <w:rStyle w:val="Hyperlink"/>
          </w:rPr>
          <w:t>https://www.bls.gov/news.release/empsit.t19.htm</w:t>
        </w:r>
      </w:hyperlink>
      <w:r w:rsidR="00EB7D6E" w:rsidRPr="000E1E22">
        <w:t xml:space="preserve"> </w:t>
      </w:r>
      <w:r w:rsidR="00506E45" w:rsidRPr="000E1E22">
        <w:t>)</w:t>
      </w:r>
      <w:r w:rsidRPr="000E1E22">
        <w:rPr>
          <w:color w:val="0070C0"/>
        </w:rPr>
        <w:t xml:space="preserve"> </w:t>
      </w:r>
      <w:hyperlink w:history="1"/>
      <w:r w:rsidRPr="000E1E22">
        <w:t>w</w:t>
      </w:r>
      <w:r w:rsidR="0029515C" w:rsidRPr="000E1E22">
        <w:t>ere</w:t>
      </w:r>
      <w:r w:rsidRPr="000E1E22">
        <w:t xml:space="preserve"> used to estimate the hourly wage rate for </w:t>
      </w:r>
      <w:r w:rsidR="00940241" w:rsidRPr="000E1E22">
        <w:t>“</w:t>
      </w:r>
      <w:r w:rsidR="002763E2" w:rsidRPr="000E1E22">
        <w:t>education and health</w:t>
      </w:r>
      <w:r w:rsidR="00940241" w:rsidRPr="000E1E22">
        <w:t xml:space="preserve"> services” provided by </w:t>
      </w:r>
      <w:r w:rsidRPr="000E1E22">
        <w:t xml:space="preserve">the general public for the purpose of this GenIC request. The total estimated cost of the burden to </w:t>
      </w:r>
      <w:r w:rsidR="003C10A5" w:rsidRPr="000E1E22">
        <w:t>participants</w:t>
      </w:r>
      <w:r w:rsidRPr="000E1E22">
        <w:t xml:space="preserve"> is approximately </w:t>
      </w:r>
      <w:r w:rsidR="002E50F1" w:rsidRPr="000E1E22">
        <w:t>$</w:t>
      </w:r>
      <w:r w:rsidR="00F6027D" w:rsidRPr="000E1E22">
        <w:t>1,372.50</w:t>
      </w:r>
      <w:r w:rsidR="00943B21" w:rsidRPr="000E1E22">
        <w:t>.  This</w:t>
      </w:r>
      <w:r w:rsidRPr="000E1E22">
        <w:t xml:space="preserve"> cost represents the total burde</w:t>
      </w:r>
      <w:r w:rsidR="003C10A5" w:rsidRPr="000E1E22">
        <w:t>n hours of general participant</w:t>
      </w:r>
      <w:r w:rsidRPr="000E1E22">
        <w:t xml:space="preserve">s multiplied by the average hourly wage rate </w:t>
      </w:r>
      <w:r w:rsidR="00DF291A" w:rsidRPr="000E1E22">
        <w:t>$</w:t>
      </w:r>
      <w:r w:rsidR="002763E2" w:rsidRPr="000E1E22">
        <w:t>27.45</w:t>
      </w:r>
      <w:r w:rsidRPr="000E1E22">
        <w:t>.</w:t>
      </w:r>
      <w:r w:rsidRPr="00603813">
        <w:t xml:space="preserve"> </w:t>
      </w:r>
    </w:p>
    <w:p w14:paraId="46305BF3" w14:textId="730AFC15" w:rsidR="00E53653" w:rsidRPr="007376F4" w:rsidRDefault="00332F80" w:rsidP="00F95454">
      <w:pPr>
        <w:pStyle w:val="Caption"/>
        <w:spacing w:before="120" w:after="120"/>
        <w:mirrorIndents/>
      </w:pPr>
      <w:r w:rsidRPr="00603813">
        <w:t xml:space="preserve"> </w:t>
      </w:r>
      <w:bookmarkStart w:id="23" w:name="_Toc449541624"/>
      <w:r w:rsidR="00E53653"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C297C">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C297C">
        <w:rPr>
          <w:noProof/>
          <w:sz w:val="24"/>
          <w:szCs w:val="24"/>
        </w:rPr>
        <w:t>2</w:t>
      </w:r>
      <w:r w:rsidR="00C91C02">
        <w:rPr>
          <w:sz w:val="24"/>
          <w:szCs w:val="24"/>
        </w:rPr>
        <w:fldChar w:fldCharType="end"/>
      </w:r>
      <w:r w:rsidR="00E53653" w:rsidRPr="00E6566E">
        <w:rPr>
          <w:sz w:val="24"/>
          <w:szCs w:val="24"/>
        </w:rPr>
        <w:t xml:space="preserve">: Estimated Annualized Burden </w:t>
      </w:r>
      <w:r w:rsidR="00CC5FFB">
        <w:rPr>
          <w:sz w:val="24"/>
          <w:szCs w:val="24"/>
        </w:rPr>
        <w:t>Costs</w:t>
      </w:r>
      <w:bookmarkEnd w:id="23"/>
    </w:p>
    <w:tbl>
      <w:tblPr>
        <w:tblW w:w="8367" w:type="dxa"/>
        <w:tblLayout w:type="fixed"/>
        <w:tblCellMar>
          <w:left w:w="129" w:type="dxa"/>
          <w:right w:w="129" w:type="dxa"/>
        </w:tblCellMar>
        <w:tblLook w:val="0000" w:firstRow="0" w:lastRow="0" w:firstColumn="0" w:lastColumn="0" w:noHBand="0" w:noVBand="0"/>
      </w:tblPr>
      <w:tblGrid>
        <w:gridCol w:w="1890"/>
        <w:gridCol w:w="2067"/>
        <w:gridCol w:w="1350"/>
        <w:gridCol w:w="1350"/>
        <w:gridCol w:w="1710"/>
      </w:tblGrid>
      <w:tr w:rsidR="00332F80" w:rsidRPr="0062606A" w14:paraId="5A5AB004" w14:textId="77777777" w:rsidTr="0025627B">
        <w:trPr>
          <w:cantSplit/>
          <w:tblHeader/>
        </w:trPr>
        <w:tc>
          <w:tcPr>
            <w:tcW w:w="1890" w:type="dxa"/>
            <w:tcBorders>
              <w:top w:val="single" w:sz="2" w:space="0" w:color="000000"/>
              <w:left w:val="single" w:sz="2" w:space="0" w:color="000000"/>
              <w:bottom w:val="nil"/>
              <w:right w:val="nil"/>
            </w:tcBorders>
          </w:tcPr>
          <w:p w14:paraId="516F241C" w14:textId="77777777" w:rsidR="00332F80" w:rsidRPr="0062606A" w:rsidRDefault="00332F80" w:rsidP="00F95454">
            <w:pPr>
              <w:mirrorIndents/>
              <w:rPr>
                <w:b/>
              </w:rPr>
            </w:pPr>
            <w:r w:rsidRPr="0062606A">
              <w:rPr>
                <w:b/>
              </w:rPr>
              <w:t>Type of Respondent</w:t>
            </w:r>
          </w:p>
        </w:tc>
        <w:tc>
          <w:tcPr>
            <w:tcW w:w="2067" w:type="dxa"/>
            <w:tcBorders>
              <w:top w:val="single" w:sz="2" w:space="0" w:color="000000"/>
              <w:left w:val="single" w:sz="2" w:space="0" w:color="000000"/>
              <w:bottom w:val="nil"/>
              <w:right w:val="nil"/>
            </w:tcBorders>
          </w:tcPr>
          <w:p w14:paraId="2FC92B67" w14:textId="77777777" w:rsidR="00332F80" w:rsidRPr="0062606A" w:rsidRDefault="00332F80" w:rsidP="00F95454">
            <w:pPr>
              <w:mirrorIndents/>
              <w:rPr>
                <w:b/>
              </w:rPr>
            </w:pPr>
            <w:r w:rsidRPr="0062606A">
              <w:rPr>
                <w:b/>
              </w:rPr>
              <w:t>Form Name</w:t>
            </w:r>
          </w:p>
        </w:tc>
        <w:tc>
          <w:tcPr>
            <w:tcW w:w="1350" w:type="dxa"/>
            <w:tcBorders>
              <w:top w:val="single" w:sz="2" w:space="0" w:color="000000"/>
              <w:left w:val="single" w:sz="2" w:space="0" w:color="000000"/>
              <w:bottom w:val="nil"/>
              <w:right w:val="nil"/>
            </w:tcBorders>
          </w:tcPr>
          <w:p w14:paraId="5392D11A" w14:textId="37768470" w:rsidR="00332F80" w:rsidRPr="0062606A" w:rsidRDefault="00332F80" w:rsidP="00F95454">
            <w:pPr>
              <w:mirrorIndents/>
              <w:jc w:val="center"/>
              <w:rPr>
                <w:b/>
              </w:rPr>
            </w:pPr>
            <w:r w:rsidRPr="0062606A">
              <w:rPr>
                <w:b/>
              </w:rPr>
              <w:t>Total</w:t>
            </w:r>
          </w:p>
          <w:p w14:paraId="426CC59C" w14:textId="77777777" w:rsidR="00332F80" w:rsidRPr="0062606A" w:rsidRDefault="00332F80" w:rsidP="00F95454">
            <w:pPr>
              <w:mirrorIndents/>
              <w:jc w:val="center"/>
              <w:rPr>
                <w:b/>
              </w:rPr>
            </w:pPr>
            <w:r w:rsidRPr="0062606A">
              <w:rPr>
                <w:b/>
              </w:rPr>
              <w:t>Burden</w:t>
            </w:r>
          </w:p>
          <w:p w14:paraId="61E5D27A" w14:textId="77777777" w:rsidR="00332F80" w:rsidRPr="0062606A" w:rsidRDefault="00332F80" w:rsidP="00F95454">
            <w:pPr>
              <w:mirrorIndents/>
              <w:jc w:val="center"/>
              <w:rPr>
                <w:b/>
              </w:rPr>
            </w:pPr>
            <w:r w:rsidRPr="0062606A">
              <w:rPr>
                <w:b/>
              </w:rPr>
              <w:t>Hours</w:t>
            </w:r>
          </w:p>
        </w:tc>
        <w:tc>
          <w:tcPr>
            <w:tcW w:w="1350" w:type="dxa"/>
            <w:tcBorders>
              <w:top w:val="single" w:sz="2" w:space="0" w:color="000000"/>
              <w:left w:val="single" w:sz="2" w:space="0" w:color="000000"/>
              <w:bottom w:val="nil"/>
              <w:right w:val="nil"/>
            </w:tcBorders>
          </w:tcPr>
          <w:p w14:paraId="48C8863C" w14:textId="77777777" w:rsidR="00332F80" w:rsidRPr="0062606A" w:rsidRDefault="00332F80" w:rsidP="00F95454">
            <w:pPr>
              <w:mirrorIndents/>
              <w:jc w:val="center"/>
              <w:rPr>
                <w:b/>
              </w:rPr>
            </w:pPr>
            <w:r w:rsidRPr="0062606A">
              <w:rPr>
                <w:b/>
              </w:rPr>
              <w:t>Hourly Wage Rate</w:t>
            </w:r>
          </w:p>
        </w:tc>
        <w:tc>
          <w:tcPr>
            <w:tcW w:w="1710" w:type="dxa"/>
            <w:tcBorders>
              <w:top w:val="single" w:sz="2" w:space="0" w:color="000000"/>
              <w:left w:val="single" w:sz="2" w:space="0" w:color="000000"/>
              <w:bottom w:val="nil"/>
              <w:right w:val="single" w:sz="2" w:space="0" w:color="000000"/>
            </w:tcBorders>
          </w:tcPr>
          <w:p w14:paraId="4FD2858F" w14:textId="77777777" w:rsidR="00332F80" w:rsidRPr="0062606A" w:rsidRDefault="00332F80" w:rsidP="00F95454">
            <w:pPr>
              <w:mirrorIndents/>
              <w:jc w:val="center"/>
              <w:rPr>
                <w:b/>
              </w:rPr>
            </w:pPr>
            <w:r w:rsidRPr="0062606A">
              <w:rPr>
                <w:b/>
              </w:rPr>
              <w:t>Total Respondent Costs</w:t>
            </w:r>
          </w:p>
        </w:tc>
      </w:tr>
      <w:tr w:rsidR="005F32F0" w:rsidRPr="0062606A" w14:paraId="1A3C6131"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38D70117" w14:textId="7EB9CCD3" w:rsidR="005F32F0" w:rsidRPr="0062606A" w:rsidRDefault="002763E2" w:rsidP="002763E2">
            <w:pPr>
              <w:mirrorIndents/>
            </w:pPr>
            <w:r>
              <w:t>Health Department</w:t>
            </w:r>
            <w:r w:rsidR="005F32F0" w:rsidRPr="0062606A">
              <w:t xml:space="preserve">- </w:t>
            </w:r>
            <w:r>
              <w:t>Staff</w:t>
            </w:r>
          </w:p>
        </w:tc>
        <w:tc>
          <w:tcPr>
            <w:tcW w:w="2067" w:type="dxa"/>
            <w:tcBorders>
              <w:top w:val="single" w:sz="2" w:space="0" w:color="000000"/>
              <w:left w:val="single" w:sz="4" w:space="0" w:color="auto"/>
              <w:bottom w:val="single" w:sz="2" w:space="0" w:color="000000"/>
              <w:right w:val="nil"/>
            </w:tcBorders>
          </w:tcPr>
          <w:p w14:paraId="2B5195DD" w14:textId="18DF1F86" w:rsidR="005F32F0" w:rsidRPr="0062606A" w:rsidRDefault="002763E2" w:rsidP="002763E2">
            <w:pPr>
              <w:ind w:left="-39" w:right="51"/>
              <w:mirrorIndents/>
              <w:rPr>
                <w:iCs/>
              </w:rPr>
            </w:pPr>
            <w:r>
              <w:rPr>
                <w:iCs/>
              </w:rPr>
              <w:t xml:space="preserve">Staff Interview </w:t>
            </w:r>
            <w:r w:rsidR="00637F5D" w:rsidRPr="0062606A">
              <w:rPr>
                <w:iCs/>
              </w:rPr>
              <w:t>(Att</w:t>
            </w:r>
            <w:r w:rsidR="00B65A4F" w:rsidRPr="0062606A">
              <w:rPr>
                <w:iCs/>
              </w:rPr>
              <w:t>.</w:t>
            </w:r>
            <w:r w:rsidR="00637F5D" w:rsidRPr="0062606A">
              <w:rPr>
                <w:iCs/>
              </w:rPr>
              <w:t xml:space="preserve"> </w:t>
            </w:r>
            <w:r>
              <w:rPr>
                <w:iCs/>
              </w:rPr>
              <w:t>2</w:t>
            </w:r>
            <w:r w:rsidR="00637F5D" w:rsidRPr="0062606A">
              <w:rPr>
                <w:iCs/>
              </w:rPr>
              <w:t>a)</w:t>
            </w:r>
          </w:p>
        </w:tc>
        <w:tc>
          <w:tcPr>
            <w:tcW w:w="1350" w:type="dxa"/>
            <w:tcBorders>
              <w:top w:val="single" w:sz="2" w:space="0" w:color="000000"/>
              <w:left w:val="single" w:sz="2" w:space="0" w:color="000000"/>
              <w:bottom w:val="single" w:sz="2" w:space="0" w:color="000000"/>
              <w:right w:val="nil"/>
            </w:tcBorders>
            <w:vAlign w:val="center"/>
          </w:tcPr>
          <w:p w14:paraId="73EF1633" w14:textId="1243EF89" w:rsidR="005F32F0" w:rsidRPr="0062606A" w:rsidRDefault="002763E2" w:rsidP="00F95454">
            <w:pPr>
              <w:mirrorIndents/>
              <w:jc w:val="center"/>
            </w:pPr>
            <w:r>
              <w:t>30</w:t>
            </w:r>
          </w:p>
        </w:tc>
        <w:tc>
          <w:tcPr>
            <w:tcW w:w="1350" w:type="dxa"/>
            <w:tcBorders>
              <w:top w:val="single" w:sz="2" w:space="0" w:color="000000"/>
              <w:left w:val="single" w:sz="2" w:space="0" w:color="000000"/>
              <w:bottom w:val="single" w:sz="2" w:space="0" w:color="000000"/>
              <w:right w:val="nil"/>
            </w:tcBorders>
            <w:vAlign w:val="center"/>
          </w:tcPr>
          <w:p w14:paraId="36339757" w14:textId="7A693F1E" w:rsidR="005F32F0" w:rsidRPr="0062606A" w:rsidRDefault="00DF291A" w:rsidP="00F6027D">
            <w:pPr>
              <w:ind w:right="-39"/>
              <w:mirrorIndents/>
              <w:jc w:val="center"/>
            </w:pPr>
            <w:r w:rsidRPr="0062606A">
              <w:t>$</w:t>
            </w:r>
            <w:r w:rsidR="00F6027D">
              <w:t>27.45</w:t>
            </w:r>
          </w:p>
        </w:tc>
        <w:tc>
          <w:tcPr>
            <w:tcW w:w="1710" w:type="dxa"/>
            <w:tcBorders>
              <w:top w:val="single" w:sz="2" w:space="0" w:color="000000"/>
              <w:left w:val="single" w:sz="2" w:space="0" w:color="000000"/>
              <w:bottom w:val="single" w:sz="2" w:space="0" w:color="000000"/>
              <w:right w:val="single" w:sz="2" w:space="0" w:color="000000"/>
            </w:tcBorders>
            <w:vAlign w:val="center"/>
          </w:tcPr>
          <w:p w14:paraId="7441C556" w14:textId="40FE6823" w:rsidR="005F32F0" w:rsidRPr="0062606A" w:rsidRDefault="00DF291A" w:rsidP="00F6027D">
            <w:pPr>
              <w:ind w:right="-39"/>
              <w:mirrorIndents/>
              <w:jc w:val="center"/>
            </w:pPr>
            <w:r w:rsidRPr="0062606A">
              <w:t>$</w:t>
            </w:r>
            <w:r w:rsidR="00F6027D">
              <w:t>823.50</w:t>
            </w:r>
          </w:p>
        </w:tc>
      </w:tr>
      <w:tr w:rsidR="007E5176" w:rsidRPr="0062606A" w14:paraId="7EE2C3DA"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3A2C6E2" w:rsidR="007E5176" w:rsidRPr="0062606A" w:rsidRDefault="002763E2" w:rsidP="002763E2">
            <w:pPr>
              <w:mirrorIndents/>
            </w:pPr>
            <w:r>
              <w:t>Health Department</w:t>
            </w:r>
            <w:r w:rsidR="007E5176" w:rsidRPr="0062606A">
              <w:t xml:space="preserve">- </w:t>
            </w:r>
            <w:r>
              <w:t>Supervisors</w:t>
            </w:r>
          </w:p>
        </w:tc>
        <w:tc>
          <w:tcPr>
            <w:tcW w:w="2067" w:type="dxa"/>
            <w:tcBorders>
              <w:top w:val="single" w:sz="2" w:space="0" w:color="000000"/>
              <w:left w:val="single" w:sz="4" w:space="0" w:color="auto"/>
              <w:bottom w:val="single" w:sz="2" w:space="0" w:color="000000"/>
              <w:right w:val="nil"/>
            </w:tcBorders>
          </w:tcPr>
          <w:p w14:paraId="23BDDF95" w14:textId="44035571" w:rsidR="007E5176" w:rsidRPr="0062606A" w:rsidRDefault="002763E2" w:rsidP="002763E2">
            <w:pPr>
              <w:ind w:left="-39" w:right="51"/>
              <w:mirrorIndents/>
            </w:pPr>
            <w:r>
              <w:rPr>
                <w:iCs/>
              </w:rPr>
              <w:t>Supervisor</w:t>
            </w:r>
            <w:r w:rsidR="002368E4" w:rsidRPr="0062606A">
              <w:rPr>
                <w:iCs/>
              </w:rPr>
              <w:t xml:space="preserve"> Interview</w:t>
            </w:r>
            <w:r w:rsidR="00637F5D" w:rsidRPr="0062606A">
              <w:rPr>
                <w:iCs/>
              </w:rPr>
              <w:t xml:space="preserve"> </w:t>
            </w:r>
            <w:r w:rsidR="003E478F" w:rsidRPr="0062606A">
              <w:rPr>
                <w:iCs/>
              </w:rPr>
              <w:t xml:space="preserve">(Att. </w:t>
            </w:r>
            <w:r>
              <w:rPr>
                <w:iCs/>
              </w:rPr>
              <w:t>2</w:t>
            </w:r>
            <w:r w:rsidR="003E478F" w:rsidRPr="0062606A">
              <w:rPr>
                <w:iCs/>
              </w:rPr>
              <w:t>b</w:t>
            </w:r>
            <w:r w:rsidR="007E5176" w:rsidRPr="0062606A">
              <w:rPr>
                <w:iCs/>
              </w:rPr>
              <w:t>)</w:t>
            </w:r>
          </w:p>
        </w:tc>
        <w:tc>
          <w:tcPr>
            <w:tcW w:w="1350" w:type="dxa"/>
            <w:tcBorders>
              <w:top w:val="single" w:sz="2" w:space="0" w:color="000000"/>
              <w:left w:val="single" w:sz="2" w:space="0" w:color="000000"/>
              <w:bottom w:val="single" w:sz="2" w:space="0" w:color="000000"/>
              <w:right w:val="nil"/>
            </w:tcBorders>
            <w:vAlign w:val="center"/>
          </w:tcPr>
          <w:p w14:paraId="46372667" w14:textId="6269EC7A" w:rsidR="007E5176" w:rsidRPr="0062606A" w:rsidRDefault="002763E2" w:rsidP="00F95454">
            <w:pPr>
              <w:mirrorIndents/>
              <w:jc w:val="center"/>
            </w:pPr>
            <w:r>
              <w:t>20</w:t>
            </w:r>
          </w:p>
        </w:tc>
        <w:tc>
          <w:tcPr>
            <w:tcW w:w="1350" w:type="dxa"/>
            <w:tcBorders>
              <w:top w:val="single" w:sz="2" w:space="0" w:color="000000"/>
              <w:left w:val="single" w:sz="2" w:space="0" w:color="000000"/>
              <w:bottom w:val="single" w:sz="2" w:space="0" w:color="000000"/>
              <w:right w:val="nil"/>
            </w:tcBorders>
            <w:vAlign w:val="center"/>
          </w:tcPr>
          <w:p w14:paraId="4CC91E00" w14:textId="15C43BCB" w:rsidR="007E5176" w:rsidRPr="0062606A" w:rsidRDefault="00DF291A" w:rsidP="00F6027D">
            <w:pPr>
              <w:ind w:right="-39"/>
              <w:mirrorIndents/>
              <w:jc w:val="center"/>
            </w:pPr>
            <w:r w:rsidRPr="0062606A">
              <w:t>$</w:t>
            </w:r>
            <w:r w:rsidR="00F6027D">
              <w:t>27.45</w:t>
            </w:r>
          </w:p>
        </w:tc>
        <w:tc>
          <w:tcPr>
            <w:tcW w:w="1710" w:type="dxa"/>
            <w:tcBorders>
              <w:top w:val="single" w:sz="2" w:space="0" w:color="000000"/>
              <w:left w:val="single" w:sz="2" w:space="0" w:color="000000"/>
              <w:bottom w:val="single" w:sz="2" w:space="0" w:color="000000"/>
              <w:right w:val="single" w:sz="2" w:space="0" w:color="000000"/>
            </w:tcBorders>
            <w:vAlign w:val="center"/>
          </w:tcPr>
          <w:p w14:paraId="5A90C502" w14:textId="077A1E95" w:rsidR="007E5176" w:rsidRPr="0062606A" w:rsidRDefault="00DF291A" w:rsidP="00F6027D">
            <w:pPr>
              <w:ind w:right="-39"/>
              <w:mirrorIndents/>
              <w:jc w:val="center"/>
            </w:pPr>
            <w:r w:rsidRPr="0062606A">
              <w:t>$</w:t>
            </w:r>
            <w:r w:rsidR="00F6027D">
              <w:t>549.00</w:t>
            </w:r>
          </w:p>
        </w:tc>
      </w:tr>
      <w:tr w:rsidR="00E95779" w:rsidRPr="0062606A" w14:paraId="00222644" w14:textId="77777777" w:rsidTr="0025627B">
        <w:trPr>
          <w:cantSplit/>
        </w:trPr>
        <w:tc>
          <w:tcPr>
            <w:tcW w:w="8367" w:type="dxa"/>
            <w:gridSpan w:val="5"/>
            <w:tcBorders>
              <w:top w:val="single" w:sz="2" w:space="0" w:color="000000"/>
              <w:left w:val="single" w:sz="2" w:space="0" w:color="000000"/>
              <w:bottom w:val="single" w:sz="2" w:space="0" w:color="000000"/>
              <w:right w:val="single" w:sz="2" w:space="0" w:color="000000"/>
            </w:tcBorders>
          </w:tcPr>
          <w:p w14:paraId="24F9042E" w14:textId="4DF9F66D" w:rsidR="00E95779" w:rsidRPr="0062606A" w:rsidRDefault="00E95779" w:rsidP="00F6027D">
            <w:pPr>
              <w:ind w:right="224"/>
              <w:mirrorIndents/>
              <w:jc w:val="right"/>
              <w:rPr>
                <w:b/>
              </w:rPr>
            </w:pPr>
            <w:r w:rsidRPr="0062606A">
              <w:rPr>
                <w:b/>
              </w:rPr>
              <w:t xml:space="preserve">Total </w:t>
            </w:r>
            <w:r w:rsidR="002E50F1">
              <w:rPr>
                <w:b/>
              </w:rPr>
              <w:t>$</w:t>
            </w:r>
            <w:r w:rsidR="00F6027D">
              <w:rPr>
                <w:b/>
              </w:rPr>
              <w:t>1,372.50</w:t>
            </w:r>
          </w:p>
        </w:tc>
      </w:tr>
    </w:tbl>
    <w:p w14:paraId="0E4B630F" w14:textId="77777777" w:rsidR="00E76B94" w:rsidRDefault="00E76B94" w:rsidP="00E76B94">
      <w:pPr>
        <w:pStyle w:val="Heading1"/>
        <w:numPr>
          <w:ilvl w:val="0"/>
          <w:numId w:val="0"/>
        </w:numPr>
        <w:spacing w:before="120" w:after="120"/>
        <w:ind w:left="432"/>
        <w:mirrorIndents/>
      </w:pPr>
      <w:bookmarkStart w:id="24" w:name="_Toc448296086"/>
    </w:p>
    <w:p w14:paraId="11D43D79" w14:textId="765DF9F7" w:rsidR="00B12EA3" w:rsidRDefault="00B12EA3" w:rsidP="00F95454">
      <w:pPr>
        <w:pStyle w:val="Heading1"/>
        <w:spacing w:before="120" w:after="120"/>
        <w:mirrorIndents/>
      </w:pPr>
      <w:r w:rsidRPr="00B12EA3">
        <w:t>Estimates of Other Total Annual Cost Burden to Respondents and Record Keepers</w:t>
      </w:r>
      <w:bookmarkEnd w:id="24"/>
    </w:p>
    <w:p w14:paraId="66DF91DD" w14:textId="7AC6A382" w:rsidR="00332F80" w:rsidRDefault="00332F80" w:rsidP="00F95454">
      <w:pPr>
        <w:spacing w:before="120" w:after="120"/>
        <w:mirrorIndents/>
      </w:pPr>
      <w:r w:rsidRPr="00F15684">
        <w:t xml:space="preserve">There are no </w:t>
      </w:r>
      <w:r w:rsidR="00747020" w:rsidRPr="00F15684">
        <w:t xml:space="preserve">other </w:t>
      </w:r>
      <w:r w:rsidR="003C10A5">
        <w:t>costs to participant</w:t>
      </w:r>
      <w:r w:rsidRPr="00F15684">
        <w:t>s for participating in this survey.</w:t>
      </w:r>
    </w:p>
    <w:p w14:paraId="4FA662BE" w14:textId="77777777" w:rsidR="00015AE7" w:rsidRPr="00F951D1" w:rsidRDefault="00015AE7" w:rsidP="00F95454">
      <w:pPr>
        <w:spacing w:before="120" w:after="120"/>
        <w:mirrorIndents/>
      </w:pPr>
    </w:p>
    <w:p w14:paraId="30DCC62D" w14:textId="14BC7D11" w:rsidR="00332F80" w:rsidRDefault="00B12EA3" w:rsidP="00F95454">
      <w:pPr>
        <w:pStyle w:val="Heading1"/>
        <w:spacing w:before="120" w:after="120"/>
        <w:mirrorIndents/>
      </w:pPr>
      <w:bookmarkStart w:id="25" w:name="_Toc448296087"/>
      <w:r w:rsidRPr="00E6566E">
        <w:t>Annualized Cost to the Federal Government</w:t>
      </w:r>
      <w:bookmarkEnd w:id="25"/>
    </w:p>
    <w:p w14:paraId="2C85965F" w14:textId="039FF664" w:rsidR="00B65A4F" w:rsidRPr="000E1E22" w:rsidRDefault="00B65A4F" w:rsidP="00F95454">
      <w:pPr>
        <w:spacing w:before="120" w:after="120"/>
        <w:mirrorIndents/>
      </w:pPr>
      <w:r>
        <w:t>Exhibit 14.1</w:t>
      </w:r>
      <w:r w:rsidRPr="00B65A4F">
        <w:t xml:space="preserve"> provides the annualized cost to the government</w:t>
      </w:r>
      <w:r w:rsidRPr="006A4424">
        <w:t xml:space="preserve">, </w:t>
      </w:r>
      <w:r w:rsidRPr="000E1E22">
        <w:t>which totals $</w:t>
      </w:r>
      <w:r w:rsidR="00DF6BCB" w:rsidRPr="000E1E22">
        <w:t xml:space="preserve"> 39,905.95 </w:t>
      </w:r>
      <w:r w:rsidRPr="000E1E22">
        <w:t>using the 201</w:t>
      </w:r>
      <w:r w:rsidR="00573625" w:rsidRPr="000E1E22">
        <w:t>9</w:t>
      </w:r>
      <w:r w:rsidRPr="000E1E22">
        <w:t xml:space="preserve"> Atlanta locality salary schedule. Managing the project, </w:t>
      </w:r>
      <w:r w:rsidR="00CB3DDB" w:rsidRPr="000E1E22">
        <w:t>collecting</w:t>
      </w:r>
      <w:r w:rsidRPr="000E1E22">
        <w:t xml:space="preserve"> and analyzing </w:t>
      </w:r>
      <w:r w:rsidR="00CB3DDB" w:rsidRPr="000E1E22">
        <w:t xml:space="preserve">the </w:t>
      </w:r>
      <w:r w:rsidRPr="000E1E22">
        <w:t xml:space="preserve">data, and generating assorted reports will require the expertise of three CDC staff. </w:t>
      </w:r>
    </w:p>
    <w:p w14:paraId="792B45B5" w14:textId="0985F414" w:rsidR="00E53653" w:rsidRPr="007376F4" w:rsidRDefault="00E53653" w:rsidP="00F95454">
      <w:pPr>
        <w:pStyle w:val="Caption"/>
        <w:keepNext/>
        <w:spacing w:before="120" w:after="120"/>
        <w:mirrorIndents/>
      </w:pPr>
      <w:bookmarkStart w:id="26" w:name="_Toc449541625"/>
      <w:r w:rsidRPr="000E1E22">
        <w:rPr>
          <w:sz w:val="24"/>
          <w:szCs w:val="24"/>
        </w:rPr>
        <w:t xml:space="preserve">Exhibit </w:t>
      </w:r>
      <w:r w:rsidR="00C91C02" w:rsidRPr="000E1E22">
        <w:rPr>
          <w:sz w:val="24"/>
          <w:szCs w:val="24"/>
        </w:rPr>
        <w:fldChar w:fldCharType="begin"/>
      </w:r>
      <w:r w:rsidR="00C91C02" w:rsidRPr="000E1E22">
        <w:rPr>
          <w:sz w:val="24"/>
          <w:szCs w:val="24"/>
        </w:rPr>
        <w:instrText xml:space="preserve"> STYLEREF 1 \s </w:instrText>
      </w:r>
      <w:r w:rsidR="00C91C02" w:rsidRPr="000E1E22">
        <w:rPr>
          <w:sz w:val="24"/>
          <w:szCs w:val="24"/>
        </w:rPr>
        <w:fldChar w:fldCharType="separate"/>
      </w:r>
      <w:r w:rsidR="00CC297C" w:rsidRPr="000E1E22">
        <w:rPr>
          <w:noProof/>
          <w:sz w:val="24"/>
          <w:szCs w:val="24"/>
        </w:rPr>
        <w:t>14</w:t>
      </w:r>
      <w:r w:rsidR="00C91C02" w:rsidRPr="000E1E22">
        <w:rPr>
          <w:sz w:val="24"/>
          <w:szCs w:val="24"/>
        </w:rPr>
        <w:fldChar w:fldCharType="end"/>
      </w:r>
      <w:r w:rsidR="00C91C02" w:rsidRPr="000E1E22">
        <w:rPr>
          <w:sz w:val="24"/>
          <w:szCs w:val="24"/>
        </w:rPr>
        <w:t>.</w:t>
      </w:r>
      <w:r w:rsidR="00C91C02" w:rsidRPr="000E1E22">
        <w:rPr>
          <w:sz w:val="24"/>
          <w:szCs w:val="24"/>
        </w:rPr>
        <w:fldChar w:fldCharType="begin"/>
      </w:r>
      <w:r w:rsidR="00C91C02" w:rsidRPr="000E1E22">
        <w:rPr>
          <w:sz w:val="24"/>
          <w:szCs w:val="24"/>
        </w:rPr>
        <w:instrText xml:space="preserve"> SEQ Exhibit \* ARABIC \s 1 </w:instrText>
      </w:r>
      <w:r w:rsidR="00C91C02" w:rsidRPr="000E1E22">
        <w:rPr>
          <w:sz w:val="24"/>
          <w:szCs w:val="24"/>
        </w:rPr>
        <w:fldChar w:fldCharType="separate"/>
      </w:r>
      <w:r w:rsidR="00CC297C" w:rsidRPr="000E1E22">
        <w:rPr>
          <w:noProof/>
          <w:sz w:val="24"/>
          <w:szCs w:val="24"/>
        </w:rPr>
        <w:t>1</w:t>
      </w:r>
      <w:r w:rsidR="00C91C02" w:rsidRPr="000E1E22">
        <w:rPr>
          <w:sz w:val="24"/>
          <w:szCs w:val="24"/>
        </w:rPr>
        <w:fldChar w:fldCharType="end"/>
      </w:r>
      <w:r w:rsidRPr="000E1E22">
        <w:rPr>
          <w:sz w:val="24"/>
          <w:szCs w:val="24"/>
        </w:rPr>
        <w:t>: Annualized Cost to the Government</w:t>
      </w:r>
      <w:bookmarkEnd w:id="26"/>
      <w:r w:rsidR="00B65A4F" w:rsidRPr="000E1E22">
        <w:rPr>
          <w:sz w:val="24"/>
          <w:szCs w:val="24"/>
        </w:rPr>
        <w:t xml:space="preserve"> (201</w:t>
      </w:r>
      <w:r w:rsidR="00CB3DDB" w:rsidRPr="000E1E22">
        <w:rPr>
          <w:sz w:val="24"/>
          <w:szCs w:val="24"/>
        </w:rPr>
        <w:t>9</w:t>
      </w:r>
      <w:r w:rsidR="00B65A4F" w:rsidRPr="000E1E22">
        <w:rPr>
          <w:sz w:val="24"/>
          <w:szCs w:val="24"/>
        </w:rPr>
        <w:t xml:space="preserve"> scale)</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10"/>
        <w:gridCol w:w="5580"/>
        <w:gridCol w:w="2340"/>
      </w:tblGrid>
      <w:tr w:rsidR="00332F80" w:rsidRPr="00D02168" w14:paraId="13CE864C" w14:textId="77777777" w:rsidTr="00E3737B">
        <w:tc>
          <w:tcPr>
            <w:tcW w:w="1710" w:type="dxa"/>
          </w:tcPr>
          <w:p w14:paraId="394C584A"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bCs/>
              </w:rPr>
            </w:pPr>
            <w:r w:rsidRPr="00D02168">
              <w:rPr>
                <w:b/>
                <w:bCs/>
              </w:rPr>
              <w:t>Expense Type</w:t>
            </w:r>
          </w:p>
        </w:tc>
        <w:tc>
          <w:tcPr>
            <w:tcW w:w="5580" w:type="dxa"/>
          </w:tcPr>
          <w:p w14:paraId="40E3E56D"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Expense Explanation</w:t>
            </w:r>
          </w:p>
        </w:tc>
        <w:tc>
          <w:tcPr>
            <w:tcW w:w="2340" w:type="dxa"/>
          </w:tcPr>
          <w:p w14:paraId="5683A7F0"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Annual Costs (dollars)</w:t>
            </w:r>
          </w:p>
        </w:tc>
      </w:tr>
      <w:tr w:rsidR="00332F80" w:rsidRPr="00D02168" w14:paraId="0CC8B117" w14:textId="77777777" w:rsidTr="00E3737B">
        <w:tc>
          <w:tcPr>
            <w:tcW w:w="1710" w:type="dxa"/>
          </w:tcPr>
          <w:p w14:paraId="7502CF7F" w14:textId="66809D8B"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Direct Costs</w:t>
            </w:r>
          </w:p>
        </w:tc>
        <w:tc>
          <w:tcPr>
            <w:tcW w:w="5580" w:type="dxa"/>
            <w:vAlign w:val="center"/>
          </w:tcPr>
          <w:p w14:paraId="07DF3CB1" w14:textId="39FA4FB2" w:rsidR="00332F80" w:rsidRPr="00D02168" w:rsidRDefault="00332F80" w:rsidP="00E37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 xml:space="preserve">CDC, </w:t>
            </w:r>
            <w:r w:rsidR="00E3737B">
              <w:t>Principal Investigator</w:t>
            </w:r>
            <w:r w:rsidR="00E2574F" w:rsidRPr="00D02168">
              <w:t xml:space="preserve"> </w:t>
            </w:r>
            <w:r w:rsidRPr="00D02168">
              <w:t>(GS-</w:t>
            </w:r>
            <w:r w:rsidR="00CB3DDB">
              <w:t>13</w:t>
            </w:r>
            <w:r w:rsidR="00291F2D" w:rsidRPr="00D02168">
              <w:t>,</w:t>
            </w:r>
            <w:r w:rsidRPr="00D02168">
              <w:t xml:space="preserve"> </w:t>
            </w:r>
            <w:r w:rsidR="00CB3DDB">
              <w:t>56.61 hr /125 hrs</w:t>
            </w:r>
            <w:r w:rsidRPr="00D02168">
              <w:t>)</w:t>
            </w:r>
          </w:p>
        </w:tc>
        <w:tc>
          <w:tcPr>
            <w:tcW w:w="2340" w:type="dxa"/>
            <w:vAlign w:val="center"/>
          </w:tcPr>
          <w:p w14:paraId="1A280807" w14:textId="689BEE34" w:rsidR="00332F80" w:rsidRPr="00D02168" w:rsidRDefault="00291F2D"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w:t>
            </w:r>
            <w:r w:rsidR="00CB3DDB">
              <w:t>7,076.25</w:t>
            </w:r>
          </w:p>
        </w:tc>
      </w:tr>
      <w:tr w:rsidR="00332F80" w:rsidRPr="00D02168" w14:paraId="68E5496D" w14:textId="77777777" w:rsidTr="00E3737B">
        <w:tc>
          <w:tcPr>
            <w:tcW w:w="1710" w:type="dxa"/>
          </w:tcPr>
          <w:p w14:paraId="0A3E69D8"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vAlign w:val="center"/>
          </w:tcPr>
          <w:p w14:paraId="176F3693" w14:textId="38315D1A" w:rsidR="00332F80" w:rsidRPr="00D02168" w:rsidRDefault="00332F80"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w:t>
            </w:r>
            <w:r w:rsidR="00E2574F" w:rsidRPr="00D02168">
              <w:t xml:space="preserve"> Scientist</w:t>
            </w:r>
            <w:r w:rsidR="00C60213" w:rsidRPr="00D02168">
              <w:t xml:space="preserve"> </w:t>
            </w:r>
            <w:r w:rsidRPr="00D02168">
              <w:t>(GS-1</w:t>
            </w:r>
            <w:r w:rsidR="00CB3DDB">
              <w:t>4</w:t>
            </w:r>
            <w:r w:rsidR="00E2574F" w:rsidRPr="00D02168">
              <w:t xml:space="preserve">, </w:t>
            </w:r>
            <w:r w:rsidR="00CB3DDB">
              <w:t>59.86 hr / 55 hrs</w:t>
            </w:r>
            <w:r w:rsidRPr="00D02168">
              <w:t>)</w:t>
            </w:r>
          </w:p>
        </w:tc>
        <w:tc>
          <w:tcPr>
            <w:tcW w:w="2340" w:type="dxa"/>
            <w:vAlign w:val="center"/>
          </w:tcPr>
          <w:p w14:paraId="208D543C" w14:textId="2860ADF1" w:rsidR="00332F80" w:rsidRPr="00D02168" w:rsidRDefault="00332F80"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w:t>
            </w:r>
            <w:r w:rsidR="00CB3DDB">
              <w:t>3,292.30</w:t>
            </w:r>
          </w:p>
        </w:tc>
      </w:tr>
      <w:tr w:rsidR="00CB3DDB" w:rsidRPr="00D02168" w14:paraId="6FEE1592" w14:textId="77777777" w:rsidTr="00E3737B">
        <w:tc>
          <w:tcPr>
            <w:tcW w:w="1710" w:type="dxa"/>
          </w:tcPr>
          <w:p w14:paraId="0ABCF1EA" w14:textId="77777777"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vAlign w:val="center"/>
          </w:tcPr>
          <w:p w14:paraId="0D994D24" w14:textId="589A3AD9"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 Scientist (GS-1</w:t>
            </w:r>
            <w:r>
              <w:t>1</w:t>
            </w:r>
            <w:r w:rsidRPr="00D02168">
              <w:t xml:space="preserve">, </w:t>
            </w:r>
            <w:r>
              <w:t>32.41 hr / 140 hrs</w:t>
            </w:r>
            <w:r w:rsidRPr="00D02168">
              <w:t>)</w:t>
            </w:r>
          </w:p>
        </w:tc>
        <w:tc>
          <w:tcPr>
            <w:tcW w:w="2340" w:type="dxa"/>
            <w:vAlign w:val="center"/>
          </w:tcPr>
          <w:p w14:paraId="4D311B38" w14:textId="2FD08CC5"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w:t>
            </w:r>
            <w:r>
              <w:t>4,537.40</w:t>
            </w:r>
          </w:p>
        </w:tc>
      </w:tr>
      <w:tr w:rsidR="00CB3DDB" w:rsidRPr="00D02168" w14:paraId="6417CD23" w14:textId="77777777" w:rsidTr="00E3737B">
        <w:tc>
          <w:tcPr>
            <w:tcW w:w="1710" w:type="dxa"/>
          </w:tcPr>
          <w:p w14:paraId="5BB5FCA4" w14:textId="77777777"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vAlign w:val="center"/>
          </w:tcPr>
          <w:p w14:paraId="6FAA05A1" w14:textId="057F8286"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t xml:space="preserve">Travel </w:t>
            </w:r>
            <w:r w:rsidR="00A961D6">
              <w:t xml:space="preserve">(2 staff to 10 sites, </w:t>
            </w:r>
            <w:r>
              <w:t>1, 250.00</w:t>
            </w:r>
            <w:r w:rsidR="00A961D6">
              <w:t xml:space="preserve"> per trip</w:t>
            </w:r>
            <w:r>
              <w:t>)</w:t>
            </w:r>
          </w:p>
        </w:tc>
        <w:tc>
          <w:tcPr>
            <w:tcW w:w="2340" w:type="dxa"/>
            <w:vAlign w:val="center"/>
          </w:tcPr>
          <w:p w14:paraId="68A6DA76" w14:textId="67019384" w:rsidR="00CB3DDB" w:rsidRPr="00D02168" w:rsidRDefault="00A961D6"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t>$25,000.00</w:t>
            </w:r>
          </w:p>
        </w:tc>
      </w:tr>
      <w:tr w:rsidR="00CB3DDB" w:rsidRPr="00D02168" w14:paraId="6B8192A0" w14:textId="77777777" w:rsidTr="00E3737B">
        <w:tc>
          <w:tcPr>
            <w:tcW w:w="1710" w:type="dxa"/>
          </w:tcPr>
          <w:p w14:paraId="0025A39E" w14:textId="77777777"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vAlign w:val="center"/>
          </w:tcPr>
          <w:p w14:paraId="3F028717" w14:textId="77777777"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rPr>
                <w:b/>
              </w:rPr>
              <w:t xml:space="preserve">           Subtotal, Direct Costs</w:t>
            </w:r>
          </w:p>
        </w:tc>
        <w:tc>
          <w:tcPr>
            <w:tcW w:w="2340" w:type="dxa"/>
            <w:vAlign w:val="center"/>
          </w:tcPr>
          <w:p w14:paraId="5F055B04" w14:textId="082A49BE"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Pr>
                <w:b/>
              </w:rPr>
              <w:t>$14,905.95</w:t>
            </w:r>
          </w:p>
        </w:tc>
      </w:tr>
      <w:tr w:rsidR="00CB3DDB" w:rsidRPr="00D02168" w14:paraId="00643FEF" w14:textId="77777777" w:rsidTr="00E3737B">
        <w:tc>
          <w:tcPr>
            <w:tcW w:w="1710" w:type="dxa"/>
          </w:tcPr>
          <w:p w14:paraId="302920C0" w14:textId="77777777" w:rsidR="00CB3DDB" w:rsidRPr="00D02168"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tcPr>
          <w:p w14:paraId="34DA3866" w14:textId="77777777" w:rsidR="00CB3DDB" w:rsidRPr="00F95904" w:rsidRDefault="00CB3DDB" w:rsidP="00CB3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TOTAL COST TO THE GOVERNMENT </w:t>
            </w:r>
          </w:p>
        </w:tc>
        <w:tc>
          <w:tcPr>
            <w:tcW w:w="2340" w:type="dxa"/>
          </w:tcPr>
          <w:p w14:paraId="32B261F2" w14:textId="36AD1315" w:rsidR="00CB3DDB" w:rsidRPr="00F95904" w:rsidRDefault="00CB3DDB" w:rsidP="00A9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 </w:t>
            </w:r>
            <w:r w:rsidR="00A961D6">
              <w:rPr>
                <w:b/>
              </w:rPr>
              <w:t>39,905.95</w:t>
            </w:r>
          </w:p>
        </w:tc>
      </w:tr>
    </w:tbl>
    <w:p w14:paraId="558D68D7" w14:textId="77777777" w:rsidR="00F95454" w:rsidRDefault="00F95454" w:rsidP="00F95454">
      <w:pPr>
        <w:pStyle w:val="Heading1"/>
        <w:numPr>
          <w:ilvl w:val="0"/>
          <w:numId w:val="0"/>
        </w:numPr>
        <w:spacing w:before="120" w:after="120"/>
        <w:ind w:left="432"/>
        <w:mirrorIndents/>
      </w:pPr>
      <w:bookmarkStart w:id="27" w:name="_Toc448296088"/>
    </w:p>
    <w:p w14:paraId="0027368F" w14:textId="766681C5" w:rsidR="00B12EA3" w:rsidRDefault="00B12EA3" w:rsidP="00F95454">
      <w:pPr>
        <w:pStyle w:val="Heading1"/>
        <w:spacing w:before="120" w:after="120"/>
        <w:mirrorIndents/>
      </w:pPr>
      <w:r w:rsidRPr="00B12EA3">
        <w:t>Explanation for Program Changes or Adjustments</w:t>
      </w:r>
      <w:bookmarkEnd w:id="27"/>
    </w:p>
    <w:p w14:paraId="12E59EA5" w14:textId="1FAED562" w:rsidR="00332F80" w:rsidRDefault="00332F80" w:rsidP="00F95454">
      <w:pPr>
        <w:autoSpaceDE w:val="0"/>
        <w:autoSpaceDN w:val="0"/>
        <w:adjustRightInd w:val="0"/>
        <w:spacing w:before="120" w:after="120"/>
        <w:mirrorIndents/>
        <w:jc w:val="both"/>
        <w:rPr>
          <w:bCs/>
        </w:rPr>
      </w:pPr>
      <w:r w:rsidRPr="009C5D88">
        <w:rPr>
          <w:bCs/>
        </w:rPr>
        <w:t>This is a new GenIC information collection request (ICR).</w:t>
      </w:r>
      <w:r w:rsidRPr="00603813">
        <w:rPr>
          <w:bCs/>
        </w:rPr>
        <w:t xml:space="preserve"> </w:t>
      </w:r>
    </w:p>
    <w:p w14:paraId="08E6E6B7" w14:textId="77777777" w:rsidR="005E6F8D" w:rsidRDefault="005E6F8D" w:rsidP="00F95454">
      <w:pPr>
        <w:autoSpaceDE w:val="0"/>
        <w:autoSpaceDN w:val="0"/>
        <w:adjustRightInd w:val="0"/>
        <w:spacing w:before="120" w:after="120"/>
        <w:mirrorIndents/>
        <w:jc w:val="both"/>
        <w:rPr>
          <w:bCs/>
        </w:rPr>
      </w:pPr>
    </w:p>
    <w:p w14:paraId="6DB91386" w14:textId="33251CB3" w:rsidR="00332F80" w:rsidRDefault="00B12EA3" w:rsidP="00F95454">
      <w:pPr>
        <w:pStyle w:val="Heading1"/>
        <w:spacing w:before="120" w:after="120"/>
        <w:mirrorIndents/>
      </w:pPr>
      <w:bookmarkStart w:id="28" w:name="_Toc448296089"/>
      <w:r w:rsidRPr="00C46977">
        <w:t>Plans for Tabulation and Publication and Project Time Schedule</w:t>
      </w:r>
      <w:bookmarkEnd w:id="28"/>
    </w:p>
    <w:p w14:paraId="5892749C" w14:textId="30F17968" w:rsidR="00104E90" w:rsidRDefault="00104E90" w:rsidP="003C10A5">
      <w:pPr>
        <w:spacing w:before="120" w:after="120"/>
        <w:mirrorIndents/>
      </w:pPr>
      <w:r w:rsidRPr="00B953B0">
        <w:t xml:space="preserve">Data collection will occur between </w:t>
      </w:r>
      <w:r w:rsidR="00573625">
        <w:t>May</w:t>
      </w:r>
      <w:r w:rsidR="00B45435">
        <w:t>-</w:t>
      </w:r>
      <w:r w:rsidR="00573625">
        <w:t>August</w:t>
      </w:r>
      <w:r w:rsidR="00B45435">
        <w:t xml:space="preserve"> 2019</w:t>
      </w:r>
      <w:r w:rsidRPr="00B953B0">
        <w:t xml:space="preserve">, analyses will be carried out in </w:t>
      </w:r>
      <w:r w:rsidR="00B45435">
        <w:t>August-September</w:t>
      </w:r>
      <w:r w:rsidR="0050634D">
        <w:t xml:space="preserve"> 2019</w:t>
      </w:r>
      <w:r w:rsidRPr="00B953B0">
        <w:t xml:space="preserve">, and the final data set and report will be submitted in </w:t>
      </w:r>
      <w:r w:rsidR="00B45435">
        <w:t>March 2020</w:t>
      </w:r>
      <w:r w:rsidRPr="00B953B0">
        <w:t>. The</w:t>
      </w:r>
      <w:r w:rsidRPr="009C5D88">
        <w:t xml:space="preserve"> project timeline is detailed in exhibit 16.1.</w:t>
      </w:r>
    </w:p>
    <w:p w14:paraId="6EFB6473" w14:textId="03826D75" w:rsidR="00E86C70" w:rsidRDefault="00E86C70" w:rsidP="00F95454">
      <w:pPr>
        <w:pStyle w:val="Caption"/>
        <w:keepNext/>
        <w:spacing w:before="120" w:after="120"/>
        <w:mirrorIndents/>
        <w:rPr>
          <w:sz w:val="24"/>
          <w:szCs w:val="24"/>
        </w:rPr>
      </w:pPr>
      <w:bookmarkStart w:id="29" w:name="_Toc44954162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C297C">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C297C">
        <w:rPr>
          <w:noProof/>
          <w:sz w:val="24"/>
          <w:szCs w:val="24"/>
        </w:rPr>
        <w:t>1</w:t>
      </w:r>
      <w:r w:rsidR="00C91C02">
        <w:rPr>
          <w:sz w:val="24"/>
          <w:szCs w:val="24"/>
        </w:rPr>
        <w:fldChar w:fldCharType="end"/>
      </w:r>
      <w:r w:rsidRPr="00E6566E">
        <w:rPr>
          <w:sz w:val="24"/>
          <w:szCs w:val="24"/>
        </w:rPr>
        <w:t>: Project Time Schedule</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5"/>
        <w:gridCol w:w="4230"/>
      </w:tblGrid>
      <w:tr w:rsidR="007D2C4F" w:rsidRPr="00B474EC" w14:paraId="1ADF7033" w14:textId="77777777" w:rsidTr="00B953B0">
        <w:tc>
          <w:tcPr>
            <w:tcW w:w="4405" w:type="dxa"/>
            <w:tcMar>
              <w:top w:w="0" w:type="dxa"/>
              <w:left w:w="108" w:type="dxa"/>
              <w:bottom w:w="0" w:type="dxa"/>
              <w:right w:w="108" w:type="dxa"/>
            </w:tcMar>
            <w:hideMark/>
          </w:tcPr>
          <w:p w14:paraId="6595C061" w14:textId="77777777" w:rsidR="007D2C4F" w:rsidRPr="00B474EC" w:rsidRDefault="007D2C4F" w:rsidP="00F95454">
            <w:pPr>
              <w:mirrorIndents/>
            </w:pPr>
            <w:r w:rsidRPr="00B474EC">
              <w:rPr>
                <w:b/>
                <w:bCs/>
              </w:rPr>
              <w:t>Activity</w:t>
            </w:r>
          </w:p>
        </w:tc>
        <w:tc>
          <w:tcPr>
            <w:tcW w:w="4230" w:type="dxa"/>
            <w:tcMar>
              <w:top w:w="0" w:type="dxa"/>
              <w:left w:w="108" w:type="dxa"/>
              <w:bottom w:w="0" w:type="dxa"/>
              <w:right w:w="108" w:type="dxa"/>
            </w:tcMar>
            <w:hideMark/>
          </w:tcPr>
          <w:p w14:paraId="3D02435F" w14:textId="77777777" w:rsidR="007D2C4F" w:rsidRPr="00B474EC" w:rsidRDefault="007D2C4F" w:rsidP="00F95454">
            <w:pPr>
              <w:mirrorIndents/>
              <w:jc w:val="center"/>
            </w:pPr>
            <w:r w:rsidRPr="00B474EC">
              <w:rPr>
                <w:b/>
                <w:bCs/>
              </w:rPr>
              <w:t>Time Schedule</w:t>
            </w:r>
          </w:p>
        </w:tc>
      </w:tr>
      <w:tr w:rsidR="007D2C4F" w:rsidRPr="00B474EC" w14:paraId="407A9610" w14:textId="77777777" w:rsidTr="00B953B0">
        <w:tc>
          <w:tcPr>
            <w:tcW w:w="4405" w:type="dxa"/>
            <w:tcMar>
              <w:top w:w="0" w:type="dxa"/>
              <w:left w:w="108" w:type="dxa"/>
              <w:bottom w:w="0" w:type="dxa"/>
              <w:right w:w="108" w:type="dxa"/>
            </w:tcMar>
            <w:vAlign w:val="center"/>
            <w:hideMark/>
          </w:tcPr>
          <w:p w14:paraId="08E02275" w14:textId="77777777" w:rsidR="007D2C4F" w:rsidRPr="00B474EC" w:rsidRDefault="007D2C4F" w:rsidP="00F95454">
            <w:pPr>
              <w:mirrorIndents/>
            </w:pPr>
            <w:r w:rsidRPr="00B474EC">
              <w:t xml:space="preserve">Develop data collection tools, sampling and data plans, study protocol </w:t>
            </w:r>
          </w:p>
        </w:tc>
        <w:tc>
          <w:tcPr>
            <w:tcW w:w="4230" w:type="dxa"/>
            <w:tcMar>
              <w:top w:w="0" w:type="dxa"/>
              <w:left w:w="108" w:type="dxa"/>
              <w:bottom w:w="0" w:type="dxa"/>
              <w:right w:w="108" w:type="dxa"/>
            </w:tcMar>
            <w:vAlign w:val="center"/>
          </w:tcPr>
          <w:p w14:paraId="19969263" w14:textId="4B68C104" w:rsidR="007D2C4F" w:rsidRPr="00B474EC" w:rsidRDefault="007D3913" w:rsidP="00573625">
            <w:pPr>
              <w:mirrorIndents/>
            </w:pPr>
            <w:r>
              <w:t>October</w:t>
            </w:r>
            <w:r w:rsidR="007D2C4F" w:rsidRPr="00B474EC">
              <w:t xml:space="preserve"> 201</w:t>
            </w:r>
            <w:r w:rsidR="00573625">
              <w:t>8</w:t>
            </w:r>
            <w:r w:rsidR="007D2C4F" w:rsidRPr="00B474EC">
              <w:t xml:space="preserve"> – </w:t>
            </w:r>
            <w:r w:rsidR="00573625">
              <w:t>January 2019</w:t>
            </w:r>
            <w:r w:rsidR="00F4093A">
              <w:t xml:space="preserve">; CDC IRB protocol approval was </w:t>
            </w:r>
            <w:r w:rsidR="00681610">
              <w:t>received</w:t>
            </w:r>
            <w:r w:rsidR="00F4093A">
              <w:t xml:space="preserve"> </w:t>
            </w:r>
            <w:r w:rsidR="00573625">
              <w:t>April 4, 2019</w:t>
            </w:r>
          </w:p>
        </w:tc>
      </w:tr>
      <w:tr w:rsidR="007D2C4F" w:rsidRPr="00B474EC" w14:paraId="21545BE8" w14:textId="77777777" w:rsidTr="00B953B0">
        <w:tc>
          <w:tcPr>
            <w:tcW w:w="4405" w:type="dxa"/>
            <w:tcMar>
              <w:top w:w="0" w:type="dxa"/>
              <w:left w:w="108" w:type="dxa"/>
              <w:bottom w:w="0" w:type="dxa"/>
              <w:right w:w="108" w:type="dxa"/>
            </w:tcMar>
            <w:vAlign w:val="center"/>
          </w:tcPr>
          <w:p w14:paraId="39DBC332" w14:textId="77777777" w:rsidR="007D2C4F" w:rsidRPr="00B474EC" w:rsidRDefault="007D2C4F" w:rsidP="00F95454">
            <w:pPr>
              <w:mirrorIndents/>
            </w:pPr>
            <w:r w:rsidRPr="00B474EC">
              <w:t>OMB Submission</w:t>
            </w:r>
          </w:p>
        </w:tc>
        <w:tc>
          <w:tcPr>
            <w:tcW w:w="4230" w:type="dxa"/>
            <w:tcMar>
              <w:top w:w="0" w:type="dxa"/>
              <w:left w:w="108" w:type="dxa"/>
              <w:bottom w:w="0" w:type="dxa"/>
              <w:right w:w="108" w:type="dxa"/>
            </w:tcMar>
            <w:vAlign w:val="center"/>
          </w:tcPr>
          <w:p w14:paraId="3EDC37C5" w14:textId="56F8D69F" w:rsidR="007D2C4F" w:rsidRPr="00B474EC" w:rsidRDefault="00573625" w:rsidP="007D3913">
            <w:pPr>
              <w:mirrorIndents/>
            </w:pPr>
            <w:r>
              <w:t>April 2019</w:t>
            </w:r>
          </w:p>
        </w:tc>
      </w:tr>
      <w:tr w:rsidR="007D2C4F" w:rsidRPr="00B474EC" w14:paraId="092283B1" w14:textId="77777777" w:rsidTr="00B953B0">
        <w:tc>
          <w:tcPr>
            <w:tcW w:w="4405" w:type="dxa"/>
            <w:tcMar>
              <w:top w:w="0" w:type="dxa"/>
              <w:left w:w="108" w:type="dxa"/>
              <w:bottom w:w="0" w:type="dxa"/>
              <w:right w:w="108" w:type="dxa"/>
            </w:tcMar>
            <w:vAlign w:val="center"/>
            <w:hideMark/>
          </w:tcPr>
          <w:p w14:paraId="3C5696DE" w14:textId="77777777" w:rsidR="007D2C4F" w:rsidRPr="00B474EC" w:rsidRDefault="007D2C4F" w:rsidP="00F95454">
            <w:pPr>
              <w:mirrorIndents/>
            </w:pPr>
            <w:r w:rsidRPr="00B474EC">
              <w:t>Recruitment  </w:t>
            </w:r>
          </w:p>
        </w:tc>
        <w:tc>
          <w:tcPr>
            <w:tcW w:w="4230" w:type="dxa"/>
            <w:tcMar>
              <w:top w:w="0" w:type="dxa"/>
              <w:left w:w="108" w:type="dxa"/>
              <w:bottom w:w="0" w:type="dxa"/>
              <w:right w:w="108" w:type="dxa"/>
            </w:tcMar>
            <w:vAlign w:val="center"/>
          </w:tcPr>
          <w:p w14:paraId="60E69657" w14:textId="26FA52E0" w:rsidR="007D2C4F" w:rsidRPr="00B474EC" w:rsidRDefault="00D45E08" w:rsidP="00573625">
            <w:pPr>
              <w:mirrorIndents/>
            </w:pPr>
            <w:r>
              <w:t>1</w:t>
            </w:r>
            <w:r w:rsidR="00573625">
              <w:t xml:space="preserve"> </w:t>
            </w:r>
            <w:r>
              <w:t>months a</w:t>
            </w:r>
            <w:r w:rsidR="007D2C4F" w:rsidRPr="00B474EC">
              <w:t>fter OMB Approval</w:t>
            </w:r>
            <w:r>
              <w:t xml:space="preserve"> (</w:t>
            </w:r>
            <w:r w:rsidR="00573625">
              <w:t>May</w:t>
            </w:r>
            <w:r>
              <w:t xml:space="preserve"> 201</w:t>
            </w:r>
            <w:r w:rsidR="00E76B94">
              <w:t>9</w:t>
            </w:r>
            <w:r>
              <w:t>)</w:t>
            </w:r>
          </w:p>
        </w:tc>
      </w:tr>
      <w:tr w:rsidR="007D2C4F" w:rsidRPr="00B474EC" w14:paraId="6C2B5F7D" w14:textId="77777777" w:rsidTr="00B953B0">
        <w:tc>
          <w:tcPr>
            <w:tcW w:w="4405" w:type="dxa"/>
            <w:tcMar>
              <w:top w:w="0" w:type="dxa"/>
              <w:left w:w="108" w:type="dxa"/>
              <w:bottom w:w="0" w:type="dxa"/>
              <w:right w:w="108" w:type="dxa"/>
            </w:tcMar>
            <w:vAlign w:val="center"/>
            <w:hideMark/>
          </w:tcPr>
          <w:p w14:paraId="0C22C8FD" w14:textId="77777777" w:rsidR="007D2C4F" w:rsidRPr="00B474EC" w:rsidRDefault="007D2C4F" w:rsidP="00F95454">
            <w:pPr>
              <w:mirrorIndents/>
            </w:pPr>
            <w:r w:rsidRPr="00B474EC">
              <w:t>Data Collection  </w:t>
            </w:r>
          </w:p>
        </w:tc>
        <w:tc>
          <w:tcPr>
            <w:tcW w:w="4230" w:type="dxa"/>
            <w:tcMar>
              <w:top w:w="0" w:type="dxa"/>
              <w:left w:w="108" w:type="dxa"/>
              <w:bottom w:w="0" w:type="dxa"/>
              <w:right w:w="108" w:type="dxa"/>
            </w:tcMar>
            <w:vAlign w:val="center"/>
          </w:tcPr>
          <w:p w14:paraId="2D85416B" w14:textId="027A1405" w:rsidR="007D2C4F" w:rsidRPr="00B474EC" w:rsidRDefault="007D2C4F" w:rsidP="00573625">
            <w:pPr>
              <w:mirrorIndents/>
            </w:pPr>
            <w:r w:rsidRPr="00B474EC">
              <w:t>1-</w:t>
            </w:r>
            <w:r w:rsidR="00573625">
              <w:t>4</w:t>
            </w:r>
            <w:r w:rsidRPr="00B474EC">
              <w:t xml:space="preserve"> months after OMB Approval</w:t>
            </w:r>
            <w:r w:rsidR="00D45E08">
              <w:t xml:space="preserve"> (</w:t>
            </w:r>
            <w:r w:rsidR="00573625">
              <w:t>May</w:t>
            </w:r>
            <w:r w:rsidR="00F4093A">
              <w:t>-</w:t>
            </w:r>
            <w:r w:rsidR="00573625">
              <w:t>August</w:t>
            </w:r>
            <w:r w:rsidR="00D45E08">
              <w:t xml:space="preserve"> 201</w:t>
            </w:r>
            <w:r w:rsidR="00F4093A">
              <w:t>9</w:t>
            </w:r>
            <w:r w:rsidR="00D45E08">
              <w:t>)</w:t>
            </w:r>
          </w:p>
        </w:tc>
      </w:tr>
      <w:tr w:rsidR="007D2C4F" w:rsidRPr="00B474EC" w14:paraId="2FA032F7" w14:textId="77777777" w:rsidTr="00B953B0">
        <w:tc>
          <w:tcPr>
            <w:tcW w:w="4405" w:type="dxa"/>
            <w:tcMar>
              <w:top w:w="0" w:type="dxa"/>
              <w:left w:w="108" w:type="dxa"/>
              <w:bottom w:w="0" w:type="dxa"/>
              <w:right w:w="108" w:type="dxa"/>
            </w:tcMar>
            <w:vAlign w:val="center"/>
            <w:hideMark/>
          </w:tcPr>
          <w:p w14:paraId="56FB3266" w14:textId="3D08020F" w:rsidR="007D2C4F" w:rsidRPr="00B474EC" w:rsidRDefault="007D2C4F" w:rsidP="007D3913">
            <w:pPr>
              <w:mirrorIndents/>
            </w:pPr>
            <w:r w:rsidRPr="00B474EC">
              <w:t>Data analysis finalized</w:t>
            </w:r>
          </w:p>
        </w:tc>
        <w:tc>
          <w:tcPr>
            <w:tcW w:w="4230" w:type="dxa"/>
            <w:tcMar>
              <w:top w:w="0" w:type="dxa"/>
              <w:left w:w="108" w:type="dxa"/>
              <w:bottom w:w="0" w:type="dxa"/>
              <w:right w:w="108" w:type="dxa"/>
            </w:tcMar>
            <w:vAlign w:val="center"/>
          </w:tcPr>
          <w:p w14:paraId="7DC953C9" w14:textId="30640D87" w:rsidR="007D2C4F" w:rsidRPr="00B474EC" w:rsidRDefault="00573625" w:rsidP="00573625">
            <w:pPr>
              <w:mirrorIndents/>
            </w:pPr>
            <w:r>
              <w:t>4</w:t>
            </w:r>
            <w:r w:rsidR="007D2C4F" w:rsidRPr="00B474EC">
              <w:t>-</w:t>
            </w:r>
            <w:r>
              <w:t xml:space="preserve">5 </w:t>
            </w:r>
            <w:r w:rsidR="007D2C4F" w:rsidRPr="00B474EC">
              <w:t>months after OMB Approval</w:t>
            </w:r>
            <w:r w:rsidR="00D45E08">
              <w:t xml:space="preserve"> (</w:t>
            </w:r>
            <w:r w:rsidR="00F4093A">
              <w:t>August-September</w:t>
            </w:r>
            <w:r w:rsidR="00D45E08">
              <w:t xml:space="preserve"> 201</w:t>
            </w:r>
            <w:r w:rsidR="007D3913">
              <w:t>9</w:t>
            </w:r>
            <w:r w:rsidR="00D45E08">
              <w:t>)</w:t>
            </w:r>
          </w:p>
        </w:tc>
      </w:tr>
      <w:tr w:rsidR="007D3913" w:rsidRPr="00B474EC" w14:paraId="081E813F" w14:textId="77777777" w:rsidTr="00B953B0">
        <w:tc>
          <w:tcPr>
            <w:tcW w:w="4405" w:type="dxa"/>
            <w:tcMar>
              <w:top w:w="0" w:type="dxa"/>
              <w:left w:w="108" w:type="dxa"/>
              <w:bottom w:w="0" w:type="dxa"/>
              <w:right w:w="108" w:type="dxa"/>
            </w:tcMar>
            <w:vAlign w:val="center"/>
          </w:tcPr>
          <w:p w14:paraId="5646F886" w14:textId="2B586C9D" w:rsidR="007D3913" w:rsidRPr="00B474EC" w:rsidRDefault="007D3913" w:rsidP="007D3913">
            <w:pPr>
              <w:mirrorIndents/>
            </w:pPr>
            <w:r>
              <w:t>Draft report and final report written</w:t>
            </w:r>
          </w:p>
        </w:tc>
        <w:tc>
          <w:tcPr>
            <w:tcW w:w="4230" w:type="dxa"/>
            <w:tcMar>
              <w:top w:w="0" w:type="dxa"/>
              <w:left w:w="108" w:type="dxa"/>
              <w:bottom w:w="0" w:type="dxa"/>
              <w:right w:w="108" w:type="dxa"/>
            </w:tcMar>
            <w:vAlign w:val="center"/>
          </w:tcPr>
          <w:p w14:paraId="7BB92071" w14:textId="1C05035C" w:rsidR="007D3913" w:rsidRPr="00B474EC" w:rsidRDefault="00573625" w:rsidP="00573625">
            <w:pPr>
              <w:mirrorIndents/>
            </w:pPr>
            <w:r>
              <w:t>6</w:t>
            </w:r>
            <w:r w:rsidR="007D3913">
              <w:t>-</w:t>
            </w:r>
            <w:r>
              <w:t>8</w:t>
            </w:r>
            <w:r w:rsidR="007D3913">
              <w:t xml:space="preserve"> months after OMB approval (</w:t>
            </w:r>
            <w:r w:rsidR="00F4093A">
              <w:t>October</w:t>
            </w:r>
            <w:r w:rsidR="007D3913">
              <w:t>-</w:t>
            </w:r>
            <w:r w:rsidR="00F4093A">
              <w:t>December</w:t>
            </w:r>
            <w:r w:rsidR="007D3913">
              <w:t xml:space="preserve"> 2019)</w:t>
            </w:r>
          </w:p>
        </w:tc>
      </w:tr>
      <w:tr w:rsidR="007D2C4F" w:rsidRPr="00B474EC" w14:paraId="15167263" w14:textId="77777777" w:rsidTr="00B953B0">
        <w:tc>
          <w:tcPr>
            <w:tcW w:w="4405" w:type="dxa"/>
            <w:tcMar>
              <w:top w:w="0" w:type="dxa"/>
              <w:left w:w="108" w:type="dxa"/>
              <w:bottom w:w="0" w:type="dxa"/>
              <w:right w:w="108" w:type="dxa"/>
            </w:tcMar>
            <w:vAlign w:val="center"/>
            <w:hideMark/>
          </w:tcPr>
          <w:p w14:paraId="2FD00BC4" w14:textId="06797CFA" w:rsidR="007D2C4F" w:rsidRPr="00B474EC" w:rsidRDefault="00BF5E49" w:rsidP="00BF5E49">
            <w:pPr>
              <w:mirrorIndents/>
            </w:pPr>
            <w:r>
              <w:t>F</w:t>
            </w:r>
            <w:r w:rsidR="007D2C4F" w:rsidRPr="00B474EC">
              <w:t xml:space="preserve">inal report </w:t>
            </w:r>
            <w:r>
              <w:t xml:space="preserve">disseminated </w:t>
            </w:r>
          </w:p>
        </w:tc>
        <w:tc>
          <w:tcPr>
            <w:tcW w:w="4230" w:type="dxa"/>
            <w:tcMar>
              <w:top w:w="0" w:type="dxa"/>
              <w:left w:w="108" w:type="dxa"/>
              <w:bottom w:w="0" w:type="dxa"/>
              <w:right w:w="108" w:type="dxa"/>
            </w:tcMar>
            <w:vAlign w:val="center"/>
          </w:tcPr>
          <w:p w14:paraId="5B603678" w14:textId="6737FF2C" w:rsidR="007D2C4F" w:rsidRPr="00B474EC" w:rsidRDefault="00BF5E49" w:rsidP="00573625">
            <w:pPr>
              <w:mirrorIndents/>
            </w:pPr>
            <w:r>
              <w:t>9-</w:t>
            </w:r>
            <w:r w:rsidR="007D3913">
              <w:t>12</w:t>
            </w:r>
            <w:r w:rsidR="007D2C4F" w:rsidRPr="00B474EC">
              <w:t xml:space="preserve"> months after OMB Approval </w:t>
            </w:r>
            <w:r w:rsidR="00D45E08">
              <w:t>(</w:t>
            </w:r>
            <w:r>
              <w:t>January-</w:t>
            </w:r>
            <w:r w:rsidR="00F4093A">
              <w:t>March</w:t>
            </w:r>
            <w:r w:rsidR="00D45E08">
              <w:t xml:space="preserve"> 20</w:t>
            </w:r>
            <w:r w:rsidR="00573625">
              <w:t>20</w:t>
            </w:r>
            <w:r w:rsidR="00D45E08">
              <w:t>)</w:t>
            </w:r>
          </w:p>
        </w:tc>
      </w:tr>
    </w:tbl>
    <w:p w14:paraId="7F36421F" w14:textId="77777777" w:rsidR="00F95454" w:rsidRPr="005E6F8D" w:rsidRDefault="00F95454" w:rsidP="00F95454">
      <w:pPr>
        <w:spacing w:before="120" w:after="120"/>
        <w:mirrorIndents/>
        <w:jc w:val="both"/>
      </w:pPr>
    </w:p>
    <w:p w14:paraId="5E10EBF4" w14:textId="70DD4E06" w:rsidR="00B12EA3" w:rsidRDefault="00B12EA3" w:rsidP="00F95454">
      <w:pPr>
        <w:pStyle w:val="Heading1"/>
        <w:spacing w:before="120" w:after="120"/>
        <w:mirrorIndents/>
      </w:pPr>
      <w:bookmarkStart w:id="30" w:name="_Toc448296090"/>
      <w:r w:rsidRPr="00B12EA3">
        <w:t>Reason(s) Display of OMB Expiration Date is Inappropriate</w:t>
      </w:r>
      <w:bookmarkEnd w:id="30"/>
    </w:p>
    <w:p w14:paraId="22EFCC05" w14:textId="4C6924BF" w:rsidR="00332F80" w:rsidRDefault="00332F80" w:rsidP="00F95454">
      <w:pPr>
        <w:spacing w:before="120" w:after="120"/>
        <w:mirrorIndents/>
      </w:pPr>
      <w:r w:rsidRPr="00603813">
        <w:t xml:space="preserve">We do not seek approval to eliminate the expiration date. </w:t>
      </w:r>
    </w:p>
    <w:p w14:paraId="78B387FA" w14:textId="77777777" w:rsidR="00F95454" w:rsidRPr="00F951D1" w:rsidRDefault="00F95454" w:rsidP="00F95454">
      <w:pPr>
        <w:spacing w:before="120" w:after="120"/>
        <w:mirrorIndents/>
      </w:pPr>
    </w:p>
    <w:p w14:paraId="64729C1A" w14:textId="52431784" w:rsidR="00542640" w:rsidRDefault="00B12EA3" w:rsidP="00F95454">
      <w:pPr>
        <w:pStyle w:val="Heading1"/>
        <w:spacing w:before="120" w:after="120"/>
        <w:mirrorIndents/>
      </w:pPr>
      <w:bookmarkStart w:id="31" w:name="_Toc448296091"/>
      <w:r w:rsidRPr="00B12EA3">
        <w:t>E</w:t>
      </w:r>
      <w:r w:rsidRPr="00E53653">
        <w:rPr>
          <w:rStyle w:val="Heading1Char"/>
        </w:rPr>
        <w:t>x</w:t>
      </w:r>
      <w:r w:rsidRPr="00B12EA3">
        <w:t>ceptions to Certification for Paperwork Reduction Act Submissions</w:t>
      </w:r>
      <w:bookmarkEnd w:id="31"/>
    </w:p>
    <w:p w14:paraId="7C4350FB" w14:textId="02726F4A" w:rsidR="006869D4" w:rsidRDefault="00332F80" w:rsidP="00F95454">
      <w:pPr>
        <w:spacing w:before="120" w:after="120"/>
        <w:mirrorIndents/>
      </w:pPr>
      <w:r w:rsidRPr="00332F80">
        <w:t>There are no exemptions to the certification.</w:t>
      </w:r>
    </w:p>
    <w:p w14:paraId="1ABEA8A0" w14:textId="77777777" w:rsidR="00BF2B6F" w:rsidRDefault="00BF2B6F" w:rsidP="00F95454">
      <w:pPr>
        <w:spacing w:before="120" w:after="120"/>
        <w:mirrorIndents/>
      </w:pPr>
    </w:p>
    <w:p w14:paraId="1FD69DA1" w14:textId="3B65144A" w:rsidR="00BF2B6F" w:rsidRPr="00BF2B6F" w:rsidRDefault="00BF2B6F" w:rsidP="00F95454">
      <w:pPr>
        <w:pStyle w:val="EndNoteBibliography"/>
        <w:spacing w:before="120" w:after="120"/>
        <w:ind w:left="720" w:hanging="720"/>
        <w:mirrorIndents/>
        <w:rPr>
          <w:b/>
        </w:rPr>
      </w:pPr>
      <w:bookmarkStart w:id="32" w:name="_Toc448296092"/>
      <w:r w:rsidRPr="00BF2B6F">
        <w:rPr>
          <w:b/>
        </w:rPr>
        <w:t>References</w:t>
      </w:r>
    </w:p>
    <w:p w14:paraId="69985ADE" w14:textId="7B9212C5" w:rsidR="00A32FBE" w:rsidRPr="00B170CE" w:rsidRDefault="00A32FBE" w:rsidP="00A32FBE">
      <w:pPr>
        <w:pStyle w:val="EndNoteBibliography"/>
        <w:spacing w:before="120" w:after="120"/>
        <w:ind w:left="720" w:hanging="720"/>
        <w:mirrorIndents/>
      </w:pPr>
    </w:p>
    <w:bookmarkEnd w:id="32"/>
    <w:p w14:paraId="10F50816" w14:textId="77777777" w:rsidR="00573625" w:rsidRPr="00573625" w:rsidRDefault="00573625" w:rsidP="00573625">
      <w:pPr>
        <w:numPr>
          <w:ilvl w:val="0"/>
          <w:numId w:val="16"/>
        </w:numPr>
        <w:spacing w:after="200" w:line="276" w:lineRule="auto"/>
        <w:contextualSpacing/>
        <w:jc w:val="both"/>
        <w:rPr>
          <w:rFonts w:eastAsiaTheme="minorHAnsi"/>
        </w:rPr>
      </w:pPr>
      <w:r w:rsidRPr="00573625">
        <w:t xml:space="preserve">CDC. Sexually transmitted disease surveillance 2017. U.S. Department of Health &amp; Human Services. </w:t>
      </w:r>
    </w:p>
    <w:p w14:paraId="535F4CD9" w14:textId="77777777" w:rsidR="00573625" w:rsidRPr="00573625" w:rsidRDefault="00573625" w:rsidP="00573625">
      <w:pPr>
        <w:numPr>
          <w:ilvl w:val="0"/>
          <w:numId w:val="16"/>
        </w:numPr>
        <w:spacing w:after="200" w:line="276" w:lineRule="auto"/>
        <w:contextualSpacing/>
        <w:jc w:val="both"/>
        <w:rPr>
          <w:rFonts w:eastAsiaTheme="minorHAnsi"/>
        </w:rPr>
      </w:pPr>
      <w:r w:rsidRPr="00573625">
        <w:t xml:space="preserve">Fleming, D.R., Wasserheit, J.N. From epidemiological synergy to public health policy and practice: The contribution of other sexually transmitted diseases to sexual transmission of HIV infection. Sex Transm Infect 1999; 75(1): 3-17. </w:t>
      </w:r>
    </w:p>
    <w:p w14:paraId="7EE0B73F" w14:textId="71A7F498" w:rsidR="00A32FBE" w:rsidRPr="00573625" w:rsidRDefault="00573625" w:rsidP="00573625">
      <w:pPr>
        <w:numPr>
          <w:ilvl w:val="0"/>
          <w:numId w:val="16"/>
        </w:numPr>
        <w:spacing w:after="200" w:line="276" w:lineRule="auto"/>
        <w:contextualSpacing/>
        <w:jc w:val="both"/>
        <w:rPr>
          <w:rFonts w:eastAsiaTheme="minorHAnsi"/>
        </w:rPr>
      </w:pPr>
      <w:r w:rsidRPr="00573625">
        <w:t>Stenger, M. Reported cases, sample fraction and completion rate, SSuN sites 2018 table. (unpublished data)</w:t>
      </w:r>
    </w:p>
    <w:sectPr w:rsidR="00A32FBE" w:rsidRPr="00573625" w:rsidSect="00CC6AB1">
      <w:footerReference w:type="default" r:id="rId10"/>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EC69D" w14:textId="77777777" w:rsidR="00C06875" w:rsidRDefault="00C06875" w:rsidP="008B5D54">
      <w:r>
        <w:separator/>
      </w:r>
    </w:p>
  </w:endnote>
  <w:endnote w:type="continuationSeparator" w:id="0">
    <w:p w14:paraId="66C2131D" w14:textId="77777777" w:rsidR="00C06875" w:rsidRDefault="00C0687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56D33063" w14:textId="43946C40" w:rsidR="00C06875" w:rsidRDefault="00C06875">
        <w:pPr>
          <w:pStyle w:val="Footer"/>
          <w:jc w:val="center"/>
        </w:pPr>
        <w:r>
          <w:fldChar w:fldCharType="begin"/>
        </w:r>
        <w:r>
          <w:instrText xml:space="preserve"> PAGE   \* MERGEFORMAT </w:instrText>
        </w:r>
        <w:r>
          <w:fldChar w:fldCharType="separate"/>
        </w:r>
        <w:r w:rsidR="009F735D">
          <w:rPr>
            <w:noProof/>
          </w:rPr>
          <w:t>1</w:t>
        </w:r>
        <w:r>
          <w:rPr>
            <w:noProof/>
          </w:rPr>
          <w:fldChar w:fldCharType="end"/>
        </w:r>
      </w:p>
    </w:sdtContent>
  </w:sdt>
  <w:p w14:paraId="14B64FA2" w14:textId="77777777" w:rsidR="00C06875" w:rsidRDefault="00C06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A47ED" w14:textId="77777777" w:rsidR="00C06875" w:rsidRDefault="00C06875" w:rsidP="008B5D54">
      <w:r>
        <w:separator/>
      </w:r>
    </w:p>
  </w:footnote>
  <w:footnote w:type="continuationSeparator" w:id="0">
    <w:p w14:paraId="3AFD108B" w14:textId="77777777" w:rsidR="00C06875" w:rsidRDefault="00C0687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50399"/>
    <w:multiLevelType w:val="hybridMultilevel"/>
    <w:tmpl w:val="59F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44622A"/>
    <w:multiLevelType w:val="multilevel"/>
    <w:tmpl w:val="09125016"/>
    <w:numStyleLink w:val="Style1"/>
  </w:abstractNum>
  <w:abstractNum w:abstractNumId="8">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B3A6C"/>
    <w:multiLevelType w:val="hybridMultilevel"/>
    <w:tmpl w:val="196C9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3"/>
  </w:num>
  <w:num w:numId="2">
    <w:abstractNumId w:val="10"/>
  </w:num>
  <w:num w:numId="3">
    <w:abstractNumId w:val="9"/>
  </w:num>
  <w:num w:numId="4">
    <w:abstractNumId w:val="6"/>
  </w:num>
  <w:num w:numId="5">
    <w:abstractNumId w:val="15"/>
  </w:num>
  <w:num w:numId="6">
    <w:abstractNumId w:val="5"/>
  </w:num>
  <w:num w:numId="7">
    <w:abstractNumId w:val="8"/>
  </w:num>
  <w:num w:numId="8">
    <w:abstractNumId w:val="7"/>
  </w:num>
  <w:num w:numId="9">
    <w:abstractNumId w:val="0"/>
  </w:num>
  <w:num w:numId="10">
    <w:abstractNumId w:val="4"/>
  </w:num>
  <w:num w:numId="11">
    <w:abstractNumId w:val="12"/>
  </w:num>
  <w:num w:numId="12">
    <w:abstractNumId w:val="14"/>
  </w:num>
  <w:num w:numId="13">
    <w:abstractNumId w:val="3"/>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BE"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6403"/>
    <w:rsid w:val="00006A29"/>
    <w:rsid w:val="00013FAA"/>
    <w:rsid w:val="00014227"/>
    <w:rsid w:val="00015AE7"/>
    <w:rsid w:val="00017B88"/>
    <w:rsid w:val="0002165C"/>
    <w:rsid w:val="00026DB7"/>
    <w:rsid w:val="00030FFE"/>
    <w:rsid w:val="00031545"/>
    <w:rsid w:val="000317BA"/>
    <w:rsid w:val="00031D61"/>
    <w:rsid w:val="00032D19"/>
    <w:rsid w:val="00033F30"/>
    <w:rsid w:val="00037930"/>
    <w:rsid w:val="00040CE0"/>
    <w:rsid w:val="00041B9F"/>
    <w:rsid w:val="00044340"/>
    <w:rsid w:val="00051586"/>
    <w:rsid w:val="00053671"/>
    <w:rsid w:val="00056DD2"/>
    <w:rsid w:val="0006247E"/>
    <w:rsid w:val="000652BE"/>
    <w:rsid w:val="0006639A"/>
    <w:rsid w:val="000678AE"/>
    <w:rsid w:val="00067E1B"/>
    <w:rsid w:val="00070D4D"/>
    <w:rsid w:val="00071920"/>
    <w:rsid w:val="00073EFB"/>
    <w:rsid w:val="000747AC"/>
    <w:rsid w:val="00074FDE"/>
    <w:rsid w:val="00076D10"/>
    <w:rsid w:val="000777EF"/>
    <w:rsid w:val="000816E0"/>
    <w:rsid w:val="00081E33"/>
    <w:rsid w:val="00082EA9"/>
    <w:rsid w:val="000879CA"/>
    <w:rsid w:val="000912C9"/>
    <w:rsid w:val="00093DF9"/>
    <w:rsid w:val="000A0AC0"/>
    <w:rsid w:val="000A56BD"/>
    <w:rsid w:val="000A5E51"/>
    <w:rsid w:val="000A73A6"/>
    <w:rsid w:val="000B1947"/>
    <w:rsid w:val="000C20AB"/>
    <w:rsid w:val="000D10E8"/>
    <w:rsid w:val="000D3C8A"/>
    <w:rsid w:val="000D4C23"/>
    <w:rsid w:val="000D7D1D"/>
    <w:rsid w:val="000E1128"/>
    <w:rsid w:val="000E16D3"/>
    <w:rsid w:val="000E1E22"/>
    <w:rsid w:val="000E209D"/>
    <w:rsid w:val="000E2854"/>
    <w:rsid w:val="000E3652"/>
    <w:rsid w:val="000F1DE3"/>
    <w:rsid w:val="000F2DDC"/>
    <w:rsid w:val="000F4CAA"/>
    <w:rsid w:val="001015FC"/>
    <w:rsid w:val="00103FF5"/>
    <w:rsid w:val="00104E90"/>
    <w:rsid w:val="001054F6"/>
    <w:rsid w:val="00105EBF"/>
    <w:rsid w:val="00106FDF"/>
    <w:rsid w:val="0011632B"/>
    <w:rsid w:val="0012271A"/>
    <w:rsid w:val="0013020F"/>
    <w:rsid w:val="00131371"/>
    <w:rsid w:val="001319BD"/>
    <w:rsid w:val="0013226B"/>
    <w:rsid w:val="00134095"/>
    <w:rsid w:val="00134B29"/>
    <w:rsid w:val="001433A9"/>
    <w:rsid w:val="00145159"/>
    <w:rsid w:val="0014691A"/>
    <w:rsid w:val="001503E6"/>
    <w:rsid w:val="00150705"/>
    <w:rsid w:val="00150BF0"/>
    <w:rsid w:val="001515AA"/>
    <w:rsid w:val="00153F9D"/>
    <w:rsid w:val="00155815"/>
    <w:rsid w:val="00156C6A"/>
    <w:rsid w:val="00157A3F"/>
    <w:rsid w:val="00171ECE"/>
    <w:rsid w:val="00172F69"/>
    <w:rsid w:val="00177836"/>
    <w:rsid w:val="001812AE"/>
    <w:rsid w:val="00185DD3"/>
    <w:rsid w:val="0019449E"/>
    <w:rsid w:val="00195E37"/>
    <w:rsid w:val="001A1DAB"/>
    <w:rsid w:val="001A1EFA"/>
    <w:rsid w:val="001A4580"/>
    <w:rsid w:val="001B323C"/>
    <w:rsid w:val="001B4A66"/>
    <w:rsid w:val="001B4D2B"/>
    <w:rsid w:val="001B6AFB"/>
    <w:rsid w:val="001C0CE3"/>
    <w:rsid w:val="001C516C"/>
    <w:rsid w:val="001C77A3"/>
    <w:rsid w:val="001D0AB9"/>
    <w:rsid w:val="001D29E7"/>
    <w:rsid w:val="001D6DDB"/>
    <w:rsid w:val="001E01ED"/>
    <w:rsid w:val="001F181F"/>
    <w:rsid w:val="001F2D33"/>
    <w:rsid w:val="00200775"/>
    <w:rsid w:val="00200B70"/>
    <w:rsid w:val="00200D2C"/>
    <w:rsid w:val="002014E2"/>
    <w:rsid w:val="002019A9"/>
    <w:rsid w:val="00201B4A"/>
    <w:rsid w:val="00203A50"/>
    <w:rsid w:val="00204AFB"/>
    <w:rsid w:val="0020663A"/>
    <w:rsid w:val="00206828"/>
    <w:rsid w:val="00207534"/>
    <w:rsid w:val="00212D0C"/>
    <w:rsid w:val="002202FF"/>
    <w:rsid w:val="002213CC"/>
    <w:rsid w:val="0023115C"/>
    <w:rsid w:val="002332D6"/>
    <w:rsid w:val="002335F9"/>
    <w:rsid w:val="002368E4"/>
    <w:rsid w:val="0023769F"/>
    <w:rsid w:val="00240A5C"/>
    <w:rsid w:val="00240E62"/>
    <w:rsid w:val="0024170B"/>
    <w:rsid w:val="00242341"/>
    <w:rsid w:val="002425F1"/>
    <w:rsid w:val="00242998"/>
    <w:rsid w:val="00242BC8"/>
    <w:rsid w:val="00244129"/>
    <w:rsid w:val="00244D05"/>
    <w:rsid w:val="002525F3"/>
    <w:rsid w:val="0025627B"/>
    <w:rsid w:val="00256843"/>
    <w:rsid w:val="002568B4"/>
    <w:rsid w:val="00265EDF"/>
    <w:rsid w:val="002661C7"/>
    <w:rsid w:val="0026711D"/>
    <w:rsid w:val="00270C3A"/>
    <w:rsid w:val="002739D6"/>
    <w:rsid w:val="00275ADF"/>
    <w:rsid w:val="002763E2"/>
    <w:rsid w:val="00276C85"/>
    <w:rsid w:val="00280D66"/>
    <w:rsid w:val="0028198D"/>
    <w:rsid w:val="0028773F"/>
    <w:rsid w:val="00291F2D"/>
    <w:rsid w:val="00293D1E"/>
    <w:rsid w:val="0029515C"/>
    <w:rsid w:val="002961D6"/>
    <w:rsid w:val="002965F6"/>
    <w:rsid w:val="00297D51"/>
    <w:rsid w:val="002A0ADA"/>
    <w:rsid w:val="002A4FE1"/>
    <w:rsid w:val="002B2D0D"/>
    <w:rsid w:val="002B31BA"/>
    <w:rsid w:val="002B4C91"/>
    <w:rsid w:val="002C3AE2"/>
    <w:rsid w:val="002C6BD1"/>
    <w:rsid w:val="002D3D0C"/>
    <w:rsid w:val="002E24C0"/>
    <w:rsid w:val="002E4E76"/>
    <w:rsid w:val="002E50F1"/>
    <w:rsid w:val="002E5112"/>
    <w:rsid w:val="002F24DC"/>
    <w:rsid w:val="002F4995"/>
    <w:rsid w:val="002F5602"/>
    <w:rsid w:val="002F72C7"/>
    <w:rsid w:val="00305A1B"/>
    <w:rsid w:val="003127A5"/>
    <w:rsid w:val="00316981"/>
    <w:rsid w:val="00321C21"/>
    <w:rsid w:val="00331282"/>
    <w:rsid w:val="00332F80"/>
    <w:rsid w:val="003340FF"/>
    <w:rsid w:val="003344F5"/>
    <w:rsid w:val="00334FDA"/>
    <w:rsid w:val="00343F28"/>
    <w:rsid w:val="00344C7C"/>
    <w:rsid w:val="00347120"/>
    <w:rsid w:val="00352D80"/>
    <w:rsid w:val="003539FB"/>
    <w:rsid w:val="00354810"/>
    <w:rsid w:val="003703FF"/>
    <w:rsid w:val="0037216F"/>
    <w:rsid w:val="003737AF"/>
    <w:rsid w:val="00376B2C"/>
    <w:rsid w:val="00377FA8"/>
    <w:rsid w:val="00380753"/>
    <w:rsid w:val="00383D44"/>
    <w:rsid w:val="003901F6"/>
    <w:rsid w:val="00390FA0"/>
    <w:rsid w:val="003962DF"/>
    <w:rsid w:val="003971F9"/>
    <w:rsid w:val="003A6A6C"/>
    <w:rsid w:val="003B3841"/>
    <w:rsid w:val="003B3EE9"/>
    <w:rsid w:val="003B47DD"/>
    <w:rsid w:val="003C10A5"/>
    <w:rsid w:val="003C12D1"/>
    <w:rsid w:val="003C221F"/>
    <w:rsid w:val="003C3C33"/>
    <w:rsid w:val="003C5773"/>
    <w:rsid w:val="003D1EC2"/>
    <w:rsid w:val="003D7EF0"/>
    <w:rsid w:val="003E13AC"/>
    <w:rsid w:val="003E2A65"/>
    <w:rsid w:val="003E478F"/>
    <w:rsid w:val="003E5DBD"/>
    <w:rsid w:val="003F027D"/>
    <w:rsid w:val="003F3408"/>
    <w:rsid w:val="004003F7"/>
    <w:rsid w:val="00401AFC"/>
    <w:rsid w:val="004021B3"/>
    <w:rsid w:val="004042A2"/>
    <w:rsid w:val="00412543"/>
    <w:rsid w:val="00417F9E"/>
    <w:rsid w:val="00424B0A"/>
    <w:rsid w:val="00427C03"/>
    <w:rsid w:val="00432322"/>
    <w:rsid w:val="004334AB"/>
    <w:rsid w:val="00441432"/>
    <w:rsid w:val="00444532"/>
    <w:rsid w:val="00453494"/>
    <w:rsid w:val="00453EC7"/>
    <w:rsid w:val="0045429A"/>
    <w:rsid w:val="00460D47"/>
    <w:rsid w:val="004629B2"/>
    <w:rsid w:val="004633D8"/>
    <w:rsid w:val="004657BF"/>
    <w:rsid w:val="004713DD"/>
    <w:rsid w:val="0047402D"/>
    <w:rsid w:val="00480063"/>
    <w:rsid w:val="0048458E"/>
    <w:rsid w:val="00485E43"/>
    <w:rsid w:val="00491EB1"/>
    <w:rsid w:val="00493F64"/>
    <w:rsid w:val="00494049"/>
    <w:rsid w:val="004B25CE"/>
    <w:rsid w:val="004B3702"/>
    <w:rsid w:val="004B3D61"/>
    <w:rsid w:val="004B4023"/>
    <w:rsid w:val="004B5036"/>
    <w:rsid w:val="004B71A2"/>
    <w:rsid w:val="004C2697"/>
    <w:rsid w:val="004C3356"/>
    <w:rsid w:val="004C581B"/>
    <w:rsid w:val="004D028F"/>
    <w:rsid w:val="004D205C"/>
    <w:rsid w:val="004D4DD0"/>
    <w:rsid w:val="004D5389"/>
    <w:rsid w:val="004D5B15"/>
    <w:rsid w:val="004D632E"/>
    <w:rsid w:val="004E0E3A"/>
    <w:rsid w:val="004E3395"/>
    <w:rsid w:val="004E3544"/>
    <w:rsid w:val="004E72EA"/>
    <w:rsid w:val="004F442A"/>
    <w:rsid w:val="004F56DE"/>
    <w:rsid w:val="004F65C6"/>
    <w:rsid w:val="004F71D7"/>
    <w:rsid w:val="00501270"/>
    <w:rsid w:val="00506031"/>
    <w:rsid w:val="0050634D"/>
    <w:rsid w:val="00506E45"/>
    <w:rsid w:val="00511D75"/>
    <w:rsid w:val="00515886"/>
    <w:rsid w:val="00523479"/>
    <w:rsid w:val="0052486D"/>
    <w:rsid w:val="005248A5"/>
    <w:rsid w:val="00536AF1"/>
    <w:rsid w:val="00536ED0"/>
    <w:rsid w:val="00537E55"/>
    <w:rsid w:val="00541712"/>
    <w:rsid w:val="00542640"/>
    <w:rsid w:val="00546ADD"/>
    <w:rsid w:val="00550E55"/>
    <w:rsid w:val="00552FDF"/>
    <w:rsid w:val="00565EDB"/>
    <w:rsid w:val="0057169B"/>
    <w:rsid w:val="00573625"/>
    <w:rsid w:val="005743EC"/>
    <w:rsid w:val="00574FA6"/>
    <w:rsid w:val="00580606"/>
    <w:rsid w:val="00582502"/>
    <w:rsid w:val="0058267E"/>
    <w:rsid w:val="00582903"/>
    <w:rsid w:val="00582C8E"/>
    <w:rsid w:val="00587EC2"/>
    <w:rsid w:val="00591E48"/>
    <w:rsid w:val="005A038A"/>
    <w:rsid w:val="005A0F49"/>
    <w:rsid w:val="005B016B"/>
    <w:rsid w:val="005B0C43"/>
    <w:rsid w:val="005B3D89"/>
    <w:rsid w:val="005B4518"/>
    <w:rsid w:val="005B54DD"/>
    <w:rsid w:val="005B5D5C"/>
    <w:rsid w:val="005B7263"/>
    <w:rsid w:val="005B7DF7"/>
    <w:rsid w:val="005C4186"/>
    <w:rsid w:val="005C5398"/>
    <w:rsid w:val="005C7600"/>
    <w:rsid w:val="005C7B17"/>
    <w:rsid w:val="005D10E7"/>
    <w:rsid w:val="005D66B4"/>
    <w:rsid w:val="005D7BF0"/>
    <w:rsid w:val="005E2979"/>
    <w:rsid w:val="005E6F8D"/>
    <w:rsid w:val="005F32F0"/>
    <w:rsid w:val="005F51A2"/>
    <w:rsid w:val="0060115E"/>
    <w:rsid w:val="00602878"/>
    <w:rsid w:val="00606904"/>
    <w:rsid w:val="00606E0A"/>
    <w:rsid w:val="00613E64"/>
    <w:rsid w:val="00617B96"/>
    <w:rsid w:val="00622CA8"/>
    <w:rsid w:val="00623078"/>
    <w:rsid w:val="00623F86"/>
    <w:rsid w:val="00624CE1"/>
    <w:rsid w:val="00625F34"/>
    <w:rsid w:val="0062606A"/>
    <w:rsid w:val="006343C9"/>
    <w:rsid w:val="00637F5D"/>
    <w:rsid w:val="0064023D"/>
    <w:rsid w:val="00653A0E"/>
    <w:rsid w:val="00657BDF"/>
    <w:rsid w:val="00663BC9"/>
    <w:rsid w:val="00674C2B"/>
    <w:rsid w:val="00674DC2"/>
    <w:rsid w:val="006775DC"/>
    <w:rsid w:val="00681610"/>
    <w:rsid w:val="00686217"/>
    <w:rsid w:val="006869D4"/>
    <w:rsid w:val="00690E5E"/>
    <w:rsid w:val="006A1A16"/>
    <w:rsid w:val="006A4424"/>
    <w:rsid w:val="006A4A39"/>
    <w:rsid w:val="006B07DF"/>
    <w:rsid w:val="006B0C20"/>
    <w:rsid w:val="006B56C4"/>
    <w:rsid w:val="006C1A1E"/>
    <w:rsid w:val="006C500C"/>
    <w:rsid w:val="006C655A"/>
    <w:rsid w:val="006C6578"/>
    <w:rsid w:val="006E2395"/>
    <w:rsid w:val="006E4F97"/>
    <w:rsid w:val="006F070E"/>
    <w:rsid w:val="006F3440"/>
    <w:rsid w:val="00706BCB"/>
    <w:rsid w:val="00710BF2"/>
    <w:rsid w:val="00720709"/>
    <w:rsid w:val="00724D04"/>
    <w:rsid w:val="007311C6"/>
    <w:rsid w:val="00731B24"/>
    <w:rsid w:val="007325ED"/>
    <w:rsid w:val="00733192"/>
    <w:rsid w:val="007376F4"/>
    <w:rsid w:val="00740059"/>
    <w:rsid w:val="0074100D"/>
    <w:rsid w:val="00743F22"/>
    <w:rsid w:val="007442C3"/>
    <w:rsid w:val="007447B9"/>
    <w:rsid w:val="0074521C"/>
    <w:rsid w:val="00747020"/>
    <w:rsid w:val="007530B7"/>
    <w:rsid w:val="00754E12"/>
    <w:rsid w:val="0075552D"/>
    <w:rsid w:val="00755BBA"/>
    <w:rsid w:val="00757F44"/>
    <w:rsid w:val="007667E1"/>
    <w:rsid w:val="00772A65"/>
    <w:rsid w:val="00773161"/>
    <w:rsid w:val="00775675"/>
    <w:rsid w:val="00777448"/>
    <w:rsid w:val="00777FC0"/>
    <w:rsid w:val="007810DC"/>
    <w:rsid w:val="00782BDE"/>
    <w:rsid w:val="0078411B"/>
    <w:rsid w:val="007841E3"/>
    <w:rsid w:val="00784DDF"/>
    <w:rsid w:val="00786C5A"/>
    <w:rsid w:val="00792F8A"/>
    <w:rsid w:val="007A0C90"/>
    <w:rsid w:val="007A2FDD"/>
    <w:rsid w:val="007A3DAD"/>
    <w:rsid w:val="007B3D63"/>
    <w:rsid w:val="007B4891"/>
    <w:rsid w:val="007B4CA8"/>
    <w:rsid w:val="007C2B6F"/>
    <w:rsid w:val="007C71F5"/>
    <w:rsid w:val="007D2C4F"/>
    <w:rsid w:val="007D3913"/>
    <w:rsid w:val="007D4C07"/>
    <w:rsid w:val="007E405F"/>
    <w:rsid w:val="007E5176"/>
    <w:rsid w:val="007E6191"/>
    <w:rsid w:val="007E72EF"/>
    <w:rsid w:val="007F1AE0"/>
    <w:rsid w:val="007F1E53"/>
    <w:rsid w:val="007F4F7A"/>
    <w:rsid w:val="007F7EDD"/>
    <w:rsid w:val="008102BB"/>
    <w:rsid w:val="0081086B"/>
    <w:rsid w:val="00810B9E"/>
    <w:rsid w:val="00815C35"/>
    <w:rsid w:val="0081618D"/>
    <w:rsid w:val="00817236"/>
    <w:rsid w:val="008172D1"/>
    <w:rsid w:val="00823552"/>
    <w:rsid w:val="0082377F"/>
    <w:rsid w:val="00825415"/>
    <w:rsid w:val="00827286"/>
    <w:rsid w:val="00831EA0"/>
    <w:rsid w:val="008320F7"/>
    <w:rsid w:val="00834315"/>
    <w:rsid w:val="0084098E"/>
    <w:rsid w:val="00842C29"/>
    <w:rsid w:val="00843673"/>
    <w:rsid w:val="00843E71"/>
    <w:rsid w:val="008452CD"/>
    <w:rsid w:val="008457FB"/>
    <w:rsid w:val="008519CC"/>
    <w:rsid w:val="00852956"/>
    <w:rsid w:val="008541D4"/>
    <w:rsid w:val="008574B9"/>
    <w:rsid w:val="0087762E"/>
    <w:rsid w:val="00877BE2"/>
    <w:rsid w:val="00882365"/>
    <w:rsid w:val="008839F0"/>
    <w:rsid w:val="008845A2"/>
    <w:rsid w:val="008865B5"/>
    <w:rsid w:val="00886C49"/>
    <w:rsid w:val="00890B73"/>
    <w:rsid w:val="008A0D9E"/>
    <w:rsid w:val="008A16FB"/>
    <w:rsid w:val="008A19F2"/>
    <w:rsid w:val="008A2DC8"/>
    <w:rsid w:val="008A3AA0"/>
    <w:rsid w:val="008A4739"/>
    <w:rsid w:val="008A4E7B"/>
    <w:rsid w:val="008B180A"/>
    <w:rsid w:val="008B5D54"/>
    <w:rsid w:val="008B7B1C"/>
    <w:rsid w:val="008C0758"/>
    <w:rsid w:val="008C09DC"/>
    <w:rsid w:val="008C0F50"/>
    <w:rsid w:val="008C1BEA"/>
    <w:rsid w:val="008C3782"/>
    <w:rsid w:val="008C5507"/>
    <w:rsid w:val="008D47EF"/>
    <w:rsid w:val="008D5F8D"/>
    <w:rsid w:val="008E10CB"/>
    <w:rsid w:val="008E5022"/>
    <w:rsid w:val="008E6D5A"/>
    <w:rsid w:val="008F34F0"/>
    <w:rsid w:val="008F6383"/>
    <w:rsid w:val="008F6B1C"/>
    <w:rsid w:val="00904F07"/>
    <w:rsid w:val="00910A43"/>
    <w:rsid w:val="009111E8"/>
    <w:rsid w:val="00913292"/>
    <w:rsid w:val="009132DF"/>
    <w:rsid w:val="00913A3E"/>
    <w:rsid w:val="009221FF"/>
    <w:rsid w:val="00924A81"/>
    <w:rsid w:val="00925BA9"/>
    <w:rsid w:val="009330AF"/>
    <w:rsid w:val="00933271"/>
    <w:rsid w:val="009371FE"/>
    <w:rsid w:val="00940241"/>
    <w:rsid w:val="00941A61"/>
    <w:rsid w:val="009423E7"/>
    <w:rsid w:val="00943B21"/>
    <w:rsid w:val="00947351"/>
    <w:rsid w:val="009501CD"/>
    <w:rsid w:val="0095683F"/>
    <w:rsid w:val="00956B5D"/>
    <w:rsid w:val="009579AD"/>
    <w:rsid w:val="00957EBB"/>
    <w:rsid w:val="00963092"/>
    <w:rsid w:val="009636FA"/>
    <w:rsid w:val="0096557A"/>
    <w:rsid w:val="00965E71"/>
    <w:rsid w:val="00973A03"/>
    <w:rsid w:val="00974E01"/>
    <w:rsid w:val="00976441"/>
    <w:rsid w:val="00980F7C"/>
    <w:rsid w:val="009811EB"/>
    <w:rsid w:val="00982E03"/>
    <w:rsid w:val="009830DB"/>
    <w:rsid w:val="0098459C"/>
    <w:rsid w:val="0098673D"/>
    <w:rsid w:val="00987256"/>
    <w:rsid w:val="009951A9"/>
    <w:rsid w:val="0099750D"/>
    <w:rsid w:val="009A2571"/>
    <w:rsid w:val="009A38A1"/>
    <w:rsid w:val="009A4982"/>
    <w:rsid w:val="009A6CEF"/>
    <w:rsid w:val="009B396D"/>
    <w:rsid w:val="009B4858"/>
    <w:rsid w:val="009B5C38"/>
    <w:rsid w:val="009C1E8F"/>
    <w:rsid w:val="009C3FFF"/>
    <w:rsid w:val="009C5D88"/>
    <w:rsid w:val="009C7405"/>
    <w:rsid w:val="009D041A"/>
    <w:rsid w:val="009D4CC5"/>
    <w:rsid w:val="009D6649"/>
    <w:rsid w:val="009E1B12"/>
    <w:rsid w:val="009F2B1C"/>
    <w:rsid w:val="009F4C05"/>
    <w:rsid w:val="009F735D"/>
    <w:rsid w:val="00A00005"/>
    <w:rsid w:val="00A003CC"/>
    <w:rsid w:val="00A02DE6"/>
    <w:rsid w:val="00A04495"/>
    <w:rsid w:val="00A06E04"/>
    <w:rsid w:val="00A06E57"/>
    <w:rsid w:val="00A07E2E"/>
    <w:rsid w:val="00A12865"/>
    <w:rsid w:val="00A12ABA"/>
    <w:rsid w:val="00A200F6"/>
    <w:rsid w:val="00A31F59"/>
    <w:rsid w:val="00A32FBE"/>
    <w:rsid w:val="00A34D13"/>
    <w:rsid w:val="00A3575B"/>
    <w:rsid w:val="00A40E3B"/>
    <w:rsid w:val="00A46777"/>
    <w:rsid w:val="00A51C29"/>
    <w:rsid w:val="00A544A9"/>
    <w:rsid w:val="00A552D2"/>
    <w:rsid w:val="00A55C9F"/>
    <w:rsid w:val="00A60B75"/>
    <w:rsid w:val="00A63A65"/>
    <w:rsid w:val="00A64F2A"/>
    <w:rsid w:val="00A71916"/>
    <w:rsid w:val="00A732A6"/>
    <w:rsid w:val="00A74155"/>
    <w:rsid w:val="00A753EB"/>
    <w:rsid w:val="00A76979"/>
    <w:rsid w:val="00A80799"/>
    <w:rsid w:val="00A90552"/>
    <w:rsid w:val="00A961D6"/>
    <w:rsid w:val="00AA0B72"/>
    <w:rsid w:val="00AA1ED6"/>
    <w:rsid w:val="00AB40B0"/>
    <w:rsid w:val="00AB78EA"/>
    <w:rsid w:val="00AC05E8"/>
    <w:rsid w:val="00AC254E"/>
    <w:rsid w:val="00AC25ED"/>
    <w:rsid w:val="00AC3C90"/>
    <w:rsid w:val="00AC60FB"/>
    <w:rsid w:val="00AD2807"/>
    <w:rsid w:val="00AD4495"/>
    <w:rsid w:val="00AD617D"/>
    <w:rsid w:val="00AD7976"/>
    <w:rsid w:val="00AE0874"/>
    <w:rsid w:val="00AE50F8"/>
    <w:rsid w:val="00AF2647"/>
    <w:rsid w:val="00AF6D1E"/>
    <w:rsid w:val="00AF6FD9"/>
    <w:rsid w:val="00B01EA2"/>
    <w:rsid w:val="00B01F8A"/>
    <w:rsid w:val="00B03E4D"/>
    <w:rsid w:val="00B057DB"/>
    <w:rsid w:val="00B06922"/>
    <w:rsid w:val="00B10353"/>
    <w:rsid w:val="00B10932"/>
    <w:rsid w:val="00B11437"/>
    <w:rsid w:val="00B12EA3"/>
    <w:rsid w:val="00B1394D"/>
    <w:rsid w:val="00B13A15"/>
    <w:rsid w:val="00B13D7C"/>
    <w:rsid w:val="00B148B5"/>
    <w:rsid w:val="00B170CE"/>
    <w:rsid w:val="00B24C5D"/>
    <w:rsid w:val="00B24E32"/>
    <w:rsid w:val="00B250E0"/>
    <w:rsid w:val="00B328D6"/>
    <w:rsid w:val="00B343E9"/>
    <w:rsid w:val="00B36F42"/>
    <w:rsid w:val="00B414DF"/>
    <w:rsid w:val="00B42992"/>
    <w:rsid w:val="00B42A00"/>
    <w:rsid w:val="00B447EE"/>
    <w:rsid w:val="00B45362"/>
    <w:rsid w:val="00B45435"/>
    <w:rsid w:val="00B470EB"/>
    <w:rsid w:val="00B474EC"/>
    <w:rsid w:val="00B52D00"/>
    <w:rsid w:val="00B55735"/>
    <w:rsid w:val="00B608AC"/>
    <w:rsid w:val="00B62FF3"/>
    <w:rsid w:val="00B64D28"/>
    <w:rsid w:val="00B65A4F"/>
    <w:rsid w:val="00B65B0C"/>
    <w:rsid w:val="00B712D6"/>
    <w:rsid w:val="00B76486"/>
    <w:rsid w:val="00B76615"/>
    <w:rsid w:val="00B82C9D"/>
    <w:rsid w:val="00B930C9"/>
    <w:rsid w:val="00B9447E"/>
    <w:rsid w:val="00B953B0"/>
    <w:rsid w:val="00B962E4"/>
    <w:rsid w:val="00BA7B25"/>
    <w:rsid w:val="00BB0F3A"/>
    <w:rsid w:val="00BB1C58"/>
    <w:rsid w:val="00BB3F53"/>
    <w:rsid w:val="00BB7AF0"/>
    <w:rsid w:val="00BC004B"/>
    <w:rsid w:val="00BC38BA"/>
    <w:rsid w:val="00BC60F9"/>
    <w:rsid w:val="00BC7371"/>
    <w:rsid w:val="00BD0B38"/>
    <w:rsid w:val="00BD64D6"/>
    <w:rsid w:val="00BD7FDE"/>
    <w:rsid w:val="00BE0850"/>
    <w:rsid w:val="00BF1EB9"/>
    <w:rsid w:val="00BF2A04"/>
    <w:rsid w:val="00BF2B6F"/>
    <w:rsid w:val="00BF4C06"/>
    <w:rsid w:val="00BF5E49"/>
    <w:rsid w:val="00BF671C"/>
    <w:rsid w:val="00C00EDB"/>
    <w:rsid w:val="00C03F9D"/>
    <w:rsid w:val="00C06875"/>
    <w:rsid w:val="00C1216F"/>
    <w:rsid w:val="00C1474B"/>
    <w:rsid w:val="00C15DB7"/>
    <w:rsid w:val="00C172B3"/>
    <w:rsid w:val="00C17EE7"/>
    <w:rsid w:val="00C202D5"/>
    <w:rsid w:val="00C231D2"/>
    <w:rsid w:val="00C24A59"/>
    <w:rsid w:val="00C25635"/>
    <w:rsid w:val="00C36986"/>
    <w:rsid w:val="00C37E9C"/>
    <w:rsid w:val="00C421C2"/>
    <w:rsid w:val="00C436DC"/>
    <w:rsid w:val="00C46977"/>
    <w:rsid w:val="00C50810"/>
    <w:rsid w:val="00C53CE5"/>
    <w:rsid w:val="00C5458E"/>
    <w:rsid w:val="00C56A3A"/>
    <w:rsid w:val="00C60213"/>
    <w:rsid w:val="00C60A58"/>
    <w:rsid w:val="00C61DD4"/>
    <w:rsid w:val="00C62F5E"/>
    <w:rsid w:val="00C67BED"/>
    <w:rsid w:val="00C67C7D"/>
    <w:rsid w:val="00C70483"/>
    <w:rsid w:val="00C70C6E"/>
    <w:rsid w:val="00C72912"/>
    <w:rsid w:val="00C736A4"/>
    <w:rsid w:val="00C74F4A"/>
    <w:rsid w:val="00C81AAD"/>
    <w:rsid w:val="00C8370A"/>
    <w:rsid w:val="00C84609"/>
    <w:rsid w:val="00C85B78"/>
    <w:rsid w:val="00C91C02"/>
    <w:rsid w:val="00C941AB"/>
    <w:rsid w:val="00C94C91"/>
    <w:rsid w:val="00C9502D"/>
    <w:rsid w:val="00CA7D49"/>
    <w:rsid w:val="00CB031A"/>
    <w:rsid w:val="00CB3DDB"/>
    <w:rsid w:val="00CB51BB"/>
    <w:rsid w:val="00CB62C5"/>
    <w:rsid w:val="00CC211B"/>
    <w:rsid w:val="00CC297C"/>
    <w:rsid w:val="00CC3B01"/>
    <w:rsid w:val="00CC5FFB"/>
    <w:rsid w:val="00CC6AB1"/>
    <w:rsid w:val="00CD441E"/>
    <w:rsid w:val="00CE4936"/>
    <w:rsid w:val="00CF191F"/>
    <w:rsid w:val="00CF3EE1"/>
    <w:rsid w:val="00CF44C9"/>
    <w:rsid w:val="00CF5EFA"/>
    <w:rsid w:val="00D01AB3"/>
    <w:rsid w:val="00D02168"/>
    <w:rsid w:val="00D02DEF"/>
    <w:rsid w:val="00D05089"/>
    <w:rsid w:val="00D05FAB"/>
    <w:rsid w:val="00D071EB"/>
    <w:rsid w:val="00D07372"/>
    <w:rsid w:val="00D07617"/>
    <w:rsid w:val="00D17FA6"/>
    <w:rsid w:val="00D21275"/>
    <w:rsid w:val="00D312D3"/>
    <w:rsid w:val="00D329C3"/>
    <w:rsid w:val="00D37337"/>
    <w:rsid w:val="00D45665"/>
    <w:rsid w:val="00D45E08"/>
    <w:rsid w:val="00D467C4"/>
    <w:rsid w:val="00D473E4"/>
    <w:rsid w:val="00D4797E"/>
    <w:rsid w:val="00D528B9"/>
    <w:rsid w:val="00D5485A"/>
    <w:rsid w:val="00D55A4B"/>
    <w:rsid w:val="00D56E26"/>
    <w:rsid w:val="00D601A8"/>
    <w:rsid w:val="00D62D1E"/>
    <w:rsid w:val="00D63688"/>
    <w:rsid w:val="00D6673F"/>
    <w:rsid w:val="00D66FE5"/>
    <w:rsid w:val="00D70265"/>
    <w:rsid w:val="00D70D00"/>
    <w:rsid w:val="00D70EC7"/>
    <w:rsid w:val="00D74C3B"/>
    <w:rsid w:val="00D7645F"/>
    <w:rsid w:val="00D84695"/>
    <w:rsid w:val="00D96359"/>
    <w:rsid w:val="00DA06C8"/>
    <w:rsid w:val="00DA3EA4"/>
    <w:rsid w:val="00DB13DE"/>
    <w:rsid w:val="00DB632D"/>
    <w:rsid w:val="00DC0C2E"/>
    <w:rsid w:val="00DC3C26"/>
    <w:rsid w:val="00DC56F1"/>
    <w:rsid w:val="00DC57CC"/>
    <w:rsid w:val="00DC68BA"/>
    <w:rsid w:val="00DC71F2"/>
    <w:rsid w:val="00DD1B1B"/>
    <w:rsid w:val="00DD3B22"/>
    <w:rsid w:val="00DD4021"/>
    <w:rsid w:val="00DE2A5A"/>
    <w:rsid w:val="00DE4370"/>
    <w:rsid w:val="00DE7C7E"/>
    <w:rsid w:val="00DF291A"/>
    <w:rsid w:val="00DF3B92"/>
    <w:rsid w:val="00DF6BCB"/>
    <w:rsid w:val="00DF71D5"/>
    <w:rsid w:val="00E005EF"/>
    <w:rsid w:val="00E036C0"/>
    <w:rsid w:val="00E06F4F"/>
    <w:rsid w:val="00E11DD3"/>
    <w:rsid w:val="00E227E6"/>
    <w:rsid w:val="00E232C2"/>
    <w:rsid w:val="00E2574F"/>
    <w:rsid w:val="00E25E5B"/>
    <w:rsid w:val="00E26604"/>
    <w:rsid w:val="00E344D5"/>
    <w:rsid w:val="00E3571A"/>
    <w:rsid w:val="00E368ED"/>
    <w:rsid w:val="00E3737B"/>
    <w:rsid w:val="00E4144C"/>
    <w:rsid w:val="00E45F70"/>
    <w:rsid w:val="00E477CF"/>
    <w:rsid w:val="00E47D1A"/>
    <w:rsid w:val="00E50603"/>
    <w:rsid w:val="00E50DA8"/>
    <w:rsid w:val="00E53653"/>
    <w:rsid w:val="00E56897"/>
    <w:rsid w:val="00E57785"/>
    <w:rsid w:val="00E64086"/>
    <w:rsid w:val="00E6566E"/>
    <w:rsid w:val="00E65FF8"/>
    <w:rsid w:val="00E66F37"/>
    <w:rsid w:val="00E70C71"/>
    <w:rsid w:val="00E72740"/>
    <w:rsid w:val="00E763FE"/>
    <w:rsid w:val="00E76B94"/>
    <w:rsid w:val="00E830C0"/>
    <w:rsid w:val="00E83EFA"/>
    <w:rsid w:val="00E8562C"/>
    <w:rsid w:val="00E86BF9"/>
    <w:rsid w:val="00E86C70"/>
    <w:rsid w:val="00E90840"/>
    <w:rsid w:val="00E95231"/>
    <w:rsid w:val="00E95779"/>
    <w:rsid w:val="00EA31E0"/>
    <w:rsid w:val="00EA4C0B"/>
    <w:rsid w:val="00EB46EE"/>
    <w:rsid w:val="00EB7706"/>
    <w:rsid w:val="00EB7D6E"/>
    <w:rsid w:val="00EC3F14"/>
    <w:rsid w:val="00EC5C59"/>
    <w:rsid w:val="00ED0207"/>
    <w:rsid w:val="00ED127C"/>
    <w:rsid w:val="00ED14C4"/>
    <w:rsid w:val="00ED3A5B"/>
    <w:rsid w:val="00ED62D3"/>
    <w:rsid w:val="00ED75FB"/>
    <w:rsid w:val="00EE4F87"/>
    <w:rsid w:val="00EE683F"/>
    <w:rsid w:val="00EF1926"/>
    <w:rsid w:val="00EF1FA3"/>
    <w:rsid w:val="00EF28D6"/>
    <w:rsid w:val="00EF42C5"/>
    <w:rsid w:val="00F014B6"/>
    <w:rsid w:val="00F025EB"/>
    <w:rsid w:val="00F119BC"/>
    <w:rsid w:val="00F11C39"/>
    <w:rsid w:val="00F13485"/>
    <w:rsid w:val="00F15684"/>
    <w:rsid w:val="00F15707"/>
    <w:rsid w:val="00F15AEE"/>
    <w:rsid w:val="00F1727A"/>
    <w:rsid w:val="00F22BAE"/>
    <w:rsid w:val="00F26954"/>
    <w:rsid w:val="00F27976"/>
    <w:rsid w:val="00F30E45"/>
    <w:rsid w:val="00F31F5C"/>
    <w:rsid w:val="00F34537"/>
    <w:rsid w:val="00F353ED"/>
    <w:rsid w:val="00F3592B"/>
    <w:rsid w:val="00F3714D"/>
    <w:rsid w:val="00F4093A"/>
    <w:rsid w:val="00F42159"/>
    <w:rsid w:val="00F534E7"/>
    <w:rsid w:val="00F54C87"/>
    <w:rsid w:val="00F55853"/>
    <w:rsid w:val="00F6027D"/>
    <w:rsid w:val="00F64CC0"/>
    <w:rsid w:val="00F64E04"/>
    <w:rsid w:val="00F72954"/>
    <w:rsid w:val="00F734ED"/>
    <w:rsid w:val="00F75369"/>
    <w:rsid w:val="00F82D55"/>
    <w:rsid w:val="00F83380"/>
    <w:rsid w:val="00F84573"/>
    <w:rsid w:val="00F867DA"/>
    <w:rsid w:val="00F918BB"/>
    <w:rsid w:val="00F9212B"/>
    <w:rsid w:val="00F94AE4"/>
    <w:rsid w:val="00F94F35"/>
    <w:rsid w:val="00F951D1"/>
    <w:rsid w:val="00F95454"/>
    <w:rsid w:val="00F95904"/>
    <w:rsid w:val="00F9622C"/>
    <w:rsid w:val="00F97FAA"/>
    <w:rsid w:val="00FA0589"/>
    <w:rsid w:val="00FB7AA8"/>
    <w:rsid w:val="00FC0162"/>
    <w:rsid w:val="00FC1704"/>
    <w:rsid w:val="00FC3CFD"/>
    <w:rsid w:val="00FD091D"/>
    <w:rsid w:val="00FD2FD5"/>
    <w:rsid w:val="00FD3BED"/>
    <w:rsid w:val="00FD6609"/>
    <w:rsid w:val="00FD6A23"/>
    <w:rsid w:val="00FD6AEB"/>
    <w:rsid w:val="00FE2976"/>
    <w:rsid w:val="00FE4A1B"/>
    <w:rsid w:val="00FE505B"/>
    <w:rsid w:val="00FE7D83"/>
    <w:rsid w:val="00FF1CB4"/>
    <w:rsid w:val="00FF37D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2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317729156">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1742237">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33C8988E-F8D2-4C40-A350-2422BF6D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4360</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2019-08-08T00:25:00Z</dcterms:created>
  <dcterms:modified xsi:type="dcterms:W3CDTF">2019-08-08T00:25:00Z</dcterms:modified>
</cp:coreProperties>
</file>