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FDE3E" w14:textId="24E82B36" w:rsidR="00976F2D" w:rsidRPr="00976F2D" w:rsidRDefault="00B12325" w:rsidP="00976F2D">
      <w:pPr>
        <w:pStyle w:val="Heading1"/>
        <w:rPr>
          <w:rFonts w:ascii="Times New Roman" w:hAnsi="Times New Roman"/>
          <w:color w:val="auto"/>
          <w:sz w:val="22"/>
          <w:szCs w:val="22"/>
        </w:rPr>
      </w:pPr>
      <w:bookmarkStart w:id="0" w:name="_GoBack"/>
      <w:bookmarkEnd w:id="0"/>
      <w:r>
        <w:rPr>
          <w:rFonts w:ascii="Times New Roman" w:hAnsi="Times New Roman"/>
          <w:color w:val="auto"/>
          <w:sz w:val="22"/>
          <w:szCs w:val="22"/>
        </w:rPr>
        <w:t>Attachment 4</w:t>
      </w:r>
      <w:r w:rsidR="00976F2D">
        <w:rPr>
          <w:rFonts w:ascii="Times New Roman" w:hAnsi="Times New Roman"/>
          <w:color w:val="auto"/>
          <w:sz w:val="22"/>
          <w:szCs w:val="22"/>
        </w:rPr>
        <w:t>: aDOLESCENT HEALTH THEMES</w:t>
      </w:r>
      <w:r w:rsidR="00514CEA">
        <w:rPr>
          <w:rFonts w:ascii="Times New Roman" w:hAnsi="Times New Roman"/>
          <w:color w:val="auto"/>
          <w:sz w:val="22"/>
          <w:szCs w:val="22"/>
        </w:rPr>
        <w:t xml:space="preserve">, TERMS, AND </w:t>
      </w:r>
      <w:r w:rsidR="00976F2D">
        <w:rPr>
          <w:rFonts w:ascii="Times New Roman" w:hAnsi="Times New Roman"/>
          <w:color w:val="auto"/>
          <w:sz w:val="22"/>
          <w:szCs w:val="22"/>
        </w:rPr>
        <w:t>MESSAGES</w:t>
      </w:r>
    </w:p>
    <w:p w14:paraId="41810423" w14:textId="0C68F478" w:rsidR="008D364E" w:rsidRPr="007E67D2" w:rsidRDefault="007E67D2" w:rsidP="007E67D2">
      <w:pPr>
        <w:pStyle w:val="Heading1"/>
        <w:jc w:val="center"/>
        <w:rPr>
          <w:color w:val="auto"/>
        </w:rPr>
      </w:pPr>
      <w:r w:rsidRPr="007E67D2">
        <w:rPr>
          <w:color w:val="auto"/>
        </w:rPr>
        <w:t>Themes</w:t>
      </w:r>
      <w:r w:rsidR="00514CEA">
        <w:rPr>
          <w:color w:val="auto"/>
        </w:rPr>
        <w:t>, TERMS,</w:t>
      </w:r>
      <w:r w:rsidRPr="007E67D2">
        <w:rPr>
          <w:color w:val="auto"/>
        </w:rPr>
        <w:t xml:space="preserve"> and Messages</w:t>
      </w:r>
    </w:p>
    <w:tbl>
      <w:tblPr>
        <w:tblStyle w:val="TableGrid"/>
        <w:tblW w:w="0" w:type="auto"/>
        <w:tblLook w:val="04A0" w:firstRow="1" w:lastRow="0" w:firstColumn="1" w:lastColumn="0" w:noHBand="0" w:noVBand="1"/>
      </w:tblPr>
      <w:tblGrid>
        <w:gridCol w:w="692"/>
        <w:gridCol w:w="2838"/>
        <w:gridCol w:w="2811"/>
        <w:gridCol w:w="3009"/>
      </w:tblGrid>
      <w:tr w:rsidR="00085F32" w14:paraId="02C7CF0D" w14:textId="77777777" w:rsidTr="00E97D24">
        <w:trPr>
          <w:tblHeader/>
        </w:trPr>
        <w:tc>
          <w:tcPr>
            <w:tcW w:w="9350" w:type="dxa"/>
            <w:gridSpan w:val="4"/>
            <w:shd w:val="clear" w:color="auto" w:fill="000099"/>
          </w:tcPr>
          <w:p w14:paraId="0CBE7CD6" w14:textId="77777777" w:rsidR="00085F32" w:rsidRPr="00085F32" w:rsidRDefault="00085F32">
            <w:pPr>
              <w:rPr>
                <w:b/>
              </w:rPr>
            </w:pPr>
            <w:r w:rsidRPr="00602AE1">
              <w:rPr>
                <w:b/>
              </w:rPr>
              <w:t>Audience: State, local, and national education agencies</w:t>
            </w:r>
          </w:p>
        </w:tc>
      </w:tr>
      <w:tr w:rsidR="00085F32" w14:paraId="17184917" w14:textId="77777777" w:rsidTr="00E97D24">
        <w:trPr>
          <w:tblHeader/>
        </w:trPr>
        <w:tc>
          <w:tcPr>
            <w:tcW w:w="9350" w:type="dxa"/>
            <w:gridSpan w:val="4"/>
            <w:shd w:val="clear" w:color="auto" w:fill="D9E2F3" w:themeFill="accent1" w:themeFillTint="33"/>
          </w:tcPr>
          <w:p w14:paraId="40DA7070" w14:textId="4C9C34D7" w:rsidR="00085F32" w:rsidRPr="00085F32" w:rsidRDefault="008F74E8" w:rsidP="006A541E">
            <w:pPr>
              <w:rPr>
                <w:b/>
              </w:rPr>
            </w:pPr>
            <w:r>
              <w:t>Audiences from state and local education agencies (SEAs/LEAs) typically comprise school administrators, principals, superintendents, and state or local education department supervisors. The core SEA/LEA audiences are DASH’s funded partners who provide health education and services through cooperative agreements. To obtain a diversity of perspectives, CDC DASH also plans to conduct focus groups with SEAs and/or LEAs not funded by CDC.</w:t>
            </w:r>
          </w:p>
        </w:tc>
      </w:tr>
      <w:tr w:rsidR="00037243" w14:paraId="10DDB804" w14:textId="77777777" w:rsidTr="006A541E">
        <w:tc>
          <w:tcPr>
            <w:tcW w:w="692" w:type="dxa"/>
            <w:shd w:val="clear" w:color="auto" w:fill="F2F2F2" w:themeFill="background1" w:themeFillShade="F2"/>
          </w:tcPr>
          <w:p w14:paraId="5144917B" w14:textId="77777777" w:rsidR="00085F32" w:rsidRPr="00602AE1" w:rsidRDefault="00085F32">
            <w:pPr>
              <w:rPr>
                <w:b/>
              </w:rPr>
            </w:pPr>
          </w:p>
        </w:tc>
        <w:tc>
          <w:tcPr>
            <w:tcW w:w="2838" w:type="dxa"/>
            <w:shd w:val="clear" w:color="auto" w:fill="F2F2F2" w:themeFill="background1" w:themeFillShade="F2"/>
          </w:tcPr>
          <w:p w14:paraId="465EC6C4" w14:textId="71330797" w:rsidR="00085F32" w:rsidRPr="00D95730" w:rsidRDefault="00085F32">
            <w:r w:rsidRPr="00D95730">
              <w:rPr>
                <w:b/>
              </w:rPr>
              <w:t>Theme:</w:t>
            </w:r>
            <w:r w:rsidRPr="00D95730">
              <w:t xml:space="preserve"> Co-occurrence of Risk/4 Focus Areas</w:t>
            </w:r>
          </w:p>
        </w:tc>
        <w:tc>
          <w:tcPr>
            <w:tcW w:w="2811" w:type="dxa"/>
            <w:shd w:val="clear" w:color="auto" w:fill="F2F2F2" w:themeFill="background1" w:themeFillShade="F2"/>
          </w:tcPr>
          <w:p w14:paraId="3CFC2B04" w14:textId="0CE808A1" w:rsidR="00085F32" w:rsidRPr="00D95730" w:rsidRDefault="00085F32" w:rsidP="006C3874">
            <w:r w:rsidRPr="00D95730">
              <w:rPr>
                <w:b/>
              </w:rPr>
              <w:t>Theme:</w:t>
            </w:r>
            <w:r w:rsidR="006C3874" w:rsidRPr="00D95730">
              <w:t xml:space="preserve"> </w:t>
            </w:r>
            <w:r w:rsidRPr="00D95730">
              <w:t>Call to Action</w:t>
            </w:r>
            <w:r w:rsidR="006C3874" w:rsidRPr="00D95730">
              <w:t>:</w:t>
            </w:r>
            <w:r w:rsidRPr="00D95730">
              <w:t xml:space="preserve"> </w:t>
            </w:r>
            <w:r w:rsidR="00237506" w:rsidRPr="00D95730">
              <w:t>How You Can Help</w:t>
            </w:r>
          </w:p>
        </w:tc>
        <w:tc>
          <w:tcPr>
            <w:tcW w:w="3009" w:type="dxa"/>
            <w:shd w:val="clear" w:color="auto" w:fill="F2F2F2" w:themeFill="background1" w:themeFillShade="F2"/>
          </w:tcPr>
          <w:p w14:paraId="310B12D1" w14:textId="4A151860" w:rsidR="00085F32" w:rsidRPr="00D95730" w:rsidRDefault="00085F32">
            <w:r w:rsidRPr="00D95730">
              <w:rPr>
                <w:b/>
              </w:rPr>
              <w:t xml:space="preserve">Theme: </w:t>
            </w:r>
            <w:bookmarkStart w:id="1" w:name="_Hlk529346189"/>
            <w:r w:rsidRPr="00D95730">
              <w:t>CDC: We Know What Works</w:t>
            </w:r>
            <w:bookmarkEnd w:id="1"/>
          </w:p>
        </w:tc>
      </w:tr>
      <w:tr w:rsidR="00037243" w14:paraId="5AD0CCC8" w14:textId="77777777" w:rsidTr="00DF37D8">
        <w:tc>
          <w:tcPr>
            <w:tcW w:w="692" w:type="dxa"/>
          </w:tcPr>
          <w:p w14:paraId="11BD9944" w14:textId="515DB8B9" w:rsidR="00085F32" w:rsidRPr="002F1B51" w:rsidRDefault="00085F32" w:rsidP="00085F32">
            <w:pPr>
              <w:pStyle w:val="ListParagraph"/>
              <w:numPr>
                <w:ilvl w:val="0"/>
                <w:numId w:val="4"/>
              </w:numPr>
            </w:pPr>
          </w:p>
        </w:tc>
        <w:tc>
          <w:tcPr>
            <w:tcW w:w="2838" w:type="dxa"/>
          </w:tcPr>
          <w:p w14:paraId="693907E8" w14:textId="0372D64C" w:rsidR="00085F32" w:rsidRPr="00D95730" w:rsidRDefault="00085F32" w:rsidP="002B27A8">
            <w:r w:rsidRPr="00D95730">
              <w:t>Sexual risk</w:t>
            </w:r>
            <w:r w:rsidR="009B55EC">
              <w:t xml:space="preserve"> behavior</w:t>
            </w:r>
            <w:r w:rsidRPr="00D95730">
              <w:t xml:space="preserve">, </w:t>
            </w:r>
            <w:r w:rsidR="000E6D19" w:rsidRPr="00D95730">
              <w:t xml:space="preserve">high-risk </w:t>
            </w:r>
            <w:r w:rsidRPr="00D95730">
              <w:t>substance use, violence</w:t>
            </w:r>
            <w:r w:rsidR="000E6D19" w:rsidRPr="00D95730">
              <w:t xml:space="preserve"> victimization</w:t>
            </w:r>
            <w:r w:rsidR="00D6736F" w:rsidRPr="00D95730">
              <w:t>,</w:t>
            </w:r>
            <w:r w:rsidRPr="00D95730">
              <w:t xml:space="preserve"> and mental health issues</w:t>
            </w:r>
            <w:r w:rsidR="000E6D19" w:rsidRPr="00D95730">
              <w:t>, including suicide</w:t>
            </w:r>
            <w:r w:rsidR="0057677D" w:rsidRPr="00D95730">
              <w:t>,</w:t>
            </w:r>
            <w:r w:rsidRPr="00D95730">
              <w:t xml:space="preserve"> can occur together and contribute to increased risk for HIV, STDs and pregnancy among youth.</w:t>
            </w:r>
            <w:r w:rsidR="002B27A8" w:rsidRPr="00D95730">
              <w:t xml:space="preserve"> </w:t>
            </w:r>
          </w:p>
          <w:p w14:paraId="0CAA804F" w14:textId="040905C2" w:rsidR="00085F32" w:rsidRPr="00D95730" w:rsidRDefault="00085F32"/>
          <w:p w14:paraId="24E92DFF" w14:textId="165F1E82" w:rsidR="00085F32" w:rsidRPr="00D95730" w:rsidRDefault="0057677D" w:rsidP="007C1C9B">
            <w:r w:rsidRPr="00D95730">
              <w:t>Sexual risk</w:t>
            </w:r>
            <w:r w:rsidR="006E49D4">
              <w:t xml:space="preserve"> behavior</w:t>
            </w:r>
            <w:r w:rsidRPr="00D95730">
              <w:t>, high-risk substance use, violence victimization, and mental health issues, including suicide, can occur together and contribute to increased risk</w:t>
            </w:r>
            <w:r w:rsidR="0076175D">
              <w:t>s</w:t>
            </w:r>
            <w:r w:rsidRPr="00D95730">
              <w:t xml:space="preserve"> for HIV, STDs and pregnancy among youth. Efforts to prevent HIV, STDs, and pregnancy must consider all of the behaviors and experiences that heighten risk and how they fit together.</w:t>
            </w:r>
          </w:p>
        </w:tc>
        <w:tc>
          <w:tcPr>
            <w:tcW w:w="2811" w:type="dxa"/>
          </w:tcPr>
          <w:p w14:paraId="36E7B741" w14:textId="2430ACD3" w:rsidR="00085F32" w:rsidRPr="00D95730" w:rsidRDefault="00085F32">
            <w:r w:rsidRPr="00D95730">
              <w:t xml:space="preserve">Requiring school-based </w:t>
            </w:r>
            <w:r w:rsidR="005F769B">
              <w:t>sexual</w:t>
            </w:r>
            <w:r w:rsidR="009C0781">
              <w:t xml:space="preserve"> health</w:t>
            </w:r>
            <w:r w:rsidR="005F769B">
              <w:t xml:space="preserve"> </w:t>
            </w:r>
            <w:r w:rsidRPr="00D95730">
              <w:t>education programs, promoting youth-friendly health services, and</w:t>
            </w:r>
            <w:r w:rsidR="004B56C1" w:rsidRPr="00D95730">
              <w:t xml:space="preserve"> </w:t>
            </w:r>
            <w:r w:rsidR="0057677D" w:rsidRPr="00D95730">
              <w:t>encouraging</w:t>
            </w:r>
            <w:r w:rsidRPr="00D95730">
              <w:t xml:space="preserve"> safe </w:t>
            </w:r>
            <w:r w:rsidR="00890F29" w:rsidRPr="00D95730">
              <w:t xml:space="preserve">and supportive </w:t>
            </w:r>
            <w:r w:rsidRPr="00D95730">
              <w:t xml:space="preserve">environments in schools protect student health and </w:t>
            </w:r>
            <w:r w:rsidR="00005766" w:rsidRPr="00D95730">
              <w:t xml:space="preserve">improves </w:t>
            </w:r>
            <w:r w:rsidRPr="00D95730">
              <w:t>academic performance.</w:t>
            </w:r>
          </w:p>
          <w:p w14:paraId="026264DB" w14:textId="77777777" w:rsidR="00085F32" w:rsidRPr="00D95730" w:rsidRDefault="00085F32"/>
          <w:p w14:paraId="14FF9B4F" w14:textId="0D313DAA" w:rsidR="00085F32" w:rsidRPr="00D95730" w:rsidRDefault="00085F32">
            <w:pPr>
              <w:rPr>
                <w:i/>
              </w:rPr>
            </w:pPr>
            <w:r w:rsidRPr="00D95730">
              <w:rPr>
                <w:i/>
              </w:rPr>
              <w:t>To improv</w:t>
            </w:r>
            <w:r w:rsidR="004B56C1" w:rsidRPr="00D95730">
              <w:rPr>
                <w:i/>
              </w:rPr>
              <w:t>e</w:t>
            </w:r>
            <w:r w:rsidRPr="00D95730">
              <w:rPr>
                <w:i/>
              </w:rPr>
              <w:t xml:space="preserve"> student health and academic performance, </w:t>
            </w:r>
            <w:r w:rsidR="008A756E" w:rsidRPr="00D95730">
              <w:rPr>
                <w:i/>
              </w:rPr>
              <w:t>education agencies</w:t>
            </w:r>
            <w:r w:rsidRPr="00D95730">
              <w:rPr>
                <w:i/>
              </w:rPr>
              <w:t xml:space="preserve"> </w:t>
            </w:r>
            <w:r w:rsidR="00621A53" w:rsidRPr="00D95730">
              <w:rPr>
                <w:i/>
              </w:rPr>
              <w:t>can</w:t>
            </w:r>
            <w:r w:rsidRPr="00D95730">
              <w:rPr>
                <w:i/>
              </w:rPr>
              <w:t>:</w:t>
            </w:r>
          </w:p>
          <w:p w14:paraId="62CF1C65" w14:textId="1C9583F0" w:rsidR="00085F32" w:rsidRPr="00D95730" w:rsidRDefault="00085F32" w:rsidP="00D95730">
            <w:pPr>
              <w:pStyle w:val="ListParagraph"/>
              <w:numPr>
                <w:ilvl w:val="0"/>
                <w:numId w:val="1"/>
              </w:numPr>
              <w:rPr>
                <w:i/>
              </w:rPr>
            </w:pPr>
            <w:r w:rsidRPr="00D95730">
              <w:rPr>
                <w:i/>
              </w:rPr>
              <w:t xml:space="preserve">Require school-based </w:t>
            </w:r>
            <w:r w:rsidR="002E74B8">
              <w:rPr>
                <w:i/>
              </w:rPr>
              <w:t>sex</w:t>
            </w:r>
            <w:r w:rsidRPr="00D95730">
              <w:rPr>
                <w:i/>
              </w:rPr>
              <w:t xml:space="preserve"> education programs</w:t>
            </w:r>
          </w:p>
          <w:p w14:paraId="7310EBB5" w14:textId="027B173B" w:rsidR="00085F32" w:rsidRPr="00D95730" w:rsidRDefault="008A756E" w:rsidP="00B84C18">
            <w:pPr>
              <w:pStyle w:val="ListParagraph"/>
              <w:numPr>
                <w:ilvl w:val="0"/>
                <w:numId w:val="1"/>
              </w:numPr>
              <w:rPr>
                <w:i/>
              </w:rPr>
            </w:pPr>
            <w:r w:rsidRPr="00D95730">
              <w:rPr>
                <w:i/>
              </w:rPr>
              <w:t xml:space="preserve">Support </w:t>
            </w:r>
            <w:r w:rsidR="00085F32" w:rsidRPr="00D95730">
              <w:rPr>
                <w:i/>
              </w:rPr>
              <w:t>youth-friendly health services</w:t>
            </w:r>
          </w:p>
          <w:p w14:paraId="2096607D" w14:textId="35176598" w:rsidR="00085F32" w:rsidRPr="00D95730" w:rsidRDefault="00085F32" w:rsidP="004B56C1">
            <w:pPr>
              <w:pStyle w:val="ListParagraph"/>
              <w:numPr>
                <w:ilvl w:val="0"/>
                <w:numId w:val="1"/>
              </w:numPr>
            </w:pPr>
            <w:r w:rsidRPr="00D95730">
              <w:rPr>
                <w:i/>
              </w:rPr>
              <w:t xml:space="preserve"> Promote safe and supportive school environment</w:t>
            </w:r>
            <w:r w:rsidR="00005766" w:rsidRPr="00D95730">
              <w:rPr>
                <w:i/>
              </w:rPr>
              <w:t>s</w:t>
            </w:r>
            <w:r w:rsidRPr="00D95730">
              <w:rPr>
                <w:i/>
              </w:rPr>
              <w:t>.</w:t>
            </w:r>
          </w:p>
        </w:tc>
        <w:tc>
          <w:tcPr>
            <w:tcW w:w="3009" w:type="dxa"/>
          </w:tcPr>
          <w:p w14:paraId="5BF73F9F" w14:textId="6968F9A0" w:rsidR="00085F32" w:rsidRPr="00D95730" w:rsidRDefault="00085F32">
            <w:r w:rsidRPr="00D95730">
              <w:t xml:space="preserve">Implementation of CDC-recommended school-based strategies leads to improvements in behaviors </w:t>
            </w:r>
            <w:r w:rsidR="00005766" w:rsidRPr="00D95730">
              <w:t xml:space="preserve">and experiences </w:t>
            </w:r>
            <w:r w:rsidRPr="00D95730">
              <w:t>that put youth at risk for HIV and STDs.</w:t>
            </w:r>
          </w:p>
          <w:p w14:paraId="2B3519AF" w14:textId="77777777" w:rsidR="00085F32" w:rsidRPr="00D95730" w:rsidRDefault="00085F32"/>
          <w:p w14:paraId="44004E83" w14:textId="2510EAAF" w:rsidR="00085F32" w:rsidRPr="00D95730" w:rsidRDefault="00085F32" w:rsidP="000E6D19">
            <w:pPr>
              <w:rPr>
                <w:i/>
              </w:rPr>
            </w:pPr>
            <w:r w:rsidRPr="00D95730">
              <w:rPr>
                <w:i/>
              </w:rPr>
              <w:t xml:space="preserve">You can help improve students’ health behaviors and reduce the risk of HIV, STDs, and pregnancy by implementing CDC-recommended school-based strategies. </w:t>
            </w:r>
          </w:p>
        </w:tc>
      </w:tr>
      <w:tr w:rsidR="00037243" w14:paraId="12293E2E" w14:textId="77777777" w:rsidTr="00DF37D8">
        <w:tc>
          <w:tcPr>
            <w:tcW w:w="692" w:type="dxa"/>
          </w:tcPr>
          <w:p w14:paraId="6F1919C1" w14:textId="640BCF9B" w:rsidR="00085F32" w:rsidRPr="004B56C1" w:rsidRDefault="00587CBB" w:rsidP="00085F32">
            <w:pPr>
              <w:pStyle w:val="ListParagraph"/>
              <w:numPr>
                <w:ilvl w:val="0"/>
                <w:numId w:val="4"/>
              </w:numPr>
            </w:pPr>
            <w:r w:rsidRPr="004B56C1">
              <w:t xml:space="preserve"> </w:t>
            </w:r>
          </w:p>
        </w:tc>
        <w:tc>
          <w:tcPr>
            <w:tcW w:w="2838" w:type="dxa"/>
          </w:tcPr>
          <w:p w14:paraId="0C572AD8" w14:textId="7997EF6E" w:rsidR="00085F32" w:rsidRPr="002C3976" w:rsidRDefault="00F51B4B" w:rsidP="00A93497">
            <w:r w:rsidRPr="00D95730">
              <w:t>S</w:t>
            </w:r>
            <w:r w:rsidR="00085F32" w:rsidRPr="00D95730">
              <w:t>tudents who have multiple risk factors are more likely to increase their risk for negative health effects now and in the future.</w:t>
            </w:r>
            <w:r w:rsidR="002C3976">
              <w:t xml:space="preserve"> </w:t>
            </w:r>
            <w:r w:rsidR="00407037" w:rsidRPr="002C3976">
              <w:t>S</w:t>
            </w:r>
            <w:r w:rsidR="00085F32" w:rsidRPr="002C3976">
              <w:t xml:space="preserve">tudents who </w:t>
            </w:r>
            <w:r w:rsidR="007404BB" w:rsidRPr="002C3976">
              <w:t xml:space="preserve">are involved </w:t>
            </w:r>
            <w:r w:rsidR="00085F32" w:rsidRPr="002C3976">
              <w:t>in multiple unhealthy behaviors</w:t>
            </w:r>
            <w:r w:rsidR="008A756E" w:rsidRPr="002C3976">
              <w:t xml:space="preserve"> and experiences</w:t>
            </w:r>
            <w:r w:rsidR="00085F32" w:rsidRPr="002C3976">
              <w:t xml:space="preserve"> (e.g., </w:t>
            </w:r>
            <w:r w:rsidR="00ED2043" w:rsidRPr="002C3976">
              <w:t>unprotected</w:t>
            </w:r>
            <w:r w:rsidR="00407037" w:rsidRPr="002C3976">
              <w:t xml:space="preserve"> </w:t>
            </w:r>
            <w:r w:rsidR="00085F32" w:rsidRPr="002C3976">
              <w:t xml:space="preserve">sex, violence) are at higher risk of experiencing negative health effects. </w:t>
            </w:r>
          </w:p>
          <w:p w14:paraId="0713C002" w14:textId="77777777" w:rsidR="002C3976" w:rsidRPr="00D95730" w:rsidRDefault="002C3976" w:rsidP="00A93497">
            <w:pPr>
              <w:rPr>
                <w:i/>
              </w:rPr>
            </w:pPr>
          </w:p>
          <w:p w14:paraId="087A771C" w14:textId="7DFEC65D" w:rsidR="00085F32" w:rsidRPr="00D95730" w:rsidRDefault="00085F32" w:rsidP="00A93497">
            <w:r w:rsidRPr="00D95730">
              <w:t xml:space="preserve">The more risk factors a high school student has, the higher the chance they </w:t>
            </w:r>
            <w:r w:rsidR="00531C33">
              <w:t xml:space="preserve">will </w:t>
            </w:r>
            <w:r w:rsidRPr="00D95730">
              <w:t xml:space="preserve">experience negative health </w:t>
            </w:r>
            <w:r w:rsidR="00343DBB" w:rsidRPr="00D95730">
              <w:t>consequences</w:t>
            </w:r>
            <w:r w:rsidRPr="00D95730">
              <w:t>.</w:t>
            </w:r>
          </w:p>
        </w:tc>
        <w:tc>
          <w:tcPr>
            <w:tcW w:w="2811" w:type="dxa"/>
          </w:tcPr>
          <w:p w14:paraId="5D381EA0" w14:textId="46671A34" w:rsidR="00085F32" w:rsidRPr="00D95730" w:rsidRDefault="00BA5F26" w:rsidP="00A93497">
            <w:r>
              <w:lastRenderedPageBreak/>
              <w:t xml:space="preserve">Foster </w:t>
            </w:r>
            <w:r w:rsidR="00B10630">
              <w:t>conversation</w:t>
            </w:r>
            <w:r>
              <w:t>s</w:t>
            </w:r>
            <w:r w:rsidR="00B10630">
              <w:t xml:space="preserve"> with</w:t>
            </w:r>
            <w:r w:rsidR="00085F32" w:rsidRPr="00D95730">
              <w:t xml:space="preserve"> students and encourage them to engage in behaviors that prevent or reduce sexually transmitted diseases (STD</w:t>
            </w:r>
            <w:r w:rsidR="003E3F9D" w:rsidRPr="00D95730">
              <w:t>s</w:t>
            </w:r>
            <w:r w:rsidR="00085F32" w:rsidRPr="00D95730">
              <w:t xml:space="preserve">), including HIV infection. </w:t>
            </w:r>
          </w:p>
          <w:p w14:paraId="598D195E" w14:textId="19B68059" w:rsidR="00085F32" w:rsidRPr="00D95730" w:rsidRDefault="00085F32" w:rsidP="00A93497"/>
          <w:p w14:paraId="15130956" w14:textId="77777777" w:rsidR="00085F32" w:rsidRPr="00D95730" w:rsidRDefault="00085F32" w:rsidP="00A93497">
            <w:r w:rsidRPr="00D95730">
              <w:t xml:space="preserve">School staff and families can work together to support youth and help them avoid behaviors and experiences </w:t>
            </w:r>
            <w:r w:rsidRPr="00D95730">
              <w:lastRenderedPageBreak/>
              <w:t>that place them at risk for negative health and educational outcomes.</w:t>
            </w:r>
          </w:p>
        </w:tc>
        <w:tc>
          <w:tcPr>
            <w:tcW w:w="3009" w:type="dxa"/>
          </w:tcPr>
          <w:p w14:paraId="19DC2DD9" w14:textId="0CF953AC" w:rsidR="00085F32" w:rsidRPr="00D95730" w:rsidRDefault="00085F32" w:rsidP="00A93497">
            <w:r w:rsidRPr="00D95730">
              <w:lastRenderedPageBreak/>
              <w:t>Schools that have a student referral system in place for accessing youth-friendly health services can protect student health.</w:t>
            </w:r>
          </w:p>
          <w:p w14:paraId="1FAEECB5" w14:textId="77777777" w:rsidR="00085F32" w:rsidRPr="00D95730" w:rsidRDefault="00085F32" w:rsidP="00A93497"/>
          <w:p w14:paraId="1659E815" w14:textId="72A5FC03" w:rsidR="00085F32" w:rsidRPr="00D95730" w:rsidRDefault="00085F32" w:rsidP="00A93497">
            <w:r w:rsidRPr="00D95730">
              <w:t xml:space="preserve"> </w:t>
            </w:r>
          </w:p>
        </w:tc>
      </w:tr>
      <w:tr w:rsidR="00037243" w14:paraId="420987D5" w14:textId="77777777" w:rsidTr="00DF37D8">
        <w:tc>
          <w:tcPr>
            <w:tcW w:w="692" w:type="dxa"/>
          </w:tcPr>
          <w:p w14:paraId="21697DC5" w14:textId="54EBF27D" w:rsidR="00085F32" w:rsidRPr="002F1B51" w:rsidRDefault="00085F32" w:rsidP="00085F32">
            <w:pPr>
              <w:pStyle w:val="ListParagraph"/>
              <w:numPr>
                <w:ilvl w:val="0"/>
                <w:numId w:val="4"/>
              </w:numPr>
            </w:pPr>
          </w:p>
        </w:tc>
        <w:tc>
          <w:tcPr>
            <w:tcW w:w="2838" w:type="dxa"/>
          </w:tcPr>
          <w:p w14:paraId="63413CBA" w14:textId="67E57CE1" w:rsidR="00085F32" w:rsidRDefault="00085F32" w:rsidP="00A93497">
            <w:r w:rsidRPr="002F1B51">
              <w:t xml:space="preserve">Sexual behavior, </w:t>
            </w:r>
            <w:r w:rsidR="008A756E">
              <w:t xml:space="preserve">high-risk </w:t>
            </w:r>
            <w:r w:rsidRPr="002F1B51">
              <w:t>substance use, violence</w:t>
            </w:r>
            <w:r w:rsidR="008A756E">
              <w:t xml:space="preserve"> victimization</w:t>
            </w:r>
            <w:r w:rsidRPr="002F1B51">
              <w:t xml:space="preserve"> and mental health</w:t>
            </w:r>
            <w:r w:rsidR="008A756E">
              <w:t xml:space="preserve"> issues, including suicide</w:t>
            </w:r>
            <w:r w:rsidRPr="002F1B51">
              <w:t xml:space="preserve"> can be addressed by school-based protective factors, such as </w:t>
            </w:r>
            <w:r w:rsidR="001A6317" w:rsidRPr="001A6317">
              <w:t>positive school and peer connections and parent involvement</w:t>
            </w:r>
            <w:r w:rsidRPr="002F1B51">
              <w:t>.</w:t>
            </w:r>
          </w:p>
          <w:p w14:paraId="60F012A8" w14:textId="77777777" w:rsidR="00085F32" w:rsidRDefault="00085F32" w:rsidP="00A93497"/>
          <w:p w14:paraId="5FF3EFEC" w14:textId="445326B5" w:rsidR="005D4824" w:rsidRDefault="005D4368" w:rsidP="00A143F2">
            <w:r w:rsidRPr="005D4368">
              <w:t>School-based protective factors—such as school and peer connections and parent involvement—can positively impact student health.</w:t>
            </w:r>
          </w:p>
          <w:p w14:paraId="5343284D" w14:textId="0677C20B" w:rsidR="00085F32" w:rsidRPr="00343DBB" w:rsidRDefault="00085F32" w:rsidP="00A143F2">
            <w:pPr>
              <w:rPr>
                <w:i/>
              </w:rPr>
            </w:pPr>
          </w:p>
        </w:tc>
        <w:tc>
          <w:tcPr>
            <w:tcW w:w="2811" w:type="dxa"/>
          </w:tcPr>
          <w:p w14:paraId="526DF7A6" w14:textId="53CAB218" w:rsidR="00085F32" w:rsidRPr="004B56C1" w:rsidRDefault="00370AAC" w:rsidP="00A93497">
            <w:r>
              <w:t>S</w:t>
            </w:r>
            <w:r w:rsidR="00085F32" w:rsidRPr="004B56C1">
              <w:t xml:space="preserve">chool connectedness </w:t>
            </w:r>
            <w:r w:rsidR="00104E50">
              <w:t>is a</w:t>
            </w:r>
            <w:r w:rsidR="00085F32" w:rsidRPr="004B56C1">
              <w:t xml:space="preserve"> starting point</w:t>
            </w:r>
            <w:r>
              <w:t xml:space="preserve"> </w:t>
            </w:r>
            <w:r w:rsidR="00085F32" w:rsidRPr="004B56C1">
              <w:t xml:space="preserve">for addressing </w:t>
            </w:r>
            <w:r w:rsidR="002B4DAF" w:rsidRPr="004B56C1">
              <w:t xml:space="preserve">important </w:t>
            </w:r>
            <w:r w:rsidR="00085F32" w:rsidRPr="004B56C1">
              <w:t>health and safety concerns for sexual minority students.</w:t>
            </w:r>
          </w:p>
          <w:p w14:paraId="5A048A56" w14:textId="65ECF819" w:rsidR="00085F32" w:rsidRPr="004B56C1" w:rsidRDefault="00085F32" w:rsidP="00A93497"/>
          <w:p w14:paraId="44E09DE9" w14:textId="76C91F1B" w:rsidR="00085F32" w:rsidRPr="00DF5146" w:rsidRDefault="00085F32" w:rsidP="00A93497">
            <w:pPr>
              <w:rPr>
                <w:i/>
              </w:rPr>
            </w:pPr>
            <w:r w:rsidRPr="00BA44CB">
              <w:rPr>
                <w:i/>
              </w:rPr>
              <w:t>School</w:t>
            </w:r>
            <w:r w:rsidR="00653CF7">
              <w:rPr>
                <w:i/>
              </w:rPr>
              <w:t>s</w:t>
            </w:r>
            <w:r w:rsidRPr="00BA44CB">
              <w:rPr>
                <w:i/>
              </w:rPr>
              <w:t xml:space="preserve"> can help address </w:t>
            </w:r>
            <w:r w:rsidR="002B4DAF" w:rsidRPr="00BA44CB">
              <w:rPr>
                <w:i/>
              </w:rPr>
              <w:t xml:space="preserve">important </w:t>
            </w:r>
            <w:r w:rsidRPr="00BA44CB">
              <w:rPr>
                <w:i/>
              </w:rPr>
              <w:t xml:space="preserve">health and safety concerns for sexual minority students </w:t>
            </w:r>
            <w:r w:rsidR="00036913">
              <w:rPr>
                <w:i/>
              </w:rPr>
              <w:t>by promoting</w:t>
            </w:r>
            <w:r w:rsidRPr="00BA44CB">
              <w:rPr>
                <w:i/>
              </w:rPr>
              <w:t xml:space="preserve"> school involvement and connectedness</w:t>
            </w:r>
            <w:r w:rsidR="008424C9">
              <w:rPr>
                <w:i/>
              </w:rPr>
              <w:t xml:space="preserve"> </w:t>
            </w:r>
            <w:r w:rsidR="008424C9" w:rsidRPr="008424C9">
              <w:rPr>
                <w:i/>
              </w:rPr>
              <w:t>(e.g., safe spaces, clubs, service learning opportunities)</w:t>
            </w:r>
            <w:r w:rsidR="008424C9">
              <w:rPr>
                <w:i/>
              </w:rPr>
              <w:t>.</w:t>
            </w:r>
            <w:r w:rsidR="00DF5146">
              <w:rPr>
                <w:i/>
              </w:rPr>
              <w:t xml:space="preserve"> </w:t>
            </w:r>
          </w:p>
          <w:p w14:paraId="7816D6B2" w14:textId="77777777" w:rsidR="00085F32" w:rsidRPr="00BA44CB" w:rsidRDefault="00085F32" w:rsidP="00A93497"/>
          <w:p w14:paraId="11DD904D" w14:textId="6B8F88F3" w:rsidR="00085F32" w:rsidRPr="00BA44CB" w:rsidRDefault="0049671D" w:rsidP="00A93497">
            <w:r>
              <w:t>Positive s</w:t>
            </w:r>
            <w:r w:rsidR="00085F32" w:rsidRPr="00BA44CB">
              <w:t>chool and family connections during adolescence can reduce multiple health risks now and into adulthood.</w:t>
            </w:r>
          </w:p>
          <w:p w14:paraId="30D654FE" w14:textId="77777777" w:rsidR="00085F32" w:rsidRPr="00BA44CB" w:rsidRDefault="00085F32" w:rsidP="00A93497"/>
          <w:p w14:paraId="4AFA0752" w14:textId="2F8CC6B6" w:rsidR="00085F32" w:rsidRDefault="00105E40" w:rsidP="00A93497">
            <w:pPr>
              <w:rPr>
                <w:i/>
              </w:rPr>
            </w:pPr>
            <w:r>
              <w:rPr>
                <w:i/>
              </w:rPr>
              <w:t>S</w:t>
            </w:r>
            <w:r w:rsidR="00085F32" w:rsidRPr="00BA44CB">
              <w:rPr>
                <w:i/>
              </w:rPr>
              <w:t xml:space="preserve">chool staff and families play a significant role in </w:t>
            </w:r>
            <w:r w:rsidR="002B27A8" w:rsidRPr="00BA44CB">
              <w:rPr>
                <w:i/>
              </w:rPr>
              <w:t>protecting student health</w:t>
            </w:r>
            <w:r w:rsidR="00085F32" w:rsidRPr="00BA44CB">
              <w:rPr>
                <w:i/>
              </w:rPr>
              <w:t>. Positive connections in adolescence can improve students’ health for years to come.</w:t>
            </w:r>
            <w:r w:rsidR="00085F32" w:rsidRPr="004B56C1">
              <w:rPr>
                <w:i/>
              </w:rPr>
              <w:t xml:space="preserve"> </w:t>
            </w:r>
          </w:p>
          <w:p w14:paraId="20770260" w14:textId="77777777" w:rsidR="00C312FE" w:rsidRPr="004B56C1" w:rsidRDefault="00C312FE" w:rsidP="00A93497">
            <w:pPr>
              <w:rPr>
                <w:i/>
              </w:rPr>
            </w:pPr>
          </w:p>
          <w:p w14:paraId="499E3461" w14:textId="6317F48B" w:rsidR="00801BC5" w:rsidRPr="00BA44CB" w:rsidRDefault="00801BC5" w:rsidP="00A93497">
            <w:r w:rsidRPr="00BA44CB">
              <w:t>Adolescents who feel connected to their school</w:t>
            </w:r>
            <w:r w:rsidR="0076175D">
              <w:t>s</w:t>
            </w:r>
            <w:r w:rsidRPr="00BA44CB">
              <w:t xml:space="preserve"> and fami</w:t>
            </w:r>
            <w:r w:rsidR="0076175D">
              <w:t>lies</w:t>
            </w:r>
            <w:r w:rsidRPr="00BA44CB">
              <w:t xml:space="preserve"> experience better health for years to come.</w:t>
            </w:r>
          </w:p>
          <w:p w14:paraId="1F376FD0" w14:textId="7BF59144" w:rsidR="00085F32" w:rsidRPr="00BA44CB" w:rsidRDefault="00085F32" w:rsidP="00A93497"/>
        </w:tc>
        <w:tc>
          <w:tcPr>
            <w:tcW w:w="3009" w:type="dxa"/>
          </w:tcPr>
          <w:p w14:paraId="72D043F0" w14:textId="22910457" w:rsidR="00085F32" w:rsidRPr="00BA44CB" w:rsidRDefault="00085F32" w:rsidP="00A93497">
            <w:r w:rsidRPr="00BA44CB">
              <w:t xml:space="preserve">Schools that adopt and implement </w:t>
            </w:r>
            <w:r w:rsidR="008A756E" w:rsidRPr="00BA44CB">
              <w:t>an evidence-based</w:t>
            </w:r>
            <w:r w:rsidRPr="00BA44CB">
              <w:t xml:space="preserve"> sexual health education </w:t>
            </w:r>
            <w:r w:rsidR="007C1C9B" w:rsidRPr="00BA44CB">
              <w:t xml:space="preserve">curricula </w:t>
            </w:r>
            <w:r w:rsidR="00F66667" w:rsidRPr="00BA44CB">
              <w:t>help students make</w:t>
            </w:r>
            <w:r w:rsidRPr="00BA44CB">
              <w:t xml:space="preserve"> healthy decisions and avoid </w:t>
            </w:r>
            <w:r w:rsidR="00F66667" w:rsidRPr="00BA44CB">
              <w:t>behaviors that put them at risk</w:t>
            </w:r>
            <w:r w:rsidRPr="00BA44CB">
              <w:t>.</w:t>
            </w:r>
          </w:p>
          <w:p w14:paraId="20079811" w14:textId="77777777" w:rsidR="00343DBB" w:rsidRPr="00BA44CB" w:rsidRDefault="00343DBB" w:rsidP="00A93497"/>
          <w:p w14:paraId="2CC94FDC" w14:textId="3FF0A1F5" w:rsidR="00343DBB" w:rsidRPr="004B56C1" w:rsidRDefault="00343DBB" w:rsidP="008A756E">
            <w:pPr>
              <w:rPr>
                <w:i/>
              </w:rPr>
            </w:pPr>
            <w:r w:rsidRPr="00BA44CB">
              <w:rPr>
                <w:i/>
              </w:rPr>
              <w:t>A</w:t>
            </w:r>
            <w:r w:rsidR="008A756E" w:rsidRPr="00BA44CB">
              <w:rPr>
                <w:i/>
              </w:rPr>
              <w:t>n evidence-based s</w:t>
            </w:r>
            <w:r w:rsidRPr="00BA44CB">
              <w:rPr>
                <w:i/>
              </w:rPr>
              <w:t xml:space="preserve">exual health education curriculum gives students the tools they need to make healthy decisions and avoid risk behaviors. </w:t>
            </w:r>
          </w:p>
        </w:tc>
      </w:tr>
      <w:tr w:rsidR="00037243" w14:paraId="3026BC08" w14:textId="77777777" w:rsidTr="00DF37D8">
        <w:tc>
          <w:tcPr>
            <w:tcW w:w="692" w:type="dxa"/>
          </w:tcPr>
          <w:p w14:paraId="5B77B719" w14:textId="5E8AE365" w:rsidR="00085F32" w:rsidRPr="002F1B51" w:rsidRDefault="00085F32" w:rsidP="00085F32">
            <w:pPr>
              <w:pStyle w:val="ListParagraph"/>
              <w:numPr>
                <w:ilvl w:val="0"/>
                <w:numId w:val="4"/>
              </w:numPr>
            </w:pPr>
          </w:p>
        </w:tc>
        <w:tc>
          <w:tcPr>
            <w:tcW w:w="2838" w:type="dxa"/>
          </w:tcPr>
          <w:p w14:paraId="02ACD937" w14:textId="79B6235E" w:rsidR="00085F32" w:rsidRPr="002F1B51" w:rsidRDefault="00085F32" w:rsidP="00A93497">
            <w:pPr>
              <w:pStyle w:val="ListParagraph"/>
            </w:pPr>
          </w:p>
        </w:tc>
        <w:tc>
          <w:tcPr>
            <w:tcW w:w="2811" w:type="dxa"/>
          </w:tcPr>
          <w:p w14:paraId="3C15B67F" w14:textId="77777777" w:rsidR="00085F32" w:rsidRPr="002F1B51" w:rsidRDefault="00085F32" w:rsidP="00A93497"/>
        </w:tc>
        <w:tc>
          <w:tcPr>
            <w:tcW w:w="3009" w:type="dxa"/>
          </w:tcPr>
          <w:p w14:paraId="280703BA" w14:textId="77777777" w:rsidR="00085F32" w:rsidRPr="002F1B51" w:rsidRDefault="00085F32" w:rsidP="00A93497">
            <w:r w:rsidRPr="002F1B51">
              <w:t xml:space="preserve">Schools can help support </w:t>
            </w:r>
            <w:r w:rsidRPr="002F1B51">
              <w:lastRenderedPageBreak/>
              <w:t>healthy environments by implementing bullying and sexual harassment policies that protect the health and safety of all students and staff.</w:t>
            </w:r>
          </w:p>
        </w:tc>
      </w:tr>
      <w:tr w:rsidR="00037243" w14:paraId="1C99DF0E" w14:textId="77777777" w:rsidTr="00DF37D8">
        <w:tc>
          <w:tcPr>
            <w:tcW w:w="692" w:type="dxa"/>
          </w:tcPr>
          <w:p w14:paraId="1F00EEFE" w14:textId="57FD0DFD" w:rsidR="00085F32" w:rsidRPr="002F1B51" w:rsidRDefault="00085F32" w:rsidP="00085F32">
            <w:pPr>
              <w:pStyle w:val="ListParagraph"/>
              <w:numPr>
                <w:ilvl w:val="0"/>
                <w:numId w:val="4"/>
              </w:numPr>
            </w:pPr>
          </w:p>
        </w:tc>
        <w:tc>
          <w:tcPr>
            <w:tcW w:w="2838" w:type="dxa"/>
          </w:tcPr>
          <w:p w14:paraId="590840FE" w14:textId="3A2455EB" w:rsidR="00085F32" w:rsidRPr="002F1B51" w:rsidRDefault="00085F32" w:rsidP="00084B15">
            <w:pPr>
              <w:pStyle w:val="ListParagraph"/>
            </w:pPr>
          </w:p>
        </w:tc>
        <w:tc>
          <w:tcPr>
            <w:tcW w:w="2811" w:type="dxa"/>
          </w:tcPr>
          <w:p w14:paraId="2CB2320E" w14:textId="77777777" w:rsidR="00085F32" w:rsidRPr="002F1B51" w:rsidRDefault="00085F32" w:rsidP="00084B15"/>
        </w:tc>
        <w:tc>
          <w:tcPr>
            <w:tcW w:w="3009" w:type="dxa"/>
          </w:tcPr>
          <w:p w14:paraId="4B371E80" w14:textId="17E7A2AE" w:rsidR="00085F32" w:rsidRPr="002F1B51" w:rsidRDefault="00085F32" w:rsidP="00DF5146">
            <w:r w:rsidRPr="002F1B51">
              <w:t xml:space="preserve">School connectedness and parent engagement </w:t>
            </w:r>
            <w:r>
              <w:t xml:space="preserve">can help reduce </w:t>
            </w:r>
            <w:r w:rsidR="00B71617">
              <w:t xml:space="preserve">negative </w:t>
            </w:r>
            <w:r w:rsidRPr="002F1B51">
              <w:t xml:space="preserve">student behaviors and experiences, including sexual </w:t>
            </w:r>
            <w:r w:rsidR="0076175D">
              <w:t xml:space="preserve">risk </w:t>
            </w:r>
            <w:r w:rsidR="008E40DC">
              <w:t>behavior</w:t>
            </w:r>
            <w:r w:rsidRPr="002F1B51">
              <w:t xml:space="preserve">, </w:t>
            </w:r>
            <w:r w:rsidR="004E1358">
              <w:t xml:space="preserve">high-risk </w:t>
            </w:r>
            <w:r w:rsidRPr="002F1B51">
              <w:t>substance use, violence</w:t>
            </w:r>
            <w:r w:rsidR="004E1358">
              <w:t xml:space="preserve"> victimization,</w:t>
            </w:r>
            <w:r w:rsidRPr="002F1B51">
              <w:t xml:space="preserve"> and mental health</w:t>
            </w:r>
            <w:r>
              <w:t xml:space="preserve"> issues</w:t>
            </w:r>
            <w:r w:rsidR="00370AAC">
              <w:t>,</w:t>
            </w:r>
            <w:r w:rsidR="004E1358">
              <w:t xml:space="preserve"> including suicide</w:t>
            </w:r>
            <w:r w:rsidRPr="002F1B51">
              <w:t>.</w:t>
            </w:r>
          </w:p>
        </w:tc>
      </w:tr>
      <w:tr w:rsidR="00037243" w14:paraId="64A9DB94" w14:textId="77777777" w:rsidTr="00DF37D8">
        <w:tc>
          <w:tcPr>
            <w:tcW w:w="692" w:type="dxa"/>
          </w:tcPr>
          <w:p w14:paraId="2649B0EC" w14:textId="77777777" w:rsidR="00085F32" w:rsidRPr="002F1B51" w:rsidRDefault="00085F32" w:rsidP="00084B15"/>
        </w:tc>
        <w:tc>
          <w:tcPr>
            <w:tcW w:w="2838" w:type="dxa"/>
          </w:tcPr>
          <w:p w14:paraId="01D82871" w14:textId="4B1CADF0" w:rsidR="00085F32" w:rsidRPr="002F1B51" w:rsidRDefault="00085F32" w:rsidP="00084B15"/>
        </w:tc>
        <w:tc>
          <w:tcPr>
            <w:tcW w:w="2811" w:type="dxa"/>
          </w:tcPr>
          <w:p w14:paraId="5C9430E5" w14:textId="77777777" w:rsidR="00085F32" w:rsidRPr="002F1B51" w:rsidRDefault="00085F32" w:rsidP="00084B15"/>
        </w:tc>
        <w:tc>
          <w:tcPr>
            <w:tcW w:w="3009" w:type="dxa"/>
          </w:tcPr>
          <w:p w14:paraId="3C24A3BA" w14:textId="48A6B2C9" w:rsidR="00085F32" w:rsidRPr="00DF5146" w:rsidRDefault="002E3395" w:rsidP="002E3395">
            <w:r>
              <w:t>M</w:t>
            </w:r>
            <w:r w:rsidRPr="002E3395">
              <w:t xml:space="preserve">aking sure </w:t>
            </w:r>
            <w:r>
              <w:t xml:space="preserve">school </w:t>
            </w:r>
            <w:r w:rsidRPr="002E3395">
              <w:t>staff understand state and local polices and how to support students</w:t>
            </w:r>
            <w:r>
              <w:t xml:space="preserve"> is an important strateg</w:t>
            </w:r>
            <w:r w:rsidRPr="002E3395">
              <w:t>y to reduce behaviors that put students at risk for HIV and STD</w:t>
            </w:r>
            <w:r>
              <w:t>s.</w:t>
            </w:r>
          </w:p>
        </w:tc>
      </w:tr>
      <w:tr w:rsidR="00037243" w14:paraId="0083A2CC" w14:textId="77777777" w:rsidTr="00DF37D8">
        <w:tc>
          <w:tcPr>
            <w:tcW w:w="692" w:type="dxa"/>
          </w:tcPr>
          <w:p w14:paraId="5411353B" w14:textId="2314642C" w:rsidR="00085F32" w:rsidRPr="002F1B51" w:rsidRDefault="00085F32" w:rsidP="00037243">
            <w:pPr>
              <w:pStyle w:val="ListParagraph"/>
              <w:numPr>
                <w:ilvl w:val="0"/>
                <w:numId w:val="4"/>
              </w:numPr>
            </w:pPr>
          </w:p>
        </w:tc>
        <w:tc>
          <w:tcPr>
            <w:tcW w:w="2838" w:type="dxa"/>
          </w:tcPr>
          <w:p w14:paraId="30A689B9" w14:textId="49A4D877" w:rsidR="00085F32" w:rsidRPr="002F1B51" w:rsidRDefault="00085F32" w:rsidP="00084B15">
            <w:pPr>
              <w:pStyle w:val="ListParagraph"/>
            </w:pPr>
          </w:p>
        </w:tc>
        <w:tc>
          <w:tcPr>
            <w:tcW w:w="2811" w:type="dxa"/>
          </w:tcPr>
          <w:p w14:paraId="7FFE5BDD" w14:textId="77777777" w:rsidR="00085F32" w:rsidRPr="002F1B51" w:rsidRDefault="00085F32" w:rsidP="00084B15"/>
        </w:tc>
        <w:tc>
          <w:tcPr>
            <w:tcW w:w="3009" w:type="dxa"/>
          </w:tcPr>
          <w:p w14:paraId="5C172F6F" w14:textId="1E45EB2E" w:rsidR="00085F32" w:rsidRPr="002F1B51" w:rsidRDefault="00085F32" w:rsidP="00084B15">
            <w:r w:rsidRPr="002F1B51">
              <w:t>Schools that engag</w:t>
            </w:r>
            <w:r w:rsidR="00890479">
              <w:t>e</w:t>
            </w:r>
            <w:r w:rsidRPr="002F1B51">
              <w:t xml:space="preserve"> students, families, and communities </w:t>
            </w:r>
            <w:r>
              <w:t>create</w:t>
            </w:r>
            <w:r w:rsidRPr="002F1B51">
              <w:t xml:space="preserve"> safer and </w:t>
            </w:r>
            <w:r>
              <w:t xml:space="preserve">more </w:t>
            </w:r>
            <w:r w:rsidRPr="002F1B51">
              <w:t>supportive environments for students and improve academic performance.</w:t>
            </w:r>
          </w:p>
        </w:tc>
      </w:tr>
      <w:tr w:rsidR="00037243" w14:paraId="05E6DAB2" w14:textId="77777777" w:rsidTr="00DF37D8">
        <w:tc>
          <w:tcPr>
            <w:tcW w:w="692" w:type="dxa"/>
          </w:tcPr>
          <w:p w14:paraId="290C7336" w14:textId="6B936BF9" w:rsidR="00085F32" w:rsidRPr="002F1B51" w:rsidRDefault="00085F32" w:rsidP="00037243">
            <w:pPr>
              <w:pStyle w:val="ListParagraph"/>
              <w:numPr>
                <w:ilvl w:val="0"/>
                <w:numId w:val="4"/>
              </w:numPr>
            </w:pPr>
          </w:p>
        </w:tc>
        <w:tc>
          <w:tcPr>
            <w:tcW w:w="2838" w:type="dxa"/>
          </w:tcPr>
          <w:p w14:paraId="44009103" w14:textId="5C364546" w:rsidR="00085F32" w:rsidRPr="002F1B51" w:rsidRDefault="00085F32" w:rsidP="00084B15">
            <w:pPr>
              <w:pStyle w:val="ListParagraph"/>
            </w:pPr>
          </w:p>
        </w:tc>
        <w:tc>
          <w:tcPr>
            <w:tcW w:w="2811" w:type="dxa"/>
          </w:tcPr>
          <w:p w14:paraId="64C7F31C" w14:textId="77777777" w:rsidR="00085F32" w:rsidRPr="002F1B51" w:rsidRDefault="00085F32" w:rsidP="00084B15"/>
        </w:tc>
        <w:tc>
          <w:tcPr>
            <w:tcW w:w="3009" w:type="dxa"/>
          </w:tcPr>
          <w:p w14:paraId="65C65CE6" w14:textId="187697F4" w:rsidR="00085F32" w:rsidRPr="002F1B51" w:rsidRDefault="00085F32" w:rsidP="00A143F2">
            <w:r w:rsidRPr="002F1B51">
              <w:t xml:space="preserve">CDC’s </w:t>
            </w:r>
            <w:r>
              <w:t>partnerships with</w:t>
            </w:r>
            <w:r w:rsidRPr="002F1B51">
              <w:t xml:space="preserve"> education agencies help to prevent multiple health risk behaviors </w:t>
            </w:r>
            <w:r w:rsidR="006D2ECC">
              <w:t>including those that lead to</w:t>
            </w:r>
            <w:r w:rsidRPr="002F1B51">
              <w:t xml:space="preserve"> HIV, STDs and pregnancy among youth.</w:t>
            </w:r>
          </w:p>
        </w:tc>
      </w:tr>
      <w:tr w:rsidR="00037243" w14:paraId="61C08AEA" w14:textId="77777777" w:rsidTr="00DF37D8">
        <w:tc>
          <w:tcPr>
            <w:tcW w:w="692" w:type="dxa"/>
          </w:tcPr>
          <w:p w14:paraId="0C4405E8" w14:textId="490E917A" w:rsidR="00085F32" w:rsidRPr="002F1B51" w:rsidRDefault="00085F32" w:rsidP="00037243">
            <w:pPr>
              <w:pStyle w:val="ListParagraph"/>
              <w:numPr>
                <w:ilvl w:val="0"/>
                <w:numId w:val="4"/>
              </w:numPr>
            </w:pPr>
          </w:p>
        </w:tc>
        <w:tc>
          <w:tcPr>
            <w:tcW w:w="2838" w:type="dxa"/>
          </w:tcPr>
          <w:p w14:paraId="31436FC0" w14:textId="6345EA8D" w:rsidR="00085F32" w:rsidRPr="002F1B51" w:rsidRDefault="00085F32" w:rsidP="00084B15">
            <w:pPr>
              <w:pStyle w:val="ListParagraph"/>
            </w:pPr>
          </w:p>
        </w:tc>
        <w:tc>
          <w:tcPr>
            <w:tcW w:w="2811" w:type="dxa"/>
          </w:tcPr>
          <w:p w14:paraId="0322EF85" w14:textId="77777777" w:rsidR="00085F32" w:rsidRPr="002F1B51" w:rsidRDefault="00085F32" w:rsidP="00084B15"/>
        </w:tc>
        <w:tc>
          <w:tcPr>
            <w:tcW w:w="3009" w:type="dxa"/>
          </w:tcPr>
          <w:p w14:paraId="6E4B81D4" w14:textId="30605054" w:rsidR="00085F32" w:rsidRPr="002F1B51" w:rsidRDefault="00085F32" w:rsidP="004B56C1">
            <w:r w:rsidRPr="002F1B51">
              <w:t xml:space="preserve">School-based health programs </w:t>
            </w:r>
            <w:r>
              <w:t xml:space="preserve">can help </w:t>
            </w:r>
            <w:r w:rsidRPr="002F1B51">
              <w:t xml:space="preserve">reduce </w:t>
            </w:r>
            <w:r>
              <w:t xml:space="preserve">student </w:t>
            </w:r>
            <w:r w:rsidRPr="002F1B51">
              <w:t xml:space="preserve">risk behaviors and </w:t>
            </w:r>
            <w:r>
              <w:t>positively impact</w:t>
            </w:r>
            <w:r w:rsidRPr="002F1B51">
              <w:t xml:space="preserve"> academic performance.</w:t>
            </w:r>
          </w:p>
        </w:tc>
      </w:tr>
    </w:tbl>
    <w:p w14:paraId="560EEBA9" w14:textId="77777777" w:rsidR="002F2756" w:rsidRDefault="002F2756"/>
    <w:tbl>
      <w:tblPr>
        <w:tblStyle w:val="TableGrid"/>
        <w:tblW w:w="0" w:type="auto"/>
        <w:tblLook w:val="04A0" w:firstRow="1" w:lastRow="0" w:firstColumn="1" w:lastColumn="0" w:noHBand="0" w:noVBand="1"/>
      </w:tblPr>
      <w:tblGrid>
        <w:gridCol w:w="445"/>
        <w:gridCol w:w="2880"/>
        <w:gridCol w:w="2880"/>
        <w:gridCol w:w="3145"/>
      </w:tblGrid>
      <w:tr w:rsidR="00E458EE" w14:paraId="0C47F1F0" w14:textId="77777777" w:rsidTr="00E97D24">
        <w:trPr>
          <w:tblHeader/>
        </w:trPr>
        <w:tc>
          <w:tcPr>
            <w:tcW w:w="9350" w:type="dxa"/>
            <w:gridSpan w:val="4"/>
            <w:shd w:val="clear" w:color="auto" w:fill="FFC000" w:themeFill="accent4"/>
          </w:tcPr>
          <w:p w14:paraId="1573887D" w14:textId="4B574951" w:rsidR="00E458EE" w:rsidRPr="00602AE1" w:rsidRDefault="00E458EE" w:rsidP="00E97D24">
            <w:pPr>
              <w:rPr>
                <w:b/>
              </w:rPr>
            </w:pPr>
            <w:r w:rsidRPr="00602AE1">
              <w:rPr>
                <w:b/>
              </w:rPr>
              <w:t xml:space="preserve">Audience: </w:t>
            </w:r>
            <w:r w:rsidRPr="00397CFC">
              <w:rPr>
                <w:b/>
              </w:rPr>
              <w:t>Youth-serving organizations </w:t>
            </w:r>
          </w:p>
        </w:tc>
      </w:tr>
      <w:tr w:rsidR="00E458EE" w14:paraId="158C9513" w14:textId="77777777" w:rsidTr="00E97D24">
        <w:trPr>
          <w:tblHeader/>
        </w:trPr>
        <w:tc>
          <w:tcPr>
            <w:tcW w:w="9350" w:type="dxa"/>
            <w:gridSpan w:val="4"/>
            <w:shd w:val="clear" w:color="auto" w:fill="FFF2CC" w:themeFill="accent4" w:themeFillTint="33"/>
          </w:tcPr>
          <w:p w14:paraId="0EA61BFE" w14:textId="32AC2ED1" w:rsidR="00E458EE" w:rsidRPr="00750065" w:rsidRDefault="00A570CB" w:rsidP="00801BC5">
            <w:r>
              <w:t xml:space="preserve">The youth-serving organization audience includes nongovernmental youth-engaged organizations that provide a diverse range of opportunities and support and that serve some or all subpopulations of youth. </w:t>
            </w:r>
          </w:p>
        </w:tc>
      </w:tr>
      <w:tr w:rsidR="00E458EE" w14:paraId="7D1FC73A" w14:textId="77777777" w:rsidTr="006A541E">
        <w:tc>
          <w:tcPr>
            <w:tcW w:w="445" w:type="dxa"/>
            <w:shd w:val="clear" w:color="auto" w:fill="F2F2F2" w:themeFill="background1" w:themeFillShade="F2"/>
          </w:tcPr>
          <w:p w14:paraId="6471048F" w14:textId="77777777" w:rsidR="00E458EE" w:rsidRPr="00602AE1" w:rsidRDefault="00E458EE" w:rsidP="00E97D24">
            <w:pPr>
              <w:rPr>
                <w:b/>
              </w:rPr>
            </w:pPr>
          </w:p>
        </w:tc>
        <w:tc>
          <w:tcPr>
            <w:tcW w:w="2880" w:type="dxa"/>
            <w:shd w:val="clear" w:color="auto" w:fill="F2F2F2" w:themeFill="background1" w:themeFillShade="F2"/>
          </w:tcPr>
          <w:p w14:paraId="3F194573" w14:textId="0C5999E1" w:rsidR="00E458EE" w:rsidRDefault="00E458EE" w:rsidP="00E97D24">
            <w:r w:rsidRPr="00602AE1">
              <w:rPr>
                <w:b/>
              </w:rPr>
              <w:t>Theme:</w:t>
            </w:r>
            <w:r>
              <w:t xml:space="preserve"> </w:t>
            </w:r>
            <w:r w:rsidRPr="00602AE1">
              <w:t xml:space="preserve">Co-occurrence of Risk/4 Focus Areas  </w:t>
            </w:r>
          </w:p>
        </w:tc>
        <w:tc>
          <w:tcPr>
            <w:tcW w:w="2880" w:type="dxa"/>
            <w:shd w:val="clear" w:color="auto" w:fill="F2F2F2" w:themeFill="background1" w:themeFillShade="F2"/>
          </w:tcPr>
          <w:p w14:paraId="478A2EA2" w14:textId="7D653306" w:rsidR="00E458EE" w:rsidRDefault="00E458EE" w:rsidP="00E97D24">
            <w:r>
              <w:rPr>
                <w:b/>
              </w:rPr>
              <w:t>Theme:</w:t>
            </w:r>
            <w:r>
              <w:t xml:space="preserve"> </w:t>
            </w:r>
            <w:r w:rsidR="004B56C1" w:rsidRPr="004B56C1">
              <w:t xml:space="preserve">Call to Action: </w:t>
            </w:r>
            <w:r w:rsidR="00EA7DCA">
              <w:t>How You Can Help</w:t>
            </w:r>
          </w:p>
        </w:tc>
        <w:tc>
          <w:tcPr>
            <w:tcW w:w="3145" w:type="dxa"/>
            <w:shd w:val="clear" w:color="auto" w:fill="F2F2F2" w:themeFill="background1" w:themeFillShade="F2"/>
          </w:tcPr>
          <w:p w14:paraId="1B2BDF3C" w14:textId="77777777" w:rsidR="00E458EE" w:rsidRDefault="00E458EE" w:rsidP="00E97D24">
            <w:r w:rsidRPr="00602AE1">
              <w:rPr>
                <w:b/>
              </w:rPr>
              <w:t>Theme:</w:t>
            </w:r>
            <w:r>
              <w:t xml:space="preserve"> CDC: </w:t>
            </w:r>
            <w:r w:rsidRPr="00602AE1">
              <w:t>We Know What Works</w:t>
            </w:r>
          </w:p>
        </w:tc>
      </w:tr>
      <w:tr w:rsidR="00E458EE" w14:paraId="3BA6573A" w14:textId="77777777" w:rsidTr="00343DBB">
        <w:tc>
          <w:tcPr>
            <w:tcW w:w="445" w:type="dxa"/>
          </w:tcPr>
          <w:p w14:paraId="627C6800" w14:textId="35F3557E" w:rsidR="00E458EE" w:rsidRPr="002F1B51" w:rsidRDefault="00E458EE" w:rsidP="00E458EE">
            <w:pPr>
              <w:pStyle w:val="ListParagraph"/>
              <w:numPr>
                <w:ilvl w:val="0"/>
                <w:numId w:val="5"/>
              </w:numPr>
            </w:pPr>
          </w:p>
        </w:tc>
        <w:tc>
          <w:tcPr>
            <w:tcW w:w="2880" w:type="dxa"/>
          </w:tcPr>
          <w:p w14:paraId="2463D476" w14:textId="76A3B3FC" w:rsidR="00E458EE" w:rsidRDefault="008B05A1" w:rsidP="00210F8D">
            <w:r>
              <w:t xml:space="preserve">Health behaviors and experiences related to </w:t>
            </w:r>
            <w:r w:rsidR="00D266CD">
              <w:t>sexual activity</w:t>
            </w:r>
            <w:r w:rsidR="00E458EE" w:rsidRPr="002F1B51">
              <w:t xml:space="preserve">, </w:t>
            </w:r>
            <w:r w:rsidR="00F04F9D">
              <w:t xml:space="preserve">high-risk </w:t>
            </w:r>
            <w:r w:rsidR="00E458EE" w:rsidRPr="002F1B51">
              <w:t>substance use, violence</w:t>
            </w:r>
            <w:r w:rsidR="00F04F9D">
              <w:t xml:space="preserve"> victimization</w:t>
            </w:r>
            <w:r w:rsidR="00E458EE" w:rsidRPr="002F1B51">
              <w:t xml:space="preserve"> and mental health </w:t>
            </w:r>
            <w:r w:rsidR="00F04F9D">
              <w:t xml:space="preserve">issues </w:t>
            </w:r>
            <w:r w:rsidR="00E458EE" w:rsidRPr="002F1B51">
              <w:t xml:space="preserve">can occur together and contribute to increased </w:t>
            </w:r>
            <w:r w:rsidR="00E458EE">
              <w:t xml:space="preserve">risk for </w:t>
            </w:r>
            <w:r w:rsidR="00E458EE" w:rsidRPr="002F1B51">
              <w:t>HIV, STD</w:t>
            </w:r>
            <w:r w:rsidR="00E458EE">
              <w:t>s</w:t>
            </w:r>
            <w:r w:rsidR="00C00FEB">
              <w:t>,</w:t>
            </w:r>
            <w:r w:rsidR="00E458EE" w:rsidRPr="002F1B51">
              <w:t xml:space="preserve"> and pregnancy </w:t>
            </w:r>
            <w:r w:rsidR="00E458EE">
              <w:t>among</w:t>
            </w:r>
            <w:r w:rsidR="00E458EE" w:rsidRPr="002F1B51">
              <w:t xml:space="preserve"> youth.</w:t>
            </w:r>
          </w:p>
          <w:p w14:paraId="6E0A3C4C" w14:textId="77777777" w:rsidR="00E458EE" w:rsidRDefault="00E458EE" w:rsidP="00210F8D"/>
          <w:p w14:paraId="472AF262" w14:textId="3366A149" w:rsidR="007C1C9B" w:rsidRPr="002F1B51" w:rsidRDefault="007C1C9B" w:rsidP="00210F8D">
            <w:r w:rsidRPr="007C1C9B">
              <w:t xml:space="preserve">Addressed separately, these four focus areas are of concern to public health. However, data also indicate that risk behaviors co-occur and that </w:t>
            </w:r>
            <w:r w:rsidR="00B417A1">
              <w:t>some</w:t>
            </w:r>
            <w:r w:rsidR="00B417A1" w:rsidRPr="007C1C9B">
              <w:t xml:space="preserve"> </w:t>
            </w:r>
            <w:r w:rsidRPr="007C1C9B">
              <w:t>students experience multiple risks across these areas.</w:t>
            </w:r>
          </w:p>
        </w:tc>
        <w:tc>
          <w:tcPr>
            <w:tcW w:w="2880" w:type="dxa"/>
          </w:tcPr>
          <w:p w14:paraId="55A16C3F" w14:textId="32F82526" w:rsidR="00E458EE" w:rsidRDefault="008A18CA" w:rsidP="00210F8D">
            <w:r>
              <w:t>Educating</w:t>
            </w:r>
            <w:r w:rsidR="00E458EE" w:rsidRPr="002F1B51">
              <w:t xml:space="preserve"> youth about the importance of HIV and STD prevention</w:t>
            </w:r>
            <w:r>
              <w:t xml:space="preserve"> can</w:t>
            </w:r>
            <w:r w:rsidR="00E458EE" w:rsidRPr="002F1B51">
              <w:t xml:space="preserve"> save lives.</w:t>
            </w:r>
          </w:p>
          <w:p w14:paraId="3FB9E818" w14:textId="7DF513C4" w:rsidR="00E458EE" w:rsidRPr="00F651EB" w:rsidRDefault="00E458EE" w:rsidP="00210F8D">
            <w:pPr>
              <w:rPr>
                <w:b/>
              </w:rPr>
            </w:pPr>
          </w:p>
          <w:p w14:paraId="5A09B157" w14:textId="77777777" w:rsidR="00E458EE" w:rsidRDefault="00E458EE" w:rsidP="00210F8D"/>
          <w:p w14:paraId="40E54187" w14:textId="11F3D605" w:rsidR="00E458EE" w:rsidRDefault="00E458EE" w:rsidP="00210F8D">
            <w:r>
              <w:t xml:space="preserve">Talk to youth and educate them </w:t>
            </w:r>
            <w:r w:rsidR="005C5149">
              <w:t>on</w:t>
            </w:r>
            <w:r>
              <w:t xml:space="preserve"> how to e</w:t>
            </w:r>
            <w:r w:rsidRPr="00BD2047">
              <w:t xml:space="preserve">ngage in </w:t>
            </w:r>
            <w:r>
              <w:t xml:space="preserve">positive </w:t>
            </w:r>
            <w:r w:rsidRPr="00BD2047">
              <w:t xml:space="preserve">behaviors that </w:t>
            </w:r>
            <w:r>
              <w:t xml:space="preserve">can help </w:t>
            </w:r>
            <w:r w:rsidRPr="00BD2047">
              <w:t>prevent or reduce sexually transmitted disease</w:t>
            </w:r>
            <w:r>
              <w:t>s</w:t>
            </w:r>
            <w:r w:rsidRPr="00BD2047">
              <w:t xml:space="preserve"> (STD</w:t>
            </w:r>
            <w:r>
              <w:t>s</w:t>
            </w:r>
            <w:r w:rsidRPr="00BD2047">
              <w:t>), including HIV.</w:t>
            </w:r>
          </w:p>
          <w:p w14:paraId="360FB99A" w14:textId="77777777" w:rsidR="00E458EE" w:rsidRPr="002F1B51" w:rsidRDefault="00E458EE" w:rsidP="00210F8D"/>
        </w:tc>
        <w:tc>
          <w:tcPr>
            <w:tcW w:w="3145" w:type="dxa"/>
          </w:tcPr>
          <w:p w14:paraId="14500F75" w14:textId="172EAAFF" w:rsidR="00E458EE" w:rsidRDefault="00E458EE" w:rsidP="001D7216">
            <w:r w:rsidRPr="002F1B51">
              <w:t>Young people who feel connected to their school are less likely to engage in sexual</w:t>
            </w:r>
            <w:r w:rsidR="002B27A8">
              <w:t xml:space="preserve"> </w:t>
            </w:r>
            <w:r w:rsidR="004B56C1">
              <w:t>activity,</w:t>
            </w:r>
            <w:r w:rsidRPr="002F1B51">
              <w:t xml:space="preserve"> substance use, and violence</w:t>
            </w:r>
            <w:r w:rsidR="00E9141B">
              <w:t xml:space="preserve"> and experience mental health issues.</w:t>
            </w:r>
            <w:r w:rsidRPr="002F1B51">
              <w:tab/>
            </w:r>
          </w:p>
          <w:p w14:paraId="306E89E7" w14:textId="43C06488" w:rsidR="00E458EE" w:rsidRPr="001D7216" w:rsidRDefault="00E458EE" w:rsidP="001D7216">
            <w:pPr>
              <w:rPr>
                <w:b/>
              </w:rPr>
            </w:pPr>
          </w:p>
          <w:p w14:paraId="1BAD1D37" w14:textId="77777777" w:rsidR="00E458EE" w:rsidRDefault="00E458EE" w:rsidP="001D7216"/>
          <w:p w14:paraId="5B468698" w14:textId="11629529" w:rsidR="00E458EE" w:rsidRDefault="00E458EE" w:rsidP="00F04F9D">
            <w:r w:rsidRPr="001D7216">
              <w:t xml:space="preserve">Students who believe that adults and peers in their school care about them and their </w:t>
            </w:r>
            <w:r>
              <w:t>success</w:t>
            </w:r>
            <w:r w:rsidRPr="001D7216">
              <w:t xml:space="preserve"> are less likely to engage in</w:t>
            </w:r>
            <w:r>
              <w:t xml:space="preserve"> </w:t>
            </w:r>
            <w:r w:rsidR="009C2435">
              <w:t xml:space="preserve">health </w:t>
            </w:r>
            <w:r w:rsidRPr="001D7216">
              <w:t>risk behaviors.</w:t>
            </w:r>
          </w:p>
        </w:tc>
      </w:tr>
      <w:tr w:rsidR="00E458EE" w14:paraId="60CB55E7" w14:textId="77777777" w:rsidTr="00343DBB">
        <w:tc>
          <w:tcPr>
            <w:tcW w:w="445" w:type="dxa"/>
          </w:tcPr>
          <w:p w14:paraId="32755F4A" w14:textId="530F9F52" w:rsidR="00E458EE" w:rsidRPr="002F1B51" w:rsidRDefault="00E458EE" w:rsidP="00460F2F">
            <w:pPr>
              <w:pStyle w:val="ListParagraph"/>
              <w:numPr>
                <w:ilvl w:val="0"/>
                <w:numId w:val="5"/>
              </w:numPr>
            </w:pPr>
          </w:p>
        </w:tc>
        <w:tc>
          <w:tcPr>
            <w:tcW w:w="2880" w:type="dxa"/>
          </w:tcPr>
          <w:p w14:paraId="7AE256AB" w14:textId="6F3DA5EC" w:rsidR="00E458EE" w:rsidRDefault="00E458EE" w:rsidP="00210F8D">
            <w:r w:rsidRPr="002F1B51">
              <w:t>High school students that have multiple</w:t>
            </w:r>
            <w:r w:rsidR="0047431A">
              <w:t xml:space="preserve"> adverse</w:t>
            </w:r>
            <w:r w:rsidRPr="002F1B51">
              <w:t xml:space="preserve"> </w:t>
            </w:r>
            <w:r w:rsidR="00EB1792">
              <w:t xml:space="preserve">experiences </w:t>
            </w:r>
            <w:r w:rsidR="00AD40CB">
              <w:t xml:space="preserve">and behavioral </w:t>
            </w:r>
            <w:r w:rsidRPr="002F1B51">
              <w:t>risk</w:t>
            </w:r>
            <w:r>
              <w:t xml:space="preserve"> factor</w:t>
            </w:r>
            <w:r w:rsidRPr="002F1B51">
              <w:t>s will likely</w:t>
            </w:r>
            <w:r w:rsidR="0047431A">
              <w:t xml:space="preserve"> have </w:t>
            </w:r>
            <w:r>
              <w:t>increase</w:t>
            </w:r>
            <w:r w:rsidR="0047431A">
              <w:t>d</w:t>
            </w:r>
            <w:r w:rsidRPr="002F1B51">
              <w:t xml:space="preserve"> </w:t>
            </w:r>
            <w:r w:rsidR="00AD40CB">
              <w:t>chances</w:t>
            </w:r>
            <w:r w:rsidR="00AD40CB" w:rsidRPr="002F1B51">
              <w:t xml:space="preserve"> </w:t>
            </w:r>
            <w:r w:rsidR="0047431A">
              <w:t>for</w:t>
            </w:r>
            <w:r w:rsidR="004B56C1">
              <w:t xml:space="preserve"> </w:t>
            </w:r>
            <w:r w:rsidRPr="002F1B51">
              <w:t>negative health effects</w:t>
            </w:r>
            <w:r>
              <w:t xml:space="preserve"> now and in the future</w:t>
            </w:r>
            <w:r w:rsidRPr="002F1B51">
              <w:t>.</w:t>
            </w:r>
          </w:p>
          <w:p w14:paraId="6FB96E7D" w14:textId="20437D92" w:rsidR="00E458EE" w:rsidRDefault="00E458EE" w:rsidP="00210F8D"/>
          <w:p w14:paraId="776D1605" w14:textId="4D012875" w:rsidR="00E458EE" w:rsidRDefault="002B27A8" w:rsidP="007C1C9B">
            <w:r w:rsidRPr="00D6736F">
              <w:rPr>
                <w:i/>
                <w:color w:val="C00000"/>
              </w:rPr>
              <w:t xml:space="preserve"> </w:t>
            </w:r>
          </w:p>
        </w:tc>
        <w:tc>
          <w:tcPr>
            <w:tcW w:w="2880" w:type="dxa"/>
          </w:tcPr>
          <w:p w14:paraId="7C5BD247" w14:textId="04A737BF" w:rsidR="00E458EE" w:rsidRDefault="00E458EE" w:rsidP="00210F8D">
            <w:r w:rsidRPr="002F1B51">
              <w:t xml:space="preserve">Increased involvement and connectedness </w:t>
            </w:r>
            <w:r w:rsidR="008A18CA">
              <w:t>in</w:t>
            </w:r>
            <w:r w:rsidRPr="002F1B51">
              <w:t xml:space="preserve"> school</w:t>
            </w:r>
            <w:r w:rsidR="008A18CA">
              <w:t>s</w:t>
            </w:r>
            <w:r w:rsidRPr="002F1B51">
              <w:t xml:space="preserve"> are starting points for addressing significant health and safety concerns for sexual minority students.</w:t>
            </w:r>
          </w:p>
          <w:p w14:paraId="7C5E50DF" w14:textId="77777777" w:rsidR="00704CD8" w:rsidRDefault="00704CD8" w:rsidP="00210F8D"/>
          <w:p w14:paraId="2EF2C8BC" w14:textId="3FD1A27E" w:rsidR="00E458EE" w:rsidRDefault="00704CD8" w:rsidP="00DF5146">
            <w:r w:rsidRPr="00BA44CB">
              <w:rPr>
                <w:i/>
              </w:rPr>
              <w:t>School connectedness and school involvement help</w:t>
            </w:r>
            <w:r w:rsidR="0013462E">
              <w:rPr>
                <w:i/>
              </w:rPr>
              <w:t xml:space="preserve"> prevent significant health and safety issues among</w:t>
            </w:r>
            <w:r w:rsidRPr="00BA44CB">
              <w:rPr>
                <w:i/>
              </w:rPr>
              <w:t xml:space="preserve"> sexual minority students.</w:t>
            </w:r>
          </w:p>
        </w:tc>
        <w:tc>
          <w:tcPr>
            <w:tcW w:w="3145" w:type="dxa"/>
          </w:tcPr>
          <w:p w14:paraId="330BA525" w14:textId="77777777" w:rsidR="00E458EE" w:rsidRDefault="00E458EE" w:rsidP="00210F8D">
            <w:r w:rsidRPr="002F1B51">
              <w:t>Schools can help support healthy environments by implementing bullying and sexual harassment policies that protect the health and safety of all students and staff.</w:t>
            </w:r>
          </w:p>
        </w:tc>
      </w:tr>
      <w:tr w:rsidR="00E458EE" w14:paraId="01E882A3" w14:textId="77777777" w:rsidTr="00343DBB">
        <w:tc>
          <w:tcPr>
            <w:tcW w:w="445" w:type="dxa"/>
          </w:tcPr>
          <w:p w14:paraId="75F3FEE4" w14:textId="115CD5CB" w:rsidR="00E458EE" w:rsidRPr="002F1B51" w:rsidRDefault="00E458EE" w:rsidP="00460F2F">
            <w:pPr>
              <w:pStyle w:val="ListParagraph"/>
              <w:numPr>
                <w:ilvl w:val="0"/>
                <w:numId w:val="5"/>
              </w:numPr>
            </w:pPr>
          </w:p>
        </w:tc>
        <w:tc>
          <w:tcPr>
            <w:tcW w:w="2880" w:type="dxa"/>
          </w:tcPr>
          <w:p w14:paraId="5EA8E6EB" w14:textId="69F6785E" w:rsidR="00E458EE" w:rsidRPr="00BA44CB" w:rsidRDefault="00E458EE" w:rsidP="00147B67">
            <w:r w:rsidRPr="004B56C1">
              <w:t>Several subgroups of youth, including sexual minority youth, face unequal risk for HIV and STDs.</w:t>
            </w:r>
          </w:p>
          <w:p w14:paraId="3F13AE6A" w14:textId="77777777" w:rsidR="00E458EE" w:rsidRPr="00BA44CB" w:rsidRDefault="00E458EE" w:rsidP="00147B67"/>
          <w:p w14:paraId="73AB7A79" w14:textId="329AC018" w:rsidR="00E458EE" w:rsidRPr="004B56C1" w:rsidRDefault="00E458EE" w:rsidP="00F04F9D">
            <w:pPr>
              <w:rPr>
                <w:i/>
              </w:rPr>
            </w:pPr>
            <w:r w:rsidRPr="00BA44CB">
              <w:rPr>
                <w:i/>
              </w:rPr>
              <w:t xml:space="preserve">Sexual minority youth </w:t>
            </w:r>
            <w:r w:rsidR="00C75EC9" w:rsidRPr="00BA44CB">
              <w:rPr>
                <w:i/>
              </w:rPr>
              <w:t>are at disproportionate</w:t>
            </w:r>
            <w:r w:rsidRPr="00BA44CB">
              <w:rPr>
                <w:i/>
              </w:rPr>
              <w:t xml:space="preserve"> risk for HIV and STDs. </w:t>
            </w:r>
          </w:p>
        </w:tc>
        <w:tc>
          <w:tcPr>
            <w:tcW w:w="2880" w:type="dxa"/>
          </w:tcPr>
          <w:p w14:paraId="148661F4" w14:textId="544C88F3" w:rsidR="00E458EE" w:rsidRPr="00BA44CB" w:rsidRDefault="000958BD" w:rsidP="000958BD">
            <w:r>
              <w:t>Working together, s</w:t>
            </w:r>
            <w:r w:rsidR="00E458EE" w:rsidRPr="00BA44CB">
              <w:t xml:space="preserve">chools and families can have a positive impact on student health by supporting a student’s connection with others, </w:t>
            </w:r>
            <w:r w:rsidR="00003310" w:rsidRPr="00BA44CB">
              <w:t>including</w:t>
            </w:r>
            <w:r w:rsidR="00E458EE" w:rsidRPr="00BA44CB">
              <w:t xml:space="preserve"> parents</w:t>
            </w:r>
            <w:r w:rsidR="00003310" w:rsidRPr="00BA44CB">
              <w:t xml:space="preserve"> and </w:t>
            </w:r>
            <w:r w:rsidR="00E458EE" w:rsidRPr="00BA44CB">
              <w:t xml:space="preserve">peers. </w:t>
            </w:r>
          </w:p>
        </w:tc>
        <w:tc>
          <w:tcPr>
            <w:tcW w:w="3145" w:type="dxa"/>
          </w:tcPr>
          <w:p w14:paraId="69ED45CD" w14:textId="2321BF1E" w:rsidR="00E458EE" w:rsidRPr="00BA44CB" w:rsidRDefault="00E458EE" w:rsidP="00147B67">
            <w:r w:rsidRPr="00BA44CB">
              <w:t>Schools focused on engaging students, families, and communities contribute to safer and supportive environments for students and improve academic performance.</w:t>
            </w:r>
          </w:p>
          <w:p w14:paraId="46618861" w14:textId="77777777" w:rsidR="00E458EE" w:rsidRPr="00BA44CB" w:rsidRDefault="00E458EE" w:rsidP="00147B67"/>
          <w:p w14:paraId="026899FF" w14:textId="60ADB046" w:rsidR="00E458EE" w:rsidRPr="004B56C1" w:rsidRDefault="00E458EE" w:rsidP="00147B67">
            <w:pPr>
              <w:rPr>
                <w:i/>
              </w:rPr>
            </w:pPr>
            <w:r w:rsidRPr="00BA44CB">
              <w:rPr>
                <w:i/>
              </w:rPr>
              <w:t xml:space="preserve">When schools engage students, families, and communities, they create a safer and more supportive environment for students. School engagement can help improve students’ academic performance. </w:t>
            </w:r>
          </w:p>
        </w:tc>
      </w:tr>
      <w:tr w:rsidR="00E458EE" w14:paraId="1F70316B" w14:textId="77777777" w:rsidTr="00343DBB">
        <w:tc>
          <w:tcPr>
            <w:tcW w:w="445" w:type="dxa"/>
          </w:tcPr>
          <w:p w14:paraId="7830CE84" w14:textId="3E513353" w:rsidR="00E458EE" w:rsidRPr="002F1B51" w:rsidRDefault="00E458EE" w:rsidP="00460F2F">
            <w:pPr>
              <w:pStyle w:val="ListParagraph"/>
              <w:numPr>
                <w:ilvl w:val="0"/>
                <w:numId w:val="5"/>
              </w:numPr>
            </w:pPr>
          </w:p>
        </w:tc>
        <w:tc>
          <w:tcPr>
            <w:tcW w:w="2880" w:type="dxa"/>
          </w:tcPr>
          <w:p w14:paraId="65A5081C" w14:textId="0250471F" w:rsidR="00E458EE" w:rsidRPr="004B56C1" w:rsidRDefault="009950AE" w:rsidP="00F04F9D">
            <w:pPr>
              <w:pStyle w:val="ListParagraph"/>
              <w:ind w:left="0"/>
              <w:rPr>
                <w:i/>
              </w:rPr>
            </w:pPr>
            <w:r w:rsidRPr="00BA44CB">
              <w:rPr>
                <w:i/>
              </w:rPr>
              <w:t xml:space="preserve">[As a follow-up to messages 2 &amp; 3] </w:t>
            </w:r>
            <w:r w:rsidR="00F74E46" w:rsidRPr="00BA44CB">
              <w:rPr>
                <w:i/>
              </w:rPr>
              <w:t>Adolescents who are bullied are more likely to have multiple sexual partners, have sex without a condom, use</w:t>
            </w:r>
            <w:r w:rsidR="00F04F9D" w:rsidRPr="00BA44CB">
              <w:rPr>
                <w:i/>
              </w:rPr>
              <w:t xml:space="preserve"> high-risk</w:t>
            </w:r>
            <w:r w:rsidR="00F74E46" w:rsidRPr="00BA44CB">
              <w:rPr>
                <w:i/>
              </w:rPr>
              <w:t xml:space="preserve"> substances, and </w:t>
            </w:r>
            <w:r w:rsidR="00F04F9D" w:rsidRPr="00BA44CB">
              <w:rPr>
                <w:i/>
              </w:rPr>
              <w:t>feel sad or hopeless</w:t>
            </w:r>
            <w:r w:rsidR="00F74E46" w:rsidRPr="00BA44CB">
              <w:rPr>
                <w:i/>
              </w:rPr>
              <w:t>.</w:t>
            </w:r>
          </w:p>
        </w:tc>
        <w:tc>
          <w:tcPr>
            <w:tcW w:w="2880" w:type="dxa"/>
          </w:tcPr>
          <w:p w14:paraId="07350E9D" w14:textId="3F18F491" w:rsidR="00E458EE" w:rsidRPr="00BA44CB" w:rsidRDefault="00E458EE" w:rsidP="00147B67"/>
        </w:tc>
        <w:tc>
          <w:tcPr>
            <w:tcW w:w="3145" w:type="dxa"/>
          </w:tcPr>
          <w:p w14:paraId="197E5ADB" w14:textId="66E29188" w:rsidR="00E458EE" w:rsidRPr="00DF5146" w:rsidRDefault="00E458EE" w:rsidP="00147B67">
            <w:pPr>
              <w:rPr>
                <w:i/>
              </w:rPr>
            </w:pPr>
            <w:r w:rsidRPr="00BA44CB">
              <w:rPr>
                <w:i/>
              </w:rPr>
              <w:t xml:space="preserve">Youth-serving organizations can help young people adopt lifelong attitudes and behaviors that support their health and well-being—including behaviors that reduce their risk for HIV, </w:t>
            </w:r>
            <w:r w:rsidR="00DF5146">
              <w:rPr>
                <w:i/>
              </w:rPr>
              <w:t>STDs, and pregnancy.</w:t>
            </w:r>
          </w:p>
        </w:tc>
      </w:tr>
      <w:tr w:rsidR="00D06723" w14:paraId="6AAEDAD1" w14:textId="77777777" w:rsidTr="00343DBB">
        <w:tc>
          <w:tcPr>
            <w:tcW w:w="445" w:type="dxa"/>
          </w:tcPr>
          <w:p w14:paraId="1E290E67" w14:textId="77777777" w:rsidR="00D06723" w:rsidRPr="002F1B51" w:rsidRDefault="00D06723" w:rsidP="00460F2F">
            <w:pPr>
              <w:pStyle w:val="ListParagraph"/>
              <w:numPr>
                <w:ilvl w:val="0"/>
                <w:numId w:val="5"/>
              </w:numPr>
            </w:pPr>
          </w:p>
        </w:tc>
        <w:tc>
          <w:tcPr>
            <w:tcW w:w="2880" w:type="dxa"/>
          </w:tcPr>
          <w:p w14:paraId="281A3CDE" w14:textId="77777777" w:rsidR="00D06723" w:rsidRDefault="00D06723" w:rsidP="00147B67"/>
        </w:tc>
        <w:tc>
          <w:tcPr>
            <w:tcW w:w="2880" w:type="dxa"/>
          </w:tcPr>
          <w:p w14:paraId="119DD403" w14:textId="77777777" w:rsidR="00D06723" w:rsidRDefault="00D06723" w:rsidP="00147B67"/>
        </w:tc>
        <w:tc>
          <w:tcPr>
            <w:tcW w:w="3145" w:type="dxa"/>
          </w:tcPr>
          <w:p w14:paraId="6EDB35E1" w14:textId="0ED024D4" w:rsidR="00D06723" w:rsidRDefault="00D06723" w:rsidP="00DE584A">
            <w:r w:rsidRPr="002F1B51">
              <w:t xml:space="preserve">Creating safe and supportive environments </w:t>
            </w:r>
            <w:r>
              <w:t>through</w:t>
            </w:r>
            <w:r w:rsidRPr="002F1B51">
              <w:t xml:space="preserve"> CDC-funded programs help reduce negative </w:t>
            </w:r>
            <w:r>
              <w:t xml:space="preserve">student </w:t>
            </w:r>
            <w:r w:rsidRPr="002F1B51">
              <w:t>health outcomes associated with sexual risk</w:t>
            </w:r>
            <w:r w:rsidR="00633196">
              <w:t xml:space="preserve"> </w:t>
            </w:r>
            <w:r w:rsidR="00FA6F60">
              <w:t>behavior</w:t>
            </w:r>
            <w:r w:rsidRPr="002F1B51">
              <w:t xml:space="preserve">, </w:t>
            </w:r>
            <w:r w:rsidR="00F04F9D">
              <w:t xml:space="preserve">high-risk </w:t>
            </w:r>
            <w:r w:rsidRPr="002F1B51">
              <w:t xml:space="preserve">substance use, violence </w:t>
            </w:r>
            <w:r w:rsidR="00F04F9D">
              <w:t xml:space="preserve">victimization, </w:t>
            </w:r>
            <w:r w:rsidRPr="002F1B51">
              <w:t>and mental health</w:t>
            </w:r>
            <w:r w:rsidR="005C5149">
              <w:t xml:space="preserve"> issues,</w:t>
            </w:r>
            <w:r w:rsidR="00F04F9D">
              <w:t xml:space="preserve"> including suicide</w:t>
            </w:r>
            <w:r w:rsidRPr="002F1B51">
              <w:t>.</w:t>
            </w:r>
          </w:p>
        </w:tc>
      </w:tr>
    </w:tbl>
    <w:p w14:paraId="4FE86721" w14:textId="77777777" w:rsidR="00602AE1" w:rsidRDefault="00602AE1"/>
    <w:tbl>
      <w:tblPr>
        <w:tblStyle w:val="TableGrid"/>
        <w:tblW w:w="0" w:type="auto"/>
        <w:tblLook w:val="04A0" w:firstRow="1" w:lastRow="0" w:firstColumn="1" w:lastColumn="0" w:noHBand="0" w:noVBand="1"/>
      </w:tblPr>
      <w:tblGrid>
        <w:gridCol w:w="445"/>
        <w:gridCol w:w="2880"/>
        <w:gridCol w:w="2880"/>
        <w:gridCol w:w="3145"/>
      </w:tblGrid>
      <w:tr w:rsidR="00460F2F" w14:paraId="426262FD" w14:textId="77777777" w:rsidTr="00E97D24">
        <w:trPr>
          <w:tblHeader/>
        </w:trPr>
        <w:tc>
          <w:tcPr>
            <w:tcW w:w="9350" w:type="dxa"/>
            <w:gridSpan w:val="4"/>
            <w:shd w:val="clear" w:color="auto" w:fill="FF0000"/>
          </w:tcPr>
          <w:p w14:paraId="21C94B81" w14:textId="3C89BE9A" w:rsidR="00460F2F" w:rsidRPr="00602AE1" w:rsidRDefault="00460F2F" w:rsidP="00E97D24">
            <w:pPr>
              <w:rPr>
                <w:b/>
              </w:rPr>
            </w:pPr>
            <w:r w:rsidRPr="00374FAE">
              <w:rPr>
                <w:b/>
                <w:color w:val="FFFFFF" w:themeColor="background1"/>
              </w:rPr>
              <w:t>Audience: External Health Organizations</w:t>
            </w:r>
          </w:p>
        </w:tc>
      </w:tr>
      <w:tr w:rsidR="00460F2F" w14:paraId="69D8B9B9" w14:textId="77777777" w:rsidTr="00E97D24">
        <w:trPr>
          <w:tblHeader/>
        </w:trPr>
        <w:tc>
          <w:tcPr>
            <w:tcW w:w="9350" w:type="dxa"/>
            <w:gridSpan w:val="4"/>
            <w:shd w:val="clear" w:color="auto" w:fill="FFE5E5"/>
          </w:tcPr>
          <w:p w14:paraId="09B7C3A1" w14:textId="3CFA61FB" w:rsidR="00460F2F" w:rsidRPr="00F137D2" w:rsidRDefault="00911B2E" w:rsidP="006D0A46">
            <w:pPr>
              <w:rPr>
                <w:b/>
                <w:color w:val="FFFFFF" w:themeColor="background1"/>
              </w:rPr>
            </w:pPr>
            <w:r>
              <w:t>The external health organization audience includes professionals from nongovernmental organizations and other national stakeholder groups who focus on diverse health topics and disparities.</w:t>
            </w:r>
          </w:p>
        </w:tc>
      </w:tr>
      <w:tr w:rsidR="00460F2F" w14:paraId="297AFCE3" w14:textId="77777777" w:rsidTr="006A541E">
        <w:tc>
          <w:tcPr>
            <w:tcW w:w="445" w:type="dxa"/>
            <w:shd w:val="clear" w:color="auto" w:fill="F2F2F2" w:themeFill="background1" w:themeFillShade="F2"/>
          </w:tcPr>
          <w:p w14:paraId="1C0DCD6A" w14:textId="77777777" w:rsidR="00460F2F" w:rsidRPr="00602AE1" w:rsidRDefault="00460F2F" w:rsidP="00E97D24">
            <w:pPr>
              <w:rPr>
                <w:b/>
              </w:rPr>
            </w:pPr>
          </w:p>
        </w:tc>
        <w:tc>
          <w:tcPr>
            <w:tcW w:w="2880" w:type="dxa"/>
            <w:shd w:val="clear" w:color="auto" w:fill="F2F2F2" w:themeFill="background1" w:themeFillShade="F2"/>
          </w:tcPr>
          <w:p w14:paraId="537C568E" w14:textId="657A3345" w:rsidR="00460F2F" w:rsidRDefault="00460F2F" w:rsidP="00E97D24">
            <w:r w:rsidRPr="00602AE1">
              <w:rPr>
                <w:b/>
              </w:rPr>
              <w:t>Theme:</w:t>
            </w:r>
            <w:r>
              <w:t xml:space="preserve"> </w:t>
            </w:r>
            <w:r w:rsidRPr="00602AE1">
              <w:t xml:space="preserve">Co-occurrence of Risk/4 Focus Areas  </w:t>
            </w:r>
          </w:p>
        </w:tc>
        <w:tc>
          <w:tcPr>
            <w:tcW w:w="2880" w:type="dxa"/>
            <w:shd w:val="clear" w:color="auto" w:fill="F2F2F2" w:themeFill="background1" w:themeFillShade="F2"/>
          </w:tcPr>
          <w:p w14:paraId="64116CD6" w14:textId="6D2E9154" w:rsidR="00460F2F" w:rsidRDefault="00460F2F" w:rsidP="00E97D24">
            <w:r>
              <w:rPr>
                <w:b/>
              </w:rPr>
              <w:t>Theme:</w:t>
            </w:r>
            <w:r>
              <w:t xml:space="preserve"> </w:t>
            </w:r>
            <w:r w:rsidR="004B56C1" w:rsidRPr="004B56C1">
              <w:t xml:space="preserve">Call to Action: </w:t>
            </w:r>
            <w:r w:rsidR="00EA7DCA">
              <w:t>How You Can Help</w:t>
            </w:r>
          </w:p>
        </w:tc>
        <w:tc>
          <w:tcPr>
            <w:tcW w:w="3145" w:type="dxa"/>
            <w:shd w:val="clear" w:color="auto" w:fill="F2F2F2" w:themeFill="background1" w:themeFillShade="F2"/>
          </w:tcPr>
          <w:p w14:paraId="0B893320" w14:textId="77777777" w:rsidR="00460F2F" w:rsidRDefault="00460F2F" w:rsidP="00E97D24">
            <w:r w:rsidRPr="00602AE1">
              <w:rPr>
                <w:b/>
              </w:rPr>
              <w:t>Theme:</w:t>
            </w:r>
            <w:r>
              <w:t xml:space="preserve"> CDC: </w:t>
            </w:r>
            <w:r w:rsidRPr="00602AE1">
              <w:t>We Know What Works</w:t>
            </w:r>
          </w:p>
        </w:tc>
      </w:tr>
      <w:tr w:rsidR="00460F2F" w14:paraId="483020AA" w14:textId="77777777" w:rsidTr="00343DBB">
        <w:tc>
          <w:tcPr>
            <w:tcW w:w="445" w:type="dxa"/>
          </w:tcPr>
          <w:p w14:paraId="2BD73E02" w14:textId="71097163" w:rsidR="00460F2F" w:rsidRPr="002F1B51" w:rsidRDefault="00460F2F" w:rsidP="00767ECD">
            <w:pPr>
              <w:pStyle w:val="ListParagraph"/>
              <w:numPr>
                <w:ilvl w:val="0"/>
                <w:numId w:val="6"/>
              </w:numPr>
            </w:pPr>
          </w:p>
        </w:tc>
        <w:tc>
          <w:tcPr>
            <w:tcW w:w="2880" w:type="dxa"/>
          </w:tcPr>
          <w:p w14:paraId="4E7EA8BC" w14:textId="2B134BCB" w:rsidR="00460F2F" w:rsidRDefault="00BF566C" w:rsidP="00E97D24">
            <w:r>
              <w:t xml:space="preserve">Risks related to </w:t>
            </w:r>
            <w:r w:rsidR="00F74E46">
              <w:t>sexual activity</w:t>
            </w:r>
            <w:r w:rsidR="00460F2F" w:rsidRPr="002F1B51">
              <w:t xml:space="preserve">, </w:t>
            </w:r>
            <w:r>
              <w:t xml:space="preserve">high-risk </w:t>
            </w:r>
            <w:r w:rsidR="00460F2F" w:rsidRPr="002F1B51">
              <w:t>substance use, violence victimization, and mental health</w:t>
            </w:r>
            <w:r>
              <w:t xml:space="preserve"> issues including</w:t>
            </w:r>
            <w:r w:rsidR="00460F2F" w:rsidRPr="002F1B51">
              <w:t xml:space="preserve"> suicide</w:t>
            </w:r>
            <w:r w:rsidR="00DE2FDC">
              <w:t xml:space="preserve">, </w:t>
            </w:r>
            <w:r w:rsidR="00460F2F" w:rsidRPr="002F1B51">
              <w:t>contribute to increased health risks for adolescents, including HIV and STDs.</w:t>
            </w:r>
          </w:p>
          <w:p w14:paraId="1F4C7A3C" w14:textId="77777777" w:rsidR="00460F2F" w:rsidRDefault="00460F2F" w:rsidP="00E97D24"/>
          <w:p w14:paraId="6C1C2151" w14:textId="1BA57E6E" w:rsidR="00460F2F" w:rsidRPr="0061275B" w:rsidRDefault="00460F2F" w:rsidP="00E97D24">
            <w:pPr>
              <w:rPr>
                <w:b/>
              </w:rPr>
            </w:pPr>
          </w:p>
          <w:p w14:paraId="0E370548" w14:textId="3D905B01" w:rsidR="00460F2F" w:rsidRDefault="00460F2F" w:rsidP="004B56C1">
            <w:r w:rsidRPr="002F1B51">
              <w:t xml:space="preserve">The co-occurrence of risk across sexual behavior, </w:t>
            </w:r>
            <w:r w:rsidR="00AB4474">
              <w:t xml:space="preserve">high-risk </w:t>
            </w:r>
            <w:r w:rsidRPr="002F1B51">
              <w:t>substance use, violence</w:t>
            </w:r>
            <w:r w:rsidR="00BF566C">
              <w:t xml:space="preserve"> victimization</w:t>
            </w:r>
            <w:r w:rsidR="00C74757">
              <w:t>,</w:t>
            </w:r>
            <w:r w:rsidRPr="002F1B51">
              <w:t xml:space="preserve"> mental health</w:t>
            </w:r>
            <w:r w:rsidR="00C74757">
              <w:t xml:space="preserve"> and </w:t>
            </w:r>
            <w:r w:rsidR="00BF566C">
              <w:t>suicide</w:t>
            </w:r>
            <w:r w:rsidR="00DE2FDC">
              <w:t>,</w:t>
            </w:r>
            <w:r w:rsidRPr="002F1B51">
              <w:t xml:space="preserve"> has serious implications for adolescents’ well-being during their high school years and into adulthood.</w:t>
            </w:r>
          </w:p>
        </w:tc>
        <w:tc>
          <w:tcPr>
            <w:tcW w:w="2880" w:type="dxa"/>
          </w:tcPr>
          <w:p w14:paraId="5BFB4545" w14:textId="1BF69EBE" w:rsidR="00460F2F" w:rsidRDefault="00460F2F" w:rsidP="00E97D24">
            <w:r w:rsidRPr="002F1B51">
              <w:t xml:space="preserve">Making STD and HIV testing a routine part of health care for adolescents is </w:t>
            </w:r>
            <w:r w:rsidR="00BA1B79">
              <w:t>an</w:t>
            </w:r>
            <w:r w:rsidRPr="002F1B51">
              <w:t xml:space="preserve"> important strateg</w:t>
            </w:r>
            <w:r w:rsidR="00BA1B79">
              <w:t>y</w:t>
            </w:r>
            <w:r w:rsidRPr="002F1B51">
              <w:t xml:space="preserve"> for reducing the spread of infections. CDC recommends all adolescents get tested for HIV at least once as part of routine medical care.</w:t>
            </w:r>
          </w:p>
          <w:p w14:paraId="1CC786FC" w14:textId="77777777" w:rsidR="00460F2F" w:rsidRDefault="00460F2F" w:rsidP="00E97D24"/>
          <w:p w14:paraId="6FD26183" w14:textId="519D5B61" w:rsidR="00460F2F" w:rsidRDefault="00460F2F" w:rsidP="00E97D24"/>
        </w:tc>
        <w:tc>
          <w:tcPr>
            <w:tcW w:w="3145" w:type="dxa"/>
          </w:tcPr>
          <w:p w14:paraId="0B054222" w14:textId="14208122" w:rsidR="00460F2F" w:rsidRDefault="00460F2F" w:rsidP="00E97D24">
            <w:r w:rsidRPr="002F1B51">
              <w:t xml:space="preserve">For CDC, health impact is achieved by helping youth reduce the effects of stressful life events and avoid multiple behaviors that place them at risk for </w:t>
            </w:r>
            <w:r w:rsidR="00EE2E86">
              <w:t>poor</w:t>
            </w:r>
            <w:r w:rsidR="00EE2E86" w:rsidRPr="002F1B51">
              <w:t xml:space="preserve"> </w:t>
            </w:r>
            <w:r w:rsidRPr="002F1B51">
              <w:t>health and educational outcomes.</w:t>
            </w:r>
          </w:p>
          <w:p w14:paraId="5B162DE5" w14:textId="77777777" w:rsidR="00460F2F" w:rsidRDefault="00460F2F" w:rsidP="00E97D24"/>
          <w:p w14:paraId="318C62F4" w14:textId="48FF480F" w:rsidR="00460F2F" w:rsidRPr="00BA44CB" w:rsidRDefault="00460F2F" w:rsidP="00E97D24">
            <w:pPr>
              <w:rPr>
                <w:i/>
              </w:rPr>
            </w:pPr>
            <w:r w:rsidRPr="00BA44CB">
              <w:rPr>
                <w:i/>
              </w:rPr>
              <w:t xml:space="preserve">We achieve positive </w:t>
            </w:r>
            <w:r w:rsidR="00EE2E86" w:rsidRPr="00BA44CB">
              <w:rPr>
                <w:i/>
              </w:rPr>
              <w:t xml:space="preserve">health and educational </w:t>
            </w:r>
            <w:r w:rsidRPr="00BA44CB">
              <w:rPr>
                <w:i/>
              </w:rPr>
              <w:t xml:space="preserve">outcomes when we help reduce the effects of stressful life events </w:t>
            </w:r>
            <w:r w:rsidR="005E343C" w:rsidRPr="00BA44CB">
              <w:rPr>
                <w:i/>
              </w:rPr>
              <w:t>for</w:t>
            </w:r>
            <w:r w:rsidRPr="00BA44CB">
              <w:rPr>
                <w:i/>
              </w:rPr>
              <w:t xml:space="preserve"> youth. </w:t>
            </w:r>
          </w:p>
          <w:p w14:paraId="7BB7F079" w14:textId="77777777" w:rsidR="00460F2F" w:rsidRPr="004B56C1" w:rsidRDefault="00460F2F" w:rsidP="00E97D24"/>
          <w:p w14:paraId="74F3CDEE" w14:textId="58CD4A69" w:rsidR="00460F2F" w:rsidRDefault="00460F2F" w:rsidP="00E97D24"/>
        </w:tc>
      </w:tr>
      <w:tr w:rsidR="00460F2F" w14:paraId="226B3BAC" w14:textId="77777777" w:rsidTr="00343DBB">
        <w:tc>
          <w:tcPr>
            <w:tcW w:w="445" w:type="dxa"/>
          </w:tcPr>
          <w:p w14:paraId="7DA4CD61" w14:textId="08451EDE" w:rsidR="00460F2F" w:rsidRPr="002F1B51" w:rsidRDefault="00460F2F" w:rsidP="00767ECD">
            <w:pPr>
              <w:pStyle w:val="ListParagraph"/>
              <w:numPr>
                <w:ilvl w:val="0"/>
                <w:numId w:val="6"/>
              </w:numPr>
            </w:pPr>
          </w:p>
        </w:tc>
        <w:tc>
          <w:tcPr>
            <w:tcW w:w="2880" w:type="dxa"/>
          </w:tcPr>
          <w:p w14:paraId="796207AD" w14:textId="3D59FA04" w:rsidR="00460F2F" w:rsidRDefault="009950AE" w:rsidP="00E97D24">
            <w:r w:rsidRPr="002F1B51">
              <w:t xml:space="preserve">Students with </w:t>
            </w:r>
            <w:r>
              <w:t>m</w:t>
            </w:r>
            <w:r w:rsidR="00B26C08">
              <w:t>ultiple</w:t>
            </w:r>
            <w:r>
              <w:t xml:space="preserve"> risk factors</w:t>
            </w:r>
            <w:r w:rsidRPr="002F1B51">
              <w:t xml:space="preserve"> are more likely to engage in unhealthy behaviors directly linked to</w:t>
            </w:r>
            <w:r>
              <w:t xml:space="preserve"> increased</w:t>
            </w:r>
            <w:r w:rsidRPr="002F1B51">
              <w:t xml:space="preserve"> morbidity and mortality.</w:t>
            </w:r>
            <w:r>
              <w:t xml:space="preserve"> </w:t>
            </w:r>
          </w:p>
        </w:tc>
        <w:tc>
          <w:tcPr>
            <w:tcW w:w="2880" w:type="dxa"/>
          </w:tcPr>
          <w:p w14:paraId="21EC4DA3" w14:textId="4A7692D5" w:rsidR="00460F2F" w:rsidRDefault="00074004" w:rsidP="00E97D24">
            <w:r>
              <w:t xml:space="preserve">Recommending </w:t>
            </w:r>
            <w:r w:rsidR="00460F2F" w:rsidRPr="002F1B51">
              <w:t xml:space="preserve">school-based </w:t>
            </w:r>
            <w:r w:rsidR="00970BDA">
              <w:t>sex</w:t>
            </w:r>
            <w:r w:rsidR="00460F2F" w:rsidRPr="002F1B51">
              <w:t xml:space="preserve"> education programs, promoting youth-friendly health services, and</w:t>
            </w:r>
            <w:r w:rsidR="00F8247E">
              <w:t xml:space="preserve"> creating safe and</w:t>
            </w:r>
            <w:r w:rsidR="00460F2F" w:rsidRPr="002F1B51">
              <w:t xml:space="preserve"> support</w:t>
            </w:r>
            <w:r w:rsidR="00245D86">
              <w:t>ive</w:t>
            </w:r>
            <w:r w:rsidR="00460F2F" w:rsidRPr="002F1B51">
              <w:t xml:space="preserve"> environments in schools for all youth protects student health and academic performance.</w:t>
            </w:r>
          </w:p>
          <w:p w14:paraId="72CCC41B" w14:textId="77777777" w:rsidR="00460F2F" w:rsidRDefault="00460F2F" w:rsidP="00E97D24"/>
          <w:p w14:paraId="4131E7B5" w14:textId="7F65A1DD" w:rsidR="00460F2F" w:rsidRPr="00BA44CB" w:rsidRDefault="00460F2F" w:rsidP="008844F8">
            <w:pPr>
              <w:rPr>
                <w:i/>
              </w:rPr>
            </w:pPr>
            <w:r w:rsidRPr="00BA44CB">
              <w:rPr>
                <w:i/>
              </w:rPr>
              <w:t>To improve</w:t>
            </w:r>
            <w:r w:rsidR="004B56C1" w:rsidRPr="00BA44CB">
              <w:rPr>
                <w:i/>
              </w:rPr>
              <w:t xml:space="preserve"> </w:t>
            </w:r>
            <w:r w:rsidRPr="00BA44CB">
              <w:rPr>
                <w:i/>
              </w:rPr>
              <w:t xml:space="preserve">student health and academic performance, health organizations </w:t>
            </w:r>
            <w:r w:rsidR="00621A53" w:rsidRPr="00BA44CB">
              <w:rPr>
                <w:i/>
              </w:rPr>
              <w:t>can</w:t>
            </w:r>
            <w:r w:rsidRPr="00BA44CB">
              <w:rPr>
                <w:i/>
              </w:rPr>
              <w:t>:</w:t>
            </w:r>
          </w:p>
          <w:p w14:paraId="3292DF59" w14:textId="4B38B38C" w:rsidR="00460F2F" w:rsidRPr="00BA44CB" w:rsidRDefault="000958BD" w:rsidP="008844F8">
            <w:pPr>
              <w:pStyle w:val="ListParagraph"/>
              <w:numPr>
                <w:ilvl w:val="0"/>
                <w:numId w:val="2"/>
              </w:numPr>
              <w:rPr>
                <w:i/>
              </w:rPr>
            </w:pPr>
            <w:r>
              <w:rPr>
                <w:i/>
              </w:rPr>
              <w:t xml:space="preserve">Recommend </w:t>
            </w:r>
            <w:r w:rsidR="00460F2F" w:rsidRPr="00BA44CB">
              <w:rPr>
                <w:i/>
              </w:rPr>
              <w:t xml:space="preserve">school-based </w:t>
            </w:r>
            <w:r w:rsidR="00DF4331">
              <w:rPr>
                <w:i/>
              </w:rPr>
              <w:t xml:space="preserve">sex </w:t>
            </w:r>
            <w:r w:rsidR="00460F2F" w:rsidRPr="00BA44CB">
              <w:rPr>
                <w:i/>
              </w:rPr>
              <w:t>education programs</w:t>
            </w:r>
          </w:p>
          <w:p w14:paraId="02AD6A1D" w14:textId="0CEEDDB6" w:rsidR="00460F2F" w:rsidRPr="00BA44CB" w:rsidRDefault="00460F2F" w:rsidP="008844F8">
            <w:pPr>
              <w:pStyle w:val="ListParagraph"/>
              <w:numPr>
                <w:ilvl w:val="0"/>
                <w:numId w:val="2"/>
              </w:numPr>
              <w:rPr>
                <w:i/>
              </w:rPr>
            </w:pPr>
            <w:r w:rsidRPr="00BA44CB">
              <w:rPr>
                <w:i/>
              </w:rPr>
              <w:t>Promot</w:t>
            </w:r>
            <w:r w:rsidR="00AB4474" w:rsidRPr="00BA44CB">
              <w:rPr>
                <w:i/>
              </w:rPr>
              <w:t>e</w:t>
            </w:r>
            <w:r w:rsidRPr="00BA44CB">
              <w:rPr>
                <w:i/>
              </w:rPr>
              <w:t xml:space="preserve"> youth-friendly health services</w:t>
            </w:r>
          </w:p>
          <w:p w14:paraId="40CD6398" w14:textId="7302C5CD" w:rsidR="00460F2F" w:rsidRDefault="00D674FF" w:rsidP="00DF5146">
            <w:pPr>
              <w:pStyle w:val="ListParagraph"/>
              <w:numPr>
                <w:ilvl w:val="0"/>
                <w:numId w:val="2"/>
              </w:numPr>
            </w:pPr>
            <w:r>
              <w:rPr>
                <w:i/>
              </w:rPr>
              <w:t>Create safe and supportive</w:t>
            </w:r>
            <w:r w:rsidR="00460F2F" w:rsidRPr="00BA44CB">
              <w:rPr>
                <w:i/>
              </w:rPr>
              <w:t xml:space="preserve"> school environment</w:t>
            </w:r>
            <w:r w:rsidR="00AB4474" w:rsidRPr="00BA44CB">
              <w:rPr>
                <w:i/>
              </w:rPr>
              <w:t>s</w:t>
            </w:r>
            <w:r w:rsidR="00DF5146">
              <w:rPr>
                <w:i/>
              </w:rPr>
              <w:t>.</w:t>
            </w:r>
          </w:p>
        </w:tc>
        <w:tc>
          <w:tcPr>
            <w:tcW w:w="3145" w:type="dxa"/>
          </w:tcPr>
          <w:p w14:paraId="22729FDA" w14:textId="606B0A63" w:rsidR="00460F2F" w:rsidRDefault="00460F2F" w:rsidP="00E97D24">
            <w:r w:rsidRPr="002F1B51">
              <w:t xml:space="preserve">CDC’s school-based research, tools and partnerships </w:t>
            </w:r>
            <w:r w:rsidR="005210CD">
              <w:t xml:space="preserve">help to </w:t>
            </w:r>
            <w:r w:rsidR="004A357D">
              <w:t>prevent</w:t>
            </w:r>
            <w:r w:rsidRPr="002F1B51">
              <w:t xml:space="preserve"> sexual </w:t>
            </w:r>
            <w:r w:rsidR="00B66F01">
              <w:t xml:space="preserve">risk </w:t>
            </w:r>
            <w:r w:rsidR="004A357D">
              <w:t>behavior</w:t>
            </w:r>
            <w:r w:rsidR="00B66F01">
              <w:t>s</w:t>
            </w:r>
            <w:r w:rsidRPr="002F1B51">
              <w:t xml:space="preserve">, </w:t>
            </w:r>
            <w:r w:rsidR="0086096D">
              <w:t xml:space="preserve">high-risk </w:t>
            </w:r>
            <w:r w:rsidRPr="002F1B51">
              <w:t>substance use, violence</w:t>
            </w:r>
            <w:r w:rsidR="0086096D">
              <w:t xml:space="preserve"> victimization</w:t>
            </w:r>
            <w:r w:rsidRPr="002F1B51">
              <w:t xml:space="preserve"> and mental health </w:t>
            </w:r>
            <w:r>
              <w:t>issues</w:t>
            </w:r>
            <w:r w:rsidR="005210CD">
              <w:t>,</w:t>
            </w:r>
            <w:r w:rsidR="0086096D">
              <w:t xml:space="preserve"> including suicide</w:t>
            </w:r>
            <w:r w:rsidR="00FB6073">
              <w:t>.</w:t>
            </w:r>
          </w:p>
        </w:tc>
      </w:tr>
      <w:tr w:rsidR="00460F2F" w14:paraId="7BDAED28" w14:textId="77777777" w:rsidTr="00343DBB">
        <w:tc>
          <w:tcPr>
            <w:tcW w:w="445" w:type="dxa"/>
          </w:tcPr>
          <w:p w14:paraId="703BC598" w14:textId="7ABA94F4" w:rsidR="00460F2F" w:rsidRPr="002F1B51" w:rsidRDefault="001E3007" w:rsidP="001E3007">
            <w:r>
              <w:t xml:space="preserve">3. </w:t>
            </w:r>
          </w:p>
        </w:tc>
        <w:tc>
          <w:tcPr>
            <w:tcW w:w="2880" w:type="dxa"/>
          </w:tcPr>
          <w:p w14:paraId="06DD0849" w14:textId="0E21BA7E" w:rsidR="00460F2F" w:rsidRDefault="00C40D48" w:rsidP="005D4824">
            <w:r w:rsidRPr="00C40D48">
              <w:t xml:space="preserve">Sexual minority youth </w:t>
            </w:r>
            <w:r>
              <w:t xml:space="preserve">are at higher risk for </w:t>
            </w:r>
            <w:r w:rsidRPr="00C40D48">
              <w:t>negative health behaviors</w:t>
            </w:r>
            <w:r w:rsidR="00F90646">
              <w:t>, experiences,</w:t>
            </w:r>
            <w:r w:rsidRPr="00C40D48">
              <w:t xml:space="preserve"> and </w:t>
            </w:r>
            <w:r>
              <w:t>outcomes</w:t>
            </w:r>
            <w:r w:rsidRPr="00C40D48">
              <w:t xml:space="preserve">, including HIV and STDs.  </w:t>
            </w:r>
          </w:p>
        </w:tc>
        <w:tc>
          <w:tcPr>
            <w:tcW w:w="2880" w:type="dxa"/>
          </w:tcPr>
          <w:p w14:paraId="689380FB" w14:textId="1FF075D1" w:rsidR="00460F2F" w:rsidRDefault="00460F2F" w:rsidP="00E97D24">
            <w:r w:rsidRPr="002F1B51">
              <w:t xml:space="preserve">Educating youth about sexual development, what puts teens at risk, and how to prevent HIV, STDs and pregnancy protects </w:t>
            </w:r>
            <w:r w:rsidR="0086096D">
              <w:t>adolescent</w:t>
            </w:r>
            <w:r w:rsidR="0086096D" w:rsidRPr="002F1B51">
              <w:t xml:space="preserve"> </w:t>
            </w:r>
            <w:r w:rsidRPr="002F1B51">
              <w:t>health.</w:t>
            </w:r>
          </w:p>
        </w:tc>
        <w:tc>
          <w:tcPr>
            <w:tcW w:w="3145" w:type="dxa"/>
          </w:tcPr>
          <w:p w14:paraId="7DC7FA51" w14:textId="501940DA" w:rsidR="00460F2F" w:rsidRDefault="00460F2F" w:rsidP="00E97D24">
            <w:r w:rsidRPr="002F1B51">
              <w:t>Implement</w:t>
            </w:r>
            <w:r w:rsidR="007F0A27">
              <w:t xml:space="preserve">ing </w:t>
            </w:r>
            <w:r w:rsidRPr="002F1B51">
              <w:t xml:space="preserve">CDC-recommended school-based strategies </w:t>
            </w:r>
            <w:r w:rsidR="007F0A27">
              <w:t>can help</w:t>
            </w:r>
            <w:r w:rsidRPr="002F1B51">
              <w:t xml:space="preserve"> </w:t>
            </w:r>
            <w:r>
              <w:t>decrease</w:t>
            </w:r>
            <w:r w:rsidR="007F0A27">
              <w:t xml:space="preserve"> </w:t>
            </w:r>
            <w:r w:rsidRPr="002F1B51">
              <w:t xml:space="preserve">behaviors </w:t>
            </w:r>
            <w:r w:rsidR="00AB4474">
              <w:t xml:space="preserve">and experiences </w:t>
            </w:r>
            <w:r w:rsidRPr="002F1B51">
              <w:t>that put youth at risk for HIV and STDs.</w:t>
            </w:r>
          </w:p>
        </w:tc>
      </w:tr>
      <w:tr w:rsidR="00460F2F" w14:paraId="7B6A97E3" w14:textId="77777777" w:rsidTr="00343DBB">
        <w:tc>
          <w:tcPr>
            <w:tcW w:w="445" w:type="dxa"/>
          </w:tcPr>
          <w:p w14:paraId="75A9244A" w14:textId="77777777" w:rsidR="00460F2F" w:rsidRDefault="00460F2F" w:rsidP="00E97D24"/>
        </w:tc>
        <w:tc>
          <w:tcPr>
            <w:tcW w:w="2880" w:type="dxa"/>
          </w:tcPr>
          <w:p w14:paraId="18C921ED" w14:textId="32E0D070" w:rsidR="00460F2F" w:rsidRDefault="00460F2F" w:rsidP="00E97D24"/>
        </w:tc>
        <w:tc>
          <w:tcPr>
            <w:tcW w:w="2880" w:type="dxa"/>
          </w:tcPr>
          <w:p w14:paraId="77274774" w14:textId="77777777" w:rsidR="00460F2F" w:rsidRDefault="00460F2F" w:rsidP="00E97D24"/>
        </w:tc>
        <w:tc>
          <w:tcPr>
            <w:tcW w:w="3145" w:type="dxa"/>
          </w:tcPr>
          <w:p w14:paraId="38ED1C7C" w14:textId="73D9BBE4" w:rsidR="00460F2F" w:rsidRPr="002F1B51" w:rsidRDefault="00460F2F" w:rsidP="00BF566C">
            <w:r w:rsidRPr="002F1B51">
              <w:t>Having onsite school-based health centers or a system for referrals increases student access to sexual health services and can help prevent HIV, STDs, and pregnancy.</w:t>
            </w:r>
          </w:p>
        </w:tc>
      </w:tr>
    </w:tbl>
    <w:p w14:paraId="4351CD4F" w14:textId="77777777" w:rsidR="00397CFC" w:rsidRDefault="00397CFC"/>
    <w:tbl>
      <w:tblPr>
        <w:tblStyle w:val="TableGrid"/>
        <w:tblW w:w="0" w:type="auto"/>
        <w:tblLook w:val="04A0" w:firstRow="1" w:lastRow="0" w:firstColumn="1" w:lastColumn="0" w:noHBand="0" w:noVBand="1"/>
      </w:tblPr>
      <w:tblGrid>
        <w:gridCol w:w="445"/>
        <w:gridCol w:w="2880"/>
        <w:gridCol w:w="2970"/>
        <w:gridCol w:w="3055"/>
      </w:tblGrid>
      <w:tr w:rsidR="007C0738" w14:paraId="5175D1AA" w14:textId="77777777" w:rsidTr="00E97D24">
        <w:trPr>
          <w:tblHeader/>
        </w:trPr>
        <w:tc>
          <w:tcPr>
            <w:tcW w:w="9350" w:type="dxa"/>
            <w:gridSpan w:val="4"/>
            <w:shd w:val="clear" w:color="auto" w:fill="008000"/>
          </w:tcPr>
          <w:p w14:paraId="343E34A1" w14:textId="6CE3876A" w:rsidR="007C0738" w:rsidRPr="00602AE1" w:rsidRDefault="007C0738" w:rsidP="00E97D24">
            <w:pPr>
              <w:rPr>
                <w:b/>
              </w:rPr>
            </w:pPr>
            <w:r w:rsidRPr="00374FAE">
              <w:rPr>
                <w:b/>
                <w:color w:val="FFFFFF" w:themeColor="background1"/>
              </w:rPr>
              <w:t>Audience: Policymakers and Policymaking Organizations</w:t>
            </w:r>
          </w:p>
        </w:tc>
      </w:tr>
      <w:tr w:rsidR="007C0738" w14:paraId="238CFDC4" w14:textId="77777777" w:rsidTr="00E97D24">
        <w:trPr>
          <w:tblHeader/>
        </w:trPr>
        <w:tc>
          <w:tcPr>
            <w:tcW w:w="9350" w:type="dxa"/>
            <w:gridSpan w:val="4"/>
            <w:shd w:val="clear" w:color="auto" w:fill="ABFFAB"/>
          </w:tcPr>
          <w:p w14:paraId="26B5B27C" w14:textId="5B272B44" w:rsidR="007C0738" w:rsidRPr="006D0A46" w:rsidRDefault="00396969" w:rsidP="006D0A46">
            <w:r>
              <w:t>Policymakers include federal, state, and local elected officials, including school board members. For this project, policymaking organizations will serve as proxies for policymakers. Policymaking organizations have direct contact with state and federal policymakers and focus on providing accurate information on broad health and education topics, including school health policies, youth health concerns, and LGBTQ health or equity challenges.</w:t>
            </w:r>
          </w:p>
        </w:tc>
      </w:tr>
      <w:tr w:rsidR="007C0738" w14:paraId="02546FEB" w14:textId="77777777" w:rsidTr="006A541E">
        <w:tc>
          <w:tcPr>
            <w:tcW w:w="445" w:type="dxa"/>
            <w:shd w:val="clear" w:color="auto" w:fill="F2F2F2" w:themeFill="background1" w:themeFillShade="F2"/>
          </w:tcPr>
          <w:p w14:paraId="7EDBA9C9" w14:textId="77777777" w:rsidR="007C0738" w:rsidRPr="00602AE1" w:rsidRDefault="007C0738" w:rsidP="00E97D24">
            <w:pPr>
              <w:rPr>
                <w:b/>
              </w:rPr>
            </w:pPr>
          </w:p>
        </w:tc>
        <w:tc>
          <w:tcPr>
            <w:tcW w:w="2880" w:type="dxa"/>
            <w:shd w:val="clear" w:color="auto" w:fill="F2F2F2" w:themeFill="background1" w:themeFillShade="F2"/>
          </w:tcPr>
          <w:p w14:paraId="2FF9440B" w14:textId="4750B925" w:rsidR="007C0738" w:rsidRDefault="007C0738" w:rsidP="00E97D24">
            <w:r w:rsidRPr="00602AE1">
              <w:rPr>
                <w:b/>
              </w:rPr>
              <w:t>Theme:</w:t>
            </w:r>
            <w:r>
              <w:t xml:space="preserve"> </w:t>
            </w:r>
            <w:r w:rsidRPr="00602AE1">
              <w:t xml:space="preserve">Co-occurrence of Risk/4 Focus Areas  </w:t>
            </w:r>
          </w:p>
        </w:tc>
        <w:tc>
          <w:tcPr>
            <w:tcW w:w="2970" w:type="dxa"/>
            <w:shd w:val="clear" w:color="auto" w:fill="F2F2F2" w:themeFill="background1" w:themeFillShade="F2"/>
          </w:tcPr>
          <w:p w14:paraId="08B4394F" w14:textId="600D93E2" w:rsidR="007C0738" w:rsidRDefault="007C0738" w:rsidP="00E97D24">
            <w:r>
              <w:rPr>
                <w:b/>
              </w:rPr>
              <w:t>Theme:</w:t>
            </w:r>
            <w:r>
              <w:t xml:space="preserve"> </w:t>
            </w:r>
            <w:r w:rsidR="004B56C1" w:rsidRPr="004B56C1">
              <w:t xml:space="preserve">Call to Action: </w:t>
            </w:r>
            <w:r w:rsidR="00EA7DCA">
              <w:t>How You Can Help</w:t>
            </w:r>
          </w:p>
        </w:tc>
        <w:tc>
          <w:tcPr>
            <w:tcW w:w="3055" w:type="dxa"/>
            <w:shd w:val="clear" w:color="auto" w:fill="F2F2F2" w:themeFill="background1" w:themeFillShade="F2"/>
          </w:tcPr>
          <w:p w14:paraId="050740FA" w14:textId="77777777" w:rsidR="007C0738" w:rsidRDefault="007C0738" w:rsidP="00E97D24">
            <w:r w:rsidRPr="00602AE1">
              <w:rPr>
                <w:b/>
              </w:rPr>
              <w:t>Theme:</w:t>
            </w:r>
            <w:r>
              <w:t xml:space="preserve"> CDC: </w:t>
            </w:r>
            <w:r w:rsidRPr="00602AE1">
              <w:t>We Know What Works</w:t>
            </w:r>
          </w:p>
        </w:tc>
      </w:tr>
      <w:tr w:rsidR="007C0738" w14:paraId="02181B97" w14:textId="77777777" w:rsidTr="00343DBB">
        <w:tc>
          <w:tcPr>
            <w:tcW w:w="445" w:type="dxa"/>
          </w:tcPr>
          <w:p w14:paraId="0404CAC1" w14:textId="508DA904" w:rsidR="007C0738" w:rsidRPr="002F1B51" w:rsidRDefault="007C0738" w:rsidP="007C0738">
            <w:r>
              <w:t xml:space="preserve">1. </w:t>
            </w:r>
          </w:p>
        </w:tc>
        <w:tc>
          <w:tcPr>
            <w:tcW w:w="2880" w:type="dxa"/>
          </w:tcPr>
          <w:p w14:paraId="7C564D94" w14:textId="733A3B53" w:rsidR="007C0738" w:rsidRDefault="002B27A8" w:rsidP="00633196">
            <w:r w:rsidRPr="006B2A5C">
              <w:rPr>
                <w:i/>
              </w:rPr>
              <w:t xml:space="preserve">Efforts to prevent HIV, STDs, and pregnancy </w:t>
            </w:r>
            <w:r w:rsidR="0006546B" w:rsidRPr="006B2A5C">
              <w:rPr>
                <w:i/>
              </w:rPr>
              <w:t xml:space="preserve">among youth </w:t>
            </w:r>
            <w:r w:rsidRPr="006B2A5C">
              <w:rPr>
                <w:i/>
              </w:rPr>
              <w:t xml:space="preserve">must consider the array of </w:t>
            </w:r>
            <w:r w:rsidR="005E343C">
              <w:rPr>
                <w:i/>
              </w:rPr>
              <w:t xml:space="preserve">risk </w:t>
            </w:r>
            <w:r w:rsidRPr="006B2A5C">
              <w:rPr>
                <w:i/>
              </w:rPr>
              <w:t>factors and how they fit together.</w:t>
            </w:r>
            <w:r>
              <w:t xml:space="preserve"> </w:t>
            </w:r>
            <w:r w:rsidR="00633196">
              <w:t>Sexual risk behaviors</w:t>
            </w:r>
            <w:r w:rsidR="007C0738" w:rsidRPr="002F1B51">
              <w:t xml:space="preserve">, </w:t>
            </w:r>
            <w:r w:rsidR="00E15B60">
              <w:t xml:space="preserve">high-risk </w:t>
            </w:r>
            <w:r w:rsidR="007C0738" w:rsidRPr="002F1B51">
              <w:t xml:space="preserve">substance use, </w:t>
            </w:r>
            <w:r w:rsidR="00E15B60">
              <w:t>violence victimization</w:t>
            </w:r>
            <w:r w:rsidR="007C0738" w:rsidRPr="002F1B51">
              <w:t xml:space="preserve"> and mental health </w:t>
            </w:r>
            <w:r w:rsidR="009950AE">
              <w:t xml:space="preserve">problems </w:t>
            </w:r>
            <w:r w:rsidR="007C0738">
              <w:t xml:space="preserve">can </w:t>
            </w:r>
            <w:r w:rsidR="007C0738" w:rsidRPr="002F1B51">
              <w:t xml:space="preserve">all contribute to risks for HIV, STDs and </w:t>
            </w:r>
            <w:r w:rsidR="0006546B">
              <w:t>unintended</w:t>
            </w:r>
            <w:r w:rsidR="0006546B" w:rsidRPr="002F1B51">
              <w:t xml:space="preserve"> </w:t>
            </w:r>
            <w:r w:rsidR="007C0738" w:rsidRPr="002F1B51">
              <w:t>pregnancy.</w:t>
            </w:r>
            <w:r>
              <w:t xml:space="preserve"> </w:t>
            </w:r>
          </w:p>
        </w:tc>
        <w:tc>
          <w:tcPr>
            <w:tcW w:w="2970" w:type="dxa"/>
          </w:tcPr>
          <w:p w14:paraId="15EB245A" w14:textId="3C4AB9DC" w:rsidR="007C0738" w:rsidRDefault="00AC7DA1" w:rsidP="00E97D24">
            <w:r>
              <w:t>All youth deserve safe and supportive schools with access to quality health education and connection to mental and sexual health services to help them reach adulthood in the healthiest way possible.</w:t>
            </w:r>
          </w:p>
        </w:tc>
        <w:tc>
          <w:tcPr>
            <w:tcW w:w="3055" w:type="dxa"/>
          </w:tcPr>
          <w:p w14:paraId="78DE455E" w14:textId="6D0CDE4B" w:rsidR="007C0738" w:rsidRDefault="007C0738" w:rsidP="00F90646">
            <w:r w:rsidRPr="002F1B51">
              <w:t xml:space="preserve">Schools that </w:t>
            </w:r>
            <w:r w:rsidR="00F90646">
              <w:t xml:space="preserve">create safe school environments, </w:t>
            </w:r>
            <w:r w:rsidR="005D4824">
              <w:t xml:space="preserve">provide </w:t>
            </w:r>
            <w:r w:rsidRPr="002F1B51">
              <w:t>sexual health education</w:t>
            </w:r>
            <w:r w:rsidR="005D4824">
              <w:t xml:space="preserve">, </w:t>
            </w:r>
            <w:r w:rsidR="00F90646">
              <w:t xml:space="preserve">and </w:t>
            </w:r>
            <w:r w:rsidR="005D4824">
              <w:t>referrals to</w:t>
            </w:r>
            <w:r w:rsidR="005D4824" w:rsidRPr="005D4824">
              <w:t xml:space="preserve"> youth-friendly health services, </w:t>
            </w:r>
            <w:r w:rsidRPr="002F1B51">
              <w:t>help students make healthy decisions and avoid risk behaviors.</w:t>
            </w:r>
          </w:p>
        </w:tc>
      </w:tr>
      <w:tr w:rsidR="007C0738" w14:paraId="0F8B88D2" w14:textId="77777777" w:rsidTr="00343DBB">
        <w:tc>
          <w:tcPr>
            <w:tcW w:w="445" w:type="dxa"/>
          </w:tcPr>
          <w:p w14:paraId="098E1C04" w14:textId="352112DE" w:rsidR="007C0738" w:rsidRDefault="007C0738" w:rsidP="007C0738">
            <w:r>
              <w:t xml:space="preserve">2. </w:t>
            </w:r>
          </w:p>
        </w:tc>
        <w:tc>
          <w:tcPr>
            <w:tcW w:w="2880" w:type="dxa"/>
          </w:tcPr>
          <w:p w14:paraId="0D5B01E4" w14:textId="0C289375" w:rsidR="009950AE" w:rsidRPr="00D6736F" w:rsidRDefault="009950AE" w:rsidP="009950AE">
            <w:pPr>
              <w:rPr>
                <w:i/>
                <w:color w:val="C00000"/>
              </w:rPr>
            </w:pPr>
            <w:r w:rsidRPr="00BA44CB">
              <w:rPr>
                <w:i/>
              </w:rPr>
              <w:t xml:space="preserve">Addressed separately, these four focus areas are of concern to public health. </w:t>
            </w:r>
            <w:r w:rsidR="00816A8B" w:rsidRPr="00BA44CB">
              <w:rPr>
                <w:i/>
              </w:rPr>
              <w:t xml:space="preserve">However, data also indicate that risk behaviors </w:t>
            </w:r>
            <w:r w:rsidR="00AC7DA1">
              <w:rPr>
                <w:i/>
              </w:rPr>
              <w:t xml:space="preserve">often </w:t>
            </w:r>
            <w:r w:rsidR="00EB1792" w:rsidRPr="00BA44CB">
              <w:rPr>
                <w:i/>
              </w:rPr>
              <w:t>occur together</w:t>
            </w:r>
            <w:r w:rsidR="00816A8B" w:rsidRPr="00BA44CB">
              <w:rPr>
                <w:i/>
              </w:rPr>
              <w:t xml:space="preserve"> and that students experience multiple risks across these areas.</w:t>
            </w:r>
          </w:p>
          <w:p w14:paraId="71E72DD2" w14:textId="2CA3234D" w:rsidR="007C0738" w:rsidRDefault="007C0738" w:rsidP="00E97D24"/>
        </w:tc>
        <w:tc>
          <w:tcPr>
            <w:tcW w:w="2970" w:type="dxa"/>
          </w:tcPr>
          <w:p w14:paraId="46FAFEBA" w14:textId="403E4096" w:rsidR="007C0738" w:rsidRDefault="00492919" w:rsidP="00E97D24">
            <w:r>
              <w:t>S</w:t>
            </w:r>
            <w:r w:rsidR="005E343C">
              <w:t xml:space="preserve">upporting </w:t>
            </w:r>
            <w:r w:rsidR="007C0738" w:rsidRPr="002F1B51">
              <w:t xml:space="preserve">school-based </w:t>
            </w:r>
            <w:r w:rsidR="00AC7DA1">
              <w:t>sex</w:t>
            </w:r>
            <w:r w:rsidR="007C0738" w:rsidRPr="002F1B51">
              <w:t xml:space="preserve"> education programs, promoting youth-friendly health services, and </w:t>
            </w:r>
            <w:r w:rsidR="007C0738">
              <w:t>promoting</w:t>
            </w:r>
            <w:r w:rsidR="007C0738" w:rsidRPr="002F1B51">
              <w:t xml:space="preserve"> safe environments in schools for all youth </w:t>
            </w:r>
            <w:r w:rsidR="007C0738">
              <w:t>improves</w:t>
            </w:r>
            <w:r w:rsidR="007C0738" w:rsidRPr="002F1B51">
              <w:t xml:space="preserve"> student health and academic performance.</w:t>
            </w:r>
          </w:p>
          <w:p w14:paraId="113F9670" w14:textId="77777777" w:rsidR="007C0738" w:rsidRDefault="007C0738" w:rsidP="00E97D24"/>
          <w:p w14:paraId="2C3A0ED4" w14:textId="77777777" w:rsidR="007C0738" w:rsidRDefault="007C0738" w:rsidP="00E97D24"/>
          <w:p w14:paraId="4F7AFD03" w14:textId="3B9B7E40" w:rsidR="007C0738" w:rsidRPr="00BA44CB" w:rsidRDefault="007C0738" w:rsidP="00E471D8">
            <w:pPr>
              <w:rPr>
                <w:i/>
              </w:rPr>
            </w:pPr>
            <w:r w:rsidRPr="00BA44CB">
              <w:rPr>
                <w:i/>
              </w:rPr>
              <w:t xml:space="preserve">To improve student health and academic performance, policymakers </w:t>
            </w:r>
            <w:r w:rsidR="00E15B60" w:rsidRPr="00BA44CB">
              <w:rPr>
                <w:i/>
              </w:rPr>
              <w:t>can</w:t>
            </w:r>
            <w:r w:rsidRPr="00BA44CB">
              <w:rPr>
                <w:i/>
              </w:rPr>
              <w:t xml:space="preserve"> support:</w:t>
            </w:r>
          </w:p>
          <w:p w14:paraId="3C492A04" w14:textId="77C82A7A" w:rsidR="007C0738" w:rsidRPr="00BA44CB" w:rsidRDefault="00B057C4" w:rsidP="00E471D8">
            <w:pPr>
              <w:pStyle w:val="ListParagraph"/>
              <w:numPr>
                <w:ilvl w:val="0"/>
                <w:numId w:val="3"/>
              </w:numPr>
              <w:rPr>
                <w:i/>
              </w:rPr>
            </w:pPr>
            <w:r>
              <w:rPr>
                <w:i/>
              </w:rPr>
              <w:t>Supporting</w:t>
            </w:r>
            <w:r w:rsidR="00BF511F" w:rsidRPr="00BA44CB">
              <w:rPr>
                <w:i/>
              </w:rPr>
              <w:t xml:space="preserve"> high-quality</w:t>
            </w:r>
            <w:r w:rsidR="007C0738" w:rsidRPr="00BA44CB">
              <w:rPr>
                <w:i/>
              </w:rPr>
              <w:t xml:space="preserve"> school-based </w:t>
            </w:r>
            <w:r w:rsidR="00AC7DA1">
              <w:rPr>
                <w:i/>
              </w:rPr>
              <w:t>sex</w:t>
            </w:r>
            <w:r w:rsidR="007C0738" w:rsidRPr="00BA44CB">
              <w:rPr>
                <w:i/>
              </w:rPr>
              <w:t xml:space="preserve"> education programs</w:t>
            </w:r>
          </w:p>
          <w:p w14:paraId="5DDDB1B2" w14:textId="574723C2" w:rsidR="007C0738" w:rsidRPr="00BA44CB" w:rsidRDefault="007C0738" w:rsidP="00E471D8">
            <w:pPr>
              <w:pStyle w:val="ListParagraph"/>
              <w:numPr>
                <w:ilvl w:val="0"/>
                <w:numId w:val="3"/>
              </w:numPr>
              <w:rPr>
                <w:i/>
              </w:rPr>
            </w:pPr>
            <w:r w:rsidRPr="00BA44CB">
              <w:rPr>
                <w:i/>
              </w:rPr>
              <w:t xml:space="preserve">Promoting youth-friendly health services, </w:t>
            </w:r>
          </w:p>
          <w:p w14:paraId="1CF6D621" w14:textId="13779ED3" w:rsidR="007C0738" w:rsidRPr="00BA44CB" w:rsidRDefault="007C0738" w:rsidP="00E471D8">
            <w:pPr>
              <w:pStyle w:val="ListParagraph"/>
              <w:numPr>
                <w:ilvl w:val="0"/>
                <w:numId w:val="3"/>
              </w:numPr>
              <w:rPr>
                <w:i/>
              </w:rPr>
            </w:pPr>
            <w:r w:rsidRPr="00BA44CB">
              <w:rPr>
                <w:i/>
              </w:rPr>
              <w:t>Promoting a safe and supportive school environment.</w:t>
            </w:r>
          </w:p>
          <w:p w14:paraId="4CD5B372" w14:textId="260B0EB2" w:rsidR="007C0738" w:rsidRDefault="007C0738" w:rsidP="00E97D24"/>
        </w:tc>
        <w:tc>
          <w:tcPr>
            <w:tcW w:w="3055" w:type="dxa"/>
          </w:tcPr>
          <w:p w14:paraId="04055229" w14:textId="79DDE959" w:rsidR="007C0738" w:rsidRDefault="007C0738" w:rsidP="00E97D24">
            <w:r w:rsidRPr="002F1B51">
              <w:t>CDC invests</w:t>
            </w:r>
            <w:r>
              <w:t xml:space="preserve"> in</w:t>
            </w:r>
            <w:r w:rsidRPr="002F1B51">
              <w:t xml:space="preserve"> </w:t>
            </w:r>
            <w:r w:rsidR="005E343C">
              <w:t xml:space="preserve">effective </w:t>
            </w:r>
            <w:r w:rsidRPr="002F1B51">
              <w:t xml:space="preserve">school-based </w:t>
            </w:r>
            <w:r w:rsidR="00C03C1E">
              <w:t>strategies</w:t>
            </w:r>
            <w:r w:rsidRPr="002F1B51">
              <w:t xml:space="preserve"> that protect students from </w:t>
            </w:r>
            <w:r w:rsidR="00EB1792">
              <w:t xml:space="preserve">overlapping </w:t>
            </w:r>
            <w:r w:rsidR="00952A4E">
              <w:t xml:space="preserve">public health </w:t>
            </w:r>
            <w:r w:rsidR="00BB2D2C">
              <w:t xml:space="preserve">risks </w:t>
            </w:r>
            <w:r w:rsidR="00952A4E">
              <w:t xml:space="preserve">such as </w:t>
            </w:r>
            <w:r w:rsidRPr="002F1B51">
              <w:t>sexual</w:t>
            </w:r>
            <w:r w:rsidR="008F02A3">
              <w:t xml:space="preserve"> </w:t>
            </w:r>
            <w:r w:rsidR="00633196">
              <w:t xml:space="preserve">risk </w:t>
            </w:r>
            <w:r w:rsidR="00BB2D2C">
              <w:t>behaviors</w:t>
            </w:r>
            <w:r w:rsidRPr="002F1B51">
              <w:t>,</w:t>
            </w:r>
            <w:r w:rsidR="005E343C">
              <w:t xml:space="preserve"> high-risk</w:t>
            </w:r>
            <w:r w:rsidRPr="002F1B51">
              <w:t xml:space="preserve"> substance use, violence</w:t>
            </w:r>
            <w:r w:rsidR="00E15B60">
              <w:t xml:space="preserve"> victimization</w:t>
            </w:r>
            <w:r w:rsidRPr="002F1B51">
              <w:t xml:space="preserve"> and mental health</w:t>
            </w:r>
            <w:r>
              <w:t xml:space="preserve"> </w:t>
            </w:r>
            <w:r w:rsidR="00E15B60">
              <w:t>issues including suicide</w:t>
            </w:r>
            <w:r w:rsidRPr="002F1B51">
              <w:t>.</w:t>
            </w:r>
          </w:p>
          <w:p w14:paraId="3D520B62" w14:textId="2B95E797" w:rsidR="007C0738" w:rsidRDefault="007C0738" w:rsidP="00E97D24"/>
        </w:tc>
      </w:tr>
      <w:tr w:rsidR="007C0738" w14:paraId="74EE1E89" w14:textId="77777777" w:rsidTr="00343DBB">
        <w:tc>
          <w:tcPr>
            <w:tcW w:w="445" w:type="dxa"/>
          </w:tcPr>
          <w:p w14:paraId="462F586A" w14:textId="18BEB445" w:rsidR="007C0738" w:rsidRDefault="007C0738" w:rsidP="007C0738">
            <w:r>
              <w:t xml:space="preserve">3. </w:t>
            </w:r>
          </w:p>
        </w:tc>
        <w:tc>
          <w:tcPr>
            <w:tcW w:w="2880" w:type="dxa"/>
          </w:tcPr>
          <w:p w14:paraId="770C8813" w14:textId="3565AA35" w:rsidR="007C0738" w:rsidRPr="006B2A5C" w:rsidRDefault="009950AE" w:rsidP="00E15B60">
            <w:pPr>
              <w:rPr>
                <w:i/>
              </w:rPr>
            </w:pPr>
            <w:r w:rsidRPr="006B2A5C">
              <w:rPr>
                <w:i/>
              </w:rPr>
              <w:t xml:space="preserve">To support </w:t>
            </w:r>
            <w:r w:rsidR="00E15B60">
              <w:rPr>
                <w:i/>
              </w:rPr>
              <w:t>high</w:t>
            </w:r>
            <w:r w:rsidR="00D75A4D">
              <w:rPr>
                <w:i/>
              </w:rPr>
              <w:t>-</w:t>
            </w:r>
            <w:r w:rsidR="00E15B60">
              <w:rPr>
                <w:i/>
              </w:rPr>
              <w:t xml:space="preserve">risk </w:t>
            </w:r>
            <w:r w:rsidRPr="006B2A5C">
              <w:rPr>
                <w:i/>
              </w:rPr>
              <w:t xml:space="preserve">students, we must look beyond a single focus on sexual activity to understand the prevention needs of specific adolescent populations. </w:t>
            </w:r>
          </w:p>
        </w:tc>
        <w:tc>
          <w:tcPr>
            <w:tcW w:w="2970" w:type="dxa"/>
          </w:tcPr>
          <w:p w14:paraId="36CD2C0D" w14:textId="77777777" w:rsidR="007C0738" w:rsidRDefault="007C0738" w:rsidP="00E97D24"/>
        </w:tc>
        <w:tc>
          <w:tcPr>
            <w:tcW w:w="3055" w:type="dxa"/>
          </w:tcPr>
          <w:p w14:paraId="781FBEF8" w14:textId="12EC89E0" w:rsidR="007C0738" w:rsidRDefault="007C0738" w:rsidP="00E97D24">
            <w:r w:rsidRPr="002F1B51">
              <w:t>Implement</w:t>
            </w:r>
            <w:r>
              <w:t xml:space="preserve">ing </w:t>
            </w:r>
            <w:r w:rsidRPr="002F1B51">
              <w:t xml:space="preserve">CDC-recommended school-based strategies leads to </w:t>
            </w:r>
            <w:r>
              <w:t>a reduction in behaviors</w:t>
            </w:r>
            <w:r w:rsidR="005C570C">
              <w:t xml:space="preserve"> and experiences</w:t>
            </w:r>
            <w:r>
              <w:t xml:space="preserve"> </w:t>
            </w:r>
            <w:r w:rsidRPr="002F1B51">
              <w:t>that put youth at risk for HIV and STDs.</w:t>
            </w:r>
          </w:p>
        </w:tc>
      </w:tr>
    </w:tbl>
    <w:p w14:paraId="6E166414" w14:textId="77777777" w:rsidR="00397CFC" w:rsidRDefault="00397CFC"/>
    <w:tbl>
      <w:tblPr>
        <w:tblStyle w:val="TableGrid"/>
        <w:tblW w:w="0" w:type="auto"/>
        <w:tblLook w:val="04A0" w:firstRow="1" w:lastRow="0" w:firstColumn="1" w:lastColumn="0" w:noHBand="0" w:noVBand="1"/>
      </w:tblPr>
      <w:tblGrid>
        <w:gridCol w:w="445"/>
        <w:gridCol w:w="2880"/>
        <w:gridCol w:w="2970"/>
        <w:gridCol w:w="3055"/>
      </w:tblGrid>
      <w:tr w:rsidR="007C0738" w14:paraId="621D00C1" w14:textId="77777777" w:rsidTr="00E97D24">
        <w:trPr>
          <w:tblHeader/>
        </w:trPr>
        <w:tc>
          <w:tcPr>
            <w:tcW w:w="9350" w:type="dxa"/>
            <w:gridSpan w:val="4"/>
            <w:shd w:val="clear" w:color="auto" w:fill="8EAADB" w:themeFill="accent1" w:themeFillTint="99"/>
          </w:tcPr>
          <w:p w14:paraId="6C0A4C46" w14:textId="52DAF6B1" w:rsidR="007C0738" w:rsidRPr="00602AE1" w:rsidRDefault="007C0738" w:rsidP="00E97D24">
            <w:pPr>
              <w:rPr>
                <w:b/>
              </w:rPr>
            </w:pPr>
            <w:r w:rsidRPr="00602AE1">
              <w:rPr>
                <w:b/>
              </w:rPr>
              <w:t xml:space="preserve">Audience: </w:t>
            </w:r>
            <w:r w:rsidRPr="00397CFC">
              <w:rPr>
                <w:b/>
              </w:rPr>
              <w:t>Parents or Caregivers of Teens</w:t>
            </w:r>
          </w:p>
        </w:tc>
      </w:tr>
      <w:tr w:rsidR="007C0738" w14:paraId="4D8E956B" w14:textId="77777777" w:rsidTr="00E97D24">
        <w:trPr>
          <w:tblHeader/>
        </w:trPr>
        <w:tc>
          <w:tcPr>
            <w:tcW w:w="9350" w:type="dxa"/>
            <w:gridSpan w:val="4"/>
            <w:shd w:val="clear" w:color="auto" w:fill="DFE7F5"/>
          </w:tcPr>
          <w:p w14:paraId="53F3DDBE" w14:textId="652318E8" w:rsidR="007C0738" w:rsidRPr="006D0A46" w:rsidRDefault="009F79C4" w:rsidP="006D0A46">
            <w:r>
              <w:t>Parents and caregivers include mothers and fathers, stepparents, other family caregivers, and legal guardians (such as foster parents). For this project, parents and caregivers will be defined as legal guardians living at least half-time with at least one adolescent enrolled in grades six through 12.</w:t>
            </w:r>
          </w:p>
        </w:tc>
      </w:tr>
      <w:tr w:rsidR="007C0738" w14:paraId="0F5B6BA8" w14:textId="77777777" w:rsidTr="006A541E">
        <w:tc>
          <w:tcPr>
            <w:tcW w:w="445" w:type="dxa"/>
            <w:shd w:val="clear" w:color="auto" w:fill="F2F2F2" w:themeFill="background1" w:themeFillShade="F2"/>
          </w:tcPr>
          <w:p w14:paraId="3DA5A9DC" w14:textId="77777777" w:rsidR="007C0738" w:rsidRPr="00602AE1" w:rsidRDefault="007C0738" w:rsidP="00E97D24">
            <w:pPr>
              <w:rPr>
                <w:b/>
              </w:rPr>
            </w:pPr>
          </w:p>
        </w:tc>
        <w:tc>
          <w:tcPr>
            <w:tcW w:w="2880" w:type="dxa"/>
            <w:shd w:val="clear" w:color="auto" w:fill="F2F2F2" w:themeFill="background1" w:themeFillShade="F2"/>
          </w:tcPr>
          <w:p w14:paraId="0DB2D88A" w14:textId="6D35A271" w:rsidR="007C0738" w:rsidRDefault="007C0738" w:rsidP="00E97D24">
            <w:r w:rsidRPr="00602AE1">
              <w:rPr>
                <w:b/>
              </w:rPr>
              <w:t>Theme:</w:t>
            </w:r>
            <w:r>
              <w:t xml:space="preserve"> </w:t>
            </w:r>
            <w:r w:rsidRPr="00602AE1">
              <w:t xml:space="preserve">Co-occurrence of Risk/4 Focus Areas  </w:t>
            </w:r>
          </w:p>
        </w:tc>
        <w:tc>
          <w:tcPr>
            <w:tcW w:w="2970" w:type="dxa"/>
            <w:shd w:val="clear" w:color="auto" w:fill="F2F2F2" w:themeFill="background1" w:themeFillShade="F2"/>
          </w:tcPr>
          <w:p w14:paraId="2129D33E" w14:textId="293E6ECC" w:rsidR="007C0738" w:rsidRDefault="007C0738" w:rsidP="00E97D24">
            <w:r>
              <w:rPr>
                <w:b/>
              </w:rPr>
              <w:t>Theme:</w:t>
            </w:r>
            <w:r>
              <w:t xml:space="preserve"> </w:t>
            </w:r>
            <w:r w:rsidR="004B56C1" w:rsidRPr="004B56C1">
              <w:t xml:space="preserve">Call to Action: </w:t>
            </w:r>
            <w:r w:rsidR="00EA7DCA">
              <w:t>How You Can Help</w:t>
            </w:r>
          </w:p>
        </w:tc>
        <w:tc>
          <w:tcPr>
            <w:tcW w:w="3055" w:type="dxa"/>
            <w:shd w:val="clear" w:color="auto" w:fill="F2F2F2" w:themeFill="background1" w:themeFillShade="F2"/>
          </w:tcPr>
          <w:p w14:paraId="5C99B256" w14:textId="77777777" w:rsidR="007C0738" w:rsidRDefault="007C0738" w:rsidP="00E97D24">
            <w:r w:rsidRPr="00602AE1">
              <w:rPr>
                <w:b/>
              </w:rPr>
              <w:t>Theme:</w:t>
            </w:r>
            <w:r>
              <w:t xml:space="preserve"> CDC: </w:t>
            </w:r>
            <w:r w:rsidRPr="00602AE1">
              <w:t>We Know What Works</w:t>
            </w:r>
          </w:p>
        </w:tc>
      </w:tr>
      <w:tr w:rsidR="007C0738" w14:paraId="69E03B6C" w14:textId="77777777" w:rsidTr="00343DBB">
        <w:tc>
          <w:tcPr>
            <w:tcW w:w="445" w:type="dxa"/>
          </w:tcPr>
          <w:p w14:paraId="30064428" w14:textId="5E877D90" w:rsidR="007C0738" w:rsidRPr="002F1B51" w:rsidRDefault="007C0738" w:rsidP="007C0738">
            <w:r>
              <w:t xml:space="preserve">1. </w:t>
            </w:r>
          </w:p>
        </w:tc>
        <w:tc>
          <w:tcPr>
            <w:tcW w:w="2880" w:type="dxa"/>
          </w:tcPr>
          <w:p w14:paraId="413DBA6A" w14:textId="29405439" w:rsidR="007C0738" w:rsidRDefault="007C0738" w:rsidP="0014334E">
            <w:r w:rsidRPr="002F1B51">
              <w:t xml:space="preserve">Sexual </w:t>
            </w:r>
            <w:r w:rsidR="00633196">
              <w:t xml:space="preserve">risk </w:t>
            </w:r>
            <w:r w:rsidRPr="002F1B51">
              <w:t xml:space="preserve">behavior, </w:t>
            </w:r>
            <w:r w:rsidR="0014334E">
              <w:t xml:space="preserve">high-risk </w:t>
            </w:r>
            <w:r w:rsidRPr="002F1B51">
              <w:t>substance use, violence</w:t>
            </w:r>
            <w:r w:rsidR="0014334E">
              <w:t xml:space="preserve"> victimization</w:t>
            </w:r>
            <w:r>
              <w:t>,</w:t>
            </w:r>
            <w:r w:rsidRPr="002F1B51">
              <w:t xml:space="preserve"> and mental health</w:t>
            </w:r>
            <w:r w:rsidR="0014334E">
              <w:t xml:space="preserve"> issues </w:t>
            </w:r>
            <w:r>
              <w:t xml:space="preserve">can </w:t>
            </w:r>
            <w:r w:rsidRPr="002F1B51">
              <w:t>all contribute to risks for HIV, STDs and pregnancy.</w:t>
            </w:r>
          </w:p>
        </w:tc>
        <w:tc>
          <w:tcPr>
            <w:tcW w:w="2970" w:type="dxa"/>
          </w:tcPr>
          <w:p w14:paraId="782538B1" w14:textId="2672A681" w:rsidR="007C0738" w:rsidRDefault="007C0738" w:rsidP="0014334E">
            <w:r w:rsidRPr="002F1B51">
              <w:t xml:space="preserve">Parents and families </w:t>
            </w:r>
            <w:r w:rsidR="0014334E">
              <w:t>can</w:t>
            </w:r>
            <w:r w:rsidRPr="002F1B51">
              <w:t xml:space="preserve"> connect and communicate with teens to help them make healthy decisions and avoid risk</w:t>
            </w:r>
            <w:r>
              <w:t>y</w:t>
            </w:r>
            <w:r w:rsidRPr="002F1B51">
              <w:t xml:space="preserve"> behaviors.</w:t>
            </w:r>
          </w:p>
        </w:tc>
        <w:tc>
          <w:tcPr>
            <w:tcW w:w="3055" w:type="dxa"/>
          </w:tcPr>
          <w:p w14:paraId="46FCC361" w14:textId="33949706" w:rsidR="007C0738" w:rsidRPr="002F1B51" w:rsidRDefault="007C0738" w:rsidP="001D7216">
            <w:r w:rsidRPr="002F1B51">
              <w:t xml:space="preserve">Young people who feel connected to their school are less likely to engage in </w:t>
            </w:r>
            <w:r w:rsidR="00233867">
              <w:t>risky sexual behaviors</w:t>
            </w:r>
            <w:r w:rsidRPr="002F1B51">
              <w:t>, substance use, and violence</w:t>
            </w:r>
            <w:r w:rsidR="00337E23">
              <w:t xml:space="preserve"> </w:t>
            </w:r>
            <w:r w:rsidR="00337E23" w:rsidRPr="004B2A58">
              <w:t xml:space="preserve">and </w:t>
            </w:r>
            <w:r w:rsidR="00337E23">
              <w:t>experience mental health issues</w:t>
            </w:r>
            <w:r w:rsidR="00337E23" w:rsidRPr="002F1B51">
              <w:t>.</w:t>
            </w:r>
            <w:r w:rsidRPr="002F1B51">
              <w:tab/>
            </w:r>
          </w:p>
        </w:tc>
      </w:tr>
      <w:tr w:rsidR="007C0738" w14:paraId="6B90E9D1" w14:textId="77777777" w:rsidTr="00343DBB">
        <w:tc>
          <w:tcPr>
            <w:tcW w:w="445" w:type="dxa"/>
          </w:tcPr>
          <w:p w14:paraId="0BAFD0C2" w14:textId="79CC4228" w:rsidR="007C0738" w:rsidRPr="002F1B51" w:rsidRDefault="007C0738" w:rsidP="007C0738">
            <w:r>
              <w:t xml:space="preserve">2. </w:t>
            </w:r>
          </w:p>
        </w:tc>
        <w:tc>
          <w:tcPr>
            <w:tcW w:w="2880" w:type="dxa"/>
          </w:tcPr>
          <w:p w14:paraId="5A54A09C" w14:textId="0E3046C9" w:rsidR="007C0738" w:rsidRPr="002F1B51" w:rsidRDefault="007C0738" w:rsidP="001D7216">
            <w:r w:rsidRPr="002F1B51">
              <w:t xml:space="preserve">Sexual </w:t>
            </w:r>
            <w:r w:rsidR="005662B5">
              <w:t xml:space="preserve">risk </w:t>
            </w:r>
            <w:r w:rsidRPr="002F1B51">
              <w:t xml:space="preserve">behavior, </w:t>
            </w:r>
            <w:r w:rsidR="00492919">
              <w:t xml:space="preserve">high-risk </w:t>
            </w:r>
            <w:r w:rsidRPr="002F1B51">
              <w:t xml:space="preserve">substance use, violence </w:t>
            </w:r>
            <w:r w:rsidR="00492919">
              <w:t xml:space="preserve">victimization </w:t>
            </w:r>
            <w:r w:rsidRPr="002F1B51">
              <w:t>and mental health</w:t>
            </w:r>
            <w:r>
              <w:t xml:space="preserve"> issues</w:t>
            </w:r>
            <w:r w:rsidR="00492919">
              <w:t>,</w:t>
            </w:r>
            <w:r w:rsidR="00BF511F">
              <w:t xml:space="preserve"> including suicide</w:t>
            </w:r>
            <w:r w:rsidR="00492919">
              <w:t>,</w:t>
            </w:r>
            <w:r w:rsidRPr="002F1B51">
              <w:t xml:space="preserve"> can be addressed by school-based protective factors, </w:t>
            </w:r>
            <w:r w:rsidR="005E2CBE" w:rsidRPr="00912967">
              <w:t>such as positive school and peer connections and parent involvement.</w:t>
            </w:r>
            <w:r w:rsidR="005E2CBE" w:rsidRPr="007D066C">
              <w:rPr>
                <w:rFonts w:ascii="Times New Roman" w:hAnsi="Times New Roman" w:cs="Times New Roman"/>
                <w:b/>
                <w:highlight w:val="yellow"/>
              </w:rPr>
              <w:t xml:space="preserve"> </w:t>
            </w:r>
          </w:p>
        </w:tc>
        <w:tc>
          <w:tcPr>
            <w:tcW w:w="2970" w:type="dxa"/>
          </w:tcPr>
          <w:p w14:paraId="7BA25C9B" w14:textId="176A628E" w:rsidR="007C0738" w:rsidRDefault="007C0738" w:rsidP="001D7216">
            <w:r w:rsidRPr="002F1B51">
              <w:t xml:space="preserve">Parents and school staff </w:t>
            </w:r>
            <w:r w:rsidR="00621A53">
              <w:t>can</w:t>
            </w:r>
            <w:r w:rsidR="00621A53" w:rsidRPr="002F1B51">
              <w:t xml:space="preserve"> </w:t>
            </w:r>
            <w:r w:rsidRPr="002F1B51">
              <w:t>work together to help support and improve the learning, development, and health of adolescents.</w:t>
            </w:r>
          </w:p>
        </w:tc>
        <w:tc>
          <w:tcPr>
            <w:tcW w:w="3055" w:type="dxa"/>
          </w:tcPr>
          <w:p w14:paraId="1EC7A1A5" w14:textId="6753A432" w:rsidR="007C0738" w:rsidRDefault="007C0738">
            <w:r w:rsidRPr="002F1B51">
              <w:t>Schools that adopt and implement a</w:t>
            </w:r>
            <w:r w:rsidR="00BF511F">
              <w:t>n</w:t>
            </w:r>
            <w:r w:rsidRPr="002F1B51">
              <w:t xml:space="preserve"> </w:t>
            </w:r>
            <w:r w:rsidR="00BF511F">
              <w:t>evidence-based</w:t>
            </w:r>
            <w:r w:rsidRPr="00207F6B">
              <w:t xml:space="preserve"> </w:t>
            </w:r>
            <w:r w:rsidRPr="002F1B51">
              <w:t>sexual health education curriculum help students make healthy decisions and avoid risk behaviors.</w:t>
            </w:r>
          </w:p>
        </w:tc>
      </w:tr>
      <w:tr w:rsidR="007C0738" w14:paraId="725AD5E1" w14:textId="77777777" w:rsidTr="00343DBB">
        <w:tc>
          <w:tcPr>
            <w:tcW w:w="445" w:type="dxa"/>
          </w:tcPr>
          <w:p w14:paraId="12127451" w14:textId="6837CD9E" w:rsidR="007C0738" w:rsidRDefault="007C0738" w:rsidP="007C0738">
            <w:r>
              <w:t xml:space="preserve">3. </w:t>
            </w:r>
          </w:p>
        </w:tc>
        <w:tc>
          <w:tcPr>
            <w:tcW w:w="2880" w:type="dxa"/>
          </w:tcPr>
          <w:p w14:paraId="3166DD94" w14:textId="3D9B838C" w:rsidR="007C0738" w:rsidRDefault="007C0738" w:rsidP="001D7216"/>
        </w:tc>
        <w:tc>
          <w:tcPr>
            <w:tcW w:w="2970" w:type="dxa"/>
          </w:tcPr>
          <w:p w14:paraId="7DD22872" w14:textId="0C66DA14" w:rsidR="007C0738" w:rsidRDefault="007C0738" w:rsidP="0014334E">
            <w:r w:rsidRPr="002F1B51">
              <w:t>Supporting school-based health education</w:t>
            </w:r>
            <w:r w:rsidR="000D016C">
              <w:t xml:space="preserve">, </w:t>
            </w:r>
            <w:r w:rsidR="000D016C" w:rsidRPr="00852172">
              <w:t>connecting to health services and creating safe and supportive school environments</w:t>
            </w:r>
            <w:r w:rsidRPr="002F1B51">
              <w:t xml:space="preserve"> to prevent HIV and STDs among youth</w:t>
            </w:r>
            <w:r w:rsidR="003A6BCB">
              <w:t xml:space="preserve"> can</w:t>
            </w:r>
            <w:r w:rsidR="00321227">
              <w:t xml:space="preserve"> </w:t>
            </w:r>
            <w:r w:rsidRPr="002F1B51">
              <w:t>save lives.</w:t>
            </w:r>
          </w:p>
          <w:p w14:paraId="32961C41" w14:textId="77777777" w:rsidR="00321227" w:rsidRDefault="00321227" w:rsidP="0014334E"/>
          <w:p w14:paraId="524F4AE9" w14:textId="43C6C76D" w:rsidR="00321227" w:rsidRPr="00321227" w:rsidRDefault="00321227" w:rsidP="0014334E">
            <w:pPr>
              <w:rPr>
                <w:i/>
              </w:rPr>
            </w:pPr>
            <w:r w:rsidRPr="00321227">
              <w:rPr>
                <w:i/>
              </w:rPr>
              <w:t>Supporting school-based programs to prevent HIV and STDs among youth can save lives.</w:t>
            </w:r>
          </w:p>
        </w:tc>
        <w:tc>
          <w:tcPr>
            <w:tcW w:w="3055" w:type="dxa"/>
          </w:tcPr>
          <w:p w14:paraId="565E1FF5" w14:textId="77777777" w:rsidR="005032D8" w:rsidRDefault="00852172" w:rsidP="004B56C1">
            <w:r w:rsidRPr="00852172">
              <w:t>Connecting students to youth-friendly health services can help prevent HIV, STDs, and pregnancy.</w:t>
            </w:r>
          </w:p>
          <w:p w14:paraId="46F9A5CF" w14:textId="63C61CC5" w:rsidR="007C0738" w:rsidRDefault="007C0738" w:rsidP="004B56C1"/>
        </w:tc>
      </w:tr>
    </w:tbl>
    <w:p w14:paraId="39E59AC1" w14:textId="4B32CC95" w:rsidR="00B1010A" w:rsidRDefault="00B1010A" w:rsidP="003E16C5"/>
    <w:sectPr w:rsidR="00B1010A" w:rsidSect="00374FA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74364" w14:textId="77777777" w:rsidR="00957AFB" w:rsidRDefault="00957AFB" w:rsidP="00602AE1">
      <w:pPr>
        <w:spacing w:after="0" w:line="240" w:lineRule="auto"/>
      </w:pPr>
      <w:r>
        <w:separator/>
      </w:r>
    </w:p>
  </w:endnote>
  <w:endnote w:type="continuationSeparator" w:id="0">
    <w:p w14:paraId="7A176BAA" w14:textId="77777777" w:rsidR="00957AFB" w:rsidRDefault="00957AFB" w:rsidP="00602AE1">
      <w:pPr>
        <w:spacing w:after="0" w:line="240" w:lineRule="auto"/>
      </w:pPr>
      <w:r>
        <w:continuationSeparator/>
      </w:r>
    </w:p>
  </w:endnote>
  <w:endnote w:type="continuationNotice" w:id="1">
    <w:p w14:paraId="273381C2" w14:textId="77777777" w:rsidR="00957AFB" w:rsidRDefault="00957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FD4B" w14:textId="77777777" w:rsidR="00957AFB" w:rsidRDefault="00957AFB" w:rsidP="00602AE1">
      <w:pPr>
        <w:spacing w:after="0" w:line="240" w:lineRule="auto"/>
      </w:pPr>
      <w:r>
        <w:separator/>
      </w:r>
    </w:p>
  </w:footnote>
  <w:footnote w:type="continuationSeparator" w:id="0">
    <w:p w14:paraId="641BF956" w14:textId="77777777" w:rsidR="00957AFB" w:rsidRDefault="00957AFB" w:rsidP="00602AE1">
      <w:pPr>
        <w:spacing w:after="0" w:line="240" w:lineRule="auto"/>
      </w:pPr>
      <w:r>
        <w:continuationSeparator/>
      </w:r>
    </w:p>
  </w:footnote>
  <w:footnote w:type="continuationNotice" w:id="1">
    <w:p w14:paraId="52E060A3" w14:textId="77777777" w:rsidR="00957AFB" w:rsidRDefault="00957A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3AB6" w14:textId="63BB77A0" w:rsidR="00CF2E08" w:rsidRPr="002A6873" w:rsidRDefault="00CF2E08" w:rsidP="007E67D2">
    <w:pPr>
      <w:pStyle w:val="Header"/>
      <w:jc w:val="right"/>
      <w:rPr>
        <w:i/>
        <w:sz w:val="21"/>
        <w:szCs w:val="21"/>
      </w:rPr>
    </w:pPr>
    <w:r>
      <w:rPr>
        <w:sz w:val="21"/>
        <w:szCs w:val="21"/>
      </w:rPr>
      <w:tab/>
    </w:r>
  </w:p>
  <w:p w14:paraId="797B0D39" w14:textId="77999714" w:rsidR="00CF2E08" w:rsidRPr="00CD174D" w:rsidRDefault="00CF2E08" w:rsidP="00CD174D">
    <w:pPr>
      <w:pStyle w:val="Header"/>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E06"/>
    <w:multiLevelType w:val="hybridMultilevel"/>
    <w:tmpl w:val="8C087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45B52"/>
    <w:multiLevelType w:val="hybridMultilevel"/>
    <w:tmpl w:val="A3407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2D2530"/>
    <w:multiLevelType w:val="hybridMultilevel"/>
    <w:tmpl w:val="7F8C895E"/>
    <w:lvl w:ilvl="0" w:tplc="ABA44354">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EC51AE"/>
    <w:multiLevelType w:val="hybridMultilevel"/>
    <w:tmpl w:val="813E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753CB"/>
    <w:multiLevelType w:val="hybridMultilevel"/>
    <w:tmpl w:val="BC6E3F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31723D"/>
    <w:multiLevelType w:val="hybridMultilevel"/>
    <w:tmpl w:val="B6C6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50EFD"/>
    <w:multiLevelType w:val="hybridMultilevel"/>
    <w:tmpl w:val="B6C6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E244F8"/>
    <w:multiLevelType w:val="hybridMultilevel"/>
    <w:tmpl w:val="66CC031E"/>
    <w:lvl w:ilvl="0" w:tplc="0B6A2448">
      <w:start w:val="1"/>
      <w:numFmt w:val="decimal"/>
      <w:lvlText w:val="%1."/>
      <w:lvlJc w:val="left"/>
      <w:pPr>
        <w:ind w:left="72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2217DF"/>
    <w:multiLevelType w:val="hybridMultilevel"/>
    <w:tmpl w:val="34DE7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D5718D"/>
    <w:multiLevelType w:val="hybridMultilevel"/>
    <w:tmpl w:val="470E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3424F"/>
    <w:multiLevelType w:val="hybridMultilevel"/>
    <w:tmpl w:val="5E30F312"/>
    <w:lvl w:ilvl="0" w:tplc="85C0BD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8"/>
  </w:num>
  <w:num w:numId="6">
    <w:abstractNumId w:val="0"/>
  </w:num>
  <w:num w:numId="7">
    <w:abstractNumId w:val="3"/>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n-US" w:vendorID="64" w:dllVersion="6" w:nlCheck="1"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E1"/>
    <w:rsid w:val="00003310"/>
    <w:rsid w:val="00003BC1"/>
    <w:rsid w:val="00004139"/>
    <w:rsid w:val="000045E1"/>
    <w:rsid w:val="00005766"/>
    <w:rsid w:val="0001070C"/>
    <w:rsid w:val="0001328D"/>
    <w:rsid w:val="00015C08"/>
    <w:rsid w:val="00020897"/>
    <w:rsid w:val="0002138E"/>
    <w:rsid w:val="000243D1"/>
    <w:rsid w:val="000329D2"/>
    <w:rsid w:val="000329F6"/>
    <w:rsid w:val="00036913"/>
    <w:rsid w:val="00037243"/>
    <w:rsid w:val="000526E6"/>
    <w:rsid w:val="00054B25"/>
    <w:rsid w:val="00054B5D"/>
    <w:rsid w:val="00055584"/>
    <w:rsid w:val="00055C89"/>
    <w:rsid w:val="00055F06"/>
    <w:rsid w:val="00056774"/>
    <w:rsid w:val="00060AFB"/>
    <w:rsid w:val="000623DF"/>
    <w:rsid w:val="0006546B"/>
    <w:rsid w:val="000707A0"/>
    <w:rsid w:val="000724D4"/>
    <w:rsid w:val="00074004"/>
    <w:rsid w:val="0007462B"/>
    <w:rsid w:val="00081B10"/>
    <w:rsid w:val="00084B15"/>
    <w:rsid w:val="00085F32"/>
    <w:rsid w:val="00086803"/>
    <w:rsid w:val="00093E84"/>
    <w:rsid w:val="00095230"/>
    <w:rsid w:val="000958BD"/>
    <w:rsid w:val="000972B9"/>
    <w:rsid w:val="00097834"/>
    <w:rsid w:val="000B06EB"/>
    <w:rsid w:val="000C0680"/>
    <w:rsid w:val="000C24FB"/>
    <w:rsid w:val="000D016C"/>
    <w:rsid w:val="000D57B3"/>
    <w:rsid w:val="000D6AAB"/>
    <w:rsid w:val="000E5D2C"/>
    <w:rsid w:val="000E6D19"/>
    <w:rsid w:val="000E712F"/>
    <w:rsid w:val="000E789D"/>
    <w:rsid w:val="00101C92"/>
    <w:rsid w:val="00104E50"/>
    <w:rsid w:val="00105E40"/>
    <w:rsid w:val="00113A07"/>
    <w:rsid w:val="001142C5"/>
    <w:rsid w:val="00123947"/>
    <w:rsid w:val="00123ED8"/>
    <w:rsid w:val="00124FDD"/>
    <w:rsid w:val="0012643D"/>
    <w:rsid w:val="00126A28"/>
    <w:rsid w:val="0012757C"/>
    <w:rsid w:val="001277F8"/>
    <w:rsid w:val="00131C5D"/>
    <w:rsid w:val="00132B71"/>
    <w:rsid w:val="0013462E"/>
    <w:rsid w:val="00134EA1"/>
    <w:rsid w:val="001360B8"/>
    <w:rsid w:val="00136D66"/>
    <w:rsid w:val="00137954"/>
    <w:rsid w:val="0014334E"/>
    <w:rsid w:val="00147B67"/>
    <w:rsid w:val="00151961"/>
    <w:rsid w:val="0015208D"/>
    <w:rsid w:val="0015533C"/>
    <w:rsid w:val="0015758B"/>
    <w:rsid w:val="00160FFE"/>
    <w:rsid w:val="001712C4"/>
    <w:rsid w:val="00171FD7"/>
    <w:rsid w:val="00175371"/>
    <w:rsid w:val="00176319"/>
    <w:rsid w:val="00181372"/>
    <w:rsid w:val="00187307"/>
    <w:rsid w:val="00196FF7"/>
    <w:rsid w:val="001975DF"/>
    <w:rsid w:val="001A286C"/>
    <w:rsid w:val="001A6317"/>
    <w:rsid w:val="001A70DB"/>
    <w:rsid w:val="001A77F2"/>
    <w:rsid w:val="001B5A95"/>
    <w:rsid w:val="001C39A8"/>
    <w:rsid w:val="001C7769"/>
    <w:rsid w:val="001D7216"/>
    <w:rsid w:val="001E08D6"/>
    <w:rsid w:val="001E3007"/>
    <w:rsid w:val="001E4A94"/>
    <w:rsid w:val="001E5C8F"/>
    <w:rsid w:val="001E6921"/>
    <w:rsid w:val="001F2476"/>
    <w:rsid w:val="001F3AE0"/>
    <w:rsid w:val="0020114A"/>
    <w:rsid w:val="002035F7"/>
    <w:rsid w:val="0020384A"/>
    <w:rsid w:val="0020406F"/>
    <w:rsid w:val="00205258"/>
    <w:rsid w:val="00206B35"/>
    <w:rsid w:val="00210B70"/>
    <w:rsid w:val="00210F8D"/>
    <w:rsid w:val="00217722"/>
    <w:rsid w:val="002334BF"/>
    <w:rsid w:val="00233867"/>
    <w:rsid w:val="00236AF2"/>
    <w:rsid w:val="00237506"/>
    <w:rsid w:val="00237C15"/>
    <w:rsid w:val="00240681"/>
    <w:rsid w:val="00243658"/>
    <w:rsid w:val="00244910"/>
    <w:rsid w:val="00245D86"/>
    <w:rsid w:val="002462B7"/>
    <w:rsid w:val="00246B0C"/>
    <w:rsid w:val="0026321E"/>
    <w:rsid w:val="00264692"/>
    <w:rsid w:val="0026548A"/>
    <w:rsid w:val="00267492"/>
    <w:rsid w:val="00275151"/>
    <w:rsid w:val="0028286B"/>
    <w:rsid w:val="002900BE"/>
    <w:rsid w:val="002A054E"/>
    <w:rsid w:val="002A32C7"/>
    <w:rsid w:val="002A365C"/>
    <w:rsid w:val="002A6873"/>
    <w:rsid w:val="002B27A8"/>
    <w:rsid w:val="002B4DAF"/>
    <w:rsid w:val="002B70C5"/>
    <w:rsid w:val="002C2878"/>
    <w:rsid w:val="002C325E"/>
    <w:rsid w:val="002C3976"/>
    <w:rsid w:val="002C62DB"/>
    <w:rsid w:val="002C7591"/>
    <w:rsid w:val="002C79DA"/>
    <w:rsid w:val="002D2E36"/>
    <w:rsid w:val="002D4665"/>
    <w:rsid w:val="002E0D30"/>
    <w:rsid w:val="002E1093"/>
    <w:rsid w:val="002E3395"/>
    <w:rsid w:val="002E74B8"/>
    <w:rsid w:val="002F122C"/>
    <w:rsid w:val="002F2756"/>
    <w:rsid w:val="002F4298"/>
    <w:rsid w:val="002F4FAE"/>
    <w:rsid w:val="00300631"/>
    <w:rsid w:val="00301F2A"/>
    <w:rsid w:val="00302903"/>
    <w:rsid w:val="0031609B"/>
    <w:rsid w:val="0032028B"/>
    <w:rsid w:val="00321227"/>
    <w:rsid w:val="00321BE5"/>
    <w:rsid w:val="00321FC6"/>
    <w:rsid w:val="00327E64"/>
    <w:rsid w:val="00330A8A"/>
    <w:rsid w:val="00332557"/>
    <w:rsid w:val="00337E23"/>
    <w:rsid w:val="00343DBB"/>
    <w:rsid w:val="00345591"/>
    <w:rsid w:val="003457DE"/>
    <w:rsid w:val="0034779A"/>
    <w:rsid w:val="00347E72"/>
    <w:rsid w:val="0035427D"/>
    <w:rsid w:val="00356910"/>
    <w:rsid w:val="0036598D"/>
    <w:rsid w:val="00367356"/>
    <w:rsid w:val="0037078D"/>
    <w:rsid w:val="00370AAC"/>
    <w:rsid w:val="0037170E"/>
    <w:rsid w:val="00374FAE"/>
    <w:rsid w:val="003946C2"/>
    <w:rsid w:val="00396855"/>
    <w:rsid w:val="00396969"/>
    <w:rsid w:val="003974E5"/>
    <w:rsid w:val="00397CFC"/>
    <w:rsid w:val="003A0D9E"/>
    <w:rsid w:val="003A31BB"/>
    <w:rsid w:val="003A5ADE"/>
    <w:rsid w:val="003A6BCB"/>
    <w:rsid w:val="003A7B86"/>
    <w:rsid w:val="003B3C1E"/>
    <w:rsid w:val="003D576F"/>
    <w:rsid w:val="003D6987"/>
    <w:rsid w:val="003E0B18"/>
    <w:rsid w:val="003E16C5"/>
    <w:rsid w:val="003E3F9D"/>
    <w:rsid w:val="003E5F6A"/>
    <w:rsid w:val="003E6728"/>
    <w:rsid w:val="003F4ADA"/>
    <w:rsid w:val="003F53AF"/>
    <w:rsid w:val="003F61F5"/>
    <w:rsid w:val="00407037"/>
    <w:rsid w:val="004070EA"/>
    <w:rsid w:val="00412051"/>
    <w:rsid w:val="00412A4B"/>
    <w:rsid w:val="00417E75"/>
    <w:rsid w:val="00422987"/>
    <w:rsid w:val="00432211"/>
    <w:rsid w:val="004364C2"/>
    <w:rsid w:val="004436E3"/>
    <w:rsid w:val="00443A7E"/>
    <w:rsid w:val="00443D6F"/>
    <w:rsid w:val="00444381"/>
    <w:rsid w:val="00444A57"/>
    <w:rsid w:val="00446A4E"/>
    <w:rsid w:val="00447126"/>
    <w:rsid w:val="00460F2F"/>
    <w:rsid w:val="0046106A"/>
    <w:rsid w:val="0046342A"/>
    <w:rsid w:val="00464A84"/>
    <w:rsid w:val="00464C9C"/>
    <w:rsid w:val="00466FA1"/>
    <w:rsid w:val="0047061F"/>
    <w:rsid w:val="0047431A"/>
    <w:rsid w:val="00477E4D"/>
    <w:rsid w:val="0048502B"/>
    <w:rsid w:val="0048524D"/>
    <w:rsid w:val="00492778"/>
    <w:rsid w:val="00492919"/>
    <w:rsid w:val="00494FBB"/>
    <w:rsid w:val="0049671D"/>
    <w:rsid w:val="00496EC0"/>
    <w:rsid w:val="004A357D"/>
    <w:rsid w:val="004B3015"/>
    <w:rsid w:val="004B3D5D"/>
    <w:rsid w:val="004B4F65"/>
    <w:rsid w:val="004B5610"/>
    <w:rsid w:val="004B56C1"/>
    <w:rsid w:val="004C4CDE"/>
    <w:rsid w:val="004C514E"/>
    <w:rsid w:val="004D3429"/>
    <w:rsid w:val="004D6FFF"/>
    <w:rsid w:val="004D7D4F"/>
    <w:rsid w:val="004E1358"/>
    <w:rsid w:val="004E3344"/>
    <w:rsid w:val="004E36D5"/>
    <w:rsid w:val="004F1DE0"/>
    <w:rsid w:val="004F21C9"/>
    <w:rsid w:val="004F5A1B"/>
    <w:rsid w:val="004F7FB7"/>
    <w:rsid w:val="005032D8"/>
    <w:rsid w:val="00506F2D"/>
    <w:rsid w:val="00507E0C"/>
    <w:rsid w:val="0051021C"/>
    <w:rsid w:val="00511034"/>
    <w:rsid w:val="00511574"/>
    <w:rsid w:val="005142CB"/>
    <w:rsid w:val="00514CDC"/>
    <w:rsid w:val="00514CEA"/>
    <w:rsid w:val="005210CD"/>
    <w:rsid w:val="00521399"/>
    <w:rsid w:val="005267C8"/>
    <w:rsid w:val="00531C33"/>
    <w:rsid w:val="00533DA6"/>
    <w:rsid w:val="00545867"/>
    <w:rsid w:val="0054596E"/>
    <w:rsid w:val="00550071"/>
    <w:rsid w:val="00552223"/>
    <w:rsid w:val="0055599C"/>
    <w:rsid w:val="005577E6"/>
    <w:rsid w:val="00557BFB"/>
    <w:rsid w:val="00564378"/>
    <w:rsid w:val="005662B5"/>
    <w:rsid w:val="0056696C"/>
    <w:rsid w:val="005701AE"/>
    <w:rsid w:val="0057677D"/>
    <w:rsid w:val="0058335B"/>
    <w:rsid w:val="00585070"/>
    <w:rsid w:val="00586A98"/>
    <w:rsid w:val="00587CBB"/>
    <w:rsid w:val="0059110B"/>
    <w:rsid w:val="00593C2A"/>
    <w:rsid w:val="005A76AA"/>
    <w:rsid w:val="005B0A0D"/>
    <w:rsid w:val="005C4DE1"/>
    <w:rsid w:val="005C5149"/>
    <w:rsid w:val="005C570C"/>
    <w:rsid w:val="005C74AD"/>
    <w:rsid w:val="005D143B"/>
    <w:rsid w:val="005D39FD"/>
    <w:rsid w:val="005D4368"/>
    <w:rsid w:val="005D4509"/>
    <w:rsid w:val="005D4824"/>
    <w:rsid w:val="005E2CBE"/>
    <w:rsid w:val="005E343C"/>
    <w:rsid w:val="005E4252"/>
    <w:rsid w:val="005E4E30"/>
    <w:rsid w:val="005E7AEA"/>
    <w:rsid w:val="005F1594"/>
    <w:rsid w:val="005F769B"/>
    <w:rsid w:val="006021ED"/>
    <w:rsid w:val="00602AE1"/>
    <w:rsid w:val="00606B93"/>
    <w:rsid w:val="0061275B"/>
    <w:rsid w:val="00613C8D"/>
    <w:rsid w:val="00614F87"/>
    <w:rsid w:val="00620C9C"/>
    <w:rsid w:val="00621A53"/>
    <w:rsid w:val="0062667A"/>
    <w:rsid w:val="00630AF4"/>
    <w:rsid w:val="00632EE9"/>
    <w:rsid w:val="00633196"/>
    <w:rsid w:val="006341AE"/>
    <w:rsid w:val="006345CC"/>
    <w:rsid w:val="00643282"/>
    <w:rsid w:val="00646B95"/>
    <w:rsid w:val="00653CF7"/>
    <w:rsid w:val="00656244"/>
    <w:rsid w:val="00662375"/>
    <w:rsid w:val="00662D95"/>
    <w:rsid w:val="006834CF"/>
    <w:rsid w:val="00691F57"/>
    <w:rsid w:val="006A04D8"/>
    <w:rsid w:val="006A093C"/>
    <w:rsid w:val="006A0B28"/>
    <w:rsid w:val="006A4CE4"/>
    <w:rsid w:val="006A541E"/>
    <w:rsid w:val="006B02DE"/>
    <w:rsid w:val="006B1C04"/>
    <w:rsid w:val="006B2A5C"/>
    <w:rsid w:val="006B5987"/>
    <w:rsid w:val="006B6C6C"/>
    <w:rsid w:val="006C3874"/>
    <w:rsid w:val="006C4B15"/>
    <w:rsid w:val="006D0A46"/>
    <w:rsid w:val="006D2ECC"/>
    <w:rsid w:val="006D3BC4"/>
    <w:rsid w:val="006E0D90"/>
    <w:rsid w:val="006E2480"/>
    <w:rsid w:val="006E474D"/>
    <w:rsid w:val="006E49D4"/>
    <w:rsid w:val="006F799F"/>
    <w:rsid w:val="007007E8"/>
    <w:rsid w:val="00704CD8"/>
    <w:rsid w:val="00721C9A"/>
    <w:rsid w:val="007247C4"/>
    <w:rsid w:val="00727D7F"/>
    <w:rsid w:val="007404BB"/>
    <w:rsid w:val="00740D73"/>
    <w:rsid w:val="00750065"/>
    <w:rsid w:val="00751248"/>
    <w:rsid w:val="00751A81"/>
    <w:rsid w:val="00754AB3"/>
    <w:rsid w:val="00755082"/>
    <w:rsid w:val="007559DC"/>
    <w:rsid w:val="00757D14"/>
    <w:rsid w:val="0076175D"/>
    <w:rsid w:val="00765D1D"/>
    <w:rsid w:val="00767787"/>
    <w:rsid w:val="00767ECD"/>
    <w:rsid w:val="00770981"/>
    <w:rsid w:val="007743DA"/>
    <w:rsid w:val="00775D48"/>
    <w:rsid w:val="007810E1"/>
    <w:rsid w:val="00785102"/>
    <w:rsid w:val="00794EA1"/>
    <w:rsid w:val="00797EAC"/>
    <w:rsid w:val="007A5578"/>
    <w:rsid w:val="007A6BCC"/>
    <w:rsid w:val="007B087A"/>
    <w:rsid w:val="007B5CBB"/>
    <w:rsid w:val="007B5DFF"/>
    <w:rsid w:val="007C0738"/>
    <w:rsid w:val="007C1C9B"/>
    <w:rsid w:val="007C4E95"/>
    <w:rsid w:val="007E34EB"/>
    <w:rsid w:val="007E67D2"/>
    <w:rsid w:val="007E74A7"/>
    <w:rsid w:val="007E7ABB"/>
    <w:rsid w:val="007F0A27"/>
    <w:rsid w:val="007F2851"/>
    <w:rsid w:val="00800031"/>
    <w:rsid w:val="00800BED"/>
    <w:rsid w:val="00801BC5"/>
    <w:rsid w:val="00803CD6"/>
    <w:rsid w:val="0080412A"/>
    <w:rsid w:val="00806742"/>
    <w:rsid w:val="00811387"/>
    <w:rsid w:val="00815AEB"/>
    <w:rsid w:val="00816A8B"/>
    <w:rsid w:val="0082193D"/>
    <w:rsid w:val="00826799"/>
    <w:rsid w:val="00833C30"/>
    <w:rsid w:val="00836680"/>
    <w:rsid w:val="0083669F"/>
    <w:rsid w:val="008424C9"/>
    <w:rsid w:val="00845014"/>
    <w:rsid w:val="00852172"/>
    <w:rsid w:val="00857283"/>
    <w:rsid w:val="008606D8"/>
    <w:rsid w:val="0086096D"/>
    <w:rsid w:val="008640E8"/>
    <w:rsid w:val="00871DF8"/>
    <w:rsid w:val="00872E7D"/>
    <w:rsid w:val="00874637"/>
    <w:rsid w:val="00876260"/>
    <w:rsid w:val="008820CD"/>
    <w:rsid w:val="0088258D"/>
    <w:rsid w:val="008844F8"/>
    <w:rsid w:val="008849D5"/>
    <w:rsid w:val="008877EB"/>
    <w:rsid w:val="00890479"/>
    <w:rsid w:val="00890F29"/>
    <w:rsid w:val="008A18CA"/>
    <w:rsid w:val="008A1F67"/>
    <w:rsid w:val="008A2A98"/>
    <w:rsid w:val="008A5E7F"/>
    <w:rsid w:val="008A756E"/>
    <w:rsid w:val="008A78C1"/>
    <w:rsid w:val="008B05A1"/>
    <w:rsid w:val="008B5D50"/>
    <w:rsid w:val="008B64D3"/>
    <w:rsid w:val="008B6B65"/>
    <w:rsid w:val="008B7A17"/>
    <w:rsid w:val="008B7BB9"/>
    <w:rsid w:val="008B7C4C"/>
    <w:rsid w:val="008C25B5"/>
    <w:rsid w:val="008C26F1"/>
    <w:rsid w:val="008C59ED"/>
    <w:rsid w:val="008D067E"/>
    <w:rsid w:val="008D364E"/>
    <w:rsid w:val="008D4289"/>
    <w:rsid w:val="008D62F1"/>
    <w:rsid w:val="008D7161"/>
    <w:rsid w:val="008E0A98"/>
    <w:rsid w:val="008E40DC"/>
    <w:rsid w:val="008E4B91"/>
    <w:rsid w:val="008E6437"/>
    <w:rsid w:val="008F02A3"/>
    <w:rsid w:val="008F2517"/>
    <w:rsid w:val="008F2CEF"/>
    <w:rsid w:val="008F5F9C"/>
    <w:rsid w:val="008F6AE0"/>
    <w:rsid w:val="008F74E8"/>
    <w:rsid w:val="00910D35"/>
    <w:rsid w:val="009115BF"/>
    <w:rsid w:val="00911B2E"/>
    <w:rsid w:val="00912967"/>
    <w:rsid w:val="00913ADE"/>
    <w:rsid w:val="0092262D"/>
    <w:rsid w:val="0092638D"/>
    <w:rsid w:val="009328D0"/>
    <w:rsid w:val="009375F3"/>
    <w:rsid w:val="00946520"/>
    <w:rsid w:val="00946713"/>
    <w:rsid w:val="009515DD"/>
    <w:rsid w:val="0095162F"/>
    <w:rsid w:val="00952A4E"/>
    <w:rsid w:val="009558FD"/>
    <w:rsid w:val="0095701E"/>
    <w:rsid w:val="00957AFB"/>
    <w:rsid w:val="0096453A"/>
    <w:rsid w:val="0096699F"/>
    <w:rsid w:val="009708B3"/>
    <w:rsid w:val="00970BDA"/>
    <w:rsid w:val="00976F2D"/>
    <w:rsid w:val="00977845"/>
    <w:rsid w:val="00982A1E"/>
    <w:rsid w:val="009858F3"/>
    <w:rsid w:val="009950AE"/>
    <w:rsid w:val="00995A45"/>
    <w:rsid w:val="009A0301"/>
    <w:rsid w:val="009A4CC5"/>
    <w:rsid w:val="009B0749"/>
    <w:rsid w:val="009B4D67"/>
    <w:rsid w:val="009B55EC"/>
    <w:rsid w:val="009B7024"/>
    <w:rsid w:val="009C0781"/>
    <w:rsid w:val="009C2435"/>
    <w:rsid w:val="009C368F"/>
    <w:rsid w:val="009C7055"/>
    <w:rsid w:val="009D056C"/>
    <w:rsid w:val="009D18B0"/>
    <w:rsid w:val="009D1933"/>
    <w:rsid w:val="009D1BDA"/>
    <w:rsid w:val="009D546D"/>
    <w:rsid w:val="009E66F4"/>
    <w:rsid w:val="009F0819"/>
    <w:rsid w:val="009F6F6C"/>
    <w:rsid w:val="009F79C4"/>
    <w:rsid w:val="00A00AFC"/>
    <w:rsid w:val="00A01FDE"/>
    <w:rsid w:val="00A0393F"/>
    <w:rsid w:val="00A12300"/>
    <w:rsid w:val="00A13A06"/>
    <w:rsid w:val="00A143F2"/>
    <w:rsid w:val="00A16447"/>
    <w:rsid w:val="00A2046C"/>
    <w:rsid w:val="00A22AF3"/>
    <w:rsid w:val="00A34518"/>
    <w:rsid w:val="00A411B3"/>
    <w:rsid w:val="00A5038C"/>
    <w:rsid w:val="00A52848"/>
    <w:rsid w:val="00A5308A"/>
    <w:rsid w:val="00A558FC"/>
    <w:rsid w:val="00A570CB"/>
    <w:rsid w:val="00A62729"/>
    <w:rsid w:val="00A635E1"/>
    <w:rsid w:val="00A640EB"/>
    <w:rsid w:val="00A64A71"/>
    <w:rsid w:val="00A67AE3"/>
    <w:rsid w:val="00A80235"/>
    <w:rsid w:val="00A82FD2"/>
    <w:rsid w:val="00A901BF"/>
    <w:rsid w:val="00A905AC"/>
    <w:rsid w:val="00A93497"/>
    <w:rsid w:val="00A93D5D"/>
    <w:rsid w:val="00A9410F"/>
    <w:rsid w:val="00AB1E3C"/>
    <w:rsid w:val="00AB345C"/>
    <w:rsid w:val="00AB3994"/>
    <w:rsid w:val="00AB4474"/>
    <w:rsid w:val="00AB52F9"/>
    <w:rsid w:val="00AB6240"/>
    <w:rsid w:val="00AB6CEE"/>
    <w:rsid w:val="00AB74E4"/>
    <w:rsid w:val="00AC5410"/>
    <w:rsid w:val="00AC7DA1"/>
    <w:rsid w:val="00AD0162"/>
    <w:rsid w:val="00AD40CB"/>
    <w:rsid w:val="00AD753C"/>
    <w:rsid w:val="00AE0389"/>
    <w:rsid w:val="00AE2736"/>
    <w:rsid w:val="00AF25EE"/>
    <w:rsid w:val="00AF6F90"/>
    <w:rsid w:val="00AF7577"/>
    <w:rsid w:val="00B04195"/>
    <w:rsid w:val="00B048F0"/>
    <w:rsid w:val="00B057C4"/>
    <w:rsid w:val="00B0655A"/>
    <w:rsid w:val="00B0678E"/>
    <w:rsid w:val="00B1010A"/>
    <w:rsid w:val="00B10630"/>
    <w:rsid w:val="00B118C4"/>
    <w:rsid w:val="00B12325"/>
    <w:rsid w:val="00B13791"/>
    <w:rsid w:val="00B20221"/>
    <w:rsid w:val="00B21C37"/>
    <w:rsid w:val="00B26C08"/>
    <w:rsid w:val="00B27F6F"/>
    <w:rsid w:val="00B30B8C"/>
    <w:rsid w:val="00B3113D"/>
    <w:rsid w:val="00B31EC2"/>
    <w:rsid w:val="00B34A84"/>
    <w:rsid w:val="00B370AB"/>
    <w:rsid w:val="00B417A1"/>
    <w:rsid w:val="00B41FEB"/>
    <w:rsid w:val="00B42F25"/>
    <w:rsid w:val="00B431C7"/>
    <w:rsid w:val="00B4641D"/>
    <w:rsid w:val="00B5491C"/>
    <w:rsid w:val="00B54DDA"/>
    <w:rsid w:val="00B55B12"/>
    <w:rsid w:val="00B61756"/>
    <w:rsid w:val="00B61C40"/>
    <w:rsid w:val="00B635F4"/>
    <w:rsid w:val="00B66F01"/>
    <w:rsid w:val="00B71617"/>
    <w:rsid w:val="00B73C9B"/>
    <w:rsid w:val="00B75680"/>
    <w:rsid w:val="00B81863"/>
    <w:rsid w:val="00B81B52"/>
    <w:rsid w:val="00B84C18"/>
    <w:rsid w:val="00B85B80"/>
    <w:rsid w:val="00B90DEE"/>
    <w:rsid w:val="00B91FF8"/>
    <w:rsid w:val="00B949DC"/>
    <w:rsid w:val="00B97419"/>
    <w:rsid w:val="00BA0131"/>
    <w:rsid w:val="00BA1B79"/>
    <w:rsid w:val="00BA44CB"/>
    <w:rsid w:val="00BA488A"/>
    <w:rsid w:val="00BA5F26"/>
    <w:rsid w:val="00BB1408"/>
    <w:rsid w:val="00BB21C3"/>
    <w:rsid w:val="00BB2D2C"/>
    <w:rsid w:val="00BB50E5"/>
    <w:rsid w:val="00BB7B42"/>
    <w:rsid w:val="00BC2BE9"/>
    <w:rsid w:val="00BD122C"/>
    <w:rsid w:val="00BD2737"/>
    <w:rsid w:val="00BD5746"/>
    <w:rsid w:val="00BD5930"/>
    <w:rsid w:val="00BD65FF"/>
    <w:rsid w:val="00BE31D8"/>
    <w:rsid w:val="00BF3AE1"/>
    <w:rsid w:val="00BF4673"/>
    <w:rsid w:val="00BF511F"/>
    <w:rsid w:val="00BF566C"/>
    <w:rsid w:val="00BF6309"/>
    <w:rsid w:val="00BF6AB8"/>
    <w:rsid w:val="00C0039E"/>
    <w:rsid w:val="00C00FEB"/>
    <w:rsid w:val="00C03C1E"/>
    <w:rsid w:val="00C05046"/>
    <w:rsid w:val="00C05AB9"/>
    <w:rsid w:val="00C0643D"/>
    <w:rsid w:val="00C12036"/>
    <w:rsid w:val="00C13701"/>
    <w:rsid w:val="00C14EEC"/>
    <w:rsid w:val="00C169BC"/>
    <w:rsid w:val="00C16EA3"/>
    <w:rsid w:val="00C17716"/>
    <w:rsid w:val="00C2189A"/>
    <w:rsid w:val="00C26C98"/>
    <w:rsid w:val="00C307CE"/>
    <w:rsid w:val="00C312FE"/>
    <w:rsid w:val="00C4088A"/>
    <w:rsid w:val="00C40D48"/>
    <w:rsid w:val="00C45B29"/>
    <w:rsid w:val="00C538DC"/>
    <w:rsid w:val="00C54AD8"/>
    <w:rsid w:val="00C54BB9"/>
    <w:rsid w:val="00C57884"/>
    <w:rsid w:val="00C608DE"/>
    <w:rsid w:val="00C63D62"/>
    <w:rsid w:val="00C66FB5"/>
    <w:rsid w:val="00C73C72"/>
    <w:rsid w:val="00C74757"/>
    <w:rsid w:val="00C75EC9"/>
    <w:rsid w:val="00C804AB"/>
    <w:rsid w:val="00C814B0"/>
    <w:rsid w:val="00C83039"/>
    <w:rsid w:val="00C85D8F"/>
    <w:rsid w:val="00C92D28"/>
    <w:rsid w:val="00C93101"/>
    <w:rsid w:val="00C95503"/>
    <w:rsid w:val="00C96B74"/>
    <w:rsid w:val="00CA1723"/>
    <w:rsid w:val="00CA2BB1"/>
    <w:rsid w:val="00CA5128"/>
    <w:rsid w:val="00CB1A6D"/>
    <w:rsid w:val="00CB2FC2"/>
    <w:rsid w:val="00CB49B3"/>
    <w:rsid w:val="00CC5A26"/>
    <w:rsid w:val="00CD174D"/>
    <w:rsid w:val="00CD4EFE"/>
    <w:rsid w:val="00CD6454"/>
    <w:rsid w:val="00CE2100"/>
    <w:rsid w:val="00CE7678"/>
    <w:rsid w:val="00CF2E08"/>
    <w:rsid w:val="00CF7D02"/>
    <w:rsid w:val="00D06723"/>
    <w:rsid w:val="00D0778C"/>
    <w:rsid w:val="00D1374F"/>
    <w:rsid w:val="00D15FFE"/>
    <w:rsid w:val="00D22503"/>
    <w:rsid w:val="00D266CD"/>
    <w:rsid w:val="00D26FFA"/>
    <w:rsid w:val="00D45F95"/>
    <w:rsid w:val="00D5746C"/>
    <w:rsid w:val="00D575C3"/>
    <w:rsid w:val="00D6736F"/>
    <w:rsid w:val="00D674FF"/>
    <w:rsid w:val="00D7031D"/>
    <w:rsid w:val="00D723B8"/>
    <w:rsid w:val="00D75A4D"/>
    <w:rsid w:val="00D76A3D"/>
    <w:rsid w:val="00D77815"/>
    <w:rsid w:val="00D81525"/>
    <w:rsid w:val="00D82C36"/>
    <w:rsid w:val="00D836E1"/>
    <w:rsid w:val="00D85004"/>
    <w:rsid w:val="00D95730"/>
    <w:rsid w:val="00D96C46"/>
    <w:rsid w:val="00D977CE"/>
    <w:rsid w:val="00DA6B4C"/>
    <w:rsid w:val="00DA7B51"/>
    <w:rsid w:val="00DB5CAF"/>
    <w:rsid w:val="00DB76FF"/>
    <w:rsid w:val="00DC61B0"/>
    <w:rsid w:val="00DD264C"/>
    <w:rsid w:val="00DD3764"/>
    <w:rsid w:val="00DD48AB"/>
    <w:rsid w:val="00DD7B2B"/>
    <w:rsid w:val="00DE2FDC"/>
    <w:rsid w:val="00DE416E"/>
    <w:rsid w:val="00DE584A"/>
    <w:rsid w:val="00DE6167"/>
    <w:rsid w:val="00DE735A"/>
    <w:rsid w:val="00DE75FE"/>
    <w:rsid w:val="00DF206B"/>
    <w:rsid w:val="00DF37D8"/>
    <w:rsid w:val="00DF4331"/>
    <w:rsid w:val="00DF5146"/>
    <w:rsid w:val="00E03AA7"/>
    <w:rsid w:val="00E06316"/>
    <w:rsid w:val="00E1050A"/>
    <w:rsid w:val="00E10F1D"/>
    <w:rsid w:val="00E12C2E"/>
    <w:rsid w:val="00E15058"/>
    <w:rsid w:val="00E15B60"/>
    <w:rsid w:val="00E2696F"/>
    <w:rsid w:val="00E26EF9"/>
    <w:rsid w:val="00E2745A"/>
    <w:rsid w:val="00E3683F"/>
    <w:rsid w:val="00E36DC0"/>
    <w:rsid w:val="00E37707"/>
    <w:rsid w:val="00E44A5B"/>
    <w:rsid w:val="00E458EE"/>
    <w:rsid w:val="00E46D91"/>
    <w:rsid w:val="00E471D8"/>
    <w:rsid w:val="00E50F0F"/>
    <w:rsid w:val="00E63B4B"/>
    <w:rsid w:val="00E735EF"/>
    <w:rsid w:val="00E77D93"/>
    <w:rsid w:val="00E9141B"/>
    <w:rsid w:val="00E943F0"/>
    <w:rsid w:val="00E949FC"/>
    <w:rsid w:val="00E9765A"/>
    <w:rsid w:val="00E97D24"/>
    <w:rsid w:val="00EA0B2A"/>
    <w:rsid w:val="00EA7DCA"/>
    <w:rsid w:val="00EB1792"/>
    <w:rsid w:val="00EC7A46"/>
    <w:rsid w:val="00ED1F39"/>
    <w:rsid w:val="00ED2043"/>
    <w:rsid w:val="00ED2E8F"/>
    <w:rsid w:val="00ED3128"/>
    <w:rsid w:val="00ED5B90"/>
    <w:rsid w:val="00ED66AF"/>
    <w:rsid w:val="00EE0EBC"/>
    <w:rsid w:val="00EE2E86"/>
    <w:rsid w:val="00EE3282"/>
    <w:rsid w:val="00EE54C1"/>
    <w:rsid w:val="00F00A7F"/>
    <w:rsid w:val="00F04F9D"/>
    <w:rsid w:val="00F05917"/>
    <w:rsid w:val="00F11750"/>
    <w:rsid w:val="00F137D2"/>
    <w:rsid w:val="00F1490D"/>
    <w:rsid w:val="00F31CEF"/>
    <w:rsid w:val="00F33C6E"/>
    <w:rsid w:val="00F3682B"/>
    <w:rsid w:val="00F37C85"/>
    <w:rsid w:val="00F40AF8"/>
    <w:rsid w:val="00F45441"/>
    <w:rsid w:val="00F512EA"/>
    <w:rsid w:val="00F51B4B"/>
    <w:rsid w:val="00F62EDA"/>
    <w:rsid w:val="00F63EFD"/>
    <w:rsid w:val="00F651EB"/>
    <w:rsid w:val="00F66667"/>
    <w:rsid w:val="00F66A66"/>
    <w:rsid w:val="00F72ADE"/>
    <w:rsid w:val="00F74E46"/>
    <w:rsid w:val="00F8129E"/>
    <w:rsid w:val="00F8247E"/>
    <w:rsid w:val="00F90003"/>
    <w:rsid w:val="00F90646"/>
    <w:rsid w:val="00F93F89"/>
    <w:rsid w:val="00F93FB2"/>
    <w:rsid w:val="00F94A80"/>
    <w:rsid w:val="00F9699B"/>
    <w:rsid w:val="00FA0E40"/>
    <w:rsid w:val="00FA2ABB"/>
    <w:rsid w:val="00FA50D1"/>
    <w:rsid w:val="00FA59AF"/>
    <w:rsid w:val="00FA6F60"/>
    <w:rsid w:val="00FB14EA"/>
    <w:rsid w:val="00FB422C"/>
    <w:rsid w:val="00FB6073"/>
    <w:rsid w:val="00FC6DF1"/>
    <w:rsid w:val="00FD121C"/>
    <w:rsid w:val="00FD4EEA"/>
    <w:rsid w:val="00FD7884"/>
    <w:rsid w:val="00FE2D64"/>
    <w:rsid w:val="00FF0B19"/>
    <w:rsid w:val="00FF1AAB"/>
    <w:rsid w:val="00FF531C"/>
    <w:rsid w:val="00FF60DA"/>
    <w:rsid w:val="00FF7E14"/>
    <w:rsid w:val="0F224FD0"/>
    <w:rsid w:val="0F5C08A4"/>
    <w:rsid w:val="1C1027C5"/>
    <w:rsid w:val="1F0A3615"/>
    <w:rsid w:val="20E0BAE0"/>
    <w:rsid w:val="216579F6"/>
    <w:rsid w:val="232988F7"/>
    <w:rsid w:val="27965B5D"/>
    <w:rsid w:val="32CA8D75"/>
    <w:rsid w:val="3B9F565A"/>
    <w:rsid w:val="41E06375"/>
    <w:rsid w:val="489A1659"/>
    <w:rsid w:val="492AD505"/>
    <w:rsid w:val="4B9C763D"/>
    <w:rsid w:val="4C4FB152"/>
    <w:rsid w:val="4CAEFE93"/>
    <w:rsid w:val="5F5A95EE"/>
    <w:rsid w:val="6150142C"/>
    <w:rsid w:val="6170FE96"/>
    <w:rsid w:val="61944B53"/>
    <w:rsid w:val="623894DC"/>
    <w:rsid w:val="69A6A138"/>
    <w:rsid w:val="6C32BDE7"/>
    <w:rsid w:val="6EB9DE8E"/>
    <w:rsid w:val="6F8A1FC1"/>
    <w:rsid w:val="7072DDB0"/>
    <w:rsid w:val="7446E72A"/>
    <w:rsid w:val="78DB2B8C"/>
    <w:rsid w:val="7B004C9E"/>
    <w:rsid w:val="7B19F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7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6736F"/>
    <w:pPr>
      <w:keepNext/>
      <w:keepLines/>
      <w:spacing w:before="320" w:after="120" w:line="240" w:lineRule="auto"/>
      <w:outlineLvl w:val="0"/>
    </w:pPr>
    <w:rPr>
      <w:rFonts w:ascii="Arial" w:eastAsia="Times New Roman" w:hAnsi="Arial" w:cs="Times New Roman"/>
      <w:b/>
      <w:caps/>
      <w:color w:val="D3124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AE1"/>
  </w:style>
  <w:style w:type="paragraph" w:styleId="Footer">
    <w:name w:val="footer"/>
    <w:basedOn w:val="Normal"/>
    <w:link w:val="FooterChar"/>
    <w:uiPriority w:val="99"/>
    <w:unhideWhenUsed/>
    <w:rsid w:val="006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AE1"/>
  </w:style>
  <w:style w:type="character" w:styleId="CommentReference">
    <w:name w:val="annotation reference"/>
    <w:basedOn w:val="DefaultParagraphFont"/>
    <w:uiPriority w:val="99"/>
    <w:semiHidden/>
    <w:unhideWhenUsed/>
    <w:rsid w:val="0061275B"/>
    <w:rPr>
      <w:sz w:val="16"/>
      <w:szCs w:val="16"/>
    </w:rPr>
  </w:style>
  <w:style w:type="paragraph" w:styleId="CommentText">
    <w:name w:val="annotation text"/>
    <w:basedOn w:val="Normal"/>
    <w:link w:val="CommentTextChar"/>
    <w:uiPriority w:val="99"/>
    <w:semiHidden/>
    <w:unhideWhenUsed/>
    <w:rsid w:val="0061275B"/>
    <w:pPr>
      <w:spacing w:line="240" w:lineRule="auto"/>
    </w:pPr>
    <w:rPr>
      <w:sz w:val="20"/>
      <w:szCs w:val="20"/>
    </w:rPr>
  </w:style>
  <w:style w:type="character" w:customStyle="1" w:styleId="CommentTextChar">
    <w:name w:val="Comment Text Char"/>
    <w:basedOn w:val="DefaultParagraphFont"/>
    <w:link w:val="CommentText"/>
    <w:uiPriority w:val="99"/>
    <w:semiHidden/>
    <w:rsid w:val="0061275B"/>
    <w:rPr>
      <w:sz w:val="20"/>
      <w:szCs w:val="20"/>
    </w:rPr>
  </w:style>
  <w:style w:type="paragraph" w:styleId="BalloonText">
    <w:name w:val="Balloon Text"/>
    <w:basedOn w:val="Normal"/>
    <w:link w:val="BalloonTextChar"/>
    <w:uiPriority w:val="99"/>
    <w:semiHidden/>
    <w:unhideWhenUsed/>
    <w:rsid w:val="0061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7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410F"/>
    <w:rPr>
      <w:b/>
      <w:bCs/>
    </w:rPr>
  </w:style>
  <w:style w:type="character" w:customStyle="1" w:styleId="CommentSubjectChar">
    <w:name w:val="Comment Subject Char"/>
    <w:basedOn w:val="CommentTextChar"/>
    <w:link w:val="CommentSubject"/>
    <w:uiPriority w:val="99"/>
    <w:semiHidden/>
    <w:rsid w:val="00A9410F"/>
    <w:rPr>
      <w:b/>
      <w:bCs/>
      <w:sz w:val="20"/>
      <w:szCs w:val="20"/>
    </w:rPr>
  </w:style>
  <w:style w:type="paragraph" w:styleId="ListParagraph">
    <w:name w:val="List Paragraph"/>
    <w:basedOn w:val="Normal"/>
    <w:uiPriority w:val="34"/>
    <w:qFormat/>
    <w:rsid w:val="00B84C18"/>
    <w:pPr>
      <w:ind w:left="720"/>
      <w:contextualSpacing/>
    </w:pPr>
  </w:style>
  <w:style w:type="character" w:styleId="Hyperlink">
    <w:name w:val="Hyperlink"/>
    <w:basedOn w:val="DefaultParagraphFont"/>
    <w:uiPriority w:val="99"/>
    <w:unhideWhenUsed/>
    <w:rsid w:val="00B0678E"/>
    <w:rPr>
      <w:color w:val="0563C1" w:themeColor="hyperlink"/>
      <w:u w:val="single"/>
    </w:rPr>
  </w:style>
  <w:style w:type="character" w:customStyle="1" w:styleId="UnresolvedMention1">
    <w:name w:val="Unresolved Mention1"/>
    <w:basedOn w:val="DefaultParagraphFont"/>
    <w:uiPriority w:val="99"/>
    <w:semiHidden/>
    <w:unhideWhenUsed/>
    <w:rsid w:val="00B0678E"/>
    <w:rPr>
      <w:color w:val="605E5C"/>
      <w:shd w:val="clear" w:color="auto" w:fill="E1DFDD"/>
    </w:rPr>
  </w:style>
  <w:style w:type="paragraph" w:styleId="Revision">
    <w:name w:val="Revision"/>
    <w:hidden/>
    <w:uiPriority w:val="99"/>
    <w:semiHidden/>
    <w:rsid w:val="006B02DE"/>
    <w:pPr>
      <w:spacing w:after="0" w:line="240" w:lineRule="auto"/>
    </w:pPr>
  </w:style>
  <w:style w:type="character" w:customStyle="1" w:styleId="Heading1Char">
    <w:name w:val="Heading 1 Char"/>
    <w:basedOn w:val="DefaultParagraphFont"/>
    <w:link w:val="Heading1"/>
    <w:rsid w:val="00D6736F"/>
    <w:rPr>
      <w:rFonts w:ascii="Arial" w:eastAsia="Times New Roman" w:hAnsi="Arial" w:cs="Times New Roman"/>
      <w:b/>
      <w:caps/>
      <w:color w:val="D31245"/>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6736F"/>
    <w:pPr>
      <w:keepNext/>
      <w:keepLines/>
      <w:spacing w:before="320" w:after="120" w:line="240" w:lineRule="auto"/>
      <w:outlineLvl w:val="0"/>
    </w:pPr>
    <w:rPr>
      <w:rFonts w:ascii="Arial" w:eastAsia="Times New Roman" w:hAnsi="Arial" w:cs="Times New Roman"/>
      <w:b/>
      <w:caps/>
      <w:color w:val="D3124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AE1"/>
  </w:style>
  <w:style w:type="paragraph" w:styleId="Footer">
    <w:name w:val="footer"/>
    <w:basedOn w:val="Normal"/>
    <w:link w:val="FooterChar"/>
    <w:uiPriority w:val="99"/>
    <w:unhideWhenUsed/>
    <w:rsid w:val="006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AE1"/>
  </w:style>
  <w:style w:type="character" w:styleId="CommentReference">
    <w:name w:val="annotation reference"/>
    <w:basedOn w:val="DefaultParagraphFont"/>
    <w:uiPriority w:val="99"/>
    <w:semiHidden/>
    <w:unhideWhenUsed/>
    <w:rsid w:val="0061275B"/>
    <w:rPr>
      <w:sz w:val="16"/>
      <w:szCs w:val="16"/>
    </w:rPr>
  </w:style>
  <w:style w:type="paragraph" w:styleId="CommentText">
    <w:name w:val="annotation text"/>
    <w:basedOn w:val="Normal"/>
    <w:link w:val="CommentTextChar"/>
    <w:uiPriority w:val="99"/>
    <w:semiHidden/>
    <w:unhideWhenUsed/>
    <w:rsid w:val="0061275B"/>
    <w:pPr>
      <w:spacing w:line="240" w:lineRule="auto"/>
    </w:pPr>
    <w:rPr>
      <w:sz w:val="20"/>
      <w:szCs w:val="20"/>
    </w:rPr>
  </w:style>
  <w:style w:type="character" w:customStyle="1" w:styleId="CommentTextChar">
    <w:name w:val="Comment Text Char"/>
    <w:basedOn w:val="DefaultParagraphFont"/>
    <w:link w:val="CommentText"/>
    <w:uiPriority w:val="99"/>
    <w:semiHidden/>
    <w:rsid w:val="0061275B"/>
    <w:rPr>
      <w:sz w:val="20"/>
      <w:szCs w:val="20"/>
    </w:rPr>
  </w:style>
  <w:style w:type="paragraph" w:styleId="BalloonText">
    <w:name w:val="Balloon Text"/>
    <w:basedOn w:val="Normal"/>
    <w:link w:val="BalloonTextChar"/>
    <w:uiPriority w:val="99"/>
    <w:semiHidden/>
    <w:unhideWhenUsed/>
    <w:rsid w:val="0061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7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410F"/>
    <w:rPr>
      <w:b/>
      <w:bCs/>
    </w:rPr>
  </w:style>
  <w:style w:type="character" w:customStyle="1" w:styleId="CommentSubjectChar">
    <w:name w:val="Comment Subject Char"/>
    <w:basedOn w:val="CommentTextChar"/>
    <w:link w:val="CommentSubject"/>
    <w:uiPriority w:val="99"/>
    <w:semiHidden/>
    <w:rsid w:val="00A9410F"/>
    <w:rPr>
      <w:b/>
      <w:bCs/>
      <w:sz w:val="20"/>
      <w:szCs w:val="20"/>
    </w:rPr>
  </w:style>
  <w:style w:type="paragraph" w:styleId="ListParagraph">
    <w:name w:val="List Paragraph"/>
    <w:basedOn w:val="Normal"/>
    <w:uiPriority w:val="34"/>
    <w:qFormat/>
    <w:rsid w:val="00B84C18"/>
    <w:pPr>
      <w:ind w:left="720"/>
      <w:contextualSpacing/>
    </w:pPr>
  </w:style>
  <w:style w:type="character" w:styleId="Hyperlink">
    <w:name w:val="Hyperlink"/>
    <w:basedOn w:val="DefaultParagraphFont"/>
    <w:uiPriority w:val="99"/>
    <w:unhideWhenUsed/>
    <w:rsid w:val="00B0678E"/>
    <w:rPr>
      <w:color w:val="0563C1" w:themeColor="hyperlink"/>
      <w:u w:val="single"/>
    </w:rPr>
  </w:style>
  <w:style w:type="character" w:customStyle="1" w:styleId="UnresolvedMention1">
    <w:name w:val="Unresolved Mention1"/>
    <w:basedOn w:val="DefaultParagraphFont"/>
    <w:uiPriority w:val="99"/>
    <w:semiHidden/>
    <w:unhideWhenUsed/>
    <w:rsid w:val="00B0678E"/>
    <w:rPr>
      <w:color w:val="605E5C"/>
      <w:shd w:val="clear" w:color="auto" w:fill="E1DFDD"/>
    </w:rPr>
  </w:style>
  <w:style w:type="paragraph" w:styleId="Revision">
    <w:name w:val="Revision"/>
    <w:hidden/>
    <w:uiPriority w:val="99"/>
    <w:semiHidden/>
    <w:rsid w:val="006B02DE"/>
    <w:pPr>
      <w:spacing w:after="0" w:line="240" w:lineRule="auto"/>
    </w:pPr>
  </w:style>
  <w:style w:type="character" w:customStyle="1" w:styleId="Heading1Char">
    <w:name w:val="Heading 1 Char"/>
    <w:basedOn w:val="DefaultParagraphFont"/>
    <w:link w:val="Heading1"/>
    <w:rsid w:val="00D6736F"/>
    <w:rPr>
      <w:rFonts w:ascii="Arial" w:eastAsia="Times New Roman" w:hAnsi="Arial" w:cs="Times New Roman"/>
      <w:b/>
      <w:caps/>
      <w:color w:val="D31245"/>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6503">
      <w:bodyDiv w:val="1"/>
      <w:marLeft w:val="0"/>
      <w:marRight w:val="0"/>
      <w:marTop w:val="0"/>
      <w:marBottom w:val="0"/>
      <w:divBdr>
        <w:top w:val="none" w:sz="0" w:space="0" w:color="auto"/>
        <w:left w:val="none" w:sz="0" w:space="0" w:color="auto"/>
        <w:bottom w:val="none" w:sz="0" w:space="0" w:color="auto"/>
        <w:right w:val="none" w:sz="0" w:space="0" w:color="auto"/>
      </w:divBdr>
    </w:div>
    <w:div w:id="20458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1E40-F802-492A-8E01-BE94916C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100C8-86D4-468D-A9DD-3A8F0AD98E6D}">
  <ds:schemaRefs>
    <ds:schemaRef ds:uri="http://schemas.microsoft.com/sharepoint/v3/contenttype/forms"/>
  </ds:schemaRefs>
</ds:datastoreItem>
</file>

<file path=customXml/itemProps3.xml><?xml version="1.0" encoding="utf-8"?>
<ds:datastoreItem xmlns:ds="http://schemas.openxmlformats.org/officeDocument/2006/customXml" ds:itemID="{8A7063B3-9599-4361-B89C-667145E9B7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3F67A-33F5-4A2C-B5A2-510AC843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SYSTEM</cp:lastModifiedBy>
  <cp:revision>2</cp:revision>
  <cp:lastPrinted>2018-12-10T21:16:00Z</cp:lastPrinted>
  <dcterms:created xsi:type="dcterms:W3CDTF">2019-03-07T16:22:00Z</dcterms:created>
  <dcterms:modified xsi:type="dcterms:W3CDTF">2019-03-07T16:22:00Z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0x010100FB2577AF99B67D4294FFF2861B48D7A3</vt:lpwstr>
  </property>
</Properties>
</file>