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0482" w:rsidRPr="00603813" w:rsidRDefault="002C0482" w:rsidP="002C0482">
      <w:pPr>
        <w:autoSpaceDE w:val="0"/>
        <w:autoSpaceDN w:val="0"/>
        <w:adjustRightInd w:val="0"/>
        <w:jc w:val="center"/>
        <w:rPr>
          <w:b/>
          <w:bCs/>
        </w:rPr>
      </w:pPr>
      <w:bookmarkStart w:id="0" w:name="_GoBack"/>
      <w:bookmarkEnd w:id="0"/>
      <w:r>
        <w:rPr>
          <w:b/>
          <w:bCs/>
        </w:rPr>
        <w:t>Understanding Decisions and Barriers about PrEP Use and Uptake Among Men Who Have Sex With Men</w:t>
      </w:r>
    </w:p>
    <w:p w:rsidR="008C5316" w:rsidRPr="00303E21" w:rsidRDefault="008C5316" w:rsidP="008C5316">
      <w:pPr>
        <w:jc w:val="center"/>
        <w:rPr>
          <w:b/>
        </w:rPr>
      </w:pPr>
    </w:p>
    <w:p w:rsidR="008C5316" w:rsidRPr="00303E21" w:rsidRDefault="008C5316" w:rsidP="00E91F9C">
      <w:pPr>
        <w:rPr>
          <w:b/>
        </w:rPr>
      </w:pPr>
    </w:p>
    <w:p w:rsidR="008C5316" w:rsidRPr="00303E21" w:rsidRDefault="008C5316" w:rsidP="008C5316">
      <w:pPr>
        <w:jc w:val="center"/>
        <w:rPr>
          <w:b/>
        </w:rPr>
      </w:pPr>
    </w:p>
    <w:p w:rsidR="008C5316" w:rsidRPr="00303E21" w:rsidRDefault="00123632" w:rsidP="008C5316">
      <w:pPr>
        <w:jc w:val="center"/>
        <w:rPr>
          <w:b/>
        </w:rPr>
      </w:pPr>
      <w:r>
        <w:rPr>
          <w:b/>
        </w:rPr>
        <w:t>0920-New</w:t>
      </w:r>
    </w:p>
    <w:p w:rsidR="008C5316" w:rsidRPr="00303E21" w:rsidRDefault="008C5316" w:rsidP="008C5316">
      <w:pPr>
        <w:jc w:val="center"/>
        <w:rPr>
          <w:b/>
        </w:rPr>
      </w:pPr>
      <w:r w:rsidRPr="00303E21">
        <w:rPr>
          <w:b/>
        </w:rPr>
        <w:t xml:space="preserve">Section B: Supporting Statement </w:t>
      </w:r>
    </w:p>
    <w:p w:rsidR="008C5316" w:rsidRPr="00303E21" w:rsidRDefault="008C5316" w:rsidP="008C5316">
      <w:pPr>
        <w:jc w:val="center"/>
        <w:rPr>
          <w:b/>
        </w:rPr>
      </w:pPr>
    </w:p>
    <w:p w:rsidR="008C5316" w:rsidRPr="00303E21" w:rsidRDefault="008C5316" w:rsidP="008C5316">
      <w:pPr>
        <w:jc w:val="center"/>
        <w:rPr>
          <w:b/>
        </w:rPr>
      </w:pPr>
    </w:p>
    <w:p w:rsidR="008C5316" w:rsidRPr="00303E21" w:rsidRDefault="008C5316" w:rsidP="008C5316">
      <w:pPr>
        <w:jc w:val="center"/>
        <w:rPr>
          <w:b/>
        </w:rPr>
      </w:pPr>
    </w:p>
    <w:p w:rsidR="00821623" w:rsidRPr="00074633" w:rsidRDefault="00074633" w:rsidP="00821623">
      <w:pPr>
        <w:jc w:val="center"/>
      </w:pPr>
      <w:r w:rsidRPr="00074633">
        <w:t xml:space="preserve">February </w:t>
      </w:r>
      <w:r w:rsidR="00CB7842">
        <w:t>20</w:t>
      </w:r>
      <w:r w:rsidRPr="00074633">
        <w:t>, 2018</w:t>
      </w:r>
    </w:p>
    <w:p w:rsidR="008C5316" w:rsidRPr="00303E21" w:rsidRDefault="008C5316" w:rsidP="008C5316">
      <w:pPr>
        <w:jc w:val="center"/>
        <w:rPr>
          <w:b/>
        </w:rPr>
      </w:pPr>
    </w:p>
    <w:p w:rsidR="008C5316" w:rsidRPr="00303E21" w:rsidRDefault="008C5316" w:rsidP="008C5316">
      <w:pPr>
        <w:jc w:val="center"/>
        <w:rPr>
          <w:b/>
        </w:rPr>
      </w:pPr>
    </w:p>
    <w:p w:rsidR="008C5316" w:rsidRPr="00303E21" w:rsidRDefault="008C5316" w:rsidP="008C5316">
      <w:pPr>
        <w:jc w:val="center"/>
        <w:rPr>
          <w:b/>
        </w:rPr>
      </w:pPr>
    </w:p>
    <w:p w:rsidR="008C5316" w:rsidRPr="00303E21" w:rsidRDefault="008C5316" w:rsidP="008C5316">
      <w:pPr>
        <w:jc w:val="center"/>
        <w:rPr>
          <w:b/>
        </w:rPr>
      </w:pPr>
    </w:p>
    <w:p w:rsidR="008C5316" w:rsidRPr="00303E21" w:rsidRDefault="008C5316" w:rsidP="008C5316">
      <w:pPr>
        <w:jc w:val="center"/>
        <w:rPr>
          <w:b/>
        </w:rPr>
      </w:pPr>
      <w:r w:rsidRPr="00303E21">
        <w:rPr>
          <w:b/>
        </w:rPr>
        <w:t>CONTACT</w:t>
      </w:r>
    </w:p>
    <w:p w:rsidR="002C0482" w:rsidRPr="00603813" w:rsidRDefault="002C0482" w:rsidP="002C0482">
      <w:pPr>
        <w:jc w:val="center"/>
        <w:rPr>
          <w:shd w:val="clear" w:color="auto" w:fill="FFFFFF"/>
        </w:rPr>
      </w:pPr>
      <w:r>
        <w:rPr>
          <w:bCs/>
          <w:shd w:val="clear" w:color="auto" w:fill="FFFFFF"/>
        </w:rPr>
        <w:t>Deborah Gelaude, M.A.</w:t>
      </w:r>
      <w:r w:rsidRPr="00603813">
        <w:br/>
      </w:r>
      <w:r>
        <w:t>Technical Monitor</w:t>
      </w:r>
    </w:p>
    <w:p w:rsidR="002C0482" w:rsidRPr="00603813" w:rsidRDefault="002C0482" w:rsidP="002C0482">
      <w:pPr>
        <w:jc w:val="center"/>
      </w:pPr>
      <w:r w:rsidRPr="00603813">
        <w:rPr>
          <w:shd w:val="clear" w:color="auto" w:fill="FFFFFF"/>
        </w:rPr>
        <w:t>Centers for Disease Control and Prevention</w:t>
      </w:r>
      <w:r w:rsidRPr="00603813">
        <w:br/>
      </w:r>
      <w:r w:rsidRPr="00603813">
        <w:rPr>
          <w:shd w:val="clear" w:color="auto" w:fill="FFFFFF"/>
        </w:rPr>
        <w:t>Division of HIV/AIDS Prevention, BIRB</w:t>
      </w:r>
      <w:r w:rsidRPr="00603813">
        <w:br/>
      </w:r>
      <w:r w:rsidRPr="00603813">
        <w:rPr>
          <w:shd w:val="clear" w:color="auto" w:fill="FFFFFF"/>
        </w:rPr>
        <w:t xml:space="preserve">1600 Clifton Road, NE, Mailstop </w:t>
      </w:r>
      <w:r w:rsidR="000A0DC9">
        <w:rPr>
          <w:shd w:val="clear" w:color="auto" w:fill="FFFFFF"/>
        </w:rPr>
        <w:t>US8-5</w:t>
      </w:r>
      <w:r w:rsidRPr="00603813">
        <w:br/>
      </w:r>
      <w:r w:rsidRPr="00603813">
        <w:rPr>
          <w:shd w:val="clear" w:color="auto" w:fill="FFFFFF"/>
        </w:rPr>
        <w:t>Atlanta, GA 30333</w:t>
      </w:r>
      <w:r w:rsidRPr="00603813">
        <w:br/>
      </w:r>
      <w:r w:rsidRPr="00603813">
        <w:rPr>
          <w:shd w:val="clear" w:color="auto" w:fill="FFFFFF"/>
        </w:rPr>
        <w:t>Phone: 404-639-</w:t>
      </w:r>
      <w:r>
        <w:rPr>
          <w:shd w:val="clear" w:color="auto" w:fill="FFFFFF"/>
        </w:rPr>
        <w:t>1905</w:t>
      </w:r>
      <w:r w:rsidRPr="00603813">
        <w:br/>
      </w:r>
      <w:r w:rsidRPr="00603813">
        <w:rPr>
          <w:shd w:val="clear" w:color="auto" w:fill="FFFFFF"/>
        </w:rPr>
        <w:t>Fax: 404-639-1950</w:t>
      </w:r>
      <w:r w:rsidRPr="00603813">
        <w:br/>
      </w:r>
      <w:r w:rsidRPr="00603813">
        <w:rPr>
          <w:shd w:val="clear" w:color="auto" w:fill="FFFFFF"/>
        </w:rPr>
        <w:t>E-mail:</w:t>
      </w:r>
      <w:r w:rsidRPr="00603813">
        <w:t> </w:t>
      </w:r>
      <w:hyperlink r:id="rId9" w:history="1">
        <w:r w:rsidRPr="004E795D">
          <w:rPr>
            <w:rStyle w:val="Hyperlink"/>
          </w:rPr>
          <w:t>DGelaude@cdc.gov</w:t>
        </w:r>
      </w:hyperlink>
    </w:p>
    <w:p w:rsidR="006F5358" w:rsidRPr="00303E21" w:rsidRDefault="006F5358" w:rsidP="006F5358">
      <w:pPr>
        <w:tabs>
          <w:tab w:val="left" w:pos="4680"/>
        </w:tabs>
        <w:jc w:val="center"/>
        <w:rPr>
          <w:b/>
          <w:bCs/>
        </w:rPr>
      </w:pPr>
    </w:p>
    <w:p w:rsidR="006F5358" w:rsidRPr="00303E21" w:rsidRDefault="006F5358" w:rsidP="006F5358">
      <w:pPr>
        <w:tabs>
          <w:tab w:val="left" w:pos="4680"/>
        </w:tabs>
        <w:jc w:val="center"/>
        <w:rPr>
          <w:b/>
          <w:bCs/>
        </w:rPr>
        <w:sectPr w:rsidR="006F5358" w:rsidRPr="00303E21" w:rsidSect="004348EE">
          <w:headerReference w:type="default" r:id="rId10"/>
          <w:pgSz w:w="12240" w:h="15840"/>
          <w:pgMar w:top="1440" w:right="1440" w:bottom="1440" w:left="1440" w:header="720" w:footer="720" w:gutter="0"/>
          <w:pgNumType w:fmt="lowerRoman" w:start="1"/>
          <w:cols w:space="720"/>
          <w:docGrid w:linePitch="360"/>
        </w:sectPr>
      </w:pPr>
    </w:p>
    <w:p w:rsidR="006F5358" w:rsidRPr="00303E21" w:rsidRDefault="00D50466" w:rsidP="006F5358">
      <w:pPr>
        <w:pBdr>
          <w:bottom w:val="single" w:sz="4" w:space="1" w:color="660000"/>
        </w:pBdr>
        <w:autoSpaceDE w:val="0"/>
        <w:autoSpaceDN w:val="0"/>
        <w:adjustRightInd w:val="0"/>
        <w:jc w:val="center"/>
        <w:rPr>
          <w:b/>
          <w:bCs/>
          <w:sz w:val="28"/>
          <w:szCs w:val="28"/>
        </w:rPr>
      </w:pPr>
      <w:r w:rsidRPr="00303E21">
        <w:rPr>
          <w:b/>
          <w:bCs/>
          <w:sz w:val="32"/>
          <w:szCs w:val="28"/>
        </w:rPr>
        <w:lastRenderedPageBreak/>
        <w:t>TABLE OF CONTENTS</w:t>
      </w:r>
    </w:p>
    <w:p w:rsidR="006F5358" w:rsidRPr="00303E21" w:rsidRDefault="006F5358" w:rsidP="00D71624">
      <w:pPr>
        <w:autoSpaceDE w:val="0"/>
        <w:autoSpaceDN w:val="0"/>
        <w:adjustRightInd w:val="0"/>
        <w:jc w:val="center"/>
        <w:rPr>
          <w:b/>
          <w:bCs/>
          <w:sz w:val="32"/>
          <w:szCs w:val="28"/>
        </w:rPr>
      </w:pPr>
    </w:p>
    <w:p w:rsidR="004B09F1" w:rsidRDefault="003F298E">
      <w:pPr>
        <w:pStyle w:val="TOC1"/>
        <w:rPr>
          <w:rFonts w:asciiTheme="minorHAnsi" w:eastAsiaTheme="minorEastAsia" w:hAnsiTheme="minorHAnsi" w:cstheme="minorBidi"/>
          <w:noProof/>
          <w:sz w:val="22"/>
          <w:szCs w:val="22"/>
        </w:rPr>
      </w:pPr>
      <w:r w:rsidRPr="00303E21">
        <w:rPr>
          <w:bCs/>
        </w:rPr>
        <w:fldChar w:fldCharType="begin"/>
      </w:r>
      <w:r w:rsidR="00B86A95" w:rsidRPr="00303E21">
        <w:rPr>
          <w:bCs/>
        </w:rPr>
        <w:instrText xml:space="preserve"> TOC \o "1-3" \h \z \u </w:instrText>
      </w:r>
      <w:r w:rsidRPr="00303E21">
        <w:rPr>
          <w:bCs/>
        </w:rPr>
        <w:fldChar w:fldCharType="separate"/>
      </w:r>
      <w:hyperlink w:anchor="_Toc386719983" w:history="1">
        <w:r w:rsidR="004B09F1" w:rsidRPr="005C1A48">
          <w:rPr>
            <w:rStyle w:val="Hyperlink"/>
            <w:iCs/>
            <w:noProof/>
          </w:rPr>
          <w:t>1.</w:t>
        </w:r>
        <w:r w:rsidR="00694780">
          <w:rPr>
            <w:rStyle w:val="Hyperlink"/>
            <w:iCs/>
            <w:noProof/>
          </w:rPr>
          <w:t xml:space="preserve">  </w:t>
        </w:r>
        <w:r w:rsidR="004B09F1" w:rsidRPr="005C1A48">
          <w:rPr>
            <w:rStyle w:val="Hyperlink"/>
            <w:iCs/>
            <w:noProof/>
          </w:rPr>
          <w:t xml:space="preserve"> Respondent Universe and Sampling Methods</w:t>
        </w:r>
        <w:r w:rsidR="004B09F1">
          <w:rPr>
            <w:noProof/>
            <w:webHidden/>
          </w:rPr>
          <w:tab/>
        </w:r>
        <w:r w:rsidR="004B09F1">
          <w:rPr>
            <w:noProof/>
            <w:webHidden/>
          </w:rPr>
          <w:fldChar w:fldCharType="begin"/>
        </w:r>
        <w:r w:rsidR="004B09F1">
          <w:rPr>
            <w:noProof/>
            <w:webHidden/>
          </w:rPr>
          <w:instrText xml:space="preserve"> PAGEREF _Toc386719983 \h </w:instrText>
        </w:r>
        <w:r w:rsidR="004B09F1">
          <w:rPr>
            <w:noProof/>
            <w:webHidden/>
          </w:rPr>
        </w:r>
        <w:r w:rsidR="004B09F1">
          <w:rPr>
            <w:noProof/>
            <w:webHidden/>
          </w:rPr>
          <w:fldChar w:fldCharType="separate"/>
        </w:r>
        <w:r w:rsidR="00B21A2F">
          <w:rPr>
            <w:noProof/>
            <w:webHidden/>
          </w:rPr>
          <w:t>1</w:t>
        </w:r>
        <w:r w:rsidR="004B09F1">
          <w:rPr>
            <w:noProof/>
            <w:webHidden/>
          </w:rPr>
          <w:fldChar w:fldCharType="end"/>
        </w:r>
      </w:hyperlink>
    </w:p>
    <w:p w:rsidR="004B09F1" w:rsidRDefault="00C7033F" w:rsidP="00407420">
      <w:pPr>
        <w:pStyle w:val="TOC1"/>
        <w:rPr>
          <w:rFonts w:asciiTheme="minorHAnsi" w:eastAsiaTheme="minorEastAsia" w:hAnsiTheme="minorHAnsi" w:cstheme="minorBidi"/>
          <w:noProof/>
          <w:sz w:val="22"/>
          <w:szCs w:val="22"/>
        </w:rPr>
      </w:pPr>
      <w:hyperlink w:anchor="_Toc386719984" w:history="1">
        <w:r w:rsidR="004B09F1" w:rsidRPr="005C1A48">
          <w:rPr>
            <w:rStyle w:val="Hyperlink"/>
            <w:iCs/>
            <w:noProof/>
          </w:rPr>
          <w:t>2.</w:t>
        </w:r>
        <w:r w:rsidR="004B09F1">
          <w:rPr>
            <w:rFonts w:asciiTheme="minorHAnsi" w:eastAsiaTheme="minorEastAsia" w:hAnsiTheme="minorHAnsi" w:cstheme="minorBidi"/>
            <w:noProof/>
            <w:sz w:val="22"/>
            <w:szCs w:val="22"/>
          </w:rPr>
          <w:tab/>
        </w:r>
        <w:r w:rsidR="004B09F1" w:rsidRPr="005C1A48">
          <w:rPr>
            <w:rStyle w:val="Hyperlink"/>
            <w:iCs/>
            <w:noProof/>
          </w:rPr>
          <w:t>Procedures for the Collection of Information</w:t>
        </w:r>
        <w:r w:rsidR="004B09F1">
          <w:rPr>
            <w:noProof/>
            <w:webHidden/>
          </w:rPr>
          <w:tab/>
        </w:r>
        <w:r w:rsidR="004B09F1">
          <w:rPr>
            <w:noProof/>
            <w:webHidden/>
          </w:rPr>
          <w:fldChar w:fldCharType="begin"/>
        </w:r>
        <w:r w:rsidR="004B09F1">
          <w:rPr>
            <w:noProof/>
            <w:webHidden/>
          </w:rPr>
          <w:instrText xml:space="preserve"> PAGEREF _Toc386719984 \h </w:instrText>
        </w:r>
        <w:r w:rsidR="004B09F1">
          <w:rPr>
            <w:noProof/>
            <w:webHidden/>
          </w:rPr>
        </w:r>
        <w:r w:rsidR="004B09F1">
          <w:rPr>
            <w:noProof/>
            <w:webHidden/>
          </w:rPr>
          <w:fldChar w:fldCharType="separate"/>
        </w:r>
        <w:r w:rsidR="00B21A2F">
          <w:rPr>
            <w:noProof/>
            <w:webHidden/>
          </w:rPr>
          <w:t>3</w:t>
        </w:r>
        <w:r w:rsidR="004B09F1">
          <w:rPr>
            <w:noProof/>
            <w:webHidden/>
          </w:rPr>
          <w:fldChar w:fldCharType="end"/>
        </w:r>
      </w:hyperlink>
    </w:p>
    <w:p w:rsidR="004B09F1" w:rsidRDefault="00C7033F">
      <w:pPr>
        <w:pStyle w:val="TOC1"/>
        <w:rPr>
          <w:rFonts w:asciiTheme="minorHAnsi" w:eastAsiaTheme="minorEastAsia" w:hAnsiTheme="minorHAnsi" w:cstheme="minorBidi"/>
          <w:noProof/>
          <w:sz w:val="22"/>
          <w:szCs w:val="22"/>
        </w:rPr>
      </w:pPr>
      <w:hyperlink w:anchor="_Toc386719987" w:history="1">
        <w:r w:rsidR="004B09F1" w:rsidRPr="005C1A48">
          <w:rPr>
            <w:rStyle w:val="Hyperlink"/>
            <w:iCs/>
            <w:noProof/>
          </w:rPr>
          <w:t xml:space="preserve">3. </w:t>
        </w:r>
        <w:r w:rsidR="004B09F1">
          <w:rPr>
            <w:rFonts w:asciiTheme="minorHAnsi" w:eastAsiaTheme="minorEastAsia" w:hAnsiTheme="minorHAnsi" w:cstheme="minorBidi"/>
            <w:noProof/>
            <w:sz w:val="22"/>
            <w:szCs w:val="22"/>
          </w:rPr>
          <w:tab/>
        </w:r>
        <w:r w:rsidR="004B09F1" w:rsidRPr="005C1A48">
          <w:rPr>
            <w:rStyle w:val="Hyperlink"/>
            <w:iCs/>
            <w:noProof/>
          </w:rPr>
          <w:t>Methods to Maximize Response Rates and Deal with No Response</w:t>
        </w:r>
        <w:r w:rsidR="004B09F1">
          <w:rPr>
            <w:noProof/>
            <w:webHidden/>
          </w:rPr>
          <w:tab/>
        </w:r>
        <w:r w:rsidR="004B09F1">
          <w:rPr>
            <w:noProof/>
            <w:webHidden/>
          </w:rPr>
          <w:fldChar w:fldCharType="begin"/>
        </w:r>
        <w:r w:rsidR="004B09F1">
          <w:rPr>
            <w:noProof/>
            <w:webHidden/>
          </w:rPr>
          <w:instrText xml:space="preserve"> PAGEREF _Toc386719987 \h </w:instrText>
        </w:r>
        <w:r w:rsidR="004B09F1">
          <w:rPr>
            <w:noProof/>
            <w:webHidden/>
          </w:rPr>
        </w:r>
        <w:r w:rsidR="004B09F1">
          <w:rPr>
            <w:noProof/>
            <w:webHidden/>
          </w:rPr>
          <w:fldChar w:fldCharType="separate"/>
        </w:r>
        <w:r w:rsidR="00B21A2F">
          <w:rPr>
            <w:noProof/>
            <w:webHidden/>
          </w:rPr>
          <w:t>7</w:t>
        </w:r>
        <w:r w:rsidR="004B09F1">
          <w:rPr>
            <w:noProof/>
            <w:webHidden/>
          </w:rPr>
          <w:fldChar w:fldCharType="end"/>
        </w:r>
      </w:hyperlink>
    </w:p>
    <w:p w:rsidR="004B09F1" w:rsidRDefault="00C7033F">
      <w:pPr>
        <w:pStyle w:val="TOC1"/>
        <w:rPr>
          <w:rFonts w:asciiTheme="minorHAnsi" w:eastAsiaTheme="minorEastAsia" w:hAnsiTheme="minorHAnsi" w:cstheme="minorBidi"/>
          <w:noProof/>
          <w:sz w:val="22"/>
          <w:szCs w:val="22"/>
        </w:rPr>
      </w:pPr>
      <w:hyperlink w:anchor="_Toc386719988" w:history="1">
        <w:r w:rsidR="004B09F1" w:rsidRPr="005C1A48">
          <w:rPr>
            <w:rStyle w:val="Hyperlink"/>
            <w:iCs/>
            <w:noProof/>
          </w:rPr>
          <w:t>4.</w:t>
        </w:r>
        <w:r w:rsidR="004B09F1">
          <w:rPr>
            <w:rFonts w:asciiTheme="minorHAnsi" w:eastAsiaTheme="minorEastAsia" w:hAnsiTheme="minorHAnsi" w:cstheme="minorBidi"/>
            <w:noProof/>
            <w:sz w:val="22"/>
            <w:szCs w:val="22"/>
          </w:rPr>
          <w:tab/>
        </w:r>
        <w:r w:rsidR="004B09F1" w:rsidRPr="005C1A48">
          <w:rPr>
            <w:rStyle w:val="Hyperlink"/>
            <w:iCs/>
            <w:noProof/>
          </w:rPr>
          <w:t>Tests of Procedures or Methods to Be Undertaken</w:t>
        </w:r>
        <w:r w:rsidR="004B09F1">
          <w:rPr>
            <w:noProof/>
            <w:webHidden/>
          </w:rPr>
          <w:tab/>
        </w:r>
        <w:r w:rsidR="004B09F1">
          <w:rPr>
            <w:noProof/>
            <w:webHidden/>
          </w:rPr>
          <w:fldChar w:fldCharType="begin"/>
        </w:r>
        <w:r w:rsidR="004B09F1">
          <w:rPr>
            <w:noProof/>
            <w:webHidden/>
          </w:rPr>
          <w:instrText xml:space="preserve"> PAGEREF _Toc386719988 \h </w:instrText>
        </w:r>
        <w:r w:rsidR="004B09F1">
          <w:rPr>
            <w:noProof/>
            <w:webHidden/>
          </w:rPr>
        </w:r>
        <w:r w:rsidR="004B09F1">
          <w:rPr>
            <w:noProof/>
            <w:webHidden/>
          </w:rPr>
          <w:fldChar w:fldCharType="separate"/>
        </w:r>
        <w:r w:rsidR="00B21A2F">
          <w:rPr>
            <w:noProof/>
            <w:webHidden/>
          </w:rPr>
          <w:t>8</w:t>
        </w:r>
        <w:r w:rsidR="004B09F1">
          <w:rPr>
            <w:noProof/>
            <w:webHidden/>
          </w:rPr>
          <w:fldChar w:fldCharType="end"/>
        </w:r>
      </w:hyperlink>
    </w:p>
    <w:p w:rsidR="004B09F1" w:rsidRDefault="00C7033F">
      <w:pPr>
        <w:pStyle w:val="TOC1"/>
        <w:rPr>
          <w:rFonts w:asciiTheme="minorHAnsi" w:eastAsiaTheme="minorEastAsia" w:hAnsiTheme="minorHAnsi" w:cstheme="minorBidi"/>
          <w:noProof/>
          <w:sz w:val="22"/>
          <w:szCs w:val="22"/>
        </w:rPr>
      </w:pPr>
      <w:hyperlink w:anchor="_Toc386719989" w:history="1">
        <w:r w:rsidR="004B09F1" w:rsidRPr="005C1A48">
          <w:rPr>
            <w:rStyle w:val="Hyperlink"/>
            <w:iCs/>
            <w:noProof/>
          </w:rPr>
          <w:t>5.</w:t>
        </w:r>
        <w:r w:rsidR="004B09F1">
          <w:rPr>
            <w:rFonts w:asciiTheme="minorHAnsi" w:eastAsiaTheme="minorEastAsia" w:hAnsiTheme="minorHAnsi" w:cstheme="minorBidi"/>
            <w:noProof/>
            <w:sz w:val="22"/>
            <w:szCs w:val="22"/>
          </w:rPr>
          <w:tab/>
        </w:r>
        <w:r w:rsidR="004B09F1" w:rsidRPr="005C1A48">
          <w:rPr>
            <w:rStyle w:val="Hyperlink"/>
            <w:iCs/>
            <w:noProof/>
          </w:rPr>
          <w:t>Individuals Consulted on Statistical Aspects and Individuals Collecting and/or Analyzing Data</w:t>
        </w:r>
        <w:r w:rsidR="004B09F1">
          <w:rPr>
            <w:noProof/>
            <w:webHidden/>
          </w:rPr>
          <w:tab/>
        </w:r>
        <w:r w:rsidR="004B09F1">
          <w:rPr>
            <w:noProof/>
            <w:webHidden/>
          </w:rPr>
          <w:fldChar w:fldCharType="begin"/>
        </w:r>
        <w:r w:rsidR="004B09F1">
          <w:rPr>
            <w:noProof/>
            <w:webHidden/>
          </w:rPr>
          <w:instrText xml:space="preserve"> PAGEREF _Toc386719989 \h </w:instrText>
        </w:r>
        <w:r w:rsidR="004B09F1">
          <w:rPr>
            <w:noProof/>
            <w:webHidden/>
          </w:rPr>
        </w:r>
        <w:r w:rsidR="004B09F1">
          <w:rPr>
            <w:noProof/>
            <w:webHidden/>
          </w:rPr>
          <w:fldChar w:fldCharType="separate"/>
        </w:r>
        <w:r w:rsidR="00B21A2F">
          <w:rPr>
            <w:noProof/>
            <w:webHidden/>
          </w:rPr>
          <w:t>8</w:t>
        </w:r>
        <w:r w:rsidR="004B09F1">
          <w:rPr>
            <w:noProof/>
            <w:webHidden/>
          </w:rPr>
          <w:fldChar w:fldCharType="end"/>
        </w:r>
      </w:hyperlink>
    </w:p>
    <w:p w:rsidR="00DF7F31" w:rsidRPr="00303E21" w:rsidRDefault="003F298E" w:rsidP="00D71624">
      <w:pPr>
        <w:autoSpaceDE w:val="0"/>
        <w:autoSpaceDN w:val="0"/>
        <w:adjustRightInd w:val="0"/>
        <w:jc w:val="center"/>
        <w:rPr>
          <w:b/>
          <w:bCs/>
        </w:rPr>
      </w:pPr>
      <w:r w:rsidRPr="00303E21">
        <w:rPr>
          <w:b/>
          <w:bCs/>
        </w:rPr>
        <w:fldChar w:fldCharType="end"/>
      </w:r>
    </w:p>
    <w:p w:rsidR="0059419A" w:rsidRPr="00303E21" w:rsidRDefault="0059419A" w:rsidP="00D71624">
      <w:pPr>
        <w:autoSpaceDE w:val="0"/>
        <w:autoSpaceDN w:val="0"/>
        <w:adjustRightInd w:val="0"/>
        <w:jc w:val="center"/>
        <w:rPr>
          <w:b/>
          <w:bCs/>
          <w:sz w:val="32"/>
          <w:szCs w:val="28"/>
        </w:rPr>
      </w:pPr>
    </w:p>
    <w:p w:rsidR="0059419A" w:rsidRPr="00303E21" w:rsidRDefault="0059419A" w:rsidP="0059419A">
      <w:pPr>
        <w:autoSpaceDE w:val="0"/>
        <w:autoSpaceDN w:val="0"/>
        <w:adjustRightInd w:val="0"/>
        <w:jc w:val="center"/>
        <w:rPr>
          <w:b/>
          <w:bCs/>
          <w:sz w:val="32"/>
          <w:szCs w:val="32"/>
        </w:rPr>
      </w:pPr>
      <w:r w:rsidRPr="00303E21">
        <w:rPr>
          <w:b/>
          <w:bCs/>
          <w:sz w:val="32"/>
          <w:szCs w:val="32"/>
        </w:rPr>
        <w:t>EXHIBITS</w:t>
      </w:r>
    </w:p>
    <w:p w:rsidR="00F92ABD" w:rsidRPr="00303E21" w:rsidRDefault="00585792" w:rsidP="00844CB9">
      <w:pPr>
        <w:tabs>
          <w:tab w:val="left" w:leader="dot" w:pos="9180"/>
        </w:tabs>
      </w:pPr>
      <w:r w:rsidRPr="00303E21">
        <w:t>Exhibit B1.</w:t>
      </w:r>
      <w:r w:rsidR="00AB0F3C" w:rsidRPr="00303E21">
        <w:t>1</w:t>
      </w:r>
      <w:r w:rsidR="00F92ABD" w:rsidRPr="00303E21">
        <w:t xml:space="preserve">. </w:t>
      </w:r>
      <w:r w:rsidR="00126DC8">
        <w:t>Summary of Recruitment Targets</w:t>
      </w:r>
      <w:r w:rsidR="00844CB9">
        <w:t xml:space="preserve"> </w:t>
      </w:r>
      <w:r w:rsidR="00844CB9">
        <w:tab/>
        <w:t>2</w:t>
      </w:r>
    </w:p>
    <w:p w:rsidR="00F92ABD" w:rsidRPr="00303E21" w:rsidRDefault="00F92ABD" w:rsidP="00844CB9">
      <w:pPr>
        <w:tabs>
          <w:tab w:val="left" w:leader="dot" w:pos="9180"/>
        </w:tabs>
      </w:pPr>
      <w:r w:rsidRPr="00303E21">
        <w:t>Exhibit B1.</w:t>
      </w:r>
      <w:r w:rsidR="00AB0F3C" w:rsidRPr="00303E21">
        <w:t>2</w:t>
      </w:r>
      <w:r w:rsidRPr="00303E21">
        <w:t xml:space="preserve">. </w:t>
      </w:r>
      <w:r w:rsidR="00126DC8">
        <w:t>Target Distribution by City</w:t>
      </w:r>
      <w:r w:rsidR="00844CB9">
        <w:t xml:space="preserve"> </w:t>
      </w:r>
      <w:r w:rsidR="00844CB9">
        <w:tab/>
      </w:r>
      <w:r w:rsidR="00B21A2F">
        <w:t>2</w:t>
      </w:r>
    </w:p>
    <w:p w:rsidR="00C56690" w:rsidRPr="00303E21" w:rsidRDefault="00B53FFD" w:rsidP="00844CB9">
      <w:pPr>
        <w:widowControl w:val="0"/>
        <w:tabs>
          <w:tab w:val="left" w:leader="dot" w:pos="9180"/>
        </w:tabs>
        <w:autoSpaceDE w:val="0"/>
        <w:autoSpaceDN w:val="0"/>
        <w:adjustRightInd w:val="0"/>
      </w:pPr>
      <w:r w:rsidRPr="00303E21">
        <w:t>Exhibit B2.1.</w:t>
      </w:r>
      <w:r w:rsidR="00C56690" w:rsidRPr="00303E21">
        <w:t xml:space="preserve"> </w:t>
      </w:r>
      <w:r w:rsidR="000B5F2C" w:rsidRPr="00303E21">
        <w:t>Summary of Demographic Eligibility Criteria</w:t>
      </w:r>
      <w:r w:rsidR="00844CB9">
        <w:t xml:space="preserve"> </w:t>
      </w:r>
      <w:r w:rsidR="00844CB9">
        <w:tab/>
      </w:r>
      <w:r w:rsidR="00B21A2F">
        <w:t>4</w:t>
      </w:r>
    </w:p>
    <w:p w:rsidR="00425678" w:rsidRPr="00303E21" w:rsidRDefault="0059419A" w:rsidP="00844CB9">
      <w:pPr>
        <w:tabs>
          <w:tab w:val="left" w:leader="dot" w:pos="9180"/>
        </w:tabs>
        <w:autoSpaceDE w:val="0"/>
        <w:autoSpaceDN w:val="0"/>
        <w:adjustRightInd w:val="0"/>
        <w:rPr>
          <w:bCs/>
        </w:rPr>
      </w:pPr>
      <w:r w:rsidRPr="00303E21">
        <w:rPr>
          <w:bCs/>
        </w:rPr>
        <w:t xml:space="preserve">Exhibit </w:t>
      </w:r>
      <w:r w:rsidR="00B53FFD" w:rsidRPr="00303E21">
        <w:rPr>
          <w:bCs/>
        </w:rPr>
        <w:t>B</w:t>
      </w:r>
      <w:r w:rsidRPr="00303E21">
        <w:rPr>
          <w:bCs/>
        </w:rPr>
        <w:t>5.1. Statistical Consultants</w:t>
      </w:r>
      <w:r w:rsidR="00844CB9">
        <w:rPr>
          <w:bCs/>
        </w:rPr>
        <w:t xml:space="preserve"> </w:t>
      </w:r>
      <w:r w:rsidR="00844CB9">
        <w:rPr>
          <w:bCs/>
        </w:rPr>
        <w:tab/>
      </w:r>
      <w:r w:rsidR="00B21A2F">
        <w:rPr>
          <w:bCs/>
        </w:rPr>
        <w:t>8</w:t>
      </w:r>
    </w:p>
    <w:p w:rsidR="00425678" w:rsidRPr="00303E21" w:rsidRDefault="00425678" w:rsidP="0059419A">
      <w:pPr>
        <w:autoSpaceDE w:val="0"/>
        <w:autoSpaceDN w:val="0"/>
        <w:adjustRightInd w:val="0"/>
        <w:rPr>
          <w:bCs/>
        </w:rPr>
      </w:pPr>
    </w:p>
    <w:p w:rsidR="0059419A" w:rsidRPr="00303E21" w:rsidRDefault="0059419A" w:rsidP="00D71624">
      <w:pPr>
        <w:autoSpaceDE w:val="0"/>
        <w:autoSpaceDN w:val="0"/>
        <w:adjustRightInd w:val="0"/>
        <w:jc w:val="center"/>
        <w:rPr>
          <w:b/>
          <w:bCs/>
          <w:sz w:val="32"/>
          <w:szCs w:val="28"/>
        </w:rPr>
        <w:sectPr w:rsidR="0059419A" w:rsidRPr="00303E21" w:rsidSect="000F622F">
          <w:footerReference w:type="default" r:id="rId11"/>
          <w:pgSz w:w="12240" w:h="15840"/>
          <w:pgMar w:top="1440" w:right="1440" w:bottom="1440" w:left="1440" w:header="720" w:footer="720" w:gutter="0"/>
          <w:pgNumType w:start="1"/>
          <w:cols w:space="720"/>
          <w:docGrid w:linePitch="360"/>
        </w:sectPr>
      </w:pPr>
    </w:p>
    <w:p w:rsidR="00B536C9" w:rsidRPr="0011295B" w:rsidRDefault="008D1049" w:rsidP="00BE48D7">
      <w:pPr>
        <w:widowControl w:val="0"/>
        <w:autoSpaceDE w:val="0"/>
        <w:autoSpaceDN w:val="0"/>
        <w:adjustRightInd w:val="0"/>
        <w:spacing w:line="276" w:lineRule="auto"/>
        <w:rPr>
          <w:rFonts w:eastAsia="Calibri"/>
        </w:rPr>
      </w:pPr>
      <w:bookmarkStart w:id="1" w:name="_Toc295894620"/>
      <w:r w:rsidRPr="0011295B">
        <w:rPr>
          <w:rFonts w:eastAsia="Calibri"/>
        </w:rPr>
        <w:lastRenderedPageBreak/>
        <w:t>This informat</w:t>
      </w:r>
      <w:r w:rsidR="00B17E70">
        <w:rPr>
          <w:rFonts w:eastAsia="Calibri"/>
        </w:rPr>
        <w:t>ion collection request is for in-depth interviews</w:t>
      </w:r>
      <w:r w:rsidR="00C44EF1">
        <w:rPr>
          <w:rFonts w:eastAsia="Calibri"/>
        </w:rPr>
        <w:t xml:space="preserve"> or</w:t>
      </w:r>
      <w:r w:rsidR="00B17E70">
        <w:rPr>
          <w:rFonts w:eastAsia="Calibri"/>
        </w:rPr>
        <w:t xml:space="preserve"> focus groups, and structured </w:t>
      </w:r>
      <w:r w:rsidRPr="0011295B">
        <w:rPr>
          <w:rFonts w:eastAsia="Calibri"/>
        </w:rPr>
        <w:t xml:space="preserve">behavioral </w:t>
      </w:r>
      <w:r w:rsidR="00B457A4">
        <w:rPr>
          <w:rFonts w:eastAsia="Calibri"/>
        </w:rPr>
        <w:t>assessment</w:t>
      </w:r>
      <w:r w:rsidR="00B17E70">
        <w:rPr>
          <w:rFonts w:eastAsia="Calibri"/>
        </w:rPr>
        <w:t>s</w:t>
      </w:r>
      <w:r w:rsidRPr="0011295B">
        <w:rPr>
          <w:rFonts w:eastAsia="Calibri"/>
        </w:rPr>
        <w:t xml:space="preserve"> </w:t>
      </w:r>
      <w:r w:rsidR="00496EAC">
        <w:rPr>
          <w:rFonts w:eastAsia="Calibri"/>
        </w:rPr>
        <w:t>(aka survey</w:t>
      </w:r>
      <w:r w:rsidR="00096F10">
        <w:rPr>
          <w:rFonts w:eastAsia="Calibri"/>
        </w:rPr>
        <w:t>s</w:t>
      </w:r>
      <w:r w:rsidR="00496EAC">
        <w:rPr>
          <w:rFonts w:eastAsia="Calibri"/>
        </w:rPr>
        <w:t xml:space="preserve">) </w:t>
      </w:r>
      <w:r w:rsidR="00B17E70">
        <w:rPr>
          <w:rFonts w:eastAsia="Calibri"/>
        </w:rPr>
        <w:t xml:space="preserve">with 300 </w:t>
      </w:r>
      <w:r w:rsidRPr="0011295B">
        <w:rPr>
          <w:rFonts w:eastAsia="Calibri"/>
        </w:rPr>
        <w:t>high</w:t>
      </w:r>
      <w:r w:rsidR="00B457A4">
        <w:rPr>
          <w:rFonts w:eastAsia="Calibri"/>
        </w:rPr>
        <w:t>-</w:t>
      </w:r>
      <w:r w:rsidRPr="0011295B">
        <w:rPr>
          <w:rFonts w:eastAsia="Calibri"/>
        </w:rPr>
        <w:t xml:space="preserve">risk men who have sex with men (MSM) to explore </w:t>
      </w:r>
      <w:r w:rsidR="00B457A4">
        <w:rPr>
          <w:rFonts w:eastAsia="Calibri"/>
        </w:rPr>
        <w:t xml:space="preserve">the </w:t>
      </w:r>
      <w:r w:rsidR="004879FA" w:rsidRPr="0011295B">
        <w:rPr>
          <w:rFonts w:eastAsia="Calibri"/>
        </w:rPr>
        <w:t>decision</w:t>
      </w:r>
      <w:r w:rsidR="00B457A4">
        <w:rPr>
          <w:rFonts w:eastAsia="Calibri"/>
        </w:rPr>
        <w:t>-making process</w:t>
      </w:r>
      <w:r w:rsidR="00B652EB">
        <w:rPr>
          <w:rFonts w:eastAsia="Calibri"/>
        </w:rPr>
        <w:t>es</w:t>
      </w:r>
      <w:r w:rsidR="004879FA" w:rsidRPr="0011295B">
        <w:rPr>
          <w:rFonts w:eastAsia="Calibri"/>
        </w:rPr>
        <w:t xml:space="preserve"> about </w:t>
      </w:r>
      <w:r w:rsidRPr="0011295B">
        <w:rPr>
          <w:rFonts w:eastAsia="Calibri"/>
        </w:rPr>
        <w:t xml:space="preserve">pre-exposure </w:t>
      </w:r>
      <w:r w:rsidR="00B457A4" w:rsidRPr="0011295B">
        <w:rPr>
          <w:rFonts w:eastAsia="Calibri"/>
        </w:rPr>
        <w:t>prophylaxis</w:t>
      </w:r>
      <w:r w:rsidRPr="0011295B">
        <w:rPr>
          <w:rFonts w:eastAsia="Calibri"/>
        </w:rPr>
        <w:t xml:space="preserve"> (PrEP</w:t>
      </w:r>
      <w:r w:rsidR="00C44EF1">
        <w:rPr>
          <w:rFonts w:eastAsia="Calibri"/>
        </w:rPr>
        <w:t>:</w:t>
      </w:r>
      <w:r w:rsidR="00B17E70">
        <w:rPr>
          <w:rFonts w:eastAsia="Calibri"/>
        </w:rPr>
        <w:t xml:space="preserve"> is </w:t>
      </w:r>
      <w:r w:rsidRPr="0011295B">
        <w:rPr>
          <w:rFonts w:eastAsia="Calibri"/>
        </w:rPr>
        <w:t xml:space="preserve">an </w:t>
      </w:r>
      <w:r>
        <w:rPr>
          <w:rFonts w:eastAsia="Calibri"/>
        </w:rPr>
        <w:t>FDA-approved regimen of Tenofovir/emtricitabine</w:t>
      </w:r>
      <w:r w:rsidR="004A53BF">
        <w:rPr>
          <w:rFonts w:eastAsia="Calibri"/>
        </w:rPr>
        <w:t xml:space="preserve"> (aka, Truvada</w:t>
      </w:r>
      <w:r w:rsidR="004A53BF" w:rsidRPr="00695A39">
        <w:rPr>
          <w:rFonts w:eastAsia="Calibri"/>
          <w:vertAlign w:val="superscript"/>
        </w:rPr>
        <w:t>®</w:t>
      </w:r>
      <w:r w:rsidR="004A53BF" w:rsidRPr="00695A39">
        <w:rPr>
          <w:rFonts w:eastAsia="Calibri"/>
        </w:rPr>
        <w:t>)</w:t>
      </w:r>
      <w:r>
        <w:rPr>
          <w:rFonts w:eastAsia="Calibri"/>
        </w:rPr>
        <w:t xml:space="preserve">, </w:t>
      </w:r>
      <w:r w:rsidRPr="00F2222C">
        <w:rPr>
          <w:rFonts w:eastAsia="Calibri"/>
        </w:rPr>
        <w:t xml:space="preserve">shown </w:t>
      </w:r>
      <w:r>
        <w:rPr>
          <w:rFonts w:eastAsia="Calibri"/>
        </w:rPr>
        <w:t xml:space="preserve">to have </w:t>
      </w:r>
      <w:r w:rsidRPr="00F2222C">
        <w:rPr>
          <w:rFonts w:eastAsia="Calibri"/>
        </w:rPr>
        <w:t>greater than 90% efficacy in reducing HIV infections among MSM</w:t>
      </w:r>
      <w:r w:rsidR="00B457A4">
        <w:rPr>
          <w:rFonts w:eastAsia="Calibri"/>
        </w:rPr>
        <w:t>,</w:t>
      </w:r>
      <w:r w:rsidRPr="00F2222C">
        <w:rPr>
          <w:rFonts w:eastAsia="Calibri"/>
        </w:rPr>
        <w:t xml:space="preserve"> when taken in accordance with its prescribed daily schedule</w:t>
      </w:r>
      <w:r>
        <w:rPr>
          <w:rFonts w:eastAsia="Calibri"/>
        </w:rPr>
        <w:t>)</w:t>
      </w:r>
      <w:r w:rsidR="001917AE">
        <w:rPr>
          <w:rFonts w:eastAsia="Calibri"/>
        </w:rPr>
        <w:t>.</w:t>
      </w:r>
      <w:bookmarkEnd w:id="1"/>
      <w:r w:rsidR="004B1BC4">
        <w:rPr>
          <w:rFonts w:eastAsia="Calibri"/>
          <w:vertAlign w:val="superscript"/>
        </w:rPr>
        <w:t>1</w:t>
      </w:r>
      <w:r w:rsidR="00B536C9">
        <w:rPr>
          <w:rFonts w:eastAsia="Calibri"/>
        </w:rPr>
        <w:t xml:space="preserve"> For this study we are interested in</w:t>
      </w:r>
      <w:r w:rsidR="00B536C9" w:rsidRPr="0011295B">
        <w:rPr>
          <w:rFonts w:eastAsia="Calibri"/>
        </w:rPr>
        <w:t xml:space="preserve"> MSM who were: 1) offered PrEP but refused it; 2) interested in or started PrEP but did not follow through; and</w:t>
      </w:r>
      <w:r w:rsidR="00B536C9">
        <w:rPr>
          <w:rFonts w:eastAsia="Calibri"/>
        </w:rPr>
        <w:t>,</w:t>
      </w:r>
      <w:r w:rsidR="00B536C9" w:rsidRPr="0011295B">
        <w:rPr>
          <w:rFonts w:eastAsia="Calibri"/>
        </w:rPr>
        <w:t xml:space="preserve"> (3) </w:t>
      </w:r>
      <w:r w:rsidR="00CB7842">
        <w:rPr>
          <w:rFonts w:eastAsia="Calibri"/>
        </w:rPr>
        <w:t xml:space="preserve">are </w:t>
      </w:r>
      <w:r w:rsidR="005338F4">
        <w:rPr>
          <w:rFonts w:eastAsia="Calibri"/>
        </w:rPr>
        <w:t xml:space="preserve">not on PrEP but are </w:t>
      </w:r>
      <w:r w:rsidR="00B536C9" w:rsidRPr="0011295B">
        <w:rPr>
          <w:rFonts w:eastAsia="Calibri"/>
        </w:rPr>
        <w:t xml:space="preserve">eligible per CDC guidelines (condomless anal sex within </w:t>
      </w:r>
      <w:r w:rsidR="00B536C9">
        <w:rPr>
          <w:rFonts w:eastAsia="Calibri"/>
        </w:rPr>
        <w:t xml:space="preserve">the </w:t>
      </w:r>
      <w:r w:rsidR="00B536C9" w:rsidRPr="0011295B">
        <w:rPr>
          <w:rFonts w:eastAsia="Calibri"/>
        </w:rPr>
        <w:t xml:space="preserve">last </w:t>
      </w:r>
      <w:r w:rsidR="00B536C9">
        <w:rPr>
          <w:rFonts w:eastAsia="Calibri"/>
        </w:rPr>
        <w:t>3</w:t>
      </w:r>
      <w:r w:rsidR="00B536C9" w:rsidRPr="0011295B">
        <w:rPr>
          <w:rFonts w:eastAsia="Calibri"/>
        </w:rPr>
        <w:t xml:space="preserve"> months). </w:t>
      </w:r>
    </w:p>
    <w:p w:rsidR="00B536C9" w:rsidRPr="00303E21" w:rsidRDefault="00B536C9">
      <w:pPr>
        <w:rPr>
          <w:iCs/>
          <w:sz w:val="28"/>
          <w:szCs w:val="28"/>
        </w:rPr>
      </w:pPr>
    </w:p>
    <w:p w:rsidR="00B536C9" w:rsidRPr="00303E21" w:rsidRDefault="00B536C9">
      <w:pPr>
        <w:pStyle w:val="Heading1"/>
        <w:spacing w:before="0" w:after="0"/>
        <w:rPr>
          <w:rFonts w:ascii="Times New Roman" w:hAnsi="Times New Roman" w:cs="Times New Roman"/>
          <w:iCs/>
          <w:sz w:val="28"/>
          <w:szCs w:val="28"/>
        </w:rPr>
      </w:pPr>
      <w:bookmarkStart w:id="2" w:name="_Toc306891589"/>
      <w:bookmarkStart w:id="3" w:name="_Toc386719983"/>
      <w:r w:rsidRPr="00303E21">
        <w:rPr>
          <w:rFonts w:ascii="Times New Roman" w:hAnsi="Times New Roman" w:cs="Times New Roman"/>
          <w:iCs/>
          <w:sz w:val="28"/>
          <w:szCs w:val="28"/>
        </w:rPr>
        <w:t>1.  Respondent Universe and Sampling Methods</w:t>
      </w:r>
      <w:bookmarkEnd w:id="2"/>
      <w:bookmarkEnd w:id="3"/>
    </w:p>
    <w:p w:rsidR="00B536C9" w:rsidRPr="00303E21" w:rsidRDefault="00B536C9">
      <w:pPr>
        <w:widowControl w:val="0"/>
        <w:autoSpaceDE w:val="0"/>
        <w:autoSpaceDN w:val="0"/>
        <w:adjustRightInd w:val="0"/>
        <w:rPr>
          <w:b/>
        </w:rPr>
      </w:pPr>
    </w:p>
    <w:p w:rsidR="00B536C9" w:rsidRPr="00303E21" w:rsidRDefault="00B536C9">
      <w:pPr>
        <w:widowControl w:val="0"/>
        <w:autoSpaceDE w:val="0"/>
        <w:autoSpaceDN w:val="0"/>
        <w:adjustRightInd w:val="0"/>
        <w:rPr>
          <w:b/>
        </w:rPr>
      </w:pPr>
      <w:r w:rsidRPr="00303E21">
        <w:rPr>
          <w:b/>
        </w:rPr>
        <w:t>Target Population and City Selection</w:t>
      </w:r>
    </w:p>
    <w:p w:rsidR="00B536C9" w:rsidRPr="000A672C" w:rsidRDefault="00B536C9">
      <w:pPr>
        <w:widowControl w:val="0"/>
        <w:autoSpaceDE w:val="0"/>
        <w:autoSpaceDN w:val="0"/>
        <w:adjustRightInd w:val="0"/>
      </w:pPr>
      <w:r w:rsidRPr="00303E21">
        <w:tab/>
      </w:r>
    </w:p>
    <w:p w:rsidR="00B536C9" w:rsidRPr="000A672C" w:rsidRDefault="00B536C9">
      <w:pPr>
        <w:widowControl w:val="0"/>
        <w:autoSpaceDE w:val="0"/>
        <w:autoSpaceDN w:val="0"/>
        <w:adjustRightInd w:val="0"/>
        <w:spacing w:line="276" w:lineRule="auto"/>
        <w:rPr>
          <w:rFonts w:eastAsia="Calibri"/>
        </w:rPr>
      </w:pPr>
      <w:r w:rsidRPr="000A672C">
        <w:rPr>
          <w:rFonts w:eastAsia="Calibri"/>
        </w:rPr>
        <w:t xml:space="preserve">We will conduct the study in </w:t>
      </w:r>
      <w:r>
        <w:rPr>
          <w:rFonts w:eastAsia="Calibri"/>
        </w:rPr>
        <w:t>three</w:t>
      </w:r>
      <w:r w:rsidRPr="000A672C">
        <w:rPr>
          <w:rFonts w:eastAsia="Calibri"/>
        </w:rPr>
        <w:t xml:space="preserve"> geographically diverse cities – Atlanta (GA), Chicago (IL) and Raleigh-Durham (NC), which represent some of the most </w:t>
      </w:r>
      <w:r>
        <w:rPr>
          <w:rFonts w:eastAsia="Calibri"/>
        </w:rPr>
        <w:t>impacted</w:t>
      </w:r>
      <w:r w:rsidRPr="000A672C">
        <w:rPr>
          <w:rFonts w:eastAsia="Calibri"/>
        </w:rPr>
        <w:t xml:space="preserve"> communities in the U.S. based upon recent HIV prevalence and incidence estimates. </w:t>
      </w:r>
      <w:r>
        <w:rPr>
          <w:rFonts w:eastAsia="Calibri"/>
        </w:rPr>
        <w:t xml:space="preserve">We will target MSM over 18 years of age, with no less than 35% and no more than 65% of the sample being white </w:t>
      </w:r>
      <w:r w:rsidRPr="00B20E2D">
        <w:rPr>
          <w:rFonts w:eastAsia="Calibri"/>
          <w:i/>
        </w:rPr>
        <w:t>or</w:t>
      </w:r>
      <w:r>
        <w:rPr>
          <w:rFonts w:eastAsia="Calibri"/>
        </w:rPr>
        <w:t xml:space="preserve"> a racial/ethnic minority. </w:t>
      </w:r>
      <w:r w:rsidRPr="000A672C">
        <w:rPr>
          <w:rFonts w:eastAsia="Calibri"/>
        </w:rPr>
        <w:t xml:space="preserve">The demographic composition of these cities will </w:t>
      </w:r>
      <w:r>
        <w:rPr>
          <w:rFonts w:eastAsia="Calibri"/>
        </w:rPr>
        <w:t xml:space="preserve">better </w:t>
      </w:r>
      <w:r w:rsidRPr="000A672C">
        <w:rPr>
          <w:rFonts w:eastAsia="Calibri"/>
        </w:rPr>
        <w:t>enable us to r</w:t>
      </w:r>
      <w:r>
        <w:rPr>
          <w:rFonts w:eastAsia="Calibri"/>
        </w:rPr>
        <w:t>ecruit</w:t>
      </w:r>
      <w:r w:rsidRPr="000A672C">
        <w:rPr>
          <w:rFonts w:eastAsia="Calibri"/>
        </w:rPr>
        <w:t xml:space="preserve"> from MSM </w:t>
      </w:r>
      <w:r>
        <w:rPr>
          <w:rFonts w:eastAsia="Calibri"/>
        </w:rPr>
        <w:t xml:space="preserve">populations that </w:t>
      </w:r>
      <w:r w:rsidRPr="000A672C">
        <w:rPr>
          <w:rFonts w:eastAsia="Calibri"/>
        </w:rPr>
        <w:t>not only have a highly diverse racial and ethnic composition, but also have varying rates of PrEP uptake.</w:t>
      </w:r>
    </w:p>
    <w:p w:rsidR="00B536C9" w:rsidRPr="000A672C" w:rsidRDefault="00B536C9">
      <w:pPr>
        <w:widowControl w:val="0"/>
        <w:autoSpaceDE w:val="0"/>
        <w:autoSpaceDN w:val="0"/>
        <w:adjustRightInd w:val="0"/>
        <w:spacing w:line="276" w:lineRule="auto"/>
        <w:rPr>
          <w:rFonts w:eastAsia="Calibri"/>
        </w:rPr>
      </w:pPr>
    </w:p>
    <w:p w:rsidR="000A672C" w:rsidRPr="000A672C" w:rsidRDefault="00B536C9">
      <w:pPr>
        <w:widowControl w:val="0"/>
        <w:autoSpaceDE w:val="0"/>
        <w:autoSpaceDN w:val="0"/>
        <w:adjustRightInd w:val="0"/>
        <w:spacing w:line="276" w:lineRule="auto"/>
        <w:rPr>
          <w:rFonts w:eastAsia="Calibri"/>
        </w:rPr>
      </w:pPr>
      <w:r>
        <w:rPr>
          <w:rFonts w:eastAsia="Calibri"/>
        </w:rPr>
        <w:t xml:space="preserve">In 2015, Atlanta </w:t>
      </w:r>
      <w:r w:rsidRPr="000A672C">
        <w:rPr>
          <w:rFonts w:eastAsia="Calibri"/>
        </w:rPr>
        <w:t>ha</w:t>
      </w:r>
      <w:r>
        <w:rPr>
          <w:rFonts w:eastAsia="Calibri"/>
        </w:rPr>
        <w:t>d</w:t>
      </w:r>
      <w:r w:rsidRPr="000A672C">
        <w:rPr>
          <w:rFonts w:eastAsia="Calibri"/>
        </w:rPr>
        <w:t xml:space="preserve"> the fifth highest number of new HIV diagnoses in</w:t>
      </w:r>
      <w:r>
        <w:rPr>
          <w:rFonts w:eastAsia="Calibri"/>
        </w:rPr>
        <w:t xml:space="preserve"> the United States</w:t>
      </w:r>
      <w:r w:rsidR="004B1BC4">
        <w:rPr>
          <w:rFonts w:eastAsia="Calibri"/>
          <w:vertAlign w:val="superscript"/>
        </w:rPr>
        <w:t>2</w:t>
      </w:r>
      <w:r w:rsidR="004B1BC4">
        <w:rPr>
          <w:rFonts w:eastAsia="Calibri"/>
        </w:rPr>
        <w:t xml:space="preserve">; </w:t>
      </w:r>
      <w:r w:rsidRPr="000A672C">
        <w:rPr>
          <w:rFonts w:eastAsia="Calibri"/>
        </w:rPr>
        <w:t>6</w:t>
      </w:r>
      <w:r>
        <w:rPr>
          <w:rFonts w:eastAsia="Calibri"/>
        </w:rPr>
        <w:t>7</w:t>
      </w:r>
      <w:r w:rsidRPr="000A672C">
        <w:rPr>
          <w:rFonts w:eastAsia="Calibri"/>
        </w:rPr>
        <w:t>% of the new cases</w:t>
      </w:r>
      <w:r>
        <w:rPr>
          <w:rFonts w:eastAsia="Calibri"/>
        </w:rPr>
        <w:t xml:space="preserve"> diagnosed in Georgia</w:t>
      </w:r>
      <w:r w:rsidRPr="000A672C">
        <w:rPr>
          <w:rFonts w:eastAsia="Calibri"/>
        </w:rPr>
        <w:t xml:space="preserve"> were attributed to </w:t>
      </w:r>
      <w:r>
        <w:rPr>
          <w:rFonts w:eastAsia="Calibri"/>
        </w:rPr>
        <w:t>male-male sexual transmission.</w:t>
      </w:r>
      <w:r w:rsidR="004B1BC4">
        <w:rPr>
          <w:rFonts w:eastAsia="Calibri"/>
          <w:vertAlign w:val="superscript"/>
        </w:rPr>
        <w:t>3</w:t>
      </w:r>
      <w:r w:rsidRPr="000A672C">
        <w:rPr>
          <w:rFonts w:eastAsia="Calibri"/>
        </w:rPr>
        <w:t xml:space="preserve"> Black/African American MSM are disproportionately affected compared to White MSM, with </w:t>
      </w:r>
      <w:r>
        <w:rPr>
          <w:rFonts w:eastAsia="Calibri"/>
        </w:rPr>
        <w:t>the</w:t>
      </w:r>
      <w:r w:rsidRPr="000A672C">
        <w:rPr>
          <w:rFonts w:eastAsia="Calibri"/>
        </w:rPr>
        <w:t xml:space="preserve"> high</w:t>
      </w:r>
      <w:r>
        <w:rPr>
          <w:rFonts w:eastAsia="Calibri"/>
        </w:rPr>
        <w:t>est</w:t>
      </w:r>
      <w:r w:rsidRPr="000A672C">
        <w:rPr>
          <w:rFonts w:eastAsia="Calibri"/>
        </w:rPr>
        <w:t xml:space="preserve"> HIV incidence rate of 11% per year among Black/African Amer</w:t>
      </w:r>
      <w:r>
        <w:rPr>
          <w:rFonts w:eastAsia="Calibri"/>
        </w:rPr>
        <w:t>ican MSM aged 18-24 years.</w:t>
      </w:r>
      <w:r w:rsidR="004B1BC4">
        <w:rPr>
          <w:rFonts w:eastAsia="Calibri"/>
          <w:vertAlign w:val="superscript"/>
        </w:rPr>
        <w:t>4</w:t>
      </w:r>
      <w:r>
        <w:rPr>
          <w:rFonts w:eastAsia="Calibri"/>
        </w:rPr>
        <w:t xml:space="preserve"> </w:t>
      </w:r>
      <w:r w:rsidRPr="000A672C">
        <w:rPr>
          <w:rFonts w:eastAsia="Calibri"/>
        </w:rPr>
        <w:t>However, rates of PrEP uptake in Atlanta have been low compared to</w:t>
      </w:r>
      <w:r>
        <w:rPr>
          <w:rFonts w:eastAsia="Calibri"/>
        </w:rPr>
        <w:t xml:space="preserve"> </w:t>
      </w:r>
      <w:r w:rsidRPr="000A672C">
        <w:rPr>
          <w:rFonts w:eastAsia="Calibri"/>
        </w:rPr>
        <w:t>other</w:t>
      </w:r>
      <w:r>
        <w:rPr>
          <w:rFonts w:eastAsia="Calibri"/>
        </w:rPr>
        <w:t xml:space="preserve"> metropolitan</w:t>
      </w:r>
      <w:r w:rsidRPr="000A672C">
        <w:rPr>
          <w:rFonts w:eastAsia="Calibri"/>
        </w:rPr>
        <w:t xml:space="preserve"> U</w:t>
      </w:r>
      <w:r>
        <w:rPr>
          <w:rFonts w:eastAsia="Calibri"/>
        </w:rPr>
        <w:t>.</w:t>
      </w:r>
      <w:r w:rsidRPr="000A672C">
        <w:rPr>
          <w:rFonts w:eastAsia="Calibri"/>
        </w:rPr>
        <w:t>S</w:t>
      </w:r>
      <w:r>
        <w:rPr>
          <w:rFonts w:eastAsia="Calibri"/>
        </w:rPr>
        <w:t>.</w:t>
      </w:r>
      <w:r w:rsidRPr="000A672C">
        <w:rPr>
          <w:rFonts w:eastAsia="Calibri"/>
        </w:rPr>
        <w:t xml:space="preserve"> cities; recent data show that only 2% of MSM </w:t>
      </w:r>
      <w:r>
        <w:rPr>
          <w:rFonts w:eastAsia="Calibri"/>
        </w:rPr>
        <w:t>in Atlanta report using PrEP.</w:t>
      </w:r>
      <w:r w:rsidR="004B1BC4">
        <w:rPr>
          <w:rFonts w:eastAsia="Calibri"/>
          <w:vertAlign w:val="superscript"/>
        </w:rPr>
        <w:t>5</w:t>
      </w:r>
      <w:r>
        <w:rPr>
          <w:rFonts w:eastAsia="Calibri"/>
        </w:rPr>
        <w:t xml:space="preserve"> </w:t>
      </w:r>
      <w:r w:rsidR="00FA2E7C">
        <w:rPr>
          <w:rFonts w:eastAsia="Calibri"/>
        </w:rPr>
        <w:t>As such, there is</w:t>
      </w:r>
      <w:r w:rsidR="000A672C" w:rsidRPr="000A672C">
        <w:rPr>
          <w:rFonts w:eastAsia="Calibri"/>
        </w:rPr>
        <w:t xml:space="preserve"> a clear and urgent need for the scale up of effective HIV prevention interventions</w:t>
      </w:r>
      <w:r w:rsidR="0011560D">
        <w:rPr>
          <w:rFonts w:eastAsia="Calibri"/>
        </w:rPr>
        <w:t>, notably PrEP,</w:t>
      </w:r>
      <w:r w:rsidR="000A672C" w:rsidRPr="000A672C">
        <w:rPr>
          <w:rFonts w:eastAsia="Calibri"/>
        </w:rPr>
        <w:t xml:space="preserve"> in Atlanta, particularly among Black/African American MSM.</w:t>
      </w:r>
    </w:p>
    <w:p w:rsidR="000A672C" w:rsidRDefault="000A672C">
      <w:pPr>
        <w:widowControl w:val="0"/>
        <w:autoSpaceDE w:val="0"/>
        <w:autoSpaceDN w:val="0"/>
        <w:adjustRightInd w:val="0"/>
        <w:spacing w:line="276" w:lineRule="auto"/>
      </w:pPr>
    </w:p>
    <w:p w:rsidR="000A672C" w:rsidRDefault="0011295B">
      <w:pPr>
        <w:widowControl w:val="0"/>
        <w:autoSpaceDE w:val="0"/>
        <w:autoSpaceDN w:val="0"/>
        <w:adjustRightInd w:val="0"/>
        <w:spacing w:line="276" w:lineRule="auto"/>
      </w:pPr>
      <w:r>
        <w:t xml:space="preserve">In Chicago, </w:t>
      </w:r>
      <w:r w:rsidR="00C44EF1">
        <w:t>81%</w:t>
      </w:r>
      <w:r w:rsidR="000A672C">
        <w:t xml:space="preserve"> of new diagnoses between 2010 and 2014 were among men; of those new diagnoses, 78% were due t</w:t>
      </w:r>
      <w:r>
        <w:t>o male-to-male sexual contact</w:t>
      </w:r>
      <w:r w:rsidR="001917AE">
        <w:t>.</w:t>
      </w:r>
      <w:r w:rsidR="004B1BC4">
        <w:rPr>
          <w:vertAlign w:val="superscript"/>
        </w:rPr>
        <w:t>6</w:t>
      </w:r>
      <w:r w:rsidR="00B536C9">
        <w:t xml:space="preserve"> </w:t>
      </w:r>
      <w:r w:rsidR="000A672C">
        <w:t xml:space="preserve">Further, the rate of Black/African American </w:t>
      </w:r>
      <w:r w:rsidR="00FA2E7C">
        <w:t>MSM</w:t>
      </w:r>
      <w:r w:rsidR="000A672C">
        <w:t xml:space="preserve"> living with HIV in Chicago is </w:t>
      </w:r>
      <w:r w:rsidR="00804A56">
        <w:t>double</w:t>
      </w:r>
      <w:r w:rsidR="000A672C">
        <w:t xml:space="preserve"> that of white </w:t>
      </w:r>
      <w:r w:rsidR="00FA2E7C">
        <w:t>MSM.</w:t>
      </w:r>
      <w:r w:rsidR="00FA2E7C" w:rsidRPr="00BE48D7">
        <w:rPr>
          <w:vertAlign w:val="superscript"/>
        </w:rPr>
        <w:t>6</w:t>
      </w:r>
      <w:r w:rsidR="000A672C">
        <w:t xml:space="preserve"> </w:t>
      </w:r>
      <w:r w:rsidR="000A672C" w:rsidRPr="001917AE">
        <w:t>In a population-based study of younger Black/African American MSM in Chicago (n=622), only 40.5% had ever heard of PrEP and 12.1% k</w:t>
      </w:r>
      <w:r w:rsidRPr="001917AE">
        <w:t xml:space="preserve">new </w:t>
      </w:r>
      <w:r w:rsidR="0011560D" w:rsidRPr="001917AE">
        <w:t>some</w:t>
      </w:r>
      <w:r w:rsidRPr="001917AE">
        <w:t>one who had used PrEP</w:t>
      </w:r>
      <w:r w:rsidR="001917AE">
        <w:t>.</w:t>
      </w:r>
      <w:r w:rsidR="004B1BC4">
        <w:rPr>
          <w:vertAlign w:val="superscript"/>
        </w:rPr>
        <w:t>7</w:t>
      </w:r>
      <w:r w:rsidR="00B536C9">
        <w:t xml:space="preserve"> </w:t>
      </w:r>
      <w:r w:rsidR="000A672C">
        <w:t xml:space="preserve">Low awareness was </w:t>
      </w:r>
      <w:r w:rsidR="00C44EF1">
        <w:t xml:space="preserve">negatively </w:t>
      </w:r>
      <w:r w:rsidR="000A672C">
        <w:t>associated with various clinical engagement activities (e.g., having a primary care provider, having an anorectal STI test, and meeting with an HIV outreach worker). This study illustrate</w:t>
      </w:r>
      <w:r w:rsidR="00AA5737">
        <w:t>d</w:t>
      </w:r>
      <w:r w:rsidR="000A672C">
        <w:t xml:space="preserve"> that understanding barriers to PrEP uptake among a population with the highest HIV incidence is critical to increasing HIV prevention efforts</w:t>
      </w:r>
      <w:r w:rsidR="00C44EF1">
        <w:t xml:space="preserve"> in a variety of healthcare settings</w:t>
      </w:r>
      <w:r w:rsidR="000A672C">
        <w:t>.</w:t>
      </w:r>
    </w:p>
    <w:p w:rsidR="0011295B" w:rsidRDefault="0011295B">
      <w:pPr>
        <w:widowControl w:val="0"/>
        <w:autoSpaceDE w:val="0"/>
        <w:autoSpaceDN w:val="0"/>
        <w:adjustRightInd w:val="0"/>
        <w:spacing w:line="276" w:lineRule="auto"/>
      </w:pPr>
    </w:p>
    <w:p w:rsidR="00957F00" w:rsidRPr="0011295B" w:rsidRDefault="000A672C">
      <w:pPr>
        <w:widowControl w:val="0"/>
        <w:autoSpaceDE w:val="0"/>
        <w:autoSpaceDN w:val="0"/>
        <w:adjustRightInd w:val="0"/>
        <w:spacing w:line="276" w:lineRule="auto"/>
      </w:pPr>
      <w:r>
        <w:t>Between 2010 and 2014</w:t>
      </w:r>
      <w:r w:rsidR="0011295B" w:rsidRPr="0011295B">
        <w:t xml:space="preserve"> </w:t>
      </w:r>
      <w:r w:rsidR="0011295B">
        <w:t xml:space="preserve">in Raleigh-Durham, </w:t>
      </w:r>
      <w:r>
        <w:t>81% of new</w:t>
      </w:r>
      <w:r w:rsidR="00FA2E7C">
        <w:t xml:space="preserve"> HIV</w:t>
      </w:r>
      <w:r>
        <w:t xml:space="preserve"> diagnoses were </w:t>
      </w:r>
      <w:r w:rsidR="00C44EF1">
        <w:t xml:space="preserve">among </w:t>
      </w:r>
      <w:r>
        <w:t>men</w:t>
      </w:r>
      <w:r w:rsidR="00FA2E7C">
        <w:t>,</w:t>
      </w:r>
      <w:r>
        <w:t xml:space="preserve"> and 61% of new diagnoses were Black/African American; of those living with HIV, male-to-male sexual contact was the</w:t>
      </w:r>
      <w:r w:rsidR="0011560D">
        <w:t xml:space="preserve"> reported</w:t>
      </w:r>
      <w:r>
        <w:t xml:space="preserve"> t</w:t>
      </w:r>
      <w:r w:rsidR="0011295B">
        <w:t>ransmission</w:t>
      </w:r>
      <w:r w:rsidR="0011560D">
        <w:t xml:space="preserve"> risk</w:t>
      </w:r>
      <w:r w:rsidR="0011295B">
        <w:t xml:space="preserve"> for 60.3%</w:t>
      </w:r>
      <w:r w:rsidR="001917AE">
        <w:t>.</w:t>
      </w:r>
      <w:r w:rsidR="004B1BC4">
        <w:rPr>
          <w:vertAlign w:val="superscript"/>
        </w:rPr>
        <w:t>8</w:t>
      </w:r>
      <w:r w:rsidR="00B536C9">
        <w:t xml:space="preserve"> Although the majority of the population of Wake County is White (62.8%), 60% of those living with HIV are Black/African American; the rate of Black/African American males living with HIV is approximately 6 times that of White males.</w:t>
      </w:r>
      <w:r w:rsidR="004B1BC4">
        <w:rPr>
          <w:vertAlign w:val="superscript"/>
        </w:rPr>
        <w:t>9</w:t>
      </w:r>
      <w:r w:rsidR="00B536C9">
        <w:t xml:space="preserve"> </w:t>
      </w:r>
      <w:r>
        <w:t>According to Advance Community Health</w:t>
      </w:r>
      <w:r w:rsidR="00FA2E7C">
        <w:t xml:space="preserve"> (personal communication)</w:t>
      </w:r>
      <w:r>
        <w:t xml:space="preserve">, a collaborating </w:t>
      </w:r>
      <w:r w:rsidR="004E41CA">
        <w:t>community based organization</w:t>
      </w:r>
      <w:r w:rsidR="004E41CA" w:rsidRPr="004E41CA">
        <w:t xml:space="preserve"> </w:t>
      </w:r>
      <w:r w:rsidR="004E41CA">
        <w:t>(</w:t>
      </w:r>
      <w:r>
        <w:t>CBO</w:t>
      </w:r>
      <w:r w:rsidR="004E41CA">
        <w:t>)</w:t>
      </w:r>
      <w:r>
        <w:t>, their PrEP clinic has received at least 62 referrals from the Wake County Health Department STD clinic; of these, 22 referred patients never scheduled an initial appointment and 26 of the remaining 40 referred patients failed to keep their first appointment</w:t>
      </w:r>
      <w:r w:rsidR="001917AE">
        <w:t>.</w:t>
      </w:r>
      <w:r w:rsidR="00FA2E7C">
        <w:t xml:space="preserve"> </w:t>
      </w:r>
      <w:r>
        <w:t>Thus, there is a clear and urgent need to better understand what deters these individuals from initiating a PrEP regimen.</w:t>
      </w:r>
    </w:p>
    <w:p w:rsidR="00957F00" w:rsidRDefault="00957F00">
      <w:pPr>
        <w:widowControl w:val="0"/>
        <w:autoSpaceDE w:val="0"/>
        <w:autoSpaceDN w:val="0"/>
        <w:adjustRightInd w:val="0"/>
        <w:spacing w:line="276" w:lineRule="auto"/>
        <w:rPr>
          <w:i/>
        </w:rPr>
      </w:pPr>
    </w:p>
    <w:p w:rsidR="008A26A9" w:rsidRPr="00E91F9C" w:rsidRDefault="008A26A9">
      <w:pPr>
        <w:widowControl w:val="0"/>
        <w:autoSpaceDE w:val="0"/>
        <w:autoSpaceDN w:val="0"/>
        <w:adjustRightInd w:val="0"/>
        <w:spacing w:line="276" w:lineRule="auto"/>
        <w:rPr>
          <w:b/>
        </w:rPr>
      </w:pPr>
      <w:r w:rsidRPr="00E91F9C">
        <w:rPr>
          <w:b/>
        </w:rPr>
        <w:t xml:space="preserve">Exhibit </w:t>
      </w:r>
      <w:r w:rsidR="00126DC8" w:rsidRPr="00E91F9C">
        <w:rPr>
          <w:b/>
        </w:rPr>
        <w:t>B</w:t>
      </w:r>
      <w:r w:rsidRPr="00E91F9C">
        <w:rPr>
          <w:b/>
        </w:rPr>
        <w:t>1</w:t>
      </w:r>
      <w:r w:rsidR="00126DC8" w:rsidRPr="00A52920">
        <w:rPr>
          <w:b/>
        </w:rPr>
        <w:t>.</w:t>
      </w:r>
      <w:r w:rsidR="00126DC8">
        <w:rPr>
          <w:b/>
        </w:rPr>
        <w:t>1</w:t>
      </w:r>
      <w:r w:rsidRPr="00E91F9C">
        <w:rPr>
          <w:b/>
        </w:rPr>
        <w:t>: Summary of Recruitment Targets</w:t>
      </w:r>
    </w:p>
    <w:p w:rsidR="008A26A9" w:rsidRDefault="00B17E70">
      <w:pPr>
        <w:pStyle w:val="Protocol"/>
        <w:ind w:left="720"/>
        <w:rPr>
          <w:rFonts w:ascii="Times New Roman" w:hAnsi="Times New Roman" w:cs="Times New Roman"/>
        </w:rPr>
      </w:pPr>
      <w:r>
        <w:rPr>
          <w:rFonts w:ascii="Times New Roman" w:hAnsi="Times New Roman" w:cs="Times New Roman"/>
        </w:rPr>
        <w:t xml:space="preserve">HIV-uninfected MSM </w:t>
      </w:r>
      <w:r w:rsidR="0011295B">
        <w:rPr>
          <w:rFonts w:ascii="Times New Roman" w:hAnsi="Times New Roman" w:cs="Times New Roman"/>
        </w:rPr>
        <w:t>18+</w:t>
      </w:r>
      <w:r w:rsidR="008A26A9">
        <w:rPr>
          <w:rFonts w:ascii="Times New Roman" w:hAnsi="Times New Roman" w:cs="Times New Roman"/>
        </w:rPr>
        <w:t xml:space="preserve"> years old</w:t>
      </w:r>
      <w:r w:rsidR="00D567D3">
        <w:rPr>
          <w:rFonts w:ascii="Times New Roman" w:hAnsi="Times New Roman" w:cs="Times New Roman"/>
        </w:rPr>
        <w:t xml:space="preserve">: </w:t>
      </w:r>
      <w:r w:rsidR="0011295B">
        <w:rPr>
          <w:rFonts w:ascii="Times New Roman" w:hAnsi="Times New Roman" w:cs="Times New Roman"/>
        </w:rPr>
        <w:t>300 cases – Further subdivided:</w:t>
      </w:r>
    </w:p>
    <w:p w:rsidR="00D567D3" w:rsidRDefault="00D567D3">
      <w:pPr>
        <w:pStyle w:val="Protocol"/>
        <w:ind w:left="720"/>
        <w:rPr>
          <w:rFonts w:ascii="Times New Roman" w:hAnsi="Times New Roman" w:cs="Times New Roman"/>
        </w:rPr>
      </w:pPr>
      <w:r>
        <w:rPr>
          <w:rFonts w:ascii="Times New Roman" w:hAnsi="Times New Roman" w:cs="Times New Roman"/>
        </w:rPr>
        <w:t xml:space="preserve">White/Caucasian: </w:t>
      </w:r>
      <w:r w:rsidR="008850EF">
        <w:rPr>
          <w:rFonts w:ascii="Times New Roman" w:hAnsi="Times New Roman" w:cs="Times New Roman"/>
        </w:rPr>
        <w:t>105 – 195 cases</w:t>
      </w:r>
    </w:p>
    <w:p w:rsidR="0011295B" w:rsidRDefault="0011295B">
      <w:pPr>
        <w:pStyle w:val="Protocol"/>
        <w:ind w:left="720"/>
        <w:rPr>
          <w:rFonts w:ascii="Times New Roman" w:hAnsi="Times New Roman" w:cs="Times New Roman"/>
        </w:rPr>
      </w:pPr>
      <w:r>
        <w:rPr>
          <w:rFonts w:ascii="Times New Roman" w:hAnsi="Times New Roman" w:cs="Times New Roman"/>
        </w:rPr>
        <w:t>Hispanic/Latino or Black/African American</w:t>
      </w:r>
      <w:r w:rsidR="00DA07C5">
        <w:rPr>
          <w:rFonts w:ascii="Times New Roman" w:hAnsi="Times New Roman" w:cs="Times New Roman"/>
        </w:rPr>
        <w:t xml:space="preserve">: </w:t>
      </w:r>
      <w:r>
        <w:rPr>
          <w:rFonts w:ascii="Times New Roman" w:hAnsi="Times New Roman" w:cs="Times New Roman"/>
        </w:rPr>
        <w:t xml:space="preserve">105 </w:t>
      </w:r>
      <w:r w:rsidR="008850EF">
        <w:rPr>
          <w:rFonts w:ascii="Times New Roman" w:hAnsi="Times New Roman" w:cs="Times New Roman"/>
        </w:rPr>
        <w:t>- 195 cases</w:t>
      </w:r>
    </w:p>
    <w:p w:rsidR="008A26A9" w:rsidRPr="00E91F9C" w:rsidRDefault="008A26A9">
      <w:pPr>
        <w:pStyle w:val="Protocol"/>
        <w:rPr>
          <w:rFonts w:ascii="Times New Roman" w:hAnsi="Times New Roman" w:cs="Times New Roman"/>
          <w:b w:val="0"/>
        </w:rPr>
      </w:pPr>
      <w:r w:rsidRPr="00E91F9C">
        <w:rPr>
          <w:rFonts w:ascii="Times New Roman" w:hAnsi="Times New Roman" w:cs="Times New Roman"/>
          <w:b w:val="0"/>
        </w:rPr>
        <w:t xml:space="preserve">In order to incorporate the target demographic groups, respondents will be recruited as follows: </w:t>
      </w:r>
    </w:p>
    <w:p w:rsidR="008A26A9" w:rsidRDefault="008A26A9">
      <w:pPr>
        <w:pStyle w:val="ListParagraph"/>
        <w:widowControl w:val="0"/>
        <w:autoSpaceDE w:val="0"/>
        <w:autoSpaceDN w:val="0"/>
        <w:adjustRightInd w:val="0"/>
        <w:spacing w:after="120"/>
        <w:ind w:left="0"/>
        <w:rPr>
          <w:rFonts w:ascii="Times New Roman" w:hAnsi="Times New Roman"/>
          <w:b/>
          <w:sz w:val="24"/>
          <w:szCs w:val="24"/>
        </w:rPr>
      </w:pPr>
      <w:r w:rsidRPr="00D84AAE">
        <w:rPr>
          <w:rFonts w:ascii="Times New Roman" w:hAnsi="Times New Roman"/>
          <w:b/>
          <w:sz w:val="24"/>
          <w:szCs w:val="24"/>
        </w:rPr>
        <w:t xml:space="preserve">Exhibit </w:t>
      </w:r>
      <w:r w:rsidR="00126DC8" w:rsidRPr="00D84AAE">
        <w:rPr>
          <w:rFonts w:ascii="Times New Roman" w:hAnsi="Times New Roman"/>
          <w:b/>
          <w:sz w:val="24"/>
          <w:szCs w:val="24"/>
        </w:rPr>
        <w:t>B1.</w:t>
      </w:r>
      <w:r w:rsidRPr="00D84AAE">
        <w:rPr>
          <w:rFonts w:ascii="Times New Roman" w:hAnsi="Times New Roman"/>
          <w:b/>
          <w:sz w:val="24"/>
          <w:szCs w:val="24"/>
        </w:rPr>
        <w:t>2.</w:t>
      </w:r>
      <w:r w:rsidRPr="00E91F9C">
        <w:rPr>
          <w:rFonts w:ascii="Times New Roman" w:hAnsi="Times New Roman"/>
          <w:b/>
          <w:sz w:val="24"/>
          <w:szCs w:val="24"/>
        </w:rPr>
        <w:t xml:space="preserve"> Target Distribution by City</w:t>
      </w:r>
    </w:p>
    <w:p w:rsidR="00450C85" w:rsidRPr="00E91F9C" w:rsidRDefault="00450C85">
      <w:pPr>
        <w:pStyle w:val="ListParagraph"/>
        <w:widowControl w:val="0"/>
        <w:autoSpaceDE w:val="0"/>
        <w:autoSpaceDN w:val="0"/>
        <w:adjustRightInd w:val="0"/>
        <w:spacing w:after="120"/>
        <w:ind w:left="0"/>
        <w:rPr>
          <w:rFonts w:ascii="Times New Roman" w:hAnsi="Times New Roman"/>
          <w:b/>
          <w:sz w:val="24"/>
          <w:szCs w:val="24"/>
        </w:rPr>
      </w:pPr>
    </w:p>
    <w:tbl>
      <w:tblPr>
        <w:tblW w:w="8322" w:type="dxa"/>
        <w:jc w:val="center"/>
        <w:tblBorders>
          <w:top w:val="single" w:sz="4" w:space="0" w:color="auto"/>
          <w:left w:val="single" w:sz="4" w:space="0" w:color="auto"/>
          <w:bottom w:val="single" w:sz="4" w:space="0" w:color="auto"/>
          <w:right w:val="single" w:sz="4" w:space="0" w:color="auto"/>
          <w:insideH w:val="single" w:sz="2" w:space="0" w:color="auto"/>
          <w:insideV w:val="single" w:sz="2" w:space="0" w:color="auto"/>
        </w:tblBorders>
        <w:tblLayout w:type="fixed"/>
        <w:tblLook w:val="0000" w:firstRow="0" w:lastRow="0" w:firstColumn="0" w:lastColumn="0" w:noHBand="0" w:noVBand="0"/>
      </w:tblPr>
      <w:tblGrid>
        <w:gridCol w:w="2267"/>
        <w:gridCol w:w="2119"/>
        <w:gridCol w:w="2195"/>
        <w:gridCol w:w="1741"/>
      </w:tblGrid>
      <w:tr w:rsidR="00D567D3" w:rsidRPr="000A672C" w:rsidTr="008850EF">
        <w:trPr>
          <w:trHeight w:val="391"/>
          <w:jc w:val="center"/>
        </w:trPr>
        <w:tc>
          <w:tcPr>
            <w:tcW w:w="2267" w:type="dxa"/>
            <w:tcMar>
              <w:top w:w="20" w:type="nil"/>
              <w:left w:w="20" w:type="nil"/>
              <w:bottom w:w="20" w:type="nil"/>
              <w:right w:w="20" w:type="nil"/>
            </w:tcMar>
            <w:vAlign w:val="center"/>
          </w:tcPr>
          <w:p w:rsidR="00D567D3" w:rsidRPr="000A672C" w:rsidRDefault="00D567D3">
            <w:pPr>
              <w:widowControl w:val="0"/>
              <w:tabs>
                <w:tab w:val="center" w:pos="4680"/>
                <w:tab w:val="right" w:pos="9360"/>
              </w:tabs>
              <w:autoSpaceDE w:val="0"/>
              <w:autoSpaceDN w:val="0"/>
              <w:adjustRightInd w:val="0"/>
              <w:contextualSpacing/>
              <w:rPr>
                <w:rFonts w:eastAsia="Calibri"/>
                <w:b/>
              </w:rPr>
            </w:pPr>
          </w:p>
        </w:tc>
        <w:tc>
          <w:tcPr>
            <w:tcW w:w="2119" w:type="dxa"/>
            <w:tcMar>
              <w:top w:w="20" w:type="nil"/>
              <w:left w:w="20" w:type="nil"/>
              <w:bottom w:w="20" w:type="nil"/>
              <w:right w:w="20" w:type="nil"/>
            </w:tcMar>
            <w:vAlign w:val="center"/>
          </w:tcPr>
          <w:p w:rsidR="00D567D3" w:rsidRPr="000A672C" w:rsidRDefault="00D567D3" w:rsidP="00BE48D7">
            <w:pPr>
              <w:widowControl w:val="0"/>
              <w:autoSpaceDE w:val="0"/>
              <w:autoSpaceDN w:val="0"/>
              <w:adjustRightInd w:val="0"/>
              <w:spacing w:after="240"/>
              <w:contextualSpacing/>
              <w:rPr>
                <w:rFonts w:eastAsia="Calibri"/>
                <w:b/>
              </w:rPr>
            </w:pPr>
            <w:r>
              <w:rPr>
                <w:rFonts w:eastAsia="Calibri"/>
                <w:b/>
              </w:rPr>
              <w:t>White/Caucasian</w:t>
            </w:r>
            <w:r w:rsidR="00941073">
              <w:rPr>
                <w:rFonts w:eastAsia="Calibri"/>
                <w:b/>
              </w:rPr>
              <w:t xml:space="preserve"> (range)</w:t>
            </w:r>
            <w:r>
              <w:rPr>
                <w:rFonts w:eastAsia="Calibri"/>
                <w:b/>
              </w:rPr>
              <w:t xml:space="preserve"> </w:t>
            </w:r>
          </w:p>
        </w:tc>
        <w:tc>
          <w:tcPr>
            <w:tcW w:w="2195" w:type="dxa"/>
            <w:tcMar>
              <w:top w:w="20" w:type="nil"/>
              <w:left w:w="20" w:type="nil"/>
              <w:bottom w:w="20" w:type="nil"/>
              <w:right w:w="20" w:type="nil"/>
            </w:tcMar>
            <w:vAlign w:val="center"/>
          </w:tcPr>
          <w:p w:rsidR="00D567D3" w:rsidRPr="000A672C" w:rsidRDefault="00D567D3" w:rsidP="00BE48D7">
            <w:pPr>
              <w:widowControl w:val="0"/>
              <w:autoSpaceDE w:val="0"/>
              <w:autoSpaceDN w:val="0"/>
              <w:adjustRightInd w:val="0"/>
              <w:spacing w:after="240"/>
              <w:contextualSpacing/>
              <w:rPr>
                <w:rFonts w:eastAsia="Calibri"/>
                <w:b/>
              </w:rPr>
            </w:pPr>
            <w:r w:rsidRPr="00D567D3">
              <w:rPr>
                <w:rFonts w:eastAsia="Calibri"/>
                <w:b/>
              </w:rPr>
              <w:t>Hispanic/Latino and Black/African American</w:t>
            </w:r>
            <w:r>
              <w:rPr>
                <w:rFonts w:eastAsia="Calibri"/>
                <w:b/>
              </w:rPr>
              <w:t xml:space="preserve"> </w:t>
            </w:r>
            <w:r w:rsidR="00941073">
              <w:rPr>
                <w:rFonts w:eastAsia="Calibri"/>
                <w:b/>
              </w:rPr>
              <w:t>(range)</w:t>
            </w:r>
          </w:p>
        </w:tc>
        <w:tc>
          <w:tcPr>
            <w:tcW w:w="1741" w:type="dxa"/>
          </w:tcPr>
          <w:p w:rsidR="00D567D3" w:rsidRPr="000A672C" w:rsidRDefault="00D567D3" w:rsidP="00BE48D7">
            <w:pPr>
              <w:widowControl w:val="0"/>
              <w:autoSpaceDE w:val="0"/>
              <w:autoSpaceDN w:val="0"/>
              <w:adjustRightInd w:val="0"/>
              <w:spacing w:after="240"/>
              <w:contextualSpacing/>
              <w:rPr>
                <w:rFonts w:eastAsia="Calibri"/>
                <w:b/>
              </w:rPr>
            </w:pPr>
            <w:r w:rsidRPr="000A672C">
              <w:rPr>
                <w:rFonts w:eastAsia="Calibri"/>
                <w:b/>
              </w:rPr>
              <w:t>Total</w:t>
            </w:r>
          </w:p>
          <w:p w:rsidR="00D567D3" w:rsidRPr="000A672C" w:rsidRDefault="00D567D3" w:rsidP="00BE48D7">
            <w:pPr>
              <w:widowControl w:val="0"/>
              <w:autoSpaceDE w:val="0"/>
              <w:autoSpaceDN w:val="0"/>
              <w:adjustRightInd w:val="0"/>
              <w:spacing w:after="240"/>
              <w:contextualSpacing/>
              <w:rPr>
                <w:rFonts w:eastAsia="Calibri"/>
                <w:b/>
              </w:rPr>
            </w:pPr>
          </w:p>
        </w:tc>
      </w:tr>
      <w:tr w:rsidR="00D567D3" w:rsidRPr="000A672C" w:rsidTr="008850EF">
        <w:trPr>
          <w:trHeight w:val="316"/>
          <w:jc w:val="center"/>
        </w:trPr>
        <w:tc>
          <w:tcPr>
            <w:tcW w:w="2267" w:type="dxa"/>
            <w:tcMar>
              <w:top w:w="20" w:type="nil"/>
              <w:left w:w="20" w:type="nil"/>
              <w:bottom w:w="20" w:type="nil"/>
              <w:right w:w="20" w:type="nil"/>
            </w:tcMar>
            <w:vAlign w:val="center"/>
          </w:tcPr>
          <w:p w:rsidR="00D567D3" w:rsidRPr="000A672C" w:rsidRDefault="00D567D3">
            <w:pPr>
              <w:widowControl w:val="0"/>
              <w:autoSpaceDE w:val="0"/>
              <w:autoSpaceDN w:val="0"/>
              <w:adjustRightInd w:val="0"/>
              <w:spacing w:after="240"/>
              <w:contextualSpacing/>
              <w:rPr>
                <w:rFonts w:eastAsia="Calibri"/>
                <w:b/>
              </w:rPr>
            </w:pPr>
            <w:r>
              <w:rPr>
                <w:rFonts w:eastAsia="Calibri"/>
                <w:b/>
              </w:rPr>
              <w:t>Atlanta</w:t>
            </w:r>
          </w:p>
        </w:tc>
        <w:tc>
          <w:tcPr>
            <w:tcW w:w="2119" w:type="dxa"/>
            <w:tcMar>
              <w:top w:w="20" w:type="nil"/>
              <w:left w:w="20" w:type="nil"/>
              <w:bottom w:w="20" w:type="nil"/>
              <w:right w:w="20" w:type="nil"/>
            </w:tcMar>
            <w:vAlign w:val="center"/>
          </w:tcPr>
          <w:p w:rsidR="00D567D3" w:rsidRPr="000A672C" w:rsidRDefault="008850EF" w:rsidP="00BE48D7">
            <w:pPr>
              <w:widowControl w:val="0"/>
              <w:autoSpaceDE w:val="0"/>
              <w:autoSpaceDN w:val="0"/>
              <w:adjustRightInd w:val="0"/>
              <w:spacing w:after="240"/>
              <w:contextualSpacing/>
              <w:rPr>
                <w:rFonts w:eastAsia="Calibri"/>
              </w:rPr>
            </w:pPr>
            <w:r>
              <w:rPr>
                <w:rFonts w:eastAsia="Calibri"/>
              </w:rPr>
              <w:t>35-65</w:t>
            </w:r>
          </w:p>
        </w:tc>
        <w:tc>
          <w:tcPr>
            <w:tcW w:w="2195" w:type="dxa"/>
          </w:tcPr>
          <w:p w:rsidR="00D567D3" w:rsidRPr="000A672C" w:rsidRDefault="008850EF" w:rsidP="00BE48D7">
            <w:pPr>
              <w:widowControl w:val="0"/>
              <w:autoSpaceDE w:val="0"/>
              <w:autoSpaceDN w:val="0"/>
              <w:adjustRightInd w:val="0"/>
              <w:spacing w:after="240"/>
              <w:contextualSpacing/>
              <w:rPr>
                <w:rFonts w:eastAsia="Calibri"/>
              </w:rPr>
            </w:pPr>
            <w:r>
              <w:rPr>
                <w:rFonts w:eastAsia="Calibri"/>
              </w:rPr>
              <w:t>35-65</w:t>
            </w:r>
          </w:p>
        </w:tc>
        <w:tc>
          <w:tcPr>
            <w:tcW w:w="1741" w:type="dxa"/>
          </w:tcPr>
          <w:p w:rsidR="00D567D3" w:rsidRPr="000A672C" w:rsidRDefault="00D567D3" w:rsidP="00BE48D7">
            <w:pPr>
              <w:widowControl w:val="0"/>
              <w:autoSpaceDE w:val="0"/>
              <w:autoSpaceDN w:val="0"/>
              <w:adjustRightInd w:val="0"/>
              <w:spacing w:after="240"/>
              <w:contextualSpacing/>
              <w:rPr>
                <w:rFonts w:eastAsia="Calibri"/>
              </w:rPr>
            </w:pPr>
            <w:r w:rsidRPr="000A672C">
              <w:rPr>
                <w:rFonts w:eastAsia="Calibri"/>
              </w:rPr>
              <w:t>100</w:t>
            </w:r>
          </w:p>
        </w:tc>
      </w:tr>
      <w:tr w:rsidR="00D567D3" w:rsidRPr="000A672C" w:rsidTr="008850EF">
        <w:trPr>
          <w:trHeight w:val="316"/>
          <w:jc w:val="center"/>
        </w:trPr>
        <w:tc>
          <w:tcPr>
            <w:tcW w:w="2267" w:type="dxa"/>
            <w:tcMar>
              <w:top w:w="20" w:type="nil"/>
              <w:left w:w="20" w:type="nil"/>
              <w:bottom w:w="20" w:type="nil"/>
              <w:right w:w="20" w:type="nil"/>
            </w:tcMar>
            <w:vAlign w:val="center"/>
          </w:tcPr>
          <w:p w:rsidR="00D567D3" w:rsidRPr="000A672C" w:rsidRDefault="00D567D3">
            <w:pPr>
              <w:widowControl w:val="0"/>
              <w:autoSpaceDE w:val="0"/>
              <w:autoSpaceDN w:val="0"/>
              <w:adjustRightInd w:val="0"/>
              <w:spacing w:after="240"/>
              <w:contextualSpacing/>
              <w:rPr>
                <w:rFonts w:eastAsia="Calibri"/>
                <w:b/>
              </w:rPr>
            </w:pPr>
            <w:r w:rsidRPr="000A672C">
              <w:rPr>
                <w:rFonts w:eastAsia="Calibri"/>
                <w:b/>
              </w:rPr>
              <w:t>Raleigh-Durham</w:t>
            </w:r>
          </w:p>
        </w:tc>
        <w:tc>
          <w:tcPr>
            <w:tcW w:w="2119" w:type="dxa"/>
            <w:tcMar>
              <w:top w:w="20" w:type="nil"/>
              <w:left w:w="20" w:type="nil"/>
              <w:bottom w:w="20" w:type="nil"/>
              <w:right w:w="20" w:type="nil"/>
            </w:tcMar>
            <w:vAlign w:val="center"/>
          </w:tcPr>
          <w:p w:rsidR="00D567D3" w:rsidRPr="000A672C" w:rsidRDefault="008850EF" w:rsidP="00BE48D7">
            <w:pPr>
              <w:widowControl w:val="0"/>
              <w:autoSpaceDE w:val="0"/>
              <w:autoSpaceDN w:val="0"/>
              <w:adjustRightInd w:val="0"/>
              <w:spacing w:after="240"/>
              <w:contextualSpacing/>
              <w:rPr>
                <w:rFonts w:eastAsia="Calibri"/>
              </w:rPr>
            </w:pPr>
            <w:r>
              <w:rPr>
                <w:rFonts w:eastAsia="Calibri"/>
              </w:rPr>
              <w:t>35-65</w:t>
            </w:r>
          </w:p>
        </w:tc>
        <w:tc>
          <w:tcPr>
            <w:tcW w:w="2195" w:type="dxa"/>
          </w:tcPr>
          <w:p w:rsidR="00D567D3" w:rsidRPr="000A672C" w:rsidRDefault="008850EF" w:rsidP="00BE48D7">
            <w:pPr>
              <w:widowControl w:val="0"/>
              <w:autoSpaceDE w:val="0"/>
              <w:autoSpaceDN w:val="0"/>
              <w:adjustRightInd w:val="0"/>
              <w:spacing w:after="240"/>
              <w:contextualSpacing/>
              <w:rPr>
                <w:rFonts w:eastAsia="Calibri"/>
              </w:rPr>
            </w:pPr>
            <w:r>
              <w:rPr>
                <w:rFonts w:eastAsia="Calibri"/>
              </w:rPr>
              <w:t>35-65</w:t>
            </w:r>
          </w:p>
        </w:tc>
        <w:tc>
          <w:tcPr>
            <w:tcW w:w="1741" w:type="dxa"/>
          </w:tcPr>
          <w:p w:rsidR="00D567D3" w:rsidRPr="000A672C" w:rsidRDefault="00D567D3" w:rsidP="00BE48D7">
            <w:pPr>
              <w:widowControl w:val="0"/>
              <w:autoSpaceDE w:val="0"/>
              <w:autoSpaceDN w:val="0"/>
              <w:adjustRightInd w:val="0"/>
              <w:spacing w:after="240"/>
              <w:contextualSpacing/>
              <w:rPr>
                <w:rFonts w:eastAsia="Calibri"/>
              </w:rPr>
            </w:pPr>
            <w:r w:rsidRPr="000A672C">
              <w:rPr>
                <w:rFonts w:eastAsia="Calibri"/>
              </w:rPr>
              <w:t>100</w:t>
            </w:r>
          </w:p>
        </w:tc>
      </w:tr>
      <w:tr w:rsidR="00D567D3" w:rsidRPr="000A672C" w:rsidTr="008850EF">
        <w:trPr>
          <w:trHeight w:val="316"/>
          <w:jc w:val="center"/>
        </w:trPr>
        <w:tc>
          <w:tcPr>
            <w:tcW w:w="2267" w:type="dxa"/>
            <w:tcMar>
              <w:top w:w="20" w:type="nil"/>
              <w:left w:w="20" w:type="nil"/>
              <w:bottom w:w="20" w:type="nil"/>
              <w:right w:w="20" w:type="nil"/>
            </w:tcMar>
            <w:vAlign w:val="center"/>
          </w:tcPr>
          <w:p w:rsidR="00D567D3" w:rsidRPr="000A672C" w:rsidRDefault="00D567D3">
            <w:pPr>
              <w:widowControl w:val="0"/>
              <w:autoSpaceDE w:val="0"/>
              <w:autoSpaceDN w:val="0"/>
              <w:adjustRightInd w:val="0"/>
              <w:spacing w:after="240"/>
              <w:contextualSpacing/>
              <w:rPr>
                <w:rFonts w:eastAsia="Calibri"/>
                <w:b/>
              </w:rPr>
            </w:pPr>
            <w:r w:rsidRPr="000A672C">
              <w:rPr>
                <w:rFonts w:eastAsia="Calibri"/>
                <w:b/>
              </w:rPr>
              <w:t>Chicago</w:t>
            </w:r>
          </w:p>
        </w:tc>
        <w:tc>
          <w:tcPr>
            <w:tcW w:w="2119" w:type="dxa"/>
            <w:tcMar>
              <w:top w:w="20" w:type="nil"/>
              <w:left w:w="20" w:type="nil"/>
              <w:bottom w:w="20" w:type="nil"/>
              <w:right w:w="20" w:type="nil"/>
            </w:tcMar>
            <w:vAlign w:val="center"/>
          </w:tcPr>
          <w:p w:rsidR="00D567D3" w:rsidRPr="000A672C" w:rsidRDefault="008850EF" w:rsidP="00BE48D7">
            <w:pPr>
              <w:widowControl w:val="0"/>
              <w:autoSpaceDE w:val="0"/>
              <w:autoSpaceDN w:val="0"/>
              <w:adjustRightInd w:val="0"/>
              <w:spacing w:after="240"/>
              <w:contextualSpacing/>
              <w:rPr>
                <w:rFonts w:eastAsia="Calibri"/>
              </w:rPr>
            </w:pPr>
            <w:r>
              <w:rPr>
                <w:rFonts w:eastAsia="Calibri"/>
              </w:rPr>
              <w:t>35-65</w:t>
            </w:r>
          </w:p>
        </w:tc>
        <w:tc>
          <w:tcPr>
            <w:tcW w:w="2195" w:type="dxa"/>
          </w:tcPr>
          <w:p w:rsidR="00D567D3" w:rsidRPr="000A672C" w:rsidRDefault="008850EF" w:rsidP="00BE48D7">
            <w:pPr>
              <w:widowControl w:val="0"/>
              <w:autoSpaceDE w:val="0"/>
              <w:autoSpaceDN w:val="0"/>
              <w:adjustRightInd w:val="0"/>
              <w:spacing w:after="240"/>
              <w:contextualSpacing/>
              <w:rPr>
                <w:rFonts w:eastAsia="Calibri"/>
              </w:rPr>
            </w:pPr>
            <w:r>
              <w:rPr>
                <w:rFonts w:eastAsia="Calibri"/>
              </w:rPr>
              <w:t>35-65</w:t>
            </w:r>
          </w:p>
        </w:tc>
        <w:tc>
          <w:tcPr>
            <w:tcW w:w="1741" w:type="dxa"/>
          </w:tcPr>
          <w:p w:rsidR="00D567D3" w:rsidRPr="000A672C" w:rsidRDefault="00D567D3" w:rsidP="00BE48D7">
            <w:pPr>
              <w:widowControl w:val="0"/>
              <w:autoSpaceDE w:val="0"/>
              <w:autoSpaceDN w:val="0"/>
              <w:adjustRightInd w:val="0"/>
              <w:spacing w:after="240"/>
              <w:contextualSpacing/>
              <w:rPr>
                <w:rFonts w:eastAsia="Calibri"/>
              </w:rPr>
            </w:pPr>
            <w:r w:rsidRPr="000A672C">
              <w:rPr>
                <w:rFonts w:eastAsia="Calibri"/>
              </w:rPr>
              <w:t>100</w:t>
            </w:r>
          </w:p>
        </w:tc>
      </w:tr>
      <w:tr w:rsidR="00D567D3" w:rsidRPr="000A672C" w:rsidTr="008850EF">
        <w:trPr>
          <w:trHeight w:val="394"/>
          <w:jc w:val="center"/>
        </w:trPr>
        <w:tc>
          <w:tcPr>
            <w:tcW w:w="2267" w:type="dxa"/>
            <w:tcMar>
              <w:top w:w="20" w:type="nil"/>
              <w:left w:w="20" w:type="nil"/>
              <w:bottom w:w="20" w:type="nil"/>
              <w:right w:w="20" w:type="nil"/>
            </w:tcMar>
            <w:vAlign w:val="center"/>
          </w:tcPr>
          <w:p w:rsidR="00D567D3" w:rsidRPr="000A672C" w:rsidRDefault="00D567D3">
            <w:pPr>
              <w:widowControl w:val="0"/>
              <w:autoSpaceDE w:val="0"/>
              <w:autoSpaceDN w:val="0"/>
              <w:adjustRightInd w:val="0"/>
              <w:spacing w:after="240"/>
              <w:contextualSpacing/>
              <w:rPr>
                <w:rFonts w:eastAsia="Calibri"/>
                <w:b/>
              </w:rPr>
            </w:pPr>
            <w:r w:rsidRPr="000A672C">
              <w:rPr>
                <w:rFonts w:eastAsia="Calibri"/>
                <w:b/>
              </w:rPr>
              <w:t xml:space="preserve">Total N </w:t>
            </w:r>
          </w:p>
        </w:tc>
        <w:tc>
          <w:tcPr>
            <w:tcW w:w="2119" w:type="dxa"/>
            <w:tcMar>
              <w:top w:w="20" w:type="nil"/>
              <w:left w:w="20" w:type="nil"/>
              <w:bottom w:w="20" w:type="nil"/>
              <w:right w:w="20" w:type="nil"/>
            </w:tcMar>
            <w:vAlign w:val="center"/>
          </w:tcPr>
          <w:p w:rsidR="00D567D3" w:rsidRPr="000A672C" w:rsidRDefault="008850EF" w:rsidP="00BE48D7">
            <w:pPr>
              <w:widowControl w:val="0"/>
              <w:autoSpaceDE w:val="0"/>
              <w:autoSpaceDN w:val="0"/>
              <w:adjustRightInd w:val="0"/>
              <w:contextualSpacing/>
              <w:rPr>
                <w:rFonts w:eastAsia="Calibri"/>
              </w:rPr>
            </w:pPr>
            <w:r>
              <w:rPr>
                <w:rFonts w:eastAsia="Calibri"/>
              </w:rPr>
              <w:t>105-195</w:t>
            </w:r>
          </w:p>
        </w:tc>
        <w:tc>
          <w:tcPr>
            <w:tcW w:w="2195" w:type="dxa"/>
            <w:tcMar>
              <w:top w:w="20" w:type="nil"/>
              <w:left w:w="20" w:type="nil"/>
              <w:bottom w:w="20" w:type="nil"/>
              <w:right w:w="20" w:type="nil"/>
            </w:tcMar>
            <w:vAlign w:val="center"/>
          </w:tcPr>
          <w:p w:rsidR="00D567D3" w:rsidRPr="000A672C" w:rsidRDefault="008850EF" w:rsidP="00BE48D7">
            <w:pPr>
              <w:widowControl w:val="0"/>
              <w:autoSpaceDE w:val="0"/>
              <w:autoSpaceDN w:val="0"/>
              <w:adjustRightInd w:val="0"/>
              <w:contextualSpacing/>
              <w:rPr>
                <w:rFonts w:eastAsia="Calibri"/>
              </w:rPr>
            </w:pPr>
            <w:r>
              <w:rPr>
                <w:rFonts w:eastAsia="Calibri"/>
              </w:rPr>
              <w:t>105-195</w:t>
            </w:r>
          </w:p>
        </w:tc>
        <w:tc>
          <w:tcPr>
            <w:tcW w:w="1741" w:type="dxa"/>
            <w:vAlign w:val="center"/>
          </w:tcPr>
          <w:p w:rsidR="00D567D3" w:rsidRPr="000A672C" w:rsidRDefault="00D567D3" w:rsidP="00BE48D7">
            <w:pPr>
              <w:widowControl w:val="0"/>
              <w:autoSpaceDE w:val="0"/>
              <w:autoSpaceDN w:val="0"/>
              <w:adjustRightInd w:val="0"/>
              <w:contextualSpacing/>
              <w:rPr>
                <w:rFonts w:eastAsia="Calibri"/>
              </w:rPr>
            </w:pPr>
            <w:r w:rsidRPr="000A672C">
              <w:rPr>
                <w:rFonts w:eastAsia="Calibri"/>
              </w:rPr>
              <w:t>3</w:t>
            </w:r>
            <w:r>
              <w:rPr>
                <w:rFonts w:eastAsia="Calibri"/>
              </w:rPr>
              <w:t>0</w:t>
            </w:r>
            <w:r w:rsidRPr="000A672C">
              <w:rPr>
                <w:rFonts w:eastAsia="Calibri"/>
              </w:rPr>
              <w:t>0</w:t>
            </w:r>
          </w:p>
        </w:tc>
      </w:tr>
    </w:tbl>
    <w:p w:rsidR="008A26A9" w:rsidRPr="00E91F9C" w:rsidRDefault="008A26A9">
      <w:pPr>
        <w:pStyle w:val="Protocol"/>
        <w:rPr>
          <w:rFonts w:ascii="Times New Roman" w:hAnsi="Times New Roman" w:cs="Times New Roman"/>
          <w:b w:val="0"/>
        </w:rPr>
      </w:pPr>
      <w:r w:rsidRPr="00E91F9C">
        <w:rPr>
          <w:rFonts w:ascii="Times New Roman" w:hAnsi="Times New Roman" w:cs="Times New Roman"/>
          <w:b w:val="0"/>
        </w:rPr>
        <w:t xml:space="preserve">Although we expect it will be possible to recruit enough respondents to fill each target identified in Exhibits </w:t>
      </w:r>
      <w:r w:rsidR="00126DC8">
        <w:rPr>
          <w:rFonts w:ascii="Times New Roman" w:hAnsi="Times New Roman" w:cs="Times New Roman"/>
          <w:b w:val="0"/>
        </w:rPr>
        <w:t>B</w:t>
      </w:r>
      <w:r w:rsidRPr="00E91F9C">
        <w:rPr>
          <w:rFonts w:ascii="Times New Roman" w:hAnsi="Times New Roman" w:cs="Times New Roman"/>
          <w:b w:val="0"/>
        </w:rPr>
        <w:t>1</w:t>
      </w:r>
      <w:r w:rsidR="00126DC8">
        <w:rPr>
          <w:rFonts w:ascii="Times New Roman" w:hAnsi="Times New Roman" w:cs="Times New Roman"/>
          <w:b w:val="0"/>
        </w:rPr>
        <w:t>.1</w:t>
      </w:r>
      <w:r w:rsidRPr="00E91F9C">
        <w:rPr>
          <w:rFonts w:ascii="Times New Roman" w:hAnsi="Times New Roman" w:cs="Times New Roman"/>
          <w:b w:val="0"/>
        </w:rPr>
        <w:t xml:space="preserve"> and </w:t>
      </w:r>
      <w:r w:rsidR="00126DC8">
        <w:rPr>
          <w:rFonts w:ascii="Times New Roman" w:hAnsi="Times New Roman" w:cs="Times New Roman"/>
          <w:b w:val="0"/>
        </w:rPr>
        <w:t>B1.</w:t>
      </w:r>
      <w:r w:rsidRPr="00E91F9C">
        <w:rPr>
          <w:rFonts w:ascii="Times New Roman" w:hAnsi="Times New Roman" w:cs="Times New Roman"/>
          <w:b w:val="0"/>
        </w:rPr>
        <w:t xml:space="preserve">2, in the event that it is not possible to fill a target, we will work with </w:t>
      </w:r>
      <w:r w:rsidR="0011295B">
        <w:rPr>
          <w:rFonts w:ascii="Times New Roman" w:hAnsi="Times New Roman" w:cs="Times New Roman"/>
          <w:b w:val="0"/>
        </w:rPr>
        <w:t xml:space="preserve">partnering agencies </w:t>
      </w:r>
      <w:r w:rsidRPr="00E91F9C">
        <w:rPr>
          <w:rFonts w:ascii="Times New Roman" w:hAnsi="Times New Roman" w:cs="Times New Roman"/>
          <w:b w:val="0"/>
        </w:rPr>
        <w:t xml:space="preserve">to determine the best alternatives available.  All efforts will be made to maintain the targets listed above and even in the event that </w:t>
      </w:r>
      <w:r w:rsidR="00CA4588">
        <w:rPr>
          <w:rFonts w:ascii="Times New Roman" w:hAnsi="Times New Roman" w:cs="Times New Roman"/>
          <w:b w:val="0"/>
        </w:rPr>
        <w:t xml:space="preserve">we </w:t>
      </w:r>
      <w:r w:rsidR="00CA4588" w:rsidRPr="00A52920">
        <w:rPr>
          <w:rFonts w:ascii="Times New Roman" w:hAnsi="Times New Roman" w:cs="Times New Roman"/>
          <w:b w:val="0"/>
        </w:rPr>
        <w:t>decide</w:t>
      </w:r>
      <w:r w:rsidRPr="00E91F9C">
        <w:rPr>
          <w:rFonts w:ascii="Times New Roman" w:hAnsi="Times New Roman" w:cs="Times New Roman"/>
          <w:b w:val="0"/>
        </w:rPr>
        <w:t xml:space="preserve"> that targets need to be </w:t>
      </w:r>
      <w:r w:rsidR="00AA5737">
        <w:rPr>
          <w:rFonts w:ascii="Times New Roman" w:hAnsi="Times New Roman" w:cs="Times New Roman"/>
          <w:b w:val="0"/>
        </w:rPr>
        <w:t>adjust</w:t>
      </w:r>
      <w:r w:rsidRPr="00E91F9C">
        <w:rPr>
          <w:rFonts w:ascii="Times New Roman" w:hAnsi="Times New Roman" w:cs="Times New Roman"/>
          <w:b w:val="0"/>
        </w:rPr>
        <w:t xml:space="preserve">ed, a total of </w:t>
      </w:r>
      <w:r w:rsidR="00941073">
        <w:rPr>
          <w:rFonts w:ascii="Times New Roman" w:hAnsi="Times New Roman" w:cs="Times New Roman"/>
          <w:b w:val="0"/>
        </w:rPr>
        <w:t>300 behavioral assessments</w:t>
      </w:r>
      <w:r w:rsidRPr="00E91F9C">
        <w:rPr>
          <w:rFonts w:ascii="Times New Roman" w:hAnsi="Times New Roman" w:cs="Times New Roman"/>
          <w:b w:val="0"/>
        </w:rPr>
        <w:t xml:space="preserve"> will be completed </w:t>
      </w:r>
      <w:r w:rsidR="005527EC">
        <w:rPr>
          <w:rFonts w:ascii="Times New Roman" w:hAnsi="Times New Roman" w:cs="Times New Roman"/>
          <w:b w:val="0"/>
        </w:rPr>
        <w:t xml:space="preserve">with MSM </w:t>
      </w:r>
      <w:r w:rsidRPr="00E91F9C">
        <w:rPr>
          <w:rFonts w:ascii="Times New Roman" w:hAnsi="Times New Roman" w:cs="Times New Roman"/>
          <w:b w:val="0"/>
        </w:rPr>
        <w:t>for the study.</w:t>
      </w:r>
    </w:p>
    <w:p w:rsidR="000A672C" w:rsidRPr="000A672C" w:rsidRDefault="000A672C">
      <w:pPr>
        <w:widowControl w:val="0"/>
        <w:contextualSpacing/>
        <w:rPr>
          <w:rFonts w:eastAsia="Calibri"/>
        </w:rPr>
      </w:pPr>
      <w:bookmarkStart w:id="4" w:name="_Toc374364888"/>
      <w:bookmarkStart w:id="5" w:name="_Toc374364889"/>
      <w:bookmarkStart w:id="6" w:name="_Toc374364932"/>
      <w:bookmarkEnd w:id="4"/>
      <w:bookmarkEnd w:id="5"/>
      <w:bookmarkEnd w:id="6"/>
      <w:r w:rsidRPr="000A672C">
        <w:rPr>
          <w:rFonts w:eastAsia="Calibri"/>
        </w:rPr>
        <w:t xml:space="preserve">We will use a three-stage purposive sampling plan: 1) selection of the sites: Atlanta, GA, Raleigh-Durham, NC, and Chicago, IL; 2) selection of partner agencies and organizations capable of enrolling the required number of eligible MSM in each site; and 3) recruitment and enrollment of 100 MSM in each site. </w:t>
      </w:r>
    </w:p>
    <w:p w:rsidR="000A672C" w:rsidRPr="000A672C" w:rsidRDefault="000A672C">
      <w:pPr>
        <w:contextualSpacing/>
        <w:rPr>
          <w:rFonts w:eastAsia="Calibri"/>
          <w:sz w:val="12"/>
          <w:szCs w:val="12"/>
        </w:rPr>
      </w:pPr>
    </w:p>
    <w:p w:rsidR="000A672C" w:rsidRPr="000A672C" w:rsidRDefault="00065A66">
      <w:pPr>
        <w:contextualSpacing/>
        <w:rPr>
          <w:rFonts w:eastAsia="Calibri"/>
        </w:rPr>
      </w:pPr>
      <w:r>
        <w:rPr>
          <w:rFonts w:eastAsia="Calibri"/>
        </w:rPr>
        <w:t>Eligible respondent</w:t>
      </w:r>
      <w:r w:rsidR="000A672C" w:rsidRPr="000A672C">
        <w:rPr>
          <w:rFonts w:eastAsia="Calibri"/>
        </w:rPr>
        <w:t>s will be screened and grouped into one of three categories: a) PrEP refusers, b) unsuccessful</w:t>
      </w:r>
      <w:r w:rsidR="001F0DA8">
        <w:rPr>
          <w:rFonts w:eastAsia="Calibri"/>
        </w:rPr>
        <w:t xml:space="preserve"> PrEP</w:t>
      </w:r>
      <w:r w:rsidR="000A672C" w:rsidRPr="000A672C">
        <w:rPr>
          <w:rFonts w:eastAsia="Calibri"/>
        </w:rPr>
        <w:t xml:space="preserve"> initiators, or 3) PrEP-eligible</w:t>
      </w:r>
      <w:r w:rsidR="005E27D1">
        <w:rPr>
          <w:rFonts w:eastAsia="Calibri"/>
        </w:rPr>
        <w:t xml:space="preserve"> </w:t>
      </w:r>
      <w:r w:rsidR="00FA2E7C">
        <w:rPr>
          <w:rFonts w:eastAsia="Calibri"/>
        </w:rPr>
        <w:t>M</w:t>
      </w:r>
      <w:r w:rsidR="005E27D1">
        <w:rPr>
          <w:rFonts w:eastAsia="Calibri"/>
        </w:rPr>
        <w:t>SM</w:t>
      </w:r>
      <w:r>
        <w:rPr>
          <w:rFonts w:eastAsia="Calibri"/>
        </w:rPr>
        <w:t>. If a respondent</w:t>
      </w:r>
      <w:r w:rsidR="00B20E2D">
        <w:rPr>
          <w:rFonts w:eastAsia="Calibri"/>
        </w:rPr>
        <w:t xml:space="preserve"> is eligible for Phase 1</w:t>
      </w:r>
      <w:r w:rsidR="000A672C" w:rsidRPr="000A672C">
        <w:rPr>
          <w:rFonts w:eastAsia="Calibri"/>
        </w:rPr>
        <w:t xml:space="preserve"> (</w:t>
      </w:r>
      <w:r w:rsidR="005E27D1">
        <w:rPr>
          <w:rFonts w:eastAsia="Calibri"/>
        </w:rPr>
        <w:t xml:space="preserve">because </w:t>
      </w:r>
      <w:r w:rsidR="000A672C" w:rsidRPr="000A672C">
        <w:rPr>
          <w:rFonts w:eastAsia="Calibri"/>
        </w:rPr>
        <w:t xml:space="preserve">they </w:t>
      </w:r>
      <w:r w:rsidR="005E27D1">
        <w:rPr>
          <w:rFonts w:eastAsia="Calibri"/>
        </w:rPr>
        <w:t>refused PrEP</w:t>
      </w:r>
      <w:r w:rsidR="000A672C" w:rsidRPr="000A672C">
        <w:rPr>
          <w:rFonts w:eastAsia="Calibri"/>
        </w:rPr>
        <w:t xml:space="preserve"> or unsuccessful</w:t>
      </w:r>
      <w:r w:rsidR="005E27D1">
        <w:rPr>
          <w:rFonts w:eastAsia="Calibri"/>
        </w:rPr>
        <w:t>ly initiated PrEP</w:t>
      </w:r>
      <w:r w:rsidR="000A672C" w:rsidRPr="000A672C">
        <w:rPr>
          <w:rFonts w:eastAsia="Calibri"/>
        </w:rPr>
        <w:t>), they will be offered participation in a</w:t>
      </w:r>
      <w:r>
        <w:rPr>
          <w:rFonts w:eastAsia="Calibri"/>
        </w:rPr>
        <w:t xml:space="preserve"> focus group. If the respondent</w:t>
      </w:r>
      <w:r w:rsidR="000A672C" w:rsidRPr="000A672C">
        <w:rPr>
          <w:rFonts w:eastAsia="Calibri"/>
        </w:rPr>
        <w:t xml:space="preserve"> is unable or unwilling to join a focus group, or the appropriate group is already full, they will be </w:t>
      </w:r>
      <w:r w:rsidR="00A825F8">
        <w:rPr>
          <w:rFonts w:eastAsia="Calibri"/>
        </w:rPr>
        <w:t>asked to participate in an in-depth interview (IDI)</w:t>
      </w:r>
      <w:r w:rsidR="00B20E2D">
        <w:rPr>
          <w:rFonts w:eastAsia="Calibri"/>
        </w:rPr>
        <w:t>. All Phase 1 respondent</w:t>
      </w:r>
      <w:r w:rsidR="000A672C" w:rsidRPr="000A672C">
        <w:rPr>
          <w:rFonts w:eastAsia="Calibri"/>
        </w:rPr>
        <w:t>s will complete a behavioral assessment after the</w:t>
      </w:r>
      <w:r w:rsidR="001F0DA8">
        <w:rPr>
          <w:rFonts w:eastAsia="Calibri"/>
        </w:rPr>
        <w:t>ir respective</w:t>
      </w:r>
      <w:r w:rsidR="000A672C" w:rsidRPr="000A672C">
        <w:rPr>
          <w:rFonts w:eastAsia="Calibri"/>
        </w:rPr>
        <w:t xml:space="preserve"> focus group or IDI.</w:t>
      </w:r>
    </w:p>
    <w:p w:rsidR="000A672C" w:rsidRPr="000A672C" w:rsidRDefault="000A672C">
      <w:pPr>
        <w:contextualSpacing/>
        <w:rPr>
          <w:rFonts w:eastAsia="Calibri"/>
        </w:rPr>
      </w:pPr>
    </w:p>
    <w:p w:rsidR="000A672C" w:rsidRPr="000A672C" w:rsidRDefault="000A672C">
      <w:pPr>
        <w:contextualSpacing/>
        <w:rPr>
          <w:rFonts w:eastAsia="Calibri"/>
        </w:rPr>
      </w:pPr>
      <w:r w:rsidRPr="000A672C">
        <w:rPr>
          <w:rFonts w:eastAsia="Calibri"/>
        </w:rPr>
        <w:t>If the respondent is screened as PrEP-eligible</w:t>
      </w:r>
      <w:r w:rsidR="00A825F8">
        <w:rPr>
          <w:rFonts w:eastAsia="Calibri"/>
        </w:rPr>
        <w:t xml:space="preserve"> yet report never having been offered PrEP</w:t>
      </w:r>
      <w:r w:rsidRPr="000A672C">
        <w:rPr>
          <w:rFonts w:eastAsia="Calibri"/>
        </w:rPr>
        <w:t xml:space="preserve">, they will complete the behavioral assessment </w:t>
      </w:r>
      <w:r w:rsidR="00FA2E7C">
        <w:rPr>
          <w:rFonts w:eastAsia="Calibri"/>
        </w:rPr>
        <w:t>upon</w:t>
      </w:r>
      <w:r w:rsidRPr="000A672C">
        <w:rPr>
          <w:rFonts w:eastAsia="Calibri"/>
        </w:rPr>
        <w:t xml:space="preserve"> providing </w:t>
      </w:r>
      <w:r w:rsidR="00FA2E7C">
        <w:rPr>
          <w:rFonts w:eastAsia="Calibri"/>
        </w:rPr>
        <w:t xml:space="preserve">voluntary, informed </w:t>
      </w:r>
      <w:r w:rsidRPr="000A672C">
        <w:rPr>
          <w:rFonts w:eastAsia="Calibri"/>
        </w:rPr>
        <w:t>cons</w:t>
      </w:r>
      <w:r w:rsidR="00FA2E7C">
        <w:rPr>
          <w:rFonts w:eastAsia="Calibri"/>
        </w:rPr>
        <w:t>ent</w:t>
      </w:r>
      <w:r w:rsidRPr="000A672C">
        <w:rPr>
          <w:rFonts w:eastAsia="Calibri"/>
        </w:rPr>
        <w:t>.</w:t>
      </w:r>
    </w:p>
    <w:p w:rsidR="000A672C" w:rsidRPr="000A672C" w:rsidRDefault="000A672C">
      <w:pPr>
        <w:widowControl w:val="0"/>
        <w:autoSpaceDE w:val="0"/>
        <w:autoSpaceDN w:val="0"/>
        <w:adjustRightInd w:val="0"/>
        <w:rPr>
          <w:rFonts w:eastAsia="Calibri"/>
          <w:sz w:val="22"/>
        </w:rPr>
      </w:pPr>
    </w:p>
    <w:p w:rsidR="000A672C" w:rsidRPr="000A672C" w:rsidRDefault="000A672C">
      <w:pPr>
        <w:rPr>
          <w:rFonts w:cs="Arial"/>
        </w:rPr>
      </w:pPr>
      <w:r w:rsidRPr="000A672C">
        <w:rPr>
          <w:rFonts w:cs="Arial"/>
        </w:rPr>
        <w:t xml:space="preserve">Purposive sampling is based on having strong theoretical reasons for the choice of cases to be included in the sample. Rather than using probabilistic methods (i.e., random selection with known, non-zero chances of selection for each unit in the population) to generate a sample, purposive sampling draws on theory (i.e., the academic literature) and practice to select the most information-rich cases to inform the research question(s) being explored. Unlike probability sampling, the goal of purposive sampling is not to achieve statistical generalizability to a wider population, but rather to have sufficient variation to enable making salient analytic comparisons of interest. </w:t>
      </w:r>
      <w:r w:rsidR="00902935" w:rsidRPr="00902935">
        <w:rPr>
          <w:rFonts w:cs="Arial"/>
        </w:rPr>
        <w:t xml:space="preserve">In addition, to select a representative, probability sample, it would be necessary to find or build a sampling frame of HIV-negative men in the cities of interest, which is not currently available and -- if feasible -- would require a long lead time.  Therefore, using a non-representative sample shortens the period of data collection and allows for quick analysis of results, thus meeting </w:t>
      </w:r>
      <w:r w:rsidR="00D16C2C">
        <w:rPr>
          <w:rFonts w:cs="Arial"/>
        </w:rPr>
        <w:t xml:space="preserve">study </w:t>
      </w:r>
      <w:r w:rsidR="00902935" w:rsidRPr="00902935">
        <w:rPr>
          <w:rFonts w:cs="Arial"/>
        </w:rPr>
        <w:t>goals.</w:t>
      </w:r>
    </w:p>
    <w:p w:rsidR="000A672C" w:rsidRPr="000A672C" w:rsidRDefault="000A672C">
      <w:pPr>
        <w:rPr>
          <w:rFonts w:cs="Arial"/>
          <w:sz w:val="12"/>
          <w:szCs w:val="12"/>
        </w:rPr>
      </w:pPr>
    </w:p>
    <w:p w:rsidR="000A672C" w:rsidRPr="000A672C" w:rsidRDefault="000A672C">
      <w:pPr>
        <w:rPr>
          <w:rFonts w:cs="Arial"/>
        </w:rPr>
      </w:pPr>
      <w:r w:rsidRPr="000A672C">
        <w:rPr>
          <w:rFonts w:cs="Arial"/>
        </w:rPr>
        <w:t xml:space="preserve">For all groups, based on the demographics of the selected </w:t>
      </w:r>
      <w:r w:rsidR="00D16C2C">
        <w:rPr>
          <w:rFonts w:cs="Arial"/>
        </w:rPr>
        <w:t>sites</w:t>
      </w:r>
      <w:r w:rsidRPr="000A672C">
        <w:rPr>
          <w:rFonts w:cs="Arial"/>
        </w:rPr>
        <w:t xml:space="preserve"> as well as the composition of the client population of our partner agencies, we will also strive for meaningful racial/ethnic diversity. Overall, we want to maintain a 35-65% range of minority (all race/ethnicities and white </w:t>
      </w:r>
      <w:r w:rsidR="00065A66">
        <w:rPr>
          <w:rFonts w:cs="Arial"/>
        </w:rPr>
        <w:t>respondents</w:t>
      </w:r>
      <w:r w:rsidR="00D16C2C">
        <w:rPr>
          <w:rFonts w:cs="Arial"/>
        </w:rPr>
        <w:t>)</w:t>
      </w:r>
      <w:r w:rsidRPr="000A672C">
        <w:rPr>
          <w:rFonts w:cs="Arial"/>
        </w:rPr>
        <w:t xml:space="preserve"> across both phases of the study </w:t>
      </w:r>
      <w:r w:rsidR="00D16C2C">
        <w:rPr>
          <w:rFonts w:cs="Arial"/>
        </w:rPr>
        <w:t xml:space="preserve">with </w:t>
      </w:r>
      <w:r w:rsidRPr="000A672C">
        <w:rPr>
          <w:rFonts w:cs="Arial"/>
        </w:rPr>
        <w:t>no less than 35% or</w:t>
      </w:r>
      <w:r w:rsidR="00D16C2C">
        <w:rPr>
          <w:rFonts w:cs="Arial"/>
        </w:rPr>
        <w:t xml:space="preserve"> no</w:t>
      </w:r>
      <w:r w:rsidRPr="000A672C">
        <w:rPr>
          <w:rFonts w:cs="Arial"/>
        </w:rPr>
        <w:t xml:space="preserve"> more than 65% per group. </w:t>
      </w:r>
    </w:p>
    <w:p w:rsidR="000A672C" w:rsidRPr="000A672C" w:rsidRDefault="000A672C">
      <w:pPr>
        <w:rPr>
          <w:rFonts w:cs="Arial"/>
        </w:rPr>
      </w:pPr>
    </w:p>
    <w:p w:rsidR="000A672C" w:rsidRPr="000A672C" w:rsidRDefault="000A672C">
      <w:pPr>
        <w:contextualSpacing/>
        <w:rPr>
          <w:rFonts w:eastAsia="Calibri"/>
        </w:rPr>
      </w:pPr>
      <w:r w:rsidRPr="000A672C">
        <w:rPr>
          <w:rFonts w:eastAsia="Calibri"/>
        </w:rPr>
        <w:t>Study participation will be limited to men who can speak and read English. Sample sizes are small and adding Spanish would necessitate conducting some of the focus groups in that language as well as offering the behavioral assessment</w:t>
      </w:r>
      <w:r w:rsidRPr="000A672C" w:rsidDel="00D163CB">
        <w:rPr>
          <w:rFonts w:eastAsia="Calibri"/>
        </w:rPr>
        <w:t xml:space="preserve"> </w:t>
      </w:r>
      <w:r w:rsidRPr="000A672C">
        <w:rPr>
          <w:rFonts w:eastAsia="Calibri"/>
        </w:rPr>
        <w:t xml:space="preserve">in Spanish. Small subsamples would not generate meaningful findings. </w:t>
      </w:r>
    </w:p>
    <w:p w:rsidR="0058465D" w:rsidRPr="000A672C" w:rsidRDefault="0058465D" w:rsidP="00BE48D7"/>
    <w:p w:rsidR="00D410B1" w:rsidRPr="00303E21" w:rsidRDefault="00D410B1">
      <w:pPr>
        <w:autoSpaceDE w:val="0"/>
        <w:autoSpaceDN w:val="0"/>
        <w:adjustRightInd w:val="0"/>
        <w:contextualSpacing/>
        <w:rPr>
          <w:bCs/>
        </w:rPr>
      </w:pPr>
    </w:p>
    <w:p w:rsidR="006F5358" w:rsidRPr="00303E21" w:rsidRDefault="006F5358">
      <w:pPr>
        <w:pStyle w:val="Heading1"/>
        <w:spacing w:before="0" w:after="0"/>
        <w:rPr>
          <w:rFonts w:ascii="Times New Roman" w:hAnsi="Times New Roman" w:cs="Times New Roman"/>
          <w:iCs/>
          <w:sz w:val="28"/>
          <w:szCs w:val="28"/>
        </w:rPr>
      </w:pPr>
      <w:bookmarkStart w:id="7" w:name="_Toc386719984"/>
      <w:bookmarkStart w:id="8" w:name="_Toc295894621"/>
      <w:bookmarkStart w:id="9" w:name="_Toc306891590"/>
      <w:bookmarkStart w:id="10" w:name="_Toc235958557"/>
      <w:r w:rsidRPr="00303E21">
        <w:rPr>
          <w:rFonts w:ascii="Times New Roman" w:hAnsi="Times New Roman" w:cs="Times New Roman"/>
          <w:iCs/>
          <w:sz w:val="28"/>
          <w:szCs w:val="28"/>
        </w:rPr>
        <w:t>2.</w:t>
      </w:r>
      <w:r w:rsidRPr="00303E21">
        <w:rPr>
          <w:rFonts w:ascii="Times New Roman" w:hAnsi="Times New Roman" w:cs="Times New Roman"/>
          <w:iCs/>
          <w:sz w:val="28"/>
          <w:szCs w:val="28"/>
        </w:rPr>
        <w:tab/>
      </w:r>
      <w:r w:rsidR="00303E21" w:rsidRPr="00BE48D7">
        <w:rPr>
          <w:rFonts w:ascii="Times New Roman" w:hAnsi="Times New Roman" w:cs="Times New Roman"/>
          <w:iCs/>
          <w:sz w:val="28"/>
          <w:szCs w:val="28"/>
        </w:rPr>
        <w:t xml:space="preserve">Procedures for the Collection of </w:t>
      </w:r>
      <w:r w:rsidRPr="00BE48D7">
        <w:rPr>
          <w:rFonts w:ascii="Times New Roman" w:hAnsi="Times New Roman" w:cs="Times New Roman"/>
          <w:iCs/>
          <w:sz w:val="28"/>
          <w:szCs w:val="28"/>
        </w:rPr>
        <w:t>Information</w:t>
      </w:r>
      <w:bookmarkEnd w:id="7"/>
      <w:r w:rsidRPr="00303E21">
        <w:rPr>
          <w:rFonts w:ascii="Times New Roman" w:hAnsi="Times New Roman" w:cs="Times New Roman"/>
          <w:iCs/>
          <w:sz w:val="28"/>
          <w:szCs w:val="28"/>
        </w:rPr>
        <w:t xml:space="preserve"> </w:t>
      </w:r>
      <w:bookmarkEnd w:id="8"/>
      <w:bookmarkEnd w:id="9"/>
    </w:p>
    <w:p w:rsidR="00A9575F" w:rsidRPr="00303E21" w:rsidRDefault="00A9575F">
      <w:pPr>
        <w:widowControl w:val="0"/>
        <w:autoSpaceDE w:val="0"/>
        <w:autoSpaceDN w:val="0"/>
        <w:adjustRightInd w:val="0"/>
      </w:pPr>
      <w:bookmarkStart w:id="11" w:name="_Toc295894622"/>
      <w:bookmarkEnd w:id="10"/>
    </w:p>
    <w:p w:rsidR="007C697F" w:rsidRDefault="00C54D39">
      <w:pPr>
        <w:pStyle w:val="BodyText"/>
        <w:rPr>
          <w:rFonts w:eastAsia="MS Mincho"/>
          <w:sz w:val="24"/>
          <w:szCs w:val="24"/>
          <w:lang w:eastAsia="x-none"/>
        </w:rPr>
      </w:pPr>
      <w:r w:rsidRPr="00303E21">
        <w:rPr>
          <w:rFonts w:eastAsia="MS Mincho"/>
          <w:sz w:val="24"/>
          <w:szCs w:val="24"/>
          <w:lang w:eastAsia="x-none"/>
        </w:rPr>
        <w:t xml:space="preserve">This project will </w:t>
      </w:r>
      <w:r w:rsidR="00163FCC" w:rsidRPr="00303E21">
        <w:rPr>
          <w:rFonts w:eastAsia="MS Mincho"/>
          <w:sz w:val="24"/>
          <w:szCs w:val="24"/>
          <w:lang w:eastAsia="x-none"/>
        </w:rPr>
        <w:t xml:space="preserve">use </w:t>
      </w:r>
      <w:r w:rsidR="007C697F" w:rsidRPr="007C697F">
        <w:rPr>
          <w:rFonts w:eastAsia="MS Mincho"/>
          <w:sz w:val="24"/>
          <w:szCs w:val="24"/>
          <w:lang w:eastAsia="x-none"/>
        </w:rPr>
        <w:t>a mixed method</w:t>
      </w:r>
      <w:r w:rsidR="00410839">
        <w:rPr>
          <w:rFonts w:eastAsia="MS Mincho"/>
          <w:sz w:val="24"/>
          <w:szCs w:val="24"/>
          <w:lang w:eastAsia="x-none"/>
        </w:rPr>
        <w:t>s</w:t>
      </w:r>
      <w:r w:rsidR="007C697F" w:rsidRPr="007C697F">
        <w:rPr>
          <w:rFonts w:eastAsia="MS Mincho"/>
          <w:sz w:val="24"/>
          <w:szCs w:val="24"/>
          <w:lang w:eastAsia="x-none"/>
        </w:rPr>
        <w:t xml:space="preserve"> study </w:t>
      </w:r>
      <w:r w:rsidR="00D16C2C">
        <w:rPr>
          <w:rFonts w:eastAsia="MS Mincho"/>
          <w:sz w:val="24"/>
          <w:szCs w:val="24"/>
          <w:lang w:eastAsia="x-none"/>
        </w:rPr>
        <w:t xml:space="preserve">approach </w:t>
      </w:r>
      <w:r w:rsidR="007C697F" w:rsidRPr="007C697F">
        <w:rPr>
          <w:rFonts w:eastAsia="MS Mincho"/>
          <w:sz w:val="24"/>
          <w:szCs w:val="24"/>
          <w:lang w:eastAsia="x-none"/>
        </w:rPr>
        <w:t>(n=300) that includes qualitative in-depth interviews (IDIs) and focus groups</w:t>
      </w:r>
      <w:r w:rsidR="00D16C2C">
        <w:rPr>
          <w:rFonts w:eastAsia="MS Mincho"/>
          <w:sz w:val="24"/>
          <w:szCs w:val="24"/>
          <w:lang w:eastAsia="x-none"/>
        </w:rPr>
        <w:t>, complemented by</w:t>
      </w:r>
      <w:r w:rsidR="007C697F" w:rsidRPr="007C697F">
        <w:rPr>
          <w:rFonts w:eastAsia="MS Mincho"/>
          <w:sz w:val="24"/>
          <w:szCs w:val="24"/>
          <w:lang w:eastAsia="x-none"/>
        </w:rPr>
        <w:t xml:space="preserve"> a structured behavioral assessment. </w:t>
      </w:r>
      <w:r w:rsidR="00F04FB5">
        <w:rPr>
          <w:rFonts w:eastAsia="MS Mincho"/>
          <w:sz w:val="24"/>
          <w:szCs w:val="24"/>
          <w:lang w:eastAsia="x-none"/>
        </w:rPr>
        <w:t>A mixed methods approach produces</w:t>
      </w:r>
      <w:r w:rsidR="00B30A0C">
        <w:rPr>
          <w:rFonts w:eastAsia="MS Mincho"/>
          <w:sz w:val="24"/>
          <w:szCs w:val="24"/>
          <w:lang w:eastAsia="x-none"/>
        </w:rPr>
        <w:t xml:space="preserve"> data that</w:t>
      </w:r>
      <w:r w:rsidR="00F04FB5">
        <w:rPr>
          <w:rFonts w:eastAsia="MS Mincho"/>
          <w:sz w:val="24"/>
          <w:szCs w:val="24"/>
          <w:lang w:eastAsia="x-none"/>
        </w:rPr>
        <w:t xml:space="preserve"> speak</w:t>
      </w:r>
      <w:r w:rsidR="00B30A0C">
        <w:rPr>
          <w:rFonts w:eastAsia="MS Mincho"/>
          <w:sz w:val="24"/>
          <w:szCs w:val="24"/>
          <w:lang w:eastAsia="x-none"/>
        </w:rPr>
        <w:t>s to the breadth and depth of</w:t>
      </w:r>
      <w:r w:rsidR="00F04FB5">
        <w:rPr>
          <w:rFonts w:eastAsia="MS Mincho"/>
          <w:sz w:val="24"/>
          <w:szCs w:val="24"/>
          <w:lang w:eastAsia="x-none"/>
        </w:rPr>
        <w:t xml:space="preserve"> a new or emerging concern, such as PrEP refusal or unsuccessful uptake.</w:t>
      </w:r>
      <w:r w:rsidR="004B1BC4">
        <w:rPr>
          <w:rFonts w:eastAsia="MS Mincho"/>
          <w:sz w:val="24"/>
          <w:szCs w:val="24"/>
          <w:vertAlign w:val="superscript"/>
          <w:lang w:eastAsia="x-none"/>
        </w:rPr>
        <w:t>10</w:t>
      </w:r>
      <w:r w:rsidR="00B536C9">
        <w:rPr>
          <w:rFonts w:eastAsia="MS Mincho"/>
          <w:sz w:val="24"/>
          <w:szCs w:val="24"/>
          <w:lang w:eastAsia="x-none"/>
        </w:rPr>
        <w:t xml:space="preserve"> </w:t>
      </w:r>
      <w:r w:rsidR="007C697F" w:rsidRPr="007C697F">
        <w:rPr>
          <w:rFonts w:eastAsia="MS Mincho"/>
          <w:sz w:val="24"/>
          <w:szCs w:val="24"/>
          <w:lang w:eastAsia="x-none"/>
        </w:rPr>
        <w:t xml:space="preserve">All data collection will </w:t>
      </w:r>
      <w:r w:rsidR="007C697F">
        <w:rPr>
          <w:rFonts w:eastAsia="MS Mincho"/>
          <w:sz w:val="24"/>
          <w:szCs w:val="24"/>
          <w:lang w:eastAsia="x-none"/>
        </w:rPr>
        <w:t>occur</w:t>
      </w:r>
      <w:r w:rsidR="007C697F" w:rsidRPr="007C697F">
        <w:rPr>
          <w:rFonts w:eastAsia="MS Mincho"/>
          <w:sz w:val="24"/>
          <w:szCs w:val="24"/>
          <w:lang w:eastAsia="x-none"/>
        </w:rPr>
        <w:t xml:space="preserve"> in Atlanta, GA, Raleigh-Durham, NC, and Chicago, IL with the cooperation of designated local partners, such as CBOs, community health clinics, health departments, and other service providers in each of the selected cities. </w:t>
      </w:r>
      <w:r w:rsidR="007C697F">
        <w:rPr>
          <w:rFonts w:eastAsia="MS Mincho"/>
          <w:sz w:val="24"/>
          <w:szCs w:val="24"/>
          <w:lang w:eastAsia="x-none"/>
        </w:rPr>
        <w:t>Local partner</w:t>
      </w:r>
      <w:r w:rsidR="001F0DA8">
        <w:rPr>
          <w:rFonts w:eastAsia="MS Mincho"/>
          <w:sz w:val="24"/>
          <w:szCs w:val="24"/>
          <w:lang w:eastAsia="x-none"/>
        </w:rPr>
        <w:t>ing agencies</w:t>
      </w:r>
      <w:r w:rsidR="007C697F">
        <w:rPr>
          <w:rFonts w:eastAsia="MS Mincho"/>
          <w:sz w:val="24"/>
          <w:szCs w:val="24"/>
          <w:lang w:eastAsia="x-none"/>
        </w:rPr>
        <w:t xml:space="preserve"> will assist in recruiting eligible HIV-negative, high risk MSM aged 18+ into the study.</w:t>
      </w:r>
      <w:r w:rsidR="007C697F" w:rsidRPr="007C697F">
        <w:rPr>
          <w:rFonts w:eastAsia="MS Mincho"/>
          <w:sz w:val="24"/>
          <w:szCs w:val="24"/>
          <w:lang w:eastAsia="x-none"/>
        </w:rPr>
        <w:t xml:space="preserve"> </w:t>
      </w:r>
    </w:p>
    <w:p w:rsidR="00587047" w:rsidRDefault="00587047">
      <w:pPr>
        <w:pStyle w:val="BodyText"/>
        <w:rPr>
          <w:rFonts w:eastAsia="MS Mincho"/>
          <w:sz w:val="24"/>
          <w:szCs w:val="24"/>
          <w:lang w:eastAsia="x-none"/>
        </w:rPr>
      </w:pPr>
    </w:p>
    <w:p w:rsidR="00C54D39" w:rsidRDefault="007C697F">
      <w:pPr>
        <w:pStyle w:val="BodyText"/>
        <w:rPr>
          <w:rFonts w:eastAsia="MS Mincho"/>
          <w:sz w:val="24"/>
          <w:szCs w:val="24"/>
          <w:lang w:eastAsia="x-none"/>
        </w:rPr>
      </w:pPr>
      <w:r w:rsidRPr="007C697F">
        <w:rPr>
          <w:rFonts w:eastAsia="MS Mincho"/>
          <w:sz w:val="24"/>
          <w:szCs w:val="24"/>
          <w:lang w:eastAsia="x-none"/>
        </w:rPr>
        <w:t>Data collection will occur in 2 phases</w:t>
      </w:r>
      <w:r>
        <w:rPr>
          <w:rFonts w:eastAsia="MS Mincho"/>
          <w:sz w:val="24"/>
          <w:szCs w:val="24"/>
          <w:lang w:eastAsia="x-none"/>
        </w:rPr>
        <w:t>:</w:t>
      </w:r>
    </w:p>
    <w:p w:rsidR="007C697F" w:rsidRPr="00303E21" w:rsidRDefault="007C697F">
      <w:pPr>
        <w:pStyle w:val="BodyText"/>
        <w:rPr>
          <w:rFonts w:eastAsiaTheme="minorEastAsia" w:cs="Arial"/>
        </w:rPr>
      </w:pPr>
      <w:r>
        <w:rPr>
          <w:rFonts w:eastAsia="MS Mincho"/>
          <w:sz w:val="24"/>
          <w:szCs w:val="24"/>
          <w:lang w:eastAsia="x-none"/>
        </w:rPr>
        <w:tab/>
      </w:r>
    </w:p>
    <w:p w:rsidR="0042054B" w:rsidRDefault="007C697F" w:rsidP="00BE48D7">
      <w:pPr>
        <w:widowControl w:val="0"/>
        <w:autoSpaceDE w:val="0"/>
        <w:autoSpaceDN w:val="0"/>
        <w:adjustRightInd w:val="0"/>
      </w:pPr>
      <w:r>
        <w:t>Phase 1: Qualitative and quantitative data c</w:t>
      </w:r>
      <w:r w:rsidR="00C348BD">
        <w:t xml:space="preserve">ollection. Eligible MSM will </w:t>
      </w:r>
      <w:r>
        <w:t xml:space="preserve">participate in either an </w:t>
      </w:r>
      <w:r w:rsidR="001C7A8C">
        <w:t>IDI</w:t>
      </w:r>
      <w:r>
        <w:t xml:space="preserve"> (n=60) or a focus group (n=60; 12 focus groups of 5</w:t>
      </w:r>
      <w:r w:rsidR="001C7A8C">
        <w:t xml:space="preserve"> respondents each</w:t>
      </w:r>
      <w:r>
        <w:t>) a</w:t>
      </w:r>
      <w:r w:rsidR="00B30A0C">
        <w:t>long with</w:t>
      </w:r>
      <w:r>
        <w:t xml:space="preserve"> a 30-minute self-administered structured behavioral assessment (n=120). </w:t>
      </w:r>
      <w:r w:rsidRPr="007C697F">
        <w:t xml:space="preserve">Phase 1 </w:t>
      </w:r>
      <w:r w:rsidR="00065A66">
        <w:t>respondents</w:t>
      </w:r>
      <w:r w:rsidRPr="007C697F">
        <w:t xml:space="preserve"> will be </w:t>
      </w:r>
      <w:r w:rsidR="005066F9">
        <w:t>divided</w:t>
      </w:r>
      <w:r w:rsidR="001C7A8C">
        <w:t xml:space="preserve"> characteristically</w:t>
      </w:r>
      <w:r w:rsidR="005066F9">
        <w:t xml:space="preserve"> into two groups</w:t>
      </w:r>
      <w:r w:rsidRPr="007C697F">
        <w:t xml:space="preserve">: 1) </w:t>
      </w:r>
      <w:r w:rsidR="005066F9">
        <w:t>MSM</w:t>
      </w:r>
      <w:r w:rsidRPr="007C697F">
        <w:t xml:space="preserve"> who were offered PrEP but refused (‘PrEP refusers’), and 2) </w:t>
      </w:r>
      <w:r w:rsidR="005066F9">
        <w:t>MSM</w:t>
      </w:r>
      <w:r w:rsidRPr="007C697F">
        <w:t xml:space="preserve"> who agreed to start PrEP but did not follow through, or who started but stopped within a week (‘unsuccessful initiators’).</w:t>
      </w:r>
      <w:r>
        <w:t xml:space="preserve"> </w:t>
      </w:r>
    </w:p>
    <w:p w:rsidR="007C697F" w:rsidRDefault="007C697F" w:rsidP="00BE48D7">
      <w:pPr>
        <w:widowControl w:val="0"/>
        <w:autoSpaceDE w:val="0"/>
        <w:autoSpaceDN w:val="0"/>
        <w:adjustRightInd w:val="0"/>
      </w:pPr>
    </w:p>
    <w:p w:rsidR="004A53BF" w:rsidRDefault="00261A3C" w:rsidP="00BE48D7">
      <w:pPr>
        <w:widowControl w:val="0"/>
        <w:autoSpaceDE w:val="0"/>
        <w:autoSpaceDN w:val="0"/>
        <w:adjustRightInd w:val="0"/>
      </w:pPr>
      <w:r w:rsidRPr="00261A3C">
        <w:t>Qualitative investigation will allow us to drill down into the meanings behind the associations and provide context for findings in this study and in</w:t>
      </w:r>
      <w:r>
        <w:t xml:space="preserve"> the literature, including epidemiological data</w:t>
      </w:r>
      <w:r w:rsidRPr="00261A3C">
        <w:t xml:space="preserve">. </w:t>
      </w:r>
      <w:r w:rsidR="004A53BF">
        <w:t>IDIs will focus in individual decision-making and the barriers and facilitators encountered when considering or starting PrEP, such as impact on sexual behavior and partners. Focus group discussion</w:t>
      </w:r>
      <w:r w:rsidR="001F0DA8">
        <w:t>s</w:t>
      </w:r>
      <w:r w:rsidR="004A53BF">
        <w:t xml:space="preserve"> will focus on the impact social relationships have on PrEP decision-making, such as </w:t>
      </w:r>
      <w:r w:rsidR="00B30A0C">
        <w:t xml:space="preserve">the influence of family and friends, as well as </w:t>
      </w:r>
      <w:r w:rsidR="004A53BF">
        <w:t xml:space="preserve">experiences </w:t>
      </w:r>
      <w:r w:rsidR="00F065BA">
        <w:t xml:space="preserve">of </w:t>
      </w:r>
      <w:r w:rsidR="004A53BF">
        <w:t xml:space="preserve">stigma. In </w:t>
      </w:r>
      <w:r w:rsidR="00B30A0C">
        <w:t>the IDIs and focus groups</w:t>
      </w:r>
      <w:r w:rsidR="004A53BF">
        <w:t xml:space="preserve"> we will ask about alternatives to daily</w:t>
      </w:r>
      <w:r w:rsidR="00B30A0C">
        <w:rPr>
          <w:vertAlign w:val="superscript"/>
        </w:rPr>
        <w:t xml:space="preserve"> </w:t>
      </w:r>
      <w:r w:rsidR="00B30A0C">
        <w:t>PrEP</w:t>
      </w:r>
      <w:r w:rsidR="004A53BF">
        <w:t xml:space="preserve">, such as </w:t>
      </w:r>
      <w:r w:rsidR="00B30A0C">
        <w:t xml:space="preserve">risk </w:t>
      </w:r>
      <w:r w:rsidR="004A53BF">
        <w:t xml:space="preserve">event-based dosing, injectable PrEP, and microbicidal PrEP.  Quantitative </w:t>
      </w:r>
      <w:r w:rsidR="001F0DA8">
        <w:t xml:space="preserve">behavioral assessment </w:t>
      </w:r>
      <w:r w:rsidR="004A53BF">
        <w:t xml:space="preserve">data will be collected on all 120 MSM that participate in one of the two qualitative mechanisms. </w:t>
      </w:r>
    </w:p>
    <w:p w:rsidR="004A53BF" w:rsidRDefault="004A53BF" w:rsidP="00BE48D7">
      <w:pPr>
        <w:widowControl w:val="0"/>
        <w:autoSpaceDE w:val="0"/>
        <w:autoSpaceDN w:val="0"/>
        <w:adjustRightInd w:val="0"/>
      </w:pPr>
    </w:p>
    <w:p w:rsidR="00902935" w:rsidRDefault="00902935" w:rsidP="00BE48D7">
      <w:pPr>
        <w:widowControl w:val="0"/>
        <w:autoSpaceDE w:val="0"/>
        <w:autoSpaceDN w:val="0"/>
        <w:adjustRightInd w:val="0"/>
      </w:pPr>
      <w:r>
        <w:t xml:space="preserve">Phase 2: Quantitative data collection. </w:t>
      </w:r>
      <w:r w:rsidR="001F0DA8">
        <w:t>PrEP-e</w:t>
      </w:r>
      <w:r>
        <w:t xml:space="preserve">ligible MSM will complete </w:t>
      </w:r>
      <w:r w:rsidR="001F0DA8">
        <w:t>the</w:t>
      </w:r>
      <w:r>
        <w:t xml:space="preserve"> </w:t>
      </w:r>
      <w:r w:rsidRPr="007C697F">
        <w:t>30-minute self-administered structured behavioral assessment</w:t>
      </w:r>
      <w:r w:rsidR="00B30A0C">
        <w:t xml:space="preserve"> only</w:t>
      </w:r>
      <w:r>
        <w:t xml:space="preserve"> (n=180).</w:t>
      </w:r>
    </w:p>
    <w:p w:rsidR="00902935" w:rsidRPr="007C697F" w:rsidRDefault="00902935" w:rsidP="00BE48D7">
      <w:pPr>
        <w:widowControl w:val="0"/>
        <w:autoSpaceDE w:val="0"/>
        <w:autoSpaceDN w:val="0"/>
        <w:adjustRightInd w:val="0"/>
      </w:pPr>
    </w:p>
    <w:p w:rsidR="00C7220E" w:rsidRDefault="00902935" w:rsidP="00BE48D7">
      <w:pPr>
        <w:widowControl w:val="0"/>
        <w:autoSpaceDE w:val="0"/>
        <w:autoSpaceDN w:val="0"/>
        <w:adjustRightInd w:val="0"/>
      </w:pPr>
      <w:r>
        <w:t>The quantitative instrument will ask about socio</w:t>
      </w:r>
      <w:r w:rsidR="00261A3C">
        <w:t>-</w:t>
      </w:r>
      <w:r>
        <w:t xml:space="preserve">demographics, PrEP attitudes and use, sex partners, condom use, drug use, general healthcare, and </w:t>
      </w:r>
      <w:r w:rsidR="00261A3C">
        <w:t>attitudes</w:t>
      </w:r>
      <w:r>
        <w:t xml:space="preserve"> towards future prevention options. Quantitative data will allow for exploration of variables and associations between variables, important to understanding the dynamics of PrEP </w:t>
      </w:r>
      <w:r w:rsidR="001F0DA8">
        <w:t>decision-making</w:t>
      </w:r>
      <w:r>
        <w:t xml:space="preserve"> in this population. </w:t>
      </w:r>
    </w:p>
    <w:p w:rsidR="00ED60B9" w:rsidRPr="00303E21" w:rsidRDefault="00ED60B9">
      <w:pPr>
        <w:widowControl w:val="0"/>
        <w:autoSpaceDE w:val="0"/>
        <w:autoSpaceDN w:val="0"/>
        <w:adjustRightInd w:val="0"/>
      </w:pPr>
    </w:p>
    <w:p w:rsidR="00682AC1" w:rsidRPr="00303E21" w:rsidRDefault="00682AC1">
      <w:pPr>
        <w:pStyle w:val="Heading2"/>
        <w:spacing w:before="0" w:after="0"/>
        <w:rPr>
          <w:rFonts w:ascii="Times New Roman" w:hAnsi="Times New Roman" w:cs="Times New Roman"/>
          <w:i w:val="0"/>
          <w:sz w:val="24"/>
          <w:szCs w:val="24"/>
        </w:rPr>
      </w:pPr>
      <w:bookmarkStart w:id="12" w:name="_Toc386719985"/>
      <w:r w:rsidRPr="00303E21">
        <w:rPr>
          <w:rFonts w:ascii="Times New Roman" w:hAnsi="Times New Roman" w:cs="Times New Roman"/>
          <w:i w:val="0"/>
          <w:sz w:val="24"/>
          <w:szCs w:val="24"/>
        </w:rPr>
        <w:t>2a. Eligibility</w:t>
      </w:r>
      <w:bookmarkEnd w:id="12"/>
    </w:p>
    <w:p w:rsidR="002F429D" w:rsidRPr="00303E21" w:rsidRDefault="002F429D" w:rsidP="00BE48D7">
      <w:pPr>
        <w:widowControl w:val="0"/>
        <w:autoSpaceDE w:val="0"/>
        <w:autoSpaceDN w:val="0"/>
        <w:adjustRightInd w:val="0"/>
        <w:rPr>
          <w:i/>
        </w:rPr>
      </w:pPr>
    </w:p>
    <w:p w:rsidR="00980128" w:rsidRPr="00E91F9C" w:rsidRDefault="00C9207A">
      <w:pPr>
        <w:spacing w:before="200" w:after="80"/>
      </w:pPr>
      <w:r>
        <w:t xml:space="preserve">Respondents will be </w:t>
      </w:r>
      <w:r w:rsidR="00980128" w:rsidRPr="00E91F9C">
        <w:t xml:space="preserve">adult MSM </w:t>
      </w:r>
      <w:r>
        <w:t>(18</w:t>
      </w:r>
      <w:r w:rsidR="00261A3C">
        <w:t xml:space="preserve"> years old or older</w:t>
      </w:r>
      <w:r>
        <w:t>) and</w:t>
      </w:r>
      <w:r w:rsidR="00980128" w:rsidRPr="00E91F9C">
        <w:t xml:space="preserve"> </w:t>
      </w:r>
      <w:r>
        <w:t xml:space="preserve">self-report as </w:t>
      </w:r>
      <w:r w:rsidR="00980128" w:rsidRPr="00E91F9C">
        <w:t>HIV negative</w:t>
      </w:r>
      <w:r>
        <w:t xml:space="preserve">. Respondents will be selected based on </w:t>
      </w:r>
      <w:r w:rsidR="00B30A0C">
        <w:t>three</w:t>
      </w:r>
      <w:r>
        <w:t xml:space="preserve"> </w:t>
      </w:r>
      <w:r w:rsidR="00261A3C">
        <w:t xml:space="preserve">additional </w:t>
      </w:r>
      <w:r>
        <w:t>criteria:</w:t>
      </w:r>
      <w:r w:rsidR="00980128" w:rsidRPr="00E91F9C">
        <w:t xml:space="preserve"> </w:t>
      </w:r>
      <w:r>
        <w:t xml:space="preserve">he has either refused or failed to initiate </w:t>
      </w:r>
      <w:r w:rsidR="00261A3C">
        <w:t>PrEP</w:t>
      </w:r>
      <w:r>
        <w:t xml:space="preserve">, or is eligible for PrEP due to </w:t>
      </w:r>
      <w:r w:rsidR="00096F10">
        <w:t>unprotected anal sex in the prior</w:t>
      </w:r>
      <w:r>
        <w:t xml:space="preserve"> </w:t>
      </w:r>
      <w:r w:rsidR="00F8075C">
        <w:t>3</w:t>
      </w:r>
      <w:r>
        <w:t xml:space="preserve"> months</w:t>
      </w:r>
      <w:r w:rsidR="00980128" w:rsidRPr="00E91F9C">
        <w:t xml:space="preserve">. </w:t>
      </w:r>
      <w:r>
        <w:t>Finally, all respondents</w:t>
      </w:r>
      <w:r w:rsidR="00980128" w:rsidRPr="00E91F9C">
        <w:t xml:space="preserve"> must </w:t>
      </w:r>
      <w:r>
        <w:t>be able to read English.</w:t>
      </w:r>
    </w:p>
    <w:p w:rsidR="00980128" w:rsidRPr="00E91F9C" w:rsidRDefault="00980128">
      <w:pPr>
        <w:spacing w:before="200" w:after="80"/>
        <w:rPr>
          <w:i/>
        </w:rPr>
      </w:pPr>
      <w:r w:rsidRPr="00E91F9C">
        <w:rPr>
          <w:i/>
        </w:rPr>
        <w:t>Inclusion Criteria</w:t>
      </w:r>
    </w:p>
    <w:p w:rsidR="00980128" w:rsidRPr="00E91F9C" w:rsidRDefault="00980128">
      <w:pPr>
        <w:spacing w:before="200" w:after="80"/>
      </w:pPr>
      <w:r w:rsidRPr="00E91F9C">
        <w:t xml:space="preserve">Eligibility will be based on HIV status, </w:t>
      </w:r>
      <w:r w:rsidR="00C9207A">
        <w:t>PrEP refusal/unsuccessful initiation/eligibility</w:t>
      </w:r>
      <w:r w:rsidRPr="00E91F9C">
        <w:t xml:space="preserve">, age, and MSM status.  These criteria are detailed in Exhibit </w:t>
      </w:r>
      <w:r w:rsidR="00126DC8" w:rsidRPr="00A52920">
        <w:t>B2.1</w:t>
      </w:r>
      <w:r w:rsidRPr="00E91F9C">
        <w:t xml:space="preserve">.  </w:t>
      </w:r>
    </w:p>
    <w:p w:rsidR="00980128" w:rsidRPr="00E91F9C" w:rsidRDefault="00126DC8">
      <w:pPr>
        <w:widowControl w:val="0"/>
        <w:autoSpaceDE w:val="0"/>
        <w:autoSpaceDN w:val="0"/>
        <w:adjustRightInd w:val="0"/>
        <w:spacing w:before="200" w:after="80" w:line="276" w:lineRule="auto"/>
        <w:rPr>
          <w:b/>
          <w:lang w:bidi="en-US"/>
        </w:rPr>
      </w:pPr>
      <w:r w:rsidRPr="00A52920">
        <w:rPr>
          <w:b/>
          <w:lang w:bidi="en-US"/>
        </w:rPr>
        <w:t xml:space="preserve">Exhibit </w:t>
      </w:r>
      <w:r>
        <w:rPr>
          <w:b/>
          <w:lang w:bidi="en-US"/>
        </w:rPr>
        <w:t>B2.1</w:t>
      </w:r>
      <w:r w:rsidR="00980128" w:rsidRPr="00E91F9C">
        <w:rPr>
          <w:b/>
          <w:lang w:bidi="en-US"/>
        </w:rPr>
        <w:t>: Summary of Demographic Eligibility Criteria</w:t>
      </w:r>
    </w:p>
    <w:tbl>
      <w:tblPr>
        <w:tblStyle w:val="TableGrid"/>
        <w:tblW w:w="9536" w:type="dxa"/>
        <w:tblLook w:val="04A0" w:firstRow="1" w:lastRow="0" w:firstColumn="1" w:lastColumn="0" w:noHBand="0" w:noVBand="1"/>
      </w:tblPr>
      <w:tblGrid>
        <w:gridCol w:w="1834"/>
        <w:gridCol w:w="5091"/>
        <w:gridCol w:w="2611"/>
      </w:tblGrid>
      <w:tr w:rsidR="00454937" w:rsidTr="00BE48D7">
        <w:trPr>
          <w:trHeight w:val="1430"/>
        </w:trPr>
        <w:tc>
          <w:tcPr>
            <w:tcW w:w="1834" w:type="dxa"/>
          </w:tcPr>
          <w:p w:rsidR="00454937" w:rsidRDefault="00454937">
            <w:pPr>
              <w:ind w:right="159"/>
              <w:rPr>
                <w:lang w:eastAsia="ko-KR"/>
              </w:rPr>
            </w:pPr>
          </w:p>
        </w:tc>
        <w:tc>
          <w:tcPr>
            <w:tcW w:w="5091" w:type="dxa"/>
          </w:tcPr>
          <w:p w:rsidR="00454937" w:rsidRPr="001B3EDC" w:rsidRDefault="00454937">
            <w:pPr>
              <w:ind w:right="158"/>
              <w:rPr>
                <w:b/>
                <w:lang w:eastAsia="ko-KR"/>
              </w:rPr>
            </w:pPr>
            <w:r w:rsidRPr="003C1633">
              <w:rPr>
                <w:b/>
                <w:lang w:eastAsia="ko-KR"/>
              </w:rPr>
              <w:t>Phase 1</w:t>
            </w:r>
          </w:p>
          <w:p w:rsidR="00454937" w:rsidRPr="001B3EDC" w:rsidRDefault="00454937">
            <w:pPr>
              <w:ind w:right="158"/>
              <w:rPr>
                <w:b/>
                <w:lang w:eastAsia="ko-KR"/>
              </w:rPr>
            </w:pPr>
            <w:r w:rsidRPr="003C1633">
              <w:rPr>
                <w:b/>
                <w:lang w:eastAsia="ko-KR"/>
              </w:rPr>
              <w:t>IDI + Behavioral Assessment</w:t>
            </w:r>
            <w:r>
              <w:rPr>
                <w:b/>
                <w:lang w:eastAsia="ko-KR"/>
              </w:rPr>
              <w:t xml:space="preserve"> </w:t>
            </w:r>
            <w:r w:rsidRPr="00695A39">
              <w:rPr>
                <w:b/>
                <w:i/>
                <w:lang w:eastAsia="ko-KR"/>
              </w:rPr>
              <w:t>OR</w:t>
            </w:r>
          </w:p>
          <w:p w:rsidR="00454937" w:rsidRPr="00E6525F" w:rsidRDefault="00454937">
            <w:pPr>
              <w:ind w:right="158"/>
              <w:rPr>
                <w:b/>
                <w:lang w:eastAsia="ko-KR"/>
              </w:rPr>
            </w:pPr>
            <w:r>
              <w:rPr>
                <w:b/>
                <w:lang w:eastAsia="ko-KR"/>
              </w:rPr>
              <w:t>Focus group</w:t>
            </w:r>
            <w:r w:rsidRPr="00E6525F">
              <w:rPr>
                <w:b/>
                <w:lang w:eastAsia="ko-KR"/>
              </w:rPr>
              <w:t xml:space="preserve"> + Behavioral Assessment</w:t>
            </w:r>
          </w:p>
        </w:tc>
        <w:tc>
          <w:tcPr>
            <w:tcW w:w="2610" w:type="dxa"/>
          </w:tcPr>
          <w:p w:rsidR="00454937" w:rsidRPr="00E6525F" w:rsidRDefault="00454937">
            <w:pPr>
              <w:ind w:right="159"/>
              <w:rPr>
                <w:b/>
                <w:lang w:eastAsia="ko-KR"/>
              </w:rPr>
            </w:pPr>
            <w:r w:rsidRPr="00E6525F">
              <w:rPr>
                <w:b/>
                <w:lang w:eastAsia="ko-KR"/>
              </w:rPr>
              <w:t>Phase 2</w:t>
            </w:r>
          </w:p>
          <w:p w:rsidR="00454937" w:rsidRPr="00E6525F" w:rsidRDefault="00454937">
            <w:pPr>
              <w:ind w:right="159"/>
              <w:rPr>
                <w:b/>
                <w:lang w:eastAsia="ko-KR"/>
              </w:rPr>
            </w:pPr>
            <w:r w:rsidRPr="00E6525F">
              <w:rPr>
                <w:b/>
                <w:lang w:eastAsia="ko-KR"/>
              </w:rPr>
              <w:t>Behavioral Assessment</w:t>
            </w:r>
          </w:p>
        </w:tc>
      </w:tr>
      <w:tr w:rsidR="00454937" w:rsidTr="00BE48D7">
        <w:tc>
          <w:tcPr>
            <w:tcW w:w="1834" w:type="dxa"/>
          </w:tcPr>
          <w:p w:rsidR="00454937" w:rsidRDefault="00454937">
            <w:pPr>
              <w:ind w:right="159"/>
              <w:rPr>
                <w:lang w:eastAsia="ko-KR"/>
              </w:rPr>
            </w:pPr>
            <w:r w:rsidRPr="00E6525F">
              <w:rPr>
                <w:lang w:eastAsia="ko-KR"/>
              </w:rPr>
              <w:t>HIV Status</w:t>
            </w:r>
          </w:p>
        </w:tc>
        <w:tc>
          <w:tcPr>
            <w:tcW w:w="5091" w:type="dxa"/>
          </w:tcPr>
          <w:p w:rsidR="00454937" w:rsidRDefault="00454937">
            <w:pPr>
              <w:ind w:right="159"/>
              <w:rPr>
                <w:lang w:eastAsia="ko-KR"/>
              </w:rPr>
            </w:pPr>
            <w:r w:rsidRPr="0029327B">
              <w:rPr>
                <w:lang w:eastAsia="ko-KR"/>
              </w:rPr>
              <w:t>Self-Report of not tested, unknown</w:t>
            </w:r>
            <w:r w:rsidR="00261A3C">
              <w:rPr>
                <w:lang w:eastAsia="ko-KR"/>
              </w:rPr>
              <w:t xml:space="preserve"> status</w:t>
            </w:r>
            <w:r w:rsidRPr="0029327B">
              <w:rPr>
                <w:lang w:eastAsia="ko-KR"/>
              </w:rPr>
              <w:t xml:space="preserve">, or HIV negative status </w:t>
            </w:r>
          </w:p>
        </w:tc>
        <w:tc>
          <w:tcPr>
            <w:tcW w:w="2610" w:type="dxa"/>
          </w:tcPr>
          <w:p w:rsidR="00454937" w:rsidRDefault="00454937">
            <w:pPr>
              <w:ind w:right="159"/>
              <w:rPr>
                <w:lang w:eastAsia="ko-KR"/>
              </w:rPr>
            </w:pPr>
            <w:r w:rsidRPr="0029327B">
              <w:rPr>
                <w:lang w:eastAsia="ko-KR"/>
              </w:rPr>
              <w:t>Self-Report of not tested, unknown</w:t>
            </w:r>
            <w:r w:rsidR="00261A3C">
              <w:rPr>
                <w:lang w:eastAsia="ko-KR"/>
              </w:rPr>
              <w:t xml:space="preserve"> status</w:t>
            </w:r>
            <w:r w:rsidRPr="0029327B">
              <w:rPr>
                <w:lang w:eastAsia="ko-KR"/>
              </w:rPr>
              <w:t xml:space="preserve">, or HIV negative status </w:t>
            </w:r>
          </w:p>
        </w:tc>
      </w:tr>
      <w:tr w:rsidR="00454937" w:rsidTr="00BE48D7">
        <w:tc>
          <w:tcPr>
            <w:tcW w:w="1834" w:type="dxa"/>
          </w:tcPr>
          <w:p w:rsidR="00454937" w:rsidRDefault="00454937">
            <w:pPr>
              <w:ind w:right="159"/>
              <w:rPr>
                <w:lang w:eastAsia="ko-KR"/>
              </w:rPr>
            </w:pPr>
            <w:r>
              <w:rPr>
                <w:lang w:eastAsia="ko-KR"/>
              </w:rPr>
              <w:t>PrEP</w:t>
            </w:r>
          </w:p>
        </w:tc>
        <w:tc>
          <w:tcPr>
            <w:tcW w:w="5091" w:type="dxa"/>
          </w:tcPr>
          <w:p w:rsidR="00454937" w:rsidRPr="001109A7" w:rsidRDefault="00454937">
            <w:pPr>
              <w:ind w:right="159"/>
              <w:rPr>
                <w:lang w:eastAsia="ko-KR"/>
              </w:rPr>
            </w:pPr>
            <w:r w:rsidRPr="001109A7">
              <w:rPr>
                <w:lang w:eastAsia="ko-KR"/>
              </w:rPr>
              <w:t>Offered PrEP by a provider/counselor and refused it OR was interested in PrEP but never followed through (made or kept clinic appointment, accepted prescription but never filled it) (self-report and clinic/partnering agency verification) OR filled the prescription, but took it for less than 7 days (self-report)</w:t>
            </w:r>
          </w:p>
        </w:tc>
        <w:tc>
          <w:tcPr>
            <w:tcW w:w="2610" w:type="dxa"/>
          </w:tcPr>
          <w:p w:rsidR="00454937" w:rsidRPr="001109A7" w:rsidRDefault="00454937">
            <w:pPr>
              <w:ind w:right="159"/>
              <w:rPr>
                <w:lang w:eastAsia="ko-KR"/>
              </w:rPr>
            </w:pPr>
            <w:r w:rsidRPr="001109A7">
              <w:rPr>
                <w:lang w:eastAsia="ko-KR"/>
              </w:rPr>
              <w:t xml:space="preserve">Eligible for PrEP by CDC guidelines </w:t>
            </w:r>
          </w:p>
        </w:tc>
      </w:tr>
      <w:tr w:rsidR="00454937" w:rsidTr="00BE48D7">
        <w:tc>
          <w:tcPr>
            <w:tcW w:w="1834" w:type="dxa"/>
          </w:tcPr>
          <w:p w:rsidR="00454937" w:rsidRPr="001109A7" w:rsidRDefault="00454937">
            <w:pPr>
              <w:ind w:right="159"/>
              <w:rPr>
                <w:highlight w:val="green"/>
                <w:lang w:eastAsia="ko-KR"/>
              </w:rPr>
            </w:pPr>
            <w:r w:rsidRPr="001109A7">
              <w:rPr>
                <w:lang w:eastAsia="ko-KR"/>
              </w:rPr>
              <w:t>Race/ethnicity</w:t>
            </w:r>
          </w:p>
        </w:tc>
        <w:tc>
          <w:tcPr>
            <w:tcW w:w="5091" w:type="dxa"/>
          </w:tcPr>
          <w:p w:rsidR="00454937" w:rsidRPr="001109A7" w:rsidRDefault="00454937">
            <w:pPr>
              <w:ind w:right="159"/>
              <w:rPr>
                <w:lang w:eastAsia="ko-KR"/>
              </w:rPr>
            </w:pPr>
            <w:r w:rsidRPr="001109A7">
              <w:rPr>
                <w:lang w:eastAsia="ko-KR"/>
              </w:rPr>
              <w:t>Min-max range each for Whites and all minorities combined:  35</w:t>
            </w:r>
            <w:r w:rsidR="007C7612">
              <w:rPr>
                <w:lang w:eastAsia="ko-KR"/>
              </w:rPr>
              <w:t xml:space="preserve">% </w:t>
            </w:r>
            <w:r w:rsidRPr="001109A7">
              <w:rPr>
                <w:lang w:eastAsia="ko-KR"/>
              </w:rPr>
              <w:t>-65%</w:t>
            </w:r>
          </w:p>
        </w:tc>
        <w:tc>
          <w:tcPr>
            <w:tcW w:w="2610" w:type="dxa"/>
          </w:tcPr>
          <w:p w:rsidR="00454937" w:rsidRPr="001109A7" w:rsidRDefault="00454937">
            <w:pPr>
              <w:ind w:right="159"/>
              <w:rPr>
                <w:lang w:eastAsia="ko-KR"/>
              </w:rPr>
            </w:pPr>
            <w:r w:rsidRPr="001109A7">
              <w:rPr>
                <w:lang w:eastAsia="ko-KR"/>
              </w:rPr>
              <w:t>Min-max range each for Whites and all minorities combined:  35</w:t>
            </w:r>
            <w:r w:rsidR="007C7612">
              <w:rPr>
                <w:lang w:eastAsia="ko-KR"/>
              </w:rPr>
              <w:t xml:space="preserve">% </w:t>
            </w:r>
            <w:r w:rsidRPr="001109A7">
              <w:rPr>
                <w:lang w:eastAsia="ko-KR"/>
              </w:rPr>
              <w:t>-65%</w:t>
            </w:r>
          </w:p>
        </w:tc>
      </w:tr>
      <w:tr w:rsidR="00454937" w:rsidTr="00BE48D7">
        <w:tc>
          <w:tcPr>
            <w:tcW w:w="1834" w:type="dxa"/>
          </w:tcPr>
          <w:p w:rsidR="00454937" w:rsidRDefault="00454937">
            <w:pPr>
              <w:ind w:right="159"/>
              <w:rPr>
                <w:lang w:eastAsia="ko-KR"/>
              </w:rPr>
            </w:pPr>
            <w:r>
              <w:rPr>
                <w:lang w:eastAsia="ko-KR"/>
              </w:rPr>
              <w:t>Sex/Gender</w:t>
            </w:r>
          </w:p>
        </w:tc>
        <w:tc>
          <w:tcPr>
            <w:tcW w:w="7702" w:type="dxa"/>
            <w:gridSpan w:val="2"/>
          </w:tcPr>
          <w:p w:rsidR="00454937" w:rsidRPr="001109A7" w:rsidRDefault="00A56550" w:rsidP="00414B88">
            <w:pPr>
              <w:ind w:right="159"/>
              <w:rPr>
                <w:lang w:eastAsia="ko-KR"/>
              </w:rPr>
            </w:pPr>
            <w:r>
              <w:rPr>
                <w:lang w:eastAsia="ko-KR"/>
              </w:rPr>
              <w:t>M</w:t>
            </w:r>
            <w:r w:rsidR="00454937" w:rsidRPr="001109A7">
              <w:rPr>
                <w:lang w:eastAsia="ko-KR"/>
              </w:rPr>
              <w:t xml:space="preserve">ale </w:t>
            </w:r>
          </w:p>
        </w:tc>
      </w:tr>
      <w:tr w:rsidR="00454937" w:rsidTr="00BE48D7">
        <w:tc>
          <w:tcPr>
            <w:tcW w:w="1834" w:type="dxa"/>
          </w:tcPr>
          <w:p w:rsidR="00454937" w:rsidRDefault="00454937">
            <w:pPr>
              <w:ind w:right="159"/>
              <w:rPr>
                <w:lang w:eastAsia="ko-KR"/>
              </w:rPr>
            </w:pPr>
            <w:r>
              <w:rPr>
                <w:lang w:eastAsia="ko-KR"/>
              </w:rPr>
              <w:t>Age</w:t>
            </w:r>
          </w:p>
        </w:tc>
        <w:tc>
          <w:tcPr>
            <w:tcW w:w="7702" w:type="dxa"/>
            <w:gridSpan w:val="2"/>
          </w:tcPr>
          <w:p w:rsidR="00454937" w:rsidRPr="001109A7" w:rsidRDefault="00454937">
            <w:pPr>
              <w:ind w:right="159"/>
              <w:rPr>
                <w:lang w:eastAsia="ko-KR"/>
              </w:rPr>
            </w:pPr>
            <w:r w:rsidRPr="001109A7">
              <w:rPr>
                <w:lang w:eastAsia="ko-KR"/>
              </w:rPr>
              <w:t>18 years of age or older</w:t>
            </w:r>
          </w:p>
        </w:tc>
      </w:tr>
      <w:tr w:rsidR="00454937" w:rsidTr="00BE48D7">
        <w:tc>
          <w:tcPr>
            <w:tcW w:w="1834" w:type="dxa"/>
          </w:tcPr>
          <w:p w:rsidR="00454937" w:rsidRDefault="00454937">
            <w:pPr>
              <w:ind w:right="159"/>
              <w:rPr>
                <w:lang w:eastAsia="ko-KR"/>
              </w:rPr>
            </w:pPr>
            <w:r>
              <w:rPr>
                <w:lang w:eastAsia="ko-KR"/>
              </w:rPr>
              <w:t>Sexual activity</w:t>
            </w:r>
          </w:p>
        </w:tc>
        <w:tc>
          <w:tcPr>
            <w:tcW w:w="7702" w:type="dxa"/>
            <w:gridSpan w:val="2"/>
          </w:tcPr>
          <w:p w:rsidR="00454937" w:rsidRPr="001109A7" w:rsidRDefault="00454937">
            <w:pPr>
              <w:ind w:right="159"/>
              <w:rPr>
                <w:lang w:eastAsia="ko-KR"/>
              </w:rPr>
            </w:pPr>
            <w:r w:rsidRPr="001109A7">
              <w:rPr>
                <w:lang w:eastAsia="ko-KR"/>
              </w:rPr>
              <w:t>Report condomless anal sex (without PrEP use) with a male partner in the past three months</w:t>
            </w:r>
          </w:p>
        </w:tc>
      </w:tr>
      <w:tr w:rsidR="00454937" w:rsidTr="00BE48D7">
        <w:tc>
          <w:tcPr>
            <w:tcW w:w="1834" w:type="dxa"/>
          </w:tcPr>
          <w:p w:rsidR="00454937" w:rsidRDefault="00454937">
            <w:pPr>
              <w:ind w:right="159"/>
              <w:rPr>
                <w:lang w:eastAsia="ko-KR"/>
              </w:rPr>
            </w:pPr>
            <w:r>
              <w:rPr>
                <w:lang w:eastAsia="ko-KR"/>
              </w:rPr>
              <w:t>Location</w:t>
            </w:r>
          </w:p>
        </w:tc>
        <w:tc>
          <w:tcPr>
            <w:tcW w:w="7702" w:type="dxa"/>
            <w:gridSpan w:val="2"/>
          </w:tcPr>
          <w:p w:rsidR="00454937" w:rsidRDefault="00454937">
            <w:pPr>
              <w:ind w:right="159"/>
              <w:rPr>
                <w:lang w:eastAsia="ko-KR"/>
              </w:rPr>
            </w:pPr>
            <w:r>
              <w:rPr>
                <w:lang w:eastAsia="ko-KR"/>
              </w:rPr>
              <w:t>W</w:t>
            </w:r>
            <w:r w:rsidRPr="005F0DA9">
              <w:rPr>
                <w:lang w:eastAsia="ko-KR"/>
              </w:rPr>
              <w:t xml:space="preserve">ork or reside in </w:t>
            </w:r>
            <w:r>
              <w:rPr>
                <w:lang w:eastAsia="ko-KR"/>
              </w:rPr>
              <w:t>Chicago, Raleigh-Durham, or Atlanta</w:t>
            </w:r>
          </w:p>
        </w:tc>
      </w:tr>
    </w:tbl>
    <w:p w:rsidR="00096F10" w:rsidRDefault="00096F10">
      <w:pPr>
        <w:spacing w:before="200" w:after="80"/>
        <w:rPr>
          <w:i/>
        </w:rPr>
      </w:pPr>
    </w:p>
    <w:p w:rsidR="00454937" w:rsidRDefault="00980128">
      <w:pPr>
        <w:spacing w:before="200" w:after="80"/>
        <w:rPr>
          <w:i/>
        </w:rPr>
      </w:pPr>
      <w:r w:rsidRPr="00E91F9C">
        <w:rPr>
          <w:i/>
        </w:rPr>
        <w:t xml:space="preserve">Exclusion Criteria </w:t>
      </w:r>
    </w:p>
    <w:p w:rsidR="00454937" w:rsidRDefault="00454937">
      <w:pPr>
        <w:spacing w:before="200" w:after="80"/>
      </w:pPr>
      <w:r>
        <w:t xml:space="preserve">Potential </w:t>
      </w:r>
      <w:r w:rsidR="00261A3C">
        <w:t>respondents</w:t>
      </w:r>
      <w:r>
        <w:t xml:space="preserve"> will be excluded from the study if they are unable or unwilling to provide consent for any reason, unable to speak or read English, and are not</w:t>
      </w:r>
      <w:r w:rsidR="00261A3C">
        <w:t>:</w:t>
      </w:r>
      <w:r>
        <w:t xml:space="preserve"> MSM, over 18, HIV-negative, and either a PrEP refuser, unsuccessful initiator, or are </w:t>
      </w:r>
      <w:r w:rsidR="007C7612">
        <w:t>in</w:t>
      </w:r>
      <w:r>
        <w:t>eligible for PrEP.</w:t>
      </w:r>
    </w:p>
    <w:p w:rsidR="00980128" w:rsidRPr="00E91F9C" w:rsidRDefault="00980128">
      <w:pPr>
        <w:spacing w:before="200" w:after="80"/>
        <w:rPr>
          <w:i/>
        </w:rPr>
      </w:pPr>
      <w:r w:rsidRPr="00E91F9C">
        <w:rPr>
          <w:i/>
        </w:rPr>
        <w:t>Justification for Exclusion of Population Segments</w:t>
      </w:r>
    </w:p>
    <w:p w:rsidR="00454937" w:rsidRPr="00460A91" w:rsidRDefault="00454937">
      <w:pPr>
        <w:pStyle w:val="Normal1"/>
        <w:rPr>
          <w:rFonts w:eastAsia="Calibri"/>
        </w:rPr>
      </w:pPr>
      <w:r w:rsidRPr="00460A91">
        <w:rPr>
          <w:rFonts w:eastAsia="Calibri"/>
        </w:rPr>
        <w:t>This research focuses on MSM, a community with high HIV incidence and prevalence, and for whom PrEP is recommended by public health authorities. Males age 18 years or younger are excluded, as well as anyone who</w:t>
      </w:r>
      <w:r w:rsidR="00414B88">
        <w:rPr>
          <w:rFonts w:eastAsia="Calibri"/>
        </w:rPr>
        <w:t>se birth certificate does not specify “Male”</w:t>
      </w:r>
      <w:r w:rsidRPr="00460A91">
        <w:rPr>
          <w:rFonts w:eastAsia="Calibri"/>
        </w:rPr>
        <w:t>, or who currently identifies with a gender identity other than strictly “Male</w:t>
      </w:r>
      <w:r>
        <w:rPr>
          <w:rFonts w:eastAsia="Calibri"/>
        </w:rPr>
        <w:t>.”</w:t>
      </w:r>
      <w:r w:rsidRPr="00460A91">
        <w:rPr>
          <w:rFonts w:eastAsia="Calibri"/>
        </w:rPr>
        <w:t xml:space="preserve"> </w:t>
      </w:r>
    </w:p>
    <w:p w:rsidR="00454937" w:rsidRPr="00460A91" w:rsidRDefault="00454937">
      <w:pPr>
        <w:pStyle w:val="Normal1"/>
        <w:rPr>
          <w:rFonts w:eastAsia="Calibri"/>
        </w:rPr>
      </w:pPr>
    </w:p>
    <w:p w:rsidR="00454937" w:rsidRPr="00C0017B" w:rsidRDefault="00454937">
      <w:pPr>
        <w:pStyle w:val="Normal1"/>
        <w:rPr>
          <w:rFonts w:eastAsia="Calibri"/>
        </w:rPr>
      </w:pPr>
      <w:r w:rsidRPr="00460A91">
        <w:rPr>
          <w:rFonts w:eastAsia="Calibri"/>
        </w:rPr>
        <w:t>Women, including transgender women, are excluded from the study because (1) PrEP recommendations for women differ from those focusing on MSM</w:t>
      </w:r>
      <w:r w:rsidR="00530BE4">
        <w:rPr>
          <w:rFonts w:eastAsia="Calibri"/>
          <w:vertAlign w:val="superscript"/>
        </w:rPr>
        <w:t>11</w:t>
      </w:r>
      <w:r w:rsidR="00BA1442">
        <w:rPr>
          <w:rFonts w:eastAsia="Calibri"/>
          <w:vertAlign w:val="superscript"/>
        </w:rPr>
        <w:t>, 12</w:t>
      </w:r>
      <w:r w:rsidR="00096F10">
        <w:rPr>
          <w:rFonts w:eastAsia="Calibri"/>
        </w:rPr>
        <w:t xml:space="preserve">; </w:t>
      </w:r>
      <w:r w:rsidRPr="00460A91">
        <w:rPr>
          <w:rFonts w:eastAsia="Calibri"/>
        </w:rPr>
        <w:t xml:space="preserve">(2) the individual, socio-cultural and developmental factors associated with HIV risk in MSM are different from those for women; (3) the research questions and issues of relevance for MSM are not relevant or appropriate for women; and (4) transgender women have unique HIV prevention needs that differ from those of MSM. </w:t>
      </w:r>
      <w:r w:rsidRPr="00460A91">
        <w:t xml:space="preserve">Persons under 18 are </w:t>
      </w:r>
      <w:r>
        <w:t xml:space="preserve">excluded because they are </w:t>
      </w:r>
      <w:r w:rsidRPr="00460A91">
        <w:t>unlikely to qualify for insurance or public assistance and other subsidies that assist with PrEP costs. Issues related to PrEP use are likely to be substantially different for MSM under 18.</w:t>
      </w:r>
      <w:r>
        <w:rPr>
          <w:rFonts w:eastAsia="Calibri"/>
        </w:rPr>
        <w:t xml:space="preserve"> </w:t>
      </w:r>
      <w:r>
        <w:t>Incarcerated males</w:t>
      </w:r>
      <w:r w:rsidRPr="007A6A83">
        <w:t xml:space="preserve"> </w:t>
      </w:r>
      <w:r>
        <w:t xml:space="preserve">that </w:t>
      </w:r>
      <w:r w:rsidRPr="007A6A83">
        <w:t xml:space="preserve">are wards of the </w:t>
      </w:r>
      <w:r>
        <w:t>county/</w:t>
      </w:r>
      <w:r w:rsidRPr="007A6A83">
        <w:t>state</w:t>
      </w:r>
      <w:r>
        <w:t>/federal judicial system</w:t>
      </w:r>
      <w:r w:rsidRPr="007A6A83">
        <w:t xml:space="preserve"> are excluded because their inclusion may require </w:t>
      </w:r>
      <w:r>
        <w:t>additional</w:t>
      </w:r>
      <w:r w:rsidRPr="007A6A83">
        <w:t xml:space="preserve"> </w:t>
      </w:r>
      <w:r w:rsidR="00CD1368">
        <w:t>human subjects’ protection</w:t>
      </w:r>
      <w:r w:rsidRPr="007A6A83">
        <w:t>,</w:t>
      </w:r>
      <w:r w:rsidR="00B30A0C">
        <w:t xml:space="preserve"> and/or</w:t>
      </w:r>
      <w:r w:rsidRPr="007A6A83">
        <w:t xml:space="preserve"> logistical and timing </w:t>
      </w:r>
      <w:r>
        <w:t>constraints</w:t>
      </w:r>
      <w:r w:rsidRPr="007A6A83">
        <w:t xml:space="preserve"> inconsistent with the needs of the project</w:t>
      </w:r>
      <w:r>
        <w:t>.</w:t>
      </w:r>
      <w:r>
        <w:rPr>
          <w:rFonts w:eastAsia="Calibri"/>
        </w:rPr>
        <w:t xml:space="preserve"> </w:t>
      </w:r>
      <w:r w:rsidRPr="00460A91">
        <w:t xml:space="preserve">HIV-positive MSM, and MSM who </w:t>
      </w:r>
      <w:r w:rsidR="00261A3C">
        <w:t xml:space="preserve">are </w:t>
      </w:r>
      <w:r w:rsidRPr="00460A91">
        <w:t xml:space="preserve">not eligible for PrEP are </w:t>
      </w:r>
      <w:r>
        <w:t xml:space="preserve">also </w:t>
      </w:r>
      <w:r w:rsidRPr="00460A91">
        <w:t xml:space="preserve">excluded.  </w:t>
      </w:r>
    </w:p>
    <w:p w:rsidR="001B4023" w:rsidRDefault="001B4023">
      <w:pPr>
        <w:pStyle w:val="Heading2"/>
        <w:spacing w:before="0" w:after="0"/>
        <w:rPr>
          <w:rFonts w:ascii="Times New Roman" w:hAnsi="Times New Roman" w:cs="Times New Roman"/>
          <w:i w:val="0"/>
          <w:sz w:val="24"/>
          <w:szCs w:val="24"/>
        </w:rPr>
      </w:pPr>
      <w:bookmarkStart w:id="13" w:name="_Toc386719986"/>
    </w:p>
    <w:p w:rsidR="00CB178B" w:rsidRPr="00303E21" w:rsidRDefault="0059419A">
      <w:pPr>
        <w:pStyle w:val="Heading2"/>
        <w:spacing w:before="0" w:after="0"/>
      </w:pPr>
      <w:r w:rsidRPr="00303E21">
        <w:rPr>
          <w:rFonts w:ascii="Times New Roman" w:hAnsi="Times New Roman" w:cs="Times New Roman"/>
          <w:i w:val="0"/>
          <w:sz w:val="24"/>
          <w:szCs w:val="24"/>
        </w:rPr>
        <w:t>2b</w:t>
      </w:r>
      <w:r w:rsidR="00682AC1" w:rsidRPr="00303E21">
        <w:rPr>
          <w:rFonts w:ascii="Times New Roman" w:hAnsi="Times New Roman" w:cs="Times New Roman"/>
          <w:i w:val="0"/>
          <w:sz w:val="24"/>
          <w:szCs w:val="24"/>
        </w:rPr>
        <w:t>. Recruitment of Respondents</w:t>
      </w:r>
      <w:bookmarkEnd w:id="13"/>
    </w:p>
    <w:p w:rsidR="00C93675" w:rsidRDefault="00C93675">
      <w:pPr>
        <w:pStyle w:val="Normal1"/>
        <w:rPr>
          <w:rFonts w:cs="Times New Roman"/>
        </w:rPr>
      </w:pPr>
    </w:p>
    <w:p w:rsidR="00845632" w:rsidRDefault="00845632">
      <w:pPr>
        <w:pStyle w:val="Normal1"/>
        <w:rPr>
          <w:rFonts w:cs="Times New Roman"/>
        </w:rPr>
      </w:pPr>
      <w:r w:rsidRPr="00845632">
        <w:rPr>
          <w:rFonts w:cs="Times New Roman"/>
        </w:rPr>
        <w:t>Recruitment materials</w:t>
      </w:r>
      <w:r>
        <w:rPr>
          <w:rFonts w:cs="Times New Roman"/>
        </w:rPr>
        <w:t>, including flyers and palm cards, will</w:t>
      </w:r>
      <w:r w:rsidRPr="00845632">
        <w:rPr>
          <w:rFonts w:cs="Times New Roman"/>
        </w:rPr>
        <w:t xml:space="preserve"> include a </w:t>
      </w:r>
      <w:r w:rsidR="00F8075C">
        <w:rPr>
          <w:rFonts w:cs="Times New Roman"/>
        </w:rPr>
        <w:t xml:space="preserve">study telephone </w:t>
      </w:r>
      <w:r w:rsidRPr="00845632">
        <w:rPr>
          <w:rFonts w:cs="Times New Roman"/>
        </w:rPr>
        <w:t xml:space="preserve">number to call, </w:t>
      </w:r>
      <w:r w:rsidR="00073D1B">
        <w:rPr>
          <w:rFonts w:cs="Times New Roman"/>
        </w:rPr>
        <w:t xml:space="preserve">eligibility criteria, </w:t>
      </w:r>
      <w:r w:rsidRPr="00845632">
        <w:rPr>
          <w:rFonts w:cs="Times New Roman"/>
        </w:rPr>
        <w:t xml:space="preserve">that we are seeking </w:t>
      </w:r>
      <w:r w:rsidR="00073D1B">
        <w:rPr>
          <w:rFonts w:cs="Times New Roman"/>
        </w:rPr>
        <w:t>input on their experiences with</w:t>
      </w:r>
      <w:r w:rsidRPr="00845632">
        <w:rPr>
          <w:rFonts w:cs="Times New Roman"/>
        </w:rPr>
        <w:t xml:space="preserve"> PrEP, and the token of appreciation information. All recruitment materials ha</w:t>
      </w:r>
      <w:r w:rsidR="000039F5">
        <w:rPr>
          <w:rFonts w:cs="Times New Roman"/>
        </w:rPr>
        <w:t>ve</w:t>
      </w:r>
      <w:r w:rsidRPr="00845632">
        <w:rPr>
          <w:rFonts w:cs="Times New Roman"/>
        </w:rPr>
        <w:t xml:space="preserve"> been reviewed and approved by the study</w:t>
      </w:r>
      <w:r w:rsidR="00C348BD">
        <w:rPr>
          <w:rFonts w:cs="Times New Roman"/>
        </w:rPr>
        <w:t>’s</w:t>
      </w:r>
      <w:r w:rsidR="00471D96">
        <w:rPr>
          <w:rFonts w:cs="Times New Roman"/>
        </w:rPr>
        <w:t xml:space="preserve"> Atlanta-based</w:t>
      </w:r>
      <w:r w:rsidRPr="00845632">
        <w:rPr>
          <w:rFonts w:cs="Times New Roman"/>
        </w:rPr>
        <w:t xml:space="preserve"> </w:t>
      </w:r>
      <w:r w:rsidR="00471D96">
        <w:rPr>
          <w:rFonts w:cs="Times New Roman"/>
        </w:rPr>
        <w:t>C</w:t>
      </w:r>
      <w:r w:rsidR="00F8075C">
        <w:rPr>
          <w:rFonts w:cs="Times New Roman"/>
        </w:rPr>
        <w:t xml:space="preserve">ommunity </w:t>
      </w:r>
      <w:r w:rsidR="00471D96">
        <w:rPr>
          <w:rFonts w:cs="Times New Roman"/>
        </w:rPr>
        <w:t>A</w:t>
      </w:r>
      <w:r w:rsidR="00F8075C">
        <w:rPr>
          <w:rFonts w:cs="Times New Roman"/>
        </w:rPr>
        <w:t xml:space="preserve">dvisory </w:t>
      </w:r>
      <w:r w:rsidR="00471D96">
        <w:rPr>
          <w:rFonts w:cs="Times New Roman"/>
        </w:rPr>
        <w:t>B</w:t>
      </w:r>
      <w:r w:rsidR="00F8075C">
        <w:rPr>
          <w:rFonts w:cs="Times New Roman"/>
        </w:rPr>
        <w:t>oard (</w:t>
      </w:r>
      <w:r w:rsidRPr="00845632">
        <w:rPr>
          <w:rFonts w:cs="Times New Roman"/>
        </w:rPr>
        <w:t>CAB).</w:t>
      </w:r>
    </w:p>
    <w:p w:rsidR="00845632" w:rsidRDefault="00845632">
      <w:pPr>
        <w:pStyle w:val="Normal1"/>
        <w:rPr>
          <w:rFonts w:cs="Times New Roman"/>
        </w:rPr>
      </w:pPr>
    </w:p>
    <w:p w:rsidR="00C93675" w:rsidRDefault="00C93675">
      <w:pPr>
        <w:pStyle w:val="Normal1"/>
        <w:rPr>
          <w:rFonts w:cs="Times New Roman"/>
        </w:rPr>
      </w:pPr>
      <w:r>
        <w:rPr>
          <w:rFonts w:cs="Times New Roman"/>
        </w:rPr>
        <w:t>Partnering agen</w:t>
      </w:r>
      <w:r w:rsidR="00845632">
        <w:rPr>
          <w:rFonts w:cs="Times New Roman"/>
        </w:rPr>
        <w:t xml:space="preserve">cy </w:t>
      </w:r>
      <w:r>
        <w:rPr>
          <w:rFonts w:cs="Times New Roman"/>
        </w:rPr>
        <w:t xml:space="preserve">staff will recruit MSM by distributing </w:t>
      </w:r>
      <w:r w:rsidR="00845632">
        <w:rPr>
          <w:rFonts w:cs="Times New Roman"/>
        </w:rPr>
        <w:t xml:space="preserve">study </w:t>
      </w:r>
      <w:r>
        <w:rPr>
          <w:rFonts w:cs="Times New Roman"/>
        </w:rPr>
        <w:t xml:space="preserve">flyers at point of contact </w:t>
      </w:r>
      <w:r w:rsidR="00073D1B">
        <w:rPr>
          <w:rFonts w:cs="Times New Roman"/>
        </w:rPr>
        <w:t xml:space="preserve">to </w:t>
      </w:r>
      <w:r>
        <w:rPr>
          <w:rFonts w:cs="Times New Roman"/>
        </w:rPr>
        <w:t>potentially eligible client</w:t>
      </w:r>
      <w:r w:rsidR="00845632">
        <w:rPr>
          <w:rFonts w:cs="Times New Roman"/>
        </w:rPr>
        <w:t>s</w:t>
      </w:r>
      <w:r>
        <w:rPr>
          <w:rFonts w:cs="Times New Roman"/>
        </w:rPr>
        <w:t xml:space="preserve">, posting flyers in </w:t>
      </w:r>
      <w:r w:rsidR="00F8075C">
        <w:rPr>
          <w:rFonts w:cs="Times New Roman"/>
        </w:rPr>
        <w:t xml:space="preserve">accessible </w:t>
      </w:r>
      <w:r w:rsidR="00073D1B">
        <w:rPr>
          <w:rFonts w:cs="Times New Roman"/>
        </w:rPr>
        <w:t>areas such as waiting rooms</w:t>
      </w:r>
      <w:r w:rsidR="007C7612">
        <w:rPr>
          <w:rFonts w:cs="Times New Roman"/>
        </w:rPr>
        <w:t xml:space="preserve">, and </w:t>
      </w:r>
      <w:r>
        <w:rPr>
          <w:rFonts w:cs="Times New Roman"/>
        </w:rPr>
        <w:t>sharing flyers through social media outlets. Partnering agenc</w:t>
      </w:r>
      <w:r w:rsidR="00845632">
        <w:rPr>
          <w:rFonts w:cs="Times New Roman"/>
        </w:rPr>
        <w:t>y</w:t>
      </w:r>
      <w:r>
        <w:rPr>
          <w:rFonts w:cs="Times New Roman"/>
        </w:rPr>
        <w:t xml:space="preserve"> staff will be trained on </w:t>
      </w:r>
      <w:r w:rsidR="00845632">
        <w:rPr>
          <w:rFonts w:cs="Times New Roman"/>
        </w:rPr>
        <w:t xml:space="preserve">the </w:t>
      </w:r>
      <w:r>
        <w:rPr>
          <w:rFonts w:cs="Times New Roman"/>
        </w:rPr>
        <w:t>study</w:t>
      </w:r>
      <w:r w:rsidR="00845632">
        <w:rPr>
          <w:rFonts w:cs="Times New Roman"/>
        </w:rPr>
        <w:t>’s</w:t>
      </w:r>
      <w:r>
        <w:rPr>
          <w:rFonts w:cs="Times New Roman"/>
        </w:rPr>
        <w:t xml:space="preserve"> eligibility criteria and will work closely with </w:t>
      </w:r>
      <w:r w:rsidR="00845632">
        <w:rPr>
          <w:rFonts w:cs="Times New Roman"/>
        </w:rPr>
        <w:t>study</w:t>
      </w:r>
      <w:r>
        <w:rPr>
          <w:rFonts w:cs="Times New Roman"/>
        </w:rPr>
        <w:t xml:space="preserve"> staff to target recruitment efforts</w:t>
      </w:r>
      <w:r w:rsidR="00845632">
        <w:rPr>
          <w:rFonts w:cs="Times New Roman"/>
        </w:rPr>
        <w:t>. F</w:t>
      </w:r>
      <w:r>
        <w:rPr>
          <w:rFonts w:cs="Times New Roman"/>
        </w:rPr>
        <w:t xml:space="preserve">or example, if </w:t>
      </w:r>
      <w:r w:rsidR="00845632">
        <w:rPr>
          <w:rFonts w:cs="Times New Roman"/>
        </w:rPr>
        <w:t>the study</w:t>
      </w:r>
      <w:r>
        <w:rPr>
          <w:rFonts w:cs="Times New Roman"/>
        </w:rPr>
        <w:t xml:space="preserve"> ha</w:t>
      </w:r>
      <w:r w:rsidR="00845632">
        <w:rPr>
          <w:rFonts w:cs="Times New Roman"/>
        </w:rPr>
        <w:t>s</w:t>
      </w:r>
      <w:r>
        <w:rPr>
          <w:rFonts w:cs="Times New Roman"/>
        </w:rPr>
        <w:t xml:space="preserve"> available focus group slots for MSM who have unsuccessfully initiated PrEP, </w:t>
      </w:r>
      <w:r w:rsidR="00845632">
        <w:rPr>
          <w:rFonts w:cs="Times New Roman"/>
        </w:rPr>
        <w:t xml:space="preserve">the </w:t>
      </w:r>
      <w:r>
        <w:rPr>
          <w:rFonts w:cs="Times New Roman"/>
        </w:rPr>
        <w:t>partnering agenc</w:t>
      </w:r>
      <w:r w:rsidR="00845632">
        <w:rPr>
          <w:rFonts w:cs="Times New Roman"/>
        </w:rPr>
        <w:t>y staff</w:t>
      </w:r>
      <w:r>
        <w:rPr>
          <w:rFonts w:cs="Times New Roman"/>
        </w:rPr>
        <w:t xml:space="preserve"> will focus on identifying clients with known PrEP</w:t>
      </w:r>
      <w:r w:rsidR="00F8075C">
        <w:rPr>
          <w:rFonts w:cs="Times New Roman"/>
        </w:rPr>
        <w:t xml:space="preserve"> </w:t>
      </w:r>
      <w:r w:rsidR="00073D1B">
        <w:rPr>
          <w:rFonts w:cs="Times New Roman"/>
        </w:rPr>
        <w:t>initiation</w:t>
      </w:r>
      <w:r>
        <w:rPr>
          <w:rFonts w:cs="Times New Roman"/>
        </w:rPr>
        <w:t xml:space="preserve"> issues. Interested</w:t>
      </w:r>
      <w:r w:rsidR="00845632">
        <w:rPr>
          <w:rFonts w:cs="Times New Roman"/>
        </w:rPr>
        <w:t xml:space="preserve"> clients</w:t>
      </w:r>
      <w:r>
        <w:rPr>
          <w:rFonts w:cs="Times New Roman"/>
        </w:rPr>
        <w:t xml:space="preserve"> will call the phone number on the flyer and be screened for eligibility by study staff.</w:t>
      </w:r>
      <w:r w:rsidRPr="002143ED">
        <w:rPr>
          <w:rFonts w:cs="Times New Roman"/>
        </w:rPr>
        <w:t xml:space="preserve"> </w:t>
      </w:r>
      <w:r>
        <w:rPr>
          <w:rFonts w:cs="Times New Roman"/>
        </w:rPr>
        <w:t xml:space="preserve">We will also encourage snowball sampling by generally encouraging recruitment </w:t>
      </w:r>
      <w:r w:rsidR="00073D1B">
        <w:rPr>
          <w:rFonts w:cs="Times New Roman"/>
        </w:rPr>
        <w:t>through</w:t>
      </w:r>
      <w:r>
        <w:rPr>
          <w:rFonts w:cs="Times New Roman"/>
        </w:rPr>
        <w:t xml:space="preserve"> word-of-mouth and social media.</w:t>
      </w:r>
    </w:p>
    <w:p w:rsidR="00C93675" w:rsidRDefault="00C93675">
      <w:pPr>
        <w:pStyle w:val="Normal1"/>
        <w:rPr>
          <w:rFonts w:cs="Times New Roman"/>
        </w:rPr>
      </w:pPr>
    </w:p>
    <w:p w:rsidR="00C93675" w:rsidRDefault="00845632">
      <w:pPr>
        <w:pStyle w:val="Normal1"/>
        <w:rPr>
          <w:rFonts w:cs="Times New Roman"/>
        </w:rPr>
      </w:pPr>
      <w:r>
        <w:t>F</w:t>
      </w:r>
      <w:r w:rsidR="00C93675">
        <w:t xml:space="preserve">or </w:t>
      </w:r>
      <w:r w:rsidR="00C93675">
        <w:rPr>
          <w:rFonts w:cs="Times New Roman"/>
        </w:rPr>
        <w:t>phase 2</w:t>
      </w:r>
      <w:r>
        <w:rPr>
          <w:rFonts w:cs="Times New Roman"/>
        </w:rPr>
        <w:t xml:space="preserve"> data collection</w:t>
      </w:r>
      <w:r w:rsidR="00C93675">
        <w:rPr>
          <w:rFonts w:cs="Times New Roman"/>
        </w:rPr>
        <w:t xml:space="preserve">, </w:t>
      </w:r>
      <w:r>
        <w:rPr>
          <w:rFonts w:cs="Times New Roman"/>
        </w:rPr>
        <w:t>study staff</w:t>
      </w:r>
      <w:r w:rsidR="00C93675">
        <w:rPr>
          <w:rFonts w:cs="Times New Roman"/>
        </w:rPr>
        <w:t xml:space="preserve"> will work with partner</w:t>
      </w:r>
      <w:r w:rsidR="00F8075C">
        <w:rPr>
          <w:rFonts w:cs="Times New Roman"/>
        </w:rPr>
        <w:t>ing</w:t>
      </w:r>
      <w:r w:rsidR="00C93675">
        <w:rPr>
          <w:rFonts w:cs="Times New Roman"/>
        </w:rPr>
        <w:t xml:space="preserve"> agencies to accommodate onsite recruit</w:t>
      </w:r>
      <w:r>
        <w:rPr>
          <w:rFonts w:cs="Times New Roman"/>
        </w:rPr>
        <w:t>ment</w:t>
      </w:r>
      <w:r w:rsidR="005D75C3">
        <w:rPr>
          <w:rFonts w:cs="Times New Roman"/>
        </w:rPr>
        <w:t xml:space="preserve"> during hours when targeted</w:t>
      </w:r>
      <w:r w:rsidR="00C93675">
        <w:rPr>
          <w:rFonts w:cs="Times New Roman"/>
        </w:rPr>
        <w:t xml:space="preserve"> MSM </w:t>
      </w:r>
      <w:r w:rsidR="00F8075C">
        <w:rPr>
          <w:rFonts w:cs="Times New Roman"/>
        </w:rPr>
        <w:t>are</w:t>
      </w:r>
      <w:r w:rsidR="00C93675">
        <w:rPr>
          <w:rFonts w:cs="Times New Roman"/>
        </w:rPr>
        <w:t xml:space="preserve"> most </w:t>
      </w:r>
      <w:r>
        <w:rPr>
          <w:rFonts w:cs="Times New Roman"/>
        </w:rPr>
        <w:t>likely</w:t>
      </w:r>
      <w:r w:rsidR="00F8075C">
        <w:rPr>
          <w:rFonts w:cs="Times New Roman"/>
        </w:rPr>
        <w:t xml:space="preserve"> to</w:t>
      </w:r>
      <w:r>
        <w:rPr>
          <w:rFonts w:cs="Times New Roman"/>
        </w:rPr>
        <w:t xml:space="preserve"> be </w:t>
      </w:r>
      <w:r w:rsidR="00C93675">
        <w:rPr>
          <w:rFonts w:cs="Times New Roman"/>
        </w:rPr>
        <w:t xml:space="preserve">available for screening and completion of the behavioral assessment.  Recruiters </w:t>
      </w:r>
      <w:r w:rsidR="00073D1B">
        <w:rPr>
          <w:rFonts w:cs="Times New Roman"/>
        </w:rPr>
        <w:t>and/</w:t>
      </w:r>
      <w:r w:rsidR="00C93675">
        <w:rPr>
          <w:rFonts w:cs="Times New Roman"/>
        </w:rPr>
        <w:t>or interviewers will als</w:t>
      </w:r>
      <w:r w:rsidR="00D528AA">
        <w:rPr>
          <w:rFonts w:cs="Times New Roman"/>
        </w:rPr>
        <w:t>o attend local events, such as g</w:t>
      </w:r>
      <w:r w:rsidR="00C93675">
        <w:rPr>
          <w:rFonts w:cs="Times New Roman"/>
        </w:rPr>
        <w:t>ay Pride, where eligible MSM may be willing to be screened and enrolled on the spot. In these venues, recruiters will distribute palm cards.</w:t>
      </w:r>
    </w:p>
    <w:p w:rsidR="00CA4588" w:rsidRPr="00E91F9C" w:rsidRDefault="00CA4588">
      <w:pPr>
        <w:spacing w:before="200" w:after="80"/>
      </w:pPr>
      <w:r w:rsidRPr="00E91F9C">
        <w:t>Recruitment venues may include, but are not be limited to:</w:t>
      </w:r>
    </w:p>
    <w:p w:rsidR="00CA4588" w:rsidRPr="00E91F9C" w:rsidRDefault="00CA4588">
      <w:pPr>
        <w:numPr>
          <w:ilvl w:val="0"/>
          <w:numId w:val="21"/>
        </w:numPr>
        <w:spacing w:before="200" w:after="80"/>
      </w:pPr>
      <w:r w:rsidRPr="00E91F9C">
        <w:t xml:space="preserve">Health Departments, </w:t>
      </w:r>
      <w:r w:rsidR="00C93675">
        <w:t xml:space="preserve">hospitals, </w:t>
      </w:r>
      <w:r w:rsidRPr="00E91F9C">
        <w:t>HIV</w:t>
      </w:r>
      <w:r w:rsidR="00C93675">
        <w:t>/STD</w:t>
      </w:r>
      <w:r w:rsidRPr="00E91F9C">
        <w:t xml:space="preserve"> testing locations, community health clinics</w:t>
      </w:r>
      <w:r w:rsidR="00C93675">
        <w:t>, PrEP clinics</w:t>
      </w:r>
    </w:p>
    <w:p w:rsidR="00CA4588" w:rsidRPr="00E91F9C" w:rsidRDefault="00CA4588">
      <w:pPr>
        <w:numPr>
          <w:ilvl w:val="0"/>
          <w:numId w:val="21"/>
        </w:numPr>
        <w:spacing w:before="200" w:after="80"/>
      </w:pPr>
      <w:r w:rsidRPr="00E91F9C">
        <w:t>Community-based organizations, community centers</w:t>
      </w:r>
    </w:p>
    <w:p w:rsidR="00CA4588" w:rsidRPr="00E91F9C" w:rsidRDefault="00CA4588">
      <w:pPr>
        <w:numPr>
          <w:ilvl w:val="0"/>
          <w:numId w:val="21"/>
        </w:numPr>
        <w:spacing w:before="200" w:after="80"/>
      </w:pPr>
      <w:r w:rsidRPr="00E91F9C">
        <w:t>Use of social networking sites, including but not limited to Facebook, and other online groups and venues; however</w:t>
      </w:r>
      <w:r w:rsidR="00C93675">
        <w:t>,</w:t>
      </w:r>
      <w:r w:rsidRPr="00E91F9C">
        <w:t xml:space="preserve"> no sexually explicit sites will be used.</w:t>
      </w:r>
    </w:p>
    <w:p w:rsidR="00CA4588" w:rsidRPr="00E91F9C" w:rsidRDefault="00CA4588">
      <w:pPr>
        <w:numPr>
          <w:ilvl w:val="0"/>
          <w:numId w:val="21"/>
        </w:numPr>
        <w:spacing w:before="200" w:after="80"/>
      </w:pPr>
      <w:r w:rsidRPr="00E91F9C">
        <w:t>Print marketing materials</w:t>
      </w:r>
    </w:p>
    <w:p w:rsidR="00CA4588" w:rsidRDefault="00CA4588">
      <w:pPr>
        <w:numPr>
          <w:ilvl w:val="0"/>
          <w:numId w:val="21"/>
        </w:numPr>
        <w:spacing w:before="200" w:after="80"/>
      </w:pPr>
      <w:r w:rsidRPr="00E91F9C">
        <w:t>Universities/colleges groups and social organizations</w:t>
      </w:r>
    </w:p>
    <w:p w:rsidR="00C93675" w:rsidRPr="00E91F9C" w:rsidRDefault="00636BD8">
      <w:pPr>
        <w:numPr>
          <w:ilvl w:val="0"/>
          <w:numId w:val="21"/>
        </w:numPr>
        <w:spacing w:before="200" w:after="80"/>
      </w:pPr>
      <w:r>
        <w:t>Community events, such as Pride</w:t>
      </w:r>
    </w:p>
    <w:p w:rsidR="00CA4588" w:rsidRPr="00E91F9C" w:rsidRDefault="00CA4588">
      <w:pPr>
        <w:numPr>
          <w:ilvl w:val="0"/>
          <w:numId w:val="21"/>
        </w:numPr>
        <w:spacing w:before="200" w:after="80"/>
      </w:pPr>
      <w:r w:rsidRPr="00E91F9C">
        <w:t>Other venues frequented by MSM including gay bars and clubs, bathhouses, gyms, coffee hous</w:t>
      </w:r>
      <w:r w:rsidR="00636BD8">
        <w:t>es, restaurants, and bookstores</w:t>
      </w:r>
      <w:r w:rsidRPr="00E91F9C">
        <w:t xml:space="preserve"> </w:t>
      </w:r>
    </w:p>
    <w:p w:rsidR="00CA4588" w:rsidRPr="00E91F9C" w:rsidRDefault="00CA4588">
      <w:pPr>
        <w:spacing w:before="200" w:after="80"/>
      </w:pPr>
      <w:r w:rsidRPr="00E91F9C">
        <w:t xml:space="preserve">In order to enroll </w:t>
      </w:r>
      <w:r w:rsidR="00C93675">
        <w:t xml:space="preserve">sufficient numbers, study staff will work closely with partner agency staff to identify and enroll </w:t>
      </w:r>
      <w:r w:rsidR="00065A66">
        <w:t>respondents</w:t>
      </w:r>
      <w:r w:rsidR="00C93675">
        <w:t xml:space="preserve">. </w:t>
      </w:r>
      <w:r w:rsidRPr="00E91F9C">
        <w:t>Outside of the clinic setting, we will concentrate our recruitment on word</w:t>
      </w:r>
      <w:r w:rsidR="00073D1B">
        <w:t>-</w:t>
      </w:r>
      <w:r w:rsidRPr="00E91F9C">
        <w:t>of</w:t>
      </w:r>
      <w:r w:rsidR="00073D1B">
        <w:t>-</w:t>
      </w:r>
      <w:r w:rsidRPr="00E91F9C">
        <w:t xml:space="preserve">mouth and advertising within </w:t>
      </w:r>
      <w:r w:rsidR="000039F5">
        <w:t>the</w:t>
      </w:r>
      <w:r w:rsidRPr="00E91F9C">
        <w:t xml:space="preserve"> extensive networ</w:t>
      </w:r>
      <w:r w:rsidR="00C93675">
        <w:t xml:space="preserve">k of community-based, </w:t>
      </w:r>
      <w:r w:rsidRPr="00E91F9C">
        <w:t xml:space="preserve">and service-providing agencies and organizations as well as in </w:t>
      </w:r>
      <w:r w:rsidR="00C93675">
        <w:t>bars, clubs, bookstores, and events</w:t>
      </w:r>
      <w:r w:rsidRPr="00E91F9C">
        <w:t xml:space="preserve"> we have worked with in the past. </w:t>
      </w:r>
    </w:p>
    <w:p w:rsidR="00CA4588" w:rsidRPr="00E91F9C" w:rsidRDefault="00C93675">
      <w:pPr>
        <w:spacing w:before="200" w:after="80"/>
      </w:pPr>
      <w:r>
        <w:t>Partnering agencies</w:t>
      </w:r>
      <w:r w:rsidR="00CA4588" w:rsidRPr="00E91F9C">
        <w:t xml:space="preserve"> will distribute flyers that invite </w:t>
      </w:r>
      <w:r w:rsidR="00BD31AE">
        <w:t>potentially eligible MSM</w:t>
      </w:r>
      <w:r w:rsidR="00CA4588" w:rsidRPr="00E91F9C">
        <w:t xml:space="preserve"> to participate in the study. Some </w:t>
      </w:r>
      <w:r w:rsidR="00F9394F">
        <w:t>partnering agencies</w:t>
      </w:r>
      <w:r w:rsidR="00CA4588" w:rsidRPr="00E91F9C">
        <w:t xml:space="preserve"> </w:t>
      </w:r>
      <w:r w:rsidR="00BD31AE">
        <w:t>will</w:t>
      </w:r>
      <w:r w:rsidR="00CA4588" w:rsidRPr="00E91F9C">
        <w:t xml:space="preserve"> also provide space for interviews. </w:t>
      </w:r>
      <w:r w:rsidR="00F9394F">
        <w:t>Agencies</w:t>
      </w:r>
      <w:r w:rsidR="00CA4588" w:rsidRPr="00E91F9C">
        <w:t xml:space="preserve"> that require a review through a research oversight committee will be accommodated as much as possible. That is, we will:</w:t>
      </w:r>
    </w:p>
    <w:p w:rsidR="00CA4588" w:rsidRPr="00E91F9C" w:rsidRDefault="00CA4588">
      <w:pPr>
        <w:numPr>
          <w:ilvl w:val="0"/>
          <w:numId w:val="20"/>
        </w:numPr>
        <w:spacing w:before="200" w:after="80"/>
      </w:pPr>
      <w:r w:rsidRPr="00E91F9C">
        <w:t>Complete study request applications</w:t>
      </w:r>
    </w:p>
    <w:p w:rsidR="00CA4588" w:rsidRPr="00E91F9C" w:rsidRDefault="00CA4588">
      <w:pPr>
        <w:numPr>
          <w:ilvl w:val="0"/>
          <w:numId w:val="20"/>
        </w:numPr>
        <w:spacing w:before="200" w:after="80"/>
      </w:pPr>
      <w:r w:rsidRPr="00E91F9C">
        <w:t>Provide information about the study goals, protocol</w:t>
      </w:r>
      <w:r w:rsidR="00F9394F">
        <w:t>,</w:t>
      </w:r>
      <w:r w:rsidRPr="00E91F9C">
        <w:t xml:space="preserve"> instruments and </w:t>
      </w:r>
      <w:r w:rsidR="00F9394F">
        <w:t xml:space="preserve">informed </w:t>
      </w:r>
      <w:r w:rsidRPr="00E91F9C">
        <w:t>consent</w:t>
      </w:r>
      <w:r w:rsidR="00F9394F">
        <w:t xml:space="preserve"> form</w:t>
      </w:r>
      <w:r w:rsidRPr="00E91F9C">
        <w:t>s</w:t>
      </w:r>
    </w:p>
    <w:p w:rsidR="00CA4588" w:rsidRDefault="00CA4588">
      <w:pPr>
        <w:numPr>
          <w:ilvl w:val="0"/>
          <w:numId w:val="20"/>
        </w:numPr>
        <w:spacing w:before="200" w:after="80"/>
      </w:pPr>
      <w:r w:rsidRPr="00E91F9C">
        <w:t>Attend</w:t>
      </w:r>
      <w:r w:rsidR="00F9394F">
        <w:t>,</w:t>
      </w:r>
      <w:r w:rsidRPr="00E91F9C">
        <w:t xml:space="preserve"> by phone</w:t>
      </w:r>
      <w:r w:rsidR="00F9394F">
        <w:t>,</w:t>
      </w:r>
      <w:r w:rsidRPr="00E91F9C">
        <w:t xml:space="preserve"> research approval committee meetings </w:t>
      </w:r>
      <w:r w:rsidR="00F9394F">
        <w:t>upon</w:t>
      </w:r>
      <w:r w:rsidRPr="00E91F9C">
        <w:t xml:space="preserve"> request</w:t>
      </w:r>
    </w:p>
    <w:p w:rsidR="00BD31AE" w:rsidRPr="00E91F9C" w:rsidRDefault="00BD31AE">
      <w:pPr>
        <w:spacing w:before="200" w:after="80"/>
      </w:pPr>
      <w:r>
        <w:t>In Phase 2, whe</w:t>
      </w:r>
      <w:r w:rsidR="00073D1B">
        <w:t>n</w:t>
      </w:r>
      <w:r>
        <w:t xml:space="preserve"> we are recruiting for the quantitative behavioral assessment only, we will hire local agency staff to recruit, screen, and implement the survey. Local staff will be trained in administering consent and setting up the</w:t>
      </w:r>
      <w:r w:rsidR="00F9394F">
        <w:t xml:space="preserve"> assessment</w:t>
      </w:r>
      <w:r>
        <w:t xml:space="preserve"> for </w:t>
      </w:r>
      <w:r w:rsidR="00065A66">
        <w:t>respondents</w:t>
      </w:r>
      <w:r>
        <w:t>.</w:t>
      </w:r>
    </w:p>
    <w:p w:rsidR="00CA4588" w:rsidRDefault="00CA4588">
      <w:pPr>
        <w:spacing w:before="200" w:after="80"/>
      </w:pPr>
      <w:r w:rsidRPr="00E91F9C">
        <w:t xml:space="preserve">Participants will be recruited in the </w:t>
      </w:r>
      <w:r w:rsidR="00BD31AE">
        <w:t>three cities: Raleigh-Durham, NC</w:t>
      </w:r>
      <w:r w:rsidRPr="00E91F9C">
        <w:t xml:space="preserve">; </w:t>
      </w:r>
      <w:r w:rsidR="00BD31AE">
        <w:t>Chicago</w:t>
      </w:r>
      <w:r w:rsidRPr="00E91F9C">
        <w:t xml:space="preserve">, </w:t>
      </w:r>
      <w:r w:rsidR="00BD31AE">
        <w:t>IL</w:t>
      </w:r>
      <w:r w:rsidRPr="00E91F9C">
        <w:t>; and Atlanta,</w:t>
      </w:r>
      <w:r w:rsidR="00BD31AE">
        <w:t xml:space="preserve"> GA until the target 300</w:t>
      </w:r>
      <w:r w:rsidRPr="00E91F9C">
        <w:t xml:space="preserve"> </w:t>
      </w:r>
      <w:r w:rsidR="00E20D11">
        <w:t>respondents</w:t>
      </w:r>
      <w:r w:rsidRPr="00E91F9C">
        <w:t xml:space="preserve"> is met.  </w:t>
      </w:r>
      <w:r w:rsidR="00BD31AE">
        <w:t>Race and ethnicity</w:t>
      </w:r>
      <w:r w:rsidRPr="00E91F9C">
        <w:t xml:space="preserve"> status will be tracked </w:t>
      </w:r>
      <w:r w:rsidR="00F9394F">
        <w:t xml:space="preserve">continuously </w:t>
      </w:r>
      <w:r w:rsidRPr="00E91F9C">
        <w:t xml:space="preserve">to ensure that </w:t>
      </w:r>
      <w:r w:rsidR="00BD31AE">
        <w:t>African American/Hispanic/Latino</w:t>
      </w:r>
      <w:r w:rsidR="001077CD">
        <w:t xml:space="preserve"> and other race/ethnic minority</w:t>
      </w:r>
      <w:r w:rsidRPr="00E91F9C">
        <w:t xml:space="preserve"> MSM are well represen</w:t>
      </w:r>
      <w:r w:rsidR="001077CD">
        <w:t>ted in the population in addition to</w:t>
      </w:r>
      <w:r w:rsidRPr="00E91F9C">
        <w:t xml:space="preserve"> </w:t>
      </w:r>
      <w:r w:rsidR="00BD31AE">
        <w:t>white</w:t>
      </w:r>
      <w:r w:rsidR="00DA11FB" w:rsidRPr="00E91F9C">
        <w:t xml:space="preserve"> </w:t>
      </w:r>
      <w:r w:rsidR="00BD31AE">
        <w:t>MSM</w:t>
      </w:r>
      <w:r w:rsidRPr="00E91F9C">
        <w:t>. Advertisements in publi</w:t>
      </w:r>
      <w:r w:rsidR="001077CD">
        <w:t>cations geared towards the sexual minority</w:t>
      </w:r>
      <w:r w:rsidRPr="00E91F9C">
        <w:t xml:space="preserve"> community will be used as needed.  Individuals who are interested in participating may contact the phone number provided.  They will be </w:t>
      </w:r>
      <w:r w:rsidR="00A04FED">
        <w:t>screened to assess eligibility (</w:t>
      </w:r>
      <w:r w:rsidRPr="00A04FED">
        <w:rPr>
          <w:b/>
        </w:rPr>
        <w:t>Attachment</w:t>
      </w:r>
      <w:r w:rsidR="00A04FED">
        <w:rPr>
          <w:b/>
        </w:rPr>
        <w:t xml:space="preserve"> 3a</w:t>
      </w:r>
      <w:r w:rsidR="00A04FED" w:rsidRPr="00A04FED">
        <w:t>)</w:t>
      </w:r>
      <w:r w:rsidRPr="00E91F9C">
        <w:t xml:space="preserve">.  The screening process should take approximately </w:t>
      </w:r>
      <w:r w:rsidRPr="00BE48D7">
        <w:t>five</w:t>
      </w:r>
      <w:r w:rsidRPr="00E91F9C">
        <w:t xml:space="preserve"> minutes to complete.</w:t>
      </w:r>
      <w:r w:rsidRPr="00E91F9C" w:rsidDel="00A139D1">
        <w:t xml:space="preserve"> </w:t>
      </w:r>
    </w:p>
    <w:p w:rsidR="00096F10" w:rsidRPr="00E91F9C" w:rsidRDefault="00096F10" w:rsidP="00096F10">
      <w:pPr>
        <w:spacing w:before="120" w:after="80"/>
      </w:pPr>
    </w:p>
    <w:p w:rsidR="006F5358" w:rsidRPr="00303E21" w:rsidRDefault="006F5358">
      <w:pPr>
        <w:pStyle w:val="Heading1"/>
        <w:spacing w:before="0" w:after="0"/>
        <w:rPr>
          <w:rFonts w:ascii="Times New Roman" w:hAnsi="Times New Roman" w:cs="Times New Roman"/>
          <w:iCs/>
          <w:sz w:val="28"/>
          <w:szCs w:val="28"/>
        </w:rPr>
      </w:pPr>
      <w:bookmarkStart w:id="14" w:name="_Toc306891591"/>
      <w:bookmarkStart w:id="15" w:name="_Toc386719987"/>
      <w:r w:rsidRPr="00303E21">
        <w:rPr>
          <w:rFonts w:ascii="Times New Roman" w:hAnsi="Times New Roman" w:cs="Times New Roman"/>
          <w:iCs/>
          <w:sz w:val="28"/>
          <w:szCs w:val="28"/>
        </w:rPr>
        <w:t xml:space="preserve">3. </w:t>
      </w:r>
      <w:r w:rsidRPr="00303E21">
        <w:rPr>
          <w:rFonts w:ascii="Times New Roman" w:hAnsi="Times New Roman" w:cs="Times New Roman"/>
          <w:iCs/>
          <w:sz w:val="28"/>
          <w:szCs w:val="28"/>
        </w:rPr>
        <w:tab/>
        <w:t>Methods to Maximize Response Rates</w:t>
      </w:r>
      <w:bookmarkEnd w:id="11"/>
      <w:bookmarkEnd w:id="14"/>
      <w:r w:rsidR="00310291">
        <w:rPr>
          <w:rFonts w:ascii="Times New Roman" w:hAnsi="Times New Roman" w:cs="Times New Roman"/>
          <w:iCs/>
          <w:sz w:val="28"/>
          <w:szCs w:val="28"/>
        </w:rPr>
        <w:t xml:space="preserve"> and Deal with No Response</w:t>
      </w:r>
      <w:bookmarkEnd w:id="15"/>
    </w:p>
    <w:p w:rsidR="006F5358" w:rsidRPr="00303E21" w:rsidRDefault="006F5358">
      <w:pPr>
        <w:autoSpaceDE w:val="0"/>
        <w:autoSpaceDN w:val="0"/>
        <w:adjustRightInd w:val="0"/>
        <w:contextualSpacing/>
        <w:rPr>
          <w:b/>
          <w:bCs/>
        </w:rPr>
      </w:pPr>
    </w:p>
    <w:p w:rsidR="005943C4" w:rsidRPr="00303E21" w:rsidRDefault="00E65382" w:rsidP="00BE48D7">
      <w:pPr>
        <w:autoSpaceDE w:val="0"/>
        <w:autoSpaceDN w:val="0"/>
        <w:adjustRightInd w:val="0"/>
        <w:contextualSpacing/>
        <w:rPr>
          <w:bCs/>
        </w:rPr>
      </w:pPr>
      <w:r w:rsidRPr="00303E21">
        <w:rPr>
          <w:bCs/>
        </w:rPr>
        <w:t>We will use t</w:t>
      </w:r>
      <w:r w:rsidR="005943C4" w:rsidRPr="00303E21">
        <w:rPr>
          <w:bCs/>
        </w:rPr>
        <w:t>he following procedures to maximize cooperation and to achieve the desired response rate:</w:t>
      </w:r>
    </w:p>
    <w:p w:rsidR="005943C4" w:rsidRPr="00303E21" w:rsidRDefault="005943C4" w:rsidP="00BE48D7">
      <w:pPr>
        <w:autoSpaceDE w:val="0"/>
        <w:autoSpaceDN w:val="0"/>
        <w:adjustRightInd w:val="0"/>
        <w:contextualSpacing/>
        <w:rPr>
          <w:bCs/>
        </w:rPr>
      </w:pPr>
    </w:p>
    <w:p w:rsidR="00CA4588" w:rsidRDefault="00065A66" w:rsidP="00BE48D7">
      <w:pPr>
        <w:numPr>
          <w:ilvl w:val="0"/>
          <w:numId w:val="11"/>
        </w:numPr>
        <w:autoSpaceDE w:val="0"/>
        <w:autoSpaceDN w:val="0"/>
        <w:adjustRightInd w:val="0"/>
        <w:contextualSpacing/>
        <w:rPr>
          <w:bCs/>
        </w:rPr>
      </w:pPr>
      <w:r>
        <w:rPr>
          <w:bCs/>
        </w:rPr>
        <w:t>Respondent</w:t>
      </w:r>
      <w:r w:rsidR="00CA4588" w:rsidRPr="00CA4588">
        <w:rPr>
          <w:bCs/>
        </w:rPr>
        <w:t xml:space="preserve"> accrual rates will be monitored by the recruitment manager to maintain consistent and accurate procedures</w:t>
      </w:r>
      <w:r w:rsidR="009F160C">
        <w:rPr>
          <w:bCs/>
        </w:rPr>
        <w:t>, as well as adjust recruitment processes according to the participation rates by site and eligibility status</w:t>
      </w:r>
      <w:r w:rsidR="00CA4588" w:rsidRPr="00CA4588">
        <w:rPr>
          <w:bCs/>
        </w:rPr>
        <w:t xml:space="preserve">. </w:t>
      </w:r>
      <w:r w:rsidR="009F160C">
        <w:rPr>
          <w:bCs/>
        </w:rPr>
        <w:t>For example, r</w:t>
      </w:r>
      <w:r w:rsidR="0007682B">
        <w:rPr>
          <w:bCs/>
        </w:rPr>
        <w:t>ace and ethnicity will</w:t>
      </w:r>
      <w:r w:rsidR="00CA4588" w:rsidRPr="00CA4588">
        <w:rPr>
          <w:bCs/>
        </w:rPr>
        <w:t xml:space="preserve"> be tracked as </w:t>
      </w:r>
      <w:r w:rsidR="009F160C">
        <w:rPr>
          <w:bCs/>
        </w:rPr>
        <w:t>responses</w:t>
      </w:r>
      <w:r w:rsidR="00CA4588" w:rsidRPr="00CA4588">
        <w:rPr>
          <w:bCs/>
        </w:rPr>
        <w:t xml:space="preserve"> are completed to ensure that </w:t>
      </w:r>
      <w:r w:rsidR="0007682B">
        <w:rPr>
          <w:bCs/>
        </w:rPr>
        <w:t xml:space="preserve">no fewer than 35% - or </w:t>
      </w:r>
      <w:r w:rsidR="00F9394F">
        <w:rPr>
          <w:bCs/>
        </w:rPr>
        <w:t xml:space="preserve">no </w:t>
      </w:r>
      <w:r w:rsidR="0007682B">
        <w:rPr>
          <w:bCs/>
        </w:rPr>
        <w:t xml:space="preserve">more than 65% - of </w:t>
      </w:r>
      <w:r w:rsidR="00F8075C">
        <w:rPr>
          <w:bCs/>
        </w:rPr>
        <w:t xml:space="preserve">participating </w:t>
      </w:r>
      <w:r w:rsidR="0007682B">
        <w:rPr>
          <w:bCs/>
        </w:rPr>
        <w:t>MSM are minority or white.</w:t>
      </w:r>
      <w:r w:rsidR="009F160C">
        <w:rPr>
          <w:bCs/>
        </w:rPr>
        <w:t xml:space="preserve"> Furthermore, if the accrual rate among PrEP refusers is low in one site, the recruitment manager can shift attention and resources to target this sampled population.</w:t>
      </w:r>
      <w:r w:rsidR="00CA4588" w:rsidRPr="00CA4588">
        <w:rPr>
          <w:bCs/>
        </w:rPr>
        <w:t xml:space="preserve"> </w:t>
      </w:r>
    </w:p>
    <w:p w:rsidR="00CA4588" w:rsidRPr="00BE48D7" w:rsidRDefault="00CA4588" w:rsidP="00BE48D7">
      <w:pPr>
        <w:numPr>
          <w:ilvl w:val="0"/>
          <w:numId w:val="11"/>
        </w:numPr>
        <w:autoSpaceDE w:val="0"/>
        <w:autoSpaceDN w:val="0"/>
        <w:adjustRightInd w:val="0"/>
        <w:contextualSpacing/>
        <w:rPr>
          <w:bCs/>
        </w:rPr>
      </w:pPr>
      <w:r w:rsidRPr="00CA4588">
        <w:rPr>
          <w:bCs/>
        </w:rPr>
        <w:t xml:space="preserve">If recruitment falls short </w:t>
      </w:r>
      <w:r w:rsidR="0007682B">
        <w:rPr>
          <w:bCs/>
        </w:rPr>
        <w:t xml:space="preserve"> CDC staff and population experts</w:t>
      </w:r>
      <w:r w:rsidRPr="00CA4588">
        <w:rPr>
          <w:bCs/>
        </w:rPr>
        <w:t xml:space="preserve"> </w:t>
      </w:r>
      <w:r w:rsidR="0067295E">
        <w:rPr>
          <w:bCs/>
        </w:rPr>
        <w:t xml:space="preserve">will be consulted </w:t>
      </w:r>
      <w:r w:rsidRPr="00CA4588">
        <w:rPr>
          <w:bCs/>
        </w:rPr>
        <w:t xml:space="preserve">to determine the best course of action, including recruiting additional </w:t>
      </w:r>
      <w:r w:rsidR="00065A66">
        <w:rPr>
          <w:bCs/>
        </w:rPr>
        <w:t>respondents</w:t>
      </w:r>
      <w:r w:rsidRPr="00CA4588">
        <w:rPr>
          <w:bCs/>
        </w:rPr>
        <w:t xml:space="preserve"> at alternative </w:t>
      </w:r>
      <w:r w:rsidR="0007682B">
        <w:rPr>
          <w:bCs/>
        </w:rPr>
        <w:t>partnering agencies and</w:t>
      </w:r>
      <w:r w:rsidRPr="00CA4588">
        <w:rPr>
          <w:bCs/>
        </w:rPr>
        <w:t xml:space="preserve"> venues in the </w:t>
      </w:r>
      <w:r w:rsidR="00F9394F">
        <w:rPr>
          <w:bCs/>
        </w:rPr>
        <w:t>targeted sites, or</w:t>
      </w:r>
      <w:r w:rsidRPr="00CA4588">
        <w:rPr>
          <w:bCs/>
        </w:rPr>
        <w:t xml:space="preserve"> modif</w:t>
      </w:r>
      <w:r w:rsidR="00F9394F">
        <w:rPr>
          <w:bCs/>
        </w:rPr>
        <w:t>y</w:t>
      </w:r>
      <w:r w:rsidRPr="00CA4588">
        <w:rPr>
          <w:bCs/>
        </w:rPr>
        <w:t xml:space="preserve"> eligibility </w:t>
      </w:r>
      <w:r w:rsidR="009F160C">
        <w:rPr>
          <w:bCs/>
        </w:rPr>
        <w:t xml:space="preserve">definitions, e.g. PrEP unsuccessful may need to consider a month or less on PrEP </w:t>
      </w:r>
      <w:r w:rsidR="009F160C" w:rsidRPr="00BE48D7">
        <w:rPr>
          <w:bCs/>
        </w:rPr>
        <w:t>timeframe rather than less than a week</w:t>
      </w:r>
      <w:r w:rsidRPr="00BE48D7">
        <w:rPr>
          <w:bCs/>
        </w:rPr>
        <w:t xml:space="preserve">. </w:t>
      </w:r>
    </w:p>
    <w:p w:rsidR="005943C4" w:rsidRPr="00BE48D7" w:rsidRDefault="005943C4" w:rsidP="00BE48D7">
      <w:pPr>
        <w:numPr>
          <w:ilvl w:val="0"/>
          <w:numId w:val="11"/>
        </w:numPr>
        <w:autoSpaceDE w:val="0"/>
        <w:autoSpaceDN w:val="0"/>
        <w:adjustRightInd w:val="0"/>
        <w:contextualSpacing/>
        <w:rPr>
          <w:bCs/>
        </w:rPr>
      </w:pPr>
      <w:r w:rsidRPr="00BE48D7">
        <w:rPr>
          <w:bCs/>
        </w:rPr>
        <w:t>A token of appreciation</w:t>
      </w:r>
      <w:r w:rsidR="00BE265D" w:rsidRPr="00BE48D7">
        <w:rPr>
          <w:bCs/>
        </w:rPr>
        <w:t xml:space="preserve"> of</w:t>
      </w:r>
      <w:r w:rsidRPr="00BE48D7">
        <w:rPr>
          <w:bCs/>
        </w:rPr>
        <w:t xml:space="preserve"> in cash will be provided to </w:t>
      </w:r>
      <w:r w:rsidR="009F160C" w:rsidRPr="00BE48D7">
        <w:rPr>
          <w:bCs/>
        </w:rPr>
        <w:t xml:space="preserve">all </w:t>
      </w:r>
      <w:r w:rsidR="00D70292" w:rsidRPr="00BE48D7">
        <w:rPr>
          <w:bCs/>
        </w:rPr>
        <w:t>respondents</w:t>
      </w:r>
      <w:r w:rsidRPr="00BE48D7">
        <w:rPr>
          <w:bCs/>
        </w:rPr>
        <w:t xml:space="preserve"> upon completion of the</w:t>
      </w:r>
      <w:r w:rsidR="009F160C" w:rsidRPr="00BE48D7">
        <w:rPr>
          <w:bCs/>
        </w:rPr>
        <w:t>ir participation</w:t>
      </w:r>
      <w:r w:rsidRPr="00BE48D7">
        <w:rPr>
          <w:bCs/>
        </w:rPr>
        <w:t>.</w:t>
      </w:r>
      <w:r w:rsidR="009F160C" w:rsidRPr="00BE48D7">
        <w:rPr>
          <w:bCs/>
        </w:rPr>
        <w:t xml:space="preserve"> The size of the token is dependent on the amount of time the respondent is engaged in the study, ranging from $20 for a behavioral assessment to $</w:t>
      </w:r>
      <w:r w:rsidR="00471D96">
        <w:rPr>
          <w:bCs/>
        </w:rPr>
        <w:t>7</w:t>
      </w:r>
      <w:r w:rsidR="00984743">
        <w:rPr>
          <w:bCs/>
        </w:rPr>
        <w:t xml:space="preserve">5 for </w:t>
      </w:r>
      <w:r w:rsidR="009F160C" w:rsidRPr="00BE48D7">
        <w:rPr>
          <w:bCs/>
        </w:rPr>
        <w:t xml:space="preserve">a focus group </w:t>
      </w:r>
      <w:r w:rsidR="004D011B">
        <w:rPr>
          <w:bCs/>
        </w:rPr>
        <w:t>(</w:t>
      </w:r>
      <w:r w:rsidR="00984743">
        <w:rPr>
          <w:bCs/>
        </w:rPr>
        <w:t>with a behavioral assessment</w:t>
      </w:r>
      <w:r w:rsidR="004D011B">
        <w:rPr>
          <w:bCs/>
        </w:rPr>
        <w:t>)</w:t>
      </w:r>
      <w:r w:rsidR="00984743">
        <w:rPr>
          <w:bCs/>
        </w:rPr>
        <w:t>.</w:t>
      </w:r>
    </w:p>
    <w:p w:rsidR="005943C4" w:rsidRPr="00303E21" w:rsidRDefault="005943C4" w:rsidP="00BE48D7">
      <w:pPr>
        <w:numPr>
          <w:ilvl w:val="0"/>
          <w:numId w:val="11"/>
        </w:numPr>
        <w:autoSpaceDE w:val="0"/>
        <w:autoSpaceDN w:val="0"/>
        <w:adjustRightInd w:val="0"/>
        <w:contextualSpacing/>
        <w:rPr>
          <w:bCs/>
        </w:rPr>
      </w:pPr>
      <w:r w:rsidRPr="00303E21">
        <w:rPr>
          <w:bCs/>
        </w:rPr>
        <w:t>Telephone screening of interested individuals will be used to determine eligibility</w:t>
      </w:r>
      <w:r w:rsidR="0007682B">
        <w:rPr>
          <w:bCs/>
        </w:rPr>
        <w:t xml:space="preserve"> in phase 1. Phase 2 </w:t>
      </w:r>
      <w:r w:rsidR="00065A66">
        <w:rPr>
          <w:bCs/>
        </w:rPr>
        <w:t>respondents</w:t>
      </w:r>
      <w:r w:rsidR="0007682B">
        <w:rPr>
          <w:bCs/>
        </w:rPr>
        <w:t xml:space="preserve"> may be telephone screened or screened </w:t>
      </w:r>
      <w:r w:rsidR="00F8075C">
        <w:rPr>
          <w:bCs/>
        </w:rPr>
        <w:t xml:space="preserve">in-person </w:t>
      </w:r>
      <w:r w:rsidR="003E6D42">
        <w:rPr>
          <w:bCs/>
        </w:rPr>
        <w:t xml:space="preserve">just </w:t>
      </w:r>
      <w:r w:rsidR="0007682B">
        <w:rPr>
          <w:bCs/>
        </w:rPr>
        <w:t>prior to participation</w:t>
      </w:r>
      <w:r w:rsidR="009F160C">
        <w:rPr>
          <w:bCs/>
        </w:rPr>
        <w:t>, so as to not lose their response due to a delay from screening to study completion</w:t>
      </w:r>
      <w:r w:rsidR="00DA3ADB">
        <w:rPr>
          <w:bCs/>
        </w:rPr>
        <w:t xml:space="preserve">. </w:t>
      </w:r>
    </w:p>
    <w:p w:rsidR="005943C4" w:rsidRPr="00BE48D7" w:rsidRDefault="001E33B6" w:rsidP="00BE48D7">
      <w:pPr>
        <w:numPr>
          <w:ilvl w:val="0"/>
          <w:numId w:val="11"/>
        </w:numPr>
        <w:autoSpaceDE w:val="0"/>
        <w:autoSpaceDN w:val="0"/>
        <w:adjustRightInd w:val="0"/>
        <w:contextualSpacing/>
        <w:rPr>
          <w:b/>
          <w:bCs/>
        </w:rPr>
      </w:pPr>
      <w:r>
        <w:rPr>
          <w:bCs/>
        </w:rPr>
        <w:t>To boost participation among potentially eligible and interested respondents, we will ask existing respondents to share the study’s contact information with their network.</w:t>
      </w:r>
      <w:r w:rsidR="005943C4" w:rsidRPr="00303E21">
        <w:rPr>
          <w:bCs/>
        </w:rPr>
        <w:t xml:space="preserve"> </w:t>
      </w:r>
    </w:p>
    <w:p w:rsidR="00F740D8" w:rsidRPr="00303E21" w:rsidRDefault="00F740D8" w:rsidP="00BE48D7">
      <w:pPr>
        <w:numPr>
          <w:ilvl w:val="0"/>
          <w:numId w:val="11"/>
        </w:numPr>
        <w:autoSpaceDE w:val="0"/>
        <w:autoSpaceDN w:val="0"/>
        <w:adjustRightInd w:val="0"/>
        <w:contextualSpacing/>
        <w:rPr>
          <w:b/>
          <w:bCs/>
        </w:rPr>
      </w:pPr>
      <w:r>
        <w:rPr>
          <w:bCs/>
        </w:rPr>
        <w:t>Finally, to maximize participation and minimize non-response, all parties will be informed of the voluntary nature of the study as well as the privacy protections and rights they retain throughout the course of the study. This information will be shared during the screening process as well as informed consent process.</w:t>
      </w:r>
    </w:p>
    <w:p w:rsidR="0099371D" w:rsidRPr="00303E21" w:rsidRDefault="0099371D" w:rsidP="00BE48D7">
      <w:pPr>
        <w:autoSpaceDE w:val="0"/>
        <w:autoSpaceDN w:val="0"/>
        <w:adjustRightInd w:val="0"/>
        <w:ind w:left="720"/>
        <w:contextualSpacing/>
        <w:rPr>
          <w:b/>
          <w:bCs/>
        </w:rPr>
      </w:pPr>
    </w:p>
    <w:p w:rsidR="006F5358" w:rsidRPr="00303E21" w:rsidRDefault="006F5358">
      <w:pPr>
        <w:pStyle w:val="Heading1"/>
        <w:spacing w:before="0" w:after="0"/>
        <w:rPr>
          <w:rFonts w:ascii="Times New Roman" w:hAnsi="Times New Roman" w:cs="Times New Roman"/>
          <w:iCs/>
          <w:sz w:val="28"/>
          <w:szCs w:val="28"/>
        </w:rPr>
      </w:pPr>
      <w:bookmarkStart w:id="16" w:name="_Toc295894623"/>
      <w:bookmarkStart w:id="17" w:name="_Toc306891592"/>
      <w:bookmarkStart w:id="18" w:name="_Toc386719988"/>
      <w:bookmarkStart w:id="19" w:name="_Toc235958564"/>
      <w:r w:rsidRPr="00303E21">
        <w:rPr>
          <w:rFonts w:ascii="Times New Roman" w:hAnsi="Times New Roman" w:cs="Times New Roman"/>
          <w:iCs/>
          <w:sz w:val="28"/>
          <w:szCs w:val="28"/>
        </w:rPr>
        <w:t>4.</w:t>
      </w:r>
      <w:r w:rsidRPr="00303E21">
        <w:rPr>
          <w:rFonts w:ascii="Times New Roman" w:hAnsi="Times New Roman" w:cs="Times New Roman"/>
          <w:iCs/>
          <w:sz w:val="28"/>
          <w:szCs w:val="28"/>
        </w:rPr>
        <w:tab/>
        <w:t>Tests of Procedures</w:t>
      </w:r>
      <w:bookmarkEnd w:id="16"/>
      <w:bookmarkEnd w:id="17"/>
      <w:r w:rsidR="00310291">
        <w:rPr>
          <w:rFonts w:ascii="Times New Roman" w:hAnsi="Times New Roman" w:cs="Times New Roman"/>
          <w:iCs/>
          <w:sz w:val="28"/>
          <w:szCs w:val="28"/>
        </w:rPr>
        <w:t xml:space="preserve"> or Methods to Be Undertaken</w:t>
      </w:r>
      <w:bookmarkEnd w:id="18"/>
    </w:p>
    <w:p w:rsidR="00DA35C4" w:rsidRPr="00303E21" w:rsidRDefault="00DA35C4">
      <w:pPr>
        <w:autoSpaceDE w:val="0"/>
        <w:autoSpaceDN w:val="0"/>
        <w:adjustRightInd w:val="0"/>
        <w:ind w:left="720"/>
      </w:pPr>
    </w:p>
    <w:p w:rsidR="00E65382" w:rsidRPr="00303E21" w:rsidRDefault="00DA35C4" w:rsidP="00BE48D7">
      <w:pPr>
        <w:autoSpaceDE w:val="0"/>
        <w:autoSpaceDN w:val="0"/>
        <w:adjustRightInd w:val="0"/>
      </w:pPr>
      <w:r w:rsidRPr="00303E21">
        <w:t xml:space="preserve">Our team includes experts </w:t>
      </w:r>
      <w:r w:rsidR="00611453" w:rsidRPr="00303E21">
        <w:t>with the</w:t>
      </w:r>
      <w:r w:rsidR="003E6D42">
        <w:t xml:space="preserve"> target</w:t>
      </w:r>
      <w:r w:rsidR="00611453" w:rsidRPr="00303E21">
        <w:t xml:space="preserve"> population</w:t>
      </w:r>
      <w:r w:rsidR="00860682">
        <w:t>,</w:t>
      </w:r>
      <w:r w:rsidR="00611453" w:rsidRPr="00303E21">
        <w:t xml:space="preserve"> a</w:t>
      </w:r>
      <w:r w:rsidR="003E6D42">
        <w:t>s well as</w:t>
      </w:r>
      <w:r w:rsidR="00611453" w:rsidRPr="00303E21">
        <w:t xml:space="preserve"> </w:t>
      </w:r>
      <w:r w:rsidR="007C7612">
        <w:t xml:space="preserve">with </w:t>
      </w:r>
      <w:r w:rsidRPr="00303E21">
        <w:t xml:space="preserve">qualitative </w:t>
      </w:r>
      <w:r w:rsidR="00860682">
        <w:t xml:space="preserve">and quantitative </w:t>
      </w:r>
      <w:r w:rsidRPr="00303E21">
        <w:t>research</w:t>
      </w:r>
      <w:r w:rsidR="003E6D42">
        <w:t xml:space="preserve"> methods</w:t>
      </w:r>
      <w:r w:rsidR="00611453" w:rsidRPr="00303E21">
        <w:t>, including screening</w:t>
      </w:r>
      <w:r w:rsidR="003E6D42">
        <w:t>,</w:t>
      </w:r>
      <w:r w:rsidR="00611453" w:rsidRPr="00303E21">
        <w:t xml:space="preserve"> in</w:t>
      </w:r>
      <w:r w:rsidR="003E6D42">
        <w:t>strument</w:t>
      </w:r>
      <w:r w:rsidR="00611453" w:rsidRPr="00303E21">
        <w:t xml:space="preserve"> development</w:t>
      </w:r>
      <w:r w:rsidR="003E6D42">
        <w:t>,</w:t>
      </w:r>
      <w:r w:rsidR="00611453" w:rsidRPr="00303E21">
        <w:t xml:space="preserve"> and </w:t>
      </w:r>
      <w:r w:rsidR="003E6D42">
        <w:t xml:space="preserve">pilot </w:t>
      </w:r>
      <w:r w:rsidR="00611453" w:rsidRPr="00303E21">
        <w:t>testing.</w:t>
      </w:r>
      <w:r w:rsidR="0078520E" w:rsidRPr="00303E21">
        <w:t xml:space="preserve"> </w:t>
      </w:r>
      <w:r w:rsidR="00E65382" w:rsidRPr="00303E21">
        <w:t>We will conduct p</w:t>
      </w:r>
      <w:r w:rsidR="007325E0">
        <w:t>iloting</w:t>
      </w:r>
      <w:r w:rsidR="00611453" w:rsidRPr="00303E21">
        <w:t xml:space="preserve"> of the screening tool and in</w:t>
      </w:r>
      <w:r w:rsidR="00860682">
        <w:t xml:space="preserve">struments with </w:t>
      </w:r>
      <w:r w:rsidR="00E65382" w:rsidRPr="00303E21">
        <w:t xml:space="preserve">three to five </w:t>
      </w:r>
      <w:r w:rsidR="007325E0">
        <w:t>of the CAB</w:t>
      </w:r>
      <w:r w:rsidR="003E6D42">
        <w:t xml:space="preserve"> </w:t>
      </w:r>
      <w:r w:rsidR="00860682">
        <w:t>members who are</w:t>
      </w:r>
      <w:r w:rsidR="003E6D42">
        <w:t xml:space="preserve"> socio-demographically</w:t>
      </w:r>
      <w:r w:rsidR="007325E0">
        <w:t xml:space="preserve"> similar</w:t>
      </w:r>
      <w:r w:rsidR="00860682">
        <w:t xml:space="preserve"> to the target population</w:t>
      </w:r>
      <w:r w:rsidR="007C7612">
        <w:t>,</w:t>
      </w:r>
      <w:r w:rsidR="00611453" w:rsidRPr="00303E21">
        <w:t xml:space="preserve"> </w:t>
      </w:r>
      <w:r w:rsidR="003E6D42">
        <w:t xml:space="preserve">in order </w:t>
      </w:r>
      <w:r w:rsidR="00611453" w:rsidRPr="00303E21">
        <w:t xml:space="preserve">to assess skip patterns, </w:t>
      </w:r>
      <w:r w:rsidR="00860682">
        <w:t xml:space="preserve">ease of use of the self-administered electronic </w:t>
      </w:r>
      <w:r w:rsidR="003E6D42">
        <w:t>behavioral assessment</w:t>
      </w:r>
      <w:r w:rsidR="00860682">
        <w:t xml:space="preserve">, and </w:t>
      </w:r>
      <w:r w:rsidR="00611453" w:rsidRPr="00303E21">
        <w:t xml:space="preserve">overall flow </w:t>
      </w:r>
      <w:r w:rsidR="00860682">
        <w:t>and timing of the instruments</w:t>
      </w:r>
      <w:r w:rsidR="00E65382" w:rsidRPr="00303E21">
        <w:t>.</w:t>
      </w:r>
    </w:p>
    <w:p w:rsidR="00DA35C4" w:rsidRPr="00303E21" w:rsidRDefault="00DA35C4">
      <w:pPr>
        <w:autoSpaceDE w:val="0"/>
        <w:autoSpaceDN w:val="0"/>
        <w:adjustRightInd w:val="0"/>
      </w:pPr>
    </w:p>
    <w:p w:rsidR="00215E06" w:rsidRPr="00303E21" w:rsidRDefault="006F5358" w:rsidP="00F740D8">
      <w:pPr>
        <w:pStyle w:val="Heading1"/>
        <w:spacing w:before="0" w:after="0"/>
        <w:ind w:left="720" w:hanging="720"/>
        <w:rPr>
          <w:rFonts w:ascii="Times New Roman" w:hAnsi="Times New Roman" w:cs="Times New Roman"/>
          <w:szCs w:val="22"/>
        </w:rPr>
      </w:pPr>
      <w:bookmarkStart w:id="20" w:name="_Toc295894624"/>
      <w:bookmarkStart w:id="21" w:name="_Toc306891593"/>
      <w:bookmarkStart w:id="22" w:name="_Toc386719989"/>
      <w:bookmarkStart w:id="23" w:name="_Toc235958565"/>
      <w:bookmarkEnd w:id="19"/>
      <w:r w:rsidRPr="00303E21">
        <w:rPr>
          <w:rFonts w:ascii="Times New Roman" w:hAnsi="Times New Roman" w:cs="Times New Roman"/>
          <w:iCs/>
          <w:sz w:val="28"/>
          <w:szCs w:val="28"/>
        </w:rPr>
        <w:t>5.</w:t>
      </w:r>
      <w:r w:rsidRPr="00303E21">
        <w:rPr>
          <w:rFonts w:ascii="Times New Roman" w:hAnsi="Times New Roman" w:cs="Times New Roman"/>
          <w:iCs/>
          <w:sz w:val="28"/>
          <w:szCs w:val="28"/>
        </w:rPr>
        <w:tab/>
      </w:r>
      <w:r w:rsidR="00310291">
        <w:rPr>
          <w:rFonts w:ascii="Times New Roman" w:hAnsi="Times New Roman" w:cs="Times New Roman"/>
          <w:iCs/>
          <w:sz w:val="28"/>
          <w:szCs w:val="28"/>
        </w:rPr>
        <w:t xml:space="preserve">Individuals Consulted on </w:t>
      </w:r>
      <w:r w:rsidRPr="00303E21">
        <w:rPr>
          <w:rFonts w:ascii="Times New Roman" w:hAnsi="Times New Roman" w:cs="Times New Roman"/>
          <w:iCs/>
          <w:sz w:val="28"/>
          <w:szCs w:val="28"/>
        </w:rPr>
        <w:t xml:space="preserve">Statistical </w:t>
      </w:r>
      <w:bookmarkEnd w:id="20"/>
      <w:bookmarkEnd w:id="21"/>
      <w:r w:rsidR="00310291">
        <w:rPr>
          <w:rFonts w:ascii="Times New Roman" w:hAnsi="Times New Roman" w:cs="Times New Roman"/>
          <w:iCs/>
          <w:sz w:val="28"/>
          <w:szCs w:val="28"/>
        </w:rPr>
        <w:t>Aspects and Individuals Collecting and/or Analyzing Data</w:t>
      </w:r>
      <w:bookmarkEnd w:id="22"/>
      <w:r w:rsidR="00215E06" w:rsidRPr="00303E21">
        <w:rPr>
          <w:rFonts w:ascii="Times New Roman" w:hAnsi="Times New Roman" w:cs="Times New Roman"/>
          <w:szCs w:val="22"/>
        </w:rPr>
        <w:t xml:space="preserve"> </w:t>
      </w:r>
    </w:p>
    <w:p w:rsidR="00CC50AB" w:rsidRPr="00303E21" w:rsidRDefault="00CC50AB">
      <w:pPr>
        <w:rPr>
          <w:iCs/>
        </w:rPr>
      </w:pPr>
    </w:p>
    <w:p w:rsidR="00215E06" w:rsidRPr="00303E21" w:rsidRDefault="00215E06" w:rsidP="00BE48D7">
      <w:pPr>
        <w:rPr>
          <w:szCs w:val="22"/>
        </w:rPr>
      </w:pPr>
      <w:r w:rsidRPr="00303E21">
        <w:rPr>
          <w:szCs w:val="22"/>
        </w:rPr>
        <w:t xml:space="preserve">Exhibit </w:t>
      </w:r>
      <w:r w:rsidR="004318B2" w:rsidRPr="00303E21">
        <w:rPr>
          <w:szCs w:val="22"/>
        </w:rPr>
        <w:t>B</w:t>
      </w:r>
      <w:r w:rsidRPr="00303E21">
        <w:rPr>
          <w:szCs w:val="22"/>
        </w:rPr>
        <w:t xml:space="preserve">5.1 below lists the project team members who </w:t>
      </w:r>
      <w:r w:rsidR="000B5F2C" w:rsidRPr="00303E21">
        <w:rPr>
          <w:szCs w:val="22"/>
        </w:rPr>
        <w:t xml:space="preserve">were consulted </w:t>
      </w:r>
      <w:r w:rsidRPr="00303E21">
        <w:rPr>
          <w:szCs w:val="22"/>
        </w:rPr>
        <w:t>on</w:t>
      </w:r>
      <w:r w:rsidR="007325E0">
        <w:rPr>
          <w:szCs w:val="22"/>
        </w:rPr>
        <w:t xml:space="preserve"> the study population, and </w:t>
      </w:r>
      <w:r w:rsidRPr="00303E21">
        <w:rPr>
          <w:szCs w:val="22"/>
        </w:rPr>
        <w:t xml:space="preserve">aspects of </w:t>
      </w:r>
      <w:r w:rsidR="007325E0">
        <w:rPr>
          <w:szCs w:val="22"/>
        </w:rPr>
        <w:t xml:space="preserve">the </w:t>
      </w:r>
      <w:r w:rsidRPr="00303E21">
        <w:rPr>
          <w:szCs w:val="22"/>
        </w:rPr>
        <w:t>research design</w:t>
      </w:r>
      <w:r w:rsidR="007325E0">
        <w:rPr>
          <w:szCs w:val="22"/>
        </w:rPr>
        <w:t>, as well as</w:t>
      </w:r>
      <w:r w:rsidRPr="00303E21">
        <w:rPr>
          <w:szCs w:val="22"/>
        </w:rPr>
        <w:t xml:space="preserve"> </w:t>
      </w:r>
      <w:r w:rsidR="001E6CB5" w:rsidRPr="00303E21">
        <w:rPr>
          <w:szCs w:val="22"/>
        </w:rPr>
        <w:t xml:space="preserve">those who </w:t>
      </w:r>
      <w:r w:rsidRPr="00303E21">
        <w:rPr>
          <w:szCs w:val="22"/>
        </w:rPr>
        <w:t>will be collecting and analyzing the data. Please note: The CDC COR and Technical Monitors are primarily responsible for providing technical assistance in the design and implementation of the research; assisting in the development of the research protocol and data collection instruments for CDC Project Determination and IRB review</w:t>
      </w:r>
      <w:r w:rsidR="0002609C">
        <w:rPr>
          <w:szCs w:val="22"/>
        </w:rPr>
        <w:t>s</w:t>
      </w:r>
      <w:r w:rsidRPr="00303E21">
        <w:rPr>
          <w:szCs w:val="22"/>
        </w:rPr>
        <w:t xml:space="preserve">; working with investigators to facilitate appropriate research activities; and analyzing data and presenting findings at meetings and in publications. The CDC </w:t>
      </w:r>
      <w:r w:rsidR="00126DC8">
        <w:rPr>
          <w:szCs w:val="22"/>
        </w:rPr>
        <w:t>staff (</w:t>
      </w:r>
      <w:r w:rsidRPr="00303E21">
        <w:rPr>
          <w:szCs w:val="22"/>
        </w:rPr>
        <w:t>Project Officer</w:t>
      </w:r>
      <w:r w:rsidR="00126DC8">
        <w:rPr>
          <w:szCs w:val="22"/>
        </w:rPr>
        <w:t xml:space="preserve"> Consultants</w:t>
      </w:r>
      <w:r w:rsidRPr="00303E21">
        <w:rPr>
          <w:szCs w:val="22"/>
        </w:rPr>
        <w:t>/COR</w:t>
      </w:r>
      <w:r w:rsidR="00126DC8">
        <w:rPr>
          <w:szCs w:val="22"/>
        </w:rPr>
        <w:t xml:space="preserve">/TM) </w:t>
      </w:r>
      <w:r w:rsidRPr="00303E21">
        <w:rPr>
          <w:szCs w:val="22"/>
        </w:rPr>
        <w:t xml:space="preserve">will neither collect data from nor interact with research </w:t>
      </w:r>
      <w:r w:rsidR="00065A66">
        <w:rPr>
          <w:szCs w:val="22"/>
        </w:rPr>
        <w:t>respondents</w:t>
      </w:r>
      <w:r w:rsidRPr="00303E21">
        <w:rPr>
          <w:szCs w:val="22"/>
        </w:rPr>
        <w:t xml:space="preserve">. Data will be collected by </w:t>
      </w:r>
      <w:r w:rsidR="004318B2" w:rsidRPr="00303E21">
        <w:rPr>
          <w:szCs w:val="22"/>
        </w:rPr>
        <w:t xml:space="preserve">members of </w:t>
      </w:r>
      <w:r w:rsidR="001E6CB5" w:rsidRPr="00303E21">
        <w:rPr>
          <w:szCs w:val="22"/>
        </w:rPr>
        <w:t>c</w:t>
      </w:r>
      <w:r w:rsidRPr="00303E21">
        <w:rPr>
          <w:szCs w:val="22"/>
        </w:rPr>
        <w:t xml:space="preserve">ontractor </w:t>
      </w:r>
      <w:r w:rsidR="004318B2" w:rsidRPr="00303E21">
        <w:rPr>
          <w:szCs w:val="22"/>
        </w:rPr>
        <w:t>project staff</w:t>
      </w:r>
      <w:r w:rsidRPr="00303E21">
        <w:rPr>
          <w:szCs w:val="22"/>
        </w:rPr>
        <w:t xml:space="preserve"> listed below in Exhibit </w:t>
      </w:r>
      <w:r w:rsidR="00D36A44" w:rsidRPr="00303E21">
        <w:rPr>
          <w:szCs w:val="22"/>
        </w:rPr>
        <w:t>B</w:t>
      </w:r>
      <w:r w:rsidRPr="00303E21">
        <w:rPr>
          <w:szCs w:val="22"/>
        </w:rPr>
        <w:t>5.1</w:t>
      </w:r>
      <w:r w:rsidR="001E6CB5" w:rsidRPr="00303E21">
        <w:rPr>
          <w:szCs w:val="22"/>
        </w:rPr>
        <w:t xml:space="preserve"> (RSS, IMPAQ, and Emory)</w:t>
      </w:r>
      <w:r w:rsidRPr="00303E21">
        <w:rPr>
          <w:szCs w:val="22"/>
        </w:rPr>
        <w:t xml:space="preserve">. No individual identifiers will be linkable to collected data, and no individually identifiable private information will be shared with or accessible by CDC staff.  </w:t>
      </w:r>
    </w:p>
    <w:p w:rsidR="00215E06" w:rsidRPr="00303E21" w:rsidRDefault="00215E06" w:rsidP="00BE48D7">
      <w:pPr>
        <w:rPr>
          <w:szCs w:val="22"/>
        </w:rPr>
      </w:pPr>
    </w:p>
    <w:bookmarkEnd w:id="23"/>
    <w:p w:rsidR="0059419A" w:rsidRPr="00303E21" w:rsidRDefault="00BE265D">
      <w:pPr>
        <w:pStyle w:val="Caption"/>
        <w:rPr>
          <w:sz w:val="24"/>
          <w:szCs w:val="24"/>
        </w:rPr>
      </w:pPr>
      <w:r w:rsidRPr="00303E21">
        <w:rPr>
          <w:sz w:val="24"/>
          <w:szCs w:val="24"/>
        </w:rPr>
        <w:t xml:space="preserve">Exhibit </w:t>
      </w:r>
      <w:r w:rsidR="00D36A44" w:rsidRPr="00303E21">
        <w:rPr>
          <w:sz w:val="24"/>
          <w:szCs w:val="24"/>
        </w:rPr>
        <w:t>B</w:t>
      </w:r>
      <w:r w:rsidR="0059419A" w:rsidRPr="00303E21">
        <w:rPr>
          <w:sz w:val="24"/>
          <w:szCs w:val="24"/>
        </w:rPr>
        <w:t>5.</w:t>
      </w:r>
      <w:r w:rsidRPr="00303E21">
        <w:rPr>
          <w:sz w:val="24"/>
          <w:szCs w:val="24"/>
        </w:rPr>
        <w:t>1.</w:t>
      </w:r>
      <w:r w:rsidR="0059419A" w:rsidRPr="00303E21">
        <w:rPr>
          <w:sz w:val="24"/>
          <w:szCs w:val="24"/>
        </w:rPr>
        <w:t xml:space="preserve"> Statistical Consultants </w:t>
      </w:r>
    </w:p>
    <w:tbl>
      <w:tblPr>
        <w:tblW w:w="9958" w:type="dxa"/>
        <w:tblLayout w:type="fixed"/>
        <w:tblLook w:val="04A0" w:firstRow="1" w:lastRow="0" w:firstColumn="1" w:lastColumn="0" w:noHBand="0" w:noVBand="1"/>
      </w:tblPr>
      <w:tblGrid>
        <w:gridCol w:w="2250"/>
        <w:gridCol w:w="4050"/>
        <w:gridCol w:w="3658"/>
      </w:tblGrid>
      <w:tr w:rsidR="00D70292" w:rsidTr="00BE48D7">
        <w:trPr>
          <w:trHeight w:val="409"/>
        </w:trPr>
        <w:tc>
          <w:tcPr>
            <w:tcW w:w="2250" w:type="dxa"/>
            <w:tcBorders>
              <w:top w:val="nil"/>
              <w:left w:val="nil"/>
              <w:bottom w:val="nil"/>
              <w:right w:val="nil"/>
            </w:tcBorders>
            <w:shd w:val="clear" w:color="000000" w:fill="D9D9D9"/>
            <w:noWrap/>
            <w:vAlign w:val="bottom"/>
            <w:hideMark/>
          </w:tcPr>
          <w:p w:rsidR="00D70292" w:rsidRPr="00BE48D7" w:rsidRDefault="00D70292">
            <w:pPr>
              <w:rPr>
                <w:color w:val="000000"/>
                <w:sz w:val="22"/>
                <w:szCs w:val="22"/>
              </w:rPr>
            </w:pPr>
            <w:r w:rsidRPr="00BE48D7">
              <w:rPr>
                <w:color w:val="000000"/>
                <w:sz w:val="22"/>
                <w:szCs w:val="22"/>
              </w:rPr>
              <w:t>Jim Carey</w:t>
            </w:r>
          </w:p>
        </w:tc>
        <w:tc>
          <w:tcPr>
            <w:tcW w:w="4050" w:type="dxa"/>
            <w:tcBorders>
              <w:top w:val="nil"/>
              <w:left w:val="nil"/>
              <w:bottom w:val="nil"/>
              <w:right w:val="nil"/>
            </w:tcBorders>
            <w:shd w:val="clear" w:color="000000" w:fill="D9D9D9"/>
            <w:vAlign w:val="bottom"/>
            <w:hideMark/>
          </w:tcPr>
          <w:p w:rsidR="00D70292" w:rsidRPr="00BE48D7" w:rsidRDefault="00D70292">
            <w:pPr>
              <w:rPr>
                <w:color w:val="000000"/>
                <w:sz w:val="22"/>
                <w:szCs w:val="22"/>
              </w:rPr>
            </w:pPr>
            <w:r w:rsidRPr="00BE48D7">
              <w:rPr>
                <w:color w:val="000000"/>
                <w:sz w:val="22"/>
                <w:szCs w:val="22"/>
              </w:rPr>
              <w:t xml:space="preserve">Contracting Officer Representative (COR) </w:t>
            </w:r>
          </w:p>
        </w:tc>
        <w:tc>
          <w:tcPr>
            <w:tcW w:w="3658" w:type="dxa"/>
            <w:tcBorders>
              <w:top w:val="nil"/>
              <w:left w:val="nil"/>
              <w:bottom w:val="nil"/>
              <w:right w:val="nil"/>
            </w:tcBorders>
            <w:shd w:val="clear" w:color="000000" w:fill="D9D9D9"/>
            <w:noWrap/>
            <w:vAlign w:val="bottom"/>
            <w:hideMark/>
          </w:tcPr>
          <w:p w:rsidR="00D70292" w:rsidRPr="00BE48D7" w:rsidRDefault="00D70292">
            <w:pPr>
              <w:rPr>
                <w:color w:val="000000"/>
                <w:sz w:val="22"/>
                <w:szCs w:val="22"/>
              </w:rPr>
            </w:pPr>
            <w:r w:rsidRPr="00BE48D7">
              <w:rPr>
                <w:color w:val="000000"/>
                <w:sz w:val="22"/>
                <w:szCs w:val="22"/>
              </w:rPr>
              <w:t>jfc9@cdc.gov</w:t>
            </w:r>
          </w:p>
        </w:tc>
      </w:tr>
      <w:tr w:rsidR="00D70292" w:rsidTr="00BE48D7">
        <w:trPr>
          <w:trHeight w:val="203"/>
        </w:trPr>
        <w:tc>
          <w:tcPr>
            <w:tcW w:w="2250" w:type="dxa"/>
            <w:tcBorders>
              <w:top w:val="nil"/>
              <w:left w:val="nil"/>
              <w:bottom w:val="nil"/>
              <w:right w:val="nil"/>
            </w:tcBorders>
            <w:shd w:val="clear" w:color="000000" w:fill="D9D9D9"/>
            <w:noWrap/>
            <w:vAlign w:val="bottom"/>
            <w:hideMark/>
          </w:tcPr>
          <w:p w:rsidR="00D70292" w:rsidRPr="00BE48D7" w:rsidRDefault="0002609C">
            <w:pPr>
              <w:rPr>
                <w:color w:val="000000"/>
                <w:sz w:val="22"/>
                <w:szCs w:val="22"/>
              </w:rPr>
            </w:pPr>
            <w:r w:rsidRPr="00BE48D7">
              <w:rPr>
                <w:color w:val="000000"/>
                <w:sz w:val="22"/>
                <w:szCs w:val="22"/>
              </w:rPr>
              <w:t>Cari Courtenay-Quirk</w:t>
            </w:r>
          </w:p>
        </w:tc>
        <w:tc>
          <w:tcPr>
            <w:tcW w:w="4050" w:type="dxa"/>
            <w:tcBorders>
              <w:top w:val="nil"/>
              <w:left w:val="nil"/>
              <w:bottom w:val="nil"/>
              <w:right w:val="nil"/>
            </w:tcBorders>
            <w:shd w:val="clear" w:color="000000" w:fill="D9D9D9"/>
            <w:noWrap/>
            <w:vAlign w:val="bottom"/>
            <w:hideMark/>
          </w:tcPr>
          <w:p w:rsidR="00D70292" w:rsidRPr="00BE48D7" w:rsidRDefault="00D70292">
            <w:pPr>
              <w:rPr>
                <w:color w:val="000000"/>
                <w:sz w:val="22"/>
                <w:szCs w:val="22"/>
              </w:rPr>
            </w:pPr>
            <w:r w:rsidRPr="00BE48D7">
              <w:rPr>
                <w:color w:val="000000"/>
                <w:sz w:val="22"/>
                <w:szCs w:val="22"/>
              </w:rPr>
              <w:t>Operational Research Team Lead</w:t>
            </w:r>
          </w:p>
        </w:tc>
        <w:tc>
          <w:tcPr>
            <w:tcW w:w="3658" w:type="dxa"/>
            <w:tcBorders>
              <w:top w:val="nil"/>
              <w:left w:val="nil"/>
              <w:bottom w:val="nil"/>
              <w:right w:val="nil"/>
            </w:tcBorders>
            <w:shd w:val="clear" w:color="000000" w:fill="D9D9D9"/>
            <w:noWrap/>
            <w:vAlign w:val="bottom"/>
            <w:hideMark/>
          </w:tcPr>
          <w:p w:rsidR="00D70292" w:rsidRPr="00BE48D7" w:rsidRDefault="0002609C">
            <w:pPr>
              <w:rPr>
                <w:color w:val="000000"/>
                <w:sz w:val="22"/>
                <w:szCs w:val="22"/>
              </w:rPr>
            </w:pPr>
            <w:r w:rsidRPr="00BE48D7">
              <w:rPr>
                <w:color w:val="000000"/>
                <w:sz w:val="22"/>
                <w:szCs w:val="22"/>
              </w:rPr>
              <w:t>afv2</w:t>
            </w:r>
            <w:r w:rsidR="00D70292" w:rsidRPr="00BE48D7">
              <w:rPr>
                <w:color w:val="000000"/>
                <w:sz w:val="22"/>
                <w:szCs w:val="22"/>
              </w:rPr>
              <w:t>@cdc.gov</w:t>
            </w:r>
          </w:p>
        </w:tc>
      </w:tr>
      <w:tr w:rsidR="0002609C" w:rsidTr="00BE48D7">
        <w:trPr>
          <w:trHeight w:val="203"/>
        </w:trPr>
        <w:tc>
          <w:tcPr>
            <w:tcW w:w="2250" w:type="dxa"/>
            <w:tcBorders>
              <w:top w:val="nil"/>
              <w:left w:val="nil"/>
              <w:bottom w:val="nil"/>
              <w:right w:val="nil"/>
            </w:tcBorders>
            <w:shd w:val="clear" w:color="000000" w:fill="D9D9D9"/>
            <w:noWrap/>
            <w:vAlign w:val="bottom"/>
            <w:hideMark/>
          </w:tcPr>
          <w:p w:rsidR="0002609C" w:rsidRPr="00BE48D7" w:rsidRDefault="0002609C">
            <w:pPr>
              <w:rPr>
                <w:color w:val="000000"/>
                <w:sz w:val="22"/>
                <w:szCs w:val="22"/>
              </w:rPr>
            </w:pPr>
            <w:r w:rsidRPr="00BE48D7">
              <w:rPr>
                <w:color w:val="000000"/>
                <w:sz w:val="22"/>
                <w:szCs w:val="22"/>
              </w:rPr>
              <w:t>Deborah Gelaude</w:t>
            </w:r>
          </w:p>
        </w:tc>
        <w:tc>
          <w:tcPr>
            <w:tcW w:w="4050" w:type="dxa"/>
            <w:tcBorders>
              <w:top w:val="nil"/>
              <w:left w:val="nil"/>
              <w:bottom w:val="nil"/>
              <w:right w:val="nil"/>
            </w:tcBorders>
            <w:shd w:val="clear" w:color="000000" w:fill="D9D9D9"/>
            <w:noWrap/>
            <w:vAlign w:val="bottom"/>
            <w:hideMark/>
          </w:tcPr>
          <w:p w:rsidR="0002609C" w:rsidRPr="00BE48D7" w:rsidRDefault="0002609C">
            <w:pPr>
              <w:rPr>
                <w:color w:val="000000"/>
                <w:sz w:val="22"/>
                <w:szCs w:val="22"/>
              </w:rPr>
            </w:pPr>
            <w:r w:rsidRPr="00BE48D7">
              <w:rPr>
                <w:color w:val="000000"/>
                <w:sz w:val="22"/>
                <w:szCs w:val="22"/>
              </w:rPr>
              <w:t xml:space="preserve">Technical Monitor/ CDC PI </w:t>
            </w:r>
          </w:p>
        </w:tc>
        <w:tc>
          <w:tcPr>
            <w:tcW w:w="3658" w:type="dxa"/>
            <w:tcBorders>
              <w:top w:val="nil"/>
              <w:left w:val="nil"/>
              <w:bottom w:val="nil"/>
              <w:right w:val="nil"/>
            </w:tcBorders>
            <w:shd w:val="clear" w:color="000000" w:fill="D9D9D9"/>
            <w:noWrap/>
            <w:vAlign w:val="bottom"/>
            <w:hideMark/>
          </w:tcPr>
          <w:p w:rsidR="0002609C" w:rsidRPr="00BE48D7" w:rsidRDefault="0002609C">
            <w:pPr>
              <w:rPr>
                <w:color w:val="000000"/>
                <w:sz w:val="22"/>
                <w:szCs w:val="22"/>
              </w:rPr>
            </w:pPr>
            <w:r w:rsidRPr="00BE48D7">
              <w:rPr>
                <w:color w:val="000000"/>
                <w:sz w:val="22"/>
                <w:szCs w:val="22"/>
              </w:rPr>
              <w:t>zoi1@cdc.gov</w:t>
            </w:r>
          </w:p>
        </w:tc>
      </w:tr>
      <w:tr w:rsidR="0002609C" w:rsidTr="00BE48D7">
        <w:trPr>
          <w:trHeight w:val="203"/>
        </w:trPr>
        <w:tc>
          <w:tcPr>
            <w:tcW w:w="2250" w:type="dxa"/>
            <w:tcBorders>
              <w:top w:val="nil"/>
              <w:left w:val="nil"/>
              <w:bottom w:val="nil"/>
              <w:right w:val="nil"/>
            </w:tcBorders>
            <w:shd w:val="clear" w:color="000000" w:fill="D9D9D9"/>
            <w:noWrap/>
            <w:vAlign w:val="bottom"/>
            <w:hideMark/>
          </w:tcPr>
          <w:p w:rsidR="0002609C" w:rsidRPr="00BE48D7" w:rsidRDefault="0002609C">
            <w:pPr>
              <w:rPr>
                <w:color w:val="000000"/>
                <w:sz w:val="22"/>
                <w:szCs w:val="22"/>
              </w:rPr>
            </w:pPr>
            <w:r w:rsidRPr="00BE48D7">
              <w:rPr>
                <w:color w:val="000000"/>
                <w:sz w:val="22"/>
                <w:szCs w:val="22"/>
              </w:rPr>
              <w:t xml:space="preserve">Gordon Mansergh </w:t>
            </w:r>
          </w:p>
        </w:tc>
        <w:tc>
          <w:tcPr>
            <w:tcW w:w="4050" w:type="dxa"/>
            <w:tcBorders>
              <w:top w:val="nil"/>
              <w:left w:val="nil"/>
              <w:bottom w:val="nil"/>
              <w:right w:val="nil"/>
            </w:tcBorders>
            <w:shd w:val="clear" w:color="000000" w:fill="D9D9D9"/>
            <w:noWrap/>
            <w:vAlign w:val="bottom"/>
            <w:hideMark/>
          </w:tcPr>
          <w:p w:rsidR="0002609C" w:rsidRPr="00BE48D7" w:rsidRDefault="0002609C">
            <w:pPr>
              <w:rPr>
                <w:color w:val="000000"/>
                <w:sz w:val="22"/>
                <w:szCs w:val="22"/>
              </w:rPr>
            </w:pPr>
            <w:r w:rsidRPr="00BE48D7">
              <w:rPr>
                <w:color w:val="000000"/>
                <w:sz w:val="22"/>
                <w:szCs w:val="22"/>
              </w:rPr>
              <w:t>Scientific Lead</w:t>
            </w:r>
          </w:p>
        </w:tc>
        <w:tc>
          <w:tcPr>
            <w:tcW w:w="3658" w:type="dxa"/>
            <w:tcBorders>
              <w:top w:val="nil"/>
              <w:left w:val="nil"/>
              <w:bottom w:val="nil"/>
              <w:right w:val="nil"/>
            </w:tcBorders>
            <w:shd w:val="clear" w:color="000000" w:fill="D9D9D9"/>
            <w:noWrap/>
            <w:vAlign w:val="bottom"/>
            <w:hideMark/>
          </w:tcPr>
          <w:p w:rsidR="0002609C" w:rsidRPr="00BE48D7" w:rsidRDefault="0002609C">
            <w:pPr>
              <w:rPr>
                <w:color w:val="000000"/>
                <w:sz w:val="22"/>
                <w:szCs w:val="22"/>
              </w:rPr>
            </w:pPr>
            <w:r w:rsidRPr="00BE48D7">
              <w:rPr>
                <w:color w:val="000000"/>
                <w:sz w:val="22"/>
                <w:szCs w:val="22"/>
              </w:rPr>
              <w:t>gcm2@cdc.gov</w:t>
            </w:r>
          </w:p>
        </w:tc>
      </w:tr>
      <w:tr w:rsidR="0002609C" w:rsidTr="00BE48D7">
        <w:trPr>
          <w:trHeight w:val="203"/>
        </w:trPr>
        <w:tc>
          <w:tcPr>
            <w:tcW w:w="2250" w:type="dxa"/>
            <w:tcBorders>
              <w:top w:val="nil"/>
              <w:left w:val="nil"/>
              <w:bottom w:val="nil"/>
              <w:right w:val="nil"/>
            </w:tcBorders>
            <w:shd w:val="clear" w:color="000000" w:fill="D9D9D9"/>
            <w:noWrap/>
            <w:vAlign w:val="bottom"/>
            <w:hideMark/>
          </w:tcPr>
          <w:p w:rsidR="0002609C" w:rsidRPr="00BE48D7" w:rsidRDefault="0002609C">
            <w:pPr>
              <w:rPr>
                <w:color w:val="000000"/>
                <w:sz w:val="22"/>
                <w:szCs w:val="22"/>
              </w:rPr>
            </w:pPr>
            <w:r w:rsidRPr="00BE48D7">
              <w:rPr>
                <w:color w:val="000000"/>
                <w:sz w:val="22"/>
                <w:szCs w:val="22"/>
              </w:rPr>
              <w:t>Neal Carnes</w:t>
            </w:r>
          </w:p>
        </w:tc>
        <w:tc>
          <w:tcPr>
            <w:tcW w:w="4050" w:type="dxa"/>
            <w:tcBorders>
              <w:top w:val="nil"/>
              <w:left w:val="nil"/>
              <w:bottom w:val="nil"/>
              <w:right w:val="nil"/>
            </w:tcBorders>
            <w:shd w:val="clear" w:color="000000" w:fill="D9D9D9"/>
            <w:noWrap/>
            <w:vAlign w:val="bottom"/>
            <w:hideMark/>
          </w:tcPr>
          <w:p w:rsidR="0002609C" w:rsidRPr="00BE48D7" w:rsidRDefault="0002609C">
            <w:pPr>
              <w:rPr>
                <w:color w:val="000000"/>
                <w:sz w:val="22"/>
                <w:szCs w:val="22"/>
              </w:rPr>
            </w:pPr>
            <w:r w:rsidRPr="00BE48D7">
              <w:rPr>
                <w:color w:val="000000"/>
                <w:sz w:val="22"/>
                <w:szCs w:val="22"/>
              </w:rPr>
              <w:t>Project Staff</w:t>
            </w:r>
          </w:p>
        </w:tc>
        <w:tc>
          <w:tcPr>
            <w:tcW w:w="3658" w:type="dxa"/>
            <w:tcBorders>
              <w:top w:val="nil"/>
              <w:left w:val="nil"/>
              <w:bottom w:val="nil"/>
              <w:right w:val="nil"/>
            </w:tcBorders>
            <w:shd w:val="clear" w:color="000000" w:fill="D9D9D9"/>
            <w:noWrap/>
            <w:vAlign w:val="bottom"/>
            <w:hideMark/>
          </w:tcPr>
          <w:p w:rsidR="0002609C" w:rsidRPr="00BE48D7" w:rsidRDefault="0002609C">
            <w:pPr>
              <w:rPr>
                <w:color w:val="000000"/>
                <w:sz w:val="22"/>
                <w:szCs w:val="22"/>
              </w:rPr>
            </w:pPr>
            <w:r w:rsidRPr="00BE48D7">
              <w:rPr>
                <w:color w:val="000000"/>
                <w:sz w:val="22"/>
                <w:szCs w:val="22"/>
              </w:rPr>
              <w:t>mwi2@cdc.gov</w:t>
            </w:r>
          </w:p>
        </w:tc>
      </w:tr>
      <w:tr w:rsidR="0002609C" w:rsidTr="00BE48D7">
        <w:trPr>
          <w:trHeight w:val="203"/>
        </w:trPr>
        <w:tc>
          <w:tcPr>
            <w:tcW w:w="2250" w:type="dxa"/>
            <w:tcBorders>
              <w:top w:val="nil"/>
              <w:left w:val="nil"/>
              <w:bottom w:val="nil"/>
              <w:right w:val="nil"/>
            </w:tcBorders>
            <w:shd w:val="clear" w:color="000000" w:fill="D9D9D9"/>
            <w:noWrap/>
            <w:vAlign w:val="bottom"/>
            <w:hideMark/>
          </w:tcPr>
          <w:p w:rsidR="0002609C" w:rsidRPr="00BE48D7" w:rsidRDefault="0002609C">
            <w:pPr>
              <w:rPr>
                <w:color w:val="000000"/>
                <w:sz w:val="22"/>
                <w:szCs w:val="22"/>
              </w:rPr>
            </w:pPr>
            <w:r w:rsidRPr="00BE48D7">
              <w:rPr>
                <w:color w:val="000000"/>
                <w:sz w:val="22"/>
                <w:szCs w:val="22"/>
              </w:rPr>
              <w:t>Alisu Schoua-Glusberg</w:t>
            </w:r>
          </w:p>
        </w:tc>
        <w:tc>
          <w:tcPr>
            <w:tcW w:w="4050" w:type="dxa"/>
            <w:tcBorders>
              <w:top w:val="nil"/>
              <w:left w:val="nil"/>
              <w:bottom w:val="nil"/>
              <w:right w:val="nil"/>
            </w:tcBorders>
            <w:shd w:val="clear" w:color="000000" w:fill="D9D9D9"/>
            <w:noWrap/>
            <w:vAlign w:val="bottom"/>
            <w:hideMark/>
          </w:tcPr>
          <w:p w:rsidR="0002609C" w:rsidRPr="00BE48D7" w:rsidRDefault="0002609C">
            <w:pPr>
              <w:rPr>
                <w:color w:val="000000"/>
                <w:sz w:val="22"/>
                <w:szCs w:val="22"/>
              </w:rPr>
            </w:pPr>
            <w:r w:rsidRPr="00BE48D7">
              <w:rPr>
                <w:color w:val="000000"/>
                <w:sz w:val="22"/>
                <w:szCs w:val="22"/>
              </w:rPr>
              <w:t>Project Director</w:t>
            </w:r>
          </w:p>
        </w:tc>
        <w:tc>
          <w:tcPr>
            <w:tcW w:w="3658" w:type="dxa"/>
            <w:tcBorders>
              <w:top w:val="nil"/>
              <w:left w:val="nil"/>
              <w:bottom w:val="nil"/>
              <w:right w:val="nil"/>
            </w:tcBorders>
            <w:shd w:val="clear" w:color="000000" w:fill="D9D9D9"/>
            <w:noWrap/>
            <w:vAlign w:val="bottom"/>
            <w:hideMark/>
          </w:tcPr>
          <w:p w:rsidR="0002609C" w:rsidRPr="00BE48D7" w:rsidRDefault="0002609C">
            <w:pPr>
              <w:rPr>
                <w:color w:val="000000"/>
                <w:sz w:val="22"/>
                <w:szCs w:val="22"/>
              </w:rPr>
            </w:pPr>
            <w:r w:rsidRPr="00BE48D7">
              <w:rPr>
                <w:color w:val="000000"/>
                <w:sz w:val="22"/>
                <w:szCs w:val="22"/>
              </w:rPr>
              <w:t>alisu@researchsupportservices.com</w:t>
            </w:r>
          </w:p>
        </w:tc>
      </w:tr>
      <w:tr w:rsidR="0002609C" w:rsidTr="00BE48D7">
        <w:trPr>
          <w:trHeight w:val="203"/>
        </w:trPr>
        <w:tc>
          <w:tcPr>
            <w:tcW w:w="2250" w:type="dxa"/>
            <w:tcBorders>
              <w:top w:val="nil"/>
              <w:left w:val="nil"/>
              <w:bottom w:val="nil"/>
              <w:right w:val="nil"/>
            </w:tcBorders>
            <w:shd w:val="clear" w:color="000000" w:fill="D9D9D9"/>
            <w:noWrap/>
            <w:vAlign w:val="bottom"/>
            <w:hideMark/>
          </w:tcPr>
          <w:p w:rsidR="0002609C" w:rsidRPr="00BE48D7" w:rsidRDefault="0002609C">
            <w:pPr>
              <w:rPr>
                <w:color w:val="000000"/>
                <w:sz w:val="22"/>
                <w:szCs w:val="22"/>
              </w:rPr>
            </w:pPr>
            <w:r w:rsidRPr="00BE48D7">
              <w:rPr>
                <w:color w:val="000000"/>
                <w:sz w:val="22"/>
                <w:szCs w:val="22"/>
              </w:rPr>
              <w:t>Casey Tefaye</w:t>
            </w:r>
          </w:p>
        </w:tc>
        <w:tc>
          <w:tcPr>
            <w:tcW w:w="4050" w:type="dxa"/>
            <w:tcBorders>
              <w:top w:val="nil"/>
              <w:left w:val="nil"/>
              <w:bottom w:val="nil"/>
              <w:right w:val="nil"/>
            </w:tcBorders>
            <w:shd w:val="clear" w:color="000000" w:fill="D9D9D9"/>
            <w:noWrap/>
            <w:vAlign w:val="bottom"/>
            <w:hideMark/>
          </w:tcPr>
          <w:p w:rsidR="0002609C" w:rsidRPr="00BE48D7" w:rsidRDefault="0002609C">
            <w:pPr>
              <w:rPr>
                <w:color w:val="000000"/>
                <w:sz w:val="22"/>
                <w:szCs w:val="22"/>
              </w:rPr>
            </w:pPr>
            <w:r w:rsidRPr="00BE48D7">
              <w:rPr>
                <w:color w:val="000000"/>
                <w:sz w:val="22"/>
                <w:szCs w:val="22"/>
              </w:rPr>
              <w:t>Project Manager</w:t>
            </w:r>
          </w:p>
        </w:tc>
        <w:tc>
          <w:tcPr>
            <w:tcW w:w="3658" w:type="dxa"/>
            <w:tcBorders>
              <w:top w:val="nil"/>
              <w:left w:val="nil"/>
              <w:bottom w:val="nil"/>
              <w:right w:val="nil"/>
            </w:tcBorders>
            <w:shd w:val="clear" w:color="000000" w:fill="D9D9D9"/>
            <w:noWrap/>
            <w:vAlign w:val="bottom"/>
            <w:hideMark/>
          </w:tcPr>
          <w:p w:rsidR="0002609C" w:rsidRPr="00BE48D7" w:rsidRDefault="0002609C">
            <w:pPr>
              <w:rPr>
                <w:color w:val="000000"/>
                <w:sz w:val="22"/>
                <w:szCs w:val="22"/>
              </w:rPr>
            </w:pPr>
            <w:r w:rsidRPr="00BE48D7">
              <w:rPr>
                <w:color w:val="000000"/>
                <w:sz w:val="22"/>
                <w:szCs w:val="22"/>
              </w:rPr>
              <w:t>casey@researchsupportservices.com</w:t>
            </w:r>
          </w:p>
        </w:tc>
      </w:tr>
      <w:tr w:rsidR="0002609C" w:rsidTr="00BE48D7">
        <w:trPr>
          <w:trHeight w:val="203"/>
        </w:trPr>
        <w:tc>
          <w:tcPr>
            <w:tcW w:w="2250" w:type="dxa"/>
            <w:tcBorders>
              <w:top w:val="nil"/>
              <w:left w:val="nil"/>
              <w:bottom w:val="nil"/>
              <w:right w:val="nil"/>
            </w:tcBorders>
            <w:shd w:val="clear" w:color="000000" w:fill="D9D9D9"/>
            <w:noWrap/>
            <w:vAlign w:val="bottom"/>
            <w:hideMark/>
          </w:tcPr>
          <w:p w:rsidR="0002609C" w:rsidRPr="00BE48D7" w:rsidRDefault="0002609C">
            <w:pPr>
              <w:rPr>
                <w:color w:val="000000"/>
                <w:sz w:val="22"/>
                <w:szCs w:val="22"/>
              </w:rPr>
            </w:pPr>
            <w:r w:rsidRPr="00BE48D7">
              <w:rPr>
                <w:color w:val="000000"/>
                <w:sz w:val="22"/>
                <w:szCs w:val="22"/>
              </w:rPr>
              <w:t>Valerie Betley</w:t>
            </w:r>
          </w:p>
        </w:tc>
        <w:tc>
          <w:tcPr>
            <w:tcW w:w="4050" w:type="dxa"/>
            <w:tcBorders>
              <w:top w:val="nil"/>
              <w:left w:val="nil"/>
              <w:bottom w:val="nil"/>
              <w:right w:val="nil"/>
            </w:tcBorders>
            <w:shd w:val="clear" w:color="000000" w:fill="D9D9D9"/>
            <w:noWrap/>
            <w:vAlign w:val="bottom"/>
            <w:hideMark/>
          </w:tcPr>
          <w:p w:rsidR="0002609C" w:rsidRPr="00BE48D7" w:rsidRDefault="0002609C">
            <w:pPr>
              <w:rPr>
                <w:color w:val="000000"/>
                <w:sz w:val="22"/>
                <w:szCs w:val="22"/>
              </w:rPr>
            </w:pPr>
            <w:r w:rsidRPr="00BE48D7">
              <w:rPr>
                <w:color w:val="000000"/>
                <w:sz w:val="22"/>
                <w:szCs w:val="22"/>
              </w:rPr>
              <w:t>IMPAQ Project Manager, Data Analyst</w:t>
            </w:r>
          </w:p>
        </w:tc>
        <w:tc>
          <w:tcPr>
            <w:tcW w:w="3658" w:type="dxa"/>
            <w:tcBorders>
              <w:top w:val="nil"/>
              <w:left w:val="nil"/>
              <w:bottom w:val="nil"/>
              <w:right w:val="nil"/>
            </w:tcBorders>
            <w:shd w:val="clear" w:color="000000" w:fill="D9D9D9"/>
            <w:noWrap/>
            <w:vAlign w:val="bottom"/>
            <w:hideMark/>
          </w:tcPr>
          <w:p w:rsidR="0002609C" w:rsidRPr="00BE48D7" w:rsidRDefault="0002609C">
            <w:pPr>
              <w:rPr>
                <w:color w:val="000000"/>
                <w:sz w:val="22"/>
                <w:szCs w:val="22"/>
              </w:rPr>
            </w:pPr>
            <w:r w:rsidRPr="00BE48D7">
              <w:rPr>
                <w:color w:val="000000"/>
                <w:sz w:val="22"/>
                <w:szCs w:val="22"/>
              </w:rPr>
              <w:t>vbetley@impaqint.com</w:t>
            </w:r>
          </w:p>
        </w:tc>
      </w:tr>
      <w:tr w:rsidR="0002609C" w:rsidTr="00BE48D7">
        <w:trPr>
          <w:trHeight w:val="203"/>
        </w:trPr>
        <w:tc>
          <w:tcPr>
            <w:tcW w:w="2250" w:type="dxa"/>
            <w:tcBorders>
              <w:top w:val="nil"/>
              <w:left w:val="nil"/>
              <w:bottom w:val="nil"/>
              <w:right w:val="nil"/>
            </w:tcBorders>
            <w:shd w:val="clear" w:color="000000" w:fill="D9D9D9"/>
            <w:noWrap/>
            <w:vAlign w:val="bottom"/>
            <w:hideMark/>
          </w:tcPr>
          <w:p w:rsidR="0002609C" w:rsidRPr="00BE48D7" w:rsidRDefault="0002609C">
            <w:pPr>
              <w:rPr>
                <w:color w:val="000000"/>
                <w:sz w:val="22"/>
                <w:szCs w:val="22"/>
              </w:rPr>
            </w:pPr>
            <w:r w:rsidRPr="00BE48D7">
              <w:rPr>
                <w:color w:val="000000"/>
                <w:sz w:val="22"/>
                <w:szCs w:val="22"/>
              </w:rPr>
              <w:t>Elizabeth Gall</w:t>
            </w:r>
          </w:p>
        </w:tc>
        <w:tc>
          <w:tcPr>
            <w:tcW w:w="4050" w:type="dxa"/>
            <w:tcBorders>
              <w:top w:val="nil"/>
              <w:left w:val="nil"/>
              <w:bottom w:val="nil"/>
              <w:right w:val="nil"/>
            </w:tcBorders>
            <w:shd w:val="clear" w:color="000000" w:fill="D9D9D9"/>
            <w:noWrap/>
            <w:vAlign w:val="bottom"/>
            <w:hideMark/>
          </w:tcPr>
          <w:p w:rsidR="0002609C" w:rsidRPr="00BE48D7" w:rsidRDefault="0002609C">
            <w:pPr>
              <w:rPr>
                <w:color w:val="000000"/>
                <w:sz w:val="22"/>
                <w:szCs w:val="22"/>
              </w:rPr>
            </w:pPr>
            <w:r w:rsidRPr="00BE48D7">
              <w:rPr>
                <w:color w:val="000000"/>
                <w:sz w:val="22"/>
                <w:szCs w:val="22"/>
              </w:rPr>
              <w:t>IMPAQ Team Lead, Data Analyst</w:t>
            </w:r>
          </w:p>
        </w:tc>
        <w:tc>
          <w:tcPr>
            <w:tcW w:w="3658" w:type="dxa"/>
            <w:tcBorders>
              <w:top w:val="nil"/>
              <w:left w:val="nil"/>
              <w:bottom w:val="nil"/>
              <w:right w:val="nil"/>
            </w:tcBorders>
            <w:shd w:val="clear" w:color="000000" w:fill="D9D9D9"/>
            <w:noWrap/>
            <w:vAlign w:val="bottom"/>
            <w:hideMark/>
          </w:tcPr>
          <w:p w:rsidR="0002609C" w:rsidRPr="00BE48D7" w:rsidRDefault="0002609C">
            <w:pPr>
              <w:rPr>
                <w:color w:val="000000"/>
                <w:sz w:val="22"/>
                <w:szCs w:val="22"/>
              </w:rPr>
            </w:pPr>
            <w:r w:rsidRPr="00BE48D7">
              <w:rPr>
                <w:color w:val="000000"/>
                <w:sz w:val="22"/>
                <w:szCs w:val="22"/>
              </w:rPr>
              <w:t>egall@impaqint.com</w:t>
            </w:r>
          </w:p>
        </w:tc>
      </w:tr>
      <w:tr w:rsidR="0002609C" w:rsidTr="00BE48D7">
        <w:trPr>
          <w:trHeight w:val="203"/>
        </w:trPr>
        <w:tc>
          <w:tcPr>
            <w:tcW w:w="2250" w:type="dxa"/>
            <w:tcBorders>
              <w:top w:val="nil"/>
              <w:left w:val="nil"/>
              <w:bottom w:val="nil"/>
              <w:right w:val="nil"/>
            </w:tcBorders>
            <w:shd w:val="clear" w:color="000000" w:fill="D9D9D9"/>
            <w:noWrap/>
            <w:vAlign w:val="bottom"/>
            <w:hideMark/>
          </w:tcPr>
          <w:p w:rsidR="0002609C" w:rsidRPr="00BE48D7" w:rsidRDefault="0002609C">
            <w:pPr>
              <w:rPr>
                <w:color w:val="000000"/>
                <w:sz w:val="22"/>
                <w:szCs w:val="22"/>
              </w:rPr>
            </w:pPr>
            <w:r w:rsidRPr="00BE48D7">
              <w:rPr>
                <w:color w:val="000000"/>
                <w:sz w:val="22"/>
                <w:szCs w:val="22"/>
              </w:rPr>
              <w:t>Paula Frew</w:t>
            </w:r>
          </w:p>
        </w:tc>
        <w:tc>
          <w:tcPr>
            <w:tcW w:w="4050" w:type="dxa"/>
            <w:tcBorders>
              <w:top w:val="nil"/>
              <w:left w:val="nil"/>
              <w:bottom w:val="nil"/>
              <w:right w:val="nil"/>
            </w:tcBorders>
            <w:shd w:val="clear" w:color="000000" w:fill="D9D9D9"/>
            <w:noWrap/>
            <w:vAlign w:val="bottom"/>
            <w:hideMark/>
          </w:tcPr>
          <w:p w:rsidR="0002609C" w:rsidRPr="00BE48D7" w:rsidRDefault="0002609C" w:rsidP="00F065BA">
            <w:pPr>
              <w:rPr>
                <w:color w:val="000000"/>
                <w:sz w:val="22"/>
                <w:szCs w:val="22"/>
              </w:rPr>
            </w:pPr>
            <w:r w:rsidRPr="00BE48D7">
              <w:rPr>
                <w:color w:val="000000"/>
                <w:sz w:val="22"/>
                <w:szCs w:val="22"/>
              </w:rPr>
              <w:t xml:space="preserve">Emory </w:t>
            </w:r>
            <w:r w:rsidR="00F065BA">
              <w:rPr>
                <w:color w:val="000000"/>
                <w:sz w:val="22"/>
                <w:szCs w:val="22"/>
              </w:rPr>
              <w:t>Team Lead</w:t>
            </w:r>
          </w:p>
        </w:tc>
        <w:tc>
          <w:tcPr>
            <w:tcW w:w="3658" w:type="dxa"/>
            <w:tcBorders>
              <w:top w:val="nil"/>
              <w:left w:val="nil"/>
              <w:bottom w:val="nil"/>
              <w:right w:val="nil"/>
            </w:tcBorders>
            <w:shd w:val="clear" w:color="000000" w:fill="D9D9D9"/>
            <w:noWrap/>
            <w:vAlign w:val="bottom"/>
            <w:hideMark/>
          </w:tcPr>
          <w:p w:rsidR="0002609C" w:rsidRPr="00BE48D7" w:rsidRDefault="0002609C">
            <w:pPr>
              <w:rPr>
                <w:color w:val="000000"/>
                <w:sz w:val="22"/>
                <w:szCs w:val="22"/>
              </w:rPr>
            </w:pPr>
            <w:r w:rsidRPr="00BE48D7">
              <w:rPr>
                <w:color w:val="000000"/>
                <w:sz w:val="22"/>
                <w:szCs w:val="22"/>
              </w:rPr>
              <w:t>pfrew@emory.edu</w:t>
            </w:r>
          </w:p>
        </w:tc>
      </w:tr>
      <w:tr w:rsidR="0002609C" w:rsidTr="00BE48D7">
        <w:trPr>
          <w:trHeight w:val="203"/>
        </w:trPr>
        <w:tc>
          <w:tcPr>
            <w:tcW w:w="2250" w:type="dxa"/>
            <w:tcBorders>
              <w:top w:val="nil"/>
              <w:left w:val="nil"/>
              <w:bottom w:val="nil"/>
              <w:right w:val="nil"/>
            </w:tcBorders>
            <w:shd w:val="clear" w:color="000000" w:fill="D9D9D9"/>
            <w:noWrap/>
            <w:vAlign w:val="bottom"/>
            <w:hideMark/>
          </w:tcPr>
          <w:p w:rsidR="0002609C" w:rsidRPr="00BE48D7" w:rsidRDefault="0002609C">
            <w:pPr>
              <w:rPr>
                <w:color w:val="000000"/>
                <w:sz w:val="22"/>
                <w:szCs w:val="22"/>
              </w:rPr>
            </w:pPr>
            <w:r w:rsidRPr="00BE48D7">
              <w:rPr>
                <w:color w:val="000000"/>
                <w:sz w:val="22"/>
                <w:szCs w:val="22"/>
              </w:rPr>
              <w:t>Laura Randall</w:t>
            </w:r>
          </w:p>
        </w:tc>
        <w:tc>
          <w:tcPr>
            <w:tcW w:w="4050" w:type="dxa"/>
            <w:tcBorders>
              <w:top w:val="nil"/>
              <w:left w:val="nil"/>
              <w:bottom w:val="nil"/>
              <w:right w:val="nil"/>
            </w:tcBorders>
            <w:shd w:val="clear" w:color="000000" w:fill="D9D9D9"/>
            <w:noWrap/>
            <w:vAlign w:val="bottom"/>
            <w:hideMark/>
          </w:tcPr>
          <w:p w:rsidR="0002609C" w:rsidRPr="00BE48D7" w:rsidRDefault="0002609C">
            <w:pPr>
              <w:rPr>
                <w:color w:val="000000"/>
                <w:sz w:val="22"/>
                <w:szCs w:val="22"/>
              </w:rPr>
            </w:pPr>
            <w:r w:rsidRPr="00BE48D7">
              <w:rPr>
                <w:color w:val="000000"/>
                <w:sz w:val="22"/>
                <w:szCs w:val="22"/>
              </w:rPr>
              <w:t>Emory Project Manager</w:t>
            </w:r>
          </w:p>
        </w:tc>
        <w:tc>
          <w:tcPr>
            <w:tcW w:w="3658" w:type="dxa"/>
            <w:tcBorders>
              <w:top w:val="nil"/>
              <w:left w:val="nil"/>
              <w:bottom w:val="nil"/>
              <w:right w:val="nil"/>
            </w:tcBorders>
            <w:shd w:val="clear" w:color="000000" w:fill="D9D9D9"/>
            <w:noWrap/>
            <w:vAlign w:val="bottom"/>
            <w:hideMark/>
          </w:tcPr>
          <w:p w:rsidR="0002609C" w:rsidRPr="00BE48D7" w:rsidRDefault="007C7612">
            <w:pPr>
              <w:rPr>
                <w:color w:val="000000"/>
                <w:sz w:val="22"/>
                <w:szCs w:val="22"/>
              </w:rPr>
            </w:pPr>
            <w:r w:rsidRPr="00BE48D7">
              <w:rPr>
                <w:color w:val="000000"/>
                <w:sz w:val="22"/>
                <w:szCs w:val="22"/>
              </w:rPr>
              <w:t>lrandall@emory.edu</w:t>
            </w:r>
          </w:p>
        </w:tc>
      </w:tr>
      <w:tr w:rsidR="0002609C" w:rsidTr="00BE48D7">
        <w:trPr>
          <w:trHeight w:val="203"/>
        </w:trPr>
        <w:tc>
          <w:tcPr>
            <w:tcW w:w="2250" w:type="dxa"/>
            <w:tcBorders>
              <w:top w:val="nil"/>
              <w:left w:val="nil"/>
              <w:bottom w:val="nil"/>
              <w:right w:val="nil"/>
            </w:tcBorders>
            <w:shd w:val="clear" w:color="000000" w:fill="D9D9D9"/>
            <w:noWrap/>
            <w:vAlign w:val="bottom"/>
          </w:tcPr>
          <w:p w:rsidR="0002609C" w:rsidRPr="00BE48D7" w:rsidRDefault="0002609C">
            <w:pPr>
              <w:rPr>
                <w:color w:val="000000"/>
                <w:sz w:val="22"/>
                <w:szCs w:val="22"/>
              </w:rPr>
            </w:pPr>
            <w:r w:rsidRPr="00BE48D7">
              <w:rPr>
                <w:color w:val="000000"/>
                <w:sz w:val="22"/>
                <w:szCs w:val="22"/>
              </w:rPr>
              <w:t>Martin Glusberg</w:t>
            </w:r>
          </w:p>
        </w:tc>
        <w:tc>
          <w:tcPr>
            <w:tcW w:w="4050" w:type="dxa"/>
            <w:tcBorders>
              <w:top w:val="nil"/>
              <w:left w:val="nil"/>
              <w:bottom w:val="nil"/>
              <w:right w:val="nil"/>
            </w:tcBorders>
            <w:shd w:val="clear" w:color="000000" w:fill="D9D9D9"/>
            <w:noWrap/>
            <w:vAlign w:val="bottom"/>
          </w:tcPr>
          <w:p w:rsidR="0002609C" w:rsidRPr="00BE48D7" w:rsidRDefault="0002609C">
            <w:pPr>
              <w:rPr>
                <w:color w:val="000000"/>
                <w:sz w:val="22"/>
                <w:szCs w:val="22"/>
              </w:rPr>
            </w:pPr>
            <w:r w:rsidRPr="00BE48D7">
              <w:rPr>
                <w:color w:val="000000"/>
                <w:sz w:val="22"/>
                <w:szCs w:val="22"/>
              </w:rPr>
              <w:t>Survey Programmer</w:t>
            </w:r>
          </w:p>
        </w:tc>
        <w:tc>
          <w:tcPr>
            <w:tcW w:w="3658" w:type="dxa"/>
            <w:tcBorders>
              <w:top w:val="nil"/>
              <w:left w:val="nil"/>
              <w:bottom w:val="nil"/>
              <w:right w:val="nil"/>
            </w:tcBorders>
            <w:shd w:val="clear" w:color="000000" w:fill="D9D9D9"/>
            <w:noWrap/>
            <w:vAlign w:val="bottom"/>
          </w:tcPr>
          <w:p w:rsidR="0002609C" w:rsidRPr="00BE48D7" w:rsidRDefault="0002609C">
            <w:pPr>
              <w:rPr>
                <w:color w:val="000000"/>
                <w:sz w:val="22"/>
                <w:szCs w:val="22"/>
              </w:rPr>
            </w:pPr>
            <w:r w:rsidRPr="00BE48D7">
              <w:rPr>
                <w:color w:val="000000"/>
                <w:sz w:val="22"/>
                <w:szCs w:val="22"/>
              </w:rPr>
              <w:t>martin@researchsupportservices.com</w:t>
            </w:r>
          </w:p>
        </w:tc>
      </w:tr>
      <w:tr w:rsidR="0002609C" w:rsidTr="00BE48D7">
        <w:trPr>
          <w:trHeight w:val="203"/>
        </w:trPr>
        <w:tc>
          <w:tcPr>
            <w:tcW w:w="2250" w:type="dxa"/>
            <w:tcBorders>
              <w:top w:val="nil"/>
              <w:left w:val="nil"/>
              <w:bottom w:val="nil"/>
              <w:right w:val="nil"/>
            </w:tcBorders>
            <w:shd w:val="clear" w:color="000000" w:fill="D9D9D9"/>
            <w:noWrap/>
            <w:vAlign w:val="bottom"/>
          </w:tcPr>
          <w:p w:rsidR="0002609C" w:rsidRPr="00BE48D7" w:rsidRDefault="0002609C">
            <w:pPr>
              <w:rPr>
                <w:color w:val="000000"/>
                <w:sz w:val="22"/>
                <w:szCs w:val="22"/>
              </w:rPr>
            </w:pPr>
            <w:r w:rsidRPr="00BE48D7">
              <w:rPr>
                <w:color w:val="000000"/>
                <w:sz w:val="22"/>
                <w:szCs w:val="22"/>
              </w:rPr>
              <w:t>Iddi Abdullah</w:t>
            </w:r>
          </w:p>
        </w:tc>
        <w:tc>
          <w:tcPr>
            <w:tcW w:w="4050" w:type="dxa"/>
            <w:tcBorders>
              <w:top w:val="nil"/>
              <w:left w:val="nil"/>
              <w:bottom w:val="nil"/>
              <w:right w:val="nil"/>
            </w:tcBorders>
            <w:shd w:val="clear" w:color="000000" w:fill="D9D9D9"/>
            <w:noWrap/>
            <w:vAlign w:val="bottom"/>
          </w:tcPr>
          <w:p w:rsidR="0002609C" w:rsidRPr="00BE48D7" w:rsidRDefault="004F362D">
            <w:pPr>
              <w:rPr>
                <w:color w:val="000000"/>
                <w:sz w:val="22"/>
                <w:szCs w:val="22"/>
              </w:rPr>
            </w:pPr>
            <w:r w:rsidRPr="00BE48D7">
              <w:rPr>
                <w:color w:val="000000"/>
                <w:sz w:val="22"/>
                <w:szCs w:val="22"/>
              </w:rPr>
              <w:t xml:space="preserve">CDC </w:t>
            </w:r>
            <w:r w:rsidR="0002609C" w:rsidRPr="00BE48D7">
              <w:rPr>
                <w:color w:val="000000"/>
                <w:sz w:val="22"/>
                <w:szCs w:val="22"/>
              </w:rPr>
              <w:t>Data Manager</w:t>
            </w:r>
          </w:p>
        </w:tc>
        <w:tc>
          <w:tcPr>
            <w:tcW w:w="3658" w:type="dxa"/>
            <w:tcBorders>
              <w:top w:val="nil"/>
              <w:left w:val="nil"/>
              <w:bottom w:val="nil"/>
              <w:right w:val="nil"/>
            </w:tcBorders>
            <w:shd w:val="clear" w:color="000000" w:fill="D9D9D9"/>
            <w:noWrap/>
            <w:vAlign w:val="bottom"/>
          </w:tcPr>
          <w:p w:rsidR="0002609C" w:rsidRPr="00BE48D7" w:rsidRDefault="004F362D">
            <w:pPr>
              <w:rPr>
                <w:color w:val="000000"/>
                <w:sz w:val="22"/>
                <w:szCs w:val="22"/>
              </w:rPr>
            </w:pPr>
            <w:r w:rsidRPr="00BE48D7">
              <w:rPr>
                <w:color w:val="000000"/>
                <w:sz w:val="22"/>
                <w:szCs w:val="22"/>
              </w:rPr>
              <w:t>xbw7@cdc.gov</w:t>
            </w:r>
          </w:p>
        </w:tc>
      </w:tr>
    </w:tbl>
    <w:p w:rsidR="00133B17" w:rsidRDefault="00B536C9" w:rsidP="00B536C9">
      <w:pPr>
        <w:autoSpaceDE w:val="0"/>
        <w:autoSpaceDN w:val="0"/>
        <w:adjustRightInd w:val="0"/>
        <w:jc w:val="center"/>
        <w:rPr>
          <w:bCs/>
          <w:szCs w:val="28"/>
        </w:rPr>
      </w:pPr>
      <w:r w:rsidRPr="00B536C9">
        <w:rPr>
          <w:bCs/>
          <w:szCs w:val="28"/>
        </w:rPr>
        <w:t>REFERENCES</w:t>
      </w:r>
    </w:p>
    <w:p w:rsidR="004B1BC4" w:rsidRDefault="004B1BC4" w:rsidP="004B1BC4">
      <w:pPr>
        <w:autoSpaceDE w:val="0"/>
        <w:autoSpaceDN w:val="0"/>
        <w:adjustRightInd w:val="0"/>
        <w:rPr>
          <w:bCs/>
          <w:szCs w:val="28"/>
        </w:rPr>
      </w:pPr>
    </w:p>
    <w:p w:rsidR="004B1BC4" w:rsidRPr="00B536C9" w:rsidRDefault="004B1BC4" w:rsidP="00BA1442">
      <w:pPr>
        <w:pStyle w:val="Reference"/>
        <w:numPr>
          <w:ilvl w:val="0"/>
          <w:numId w:val="23"/>
        </w:numPr>
        <w:ind w:hanging="720"/>
        <w:jc w:val="left"/>
        <w:rPr>
          <w:rFonts w:ascii="Times New Roman" w:hAnsi="Times New Roman"/>
          <w:sz w:val="24"/>
        </w:rPr>
      </w:pPr>
      <w:r w:rsidRPr="00B536C9">
        <w:rPr>
          <w:rFonts w:ascii="Times New Roman" w:hAnsi="Times New Roman"/>
          <w:sz w:val="24"/>
        </w:rPr>
        <w:t xml:space="preserve">United States Public Health Service. </w:t>
      </w:r>
      <w:r w:rsidRPr="00B536C9">
        <w:rPr>
          <w:rFonts w:ascii="Times New Roman" w:hAnsi="Times New Roman"/>
          <w:i/>
          <w:sz w:val="24"/>
        </w:rPr>
        <w:t>Preexposure Prophylaxis for the Prevention of HIV Infection in the United States – 2014: A Clinical Practice Guideline</w:t>
      </w:r>
      <w:r w:rsidRPr="00B536C9">
        <w:rPr>
          <w:rFonts w:ascii="Times New Roman" w:hAnsi="Times New Roman"/>
          <w:sz w:val="24"/>
        </w:rPr>
        <w:t xml:space="preserve">. </w:t>
      </w:r>
      <w:hyperlink r:id="rId12" w:history="1">
        <w:r w:rsidRPr="00B536C9">
          <w:rPr>
            <w:rStyle w:val="Hyperlink"/>
            <w:rFonts w:ascii="Times New Roman" w:hAnsi="Times New Roman"/>
            <w:sz w:val="24"/>
          </w:rPr>
          <w:t>https://www.cdc.gov/hiv/pdf/prepguidelines2014.pdf</w:t>
        </w:r>
      </w:hyperlink>
      <w:r w:rsidRPr="00B536C9">
        <w:rPr>
          <w:rFonts w:ascii="Times New Roman" w:hAnsi="Times New Roman"/>
          <w:sz w:val="24"/>
        </w:rPr>
        <w:t>. Accessed Wednesday, June 21, 2017.</w:t>
      </w:r>
    </w:p>
    <w:p w:rsidR="004B1BC4" w:rsidRDefault="004B1BC4" w:rsidP="00BA1442">
      <w:pPr>
        <w:pStyle w:val="Reference"/>
        <w:ind w:left="720" w:hanging="720"/>
        <w:jc w:val="left"/>
        <w:rPr>
          <w:rFonts w:ascii="Times New Roman" w:hAnsi="Times New Roman"/>
          <w:sz w:val="24"/>
        </w:rPr>
      </w:pPr>
    </w:p>
    <w:p w:rsidR="004B1BC4" w:rsidRPr="00B536C9" w:rsidRDefault="004B1BC4" w:rsidP="00BA1442">
      <w:pPr>
        <w:pStyle w:val="Reference"/>
        <w:numPr>
          <w:ilvl w:val="0"/>
          <w:numId w:val="23"/>
        </w:numPr>
        <w:ind w:hanging="720"/>
        <w:jc w:val="left"/>
        <w:rPr>
          <w:rFonts w:ascii="Times New Roman" w:hAnsi="Times New Roman"/>
          <w:sz w:val="24"/>
        </w:rPr>
      </w:pPr>
      <w:r w:rsidRPr="00B536C9">
        <w:rPr>
          <w:rFonts w:ascii="Times New Roman" w:hAnsi="Times New Roman"/>
          <w:sz w:val="24"/>
        </w:rPr>
        <w:t xml:space="preserve">Centers for Disease Control and Prevention. </w:t>
      </w:r>
      <w:r w:rsidRPr="00B536C9">
        <w:rPr>
          <w:rFonts w:ascii="Times New Roman" w:hAnsi="Times New Roman"/>
          <w:i/>
          <w:sz w:val="24"/>
        </w:rPr>
        <w:t>HIV Surveillance Report, 2015; vol. 27</w:t>
      </w:r>
      <w:r w:rsidRPr="00B536C9">
        <w:rPr>
          <w:rFonts w:ascii="Times New Roman" w:hAnsi="Times New Roman"/>
          <w:sz w:val="24"/>
        </w:rPr>
        <w:t>. http://www.cdc.gov/hiv/library/reports/hiv-surveillance.html. Published November 2016. Accessed Wednesday, June 21, 2017.</w:t>
      </w:r>
    </w:p>
    <w:p w:rsidR="004B1BC4" w:rsidRDefault="004B1BC4" w:rsidP="00BA1442">
      <w:pPr>
        <w:pStyle w:val="Reference"/>
        <w:ind w:left="720" w:hanging="720"/>
        <w:jc w:val="left"/>
        <w:rPr>
          <w:rFonts w:ascii="Times New Roman" w:hAnsi="Times New Roman"/>
          <w:sz w:val="24"/>
        </w:rPr>
      </w:pPr>
    </w:p>
    <w:p w:rsidR="004B1BC4" w:rsidRPr="00B536C9" w:rsidRDefault="004B1BC4" w:rsidP="00BA1442">
      <w:pPr>
        <w:pStyle w:val="Reference"/>
        <w:numPr>
          <w:ilvl w:val="0"/>
          <w:numId w:val="23"/>
        </w:numPr>
        <w:ind w:hanging="720"/>
        <w:jc w:val="left"/>
        <w:rPr>
          <w:rFonts w:ascii="Times New Roman" w:hAnsi="Times New Roman"/>
          <w:sz w:val="24"/>
        </w:rPr>
      </w:pPr>
      <w:r w:rsidRPr="00B536C9">
        <w:rPr>
          <w:rFonts w:ascii="Times New Roman" w:hAnsi="Times New Roman"/>
          <w:sz w:val="24"/>
        </w:rPr>
        <w:t xml:space="preserve">Georgia Department of Public Health. </w:t>
      </w:r>
      <w:r w:rsidRPr="00B536C9">
        <w:rPr>
          <w:rFonts w:ascii="Times New Roman" w:hAnsi="Times New Roman"/>
          <w:i/>
          <w:sz w:val="24"/>
        </w:rPr>
        <w:t>HIV Surveillance Fact sheet 2015</w:t>
      </w:r>
      <w:r w:rsidRPr="00B536C9">
        <w:rPr>
          <w:rFonts w:ascii="Times New Roman" w:hAnsi="Times New Roman"/>
          <w:sz w:val="24"/>
        </w:rPr>
        <w:t>. http://dph.georgia.gov/georgias-hivaidsepidemiology-surveillance-section. Published April 2017. Accessed Wednesday, June 21, 2017.</w:t>
      </w:r>
    </w:p>
    <w:p w:rsidR="004B1BC4" w:rsidRDefault="004B1BC4" w:rsidP="00BA1442">
      <w:pPr>
        <w:pStyle w:val="Reference"/>
        <w:ind w:left="720" w:hanging="720"/>
        <w:jc w:val="left"/>
        <w:rPr>
          <w:rFonts w:ascii="Times New Roman" w:hAnsi="Times New Roman"/>
          <w:sz w:val="24"/>
        </w:rPr>
      </w:pPr>
    </w:p>
    <w:p w:rsidR="004B1BC4" w:rsidRPr="00B536C9" w:rsidRDefault="004B1BC4" w:rsidP="00BA1442">
      <w:pPr>
        <w:pStyle w:val="Reference"/>
        <w:numPr>
          <w:ilvl w:val="0"/>
          <w:numId w:val="23"/>
        </w:numPr>
        <w:ind w:hanging="720"/>
        <w:jc w:val="left"/>
        <w:rPr>
          <w:rFonts w:ascii="Times New Roman" w:hAnsi="Times New Roman"/>
          <w:sz w:val="24"/>
        </w:rPr>
      </w:pPr>
      <w:r w:rsidRPr="00B536C9">
        <w:rPr>
          <w:rFonts w:ascii="Times New Roman" w:hAnsi="Times New Roman"/>
          <w:sz w:val="24"/>
        </w:rPr>
        <w:t xml:space="preserve">Rosenberg ES, Grey JA, Sanchez TH, Sullivan PS. Rates of Prevalent HIV Infection, Prevalent Diagnoses, and New Diagnoses Among Men Who Have Sex With Men in US States, Metropolitan Statistical Areas, and Counties, 2012-2013. </w:t>
      </w:r>
      <w:r w:rsidRPr="00B536C9">
        <w:rPr>
          <w:rFonts w:ascii="Times New Roman" w:hAnsi="Times New Roman"/>
          <w:i/>
          <w:sz w:val="24"/>
        </w:rPr>
        <w:t xml:space="preserve">JMIR public health and surveillance. </w:t>
      </w:r>
      <w:r w:rsidRPr="00B536C9">
        <w:rPr>
          <w:rFonts w:ascii="Times New Roman" w:hAnsi="Times New Roman"/>
          <w:sz w:val="24"/>
        </w:rPr>
        <w:t>2016; 2(1):e22.</w:t>
      </w:r>
    </w:p>
    <w:p w:rsidR="004B1BC4" w:rsidRDefault="004B1BC4" w:rsidP="00BA1442">
      <w:pPr>
        <w:pStyle w:val="Reference"/>
        <w:ind w:left="720" w:hanging="720"/>
        <w:jc w:val="left"/>
        <w:rPr>
          <w:rFonts w:ascii="Times New Roman" w:hAnsi="Times New Roman"/>
          <w:sz w:val="24"/>
        </w:rPr>
      </w:pPr>
    </w:p>
    <w:p w:rsidR="004B1BC4" w:rsidRPr="00B536C9" w:rsidRDefault="004B1BC4" w:rsidP="00BA1442">
      <w:pPr>
        <w:pStyle w:val="Reference"/>
        <w:numPr>
          <w:ilvl w:val="0"/>
          <w:numId w:val="23"/>
        </w:numPr>
        <w:ind w:hanging="720"/>
        <w:jc w:val="left"/>
        <w:rPr>
          <w:rFonts w:ascii="Times New Roman" w:hAnsi="Times New Roman"/>
          <w:sz w:val="24"/>
        </w:rPr>
      </w:pPr>
      <w:r w:rsidRPr="00B536C9">
        <w:rPr>
          <w:rFonts w:ascii="Times New Roman" w:hAnsi="Times New Roman"/>
          <w:sz w:val="24"/>
        </w:rPr>
        <w:t xml:space="preserve">Rolle C-P, Rosenberg ES, Luisi N, et al. Willingness to use pre-exposure prophylaxis among Black and White men who have sex with men in Atlanta, Georgia. </w:t>
      </w:r>
      <w:r w:rsidRPr="00B536C9">
        <w:rPr>
          <w:rFonts w:ascii="Times New Roman" w:hAnsi="Times New Roman"/>
          <w:i/>
          <w:sz w:val="24"/>
        </w:rPr>
        <w:t xml:space="preserve">International Journal of STD &amp; AIDS. </w:t>
      </w:r>
      <w:r w:rsidRPr="00B536C9">
        <w:rPr>
          <w:rFonts w:ascii="Times New Roman" w:hAnsi="Times New Roman"/>
          <w:sz w:val="24"/>
        </w:rPr>
        <w:t>2016:0956462416675095.</w:t>
      </w:r>
    </w:p>
    <w:p w:rsidR="004B1BC4" w:rsidRDefault="004B1BC4" w:rsidP="00BA1442">
      <w:pPr>
        <w:pStyle w:val="Reference"/>
        <w:ind w:left="720" w:hanging="720"/>
        <w:jc w:val="left"/>
        <w:rPr>
          <w:rFonts w:ascii="Times New Roman" w:hAnsi="Times New Roman"/>
          <w:sz w:val="24"/>
        </w:rPr>
      </w:pPr>
    </w:p>
    <w:p w:rsidR="004B1BC4" w:rsidRPr="00B536C9" w:rsidRDefault="004B1BC4" w:rsidP="00BA1442">
      <w:pPr>
        <w:pStyle w:val="Reference"/>
        <w:numPr>
          <w:ilvl w:val="0"/>
          <w:numId w:val="23"/>
        </w:numPr>
        <w:ind w:hanging="720"/>
        <w:jc w:val="left"/>
        <w:rPr>
          <w:rFonts w:ascii="Times New Roman" w:hAnsi="Times New Roman"/>
          <w:sz w:val="24"/>
        </w:rPr>
      </w:pPr>
      <w:r w:rsidRPr="00B536C9">
        <w:rPr>
          <w:rFonts w:ascii="Times New Roman" w:hAnsi="Times New Roman"/>
          <w:sz w:val="24"/>
        </w:rPr>
        <w:t xml:space="preserve">Chicago Department of Public Health. </w:t>
      </w:r>
      <w:r w:rsidRPr="00B536C9">
        <w:rPr>
          <w:rFonts w:ascii="Times New Roman" w:hAnsi="Times New Roman"/>
          <w:i/>
          <w:sz w:val="24"/>
        </w:rPr>
        <w:t>HIV/STI Surveillance Report, 2015</w:t>
      </w:r>
      <w:r w:rsidRPr="00B536C9">
        <w:rPr>
          <w:rFonts w:ascii="Times New Roman" w:hAnsi="Times New Roman"/>
          <w:sz w:val="24"/>
        </w:rPr>
        <w:t xml:space="preserve">. Chicago, IL: City of Chicago; December 2015. </w:t>
      </w:r>
      <w:hyperlink r:id="rId13" w:history="1">
        <w:r w:rsidRPr="00B536C9">
          <w:rPr>
            <w:rStyle w:val="Hyperlink"/>
            <w:rFonts w:ascii="Times New Roman" w:hAnsi="Times New Roman"/>
            <w:sz w:val="24"/>
          </w:rPr>
          <w:t>https://www.cityofchicago.org/content/dam/city/depts/cdph/HIV_STI/HIV_STISurveillanceReport2015_revised.pdf</w:t>
        </w:r>
      </w:hyperlink>
      <w:r w:rsidRPr="00B536C9">
        <w:rPr>
          <w:rFonts w:ascii="Times New Roman" w:hAnsi="Times New Roman"/>
          <w:sz w:val="24"/>
        </w:rPr>
        <w:t>. Accessed Wednesday, June 21, 2017.</w:t>
      </w:r>
    </w:p>
    <w:p w:rsidR="004B1BC4" w:rsidRDefault="004B1BC4" w:rsidP="00BA1442">
      <w:pPr>
        <w:pStyle w:val="Reference"/>
        <w:ind w:left="720" w:hanging="720"/>
        <w:jc w:val="left"/>
        <w:rPr>
          <w:rFonts w:ascii="Times New Roman" w:hAnsi="Times New Roman"/>
          <w:sz w:val="24"/>
        </w:rPr>
      </w:pPr>
    </w:p>
    <w:p w:rsidR="004B1BC4" w:rsidRPr="00B536C9" w:rsidRDefault="004B1BC4" w:rsidP="00BA1442">
      <w:pPr>
        <w:pStyle w:val="Reference"/>
        <w:numPr>
          <w:ilvl w:val="0"/>
          <w:numId w:val="23"/>
        </w:numPr>
        <w:ind w:hanging="720"/>
        <w:jc w:val="left"/>
        <w:rPr>
          <w:rFonts w:ascii="Times New Roman" w:hAnsi="Times New Roman"/>
          <w:sz w:val="24"/>
        </w:rPr>
      </w:pPr>
      <w:r w:rsidRPr="00B536C9">
        <w:rPr>
          <w:rFonts w:ascii="Times New Roman" w:hAnsi="Times New Roman"/>
          <w:sz w:val="24"/>
        </w:rPr>
        <w:t xml:space="preserve">Khanna AS, Michaels S, Skaathun B, et al. Preexposure prophylaxis awareness and use in a population-based sample of young black men who have sex with men. </w:t>
      </w:r>
      <w:r w:rsidRPr="00B536C9">
        <w:rPr>
          <w:rFonts w:ascii="Times New Roman" w:hAnsi="Times New Roman"/>
          <w:i/>
          <w:sz w:val="24"/>
        </w:rPr>
        <w:t xml:space="preserve">JAMA internal medicine. </w:t>
      </w:r>
      <w:r w:rsidRPr="00B536C9">
        <w:rPr>
          <w:rFonts w:ascii="Times New Roman" w:hAnsi="Times New Roman"/>
          <w:sz w:val="24"/>
        </w:rPr>
        <w:t>2016;176(1):136-138.</w:t>
      </w:r>
    </w:p>
    <w:p w:rsidR="004B1BC4" w:rsidRDefault="004B1BC4" w:rsidP="00BA1442">
      <w:pPr>
        <w:pStyle w:val="Reference"/>
        <w:ind w:left="720" w:hanging="720"/>
        <w:jc w:val="left"/>
        <w:rPr>
          <w:rFonts w:ascii="Times New Roman" w:hAnsi="Times New Roman"/>
          <w:sz w:val="24"/>
        </w:rPr>
      </w:pPr>
    </w:p>
    <w:p w:rsidR="004B1BC4" w:rsidRPr="00B536C9" w:rsidRDefault="004B1BC4" w:rsidP="00BA1442">
      <w:pPr>
        <w:pStyle w:val="Reference"/>
        <w:numPr>
          <w:ilvl w:val="0"/>
          <w:numId w:val="23"/>
        </w:numPr>
        <w:ind w:hanging="720"/>
        <w:jc w:val="left"/>
        <w:rPr>
          <w:rFonts w:ascii="Times New Roman" w:hAnsi="Times New Roman"/>
          <w:sz w:val="24"/>
        </w:rPr>
      </w:pPr>
      <w:r w:rsidRPr="00B536C9">
        <w:rPr>
          <w:rFonts w:ascii="Times New Roman" w:hAnsi="Times New Roman"/>
          <w:sz w:val="24"/>
        </w:rPr>
        <w:t xml:space="preserve">North Carolina HIV/STD Surveillance Unit. (2015). </w:t>
      </w:r>
      <w:r w:rsidRPr="00B536C9">
        <w:rPr>
          <w:rFonts w:ascii="Times New Roman" w:hAnsi="Times New Roman"/>
          <w:i/>
          <w:sz w:val="24"/>
        </w:rPr>
        <w:t>2014 North Carolina HIV/STD Surveillance Report</w:t>
      </w:r>
      <w:r w:rsidRPr="00B536C9">
        <w:rPr>
          <w:rFonts w:ascii="Times New Roman" w:hAnsi="Times New Roman"/>
          <w:sz w:val="24"/>
        </w:rPr>
        <w:t>. North Carolina Department of Health and Human Services, Raleigh, North Carolina. Accessed Wednesday, June 21, 2017.</w:t>
      </w:r>
    </w:p>
    <w:p w:rsidR="004B1BC4" w:rsidRDefault="004B1BC4" w:rsidP="00BA1442">
      <w:pPr>
        <w:pStyle w:val="Reference"/>
        <w:ind w:left="720" w:hanging="720"/>
        <w:jc w:val="left"/>
        <w:rPr>
          <w:rFonts w:ascii="Times New Roman" w:hAnsi="Times New Roman"/>
          <w:sz w:val="24"/>
        </w:rPr>
      </w:pPr>
    </w:p>
    <w:p w:rsidR="004B1BC4" w:rsidRPr="00B536C9" w:rsidRDefault="004B1BC4" w:rsidP="00BA1442">
      <w:pPr>
        <w:pStyle w:val="Reference"/>
        <w:numPr>
          <w:ilvl w:val="0"/>
          <w:numId w:val="23"/>
        </w:numPr>
        <w:ind w:hanging="720"/>
        <w:jc w:val="left"/>
        <w:rPr>
          <w:rFonts w:ascii="Times New Roman" w:hAnsi="Times New Roman"/>
          <w:sz w:val="24"/>
        </w:rPr>
      </w:pPr>
      <w:r w:rsidRPr="00B536C9">
        <w:rPr>
          <w:rFonts w:ascii="Times New Roman" w:hAnsi="Times New Roman"/>
          <w:sz w:val="24"/>
        </w:rPr>
        <w:t xml:space="preserve">AIDSVu. Raleigh (Wake County). </w:t>
      </w:r>
      <w:hyperlink r:id="rId14" w:history="1">
        <w:r w:rsidRPr="00B536C9">
          <w:rPr>
            <w:rStyle w:val="Hyperlink"/>
            <w:rFonts w:ascii="Times New Roman" w:hAnsi="Times New Roman"/>
            <w:sz w:val="24"/>
          </w:rPr>
          <w:t>https://aidsvu.org/state/north-carolina/raleigh/</w:t>
        </w:r>
      </w:hyperlink>
      <w:r w:rsidRPr="00B536C9">
        <w:rPr>
          <w:rFonts w:ascii="Times New Roman" w:hAnsi="Times New Roman"/>
          <w:sz w:val="24"/>
        </w:rPr>
        <w:t>. Accessed Wednesday, June 21, 2017.</w:t>
      </w:r>
    </w:p>
    <w:p w:rsidR="004B1BC4" w:rsidRDefault="004B1BC4" w:rsidP="00BA1442">
      <w:pPr>
        <w:pStyle w:val="Reference"/>
        <w:ind w:left="720" w:hanging="720"/>
        <w:jc w:val="left"/>
        <w:rPr>
          <w:rFonts w:ascii="Times New Roman" w:hAnsi="Times New Roman"/>
          <w:sz w:val="24"/>
        </w:rPr>
      </w:pPr>
    </w:p>
    <w:p w:rsidR="004B1BC4" w:rsidRDefault="004B1BC4" w:rsidP="00BA1442">
      <w:pPr>
        <w:pStyle w:val="Reference"/>
        <w:numPr>
          <w:ilvl w:val="0"/>
          <w:numId w:val="23"/>
        </w:numPr>
        <w:ind w:hanging="720"/>
        <w:jc w:val="left"/>
        <w:rPr>
          <w:rFonts w:ascii="Times New Roman" w:hAnsi="Times New Roman"/>
          <w:sz w:val="24"/>
        </w:rPr>
      </w:pPr>
      <w:r w:rsidRPr="00B536C9">
        <w:rPr>
          <w:rFonts w:ascii="Times New Roman" w:hAnsi="Times New Roman"/>
          <w:sz w:val="24"/>
        </w:rPr>
        <w:t>Johnson, R. B., &amp; Onwuegbuzie, A. J. (2004). Mixed methods research: A research paradigm whose time has come. </w:t>
      </w:r>
      <w:r w:rsidRPr="00B536C9">
        <w:rPr>
          <w:rFonts w:ascii="Times New Roman" w:hAnsi="Times New Roman"/>
          <w:i/>
          <w:iCs/>
          <w:sz w:val="24"/>
        </w:rPr>
        <w:t>Educational researcher</w:t>
      </w:r>
      <w:r w:rsidRPr="00B536C9">
        <w:rPr>
          <w:rFonts w:ascii="Times New Roman" w:hAnsi="Times New Roman"/>
          <w:sz w:val="24"/>
        </w:rPr>
        <w:t>, </w:t>
      </w:r>
      <w:r w:rsidRPr="00B536C9">
        <w:rPr>
          <w:rFonts w:ascii="Times New Roman" w:hAnsi="Times New Roman"/>
          <w:i/>
          <w:iCs/>
          <w:sz w:val="24"/>
        </w:rPr>
        <w:t>33</w:t>
      </w:r>
      <w:r w:rsidRPr="00B536C9">
        <w:rPr>
          <w:rFonts w:ascii="Times New Roman" w:hAnsi="Times New Roman"/>
          <w:sz w:val="24"/>
        </w:rPr>
        <w:t>(7), 14-26.</w:t>
      </w:r>
    </w:p>
    <w:p w:rsidR="00530BE4" w:rsidRDefault="00530BE4" w:rsidP="00BA1442">
      <w:pPr>
        <w:pStyle w:val="ListParagraph"/>
        <w:spacing w:after="0"/>
        <w:ind w:hanging="720"/>
        <w:rPr>
          <w:rFonts w:ascii="Times New Roman" w:hAnsi="Times New Roman"/>
          <w:sz w:val="24"/>
        </w:rPr>
      </w:pPr>
    </w:p>
    <w:p w:rsidR="00530BE4" w:rsidRDefault="00530BE4" w:rsidP="00BA1442">
      <w:pPr>
        <w:pStyle w:val="Reference"/>
        <w:numPr>
          <w:ilvl w:val="0"/>
          <w:numId w:val="23"/>
        </w:numPr>
        <w:ind w:hanging="720"/>
        <w:jc w:val="left"/>
        <w:rPr>
          <w:rFonts w:ascii="Times New Roman" w:hAnsi="Times New Roman"/>
          <w:sz w:val="24"/>
        </w:rPr>
      </w:pPr>
      <w:r w:rsidRPr="00530BE4">
        <w:rPr>
          <w:rFonts w:ascii="Times New Roman" w:hAnsi="Times New Roman"/>
          <w:sz w:val="24"/>
        </w:rPr>
        <w:t>Centers for Disease Control and Prevention (CDC. (2012). Interim guidance for clinicians considering the use of preexposure prophylaxis for the prevention of HIV infection in heterosexually active adults. </w:t>
      </w:r>
      <w:r w:rsidRPr="00530BE4">
        <w:rPr>
          <w:rFonts w:ascii="Times New Roman" w:hAnsi="Times New Roman"/>
          <w:i/>
          <w:iCs/>
          <w:sz w:val="24"/>
        </w:rPr>
        <w:t>MMWR. Morbidity and mortality weekly report</w:t>
      </w:r>
      <w:r w:rsidRPr="00530BE4">
        <w:rPr>
          <w:rFonts w:ascii="Times New Roman" w:hAnsi="Times New Roman"/>
          <w:sz w:val="24"/>
        </w:rPr>
        <w:t>, </w:t>
      </w:r>
      <w:r w:rsidRPr="00530BE4">
        <w:rPr>
          <w:rFonts w:ascii="Times New Roman" w:hAnsi="Times New Roman"/>
          <w:i/>
          <w:iCs/>
          <w:sz w:val="24"/>
        </w:rPr>
        <w:t>61</w:t>
      </w:r>
      <w:r w:rsidRPr="00530BE4">
        <w:rPr>
          <w:rFonts w:ascii="Times New Roman" w:hAnsi="Times New Roman"/>
          <w:sz w:val="24"/>
        </w:rPr>
        <w:t>(31), 586.</w:t>
      </w:r>
    </w:p>
    <w:p w:rsidR="00BA1442" w:rsidRDefault="00BA1442" w:rsidP="00BA1442">
      <w:pPr>
        <w:pStyle w:val="ListParagraph"/>
        <w:spacing w:after="0"/>
        <w:ind w:hanging="720"/>
        <w:rPr>
          <w:rFonts w:ascii="Times New Roman" w:hAnsi="Times New Roman"/>
          <w:sz w:val="24"/>
        </w:rPr>
      </w:pPr>
    </w:p>
    <w:p w:rsidR="00BA1442" w:rsidRPr="00B536C9" w:rsidRDefault="00BA1442" w:rsidP="00BA1442">
      <w:pPr>
        <w:pStyle w:val="Reference"/>
        <w:numPr>
          <w:ilvl w:val="0"/>
          <w:numId w:val="23"/>
        </w:numPr>
        <w:ind w:hanging="720"/>
        <w:jc w:val="left"/>
        <w:rPr>
          <w:rFonts w:ascii="Times New Roman" w:hAnsi="Times New Roman"/>
          <w:sz w:val="24"/>
        </w:rPr>
      </w:pPr>
      <w:r w:rsidRPr="00BA1442">
        <w:rPr>
          <w:rFonts w:ascii="Times New Roman" w:hAnsi="Times New Roman"/>
          <w:sz w:val="24"/>
        </w:rPr>
        <w:t>Karim, S. S. A., Kashuba, A. D., Werner, L., &amp; Karim, Q. A. (2011). Drug concentrations after topical and oral antiretroviral pre-exposure prophylaxis: implications for HIV prevention in women. </w:t>
      </w:r>
      <w:r w:rsidRPr="00BA1442">
        <w:rPr>
          <w:rFonts w:ascii="Times New Roman" w:hAnsi="Times New Roman"/>
          <w:i/>
          <w:iCs/>
          <w:sz w:val="24"/>
        </w:rPr>
        <w:t>Lancet</w:t>
      </w:r>
      <w:r w:rsidRPr="00BA1442">
        <w:rPr>
          <w:rFonts w:ascii="Times New Roman" w:hAnsi="Times New Roman"/>
          <w:sz w:val="24"/>
        </w:rPr>
        <w:t>, </w:t>
      </w:r>
      <w:r w:rsidRPr="00BA1442">
        <w:rPr>
          <w:rFonts w:ascii="Times New Roman" w:hAnsi="Times New Roman"/>
          <w:i/>
          <w:iCs/>
          <w:sz w:val="24"/>
        </w:rPr>
        <w:t>378</w:t>
      </w:r>
      <w:r w:rsidRPr="00BA1442">
        <w:rPr>
          <w:rFonts w:ascii="Times New Roman" w:hAnsi="Times New Roman"/>
          <w:sz w:val="24"/>
        </w:rPr>
        <w:t>(9787), 279.</w:t>
      </w:r>
    </w:p>
    <w:p w:rsidR="004B1BC4" w:rsidRPr="00B536C9" w:rsidRDefault="004B1BC4" w:rsidP="00BA1442">
      <w:pPr>
        <w:autoSpaceDE w:val="0"/>
        <w:autoSpaceDN w:val="0"/>
        <w:adjustRightInd w:val="0"/>
        <w:ind w:left="720" w:hanging="720"/>
        <w:rPr>
          <w:bCs/>
          <w:szCs w:val="28"/>
        </w:rPr>
      </w:pPr>
    </w:p>
    <w:sectPr w:rsidR="004B1BC4" w:rsidRPr="00B536C9" w:rsidSect="000F622F">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069A" w:rsidRDefault="00F9069A">
      <w:r>
        <w:separator/>
      </w:r>
    </w:p>
  </w:endnote>
  <w:endnote w:type="continuationSeparator" w:id="0">
    <w:p w:rsidR="00F9069A" w:rsidRDefault="00F906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17AE" w:rsidRPr="00E52ED6" w:rsidRDefault="001917AE" w:rsidP="00E52ED6">
    <w:pPr>
      <w:pStyle w:val="Footer"/>
      <w:pBdr>
        <w:top w:val="single" w:sz="4" w:space="1" w:color="660000"/>
      </w:pBdr>
      <w:tabs>
        <w:tab w:val="clear" w:pos="8640"/>
        <w:tab w:val="right" w:pos="9360"/>
      </w:tabs>
      <w:rPr>
        <w:rFonts w:ascii="Calibri" w:hAnsi="Calibri" w:cs="Calibri"/>
        <w:sz w:val="20"/>
        <w:szCs w:val="20"/>
      </w:rPr>
    </w:pPr>
    <w:r w:rsidRPr="00E52ED6">
      <w:rPr>
        <w:rFonts w:ascii="Calibri" w:hAnsi="Calibri" w:cs="Calibri"/>
        <w:sz w:val="20"/>
        <w:szCs w:val="20"/>
      </w:rPr>
      <w:tab/>
    </w:r>
    <w:r w:rsidRPr="00E52ED6">
      <w:rPr>
        <w:rFonts w:ascii="Calibri" w:hAnsi="Calibri" w:cs="Calibri"/>
        <w:sz w:val="20"/>
        <w:szCs w:val="20"/>
      </w:rPr>
      <w:fldChar w:fldCharType="begin"/>
    </w:r>
    <w:r w:rsidRPr="00E52ED6">
      <w:rPr>
        <w:rFonts w:ascii="Calibri" w:hAnsi="Calibri" w:cs="Calibri"/>
        <w:sz w:val="20"/>
        <w:szCs w:val="20"/>
      </w:rPr>
      <w:instrText xml:space="preserve"> PAGE   \* MERGEFORMAT </w:instrText>
    </w:r>
    <w:r w:rsidRPr="00E52ED6">
      <w:rPr>
        <w:rFonts w:ascii="Calibri" w:hAnsi="Calibri" w:cs="Calibri"/>
        <w:sz w:val="20"/>
        <w:szCs w:val="20"/>
      </w:rPr>
      <w:fldChar w:fldCharType="separate"/>
    </w:r>
    <w:r w:rsidR="00C7033F">
      <w:rPr>
        <w:rFonts w:ascii="Calibri" w:hAnsi="Calibri" w:cs="Calibri"/>
        <w:noProof/>
        <w:sz w:val="20"/>
        <w:szCs w:val="20"/>
      </w:rPr>
      <w:t>1</w:t>
    </w:r>
    <w:r w:rsidRPr="00E52ED6">
      <w:rPr>
        <w:rFonts w:ascii="Calibri" w:hAnsi="Calibri" w:cs="Calibri"/>
        <w:noProof/>
        <w:sz w:val="20"/>
        <w:szCs w:val="20"/>
      </w:rPr>
      <w:fldChar w:fldCharType="end"/>
    </w:r>
    <w:r w:rsidRPr="00E52ED6">
      <w:rPr>
        <w:rFonts w:ascii="Calibri" w:hAnsi="Calibri" w:cs="Calibri"/>
        <w:sz w:val="20"/>
        <w:szCs w:val="20"/>
      </w:rPr>
      <w:tab/>
    </w:r>
  </w:p>
  <w:p w:rsidR="001917AE" w:rsidRDefault="001917A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069A" w:rsidRDefault="00F9069A">
      <w:r>
        <w:separator/>
      </w:r>
    </w:p>
  </w:footnote>
  <w:footnote w:type="continuationSeparator" w:id="0">
    <w:p w:rsidR="00F9069A" w:rsidRDefault="00F906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17AE" w:rsidRPr="00162767" w:rsidRDefault="001917AE" w:rsidP="00D71624">
    <w:pPr>
      <w:pStyle w:val="Header"/>
      <w:tabs>
        <w:tab w:val="left" w:pos="576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737B9"/>
    <w:multiLevelType w:val="hybridMultilevel"/>
    <w:tmpl w:val="452295E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6A6311B"/>
    <w:multiLevelType w:val="hybridMultilevel"/>
    <w:tmpl w:val="36B42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524F39"/>
    <w:multiLevelType w:val="hybridMultilevel"/>
    <w:tmpl w:val="1862CF04"/>
    <w:lvl w:ilvl="0" w:tplc="99E8F8AA">
      <w:start w:val="1"/>
      <w:numFmt w:val="bullet"/>
      <w:lvlText w:val=""/>
      <w:lvlJc w:val="left"/>
      <w:pPr>
        <w:ind w:left="720" w:hanging="360"/>
      </w:pPr>
      <w:rPr>
        <w:rFonts w:ascii="Wingdings" w:hAnsi="Wingdings" w:hint="default"/>
        <w:sz w:val="16"/>
      </w:rPr>
    </w:lvl>
    <w:lvl w:ilvl="1" w:tplc="4D0C1E56">
      <w:start w:val="1"/>
      <w:numFmt w:val="bullet"/>
      <w:lvlText w:val="o"/>
      <w:lvlJc w:val="left"/>
      <w:pPr>
        <w:ind w:left="1440" w:hanging="360"/>
      </w:pPr>
      <w:rPr>
        <w:rFonts w:ascii="Courier New" w:hAnsi="Courier New" w:hint="default"/>
        <w:sz w:val="16"/>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44D4AA6"/>
    <w:multiLevelType w:val="hybridMultilevel"/>
    <w:tmpl w:val="511E5010"/>
    <w:lvl w:ilvl="0" w:tplc="61F69FB8">
      <w:start w:val="1"/>
      <w:numFmt w:val="lowerLetter"/>
      <w:pStyle w:val="a-row"/>
      <w:lvlText w:val="%1."/>
      <w:lvlJc w:val="left"/>
      <w:pPr>
        <w:tabs>
          <w:tab w:val="num" w:pos="360"/>
        </w:tabs>
        <w:ind w:left="360" w:hanging="360"/>
      </w:pPr>
      <w:rPr>
        <w:rFonts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24C12E46"/>
    <w:multiLevelType w:val="hybridMultilevel"/>
    <w:tmpl w:val="DA465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9950377"/>
    <w:multiLevelType w:val="hybridMultilevel"/>
    <w:tmpl w:val="90523B10"/>
    <w:lvl w:ilvl="0" w:tplc="42E6C650">
      <w:start w:val="1"/>
      <w:numFmt w:val="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BDD0B65"/>
    <w:multiLevelType w:val="hybridMultilevel"/>
    <w:tmpl w:val="FF4485BA"/>
    <w:lvl w:ilvl="0" w:tplc="56E0602C">
      <w:start w:val="1"/>
      <w:numFmt w:val="bullet"/>
      <w:lvlText w:val=""/>
      <w:lvlJc w:val="left"/>
      <w:pPr>
        <w:ind w:left="720" w:hanging="360"/>
      </w:pPr>
      <w:rPr>
        <w:rFonts w:ascii="Wingdings" w:hAnsi="Wingdings" w:hint="default"/>
        <w:color w:val="auto"/>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C4645A8"/>
    <w:multiLevelType w:val="hybridMultilevel"/>
    <w:tmpl w:val="728CD88E"/>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2FDB1D8F"/>
    <w:multiLevelType w:val="hybridMultilevel"/>
    <w:tmpl w:val="FA9E20BA"/>
    <w:lvl w:ilvl="0" w:tplc="0AAA84E8">
      <w:start w:val="1"/>
      <w:numFmt w:val="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9A245ED"/>
    <w:multiLevelType w:val="hybridMultilevel"/>
    <w:tmpl w:val="DA22C1F2"/>
    <w:lvl w:ilvl="0" w:tplc="DF5C730E">
      <w:start w:val="1"/>
      <w:numFmt w:val="bullet"/>
      <w:pStyle w:val="Boxtextbullets"/>
      <w:lvlText w:val=""/>
      <w:lvlJc w:val="left"/>
      <w:pPr>
        <w:ind w:left="1368" w:hanging="360"/>
      </w:pPr>
      <w:rPr>
        <w:rFonts w:ascii="Symbol" w:hAnsi="Symbol" w:hint="default"/>
      </w:rPr>
    </w:lvl>
    <w:lvl w:ilvl="1" w:tplc="04090003">
      <w:start w:val="1"/>
      <w:numFmt w:val="bullet"/>
      <w:lvlText w:val="o"/>
      <w:lvlJc w:val="left"/>
      <w:pPr>
        <w:ind w:left="2088" w:hanging="360"/>
      </w:pPr>
      <w:rPr>
        <w:rFonts w:ascii="Courier New" w:hAnsi="Courier New" w:cs="Courier New" w:hint="default"/>
      </w:rPr>
    </w:lvl>
    <w:lvl w:ilvl="2" w:tplc="04090005">
      <w:start w:val="1"/>
      <w:numFmt w:val="bullet"/>
      <w:lvlText w:val=""/>
      <w:lvlJc w:val="left"/>
      <w:pPr>
        <w:ind w:left="2808" w:hanging="360"/>
      </w:pPr>
      <w:rPr>
        <w:rFonts w:ascii="Wingdings" w:hAnsi="Wingdings" w:hint="default"/>
      </w:rPr>
    </w:lvl>
    <w:lvl w:ilvl="3" w:tplc="04090001">
      <w:start w:val="1"/>
      <w:numFmt w:val="bullet"/>
      <w:lvlText w:val=""/>
      <w:lvlJc w:val="left"/>
      <w:pPr>
        <w:ind w:left="3528" w:hanging="360"/>
      </w:pPr>
      <w:rPr>
        <w:rFonts w:ascii="Symbol" w:hAnsi="Symbol" w:hint="default"/>
      </w:rPr>
    </w:lvl>
    <w:lvl w:ilvl="4" w:tplc="04090003">
      <w:start w:val="1"/>
      <w:numFmt w:val="bullet"/>
      <w:lvlText w:val="o"/>
      <w:lvlJc w:val="left"/>
      <w:pPr>
        <w:ind w:left="4248" w:hanging="360"/>
      </w:pPr>
      <w:rPr>
        <w:rFonts w:ascii="Courier New" w:hAnsi="Courier New" w:cs="Courier New" w:hint="default"/>
      </w:rPr>
    </w:lvl>
    <w:lvl w:ilvl="5" w:tplc="04090005">
      <w:start w:val="1"/>
      <w:numFmt w:val="bullet"/>
      <w:lvlText w:val=""/>
      <w:lvlJc w:val="left"/>
      <w:pPr>
        <w:ind w:left="4968" w:hanging="360"/>
      </w:pPr>
      <w:rPr>
        <w:rFonts w:ascii="Wingdings" w:hAnsi="Wingdings" w:hint="default"/>
      </w:rPr>
    </w:lvl>
    <w:lvl w:ilvl="6" w:tplc="04090001">
      <w:start w:val="1"/>
      <w:numFmt w:val="bullet"/>
      <w:lvlText w:val=""/>
      <w:lvlJc w:val="left"/>
      <w:pPr>
        <w:ind w:left="5688" w:hanging="360"/>
      </w:pPr>
      <w:rPr>
        <w:rFonts w:ascii="Symbol" w:hAnsi="Symbol" w:hint="default"/>
      </w:rPr>
    </w:lvl>
    <w:lvl w:ilvl="7" w:tplc="04090003">
      <w:start w:val="1"/>
      <w:numFmt w:val="bullet"/>
      <w:lvlText w:val="o"/>
      <w:lvlJc w:val="left"/>
      <w:pPr>
        <w:ind w:left="6408" w:hanging="360"/>
      </w:pPr>
      <w:rPr>
        <w:rFonts w:ascii="Courier New" w:hAnsi="Courier New" w:cs="Courier New" w:hint="default"/>
      </w:rPr>
    </w:lvl>
    <w:lvl w:ilvl="8" w:tplc="04090005">
      <w:start w:val="1"/>
      <w:numFmt w:val="bullet"/>
      <w:lvlText w:val=""/>
      <w:lvlJc w:val="left"/>
      <w:pPr>
        <w:ind w:left="7128" w:hanging="360"/>
      </w:pPr>
      <w:rPr>
        <w:rFonts w:ascii="Wingdings" w:hAnsi="Wingdings" w:hint="default"/>
      </w:rPr>
    </w:lvl>
  </w:abstractNum>
  <w:abstractNum w:abstractNumId="10">
    <w:nsid w:val="3DC32DC1"/>
    <w:multiLevelType w:val="hybridMultilevel"/>
    <w:tmpl w:val="1B90D978"/>
    <w:lvl w:ilvl="0" w:tplc="099852EA">
      <w:start w:val="1"/>
      <w:numFmt w:val="bullet"/>
      <w:pStyle w:val="box-1"/>
      <w:lvlText w:val=""/>
      <w:lvlJc w:val="left"/>
      <w:pPr>
        <w:tabs>
          <w:tab w:val="num" w:pos="1080"/>
        </w:tabs>
        <w:ind w:left="1080" w:hanging="360"/>
      </w:pPr>
      <w:rPr>
        <w:rFonts w:ascii="Wingdings" w:hAnsi="Wingdings" w:hint="default"/>
      </w:rPr>
    </w:lvl>
    <w:lvl w:ilvl="1" w:tplc="909A06E2">
      <w:start w:val="1"/>
      <w:numFmt w:val="decimal"/>
      <w:lvlText w:val="%2."/>
      <w:lvlJc w:val="left"/>
      <w:pPr>
        <w:tabs>
          <w:tab w:val="num" w:pos="1440"/>
        </w:tabs>
        <w:ind w:left="1440" w:hanging="360"/>
      </w:pPr>
      <w:rPr>
        <w:rFonts w:cs="Times New Roman" w:hint="default"/>
      </w:rPr>
    </w:lvl>
    <w:lvl w:ilvl="2" w:tplc="04090007">
      <w:start w:val="1"/>
      <w:numFmt w:val="bullet"/>
      <w:lvlText w:val=""/>
      <w:lvlJc w:val="left"/>
      <w:pPr>
        <w:tabs>
          <w:tab w:val="num" w:pos="2160"/>
        </w:tabs>
        <w:ind w:left="2160" w:hanging="360"/>
      </w:pPr>
      <w:rPr>
        <w:rFonts w:ascii="Wingdings" w:hAnsi="Wingdings" w:hint="default"/>
        <w:sz w:val="16"/>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F706E68"/>
    <w:multiLevelType w:val="hybridMultilevel"/>
    <w:tmpl w:val="A0FA06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3270248"/>
    <w:multiLevelType w:val="hybridMultilevel"/>
    <w:tmpl w:val="86D295DE"/>
    <w:lvl w:ilvl="0" w:tplc="0A5A9548">
      <w:start w:val="1"/>
      <w:numFmt w:val="bullet"/>
      <w:lvlText w:val=""/>
      <w:lvlJc w:val="left"/>
      <w:pPr>
        <w:ind w:left="720" w:hanging="360"/>
      </w:pPr>
      <w:rPr>
        <w:rFonts w:ascii="Wingdings" w:hAnsi="Wingdings" w:hint="default"/>
        <w:color w:val="auto"/>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E2A6457"/>
    <w:multiLevelType w:val="hybridMultilevel"/>
    <w:tmpl w:val="2E82A964"/>
    <w:lvl w:ilvl="0" w:tplc="0A5A9548">
      <w:start w:val="1"/>
      <w:numFmt w:val="bullet"/>
      <w:lvlText w:val=""/>
      <w:lvlJc w:val="left"/>
      <w:pPr>
        <w:ind w:left="720" w:hanging="360"/>
      </w:pPr>
      <w:rPr>
        <w:rFonts w:ascii="Wingdings" w:hAnsi="Wingdings" w:hint="default"/>
        <w:color w:val="auto"/>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ECB0CBA"/>
    <w:multiLevelType w:val="hybridMultilevel"/>
    <w:tmpl w:val="E82A55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373354D"/>
    <w:multiLevelType w:val="hybridMultilevel"/>
    <w:tmpl w:val="1CD8FEC2"/>
    <w:lvl w:ilvl="0" w:tplc="708882CC">
      <w:start w:val="1"/>
      <w:numFmt w:val="decimal"/>
      <w:pStyle w:val="1-question"/>
      <w:lvlText w:val="%1."/>
      <w:lvlJc w:val="left"/>
      <w:pPr>
        <w:tabs>
          <w:tab w:val="num" w:pos="720"/>
        </w:tabs>
        <w:ind w:left="720" w:hanging="720"/>
      </w:pPr>
      <w:rPr>
        <w:rFonts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nsid w:val="58E34F30"/>
    <w:multiLevelType w:val="hybridMultilevel"/>
    <w:tmpl w:val="4C863BC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5C556A95"/>
    <w:multiLevelType w:val="hybridMultilevel"/>
    <w:tmpl w:val="3644601E"/>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5DA24A9E"/>
    <w:multiLevelType w:val="hybridMultilevel"/>
    <w:tmpl w:val="C0B6B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FDA002A"/>
    <w:multiLevelType w:val="hybridMultilevel"/>
    <w:tmpl w:val="F5D81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1BA5D1A"/>
    <w:multiLevelType w:val="hybridMultilevel"/>
    <w:tmpl w:val="FAC88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3CC1B2D"/>
    <w:multiLevelType w:val="hybridMultilevel"/>
    <w:tmpl w:val="29B43E5A"/>
    <w:lvl w:ilvl="0" w:tplc="88A0D64C">
      <w:start w:val="1"/>
      <w:numFmt w:val="bullet"/>
      <w:lvlText w:val=""/>
      <w:lvlJc w:val="left"/>
      <w:pPr>
        <w:ind w:left="360" w:hanging="360"/>
      </w:pPr>
      <w:rPr>
        <w:rFonts w:ascii="Symbol" w:hAnsi="Symbol" w:hint="default"/>
        <w:color w:val="auto"/>
        <w:sz w:val="20"/>
        <w:szCs w:val="2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7E2118B6"/>
    <w:multiLevelType w:val="multilevel"/>
    <w:tmpl w:val="91B8A57C"/>
    <w:lvl w:ilvl="0">
      <w:start w:val="1"/>
      <w:numFmt w:val="upperLetter"/>
      <w:pStyle w:val="Style1"/>
      <w:lvlText w:val="%1)"/>
      <w:lvlJc w:val="left"/>
      <w:pPr>
        <w:tabs>
          <w:tab w:val="num" w:pos="360"/>
        </w:tabs>
        <w:ind w:left="360" w:hanging="360"/>
      </w:pPr>
      <w:rPr>
        <w:rFonts w:cs="Times New Roman" w:hint="default"/>
      </w:rPr>
    </w:lvl>
    <w:lvl w:ilvl="1">
      <w:start w:val="1"/>
      <w:numFmt w:val="decimal"/>
      <w:pStyle w:val="Style2"/>
      <w:lvlText w:val="%2)"/>
      <w:lvlJc w:val="left"/>
      <w:pPr>
        <w:tabs>
          <w:tab w:val="num" w:pos="900"/>
        </w:tabs>
        <w:ind w:left="900" w:hanging="360"/>
      </w:pPr>
      <w:rPr>
        <w:rFonts w:cs="Times New Roman" w:hint="default"/>
      </w:rPr>
    </w:lvl>
    <w:lvl w:ilvl="2">
      <w:start w:val="1"/>
      <w:numFmt w:val="lowerLetter"/>
      <w:pStyle w:val="Style3"/>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num w:numId="1">
    <w:abstractNumId w:val="22"/>
  </w:num>
  <w:num w:numId="2">
    <w:abstractNumId w:val="3"/>
  </w:num>
  <w:num w:numId="3">
    <w:abstractNumId w:val="10"/>
  </w:num>
  <w:num w:numId="4">
    <w:abstractNumId w:val="15"/>
  </w:num>
  <w:num w:numId="5">
    <w:abstractNumId w:val="2"/>
  </w:num>
  <w:num w:numId="6">
    <w:abstractNumId w:val="8"/>
  </w:num>
  <w:num w:numId="7">
    <w:abstractNumId w:val="16"/>
  </w:num>
  <w:num w:numId="8">
    <w:abstractNumId w:val="13"/>
  </w:num>
  <w:num w:numId="9">
    <w:abstractNumId w:val="12"/>
  </w:num>
  <w:num w:numId="10">
    <w:abstractNumId w:val="5"/>
  </w:num>
  <w:num w:numId="11">
    <w:abstractNumId w:val="6"/>
  </w:num>
  <w:num w:numId="12">
    <w:abstractNumId w:val="20"/>
  </w:num>
  <w:num w:numId="13">
    <w:abstractNumId w:val="17"/>
  </w:num>
  <w:num w:numId="14">
    <w:abstractNumId w:val="21"/>
  </w:num>
  <w:num w:numId="15">
    <w:abstractNumId w:val="9"/>
  </w:num>
  <w:num w:numId="16">
    <w:abstractNumId w:val="1"/>
  </w:num>
  <w:num w:numId="17">
    <w:abstractNumId w:val="0"/>
  </w:num>
  <w:num w:numId="18">
    <w:abstractNumId w:val="7"/>
  </w:num>
  <w:num w:numId="19">
    <w:abstractNumId w:val="18"/>
  </w:num>
  <w:num w:numId="20">
    <w:abstractNumId w:val="14"/>
  </w:num>
  <w:num w:numId="21">
    <w:abstractNumId w:val="19"/>
  </w:num>
  <w:num w:numId="22">
    <w:abstractNumId w:val="4"/>
  </w:num>
  <w:num w:numId="23">
    <w:abstractNumId w:val="1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1C3F"/>
    <w:rsid w:val="000039F5"/>
    <w:rsid w:val="00005E03"/>
    <w:rsid w:val="00006ED9"/>
    <w:rsid w:val="00017F25"/>
    <w:rsid w:val="000206BA"/>
    <w:rsid w:val="000211C0"/>
    <w:rsid w:val="00021D4B"/>
    <w:rsid w:val="00023165"/>
    <w:rsid w:val="000254A0"/>
    <w:rsid w:val="00025B5B"/>
    <w:rsid w:val="0002609C"/>
    <w:rsid w:val="00032805"/>
    <w:rsid w:val="000344AD"/>
    <w:rsid w:val="000348CD"/>
    <w:rsid w:val="000369C8"/>
    <w:rsid w:val="0004319F"/>
    <w:rsid w:val="000436A1"/>
    <w:rsid w:val="00043A79"/>
    <w:rsid w:val="00044848"/>
    <w:rsid w:val="00053A5A"/>
    <w:rsid w:val="00054C87"/>
    <w:rsid w:val="00055787"/>
    <w:rsid w:val="00055F92"/>
    <w:rsid w:val="00057B32"/>
    <w:rsid w:val="000613A1"/>
    <w:rsid w:val="00061446"/>
    <w:rsid w:val="00064E6C"/>
    <w:rsid w:val="00065A66"/>
    <w:rsid w:val="00071C6A"/>
    <w:rsid w:val="00073D1B"/>
    <w:rsid w:val="00074633"/>
    <w:rsid w:val="0007547C"/>
    <w:rsid w:val="000754BD"/>
    <w:rsid w:val="0007682B"/>
    <w:rsid w:val="00076B37"/>
    <w:rsid w:val="00076DD5"/>
    <w:rsid w:val="00080425"/>
    <w:rsid w:val="00082D05"/>
    <w:rsid w:val="000862FD"/>
    <w:rsid w:val="00096F10"/>
    <w:rsid w:val="000A0DC9"/>
    <w:rsid w:val="000A47B9"/>
    <w:rsid w:val="000A672C"/>
    <w:rsid w:val="000B5F2C"/>
    <w:rsid w:val="000B6FC2"/>
    <w:rsid w:val="000C3B4C"/>
    <w:rsid w:val="000C3C1F"/>
    <w:rsid w:val="000C4ACF"/>
    <w:rsid w:val="000C64BE"/>
    <w:rsid w:val="000C7A56"/>
    <w:rsid w:val="000D6110"/>
    <w:rsid w:val="000D6458"/>
    <w:rsid w:val="000D7FAA"/>
    <w:rsid w:val="000E2E17"/>
    <w:rsid w:val="000E5A4C"/>
    <w:rsid w:val="000E7054"/>
    <w:rsid w:val="000E72C1"/>
    <w:rsid w:val="000E761F"/>
    <w:rsid w:val="000F4210"/>
    <w:rsid w:val="000F622F"/>
    <w:rsid w:val="000F7417"/>
    <w:rsid w:val="00101032"/>
    <w:rsid w:val="001077CD"/>
    <w:rsid w:val="00110009"/>
    <w:rsid w:val="0011295B"/>
    <w:rsid w:val="0011462B"/>
    <w:rsid w:val="0011560D"/>
    <w:rsid w:val="00116F4F"/>
    <w:rsid w:val="00121E17"/>
    <w:rsid w:val="0012313A"/>
    <w:rsid w:val="00123632"/>
    <w:rsid w:val="00125F05"/>
    <w:rsid w:val="00126610"/>
    <w:rsid w:val="00126CF0"/>
    <w:rsid w:val="00126DC8"/>
    <w:rsid w:val="00130F61"/>
    <w:rsid w:val="00133678"/>
    <w:rsid w:val="00133B17"/>
    <w:rsid w:val="00135F78"/>
    <w:rsid w:val="00155E90"/>
    <w:rsid w:val="00162767"/>
    <w:rsid w:val="00162AC2"/>
    <w:rsid w:val="00163FCC"/>
    <w:rsid w:val="001654EF"/>
    <w:rsid w:val="00173E23"/>
    <w:rsid w:val="001745CF"/>
    <w:rsid w:val="00176C59"/>
    <w:rsid w:val="0018156A"/>
    <w:rsid w:val="00184E31"/>
    <w:rsid w:val="001851BA"/>
    <w:rsid w:val="0018732D"/>
    <w:rsid w:val="00190A8B"/>
    <w:rsid w:val="001917AE"/>
    <w:rsid w:val="00193618"/>
    <w:rsid w:val="00193FCD"/>
    <w:rsid w:val="00197FBE"/>
    <w:rsid w:val="001A114E"/>
    <w:rsid w:val="001A1A2C"/>
    <w:rsid w:val="001A307F"/>
    <w:rsid w:val="001A769F"/>
    <w:rsid w:val="001A786F"/>
    <w:rsid w:val="001B4023"/>
    <w:rsid w:val="001B59CA"/>
    <w:rsid w:val="001B5B35"/>
    <w:rsid w:val="001B7442"/>
    <w:rsid w:val="001C12A5"/>
    <w:rsid w:val="001C78C0"/>
    <w:rsid w:val="001C7A8C"/>
    <w:rsid w:val="001D5125"/>
    <w:rsid w:val="001D5307"/>
    <w:rsid w:val="001D6481"/>
    <w:rsid w:val="001D6D46"/>
    <w:rsid w:val="001E33B6"/>
    <w:rsid w:val="001E6CB5"/>
    <w:rsid w:val="001F0DA8"/>
    <w:rsid w:val="001F29A5"/>
    <w:rsid w:val="001F5314"/>
    <w:rsid w:val="002011A4"/>
    <w:rsid w:val="002073E1"/>
    <w:rsid w:val="00210018"/>
    <w:rsid w:val="0021198B"/>
    <w:rsid w:val="00215E06"/>
    <w:rsid w:val="002172DF"/>
    <w:rsid w:val="0022265A"/>
    <w:rsid w:val="0022495D"/>
    <w:rsid w:val="002302F1"/>
    <w:rsid w:val="00230689"/>
    <w:rsid w:val="00230716"/>
    <w:rsid w:val="00231269"/>
    <w:rsid w:val="00241730"/>
    <w:rsid w:val="00246BA8"/>
    <w:rsid w:val="002471E3"/>
    <w:rsid w:val="0025476E"/>
    <w:rsid w:val="00254B15"/>
    <w:rsid w:val="0025695E"/>
    <w:rsid w:val="00261A3C"/>
    <w:rsid w:val="0026426C"/>
    <w:rsid w:val="00265CFB"/>
    <w:rsid w:val="002726F6"/>
    <w:rsid w:val="00277D1A"/>
    <w:rsid w:val="0028007D"/>
    <w:rsid w:val="00281159"/>
    <w:rsid w:val="002902B7"/>
    <w:rsid w:val="00297045"/>
    <w:rsid w:val="002A2528"/>
    <w:rsid w:val="002A2824"/>
    <w:rsid w:val="002A3355"/>
    <w:rsid w:val="002A52C5"/>
    <w:rsid w:val="002A530F"/>
    <w:rsid w:val="002B287F"/>
    <w:rsid w:val="002B5613"/>
    <w:rsid w:val="002B7A02"/>
    <w:rsid w:val="002C0482"/>
    <w:rsid w:val="002D02CD"/>
    <w:rsid w:val="002D121F"/>
    <w:rsid w:val="002D1FFD"/>
    <w:rsid w:val="002D3CC5"/>
    <w:rsid w:val="002D4409"/>
    <w:rsid w:val="002D440D"/>
    <w:rsid w:val="002E1089"/>
    <w:rsid w:val="002F0E7A"/>
    <w:rsid w:val="002F2235"/>
    <w:rsid w:val="002F429D"/>
    <w:rsid w:val="002F462E"/>
    <w:rsid w:val="002F7287"/>
    <w:rsid w:val="002F7B06"/>
    <w:rsid w:val="00303E21"/>
    <w:rsid w:val="00304E71"/>
    <w:rsid w:val="00305360"/>
    <w:rsid w:val="00307B7E"/>
    <w:rsid w:val="00307E27"/>
    <w:rsid w:val="00310291"/>
    <w:rsid w:val="0031248F"/>
    <w:rsid w:val="00312E6D"/>
    <w:rsid w:val="003149C4"/>
    <w:rsid w:val="003157E4"/>
    <w:rsid w:val="00316EA4"/>
    <w:rsid w:val="00320027"/>
    <w:rsid w:val="003213E0"/>
    <w:rsid w:val="00321815"/>
    <w:rsid w:val="0032473B"/>
    <w:rsid w:val="00341513"/>
    <w:rsid w:val="00341603"/>
    <w:rsid w:val="00341605"/>
    <w:rsid w:val="003422FA"/>
    <w:rsid w:val="00353AB1"/>
    <w:rsid w:val="00355DDB"/>
    <w:rsid w:val="003572AF"/>
    <w:rsid w:val="00361B83"/>
    <w:rsid w:val="00365DCC"/>
    <w:rsid w:val="003666D6"/>
    <w:rsid w:val="00367B1B"/>
    <w:rsid w:val="00371275"/>
    <w:rsid w:val="00373089"/>
    <w:rsid w:val="003735EE"/>
    <w:rsid w:val="00375BC3"/>
    <w:rsid w:val="00375CF8"/>
    <w:rsid w:val="003770C0"/>
    <w:rsid w:val="00382663"/>
    <w:rsid w:val="00382FC2"/>
    <w:rsid w:val="00386583"/>
    <w:rsid w:val="003903A4"/>
    <w:rsid w:val="003938EF"/>
    <w:rsid w:val="00394BF1"/>
    <w:rsid w:val="003959B0"/>
    <w:rsid w:val="00397C78"/>
    <w:rsid w:val="003A0675"/>
    <w:rsid w:val="003A6C09"/>
    <w:rsid w:val="003B170B"/>
    <w:rsid w:val="003B5FD7"/>
    <w:rsid w:val="003C16A6"/>
    <w:rsid w:val="003C282D"/>
    <w:rsid w:val="003C3F65"/>
    <w:rsid w:val="003C4F32"/>
    <w:rsid w:val="003C6A47"/>
    <w:rsid w:val="003D1F53"/>
    <w:rsid w:val="003E576A"/>
    <w:rsid w:val="003E6D42"/>
    <w:rsid w:val="003F0A8A"/>
    <w:rsid w:val="003F19C9"/>
    <w:rsid w:val="003F298E"/>
    <w:rsid w:val="003F46F1"/>
    <w:rsid w:val="003F49B4"/>
    <w:rsid w:val="003F4C36"/>
    <w:rsid w:val="003F7F43"/>
    <w:rsid w:val="0040039C"/>
    <w:rsid w:val="00401F37"/>
    <w:rsid w:val="004039A9"/>
    <w:rsid w:val="004069A4"/>
    <w:rsid w:val="00407379"/>
    <w:rsid w:val="00407420"/>
    <w:rsid w:val="00410839"/>
    <w:rsid w:val="00414B88"/>
    <w:rsid w:val="0042054B"/>
    <w:rsid w:val="00425678"/>
    <w:rsid w:val="004318B2"/>
    <w:rsid w:val="00431B38"/>
    <w:rsid w:val="00431BC7"/>
    <w:rsid w:val="00433259"/>
    <w:rsid w:val="004348EE"/>
    <w:rsid w:val="004366E1"/>
    <w:rsid w:val="004420A4"/>
    <w:rsid w:val="00443F75"/>
    <w:rsid w:val="00444F70"/>
    <w:rsid w:val="00445CF3"/>
    <w:rsid w:val="00450C85"/>
    <w:rsid w:val="00451B8E"/>
    <w:rsid w:val="00453ACD"/>
    <w:rsid w:val="00454937"/>
    <w:rsid w:val="00455F96"/>
    <w:rsid w:val="00464DB6"/>
    <w:rsid w:val="00467B69"/>
    <w:rsid w:val="00471D96"/>
    <w:rsid w:val="00476AE6"/>
    <w:rsid w:val="004832E8"/>
    <w:rsid w:val="004867BA"/>
    <w:rsid w:val="0048702C"/>
    <w:rsid w:val="004879FA"/>
    <w:rsid w:val="00491DAC"/>
    <w:rsid w:val="00495104"/>
    <w:rsid w:val="00496EAC"/>
    <w:rsid w:val="004A1737"/>
    <w:rsid w:val="004A1903"/>
    <w:rsid w:val="004A45EE"/>
    <w:rsid w:val="004A53BF"/>
    <w:rsid w:val="004A6ABE"/>
    <w:rsid w:val="004B09F1"/>
    <w:rsid w:val="004B1BC4"/>
    <w:rsid w:val="004C14B2"/>
    <w:rsid w:val="004C21F8"/>
    <w:rsid w:val="004D011B"/>
    <w:rsid w:val="004D5F45"/>
    <w:rsid w:val="004D7801"/>
    <w:rsid w:val="004D79C2"/>
    <w:rsid w:val="004D7D69"/>
    <w:rsid w:val="004E41CA"/>
    <w:rsid w:val="004F2EB2"/>
    <w:rsid w:val="004F362D"/>
    <w:rsid w:val="004F5E15"/>
    <w:rsid w:val="004F6331"/>
    <w:rsid w:val="004F7F9B"/>
    <w:rsid w:val="005010CB"/>
    <w:rsid w:val="005015BC"/>
    <w:rsid w:val="005019A3"/>
    <w:rsid w:val="0050277D"/>
    <w:rsid w:val="00503CED"/>
    <w:rsid w:val="005066F9"/>
    <w:rsid w:val="00506BE5"/>
    <w:rsid w:val="005107D9"/>
    <w:rsid w:val="00512E9A"/>
    <w:rsid w:val="005134C2"/>
    <w:rsid w:val="00514266"/>
    <w:rsid w:val="00520EB7"/>
    <w:rsid w:val="00520F7B"/>
    <w:rsid w:val="00522938"/>
    <w:rsid w:val="005239F1"/>
    <w:rsid w:val="00524916"/>
    <w:rsid w:val="00530BE4"/>
    <w:rsid w:val="00532C02"/>
    <w:rsid w:val="005338F4"/>
    <w:rsid w:val="005372A8"/>
    <w:rsid w:val="00546C9C"/>
    <w:rsid w:val="005527EC"/>
    <w:rsid w:val="00554F7E"/>
    <w:rsid w:val="0056084C"/>
    <w:rsid w:val="00562EA1"/>
    <w:rsid w:val="005660E7"/>
    <w:rsid w:val="005773E9"/>
    <w:rsid w:val="0058301E"/>
    <w:rsid w:val="0058342A"/>
    <w:rsid w:val="0058465D"/>
    <w:rsid w:val="005848AD"/>
    <w:rsid w:val="00585792"/>
    <w:rsid w:val="005869E1"/>
    <w:rsid w:val="00587047"/>
    <w:rsid w:val="00587144"/>
    <w:rsid w:val="005903A3"/>
    <w:rsid w:val="00591C94"/>
    <w:rsid w:val="00593B54"/>
    <w:rsid w:val="0059419A"/>
    <w:rsid w:val="005943C4"/>
    <w:rsid w:val="0059628C"/>
    <w:rsid w:val="00597305"/>
    <w:rsid w:val="005A5988"/>
    <w:rsid w:val="005A65F0"/>
    <w:rsid w:val="005B55F5"/>
    <w:rsid w:val="005C18DE"/>
    <w:rsid w:val="005C3984"/>
    <w:rsid w:val="005D016E"/>
    <w:rsid w:val="005D404F"/>
    <w:rsid w:val="005D4D38"/>
    <w:rsid w:val="005D6F08"/>
    <w:rsid w:val="005D75C3"/>
    <w:rsid w:val="005E09B6"/>
    <w:rsid w:val="005E27D1"/>
    <w:rsid w:val="005E530E"/>
    <w:rsid w:val="005F171E"/>
    <w:rsid w:val="005F555F"/>
    <w:rsid w:val="0060024B"/>
    <w:rsid w:val="00600D19"/>
    <w:rsid w:val="00604942"/>
    <w:rsid w:val="00611453"/>
    <w:rsid w:val="00613657"/>
    <w:rsid w:val="006137FE"/>
    <w:rsid w:val="00615883"/>
    <w:rsid w:val="00630146"/>
    <w:rsid w:val="00633AE5"/>
    <w:rsid w:val="006356AE"/>
    <w:rsid w:val="00636BD8"/>
    <w:rsid w:val="00646FFF"/>
    <w:rsid w:val="0064757C"/>
    <w:rsid w:val="006503F2"/>
    <w:rsid w:val="00652FB5"/>
    <w:rsid w:val="006551C9"/>
    <w:rsid w:val="00655260"/>
    <w:rsid w:val="00660F95"/>
    <w:rsid w:val="006626F7"/>
    <w:rsid w:val="00666A04"/>
    <w:rsid w:val="00670C60"/>
    <w:rsid w:val="0067295E"/>
    <w:rsid w:val="0067457D"/>
    <w:rsid w:val="006774E0"/>
    <w:rsid w:val="0068223F"/>
    <w:rsid w:val="00682AC1"/>
    <w:rsid w:val="00684DB7"/>
    <w:rsid w:val="00691EA6"/>
    <w:rsid w:val="006930A1"/>
    <w:rsid w:val="00694780"/>
    <w:rsid w:val="00695A39"/>
    <w:rsid w:val="00696660"/>
    <w:rsid w:val="00697409"/>
    <w:rsid w:val="00697990"/>
    <w:rsid w:val="00697FCB"/>
    <w:rsid w:val="006A35CE"/>
    <w:rsid w:val="006A6566"/>
    <w:rsid w:val="006B1B23"/>
    <w:rsid w:val="006B39B4"/>
    <w:rsid w:val="006B453A"/>
    <w:rsid w:val="006B636A"/>
    <w:rsid w:val="006C0293"/>
    <w:rsid w:val="006C3B90"/>
    <w:rsid w:val="006C45BF"/>
    <w:rsid w:val="006E0DD8"/>
    <w:rsid w:val="006E181F"/>
    <w:rsid w:val="006E4DFA"/>
    <w:rsid w:val="006F1F6E"/>
    <w:rsid w:val="006F5358"/>
    <w:rsid w:val="00717E01"/>
    <w:rsid w:val="007205A9"/>
    <w:rsid w:val="00725DA2"/>
    <w:rsid w:val="007325E0"/>
    <w:rsid w:val="0073405E"/>
    <w:rsid w:val="007343EA"/>
    <w:rsid w:val="007353FC"/>
    <w:rsid w:val="00735896"/>
    <w:rsid w:val="00735FBC"/>
    <w:rsid w:val="00740CBB"/>
    <w:rsid w:val="0074699B"/>
    <w:rsid w:val="00747C12"/>
    <w:rsid w:val="00753D63"/>
    <w:rsid w:val="00753E2E"/>
    <w:rsid w:val="007564EC"/>
    <w:rsid w:val="00756564"/>
    <w:rsid w:val="00757877"/>
    <w:rsid w:val="0076179A"/>
    <w:rsid w:val="007635BD"/>
    <w:rsid w:val="00770395"/>
    <w:rsid w:val="00770642"/>
    <w:rsid w:val="0077151B"/>
    <w:rsid w:val="0077525E"/>
    <w:rsid w:val="00777313"/>
    <w:rsid w:val="00780858"/>
    <w:rsid w:val="00782C76"/>
    <w:rsid w:val="0078520E"/>
    <w:rsid w:val="00786B5A"/>
    <w:rsid w:val="00787F84"/>
    <w:rsid w:val="00791FCC"/>
    <w:rsid w:val="00794052"/>
    <w:rsid w:val="00797329"/>
    <w:rsid w:val="007A0407"/>
    <w:rsid w:val="007A0E96"/>
    <w:rsid w:val="007A6FED"/>
    <w:rsid w:val="007B4016"/>
    <w:rsid w:val="007B43AA"/>
    <w:rsid w:val="007B4D4D"/>
    <w:rsid w:val="007B61C0"/>
    <w:rsid w:val="007B6C56"/>
    <w:rsid w:val="007C1DAD"/>
    <w:rsid w:val="007C4E7E"/>
    <w:rsid w:val="007C697F"/>
    <w:rsid w:val="007C7612"/>
    <w:rsid w:val="007D0EEF"/>
    <w:rsid w:val="007D4E67"/>
    <w:rsid w:val="007E63AA"/>
    <w:rsid w:val="007F625B"/>
    <w:rsid w:val="00804A56"/>
    <w:rsid w:val="00810B2C"/>
    <w:rsid w:val="008144C2"/>
    <w:rsid w:val="008164CC"/>
    <w:rsid w:val="00821623"/>
    <w:rsid w:val="008260CC"/>
    <w:rsid w:val="0082788F"/>
    <w:rsid w:val="008311BB"/>
    <w:rsid w:val="00833BEB"/>
    <w:rsid w:val="008378B9"/>
    <w:rsid w:val="00842824"/>
    <w:rsid w:val="00842849"/>
    <w:rsid w:val="00844CB9"/>
    <w:rsid w:val="00845632"/>
    <w:rsid w:val="0085018B"/>
    <w:rsid w:val="0085181F"/>
    <w:rsid w:val="00852F23"/>
    <w:rsid w:val="00860682"/>
    <w:rsid w:val="008606D3"/>
    <w:rsid w:val="00860AFD"/>
    <w:rsid w:val="0086148B"/>
    <w:rsid w:val="008622A8"/>
    <w:rsid w:val="00865049"/>
    <w:rsid w:val="0087329A"/>
    <w:rsid w:val="00873D17"/>
    <w:rsid w:val="00881FBC"/>
    <w:rsid w:val="00884290"/>
    <w:rsid w:val="008850EF"/>
    <w:rsid w:val="00885332"/>
    <w:rsid w:val="00886F49"/>
    <w:rsid w:val="008870B8"/>
    <w:rsid w:val="00891C61"/>
    <w:rsid w:val="008A0E96"/>
    <w:rsid w:val="008A26A9"/>
    <w:rsid w:val="008A3814"/>
    <w:rsid w:val="008A5B86"/>
    <w:rsid w:val="008A64AC"/>
    <w:rsid w:val="008A6839"/>
    <w:rsid w:val="008A736F"/>
    <w:rsid w:val="008B155C"/>
    <w:rsid w:val="008B38FC"/>
    <w:rsid w:val="008B3EEE"/>
    <w:rsid w:val="008B62E8"/>
    <w:rsid w:val="008B7CC1"/>
    <w:rsid w:val="008C5316"/>
    <w:rsid w:val="008C7399"/>
    <w:rsid w:val="008D1049"/>
    <w:rsid w:val="008D265B"/>
    <w:rsid w:val="008D298C"/>
    <w:rsid w:val="008D2A3D"/>
    <w:rsid w:val="008E06C2"/>
    <w:rsid w:val="008E1F31"/>
    <w:rsid w:val="008E5343"/>
    <w:rsid w:val="008E58ED"/>
    <w:rsid w:val="008E711C"/>
    <w:rsid w:val="008F204A"/>
    <w:rsid w:val="008F398C"/>
    <w:rsid w:val="008F39FC"/>
    <w:rsid w:val="008F44D2"/>
    <w:rsid w:val="008F6093"/>
    <w:rsid w:val="008F6F3E"/>
    <w:rsid w:val="00902935"/>
    <w:rsid w:val="00903A5B"/>
    <w:rsid w:val="00903C4F"/>
    <w:rsid w:val="009043AC"/>
    <w:rsid w:val="00905398"/>
    <w:rsid w:val="00905E0A"/>
    <w:rsid w:val="0091162F"/>
    <w:rsid w:val="00912A3C"/>
    <w:rsid w:val="00913C42"/>
    <w:rsid w:val="00916AD7"/>
    <w:rsid w:val="00921429"/>
    <w:rsid w:val="00923A45"/>
    <w:rsid w:val="00923EFF"/>
    <w:rsid w:val="009264DB"/>
    <w:rsid w:val="00926721"/>
    <w:rsid w:val="00927574"/>
    <w:rsid w:val="009275D5"/>
    <w:rsid w:val="009340FC"/>
    <w:rsid w:val="00940FA5"/>
    <w:rsid w:val="00941073"/>
    <w:rsid w:val="00944978"/>
    <w:rsid w:val="00945F96"/>
    <w:rsid w:val="00946254"/>
    <w:rsid w:val="009543F4"/>
    <w:rsid w:val="00956B01"/>
    <w:rsid w:val="00956B59"/>
    <w:rsid w:val="00957F00"/>
    <w:rsid w:val="0096212E"/>
    <w:rsid w:val="009666D5"/>
    <w:rsid w:val="0097654C"/>
    <w:rsid w:val="00976E71"/>
    <w:rsid w:val="00980128"/>
    <w:rsid w:val="00984743"/>
    <w:rsid w:val="009875F1"/>
    <w:rsid w:val="00987D1B"/>
    <w:rsid w:val="0099371D"/>
    <w:rsid w:val="009968C6"/>
    <w:rsid w:val="00997ADD"/>
    <w:rsid w:val="009A014F"/>
    <w:rsid w:val="009A372B"/>
    <w:rsid w:val="009A3B5A"/>
    <w:rsid w:val="009A494C"/>
    <w:rsid w:val="009B21CA"/>
    <w:rsid w:val="009B4239"/>
    <w:rsid w:val="009B49C8"/>
    <w:rsid w:val="009B6D15"/>
    <w:rsid w:val="009B78CB"/>
    <w:rsid w:val="009C0626"/>
    <w:rsid w:val="009C1255"/>
    <w:rsid w:val="009C4EE6"/>
    <w:rsid w:val="009C5AEA"/>
    <w:rsid w:val="009C7439"/>
    <w:rsid w:val="009C7549"/>
    <w:rsid w:val="009D1AAE"/>
    <w:rsid w:val="009D2E59"/>
    <w:rsid w:val="009E787B"/>
    <w:rsid w:val="009F160C"/>
    <w:rsid w:val="009F2CA0"/>
    <w:rsid w:val="009F5733"/>
    <w:rsid w:val="009F7B05"/>
    <w:rsid w:val="009F7F42"/>
    <w:rsid w:val="00A015CA"/>
    <w:rsid w:val="00A04955"/>
    <w:rsid w:val="00A04FED"/>
    <w:rsid w:val="00A0503D"/>
    <w:rsid w:val="00A06A34"/>
    <w:rsid w:val="00A22C5C"/>
    <w:rsid w:val="00A23B11"/>
    <w:rsid w:val="00A26A27"/>
    <w:rsid w:val="00A3383C"/>
    <w:rsid w:val="00A35B7C"/>
    <w:rsid w:val="00A37A7F"/>
    <w:rsid w:val="00A40407"/>
    <w:rsid w:val="00A42000"/>
    <w:rsid w:val="00A442B9"/>
    <w:rsid w:val="00A453CC"/>
    <w:rsid w:val="00A502A9"/>
    <w:rsid w:val="00A5200B"/>
    <w:rsid w:val="00A52920"/>
    <w:rsid w:val="00A56550"/>
    <w:rsid w:val="00A60DEF"/>
    <w:rsid w:val="00A6378D"/>
    <w:rsid w:val="00A67938"/>
    <w:rsid w:val="00A70AA8"/>
    <w:rsid w:val="00A715AD"/>
    <w:rsid w:val="00A73DB4"/>
    <w:rsid w:val="00A75453"/>
    <w:rsid w:val="00A7552C"/>
    <w:rsid w:val="00A825F8"/>
    <w:rsid w:val="00A82AFC"/>
    <w:rsid w:val="00A82DE4"/>
    <w:rsid w:val="00A8431F"/>
    <w:rsid w:val="00A87D9E"/>
    <w:rsid w:val="00A87E64"/>
    <w:rsid w:val="00A9575F"/>
    <w:rsid w:val="00AA0247"/>
    <w:rsid w:val="00AA1632"/>
    <w:rsid w:val="00AA2EEE"/>
    <w:rsid w:val="00AA51B4"/>
    <w:rsid w:val="00AA5737"/>
    <w:rsid w:val="00AB0F3C"/>
    <w:rsid w:val="00AB4972"/>
    <w:rsid w:val="00AC2CFB"/>
    <w:rsid w:val="00AC4362"/>
    <w:rsid w:val="00AC5766"/>
    <w:rsid w:val="00AD06FC"/>
    <w:rsid w:val="00AD2C6A"/>
    <w:rsid w:val="00AD3960"/>
    <w:rsid w:val="00AD5175"/>
    <w:rsid w:val="00AD55FA"/>
    <w:rsid w:val="00AE2179"/>
    <w:rsid w:val="00AE61B6"/>
    <w:rsid w:val="00AE7E5F"/>
    <w:rsid w:val="00AF0240"/>
    <w:rsid w:val="00B00849"/>
    <w:rsid w:val="00B053B8"/>
    <w:rsid w:val="00B063EB"/>
    <w:rsid w:val="00B1250B"/>
    <w:rsid w:val="00B16A2D"/>
    <w:rsid w:val="00B17E70"/>
    <w:rsid w:val="00B20E2D"/>
    <w:rsid w:val="00B21A2F"/>
    <w:rsid w:val="00B21C9A"/>
    <w:rsid w:val="00B2492B"/>
    <w:rsid w:val="00B30A0C"/>
    <w:rsid w:val="00B355A4"/>
    <w:rsid w:val="00B40475"/>
    <w:rsid w:val="00B40EF6"/>
    <w:rsid w:val="00B410A2"/>
    <w:rsid w:val="00B43DC2"/>
    <w:rsid w:val="00B45580"/>
    <w:rsid w:val="00B457A4"/>
    <w:rsid w:val="00B536C3"/>
    <w:rsid w:val="00B536C9"/>
    <w:rsid w:val="00B53FFD"/>
    <w:rsid w:val="00B63F0D"/>
    <w:rsid w:val="00B652EB"/>
    <w:rsid w:val="00B7090D"/>
    <w:rsid w:val="00B75AD9"/>
    <w:rsid w:val="00B80238"/>
    <w:rsid w:val="00B83171"/>
    <w:rsid w:val="00B86A95"/>
    <w:rsid w:val="00B90F7E"/>
    <w:rsid w:val="00B92338"/>
    <w:rsid w:val="00B9748C"/>
    <w:rsid w:val="00BA1442"/>
    <w:rsid w:val="00BA2A89"/>
    <w:rsid w:val="00BA2EEC"/>
    <w:rsid w:val="00BA2F6B"/>
    <w:rsid w:val="00BA2F78"/>
    <w:rsid w:val="00BA3D0B"/>
    <w:rsid w:val="00BA4EE2"/>
    <w:rsid w:val="00BA595E"/>
    <w:rsid w:val="00BA65F9"/>
    <w:rsid w:val="00BA71FF"/>
    <w:rsid w:val="00BC050B"/>
    <w:rsid w:val="00BC0EE1"/>
    <w:rsid w:val="00BC1FBA"/>
    <w:rsid w:val="00BC2934"/>
    <w:rsid w:val="00BC4618"/>
    <w:rsid w:val="00BC5006"/>
    <w:rsid w:val="00BC5009"/>
    <w:rsid w:val="00BC76A2"/>
    <w:rsid w:val="00BD0261"/>
    <w:rsid w:val="00BD1A01"/>
    <w:rsid w:val="00BD21C7"/>
    <w:rsid w:val="00BD31AE"/>
    <w:rsid w:val="00BD608D"/>
    <w:rsid w:val="00BD6BF2"/>
    <w:rsid w:val="00BE13C7"/>
    <w:rsid w:val="00BE265D"/>
    <w:rsid w:val="00BE48D7"/>
    <w:rsid w:val="00BE49D5"/>
    <w:rsid w:val="00BF0517"/>
    <w:rsid w:val="00BF4A4D"/>
    <w:rsid w:val="00BF4FF0"/>
    <w:rsid w:val="00BF6B6F"/>
    <w:rsid w:val="00C001DE"/>
    <w:rsid w:val="00C015C4"/>
    <w:rsid w:val="00C05B3E"/>
    <w:rsid w:val="00C21607"/>
    <w:rsid w:val="00C24D70"/>
    <w:rsid w:val="00C25CB6"/>
    <w:rsid w:val="00C3091B"/>
    <w:rsid w:val="00C323DF"/>
    <w:rsid w:val="00C348BD"/>
    <w:rsid w:val="00C37DE4"/>
    <w:rsid w:val="00C417F0"/>
    <w:rsid w:val="00C4306A"/>
    <w:rsid w:val="00C4351E"/>
    <w:rsid w:val="00C445FE"/>
    <w:rsid w:val="00C4460F"/>
    <w:rsid w:val="00C44EF1"/>
    <w:rsid w:val="00C47368"/>
    <w:rsid w:val="00C54D39"/>
    <w:rsid w:val="00C56690"/>
    <w:rsid w:val="00C62F19"/>
    <w:rsid w:val="00C64C0A"/>
    <w:rsid w:val="00C65993"/>
    <w:rsid w:val="00C659A9"/>
    <w:rsid w:val="00C7033F"/>
    <w:rsid w:val="00C7220E"/>
    <w:rsid w:val="00C75CE9"/>
    <w:rsid w:val="00C7698F"/>
    <w:rsid w:val="00C775F1"/>
    <w:rsid w:val="00C831D1"/>
    <w:rsid w:val="00C9207A"/>
    <w:rsid w:val="00C93675"/>
    <w:rsid w:val="00CA097F"/>
    <w:rsid w:val="00CA4588"/>
    <w:rsid w:val="00CA62CA"/>
    <w:rsid w:val="00CA6C98"/>
    <w:rsid w:val="00CB0C49"/>
    <w:rsid w:val="00CB178B"/>
    <w:rsid w:val="00CB2450"/>
    <w:rsid w:val="00CB2478"/>
    <w:rsid w:val="00CB759E"/>
    <w:rsid w:val="00CB7842"/>
    <w:rsid w:val="00CC50AB"/>
    <w:rsid w:val="00CC53CD"/>
    <w:rsid w:val="00CC544A"/>
    <w:rsid w:val="00CC6B1C"/>
    <w:rsid w:val="00CD1368"/>
    <w:rsid w:val="00CD6CC8"/>
    <w:rsid w:val="00CD6FE2"/>
    <w:rsid w:val="00CD6FFE"/>
    <w:rsid w:val="00CE10BA"/>
    <w:rsid w:val="00CE4206"/>
    <w:rsid w:val="00CF0356"/>
    <w:rsid w:val="00CF1207"/>
    <w:rsid w:val="00CF2A4A"/>
    <w:rsid w:val="00CF3CD7"/>
    <w:rsid w:val="00CF4ACC"/>
    <w:rsid w:val="00CF6BA7"/>
    <w:rsid w:val="00D01E28"/>
    <w:rsid w:val="00D01F7D"/>
    <w:rsid w:val="00D1086D"/>
    <w:rsid w:val="00D11FA3"/>
    <w:rsid w:val="00D11FF4"/>
    <w:rsid w:val="00D14022"/>
    <w:rsid w:val="00D1696D"/>
    <w:rsid w:val="00D16C2C"/>
    <w:rsid w:val="00D22AB5"/>
    <w:rsid w:val="00D23058"/>
    <w:rsid w:val="00D23489"/>
    <w:rsid w:val="00D2516D"/>
    <w:rsid w:val="00D265AF"/>
    <w:rsid w:val="00D26877"/>
    <w:rsid w:val="00D30356"/>
    <w:rsid w:val="00D30C99"/>
    <w:rsid w:val="00D31547"/>
    <w:rsid w:val="00D36A44"/>
    <w:rsid w:val="00D403B8"/>
    <w:rsid w:val="00D40715"/>
    <w:rsid w:val="00D410B1"/>
    <w:rsid w:val="00D50466"/>
    <w:rsid w:val="00D528AA"/>
    <w:rsid w:val="00D567D3"/>
    <w:rsid w:val="00D60288"/>
    <w:rsid w:val="00D60CE0"/>
    <w:rsid w:val="00D63113"/>
    <w:rsid w:val="00D651DE"/>
    <w:rsid w:val="00D70292"/>
    <w:rsid w:val="00D71624"/>
    <w:rsid w:val="00D76A85"/>
    <w:rsid w:val="00D818F6"/>
    <w:rsid w:val="00D842BA"/>
    <w:rsid w:val="00D84AAE"/>
    <w:rsid w:val="00D85CC6"/>
    <w:rsid w:val="00D929EC"/>
    <w:rsid w:val="00DA07C5"/>
    <w:rsid w:val="00DA11FB"/>
    <w:rsid w:val="00DA1752"/>
    <w:rsid w:val="00DA35C4"/>
    <w:rsid w:val="00DA3ADB"/>
    <w:rsid w:val="00DA7CF1"/>
    <w:rsid w:val="00DB3EEE"/>
    <w:rsid w:val="00DB61D4"/>
    <w:rsid w:val="00DB79A5"/>
    <w:rsid w:val="00DB7F1B"/>
    <w:rsid w:val="00DC0581"/>
    <w:rsid w:val="00DC44FF"/>
    <w:rsid w:val="00DC4C3C"/>
    <w:rsid w:val="00DC778B"/>
    <w:rsid w:val="00DD085E"/>
    <w:rsid w:val="00DD4844"/>
    <w:rsid w:val="00DD6707"/>
    <w:rsid w:val="00DD7A9F"/>
    <w:rsid w:val="00DE0C28"/>
    <w:rsid w:val="00DE2EB4"/>
    <w:rsid w:val="00DE3EB5"/>
    <w:rsid w:val="00DE59A4"/>
    <w:rsid w:val="00DF78FE"/>
    <w:rsid w:val="00DF7F31"/>
    <w:rsid w:val="00E0052A"/>
    <w:rsid w:val="00E00972"/>
    <w:rsid w:val="00E06A2F"/>
    <w:rsid w:val="00E07AFD"/>
    <w:rsid w:val="00E11E92"/>
    <w:rsid w:val="00E160D2"/>
    <w:rsid w:val="00E20C2F"/>
    <w:rsid w:val="00E20D11"/>
    <w:rsid w:val="00E23F58"/>
    <w:rsid w:val="00E24F80"/>
    <w:rsid w:val="00E257AD"/>
    <w:rsid w:val="00E261FA"/>
    <w:rsid w:val="00E275B0"/>
    <w:rsid w:val="00E3121B"/>
    <w:rsid w:val="00E3420D"/>
    <w:rsid w:val="00E35343"/>
    <w:rsid w:val="00E3701A"/>
    <w:rsid w:val="00E4385E"/>
    <w:rsid w:val="00E44730"/>
    <w:rsid w:val="00E4502C"/>
    <w:rsid w:val="00E46567"/>
    <w:rsid w:val="00E51A45"/>
    <w:rsid w:val="00E52ED6"/>
    <w:rsid w:val="00E54244"/>
    <w:rsid w:val="00E56E99"/>
    <w:rsid w:val="00E5740D"/>
    <w:rsid w:val="00E5774B"/>
    <w:rsid w:val="00E60A24"/>
    <w:rsid w:val="00E636ED"/>
    <w:rsid w:val="00E65382"/>
    <w:rsid w:val="00E70850"/>
    <w:rsid w:val="00E72B22"/>
    <w:rsid w:val="00E73DEA"/>
    <w:rsid w:val="00E76421"/>
    <w:rsid w:val="00E82FAE"/>
    <w:rsid w:val="00E83E29"/>
    <w:rsid w:val="00E84219"/>
    <w:rsid w:val="00E91F9C"/>
    <w:rsid w:val="00E94749"/>
    <w:rsid w:val="00E94A49"/>
    <w:rsid w:val="00E94D48"/>
    <w:rsid w:val="00EA39C0"/>
    <w:rsid w:val="00EA6D60"/>
    <w:rsid w:val="00EB29AE"/>
    <w:rsid w:val="00EB3755"/>
    <w:rsid w:val="00EB3E19"/>
    <w:rsid w:val="00EB6269"/>
    <w:rsid w:val="00EC608E"/>
    <w:rsid w:val="00ED5A75"/>
    <w:rsid w:val="00ED60B9"/>
    <w:rsid w:val="00EE1255"/>
    <w:rsid w:val="00EE3D91"/>
    <w:rsid w:val="00EE3E72"/>
    <w:rsid w:val="00EE549E"/>
    <w:rsid w:val="00EE5B69"/>
    <w:rsid w:val="00EE62E5"/>
    <w:rsid w:val="00EE7B34"/>
    <w:rsid w:val="00EF157B"/>
    <w:rsid w:val="00EF1BEE"/>
    <w:rsid w:val="00F02332"/>
    <w:rsid w:val="00F03FA9"/>
    <w:rsid w:val="00F04FB5"/>
    <w:rsid w:val="00F065BA"/>
    <w:rsid w:val="00F0760A"/>
    <w:rsid w:val="00F101C3"/>
    <w:rsid w:val="00F11C3F"/>
    <w:rsid w:val="00F13205"/>
    <w:rsid w:val="00F2558A"/>
    <w:rsid w:val="00F25898"/>
    <w:rsid w:val="00F31F9F"/>
    <w:rsid w:val="00F3212A"/>
    <w:rsid w:val="00F33D17"/>
    <w:rsid w:val="00F40850"/>
    <w:rsid w:val="00F42629"/>
    <w:rsid w:val="00F452D7"/>
    <w:rsid w:val="00F50FCF"/>
    <w:rsid w:val="00F518BA"/>
    <w:rsid w:val="00F5235F"/>
    <w:rsid w:val="00F53A58"/>
    <w:rsid w:val="00F54652"/>
    <w:rsid w:val="00F5646A"/>
    <w:rsid w:val="00F566DE"/>
    <w:rsid w:val="00F622B2"/>
    <w:rsid w:val="00F63709"/>
    <w:rsid w:val="00F6515D"/>
    <w:rsid w:val="00F727CF"/>
    <w:rsid w:val="00F740D8"/>
    <w:rsid w:val="00F8075C"/>
    <w:rsid w:val="00F80949"/>
    <w:rsid w:val="00F81975"/>
    <w:rsid w:val="00F9069A"/>
    <w:rsid w:val="00F92ABD"/>
    <w:rsid w:val="00F9394F"/>
    <w:rsid w:val="00FA095E"/>
    <w:rsid w:val="00FA25BA"/>
    <w:rsid w:val="00FA2E7C"/>
    <w:rsid w:val="00FA48AD"/>
    <w:rsid w:val="00FA5F95"/>
    <w:rsid w:val="00FC4903"/>
    <w:rsid w:val="00FC53F2"/>
    <w:rsid w:val="00FD0B93"/>
    <w:rsid w:val="00FD2AE3"/>
    <w:rsid w:val="00FD4E96"/>
    <w:rsid w:val="00FD66B7"/>
    <w:rsid w:val="00FE1E04"/>
    <w:rsid w:val="00FE521E"/>
    <w:rsid w:val="00FE573C"/>
    <w:rsid w:val="00FF34B1"/>
    <w:rsid w:val="00FF4E90"/>
    <w:rsid w:val="00FF5A5F"/>
    <w:rsid w:val="00FF712D"/>
    <w:rsid w:val="00FF7A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0" w:qFormat="1"/>
    <w:lsdException w:name="heading 5" w:semiHidden="0" w:uiPriority="0" w:unhideWhenUsed="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39" w:unhideWhenUsed="0"/>
    <w:lsdException w:name="toc 2" w:semiHidden="0" w:uiPriority="39"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semiHidden="0" w:uiPriority="0" w:unhideWhenUsed="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1B83"/>
    <w:rPr>
      <w:sz w:val="24"/>
      <w:szCs w:val="24"/>
    </w:rPr>
  </w:style>
  <w:style w:type="paragraph" w:styleId="Heading1">
    <w:name w:val="heading 1"/>
    <w:basedOn w:val="Normal"/>
    <w:next w:val="Normal"/>
    <w:link w:val="Heading1Char"/>
    <w:uiPriority w:val="99"/>
    <w:qFormat/>
    <w:rsid w:val="00491DAC"/>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491DAC"/>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491DAC"/>
    <w:pPr>
      <w:keepNext/>
      <w:spacing w:before="240" w:after="60"/>
      <w:outlineLvl w:val="2"/>
    </w:pPr>
    <w:rPr>
      <w:rFonts w:ascii="Cambria" w:hAnsi="Cambria"/>
      <w:b/>
      <w:bCs/>
      <w:sz w:val="26"/>
      <w:szCs w:val="26"/>
    </w:rPr>
  </w:style>
  <w:style w:type="paragraph" w:styleId="Heading5">
    <w:name w:val="heading 5"/>
    <w:basedOn w:val="Normal"/>
    <w:next w:val="Normal"/>
    <w:link w:val="Heading5Char"/>
    <w:uiPriority w:val="99"/>
    <w:qFormat/>
    <w:rsid w:val="00491DAC"/>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491DAC"/>
    <w:rPr>
      <w:rFonts w:ascii="Arial" w:hAnsi="Arial" w:cs="Arial"/>
      <w:b/>
      <w:bCs/>
      <w:kern w:val="32"/>
      <w:sz w:val="32"/>
      <w:szCs w:val="32"/>
      <w:lang w:val="en-US" w:eastAsia="en-US" w:bidi="ar-SA"/>
    </w:rPr>
  </w:style>
  <w:style w:type="character" w:customStyle="1" w:styleId="Heading2Char">
    <w:name w:val="Heading 2 Char"/>
    <w:link w:val="Heading2"/>
    <w:uiPriority w:val="99"/>
    <w:locked/>
    <w:rsid w:val="00491DAC"/>
    <w:rPr>
      <w:rFonts w:ascii="Arial" w:hAnsi="Arial" w:cs="Arial"/>
      <w:b/>
      <w:bCs/>
      <w:i/>
      <w:iCs/>
      <w:sz w:val="28"/>
      <w:szCs w:val="28"/>
      <w:lang w:val="en-US" w:eastAsia="en-US" w:bidi="ar-SA"/>
    </w:rPr>
  </w:style>
  <w:style w:type="character" w:customStyle="1" w:styleId="Heading3Char">
    <w:name w:val="Heading 3 Char"/>
    <w:link w:val="Heading3"/>
    <w:uiPriority w:val="99"/>
    <w:semiHidden/>
    <w:locked/>
    <w:rsid w:val="00A35B7C"/>
    <w:rPr>
      <w:rFonts w:ascii="Cambria" w:hAnsi="Cambria" w:cs="Times New Roman"/>
      <w:b/>
      <w:bCs/>
      <w:sz w:val="26"/>
      <w:szCs w:val="26"/>
    </w:rPr>
  </w:style>
  <w:style w:type="character" w:customStyle="1" w:styleId="Heading5Char">
    <w:name w:val="Heading 5 Char"/>
    <w:link w:val="Heading5"/>
    <w:uiPriority w:val="99"/>
    <w:semiHidden/>
    <w:locked/>
    <w:rsid w:val="00A35B7C"/>
    <w:rPr>
      <w:rFonts w:ascii="Calibri" w:hAnsi="Calibri" w:cs="Times New Roman"/>
      <w:b/>
      <w:bCs/>
      <w:i/>
      <w:iCs/>
      <w:sz w:val="26"/>
      <w:szCs w:val="26"/>
    </w:rPr>
  </w:style>
  <w:style w:type="paragraph" w:styleId="BalloonText">
    <w:name w:val="Balloon Text"/>
    <w:basedOn w:val="Normal"/>
    <w:link w:val="BalloonTextChar"/>
    <w:uiPriority w:val="99"/>
    <w:semiHidden/>
    <w:rsid w:val="00491DAC"/>
    <w:rPr>
      <w:rFonts w:ascii="Tahoma" w:hAnsi="Tahoma"/>
      <w:sz w:val="16"/>
      <w:szCs w:val="16"/>
    </w:rPr>
  </w:style>
  <w:style w:type="character" w:customStyle="1" w:styleId="BalloonTextChar">
    <w:name w:val="Balloon Text Char"/>
    <w:link w:val="BalloonText"/>
    <w:uiPriority w:val="99"/>
    <w:semiHidden/>
    <w:locked/>
    <w:rsid w:val="00491DAC"/>
    <w:rPr>
      <w:rFonts w:ascii="Tahoma" w:hAnsi="Tahoma" w:cs="Tahoma"/>
      <w:sz w:val="16"/>
      <w:szCs w:val="16"/>
    </w:rPr>
  </w:style>
  <w:style w:type="paragraph" w:styleId="FootnoteText">
    <w:name w:val="footnote text"/>
    <w:basedOn w:val="Normal"/>
    <w:link w:val="FootnoteTextChar"/>
    <w:uiPriority w:val="99"/>
    <w:rsid w:val="00491DAC"/>
    <w:rPr>
      <w:sz w:val="20"/>
      <w:szCs w:val="20"/>
    </w:rPr>
  </w:style>
  <w:style w:type="character" w:customStyle="1" w:styleId="FootnoteTextChar">
    <w:name w:val="Footnote Text Char"/>
    <w:link w:val="FootnoteText"/>
    <w:uiPriority w:val="99"/>
    <w:locked/>
    <w:rsid w:val="00491DAC"/>
    <w:rPr>
      <w:rFonts w:cs="Times New Roman"/>
      <w:lang w:val="en-US" w:eastAsia="en-US" w:bidi="ar-SA"/>
    </w:rPr>
  </w:style>
  <w:style w:type="character" w:styleId="FootnoteReference">
    <w:name w:val="footnote reference"/>
    <w:uiPriority w:val="99"/>
    <w:semiHidden/>
    <w:rsid w:val="00491DAC"/>
    <w:rPr>
      <w:rFonts w:cs="Times New Roman"/>
      <w:vertAlign w:val="superscript"/>
    </w:rPr>
  </w:style>
  <w:style w:type="character" w:styleId="Hyperlink">
    <w:name w:val="Hyperlink"/>
    <w:uiPriority w:val="99"/>
    <w:rsid w:val="00491DAC"/>
    <w:rPr>
      <w:rFonts w:cs="Times New Roman"/>
      <w:color w:val="0000FF"/>
      <w:u w:val="single"/>
    </w:rPr>
  </w:style>
  <w:style w:type="paragraph" w:styleId="Footer">
    <w:name w:val="footer"/>
    <w:basedOn w:val="Normal"/>
    <w:link w:val="FooterChar"/>
    <w:uiPriority w:val="99"/>
    <w:rsid w:val="00491DAC"/>
    <w:pPr>
      <w:tabs>
        <w:tab w:val="center" w:pos="4320"/>
        <w:tab w:val="right" w:pos="8640"/>
      </w:tabs>
    </w:pPr>
  </w:style>
  <w:style w:type="character" w:customStyle="1" w:styleId="FooterChar">
    <w:name w:val="Footer Char"/>
    <w:link w:val="Footer"/>
    <w:uiPriority w:val="99"/>
    <w:locked/>
    <w:rsid w:val="00491DAC"/>
    <w:rPr>
      <w:rFonts w:cs="Times New Roman"/>
      <w:sz w:val="24"/>
      <w:szCs w:val="24"/>
    </w:rPr>
  </w:style>
  <w:style w:type="character" w:styleId="PageNumber">
    <w:name w:val="page number"/>
    <w:uiPriority w:val="99"/>
    <w:rsid w:val="00491DAC"/>
    <w:rPr>
      <w:rFonts w:cs="Times New Roman"/>
    </w:rPr>
  </w:style>
  <w:style w:type="paragraph" w:customStyle="1" w:styleId="LHPBodyText">
    <w:name w:val="LHP Body Text"/>
    <w:basedOn w:val="Normal"/>
    <w:link w:val="LHPBodyTextChar1"/>
    <w:uiPriority w:val="99"/>
    <w:rsid w:val="00491DAC"/>
    <w:pPr>
      <w:spacing w:after="240"/>
      <w:jc w:val="both"/>
    </w:pPr>
  </w:style>
  <w:style w:type="character" w:customStyle="1" w:styleId="LHPBodyTextChar1">
    <w:name w:val="LHP Body Text Char1"/>
    <w:link w:val="LHPBodyText"/>
    <w:uiPriority w:val="99"/>
    <w:locked/>
    <w:rsid w:val="00491DAC"/>
    <w:rPr>
      <w:rFonts w:cs="Times New Roman"/>
      <w:sz w:val="24"/>
      <w:szCs w:val="24"/>
      <w:lang w:val="en-US" w:eastAsia="en-US" w:bidi="ar-SA"/>
    </w:rPr>
  </w:style>
  <w:style w:type="table" w:styleId="TableGrid">
    <w:name w:val="Table Grid"/>
    <w:basedOn w:val="TableNormal"/>
    <w:rsid w:val="00491D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491DAC"/>
    <w:pPr>
      <w:tabs>
        <w:tab w:val="center" w:pos="4320"/>
        <w:tab w:val="right" w:pos="8640"/>
      </w:tabs>
    </w:pPr>
    <w:rPr>
      <w:sz w:val="20"/>
      <w:szCs w:val="20"/>
    </w:rPr>
  </w:style>
  <w:style w:type="character" w:customStyle="1" w:styleId="HeaderChar">
    <w:name w:val="Header Char"/>
    <w:link w:val="Header"/>
    <w:uiPriority w:val="99"/>
    <w:locked/>
    <w:rsid w:val="00491DAC"/>
    <w:rPr>
      <w:rFonts w:cs="Times New Roman"/>
    </w:rPr>
  </w:style>
  <w:style w:type="paragraph" w:styleId="BodyTextIndent2">
    <w:name w:val="Body Text Indent 2"/>
    <w:basedOn w:val="Normal"/>
    <w:link w:val="BodyTextIndent2Char"/>
    <w:uiPriority w:val="99"/>
    <w:rsid w:val="00491DAC"/>
    <w:pPr>
      <w:spacing w:after="120" w:line="480" w:lineRule="auto"/>
      <w:ind w:left="360"/>
    </w:pPr>
  </w:style>
  <w:style w:type="character" w:customStyle="1" w:styleId="BodyTextIndent2Char">
    <w:name w:val="Body Text Indent 2 Char"/>
    <w:link w:val="BodyTextIndent2"/>
    <w:uiPriority w:val="99"/>
    <w:semiHidden/>
    <w:locked/>
    <w:rsid w:val="00A35B7C"/>
    <w:rPr>
      <w:rFonts w:cs="Times New Roman"/>
      <w:sz w:val="24"/>
      <w:szCs w:val="24"/>
    </w:rPr>
  </w:style>
  <w:style w:type="character" w:styleId="CommentReference">
    <w:name w:val="annotation reference"/>
    <w:uiPriority w:val="99"/>
    <w:rsid w:val="00491DAC"/>
    <w:rPr>
      <w:rFonts w:cs="Times New Roman"/>
      <w:sz w:val="16"/>
      <w:szCs w:val="16"/>
    </w:rPr>
  </w:style>
  <w:style w:type="paragraph" w:styleId="CommentText">
    <w:name w:val="annotation text"/>
    <w:basedOn w:val="Normal"/>
    <w:link w:val="CommentTextChar"/>
    <w:uiPriority w:val="99"/>
    <w:semiHidden/>
    <w:rsid w:val="00491DAC"/>
    <w:rPr>
      <w:sz w:val="20"/>
      <w:szCs w:val="20"/>
    </w:rPr>
  </w:style>
  <w:style w:type="character" w:customStyle="1" w:styleId="CommentTextChar">
    <w:name w:val="Comment Text Char"/>
    <w:link w:val="CommentText"/>
    <w:uiPriority w:val="99"/>
    <w:semiHidden/>
    <w:locked/>
    <w:rsid w:val="00491DAC"/>
    <w:rPr>
      <w:rFonts w:cs="Times New Roman"/>
    </w:rPr>
  </w:style>
  <w:style w:type="paragraph" w:styleId="CommentSubject">
    <w:name w:val="annotation subject"/>
    <w:basedOn w:val="CommentText"/>
    <w:next w:val="CommentText"/>
    <w:link w:val="CommentSubjectChar"/>
    <w:uiPriority w:val="99"/>
    <w:semiHidden/>
    <w:rsid w:val="00491DAC"/>
    <w:rPr>
      <w:b/>
      <w:bCs/>
    </w:rPr>
  </w:style>
  <w:style w:type="character" w:customStyle="1" w:styleId="CommentSubjectChar">
    <w:name w:val="Comment Subject Char"/>
    <w:link w:val="CommentSubject"/>
    <w:uiPriority w:val="99"/>
    <w:semiHidden/>
    <w:locked/>
    <w:rsid w:val="00491DAC"/>
    <w:rPr>
      <w:rFonts w:cs="Times New Roman"/>
      <w:b/>
      <w:bCs/>
    </w:rPr>
  </w:style>
  <w:style w:type="paragraph" w:customStyle="1" w:styleId="Style1">
    <w:name w:val="Style1"/>
    <w:basedOn w:val="Heading1"/>
    <w:uiPriority w:val="99"/>
    <w:rsid w:val="00491DAC"/>
    <w:pPr>
      <w:numPr>
        <w:numId w:val="1"/>
      </w:numPr>
      <w:autoSpaceDE w:val="0"/>
      <w:autoSpaceDN w:val="0"/>
      <w:adjustRightInd w:val="0"/>
    </w:pPr>
    <w:rPr>
      <w:rFonts w:ascii="Times New Roman" w:hAnsi="Times New Roman"/>
      <w:b w:val="0"/>
      <w:bCs w:val="0"/>
      <w:sz w:val="28"/>
      <w:szCs w:val="28"/>
    </w:rPr>
  </w:style>
  <w:style w:type="paragraph" w:customStyle="1" w:styleId="Style2">
    <w:name w:val="Style2"/>
    <w:basedOn w:val="Heading2"/>
    <w:uiPriority w:val="99"/>
    <w:rsid w:val="00491DAC"/>
    <w:pPr>
      <w:numPr>
        <w:ilvl w:val="1"/>
        <w:numId w:val="1"/>
      </w:numPr>
      <w:autoSpaceDE w:val="0"/>
      <w:autoSpaceDN w:val="0"/>
      <w:adjustRightInd w:val="0"/>
    </w:pPr>
    <w:rPr>
      <w:rFonts w:ascii="Times New Roman" w:hAnsi="Times New Roman"/>
      <w:bCs w:val="0"/>
      <w:i w:val="0"/>
      <w:sz w:val="24"/>
    </w:rPr>
  </w:style>
  <w:style w:type="paragraph" w:customStyle="1" w:styleId="Style3">
    <w:name w:val="Style3"/>
    <w:basedOn w:val="Heading3"/>
    <w:uiPriority w:val="99"/>
    <w:rsid w:val="00491DAC"/>
    <w:pPr>
      <w:numPr>
        <w:ilvl w:val="2"/>
        <w:numId w:val="1"/>
      </w:numPr>
      <w:autoSpaceDE w:val="0"/>
      <w:autoSpaceDN w:val="0"/>
      <w:adjustRightInd w:val="0"/>
    </w:pPr>
    <w:rPr>
      <w:rFonts w:ascii="Times New Roman" w:hAnsi="Times New Roman"/>
      <w:bCs w:val="0"/>
      <w:sz w:val="24"/>
    </w:rPr>
  </w:style>
  <w:style w:type="paragraph" w:styleId="TOC1">
    <w:name w:val="toc 1"/>
    <w:basedOn w:val="Normal"/>
    <w:next w:val="Normal"/>
    <w:autoRedefine/>
    <w:uiPriority w:val="39"/>
    <w:rsid w:val="00EE3E72"/>
    <w:pPr>
      <w:tabs>
        <w:tab w:val="left" w:pos="360"/>
        <w:tab w:val="right" w:leader="dot" w:pos="9350"/>
      </w:tabs>
      <w:ind w:left="360" w:hanging="360"/>
    </w:pPr>
  </w:style>
  <w:style w:type="paragraph" w:styleId="TOC2">
    <w:name w:val="toc 2"/>
    <w:basedOn w:val="Normal"/>
    <w:next w:val="Normal"/>
    <w:autoRedefine/>
    <w:uiPriority w:val="39"/>
    <w:rsid w:val="00694780"/>
    <w:pPr>
      <w:tabs>
        <w:tab w:val="left" w:pos="900"/>
        <w:tab w:val="right" w:leader="dot" w:pos="9350"/>
      </w:tabs>
      <w:ind w:left="810" w:hanging="450"/>
    </w:pPr>
  </w:style>
  <w:style w:type="paragraph" w:styleId="TOC3">
    <w:name w:val="toc 3"/>
    <w:basedOn w:val="Normal"/>
    <w:next w:val="Normal"/>
    <w:autoRedefine/>
    <w:uiPriority w:val="99"/>
    <w:semiHidden/>
    <w:rsid w:val="00491DAC"/>
    <w:pPr>
      <w:tabs>
        <w:tab w:val="left" w:pos="960"/>
        <w:tab w:val="right" w:leader="dot" w:pos="9350"/>
      </w:tabs>
      <w:ind w:left="960" w:hanging="510"/>
    </w:pPr>
  </w:style>
  <w:style w:type="character" w:styleId="Strong">
    <w:name w:val="Strong"/>
    <w:uiPriority w:val="99"/>
    <w:qFormat/>
    <w:rsid w:val="00491DAC"/>
    <w:rPr>
      <w:rFonts w:cs="Times New Roman"/>
      <w:b/>
      <w:bCs/>
    </w:rPr>
  </w:style>
  <w:style w:type="paragraph" w:styleId="PlainText">
    <w:name w:val="Plain Text"/>
    <w:basedOn w:val="Normal"/>
    <w:link w:val="PlainTextChar"/>
    <w:uiPriority w:val="99"/>
    <w:rsid w:val="00491DAC"/>
    <w:pPr>
      <w:spacing w:before="100" w:beforeAutospacing="1" w:after="100" w:afterAutospacing="1"/>
    </w:pPr>
  </w:style>
  <w:style w:type="character" w:customStyle="1" w:styleId="PlainTextChar">
    <w:name w:val="Plain Text Char"/>
    <w:link w:val="PlainText"/>
    <w:uiPriority w:val="99"/>
    <w:locked/>
    <w:rsid w:val="00491DAC"/>
    <w:rPr>
      <w:rFonts w:cs="Times New Roman"/>
      <w:sz w:val="24"/>
      <w:szCs w:val="24"/>
    </w:rPr>
  </w:style>
  <w:style w:type="paragraph" w:styleId="BodyText2">
    <w:name w:val="Body Text 2"/>
    <w:basedOn w:val="Normal"/>
    <w:link w:val="BodyText2Char"/>
    <w:uiPriority w:val="99"/>
    <w:rsid w:val="00491DAC"/>
    <w:pPr>
      <w:spacing w:after="120" w:line="480" w:lineRule="auto"/>
    </w:pPr>
  </w:style>
  <w:style w:type="character" w:customStyle="1" w:styleId="BodyText2Char">
    <w:name w:val="Body Text 2 Char"/>
    <w:link w:val="BodyText2"/>
    <w:uiPriority w:val="99"/>
    <w:semiHidden/>
    <w:locked/>
    <w:rsid w:val="00A35B7C"/>
    <w:rPr>
      <w:rFonts w:cs="Times New Roman"/>
      <w:sz w:val="24"/>
      <w:szCs w:val="24"/>
    </w:rPr>
  </w:style>
  <w:style w:type="paragraph" w:styleId="BodyTextIndent">
    <w:name w:val="Body Text Indent"/>
    <w:basedOn w:val="Normal"/>
    <w:link w:val="BodyTextIndentChar"/>
    <w:uiPriority w:val="99"/>
    <w:rsid w:val="00491DAC"/>
    <w:pPr>
      <w:spacing w:after="120"/>
      <w:ind w:left="360"/>
    </w:pPr>
  </w:style>
  <w:style w:type="character" w:customStyle="1" w:styleId="BodyTextIndentChar">
    <w:name w:val="Body Text Indent Char"/>
    <w:link w:val="BodyTextIndent"/>
    <w:uiPriority w:val="99"/>
    <w:semiHidden/>
    <w:locked/>
    <w:rsid w:val="00A35B7C"/>
    <w:rPr>
      <w:rFonts w:cs="Times New Roman"/>
      <w:sz w:val="24"/>
      <w:szCs w:val="24"/>
    </w:rPr>
  </w:style>
  <w:style w:type="paragraph" w:styleId="Title">
    <w:name w:val="Title"/>
    <w:basedOn w:val="Normal"/>
    <w:link w:val="TitleChar"/>
    <w:uiPriority w:val="99"/>
    <w:qFormat/>
    <w:rsid w:val="00491DAC"/>
    <w:pPr>
      <w:jc w:val="center"/>
    </w:pPr>
    <w:rPr>
      <w:rFonts w:ascii="Cambria" w:hAnsi="Cambria"/>
      <w:b/>
      <w:bCs/>
      <w:kern w:val="28"/>
      <w:sz w:val="32"/>
      <w:szCs w:val="32"/>
    </w:rPr>
  </w:style>
  <w:style w:type="character" w:customStyle="1" w:styleId="TitleChar">
    <w:name w:val="Title Char"/>
    <w:link w:val="Title"/>
    <w:uiPriority w:val="99"/>
    <w:locked/>
    <w:rsid w:val="00A35B7C"/>
    <w:rPr>
      <w:rFonts w:ascii="Cambria" w:hAnsi="Cambria" w:cs="Times New Roman"/>
      <w:b/>
      <w:bCs/>
      <w:kern w:val="28"/>
      <w:sz w:val="32"/>
      <w:szCs w:val="32"/>
    </w:rPr>
  </w:style>
  <w:style w:type="paragraph" w:customStyle="1" w:styleId="ParagraphLAST">
    <w:name w:val="Paragraph (LAST)"/>
    <w:basedOn w:val="Normal"/>
    <w:next w:val="Normal"/>
    <w:uiPriority w:val="99"/>
    <w:rsid w:val="00491DAC"/>
    <w:pPr>
      <w:tabs>
        <w:tab w:val="left" w:pos="432"/>
      </w:tabs>
      <w:spacing w:after="240" w:line="480" w:lineRule="auto"/>
      <w:ind w:firstLine="432"/>
      <w:jc w:val="both"/>
    </w:pPr>
    <w:rPr>
      <w:szCs w:val="20"/>
    </w:rPr>
  </w:style>
  <w:style w:type="character" w:styleId="HTMLCite">
    <w:name w:val="HTML Cite"/>
    <w:uiPriority w:val="99"/>
    <w:rsid w:val="00491DAC"/>
    <w:rPr>
      <w:rFonts w:cs="Times New Roman"/>
      <w:i/>
      <w:iCs/>
    </w:rPr>
  </w:style>
  <w:style w:type="paragraph" w:customStyle="1" w:styleId="Reference">
    <w:name w:val="Reference"/>
    <w:uiPriority w:val="99"/>
    <w:rsid w:val="00491DAC"/>
    <w:pPr>
      <w:ind w:left="360" w:hanging="360"/>
      <w:jc w:val="both"/>
    </w:pPr>
    <w:rPr>
      <w:rFonts w:ascii="Garamond" w:hAnsi="Garamond"/>
      <w:sz w:val="22"/>
      <w:szCs w:val="24"/>
    </w:rPr>
  </w:style>
  <w:style w:type="paragraph" w:styleId="BodyText">
    <w:name w:val="Body Text"/>
    <w:basedOn w:val="Normal"/>
    <w:link w:val="BodyTextChar"/>
    <w:uiPriority w:val="99"/>
    <w:rsid w:val="00491DAC"/>
    <w:pPr>
      <w:widowControl w:val="0"/>
      <w:tabs>
        <w:tab w:val="left" w:pos="720"/>
        <w:tab w:val="left" w:pos="1440"/>
        <w:tab w:val="left" w:pos="2160"/>
        <w:tab w:val="right" w:pos="9360"/>
      </w:tabs>
    </w:pPr>
    <w:rPr>
      <w:snapToGrid w:val="0"/>
      <w:sz w:val="20"/>
      <w:szCs w:val="20"/>
    </w:rPr>
  </w:style>
  <w:style w:type="character" w:customStyle="1" w:styleId="BodyTextChar">
    <w:name w:val="Body Text Char"/>
    <w:link w:val="BodyText"/>
    <w:uiPriority w:val="99"/>
    <w:locked/>
    <w:rsid w:val="00491DAC"/>
    <w:rPr>
      <w:rFonts w:cs="Times New Roman"/>
      <w:snapToGrid w:val="0"/>
    </w:rPr>
  </w:style>
  <w:style w:type="paragraph" w:customStyle="1" w:styleId="a-row">
    <w:name w:val="a-row"/>
    <w:basedOn w:val="Normal"/>
    <w:uiPriority w:val="99"/>
    <w:rsid w:val="00491DAC"/>
    <w:pPr>
      <w:numPr>
        <w:numId w:val="2"/>
      </w:numPr>
      <w:tabs>
        <w:tab w:val="left" w:pos="1080"/>
        <w:tab w:val="left" w:pos="1440"/>
        <w:tab w:val="left" w:pos="1800"/>
        <w:tab w:val="right" w:pos="10800"/>
      </w:tabs>
      <w:spacing w:before="40" w:after="40"/>
    </w:pPr>
    <w:rPr>
      <w:sz w:val="20"/>
      <w:szCs w:val="22"/>
    </w:rPr>
  </w:style>
  <w:style w:type="paragraph" w:customStyle="1" w:styleId="1-question">
    <w:name w:val="1-question"/>
    <w:basedOn w:val="Normal"/>
    <w:uiPriority w:val="99"/>
    <w:rsid w:val="00491DAC"/>
    <w:pPr>
      <w:numPr>
        <w:numId w:val="4"/>
      </w:numPr>
      <w:tabs>
        <w:tab w:val="left" w:pos="1440"/>
        <w:tab w:val="left" w:pos="1800"/>
      </w:tabs>
      <w:spacing w:after="240"/>
    </w:pPr>
    <w:rPr>
      <w:sz w:val="20"/>
      <w:szCs w:val="22"/>
    </w:rPr>
  </w:style>
  <w:style w:type="paragraph" w:customStyle="1" w:styleId="box-1">
    <w:name w:val="box-1"/>
    <w:basedOn w:val="Normal"/>
    <w:uiPriority w:val="99"/>
    <w:rsid w:val="00491DAC"/>
    <w:pPr>
      <w:numPr>
        <w:numId w:val="3"/>
      </w:numPr>
      <w:tabs>
        <w:tab w:val="right" w:pos="9360"/>
      </w:tabs>
    </w:pPr>
    <w:rPr>
      <w:sz w:val="20"/>
      <w:szCs w:val="22"/>
    </w:rPr>
  </w:style>
  <w:style w:type="character" w:styleId="FollowedHyperlink">
    <w:name w:val="FollowedHyperlink"/>
    <w:uiPriority w:val="99"/>
    <w:rsid w:val="00491DAC"/>
    <w:rPr>
      <w:rFonts w:cs="Times New Roman"/>
      <w:color w:val="800080"/>
      <w:u w:val="single"/>
    </w:rPr>
  </w:style>
  <w:style w:type="character" w:customStyle="1" w:styleId="LR075">
    <w:name w:val="L/R 0.75&quot;"/>
    <w:uiPriority w:val="99"/>
    <w:rsid w:val="00491DAC"/>
    <w:rPr>
      <w:rFonts w:ascii="Courier New" w:hAnsi="Courier New" w:cs="Times New Roman"/>
      <w:sz w:val="20"/>
      <w:lang w:val="en-US"/>
    </w:rPr>
  </w:style>
  <w:style w:type="paragraph" w:styleId="Index1">
    <w:name w:val="index 1"/>
    <w:basedOn w:val="Normal"/>
    <w:next w:val="Normal"/>
    <w:autoRedefine/>
    <w:uiPriority w:val="99"/>
    <w:rsid w:val="00491DAC"/>
    <w:pPr>
      <w:ind w:left="240" w:hanging="240"/>
    </w:pPr>
  </w:style>
  <w:style w:type="paragraph" w:styleId="Index2">
    <w:name w:val="index 2"/>
    <w:basedOn w:val="Normal"/>
    <w:next w:val="Normal"/>
    <w:autoRedefine/>
    <w:uiPriority w:val="99"/>
    <w:rsid w:val="00491DAC"/>
    <w:pPr>
      <w:ind w:left="480" w:hanging="240"/>
    </w:pPr>
  </w:style>
  <w:style w:type="paragraph" w:styleId="Index3">
    <w:name w:val="index 3"/>
    <w:basedOn w:val="Normal"/>
    <w:next w:val="Normal"/>
    <w:autoRedefine/>
    <w:uiPriority w:val="99"/>
    <w:rsid w:val="00491DAC"/>
    <w:pPr>
      <w:ind w:left="720" w:hanging="240"/>
    </w:pPr>
  </w:style>
  <w:style w:type="paragraph" w:styleId="Index4">
    <w:name w:val="index 4"/>
    <w:basedOn w:val="Normal"/>
    <w:next w:val="Normal"/>
    <w:autoRedefine/>
    <w:uiPriority w:val="99"/>
    <w:rsid w:val="00491DAC"/>
    <w:pPr>
      <w:ind w:left="960" w:hanging="240"/>
    </w:pPr>
  </w:style>
  <w:style w:type="paragraph" w:styleId="Index5">
    <w:name w:val="index 5"/>
    <w:basedOn w:val="Normal"/>
    <w:next w:val="Normal"/>
    <w:autoRedefine/>
    <w:uiPriority w:val="99"/>
    <w:rsid w:val="00491DAC"/>
    <w:pPr>
      <w:ind w:left="1200" w:hanging="240"/>
    </w:pPr>
  </w:style>
  <w:style w:type="paragraph" w:styleId="Index6">
    <w:name w:val="index 6"/>
    <w:basedOn w:val="Normal"/>
    <w:next w:val="Normal"/>
    <w:autoRedefine/>
    <w:uiPriority w:val="99"/>
    <w:rsid w:val="00491DAC"/>
    <w:pPr>
      <w:ind w:left="1440" w:hanging="240"/>
    </w:pPr>
  </w:style>
  <w:style w:type="paragraph" w:styleId="Index7">
    <w:name w:val="index 7"/>
    <w:basedOn w:val="Normal"/>
    <w:next w:val="Normal"/>
    <w:autoRedefine/>
    <w:uiPriority w:val="99"/>
    <w:rsid w:val="00491DAC"/>
    <w:pPr>
      <w:ind w:left="1680" w:hanging="240"/>
    </w:pPr>
  </w:style>
  <w:style w:type="paragraph" w:styleId="Index8">
    <w:name w:val="index 8"/>
    <w:basedOn w:val="Normal"/>
    <w:next w:val="Normal"/>
    <w:autoRedefine/>
    <w:uiPriority w:val="99"/>
    <w:rsid w:val="00491DAC"/>
    <w:pPr>
      <w:ind w:left="1920" w:hanging="240"/>
    </w:pPr>
  </w:style>
  <w:style w:type="paragraph" w:styleId="Index9">
    <w:name w:val="index 9"/>
    <w:basedOn w:val="Normal"/>
    <w:next w:val="Normal"/>
    <w:autoRedefine/>
    <w:uiPriority w:val="99"/>
    <w:rsid w:val="00491DAC"/>
    <w:pPr>
      <w:ind w:left="2160" w:hanging="240"/>
    </w:pPr>
  </w:style>
  <w:style w:type="paragraph" w:styleId="IndexHeading">
    <w:name w:val="index heading"/>
    <w:basedOn w:val="Normal"/>
    <w:next w:val="Index1"/>
    <w:uiPriority w:val="99"/>
    <w:rsid w:val="00491DAC"/>
  </w:style>
  <w:style w:type="paragraph" w:styleId="TOC4">
    <w:name w:val="toc 4"/>
    <w:basedOn w:val="Normal"/>
    <w:next w:val="Normal"/>
    <w:autoRedefine/>
    <w:uiPriority w:val="99"/>
    <w:rsid w:val="00491DAC"/>
    <w:pPr>
      <w:ind w:left="720"/>
    </w:pPr>
  </w:style>
  <w:style w:type="paragraph" w:styleId="TOC5">
    <w:name w:val="toc 5"/>
    <w:basedOn w:val="Normal"/>
    <w:next w:val="Normal"/>
    <w:autoRedefine/>
    <w:uiPriority w:val="99"/>
    <w:rsid w:val="00491DAC"/>
    <w:pPr>
      <w:ind w:left="960"/>
    </w:pPr>
  </w:style>
  <w:style w:type="paragraph" w:styleId="TOC6">
    <w:name w:val="toc 6"/>
    <w:basedOn w:val="Normal"/>
    <w:next w:val="Normal"/>
    <w:autoRedefine/>
    <w:uiPriority w:val="99"/>
    <w:rsid w:val="00491DAC"/>
    <w:pPr>
      <w:ind w:left="1200"/>
    </w:pPr>
  </w:style>
  <w:style w:type="paragraph" w:styleId="TOC7">
    <w:name w:val="toc 7"/>
    <w:basedOn w:val="Normal"/>
    <w:next w:val="Normal"/>
    <w:autoRedefine/>
    <w:uiPriority w:val="99"/>
    <w:rsid w:val="00491DAC"/>
    <w:pPr>
      <w:ind w:left="1440"/>
    </w:pPr>
  </w:style>
  <w:style w:type="paragraph" w:styleId="TOC8">
    <w:name w:val="toc 8"/>
    <w:basedOn w:val="Normal"/>
    <w:next w:val="Normal"/>
    <w:autoRedefine/>
    <w:uiPriority w:val="99"/>
    <w:rsid w:val="00491DAC"/>
    <w:pPr>
      <w:ind w:left="1680"/>
    </w:pPr>
  </w:style>
  <w:style w:type="paragraph" w:styleId="TOC9">
    <w:name w:val="toc 9"/>
    <w:basedOn w:val="Normal"/>
    <w:next w:val="Normal"/>
    <w:autoRedefine/>
    <w:uiPriority w:val="99"/>
    <w:rsid w:val="00491DAC"/>
    <w:pPr>
      <w:ind w:left="1920"/>
    </w:pPr>
  </w:style>
  <w:style w:type="paragraph" w:styleId="HTMLPreformatted">
    <w:name w:val="HTML Preformatted"/>
    <w:basedOn w:val="Normal"/>
    <w:link w:val="HTMLPreformattedChar"/>
    <w:uiPriority w:val="99"/>
    <w:rsid w:val="00491D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sz w:val="20"/>
      <w:szCs w:val="20"/>
    </w:rPr>
  </w:style>
  <w:style w:type="character" w:customStyle="1" w:styleId="HTMLPreformattedChar">
    <w:name w:val="HTML Preformatted Char"/>
    <w:link w:val="HTMLPreformatted"/>
    <w:uiPriority w:val="99"/>
    <w:locked/>
    <w:rsid w:val="00491DAC"/>
    <w:rPr>
      <w:rFonts w:ascii="Arial Unicode MS" w:eastAsia="Arial Unicode MS" w:hAnsi="Arial Unicode MS" w:cs="Courier New"/>
    </w:rPr>
  </w:style>
  <w:style w:type="paragraph" w:styleId="ListParagraph">
    <w:name w:val="List Paragraph"/>
    <w:basedOn w:val="Normal"/>
    <w:link w:val="ListParagraphChar"/>
    <w:uiPriority w:val="34"/>
    <w:qFormat/>
    <w:rsid w:val="00926721"/>
    <w:pPr>
      <w:spacing w:after="200" w:line="276" w:lineRule="auto"/>
      <w:ind w:left="720"/>
      <w:contextualSpacing/>
    </w:pPr>
    <w:rPr>
      <w:rFonts w:ascii="Calibri" w:hAnsi="Calibri"/>
      <w:sz w:val="22"/>
      <w:szCs w:val="22"/>
    </w:rPr>
  </w:style>
  <w:style w:type="character" w:customStyle="1" w:styleId="ListParagraphChar">
    <w:name w:val="List Paragraph Char"/>
    <w:link w:val="ListParagraph"/>
    <w:uiPriority w:val="34"/>
    <w:locked/>
    <w:rsid w:val="00926721"/>
    <w:rPr>
      <w:rFonts w:ascii="Calibri" w:hAnsi="Calibri" w:cs="Times New Roman"/>
      <w:sz w:val="22"/>
      <w:szCs w:val="22"/>
    </w:rPr>
  </w:style>
  <w:style w:type="paragraph" w:customStyle="1" w:styleId="BHNormal">
    <w:name w:val="BHNormal"/>
    <w:uiPriority w:val="99"/>
    <w:rsid w:val="00CF6BA7"/>
    <w:rPr>
      <w:sz w:val="24"/>
      <w:szCs w:val="22"/>
    </w:rPr>
  </w:style>
  <w:style w:type="paragraph" w:styleId="DocumentMap">
    <w:name w:val="Document Map"/>
    <w:basedOn w:val="Normal"/>
    <w:link w:val="DocumentMapChar"/>
    <w:uiPriority w:val="99"/>
    <w:rsid w:val="00365DCC"/>
    <w:rPr>
      <w:rFonts w:ascii="Tahoma" w:hAnsi="Tahoma"/>
      <w:sz w:val="16"/>
      <w:szCs w:val="16"/>
    </w:rPr>
  </w:style>
  <w:style w:type="character" w:customStyle="1" w:styleId="DocumentMapChar">
    <w:name w:val="Document Map Char"/>
    <w:link w:val="DocumentMap"/>
    <w:uiPriority w:val="99"/>
    <w:locked/>
    <w:rsid w:val="00365DCC"/>
    <w:rPr>
      <w:rFonts w:ascii="Tahoma" w:hAnsi="Tahoma" w:cs="Tahoma"/>
      <w:sz w:val="16"/>
      <w:szCs w:val="16"/>
    </w:rPr>
  </w:style>
  <w:style w:type="paragraph" w:styleId="Caption">
    <w:name w:val="caption"/>
    <w:basedOn w:val="Normal"/>
    <w:next w:val="Normal"/>
    <w:uiPriority w:val="99"/>
    <w:qFormat/>
    <w:rsid w:val="00495104"/>
    <w:rPr>
      <w:b/>
      <w:bCs/>
      <w:sz w:val="20"/>
      <w:szCs w:val="20"/>
    </w:rPr>
  </w:style>
  <w:style w:type="paragraph" w:customStyle="1" w:styleId="LastParagraph">
    <w:name w:val="Last Paragraph"/>
    <w:basedOn w:val="Normal"/>
    <w:next w:val="Normal"/>
    <w:uiPriority w:val="99"/>
    <w:rsid w:val="00E76421"/>
    <w:pPr>
      <w:tabs>
        <w:tab w:val="left" w:pos="432"/>
      </w:tabs>
      <w:spacing w:after="240" w:line="480" w:lineRule="auto"/>
      <w:ind w:firstLine="432"/>
      <w:jc w:val="both"/>
    </w:pPr>
    <w:rPr>
      <w:rFonts w:ascii="Calibri" w:hAnsi="Calibri"/>
      <w:szCs w:val="20"/>
    </w:rPr>
  </w:style>
  <w:style w:type="table" w:customStyle="1" w:styleId="TableGrid1">
    <w:name w:val="Table Grid1"/>
    <w:basedOn w:val="TableNormal"/>
    <w:next w:val="TableGrid"/>
    <w:uiPriority w:val="59"/>
    <w:rsid w:val="00155E9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ubtleEmphasis">
    <w:name w:val="Subtle Emphasis"/>
    <w:uiPriority w:val="19"/>
    <w:qFormat/>
    <w:rsid w:val="00DF7F31"/>
    <w:rPr>
      <w:i/>
      <w:iCs/>
      <w:color w:val="808080"/>
    </w:rPr>
  </w:style>
  <w:style w:type="paragraph" w:styleId="Revision">
    <w:name w:val="Revision"/>
    <w:hidden/>
    <w:uiPriority w:val="99"/>
    <w:semiHidden/>
    <w:rsid w:val="00215E06"/>
    <w:rPr>
      <w:sz w:val="24"/>
      <w:szCs w:val="24"/>
    </w:rPr>
  </w:style>
  <w:style w:type="paragraph" w:styleId="TableofFigures">
    <w:name w:val="table of figures"/>
    <w:basedOn w:val="Normal"/>
    <w:next w:val="Normal"/>
    <w:uiPriority w:val="99"/>
    <w:semiHidden/>
    <w:unhideWhenUsed/>
    <w:locked/>
    <w:rsid w:val="00425678"/>
  </w:style>
  <w:style w:type="table" w:styleId="MediumShading1">
    <w:name w:val="Medium Shading 1"/>
    <w:basedOn w:val="TableNormal"/>
    <w:uiPriority w:val="63"/>
    <w:rsid w:val="007C1DAD"/>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LightGrid">
    <w:name w:val="Light Grid"/>
    <w:basedOn w:val="TableNormal"/>
    <w:uiPriority w:val="62"/>
    <w:rsid w:val="007C1DAD"/>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customStyle="1" w:styleId="Boxtextbullets">
    <w:name w:val="Box text bullets"/>
    <w:basedOn w:val="Normal"/>
    <w:qFormat/>
    <w:rsid w:val="002F429D"/>
    <w:pPr>
      <w:numPr>
        <w:numId w:val="15"/>
      </w:numPr>
      <w:tabs>
        <w:tab w:val="left" w:pos="216"/>
      </w:tabs>
      <w:ind w:left="216" w:hanging="216"/>
    </w:pPr>
    <w:rPr>
      <w:rFonts w:asciiTheme="minorHAnsi" w:hAnsiTheme="minorHAnsi" w:cs="Arial"/>
      <w:noProof/>
      <w:sz w:val="18"/>
      <w:szCs w:val="20"/>
    </w:rPr>
  </w:style>
  <w:style w:type="paragraph" w:customStyle="1" w:styleId="Protocol">
    <w:name w:val="Protocol"/>
    <w:basedOn w:val="NoSpacing"/>
    <w:link w:val="ProtocolChar"/>
    <w:autoRedefine/>
    <w:qFormat/>
    <w:rsid w:val="008A26A9"/>
    <w:pPr>
      <w:spacing w:before="200" w:after="80"/>
    </w:pPr>
    <w:rPr>
      <w:rFonts w:asciiTheme="minorHAnsi" w:hAnsiTheme="minorHAnsi" w:cstheme="minorBidi"/>
      <w:b/>
    </w:rPr>
  </w:style>
  <w:style w:type="character" w:customStyle="1" w:styleId="ProtocolChar">
    <w:name w:val="Protocol Char"/>
    <w:basedOn w:val="DefaultParagraphFont"/>
    <w:link w:val="Protocol"/>
    <w:rsid w:val="008A26A9"/>
    <w:rPr>
      <w:rFonts w:asciiTheme="minorHAnsi" w:hAnsiTheme="minorHAnsi" w:cstheme="minorBidi"/>
      <w:b/>
      <w:sz w:val="24"/>
      <w:szCs w:val="24"/>
    </w:rPr>
  </w:style>
  <w:style w:type="paragraph" w:styleId="NoSpacing">
    <w:name w:val="No Spacing"/>
    <w:uiPriority w:val="1"/>
    <w:qFormat/>
    <w:rsid w:val="008A26A9"/>
    <w:rPr>
      <w:sz w:val="24"/>
      <w:szCs w:val="24"/>
    </w:rPr>
  </w:style>
  <w:style w:type="table" w:customStyle="1" w:styleId="TableGrid2">
    <w:name w:val="Table Grid2"/>
    <w:basedOn w:val="TableNormal"/>
    <w:next w:val="TableGrid"/>
    <w:rsid w:val="00980128"/>
    <w:pPr>
      <w:spacing w:before="200" w:after="80"/>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basedOn w:val="Normal"/>
    <w:link w:val="Normal1Char"/>
    <w:qFormat/>
    <w:rsid w:val="00454937"/>
    <w:rPr>
      <w:rFonts w:cs="Arial"/>
    </w:rPr>
  </w:style>
  <w:style w:type="character" w:customStyle="1" w:styleId="Normal1Char">
    <w:name w:val="Normal1 Char"/>
    <w:basedOn w:val="DefaultParagraphFont"/>
    <w:link w:val="Normal1"/>
    <w:rsid w:val="00454937"/>
    <w:rPr>
      <w:rFonts w:cs="Arial"/>
      <w:sz w:val="24"/>
      <w:szCs w:val="24"/>
    </w:rPr>
  </w:style>
  <w:style w:type="paragraph" w:styleId="EndnoteText">
    <w:name w:val="endnote text"/>
    <w:basedOn w:val="Normal"/>
    <w:link w:val="EndnoteTextChar"/>
    <w:uiPriority w:val="99"/>
    <w:semiHidden/>
    <w:unhideWhenUsed/>
    <w:locked/>
    <w:rsid w:val="00B536C9"/>
    <w:rPr>
      <w:sz w:val="20"/>
      <w:szCs w:val="20"/>
    </w:rPr>
  </w:style>
  <w:style w:type="character" w:customStyle="1" w:styleId="EndnoteTextChar">
    <w:name w:val="Endnote Text Char"/>
    <w:basedOn w:val="DefaultParagraphFont"/>
    <w:link w:val="EndnoteText"/>
    <w:uiPriority w:val="99"/>
    <w:semiHidden/>
    <w:rsid w:val="00B536C9"/>
  </w:style>
  <w:style w:type="character" w:styleId="EndnoteReference">
    <w:name w:val="endnote reference"/>
    <w:basedOn w:val="DefaultParagraphFont"/>
    <w:uiPriority w:val="99"/>
    <w:semiHidden/>
    <w:unhideWhenUsed/>
    <w:locked/>
    <w:rsid w:val="00B536C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0" w:qFormat="1"/>
    <w:lsdException w:name="heading 5" w:semiHidden="0" w:uiPriority="0" w:unhideWhenUsed="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39" w:unhideWhenUsed="0"/>
    <w:lsdException w:name="toc 2" w:semiHidden="0" w:uiPriority="39"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semiHidden="0" w:uiPriority="0" w:unhideWhenUsed="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1B83"/>
    <w:rPr>
      <w:sz w:val="24"/>
      <w:szCs w:val="24"/>
    </w:rPr>
  </w:style>
  <w:style w:type="paragraph" w:styleId="Heading1">
    <w:name w:val="heading 1"/>
    <w:basedOn w:val="Normal"/>
    <w:next w:val="Normal"/>
    <w:link w:val="Heading1Char"/>
    <w:uiPriority w:val="99"/>
    <w:qFormat/>
    <w:rsid w:val="00491DAC"/>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491DAC"/>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491DAC"/>
    <w:pPr>
      <w:keepNext/>
      <w:spacing w:before="240" w:after="60"/>
      <w:outlineLvl w:val="2"/>
    </w:pPr>
    <w:rPr>
      <w:rFonts w:ascii="Cambria" w:hAnsi="Cambria"/>
      <w:b/>
      <w:bCs/>
      <w:sz w:val="26"/>
      <w:szCs w:val="26"/>
    </w:rPr>
  </w:style>
  <w:style w:type="paragraph" w:styleId="Heading5">
    <w:name w:val="heading 5"/>
    <w:basedOn w:val="Normal"/>
    <w:next w:val="Normal"/>
    <w:link w:val="Heading5Char"/>
    <w:uiPriority w:val="99"/>
    <w:qFormat/>
    <w:rsid w:val="00491DAC"/>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491DAC"/>
    <w:rPr>
      <w:rFonts w:ascii="Arial" w:hAnsi="Arial" w:cs="Arial"/>
      <w:b/>
      <w:bCs/>
      <w:kern w:val="32"/>
      <w:sz w:val="32"/>
      <w:szCs w:val="32"/>
      <w:lang w:val="en-US" w:eastAsia="en-US" w:bidi="ar-SA"/>
    </w:rPr>
  </w:style>
  <w:style w:type="character" w:customStyle="1" w:styleId="Heading2Char">
    <w:name w:val="Heading 2 Char"/>
    <w:link w:val="Heading2"/>
    <w:uiPriority w:val="99"/>
    <w:locked/>
    <w:rsid w:val="00491DAC"/>
    <w:rPr>
      <w:rFonts w:ascii="Arial" w:hAnsi="Arial" w:cs="Arial"/>
      <w:b/>
      <w:bCs/>
      <w:i/>
      <w:iCs/>
      <w:sz w:val="28"/>
      <w:szCs w:val="28"/>
      <w:lang w:val="en-US" w:eastAsia="en-US" w:bidi="ar-SA"/>
    </w:rPr>
  </w:style>
  <w:style w:type="character" w:customStyle="1" w:styleId="Heading3Char">
    <w:name w:val="Heading 3 Char"/>
    <w:link w:val="Heading3"/>
    <w:uiPriority w:val="99"/>
    <w:semiHidden/>
    <w:locked/>
    <w:rsid w:val="00A35B7C"/>
    <w:rPr>
      <w:rFonts w:ascii="Cambria" w:hAnsi="Cambria" w:cs="Times New Roman"/>
      <w:b/>
      <w:bCs/>
      <w:sz w:val="26"/>
      <w:szCs w:val="26"/>
    </w:rPr>
  </w:style>
  <w:style w:type="character" w:customStyle="1" w:styleId="Heading5Char">
    <w:name w:val="Heading 5 Char"/>
    <w:link w:val="Heading5"/>
    <w:uiPriority w:val="99"/>
    <w:semiHidden/>
    <w:locked/>
    <w:rsid w:val="00A35B7C"/>
    <w:rPr>
      <w:rFonts w:ascii="Calibri" w:hAnsi="Calibri" w:cs="Times New Roman"/>
      <w:b/>
      <w:bCs/>
      <w:i/>
      <w:iCs/>
      <w:sz w:val="26"/>
      <w:szCs w:val="26"/>
    </w:rPr>
  </w:style>
  <w:style w:type="paragraph" w:styleId="BalloonText">
    <w:name w:val="Balloon Text"/>
    <w:basedOn w:val="Normal"/>
    <w:link w:val="BalloonTextChar"/>
    <w:uiPriority w:val="99"/>
    <w:semiHidden/>
    <w:rsid w:val="00491DAC"/>
    <w:rPr>
      <w:rFonts w:ascii="Tahoma" w:hAnsi="Tahoma"/>
      <w:sz w:val="16"/>
      <w:szCs w:val="16"/>
    </w:rPr>
  </w:style>
  <w:style w:type="character" w:customStyle="1" w:styleId="BalloonTextChar">
    <w:name w:val="Balloon Text Char"/>
    <w:link w:val="BalloonText"/>
    <w:uiPriority w:val="99"/>
    <w:semiHidden/>
    <w:locked/>
    <w:rsid w:val="00491DAC"/>
    <w:rPr>
      <w:rFonts w:ascii="Tahoma" w:hAnsi="Tahoma" w:cs="Tahoma"/>
      <w:sz w:val="16"/>
      <w:szCs w:val="16"/>
    </w:rPr>
  </w:style>
  <w:style w:type="paragraph" w:styleId="FootnoteText">
    <w:name w:val="footnote text"/>
    <w:basedOn w:val="Normal"/>
    <w:link w:val="FootnoteTextChar"/>
    <w:uiPriority w:val="99"/>
    <w:rsid w:val="00491DAC"/>
    <w:rPr>
      <w:sz w:val="20"/>
      <w:szCs w:val="20"/>
    </w:rPr>
  </w:style>
  <w:style w:type="character" w:customStyle="1" w:styleId="FootnoteTextChar">
    <w:name w:val="Footnote Text Char"/>
    <w:link w:val="FootnoteText"/>
    <w:uiPriority w:val="99"/>
    <w:locked/>
    <w:rsid w:val="00491DAC"/>
    <w:rPr>
      <w:rFonts w:cs="Times New Roman"/>
      <w:lang w:val="en-US" w:eastAsia="en-US" w:bidi="ar-SA"/>
    </w:rPr>
  </w:style>
  <w:style w:type="character" w:styleId="FootnoteReference">
    <w:name w:val="footnote reference"/>
    <w:uiPriority w:val="99"/>
    <w:semiHidden/>
    <w:rsid w:val="00491DAC"/>
    <w:rPr>
      <w:rFonts w:cs="Times New Roman"/>
      <w:vertAlign w:val="superscript"/>
    </w:rPr>
  </w:style>
  <w:style w:type="character" w:styleId="Hyperlink">
    <w:name w:val="Hyperlink"/>
    <w:uiPriority w:val="99"/>
    <w:rsid w:val="00491DAC"/>
    <w:rPr>
      <w:rFonts w:cs="Times New Roman"/>
      <w:color w:val="0000FF"/>
      <w:u w:val="single"/>
    </w:rPr>
  </w:style>
  <w:style w:type="paragraph" w:styleId="Footer">
    <w:name w:val="footer"/>
    <w:basedOn w:val="Normal"/>
    <w:link w:val="FooterChar"/>
    <w:uiPriority w:val="99"/>
    <w:rsid w:val="00491DAC"/>
    <w:pPr>
      <w:tabs>
        <w:tab w:val="center" w:pos="4320"/>
        <w:tab w:val="right" w:pos="8640"/>
      </w:tabs>
    </w:pPr>
  </w:style>
  <w:style w:type="character" w:customStyle="1" w:styleId="FooterChar">
    <w:name w:val="Footer Char"/>
    <w:link w:val="Footer"/>
    <w:uiPriority w:val="99"/>
    <w:locked/>
    <w:rsid w:val="00491DAC"/>
    <w:rPr>
      <w:rFonts w:cs="Times New Roman"/>
      <w:sz w:val="24"/>
      <w:szCs w:val="24"/>
    </w:rPr>
  </w:style>
  <w:style w:type="character" w:styleId="PageNumber">
    <w:name w:val="page number"/>
    <w:uiPriority w:val="99"/>
    <w:rsid w:val="00491DAC"/>
    <w:rPr>
      <w:rFonts w:cs="Times New Roman"/>
    </w:rPr>
  </w:style>
  <w:style w:type="paragraph" w:customStyle="1" w:styleId="LHPBodyText">
    <w:name w:val="LHP Body Text"/>
    <w:basedOn w:val="Normal"/>
    <w:link w:val="LHPBodyTextChar1"/>
    <w:uiPriority w:val="99"/>
    <w:rsid w:val="00491DAC"/>
    <w:pPr>
      <w:spacing w:after="240"/>
      <w:jc w:val="both"/>
    </w:pPr>
  </w:style>
  <w:style w:type="character" w:customStyle="1" w:styleId="LHPBodyTextChar1">
    <w:name w:val="LHP Body Text Char1"/>
    <w:link w:val="LHPBodyText"/>
    <w:uiPriority w:val="99"/>
    <w:locked/>
    <w:rsid w:val="00491DAC"/>
    <w:rPr>
      <w:rFonts w:cs="Times New Roman"/>
      <w:sz w:val="24"/>
      <w:szCs w:val="24"/>
      <w:lang w:val="en-US" w:eastAsia="en-US" w:bidi="ar-SA"/>
    </w:rPr>
  </w:style>
  <w:style w:type="table" w:styleId="TableGrid">
    <w:name w:val="Table Grid"/>
    <w:basedOn w:val="TableNormal"/>
    <w:rsid w:val="00491D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491DAC"/>
    <w:pPr>
      <w:tabs>
        <w:tab w:val="center" w:pos="4320"/>
        <w:tab w:val="right" w:pos="8640"/>
      </w:tabs>
    </w:pPr>
    <w:rPr>
      <w:sz w:val="20"/>
      <w:szCs w:val="20"/>
    </w:rPr>
  </w:style>
  <w:style w:type="character" w:customStyle="1" w:styleId="HeaderChar">
    <w:name w:val="Header Char"/>
    <w:link w:val="Header"/>
    <w:uiPriority w:val="99"/>
    <w:locked/>
    <w:rsid w:val="00491DAC"/>
    <w:rPr>
      <w:rFonts w:cs="Times New Roman"/>
    </w:rPr>
  </w:style>
  <w:style w:type="paragraph" w:styleId="BodyTextIndent2">
    <w:name w:val="Body Text Indent 2"/>
    <w:basedOn w:val="Normal"/>
    <w:link w:val="BodyTextIndent2Char"/>
    <w:uiPriority w:val="99"/>
    <w:rsid w:val="00491DAC"/>
    <w:pPr>
      <w:spacing w:after="120" w:line="480" w:lineRule="auto"/>
      <w:ind w:left="360"/>
    </w:pPr>
  </w:style>
  <w:style w:type="character" w:customStyle="1" w:styleId="BodyTextIndent2Char">
    <w:name w:val="Body Text Indent 2 Char"/>
    <w:link w:val="BodyTextIndent2"/>
    <w:uiPriority w:val="99"/>
    <w:semiHidden/>
    <w:locked/>
    <w:rsid w:val="00A35B7C"/>
    <w:rPr>
      <w:rFonts w:cs="Times New Roman"/>
      <w:sz w:val="24"/>
      <w:szCs w:val="24"/>
    </w:rPr>
  </w:style>
  <w:style w:type="character" w:styleId="CommentReference">
    <w:name w:val="annotation reference"/>
    <w:uiPriority w:val="99"/>
    <w:rsid w:val="00491DAC"/>
    <w:rPr>
      <w:rFonts w:cs="Times New Roman"/>
      <w:sz w:val="16"/>
      <w:szCs w:val="16"/>
    </w:rPr>
  </w:style>
  <w:style w:type="paragraph" w:styleId="CommentText">
    <w:name w:val="annotation text"/>
    <w:basedOn w:val="Normal"/>
    <w:link w:val="CommentTextChar"/>
    <w:uiPriority w:val="99"/>
    <w:semiHidden/>
    <w:rsid w:val="00491DAC"/>
    <w:rPr>
      <w:sz w:val="20"/>
      <w:szCs w:val="20"/>
    </w:rPr>
  </w:style>
  <w:style w:type="character" w:customStyle="1" w:styleId="CommentTextChar">
    <w:name w:val="Comment Text Char"/>
    <w:link w:val="CommentText"/>
    <w:uiPriority w:val="99"/>
    <w:semiHidden/>
    <w:locked/>
    <w:rsid w:val="00491DAC"/>
    <w:rPr>
      <w:rFonts w:cs="Times New Roman"/>
    </w:rPr>
  </w:style>
  <w:style w:type="paragraph" w:styleId="CommentSubject">
    <w:name w:val="annotation subject"/>
    <w:basedOn w:val="CommentText"/>
    <w:next w:val="CommentText"/>
    <w:link w:val="CommentSubjectChar"/>
    <w:uiPriority w:val="99"/>
    <w:semiHidden/>
    <w:rsid w:val="00491DAC"/>
    <w:rPr>
      <w:b/>
      <w:bCs/>
    </w:rPr>
  </w:style>
  <w:style w:type="character" w:customStyle="1" w:styleId="CommentSubjectChar">
    <w:name w:val="Comment Subject Char"/>
    <w:link w:val="CommentSubject"/>
    <w:uiPriority w:val="99"/>
    <w:semiHidden/>
    <w:locked/>
    <w:rsid w:val="00491DAC"/>
    <w:rPr>
      <w:rFonts w:cs="Times New Roman"/>
      <w:b/>
      <w:bCs/>
    </w:rPr>
  </w:style>
  <w:style w:type="paragraph" w:customStyle="1" w:styleId="Style1">
    <w:name w:val="Style1"/>
    <w:basedOn w:val="Heading1"/>
    <w:uiPriority w:val="99"/>
    <w:rsid w:val="00491DAC"/>
    <w:pPr>
      <w:numPr>
        <w:numId w:val="1"/>
      </w:numPr>
      <w:autoSpaceDE w:val="0"/>
      <w:autoSpaceDN w:val="0"/>
      <w:adjustRightInd w:val="0"/>
    </w:pPr>
    <w:rPr>
      <w:rFonts w:ascii="Times New Roman" w:hAnsi="Times New Roman"/>
      <w:b w:val="0"/>
      <w:bCs w:val="0"/>
      <w:sz w:val="28"/>
      <w:szCs w:val="28"/>
    </w:rPr>
  </w:style>
  <w:style w:type="paragraph" w:customStyle="1" w:styleId="Style2">
    <w:name w:val="Style2"/>
    <w:basedOn w:val="Heading2"/>
    <w:uiPriority w:val="99"/>
    <w:rsid w:val="00491DAC"/>
    <w:pPr>
      <w:numPr>
        <w:ilvl w:val="1"/>
        <w:numId w:val="1"/>
      </w:numPr>
      <w:autoSpaceDE w:val="0"/>
      <w:autoSpaceDN w:val="0"/>
      <w:adjustRightInd w:val="0"/>
    </w:pPr>
    <w:rPr>
      <w:rFonts w:ascii="Times New Roman" w:hAnsi="Times New Roman"/>
      <w:bCs w:val="0"/>
      <w:i w:val="0"/>
      <w:sz w:val="24"/>
    </w:rPr>
  </w:style>
  <w:style w:type="paragraph" w:customStyle="1" w:styleId="Style3">
    <w:name w:val="Style3"/>
    <w:basedOn w:val="Heading3"/>
    <w:uiPriority w:val="99"/>
    <w:rsid w:val="00491DAC"/>
    <w:pPr>
      <w:numPr>
        <w:ilvl w:val="2"/>
        <w:numId w:val="1"/>
      </w:numPr>
      <w:autoSpaceDE w:val="0"/>
      <w:autoSpaceDN w:val="0"/>
      <w:adjustRightInd w:val="0"/>
    </w:pPr>
    <w:rPr>
      <w:rFonts w:ascii="Times New Roman" w:hAnsi="Times New Roman"/>
      <w:bCs w:val="0"/>
      <w:sz w:val="24"/>
    </w:rPr>
  </w:style>
  <w:style w:type="paragraph" w:styleId="TOC1">
    <w:name w:val="toc 1"/>
    <w:basedOn w:val="Normal"/>
    <w:next w:val="Normal"/>
    <w:autoRedefine/>
    <w:uiPriority w:val="39"/>
    <w:rsid w:val="00EE3E72"/>
    <w:pPr>
      <w:tabs>
        <w:tab w:val="left" w:pos="360"/>
        <w:tab w:val="right" w:leader="dot" w:pos="9350"/>
      </w:tabs>
      <w:ind w:left="360" w:hanging="360"/>
    </w:pPr>
  </w:style>
  <w:style w:type="paragraph" w:styleId="TOC2">
    <w:name w:val="toc 2"/>
    <w:basedOn w:val="Normal"/>
    <w:next w:val="Normal"/>
    <w:autoRedefine/>
    <w:uiPriority w:val="39"/>
    <w:rsid w:val="00694780"/>
    <w:pPr>
      <w:tabs>
        <w:tab w:val="left" w:pos="900"/>
        <w:tab w:val="right" w:leader="dot" w:pos="9350"/>
      </w:tabs>
      <w:ind w:left="810" w:hanging="450"/>
    </w:pPr>
  </w:style>
  <w:style w:type="paragraph" w:styleId="TOC3">
    <w:name w:val="toc 3"/>
    <w:basedOn w:val="Normal"/>
    <w:next w:val="Normal"/>
    <w:autoRedefine/>
    <w:uiPriority w:val="99"/>
    <w:semiHidden/>
    <w:rsid w:val="00491DAC"/>
    <w:pPr>
      <w:tabs>
        <w:tab w:val="left" w:pos="960"/>
        <w:tab w:val="right" w:leader="dot" w:pos="9350"/>
      </w:tabs>
      <w:ind w:left="960" w:hanging="510"/>
    </w:pPr>
  </w:style>
  <w:style w:type="character" w:styleId="Strong">
    <w:name w:val="Strong"/>
    <w:uiPriority w:val="99"/>
    <w:qFormat/>
    <w:rsid w:val="00491DAC"/>
    <w:rPr>
      <w:rFonts w:cs="Times New Roman"/>
      <w:b/>
      <w:bCs/>
    </w:rPr>
  </w:style>
  <w:style w:type="paragraph" w:styleId="PlainText">
    <w:name w:val="Plain Text"/>
    <w:basedOn w:val="Normal"/>
    <w:link w:val="PlainTextChar"/>
    <w:uiPriority w:val="99"/>
    <w:rsid w:val="00491DAC"/>
    <w:pPr>
      <w:spacing w:before="100" w:beforeAutospacing="1" w:after="100" w:afterAutospacing="1"/>
    </w:pPr>
  </w:style>
  <w:style w:type="character" w:customStyle="1" w:styleId="PlainTextChar">
    <w:name w:val="Plain Text Char"/>
    <w:link w:val="PlainText"/>
    <w:uiPriority w:val="99"/>
    <w:locked/>
    <w:rsid w:val="00491DAC"/>
    <w:rPr>
      <w:rFonts w:cs="Times New Roman"/>
      <w:sz w:val="24"/>
      <w:szCs w:val="24"/>
    </w:rPr>
  </w:style>
  <w:style w:type="paragraph" w:styleId="BodyText2">
    <w:name w:val="Body Text 2"/>
    <w:basedOn w:val="Normal"/>
    <w:link w:val="BodyText2Char"/>
    <w:uiPriority w:val="99"/>
    <w:rsid w:val="00491DAC"/>
    <w:pPr>
      <w:spacing w:after="120" w:line="480" w:lineRule="auto"/>
    </w:pPr>
  </w:style>
  <w:style w:type="character" w:customStyle="1" w:styleId="BodyText2Char">
    <w:name w:val="Body Text 2 Char"/>
    <w:link w:val="BodyText2"/>
    <w:uiPriority w:val="99"/>
    <w:semiHidden/>
    <w:locked/>
    <w:rsid w:val="00A35B7C"/>
    <w:rPr>
      <w:rFonts w:cs="Times New Roman"/>
      <w:sz w:val="24"/>
      <w:szCs w:val="24"/>
    </w:rPr>
  </w:style>
  <w:style w:type="paragraph" w:styleId="BodyTextIndent">
    <w:name w:val="Body Text Indent"/>
    <w:basedOn w:val="Normal"/>
    <w:link w:val="BodyTextIndentChar"/>
    <w:uiPriority w:val="99"/>
    <w:rsid w:val="00491DAC"/>
    <w:pPr>
      <w:spacing w:after="120"/>
      <w:ind w:left="360"/>
    </w:pPr>
  </w:style>
  <w:style w:type="character" w:customStyle="1" w:styleId="BodyTextIndentChar">
    <w:name w:val="Body Text Indent Char"/>
    <w:link w:val="BodyTextIndent"/>
    <w:uiPriority w:val="99"/>
    <w:semiHidden/>
    <w:locked/>
    <w:rsid w:val="00A35B7C"/>
    <w:rPr>
      <w:rFonts w:cs="Times New Roman"/>
      <w:sz w:val="24"/>
      <w:szCs w:val="24"/>
    </w:rPr>
  </w:style>
  <w:style w:type="paragraph" w:styleId="Title">
    <w:name w:val="Title"/>
    <w:basedOn w:val="Normal"/>
    <w:link w:val="TitleChar"/>
    <w:uiPriority w:val="99"/>
    <w:qFormat/>
    <w:rsid w:val="00491DAC"/>
    <w:pPr>
      <w:jc w:val="center"/>
    </w:pPr>
    <w:rPr>
      <w:rFonts w:ascii="Cambria" w:hAnsi="Cambria"/>
      <w:b/>
      <w:bCs/>
      <w:kern w:val="28"/>
      <w:sz w:val="32"/>
      <w:szCs w:val="32"/>
    </w:rPr>
  </w:style>
  <w:style w:type="character" w:customStyle="1" w:styleId="TitleChar">
    <w:name w:val="Title Char"/>
    <w:link w:val="Title"/>
    <w:uiPriority w:val="99"/>
    <w:locked/>
    <w:rsid w:val="00A35B7C"/>
    <w:rPr>
      <w:rFonts w:ascii="Cambria" w:hAnsi="Cambria" w:cs="Times New Roman"/>
      <w:b/>
      <w:bCs/>
      <w:kern w:val="28"/>
      <w:sz w:val="32"/>
      <w:szCs w:val="32"/>
    </w:rPr>
  </w:style>
  <w:style w:type="paragraph" w:customStyle="1" w:styleId="ParagraphLAST">
    <w:name w:val="Paragraph (LAST)"/>
    <w:basedOn w:val="Normal"/>
    <w:next w:val="Normal"/>
    <w:uiPriority w:val="99"/>
    <w:rsid w:val="00491DAC"/>
    <w:pPr>
      <w:tabs>
        <w:tab w:val="left" w:pos="432"/>
      </w:tabs>
      <w:spacing w:after="240" w:line="480" w:lineRule="auto"/>
      <w:ind w:firstLine="432"/>
      <w:jc w:val="both"/>
    </w:pPr>
    <w:rPr>
      <w:szCs w:val="20"/>
    </w:rPr>
  </w:style>
  <w:style w:type="character" w:styleId="HTMLCite">
    <w:name w:val="HTML Cite"/>
    <w:uiPriority w:val="99"/>
    <w:rsid w:val="00491DAC"/>
    <w:rPr>
      <w:rFonts w:cs="Times New Roman"/>
      <w:i/>
      <w:iCs/>
    </w:rPr>
  </w:style>
  <w:style w:type="paragraph" w:customStyle="1" w:styleId="Reference">
    <w:name w:val="Reference"/>
    <w:uiPriority w:val="99"/>
    <w:rsid w:val="00491DAC"/>
    <w:pPr>
      <w:ind w:left="360" w:hanging="360"/>
      <w:jc w:val="both"/>
    </w:pPr>
    <w:rPr>
      <w:rFonts w:ascii="Garamond" w:hAnsi="Garamond"/>
      <w:sz w:val="22"/>
      <w:szCs w:val="24"/>
    </w:rPr>
  </w:style>
  <w:style w:type="paragraph" w:styleId="BodyText">
    <w:name w:val="Body Text"/>
    <w:basedOn w:val="Normal"/>
    <w:link w:val="BodyTextChar"/>
    <w:uiPriority w:val="99"/>
    <w:rsid w:val="00491DAC"/>
    <w:pPr>
      <w:widowControl w:val="0"/>
      <w:tabs>
        <w:tab w:val="left" w:pos="720"/>
        <w:tab w:val="left" w:pos="1440"/>
        <w:tab w:val="left" w:pos="2160"/>
        <w:tab w:val="right" w:pos="9360"/>
      </w:tabs>
    </w:pPr>
    <w:rPr>
      <w:snapToGrid w:val="0"/>
      <w:sz w:val="20"/>
      <w:szCs w:val="20"/>
    </w:rPr>
  </w:style>
  <w:style w:type="character" w:customStyle="1" w:styleId="BodyTextChar">
    <w:name w:val="Body Text Char"/>
    <w:link w:val="BodyText"/>
    <w:uiPriority w:val="99"/>
    <w:locked/>
    <w:rsid w:val="00491DAC"/>
    <w:rPr>
      <w:rFonts w:cs="Times New Roman"/>
      <w:snapToGrid w:val="0"/>
    </w:rPr>
  </w:style>
  <w:style w:type="paragraph" w:customStyle="1" w:styleId="a-row">
    <w:name w:val="a-row"/>
    <w:basedOn w:val="Normal"/>
    <w:uiPriority w:val="99"/>
    <w:rsid w:val="00491DAC"/>
    <w:pPr>
      <w:numPr>
        <w:numId w:val="2"/>
      </w:numPr>
      <w:tabs>
        <w:tab w:val="left" w:pos="1080"/>
        <w:tab w:val="left" w:pos="1440"/>
        <w:tab w:val="left" w:pos="1800"/>
        <w:tab w:val="right" w:pos="10800"/>
      </w:tabs>
      <w:spacing w:before="40" w:after="40"/>
    </w:pPr>
    <w:rPr>
      <w:sz w:val="20"/>
      <w:szCs w:val="22"/>
    </w:rPr>
  </w:style>
  <w:style w:type="paragraph" w:customStyle="1" w:styleId="1-question">
    <w:name w:val="1-question"/>
    <w:basedOn w:val="Normal"/>
    <w:uiPriority w:val="99"/>
    <w:rsid w:val="00491DAC"/>
    <w:pPr>
      <w:numPr>
        <w:numId w:val="4"/>
      </w:numPr>
      <w:tabs>
        <w:tab w:val="left" w:pos="1440"/>
        <w:tab w:val="left" w:pos="1800"/>
      </w:tabs>
      <w:spacing w:after="240"/>
    </w:pPr>
    <w:rPr>
      <w:sz w:val="20"/>
      <w:szCs w:val="22"/>
    </w:rPr>
  </w:style>
  <w:style w:type="paragraph" w:customStyle="1" w:styleId="box-1">
    <w:name w:val="box-1"/>
    <w:basedOn w:val="Normal"/>
    <w:uiPriority w:val="99"/>
    <w:rsid w:val="00491DAC"/>
    <w:pPr>
      <w:numPr>
        <w:numId w:val="3"/>
      </w:numPr>
      <w:tabs>
        <w:tab w:val="right" w:pos="9360"/>
      </w:tabs>
    </w:pPr>
    <w:rPr>
      <w:sz w:val="20"/>
      <w:szCs w:val="22"/>
    </w:rPr>
  </w:style>
  <w:style w:type="character" w:styleId="FollowedHyperlink">
    <w:name w:val="FollowedHyperlink"/>
    <w:uiPriority w:val="99"/>
    <w:rsid w:val="00491DAC"/>
    <w:rPr>
      <w:rFonts w:cs="Times New Roman"/>
      <w:color w:val="800080"/>
      <w:u w:val="single"/>
    </w:rPr>
  </w:style>
  <w:style w:type="character" w:customStyle="1" w:styleId="LR075">
    <w:name w:val="L/R 0.75&quot;"/>
    <w:uiPriority w:val="99"/>
    <w:rsid w:val="00491DAC"/>
    <w:rPr>
      <w:rFonts w:ascii="Courier New" w:hAnsi="Courier New" w:cs="Times New Roman"/>
      <w:sz w:val="20"/>
      <w:lang w:val="en-US"/>
    </w:rPr>
  </w:style>
  <w:style w:type="paragraph" w:styleId="Index1">
    <w:name w:val="index 1"/>
    <w:basedOn w:val="Normal"/>
    <w:next w:val="Normal"/>
    <w:autoRedefine/>
    <w:uiPriority w:val="99"/>
    <w:rsid w:val="00491DAC"/>
    <w:pPr>
      <w:ind w:left="240" w:hanging="240"/>
    </w:pPr>
  </w:style>
  <w:style w:type="paragraph" w:styleId="Index2">
    <w:name w:val="index 2"/>
    <w:basedOn w:val="Normal"/>
    <w:next w:val="Normal"/>
    <w:autoRedefine/>
    <w:uiPriority w:val="99"/>
    <w:rsid w:val="00491DAC"/>
    <w:pPr>
      <w:ind w:left="480" w:hanging="240"/>
    </w:pPr>
  </w:style>
  <w:style w:type="paragraph" w:styleId="Index3">
    <w:name w:val="index 3"/>
    <w:basedOn w:val="Normal"/>
    <w:next w:val="Normal"/>
    <w:autoRedefine/>
    <w:uiPriority w:val="99"/>
    <w:rsid w:val="00491DAC"/>
    <w:pPr>
      <w:ind w:left="720" w:hanging="240"/>
    </w:pPr>
  </w:style>
  <w:style w:type="paragraph" w:styleId="Index4">
    <w:name w:val="index 4"/>
    <w:basedOn w:val="Normal"/>
    <w:next w:val="Normal"/>
    <w:autoRedefine/>
    <w:uiPriority w:val="99"/>
    <w:rsid w:val="00491DAC"/>
    <w:pPr>
      <w:ind w:left="960" w:hanging="240"/>
    </w:pPr>
  </w:style>
  <w:style w:type="paragraph" w:styleId="Index5">
    <w:name w:val="index 5"/>
    <w:basedOn w:val="Normal"/>
    <w:next w:val="Normal"/>
    <w:autoRedefine/>
    <w:uiPriority w:val="99"/>
    <w:rsid w:val="00491DAC"/>
    <w:pPr>
      <w:ind w:left="1200" w:hanging="240"/>
    </w:pPr>
  </w:style>
  <w:style w:type="paragraph" w:styleId="Index6">
    <w:name w:val="index 6"/>
    <w:basedOn w:val="Normal"/>
    <w:next w:val="Normal"/>
    <w:autoRedefine/>
    <w:uiPriority w:val="99"/>
    <w:rsid w:val="00491DAC"/>
    <w:pPr>
      <w:ind w:left="1440" w:hanging="240"/>
    </w:pPr>
  </w:style>
  <w:style w:type="paragraph" w:styleId="Index7">
    <w:name w:val="index 7"/>
    <w:basedOn w:val="Normal"/>
    <w:next w:val="Normal"/>
    <w:autoRedefine/>
    <w:uiPriority w:val="99"/>
    <w:rsid w:val="00491DAC"/>
    <w:pPr>
      <w:ind w:left="1680" w:hanging="240"/>
    </w:pPr>
  </w:style>
  <w:style w:type="paragraph" w:styleId="Index8">
    <w:name w:val="index 8"/>
    <w:basedOn w:val="Normal"/>
    <w:next w:val="Normal"/>
    <w:autoRedefine/>
    <w:uiPriority w:val="99"/>
    <w:rsid w:val="00491DAC"/>
    <w:pPr>
      <w:ind w:left="1920" w:hanging="240"/>
    </w:pPr>
  </w:style>
  <w:style w:type="paragraph" w:styleId="Index9">
    <w:name w:val="index 9"/>
    <w:basedOn w:val="Normal"/>
    <w:next w:val="Normal"/>
    <w:autoRedefine/>
    <w:uiPriority w:val="99"/>
    <w:rsid w:val="00491DAC"/>
    <w:pPr>
      <w:ind w:left="2160" w:hanging="240"/>
    </w:pPr>
  </w:style>
  <w:style w:type="paragraph" w:styleId="IndexHeading">
    <w:name w:val="index heading"/>
    <w:basedOn w:val="Normal"/>
    <w:next w:val="Index1"/>
    <w:uiPriority w:val="99"/>
    <w:rsid w:val="00491DAC"/>
  </w:style>
  <w:style w:type="paragraph" w:styleId="TOC4">
    <w:name w:val="toc 4"/>
    <w:basedOn w:val="Normal"/>
    <w:next w:val="Normal"/>
    <w:autoRedefine/>
    <w:uiPriority w:val="99"/>
    <w:rsid w:val="00491DAC"/>
    <w:pPr>
      <w:ind w:left="720"/>
    </w:pPr>
  </w:style>
  <w:style w:type="paragraph" w:styleId="TOC5">
    <w:name w:val="toc 5"/>
    <w:basedOn w:val="Normal"/>
    <w:next w:val="Normal"/>
    <w:autoRedefine/>
    <w:uiPriority w:val="99"/>
    <w:rsid w:val="00491DAC"/>
    <w:pPr>
      <w:ind w:left="960"/>
    </w:pPr>
  </w:style>
  <w:style w:type="paragraph" w:styleId="TOC6">
    <w:name w:val="toc 6"/>
    <w:basedOn w:val="Normal"/>
    <w:next w:val="Normal"/>
    <w:autoRedefine/>
    <w:uiPriority w:val="99"/>
    <w:rsid w:val="00491DAC"/>
    <w:pPr>
      <w:ind w:left="1200"/>
    </w:pPr>
  </w:style>
  <w:style w:type="paragraph" w:styleId="TOC7">
    <w:name w:val="toc 7"/>
    <w:basedOn w:val="Normal"/>
    <w:next w:val="Normal"/>
    <w:autoRedefine/>
    <w:uiPriority w:val="99"/>
    <w:rsid w:val="00491DAC"/>
    <w:pPr>
      <w:ind w:left="1440"/>
    </w:pPr>
  </w:style>
  <w:style w:type="paragraph" w:styleId="TOC8">
    <w:name w:val="toc 8"/>
    <w:basedOn w:val="Normal"/>
    <w:next w:val="Normal"/>
    <w:autoRedefine/>
    <w:uiPriority w:val="99"/>
    <w:rsid w:val="00491DAC"/>
    <w:pPr>
      <w:ind w:left="1680"/>
    </w:pPr>
  </w:style>
  <w:style w:type="paragraph" w:styleId="TOC9">
    <w:name w:val="toc 9"/>
    <w:basedOn w:val="Normal"/>
    <w:next w:val="Normal"/>
    <w:autoRedefine/>
    <w:uiPriority w:val="99"/>
    <w:rsid w:val="00491DAC"/>
    <w:pPr>
      <w:ind w:left="1920"/>
    </w:pPr>
  </w:style>
  <w:style w:type="paragraph" w:styleId="HTMLPreformatted">
    <w:name w:val="HTML Preformatted"/>
    <w:basedOn w:val="Normal"/>
    <w:link w:val="HTMLPreformattedChar"/>
    <w:uiPriority w:val="99"/>
    <w:rsid w:val="00491D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sz w:val="20"/>
      <w:szCs w:val="20"/>
    </w:rPr>
  </w:style>
  <w:style w:type="character" w:customStyle="1" w:styleId="HTMLPreformattedChar">
    <w:name w:val="HTML Preformatted Char"/>
    <w:link w:val="HTMLPreformatted"/>
    <w:uiPriority w:val="99"/>
    <w:locked/>
    <w:rsid w:val="00491DAC"/>
    <w:rPr>
      <w:rFonts w:ascii="Arial Unicode MS" w:eastAsia="Arial Unicode MS" w:hAnsi="Arial Unicode MS" w:cs="Courier New"/>
    </w:rPr>
  </w:style>
  <w:style w:type="paragraph" w:styleId="ListParagraph">
    <w:name w:val="List Paragraph"/>
    <w:basedOn w:val="Normal"/>
    <w:link w:val="ListParagraphChar"/>
    <w:uiPriority w:val="34"/>
    <w:qFormat/>
    <w:rsid w:val="00926721"/>
    <w:pPr>
      <w:spacing w:after="200" w:line="276" w:lineRule="auto"/>
      <w:ind w:left="720"/>
      <w:contextualSpacing/>
    </w:pPr>
    <w:rPr>
      <w:rFonts w:ascii="Calibri" w:hAnsi="Calibri"/>
      <w:sz w:val="22"/>
      <w:szCs w:val="22"/>
    </w:rPr>
  </w:style>
  <w:style w:type="character" w:customStyle="1" w:styleId="ListParagraphChar">
    <w:name w:val="List Paragraph Char"/>
    <w:link w:val="ListParagraph"/>
    <w:uiPriority w:val="34"/>
    <w:locked/>
    <w:rsid w:val="00926721"/>
    <w:rPr>
      <w:rFonts w:ascii="Calibri" w:hAnsi="Calibri" w:cs="Times New Roman"/>
      <w:sz w:val="22"/>
      <w:szCs w:val="22"/>
    </w:rPr>
  </w:style>
  <w:style w:type="paragraph" w:customStyle="1" w:styleId="BHNormal">
    <w:name w:val="BHNormal"/>
    <w:uiPriority w:val="99"/>
    <w:rsid w:val="00CF6BA7"/>
    <w:rPr>
      <w:sz w:val="24"/>
      <w:szCs w:val="22"/>
    </w:rPr>
  </w:style>
  <w:style w:type="paragraph" w:styleId="DocumentMap">
    <w:name w:val="Document Map"/>
    <w:basedOn w:val="Normal"/>
    <w:link w:val="DocumentMapChar"/>
    <w:uiPriority w:val="99"/>
    <w:rsid w:val="00365DCC"/>
    <w:rPr>
      <w:rFonts w:ascii="Tahoma" w:hAnsi="Tahoma"/>
      <w:sz w:val="16"/>
      <w:szCs w:val="16"/>
    </w:rPr>
  </w:style>
  <w:style w:type="character" w:customStyle="1" w:styleId="DocumentMapChar">
    <w:name w:val="Document Map Char"/>
    <w:link w:val="DocumentMap"/>
    <w:uiPriority w:val="99"/>
    <w:locked/>
    <w:rsid w:val="00365DCC"/>
    <w:rPr>
      <w:rFonts w:ascii="Tahoma" w:hAnsi="Tahoma" w:cs="Tahoma"/>
      <w:sz w:val="16"/>
      <w:szCs w:val="16"/>
    </w:rPr>
  </w:style>
  <w:style w:type="paragraph" w:styleId="Caption">
    <w:name w:val="caption"/>
    <w:basedOn w:val="Normal"/>
    <w:next w:val="Normal"/>
    <w:uiPriority w:val="99"/>
    <w:qFormat/>
    <w:rsid w:val="00495104"/>
    <w:rPr>
      <w:b/>
      <w:bCs/>
      <w:sz w:val="20"/>
      <w:szCs w:val="20"/>
    </w:rPr>
  </w:style>
  <w:style w:type="paragraph" w:customStyle="1" w:styleId="LastParagraph">
    <w:name w:val="Last Paragraph"/>
    <w:basedOn w:val="Normal"/>
    <w:next w:val="Normal"/>
    <w:uiPriority w:val="99"/>
    <w:rsid w:val="00E76421"/>
    <w:pPr>
      <w:tabs>
        <w:tab w:val="left" w:pos="432"/>
      </w:tabs>
      <w:spacing w:after="240" w:line="480" w:lineRule="auto"/>
      <w:ind w:firstLine="432"/>
      <w:jc w:val="both"/>
    </w:pPr>
    <w:rPr>
      <w:rFonts w:ascii="Calibri" w:hAnsi="Calibri"/>
      <w:szCs w:val="20"/>
    </w:rPr>
  </w:style>
  <w:style w:type="table" w:customStyle="1" w:styleId="TableGrid1">
    <w:name w:val="Table Grid1"/>
    <w:basedOn w:val="TableNormal"/>
    <w:next w:val="TableGrid"/>
    <w:uiPriority w:val="59"/>
    <w:rsid w:val="00155E9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ubtleEmphasis">
    <w:name w:val="Subtle Emphasis"/>
    <w:uiPriority w:val="19"/>
    <w:qFormat/>
    <w:rsid w:val="00DF7F31"/>
    <w:rPr>
      <w:i/>
      <w:iCs/>
      <w:color w:val="808080"/>
    </w:rPr>
  </w:style>
  <w:style w:type="paragraph" w:styleId="Revision">
    <w:name w:val="Revision"/>
    <w:hidden/>
    <w:uiPriority w:val="99"/>
    <w:semiHidden/>
    <w:rsid w:val="00215E06"/>
    <w:rPr>
      <w:sz w:val="24"/>
      <w:szCs w:val="24"/>
    </w:rPr>
  </w:style>
  <w:style w:type="paragraph" w:styleId="TableofFigures">
    <w:name w:val="table of figures"/>
    <w:basedOn w:val="Normal"/>
    <w:next w:val="Normal"/>
    <w:uiPriority w:val="99"/>
    <w:semiHidden/>
    <w:unhideWhenUsed/>
    <w:locked/>
    <w:rsid w:val="00425678"/>
  </w:style>
  <w:style w:type="table" w:styleId="MediumShading1">
    <w:name w:val="Medium Shading 1"/>
    <w:basedOn w:val="TableNormal"/>
    <w:uiPriority w:val="63"/>
    <w:rsid w:val="007C1DAD"/>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LightGrid">
    <w:name w:val="Light Grid"/>
    <w:basedOn w:val="TableNormal"/>
    <w:uiPriority w:val="62"/>
    <w:rsid w:val="007C1DAD"/>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customStyle="1" w:styleId="Boxtextbullets">
    <w:name w:val="Box text bullets"/>
    <w:basedOn w:val="Normal"/>
    <w:qFormat/>
    <w:rsid w:val="002F429D"/>
    <w:pPr>
      <w:numPr>
        <w:numId w:val="15"/>
      </w:numPr>
      <w:tabs>
        <w:tab w:val="left" w:pos="216"/>
      </w:tabs>
      <w:ind w:left="216" w:hanging="216"/>
    </w:pPr>
    <w:rPr>
      <w:rFonts w:asciiTheme="minorHAnsi" w:hAnsiTheme="minorHAnsi" w:cs="Arial"/>
      <w:noProof/>
      <w:sz w:val="18"/>
      <w:szCs w:val="20"/>
    </w:rPr>
  </w:style>
  <w:style w:type="paragraph" w:customStyle="1" w:styleId="Protocol">
    <w:name w:val="Protocol"/>
    <w:basedOn w:val="NoSpacing"/>
    <w:link w:val="ProtocolChar"/>
    <w:autoRedefine/>
    <w:qFormat/>
    <w:rsid w:val="008A26A9"/>
    <w:pPr>
      <w:spacing w:before="200" w:after="80"/>
    </w:pPr>
    <w:rPr>
      <w:rFonts w:asciiTheme="minorHAnsi" w:hAnsiTheme="minorHAnsi" w:cstheme="minorBidi"/>
      <w:b/>
    </w:rPr>
  </w:style>
  <w:style w:type="character" w:customStyle="1" w:styleId="ProtocolChar">
    <w:name w:val="Protocol Char"/>
    <w:basedOn w:val="DefaultParagraphFont"/>
    <w:link w:val="Protocol"/>
    <w:rsid w:val="008A26A9"/>
    <w:rPr>
      <w:rFonts w:asciiTheme="minorHAnsi" w:hAnsiTheme="minorHAnsi" w:cstheme="minorBidi"/>
      <w:b/>
      <w:sz w:val="24"/>
      <w:szCs w:val="24"/>
    </w:rPr>
  </w:style>
  <w:style w:type="paragraph" w:styleId="NoSpacing">
    <w:name w:val="No Spacing"/>
    <w:uiPriority w:val="1"/>
    <w:qFormat/>
    <w:rsid w:val="008A26A9"/>
    <w:rPr>
      <w:sz w:val="24"/>
      <w:szCs w:val="24"/>
    </w:rPr>
  </w:style>
  <w:style w:type="table" w:customStyle="1" w:styleId="TableGrid2">
    <w:name w:val="Table Grid2"/>
    <w:basedOn w:val="TableNormal"/>
    <w:next w:val="TableGrid"/>
    <w:rsid w:val="00980128"/>
    <w:pPr>
      <w:spacing w:before="200" w:after="80"/>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basedOn w:val="Normal"/>
    <w:link w:val="Normal1Char"/>
    <w:qFormat/>
    <w:rsid w:val="00454937"/>
    <w:rPr>
      <w:rFonts w:cs="Arial"/>
    </w:rPr>
  </w:style>
  <w:style w:type="character" w:customStyle="1" w:styleId="Normal1Char">
    <w:name w:val="Normal1 Char"/>
    <w:basedOn w:val="DefaultParagraphFont"/>
    <w:link w:val="Normal1"/>
    <w:rsid w:val="00454937"/>
    <w:rPr>
      <w:rFonts w:cs="Arial"/>
      <w:sz w:val="24"/>
      <w:szCs w:val="24"/>
    </w:rPr>
  </w:style>
  <w:style w:type="paragraph" w:styleId="EndnoteText">
    <w:name w:val="endnote text"/>
    <w:basedOn w:val="Normal"/>
    <w:link w:val="EndnoteTextChar"/>
    <w:uiPriority w:val="99"/>
    <w:semiHidden/>
    <w:unhideWhenUsed/>
    <w:locked/>
    <w:rsid w:val="00B536C9"/>
    <w:rPr>
      <w:sz w:val="20"/>
      <w:szCs w:val="20"/>
    </w:rPr>
  </w:style>
  <w:style w:type="character" w:customStyle="1" w:styleId="EndnoteTextChar">
    <w:name w:val="Endnote Text Char"/>
    <w:basedOn w:val="DefaultParagraphFont"/>
    <w:link w:val="EndnoteText"/>
    <w:uiPriority w:val="99"/>
    <w:semiHidden/>
    <w:rsid w:val="00B536C9"/>
  </w:style>
  <w:style w:type="character" w:styleId="EndnoteReference">
    <w:name w:val="endnote reference"/>
    <w:basedOn w:val="DefaultParagraphFont"/>
    <w:uiPriority w:val="99"/>
    <w:semiHidden/>
    <w:unhideWhenUsed/>
    <w:locked/>
    <w:rsid w:val="00B536C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9750954">
      <w:bodyDiv w:val="1"/>
      <w:marLeft w:val="0"/>
      <w:marRight w:val="0"/>
      <w:marTop w:val="0"/>
      <w:marBottom w:val="0"/>
      <w:divBdr>
        <w:top w:val="none" w:sz="0" w:space="0" w:color="auto"/>
        <w:left w:val="none" w:sz="0" w:space="0" w:color="auto"/>
        <w:bottom w:val="none" w:sz="0" w:space="0" w:color="auto"/>
        <w:right w:val="none" w:sz="0" w:space="0" w:color="auto"/>
      </w:divBdr>
    </w:div>
    <w:div w:id="303393789">
      <w:bodyDiv w:val="1"/>
      <w:marLeft w:val="0"/>
      <w:marRight w:val="0"/>
      <w:marTop w:val="0"/>
      <w:marBottom w:val="0"/>
      <w:divBdr>
        <w:top w:val="none" w:sz="0" w:space="0" w:color="auto"/>
        <w:left w:val="none" w:sz="0" w:space="0" w:color="auto"/>
        <w:bottom w:val="none" w:sz="0" w:space="0" w:color="auto"/>
        <w:right w:val="none" w:sz="0" w:space="0" w:color="auto"/>
      </w:divBdr>
    </w:div>
    <w:div w:id="1178039970">
      <w:bodyDiv w:val="1"/>
      <w:marLeft w:val="0"/>
      <w:marRight w:val="0"/>
      <w:marTop w:val="0"/>
      <w:marBottom w:val="0"/>
      <w:divBdr>
        <w:top w:val="none" w:sz="0" w:space="0" w:color="auto"/>
        <w:left w:val="none" w:sz="0" w:space="0" w:color="auto"/>
        <w:bottom w:val="none" w:sz="0" w:space="0" w:color="auto"/>
        <w:right w:val="none" w:sz="0" w:space="0" w:color="auto"/>
      </w:divBdr>
    </w:div>
    <w:div w:id="1227372570">
      <w:bodyDiv w:val="1"/>
      <w:marLeft w:val="0"/>
      <w:marRight w:val="0"/>
      <w:marTop w:val="0"/>
      <w:marBottom w:val="0"/>
      <w:divBdr>
        <w:top w:val="none" w:sz="0" w:space="0" w:color="auto"/>
        <w:left w:val="none" w:sz="0" w:space="0" w:color="auto"/>
        <w:bottom w:val="none" w:sz="0" w:space="0" w:color="auto"/>
        <w:right w:val="none" w:sz="0" w:space="0" w:color="auto"/>
      </w:divBdr>
    </w:div>
    <w:div w:id="1252737991">
      <w:bodyDiv w:val="1"/>
      <w:marLeft w:val="0"/>
      <w:marRight w:val="0"/>
      <w:marTop w:val="0"/>
      <w:marBottom w:val="0"/>
      <w:divBdr>
        <w:top w:val="none" w:sz="0" w:space="0" w:color="auto"/>
        <w:left w:val="none" w:sz="0" w:space="0" w:color="auto"/>
        <w:bottom w:val="none" w:sz="0" w:space="0" w:color="auto"/>
        <w:right w:val="none" w:sz="0" w:space="0" w:color="auto"/>
      </w:divBdr>
    </w:div>
    <w:div w:id="1573083227">
      <w:marLeft w:val="0"/>
      <w:marRight w:val="0"/>
      <w:marTop w:val="0"/>
      <w:marBottom w:val="0"/>
      <w:divBdr>
        <w:top w:val="none" w:sz="0" w:space="0" w:color="auto"/>
        <w:left w:val="none" w:sz="0" w:space="0" w:color="auto"/>
        <w:bottom w:val="none" w:sz="0" w:space="0" w:color="auto"/>
        <w:right w:val="none" w:sz="0" w:space="0" w:color="auto"/>
      </w:divBdr>
    </w:div>
    <w:div w:id="1573083228">
      <w:marLeft w:val="0"/>
      <w:marRight w:val="0"/>
      <w:marTop w:val="0"/>
      <w:marBottom w:val="0"/>
      <w:divBdr>
        <w:top w:val="none" w:sz="0" w:space="0" w:color="auto"/>
        <w:left w:val="none" w:sz="0" w:space="0" w:color="auto"/>
        <w:bottom w:val="none" w:sz="0" w:space="0" w:color="auto"/>
        <w:right w:val="none" w:sz="0" w:space="0" w:color="auto"/>
      </w:divBdr>
    </w:div>
    <w:div w:id="1573083229">
      <w:marLeft w:val="0"/>
      <w:marRight w:val="0"/>
      <w:marTop w:val="0"/>
      <w:marBottom w:val="0"/>
      <w:divBdr>
        <w:top w:val="none" w:sz="0" w:space="0" w:color="auto"/>
        <w:left w:val="none" w:sz="0" w:space="0" w:color="auto"/>
        <w:bottom w:val="none" w:sz="0" w:space="0" w:color="auto"/>
        <w:right w:val="none" w:sz="0" w:space="0" w:color="auto"/>
      </w:divBdr>
    </w:div>
    <w:div w:id="1573083230">
      <w:marLeft w:val="0"/>
      <w:marRight w:val="0"/>
      <w:marTop w:val="0"/>
      <w:marBottom w:val="0"/>
      <w:divBdr>
        <w:top w:val="none" w:sz="0" w:space="0" w:color="auto"/>
        <w:left w:val="none" w:sz="0" w:space="0" w:color="auto"/>
        <w:bottom w:val="none" w:sz="0" w:space="0" w:color="auto"/>
        <w:right w:val="none" w:sz="0" w:space="0" w:color="auto"/>
      </w:divBdr>
    </w:div>
    <w:div w:id="1573083231">
      <w:marLeft w:val="0"/>
      <w:marRight w:val="0"/>
      <w:marTop w:val="0"/>
      <w:marBottom w:val="0"/>
      <w:divBdr>
        <w:top w:val="none" w:sz="0" w:space="0" w:color="auto"/>
        <w:left w:val="none" w:sz="0" w:space="0" w:color="auto"/>
        <w:bottom w:val="none" w:sz="0" w:space="0" w:color="auto"/>
        <w:right w:val="none" w:sz="0" w:space="0" w:color="auto"/>
      </w:divBdr>
    </w:div>
    <w:div w:id="1573083232">
      <w:marLeft w:val="0"/>
      <w:marRight w:val="0"/>
      <w:marTop w:val="0"/>
      <w:marBottom w:val="0"/>
      <w:divBdr>
        <w:top w:val="none" w:sz="0" w:space="0" w:color="auto"/>
        <w:left w:val="none" w:sz="0" w:space="0" w:color="auto"/>
        <w:bottom w:val="none" w:sz="0" w:space="0" w:color="auto"/>
        <w:right w:val="none" w:sz="0" w:space="0" w:color="auto"/>
      </w:divBdr>
    </w:div>
    <w:div w:id="1573083233">
      <w:marLeft w:val="0"/>
      <w:marRight w:val="0"/>
      <w:marTop w:val="0"/>
      <w:marBottom w:val="0"/>
      <w:divBdr>
        <w:top w:val="none" w:sz="0" w:space="0" w:color="auto"/>
        <w:left w:val="none" w:sz="0" w:space="0" w:color="auto"/>
        <w:bottom w:val="none" w:sz="0" w:space="0" w:color="auto"/>
        <w:right w:val="none" w:sz="0" w:space="0" w:color="auto"/>
      </w:divBdr>
    </w:div>
    <w:div w:id="1573083234">
      <w:marLeft w:val="0"/>
      <w:marRight w:val="0"/>
      <w:marTop w:val="0"/>
      <w:marBottom w:val="0"/>
      <w:divBdr>
        <w:top w:val="none" w:sz="0" w:space="0" w:color="auto"/>
        <w:left w:val="none" w:sz="0" w:space="0" w:color="auto"/>
        <w:bottom w:val="none" w:sz="0" w:space="0" w:color="auto"/>
        <w:right w:val="none" w:sz="0" w:space="0" w:color="auto"/>
      </w:divBdr>
    </w:div>
    <w:div w:id="1573083235">
      <w:marLeft w:val="0"/>
      <w:marRight w:val="0"/>
      <w:marTop w:val="0"/>
      <w:marBottom w:val="0"/>
      <w:divBdr>
        <w:top w:val="none" w:sz="0" w:space="0" w:color="auto"/>
        <w:left w:val="none" w:sz="0" w:space="0" w:color="auto"/>
        <w:bottom w:val="none" w:sz="0" w:space="0" w:color="auto"/>
        <w:right w:val="none" w:sz="0" w:space="0" w:color="auto"/>
      </w:divBdr>
    </w:div>
    <w:div w:id="1573083236">
      <w:marLeft w:val="0"/>
      <w:marRight w:val="0"/>
      <w:marTop w:val="0"/>
      <w:marBottom w:val="0"/>
      <w:divBdr>
        <w:top w:val="none" w:sz="0" w:space="0" w:color="auto"/>
        <w:left w:val="none" w:sz="0" w:space="0" w:color="auto"/>
        <w:bottom w:val="none" w:sz="0" w:space="0" w:color="auto"/>
        <w:right w:val="none" w:sz="0" w:space="0" w:color="auto"/>
      </w:divBdr>
    </w:div>
    <w:div w:id="1573083237">
      <w:marLeft w:val="0"/>
      <w:marRight w:val="0"/>
      <w:marTop w:val="0"/>
      <w:marBottom w:val="0"/>
      <w:divBdr>
        <w:top w:val="none" w:sz="0" w:space="0" w:color="auto"/>
        <w:left w:val="none" w:sz="0" w:space="0" w:color="auto"/>
        <w:bottom w:val="none" w:sz="0" w:space="0" w:color="auto"/>
        <w:right w:val="none" w:sz="0" w:space="0" w:color="auto"/>
      </w:divBdr>
    </w:div>
    <w:div w:id="1573083238">
      <w:marLeft w:val="0"/>
      <w:marRight w:val="0"/>
      <w:marTop w:val="0"/>
      <w:marBottom w:val="0"/>
      <w:divBdr>
        <w:top w:val="none" w:sz="0" w:space="0" w:color="auto"/>
        <w:left w:val="none" w:sz="0" w:space="0" w:color="auto"/>
        <w:bottom w:val="none" w:sz="0" w:space="0" w:color="auto"/>
        <w:right w:val="none" w:sz="0" w:space="0" w:color="auto"/>
      </w:divBdr>
    </w:div>
    <w:div w:id="1573083239">
      <w:marLeft w:val="0"/>
      <w:marRight w:val="0"/>
      <w:marTop w:val="0"/>
      <w:marBottom w:val="0"/>
      <w:divBdr>
        <w:top w:val="none" w:sz="0" w:space="0" w:color="auto"/>
        <w:left w:val="none" w:sz="0" w:space="0" w:color="auto"/>
        <w:bottom w:val="none" w:sz="0" w:space="0" w:color="auto"/>
        <w:right w:val="none" w:sz="0" w:space="0" w:color="auto"/>
      </w:divBdr>
    </w:div>
    <w:div w:id="1573083240">
      <w:marLeft w:val="0"/>
      <w:marRight w:val="0"/>
      <w:marTop w:val="0"/>
      <w:marBottom w:val="0"/>
      <w:divBdr>
        <w:top w:val="none" w:sz="0" w:space="0" w:color="auto"/>
        <w:left w:val="none" w:sz="0" w:space="0" w:color="auto"/>
        <w:bottom w:val="none" w:sz="0" w:space="0" w:color="auto"/>
        <w:right w:val="none" w:sz="0" w:space="0" w:color="auto"/>
      </w:divBdr>
    </w:div>
    <w:div w:id="1573083241">
      <w:marLeft w:val="0"/>
      <w:marRight w:val="0"/>
      <w:marTop w:val="0"/>
      <w:marBottom w:val="0"/>
      <w:divBdr>
        <w:top w:val="none" w:sz="0" w:space="0" w:color="auto"/>
        <w:left w:val="none" w:sz="0" w:space="0" w:color="auto"/>
        <w:bottom w:val="none" w:sz="0" w:space="0" w:color="auto"/>
        <w:right w:val="none" w:sz="0" w:space="0" w:color="auto"/>
      </w:divBdr>
    </w:div>
    <w:div w:id="1573083242">
      <w:marLeft w:val="0"/>
      <w:marRight w:val="0"/>
      <w:marTop w:val="0"/>
      <w:marBottom w:val="0"/>
      <w:divBdr>
        <w:top w:val="none" w:sz="0" w:space="0" w:color="auto"/>
        <w:left w:val="none" w:sz="0" w:space="0" w:color="auto"/>
        <w:bottom w:val="none" w:sz="0" w:space="0" w:color="auto"/>
        <w:right w:val="none" w:sz="0" w:space="0" w:color="auto"/>
      </w:divBdr>
    </w:div>
    <w:div w:id="1573083243">
      <w:marLeft w:val="0"/>
      <w:marRight w:val="0"/>
      <w:marTop w:val="0"/>
      <w:marBottom w:val="0"/>
      <w:divBdr>
        <w:top w:val="none" w:sz="0" w:space="0" w:color="auto"/>
        <w:left w:val="none" w:sz="0" w:space="0" w:color="auto"/>
        <w:bottom w:val="none" w:sz="0" w:space="0" w:color="auto"/>
        <w:right w:val="none" w:sz="0" w:space="0" w:color="auto"/>
      </w:divBdr>
    </w:div>
    <w:div w:id="1573083244">
      <w:marLeft w:val="0"/>
      <w:marRight w:val="0"/>
      <w:marTop w:val="0"/>
      <w:marBottom w:val="0"/>
      <w:divBdr>
        <w:top w:val="none" w:sz="0" w:space="0" w:color="auto"/>
        <w:left w:val="none" w:sz="0" w:space="0" w:color="auto"/>
        <w:bottom w:val="none" w:sz="0" w:space="0" w:color="auto"/>
        <w:right w:val="none" w:sz="0" w:space="0" w:color="auto"/>
      </w:divBdr>
    </w:div>
    <w:div w:id="1573083245">
      <w:marLeft w:val="0"/>
      <w:marRight w:val="0"/>
      <w:marTop w:val="0"/>
      <w:marBottom w:val="0"/>
      <w:divBdr>
        <w:top w:val="none" w:sz="0" w:space="0" w:color="auto"/>
        <w:left w:val="none" w:sz="0" w:space="0" w:color="auto"/>
        <w:bottom w:val="none" w:sz="0" w:space="0" w:color="auto"/>
        <w:right w:val="none" w:sz="0" w:space="0" w:color="auto"/>
      </w:divBdr>
    </w:div>
    <w:div w:id="1573083246">
      <w:marLeft w:val="0"/>
      <w:marRight w:val="0"/>
      <w:marTop w:val="0"/>
      <w:marBottom w:val="0"/>
      <w:divBdr>
        <w:top w:val="none" w:sz="0" w:space="0" w:color="auto"/>
        <w:left w:val="none" w:sz="0" w:space="0" w:color="auto"/>
        <w:bottom w:val="none" w:sz="0" w:space="0" w:color="auto"/>
        <w:right w:val="none" w:sz="0" w:space="0" w:color="auto"/>
      </w:divBdr>
    </w:div>
    <w:div w:id="1573083247">
      <w:marLeft w:val="0"/>
      <w:marRight w:val="0"/>
      <w:marTop w:val="0"/>
      <w:marBottom w:val="0"/>
      <w:divBdr>
        <w:top w:val="none" w:sz="0" w:space="0" w:color="auto"/>
        <w:left w:val="none" w:sz="0" w:space="0" w:color="auto"/>
        <w:bottom w:val="none" w:sz="0" w:space="0" w:color="auto"/>
        <w:right w:val="none" w:sz="0" w:space="0" w:color="auto"/>
      </w:divBdr>
    </w:div>
    <w:div w:id="1675034645">
      <w:bodyDiv w:val="1"/>
      <w:marLeft w:val="0"/>
      <w:marRight w:val="0"/>
      <w:marTop w:val="0"/>
      <w:marBottom w:val="0"/>
      <w:divBdr>
        <w:top w:val="none" w:sz="0" w:space="0" w:color="auto"/>
        <w:left w:val="none" w:sz="0" w:space="0" w:color="auto"/>
        <w:bottom w:val="none" w:sz="0" w:space="0" w:color="auto"/>
        <w:right w:val="none" w:sz="0" w:space="0" w:color="auto"/>
      </w:divBdr>
    </w:div>
    <w:div w:id="1712731471">
      <w:bodyDiv w:val="1"/>
      <w:marLeft w:val="0"/>
      <w:marRight w:val="0"/>
      <w:marTop w:val="0"/>
      <w:marBottom w:val="0"/>
      <w:divBdr>
        <w:top w:val="none" w:sz="0" w:space="0" w:color="auto"/>
        <w:left w:val="none" w:sz="0" w:space="0" w:color="auto"/>
        <w:bottom w:val="none" w:sz="0" w:space="0" w:color="auto"/>
        <w:right w:val="none" w:sz="0" w:space="0" w:color="auto"/>
      </w:divBdr>
    </w:div>
    <w:div w:id="1786196142">
      <w:bodyDiv w:val="1"/>
      <w:marLeft w:val="0"/>
      <w:marRight w:val="0"/>
      <w:marTop w:val="0"/>
      <w:marBottom w:val="0"/>
      <w:divBdr>
        <w:top w:val="none" w:sz="0" w:space="0" w:color="auto"/>
        <w:left w:val="none" w:sz="0" w:space="0" w:color="auto"/>
        <w:bottom w:val="none" w:sz="0" w:space="0" w:color="auto"/>
        <w:right w:val="none" w:sz="0" w:space="0" w:color="auto"/>
      </w:divBdr>
    </w:div>
    <w:div w:id="1853372749">
      <w:bodyDiv w:val="1"/>
      <w:marLeft w:val="0"/>
      <w:marRight w:val="0"/>
      <w:marTop w:val="0"/>
      <w:marBottom w:val="0"/>
      <w:divBdr>
        <w:top w:val="none" w:sz="0" w:space="0" w:color="auto"/>
        <w:left w:val="none" w:sz="0" w:space="0" w:color="auto"/>
        <w:bottom w:val="none" w:sz="0" w:space="0" w:color="auto"/>
        <w:right w:val="none" w:sz="0" w:space="0" w:color="auto"/>
      </w:divBdr>
    </w:div>
    <w:div w:id="2031645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cityofchicago.org/content/dam/city/depts/cdph/HIV_STI/HIV_STISurveillanceReport2015_revised.pdf"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cdc.gov/hiv/pdf/prepguidelines2014.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DGelaude@cdc.gov" TargetMode="External"/><Relationship Id="rId14" Type="http://schemas.openxmlformats.org/officeDocument/2006/relationships/hyperlink" Target="https://aidsvu.org/state/north-carolina/raleig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9C0F96-4E0B-46EE-B0D0-D4A4D46041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3984</Words>
  <Characters>22711</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SUPPORTING STATEMENT FOR PAPERWORK REDUCTION ACT 1995</vt:lpstr>
    </vt:vector>
  </TitlesOfParts>
  <Company>The Urban Institute</Company>
  <LinksUpToDate>false</LinksUpToDate>
  <CharactersWithSpaces>26642</CharactersWithSpaces>
  <SharedDoc>false</SharedDoc>
  <HLinks>
    <vt:vector size="96" baseType="variant">
      <vt:variant>
        <vt:i4>5832721</vt:i4>
      </vt:variant>
      <vt:variant>
        <vt:i4>99</vt:i4>
      </vt:variant>
      <vt:variant>
        <vt:i4>0</vt:i4>
      </vt:variant>
      <vt:variant>
        <vt:i4>5</vt:i4>
      </vt:variant>
      <vt:variant>
        <vt:lpwstr>tel:443.539.0223</vt:lpwstr>
      </vt:variant>
      <vt:variant>
        <vt:lpwstr/>
      </vt:variant>
      <vt:variant>
        <vt:i4>5046387</vt:i4>
      </vt:variant>
      <vt:variant>
        <vt:i4>96</vt:i4>
      </vt:variant>
      <vt:variant>
        <vt:i4>0</vt:i4>
      </vt:variant>
      <vt:variant>
        <vt:i4>5</vt:i4>
      </vt:variant>
      <vt:variant>
        <vt:lpwstr>mailto:egall@impaqint.com</vt:lpwstr>
      </vt:variant>
      <vt:variant>
        <vt:lpwstr/>
      </vt:variant>
      <vt:variant>
        <vt:i4>5832721</vt:i4>
      </vt:variant>
      <vt:variant>
        <vt:i4>93</vt:i4>
      </vt:variant>
      <vt:variant>
        <vt:i4>0</vt:i4>
      </vt:variant>
      <vt:variant>
        <vt:i4>5</vt:i4>
      </vt:variant>
      <vt:variant>
        <vt:lpwstr>tel:443.539.0223</vt:lpwstr>
      </vt:variant>
      <vt:variant>
        <vt:lpwstr/>
      </vt:variant>
      <vt:variant>
        <vt:i4>4718603</vt:i4>
      </vt:variant>
      <vt:variant>
        <vt:i4>79</vt:i4>
      </vt:variant>
      <vt:variant>
        <vt:i4>0</vt:i4>
      </vt:variant>
      <vt:variant>
        <vt:i4>5</vt:i4>
      </vt:variant>
      <vt:variant>
        <vt:lpwstr/>
      </vt:variant>
      <vt:variant>
        <vt:lpwstr>_ENREF_9</vt:lpwstr>
      </vt:variant>
      <vt:variant>
        <vt:i4>4456459</vt:i4>
      </vt:variant>
      <vt:variant>
        <vt:i4>71</vt:i4>
      </vt:variant>
      <vt:variant>
        <vt:i4>0</vt:i4>
      </vt:variant>
      <vt:variant>
        <vt:i4>5</vt:i4>
      </vt:variant>
      <vt:variant>
        <vt:lpwstr/>
      </vt:variant>
      <vt:variant>
        <vt:lpwstr>_ENREF_5</vt:lpwstr>
      </vt:variant>
      <vt:variant>
        <vt:i4>4390923</vt:i4>
      </vt:variant>
      <vt:variant>
        <vt:i4>65</vt:i4>
      </vt:variant>
      <vt:variant>
        <vt:i4>0</vt:i4>
      </vt:variant>
      <vt:variant>
        <vt:i4>5</vt:i4>
      </vt:variant>
      <vt:variant>
        <vt:lpwstr/>
      </vt:variant>
      <vt:variant>
        <vt:lpwstr>_ENREF_2</vt:lpwstr>
      </vt:variant>
      <vt:variant>
        <vt:i4>4325387</vt:i4>
      </vt:variant>
      <vt:variant>
        <vt:i4>57</vt:i4>
      </vt:variant>
      <vt:variant>
        <vt:i4>0</vt:i4>
      </vt:variant>
      <vt:variant>
        <vt:i4>5</vt:i4>
      </vt:variant>
      <vt:variant>
        <vt:lpwstr/>
      </vt:variant>
      <vt:variant>
        <vt:lpwstr>_ENREF_3</vt:lpwstr>
      </vt:variant>
      <vt:variant>
        <vt:i4>4390923</vt:i4>
      </vt:variant>
      <vt:variant>
        <vt:i4>51</vt:i4>
      </vt:variant>
      <vt:variant>
        <vt:i4>0</vt:i4>
      </vt:variant>
      <vt:variant>
        <vt:i4>5</vt:i4>
      </vt:variant>
      <vt:variant>
        <vt:lpwstr/>
      </vt:variant>
      <vt:variant>
        <vt:lpwstr>_ENREF_2</vt:lpwstr>
      </vt:variant>
      <vt:variant>
        <vt:i4>4194315</vt:i4>
      </vt:variant>
      <vt:variant>
        <vt:i4>45</vt:i4>
      </vt:variant>
      <vt:variant>
        <vt:i4>0</vt:i4>
      </vt:variant>
      <vt:variant>
        <vt:i4>5</vt:i4>
      </vt:variant>
      <vt:variant>
        <vt:lpwstr/>
      </vt:variant>
      <vt:variant>
        <vt:lpwstr>_ENREF_1</vt:lpwstr>
      </vt:variant>
      <vt:variant>
        <vt:i4>1703991</vt:i4>
      </vt:variant>
      <vt:variant>
        <vt:i4>38</vt:i4>
      </vt:variant>
      <vt:variant>
        <vt:i4>0</vt:i4>
      </vt:variant>
      <vt:variant>
        <vt:i4>5</vt:i4>
      </vt:variant>
      <vt:variant>
        <vt:lpwstr/>
      </vt:variant>
      <vt:variant>
        <vt:lpwstr>_Toc375299811</vt:lpwstr>
      </vt:variant>
      <vt:variant>
        <vt:i4>1703991</vt:i4>
      </vt:variant>
      <vt:variant>
        <vt:i4>32</vt:i4>
      </vt:variant>
      <vt:variant>
        <vt:i4>0</vt:i4>
      </vt:variant>
      <vt:variant>
        <vt:i4>5</vt:i4>
      </vt:variant>
      <vt:variant>
        <vt:lpwstr/>
      </vt:variant>
      <vt:variant>
        <vt:lpwstr>_Toc375299810</vt:lpwstr>
      </vt:variant>
      <vt:variant>
        <vt:i4>1769527</vt:i4>
      </vt:variant>
      <vt:variant>
        <vt:i4>26</vt:i4>
      </vt:variant>
      <vt:variant>
        <vt:i4>0</vt:i4>
      </vt:variant>
      <vt:variant>
        <vt:i4>5</vt:i4>
      </vt:variant>
      <vt:variant>
        <vt:lpwstr/>
      </vt:variant>
      <vt:variant>
        <vt:lpwstr>_Toc375299809</vt:lpwstr>
      </vt:variant>
      <vt:variant>
        <vt:i4>1769527</vt:i4>
      </vt:variant>
      <vt:variant>
        <vt:i4>20</vt:i4>
      </vt:variant>
      <vt:variant>
        <vt:i4>0</vt:i4>
      </vt:variant>
      <vt:variant>
        <vt:i4>5</vt:i4>
      </vt:variant>
      <vt:variant>
        <vt:lpwstr/>
      </vt:variant>
      <vt:variant>
        <vt:lpwstr>_Toc375299808</vt:lpwstr>
      </vt:variant>
      <vt:variant>
        <vt:i4>1769527</vt:i4>
      </vt:variant>
      <vt:variant>
        <vt:i4>14</vt:i4>
      </vt:variant>
      <vt:variant>
        <vt:i4>0</vt:i4>
      </vt:variant>
      <vt:variant>
        <vt:i4>5</vt:i4>
      </vt:variant>
      <vt:variant>
        <vt:lpwstr/>
      </vt:variant>
      <vt:variant>
        <vt:lpwstr>_Toc375299807</vt:lpwstr>
      </vt:variant>
      <vt:variant>
        <vt:i4>1769527</vt:i4>
      </vt:variant>
      <vt:variant>
        <vt:i4>8</vt:i4>
      </vt:variant>
      <vt:variant>
        <vt:i4>0</vt:i4>
      </vt:variant>
      <vt:variant>
        <vt:i4>5</vt:i4>
      </vt:variant>
      <vt:variant>
        <vt:lpwstr/>
      </vt:variant>
      <vt:variant>
        <vt:lpwstr>_Toc375299806</vt:lpwstr>
      </vt:variant>
      <vt:variant>
        <vt:i4>1769527</vt:i4>
      </vt:variant>
      <vt:variant>
        <vt:i4>2</vt:i4>
      </vt:variant>
      <vt:variant>
        <vt:i4>0</vt:i4>
      </vt:variant>
      <vt:variant>
        <vt:i4>5</vt:i4>
      </vt:variant>
      <vt:variant>
        <vt:lpwstr/>
      </vt:variant>
      <vt:variant>
        <vt:lpwstr>_Toc375299805</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1995</dc:title>
  <dc:creator>Administrator</dc:creator>
  <cp:lastModifiedBy>SYSTEM</cp:lastModifiedBy>
  <cp:revision>2</cp:revision>
  <cp:lastPrinted>2017-06-23T12:19:00Z</cp:lastPrinted>
  <dcterms:created xsi:type="dcterms:W3CDTF">2018-09-07T18:54:00Z</dcterms:created>
  <dcterms:modified xsi:type="dcterms:W3CDTF">2018-09-07T18:54:00Z</dcterms:modified>
</cp:coreProperties>
</file>