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358" w:rsidRPr="00603813" w:rsidRDefault="00225110" w:rsidP="00663ACB">
      <w:pPr>
        <w:autoSpaceDE w:val="0"/>
        <w:autoSpaceDN w:val="0"/>
        <w:adjustRightInd w:val="0"/>
        <w:jc w:val="center"/>
        <w:rPr>
          <w:b/>
          <w:bCs/>
        </w:rPr>
      </w:pPr>
      <w:bookmarkStart w:id="0" w:name="_GoBack"/>
      <w:bookmarkEnd w:id="0"/>
      <w:r>
        <w:rPr>
          <w:b/>
          <w:bCs/>
        </w:rPr>
        <w:t xml:space="preserve">Understanding Decisions and Barriers </w:t>
      </w:r>
      <w:r w:rsidR="00F61A5F">
        <w:rPr>
          <w:b/>
          <w:bCs/>
        </w:rPr>
        <w:t xml:space="preserve">about PrEP Use </w:t>
      </w:r>
      <w:r w:rsidR="00663ACB">
        <w:rPr>
          <w:b/>
          <w:bCs/>
        </w:rPr>
        <w:t>and Uptake Among</w:t>
      </w:r>
      <w:r>
        <w:rPr>
          <w:b/>
          <w:bCs/>
        </w:rPr>
        <w:t xml:space="preserve"> Men Who Have Sex With Men</w:t>
      </w:r>
    </w:p>
    <w:p w:rsidR="00225110" w:rsidRDefault="00225110" w:rsidP="00CF4863">
      <w:pPr>
        <w:jc w:val="center"/>
        <w:rPr>
          <w:b/>
        </w:rPr>
      </w:pPr>
    </w:p>
    <w:p w:rsidR="00CF4863" w:rsidRPr="00603813" w:rsidRDefault="00CF4863" w:rsidP="00CF4863">
      <w:pPr>
        <w:jc w:val="center"/>
        <w:rPr>
          <w:b/>
        </w:rPr>
      </w:pPr>
    </w:p>
    <w:p w:rsidR="002124C3" w:rsidRPr="00603813" w:rsidRDefault="002124C3" w:rsidP="00CF4863">
      <w:pPr>
        <w:jc w:val="center"/>
        <w:rPr>
          <w:b/>
        </w:rPr>
      </w:pPr>
    </w:p>
    <w:p w:rsidR="002124C3" w:rsidRPr="00603813" w:rsidRDefault="002124C3" w:rsidP="00CF4863">
      <w:pPr>
        <w:jc w:val="center"/>
        <w:rPr>
          <w:b/>
        </w:rPr>
      </w:pPr>
    </w:p>
    <w:p w:rsidR="002124C3" w:rsidRPr="00603813" w:rsidRDefault="002124C3" w:rsidP="00CF4863">
      <w:pPr>
        <w:jc w:val="center"/>
        <w:rPr>
          <w:b/>
        </w:rPr>
      </w:pPr>
    </w:p>
    <w:p w:rsidR="002124C3" w:rsidRPr="00603813" w:rsidRDefault="00450B2B" w:rsidP="00CF4863">
      <w:pPr>
        <w:jc w:val="center"/>
        <w:rPr>
          <w:b/>
        </w:rPr>
      </w:pPr>
      <w:r>
        <w:rPr>
          <w:b/>
        </w:rPr>
        <w:t>OMB# 0920-New</w:t>
      </w:r>
    </w:p>
    <w:p w:rsidR="002124C3" w:rsidRPr="00603813" w:rsidRDefault="002124C3" w:rsidP="00CF4863">
      <w:pPr>
        <w:jc w:val="center"/>
        <w:rPr>
          <w:b/>
        </w:rPr>
      </w:pPr>
      <w:r w:rsidRPr="00603813">
        <w:rPr>
          <w:b/>
        </w:rPr>
        <w:t>Section A: Supporting Statement</w:t>
      </w:r>
    </w:p>
    <w:p w:rsidR="002124C3" w:rsidRPr="00603813" w:rsidRDefault="002124C3" w:rsidP="00CF4863">
      <w:pPr>
        <w:jc w:val="center"/>
        <w:rPr>
          <w:b/>
        </w:rPr>
      </w:pPr>
    </w:p>
    <w:p w:rsidR="002124C3" w:rsidRPr="00603813" w:rsidRDefault="002124C3" w:rsidP="00CF4863">
      <w:pPr>
        <w:jc w:val="center"/>
        <w:rPr>
          <w:b/>
        </w:rPr>
      </w:pPr>
    </w:p>
    <w:p w:rsidR="002124C3" w:rsidRPr="00603813" w:rsidRDefault="002124C3" w:rsidP="00CF4863">
      <w:pPr>
        <w:jc w:val="center"/>
        <w:rPr>
          <w:b/>
        </w:rPr>
      </w:pPr>
    </w:p>
    <w:p w:rsidR="002124C3" w:rsidRPr="001662E4" w:rsidRDefault="000F1434" w:rsidP="00CF4863">
      <w:pPr>
        <w:jc w:val="center"/>
      </w:pPr>
      <w:r>
        <w:t>July 26</w:t>
      </w:r>
      <w:r w:rsidR="001662E4" w:rsidRPr="001662E4">
        <w:t>, 2018</w:t>
      </w:r>
    </w:p>
    <w:p w:rsidR="002124C3" w:rsidRPr="00603813" w:rsidRDefault="002124C3" w:rsidP="001C6F7A">
      <w:pPr>
        <w:jc w:val="center"/>
        <w:rPr>
          <w:b/>
        </w:rPr>
      </w:pPr>
    </w:p>
    <w:p w:rsidR="002124C3" w:rsidRPr="00603813" w:rsidRDefault="002124C3" w:rsidP="001C6F7A">
      <w:pPr>
        <w:jc w:val="center"/>
        <w:rPr>
          <w:b/>
        </w:rPr>
      </w:pPr>
    </w:p>
    <w:p w:rsidR="002124C3" w:rsidRPr="00603813" w:rsidRDefault="002124C3" w:rsidP="001C6F7A">
      <w:pPr>
        <w:jc w:val="center"/>
        <w:rPr>
          <w:b/>
        </w:rPr>
      </w:pPr>
    </w:p>
    <w:p w:rsidR="002124C3" w:rsidRPr="00603813" w:rsidRDefault="002124C3" w:rsidP="001C6F7A">
      <w:pPr>
        <w:jc w:val="center"/>
        <w:rPr>
          <w:b/>
        </w:rPr>
      </w:pPr>
    </w:p>
    <w:p w:rsidR="002124C3" w:rsidRPr="00603813" w:rsidRDefault="002124C3" w:rsidP="00CF4863">
      <w:pPr>
        <w:jc w:val="center"/>
        <w:rPr>
          <w:b/>
        </w:rPr>
      </w:pPr>
      <w:r w:rsidRPr="00603813">
        <w:rPr>
          <w:b/>
        </w:rPr>
        <w:t>CONTACT</w:t>
      </w:r>
    </w:p>
    <w:p w:rsidR="00400659" w:rsidRPr="00603813" w:rsidRDefault="0099379E" w:rsidP="00CF4863">
      <w:pPr>
        <w:jc w:val="center"/>
        <w:rPr>
          <w:shd w:val="clear" w:color="auto" w:fill="FFFFFF"/>
        </w:rPr>
      </w:pPr>
      <w:r>
        <w:rPr>
          <w:bCs/>
          <w:shd w:val="clear" w:color="auto" w:fill="FFFFFF"/>
        </w:rPr>
        <w:t>Deborah Gelaude, M.A</w:t>
      </w:r>
      <w:r w:rsidR="00C62F1A">
        <w:rPr>
          <w:bCs/>
          <w:shd w:val="clear" w:color="auto" w:fill="FFFFFF"/>
        </w:rPr>
        <w:t xml:space="preserve">. </w:t>
      </w:r>
      <w:r w:rsidR="00400659" w:rsidRPr="00603813">
        <w:br/>
      </w:r>
      <w:r w:rsidR="0068454C">
        <w:t>Technical Monitor</w:t>
      </w:r>
    </w:p>
    <w:p w:rsidR="00400659" w:rsidRPr="00603813" w:rsidRDefault="00400659" w:rsidP="00CF4863">
      <w:pPr>
        <w:jc w:val="center"/>
      </w:pPr>
      <w:r w:rsidRPr="00603813">
        <w:rPr>
          <w:shd w:val="clear" w:color="auto" w:fill="FFFFFF"/>
        </w:rPr>
        <w:t>Centers for Disease Control and Prevention</w:t>
      </w:r>
      <w:r w:rsidRPr="00603813">
        <w:br/>
      </w:r>
      <w:r w:rsidRPr="00603813">
        <w:rPr>
          <w:shd w:val="clear" w:color="auto" w:fill="FFFFFF"/>
        </w:rPr>
        <w:t>Division of HIV/AIDS Prevention, BIRB</w:t>
      </w:r>
      <w:r w:rsidRPr="00603813">
        <w:br/>
      </w:r>
      <w:r w:rsidRPr="00603813">
        <w:rPr>
          <w:shd w:val="clear" w:color="auto" w:fill="FFFFFF"/>
        </w:rPr>
        <w:t xml:space="preserve">1600 Clifton Road, NE, Mailstop </w:t>
      </w:r>
      <w:r w:rsidR="008040B0">
        <w:rPr>
          <w:shd w:val="clear" w:color="auto" w:fill="FFFFFF"/>
        </w:rPr>
        <w:t>US8-5</w:t>
      </w:r>
      <w:r w:rsidRPr="00603813">
        <w:br/>
      </w:r>
      <w:r w:rsidRPr="00603813">
        <w:rPr>
          <w:shd w:val="clear" w:color="auto" w:fill="FFFFFF"/>
        </w:rPr>
        <w:t>Atlanta, GA 30333</w:t>
      </w:r>
      <w:r w:rsidRPr="00603813">
        <w:br/>
      </w:r>
      <w:r w:rsidRPr="00603813">
        <w:rPr>
          <w:shd w:val="clear" w:color="auto" w:fill="FFFFFF"/>
        </w:rPr>
        <w:t>Phone: 404-639-</w:t>
      </w:r>
      <w:r w:rsidR="0099379E">
        <w:rPr>
          <w:shd w:val="clear" w:color="auto" w:fill="FFFFFF"/>
        </w:rPr>
        <w:t>1905</w:t>
      </w:r>
      <w:r w:rsidRPr="00603813">
        <w:br/>
      </w:r>
      <w:r w:rsidRPr="00603813">
        <w:rPr>
          <w:shd w:val="clear" w:color="auto" w:fill="FFFFFF"/>
        </w:rPr>
        <w:t>Fax: 404-639-1950</w:t>
      </w:r>
      <w:r w:rsidRPr="00603813">
        <w:br/>
      </w:r>
      <w:r w:rsidRPr="00603813">
        <w:rPr>
          <w:shd w:val="clear" w:color="auto" w:fill="FFFFFF"/>
        </w:rPr>
        <w:t>E-mail:</w:t>
      </w:r>
      <w:r w:rsidRPr="00603813">
        <w:t> </w:t>
      </w:r>
      <w:hyperlink r:id="rId9" w:history="1">
        <w:r w:rsidR="0099379E" w:rsidRPr="004E795D">
          <w:rPr>
            <w:rStyle w:val="Hyperlink"/>
          </w:rPr>
          <w:t>DGelaude@cdc.gov</w:t>
        </w:r>
      </w:hyperlink>
    </w:p>
    <w:p w:rsidR="006F5358" w:rsidRPr="00603813" w:rsidRDefault="006F5358" w:rsidP="002E15A0">
      <w:pPr>
        <w:rPr>
          <w:b/>
          <w:bCs/>
        </w:rPr>
      </w:pPr>
    </w:p>
    <w:p w:rsidR="00155E90" w:rsidRPr="00603813" w:rsidRDefault="00155E90" w:rsidP="002E15A0">
      <w:pPr>
        <w:rPr>
          <w:b/>
          <w:i/>
          <w:iCs/>
        </w:rPr>
      </w:pPr>
    </w:p>
    <w:p w:rsidR="00155E90" w:rsidRPr="00603813" w:rsidRDefault="00155E90" w:rsidP="002E15A0">
      <w:pPr>
        <w:rPr>
          <w:b/>
          <w:i/>
          <w:iCs/>
        </w:rPr>
      </w:pPr>
    </w:p>
    <w:p w:rsidR="00F47E76" w:rsidRPr="00603813" w:rsidRDefault="00F47E76" w:rsidP="002E15A0">
      <w:pPr>
        <w:rPr>
          <w:noProof/>
        </w:rPr>
      </w:pPr>
    </w:p>
    <w:p w:rsidR="009A223F" w:rsidRPr="00603813" w:rsidRDefault="009A223F" w:rsidP="002E15A0">
      <w:pPr>
        <w:rPr>
          <w:noProof/>
        </w:rPr>
      </w:pPr>
    </w:p>
    <w:p w:rsidR="00155E90" w:rsidRPr="00603813" w:rsidRDefault="00FD43B5" w:rsidP="002E15A0">
      <w:r w:rsidRPr="00603813">
        <w:t xml:space="preserve"> </w:t>
      </w:r>
    </w:p>
    <w:p w:rsidR="00155E90" w:rsidRPr="00603813" w:rsidRDefault="00155E90" w:rsidP="002E15A0"/>
    <w:p w:rsidR="006F5358" w:rsidRPr="00603813" w:rsidRDefault="006F5358" w:rsidP="002E15A0">
      <w:pPr>
        <w:tabs>
          <w:tab w:val="left" w:pos="4680"/>
        </w:tabs>
        <w:rPr>
          <w:b/>
          <w:bCs/>
        </w:rPr>
        <w:sectPr w:rsidR="006F5358" w:rsidRPr="00603813" w:rsidSect="004348EE">
          <w:headerReference w:type="default" r:id="rId10"/>
          <w:pgSz w:w="12240" w:h="15840"/>
          <w:pgMar w:top="1440" w:right="1440" w:bottom="1440" w:left="1440" w:header="720" w:footer="720" w:gutter="0"/>
          <w:pgNumType w:fmt="lowerRoman" w:start="1"/>
          <w:cols w:space="720"/>
          <w:docGrid w:linePitch="360"/>
        </w:sectPr>
      </w:pPr>
    </w:p>
    <w:p w:rsidR="006F5358" w:rsidRPr="00603813" w:rsidRDefault="00D86696" w:rsidP="002E15A0">
      <w:pPr>
        <w:pBdr>
          <w:bottom w:val="single" w:sz="4" w:space="1" w:color="660000"/>
        </w:pBdr>
        <w:autoSpaceDE w:val="0"/>
        <w:autoSpaceDN w:val="0"/>
        <w:adjustRightInd w:val="0"/>
        <w:rPr>
          <w:b/>
          <w:bCs/>
        </w:rPr>
      </w:pPr>
      <w:r w:rsidRPr="003456FB">
        <w:rPr>
          <w:b/>
          <w:bCs/>
        </w:rPr>
        <w:lastRenderedPageBreak/>
        <w:t>TABLE OF CONTENTS</w:t>
      </w:r>
    </w:p>
    <w:p w:rsidR="00F07CEF" w:rsidRPr="00603813" w:rsidRDefault="00F07CEF" w:rsidP="002E15A0">
      <w:pPr>
        <w:autoSpaceDE w:val="0"/>
        <w:autoSpaceDN w:val="0"/>
        <w:adjustRightInd w:val="0"/>
        <w:rPr>
          <w:b/>
          <w:bCs/>
        </w:rPr>
      </w:pPr>
    </w:p>
    <w:p w:rsidR="00657CE8" w:rsidRDefault="00C12D4C" w:rsidP="00F4176A">
      <w:pPr>
        <w:pStyle w:val="TOC2"/>
        <w:rPr>
          <w:rFonts w:asciiTheme="minorHAnsi" w:eastAsiaTheme="minorEastAsia" w:hAnsiTheme="minorHAnsi" w:cstheme="minorBidi"/>
          <w:noProof/>
          <w:sz w:val="22"/>
          <w:szCs w:val="22"/>
        </w:rPr>
      </w:pPr>
      <w:r w:rsidRPr="00603813">
        <w:rPr>
          <w:b/>
          <w:bCs/>
        </w:rPr>
        <w:fldChar w:fldCharType="begin"/>
      </w:r>
      <w:r w:rsidRPr="00603813">
        <w:rPr>
          <w:b/>
          <w:bCs/>
        </w:rPr>
        <w:instrText xml:space="preserve"> TOC \o "1-3" \h \z \u </w:instrText>
      </w:r>
      <w:r w:rsidRPr="00603813">
        <w:rPr>
          <w:b/>
          <w:bCs/>
        </w:rPr>
        <w:fldChar w:fldCharType="separate"/>
      </w:r>
      <w:hyperlink w:anchor="_Toc485906209" w:history="1">
        <w:r w:rsidR="00657CE8" w:rsidRPr="00704F06">
          <w:rPr>
            <w:rStyle w:val="Hyperlink"/>
            <w:noProof/>
          </w:rPr>
          <w:t xml:space="preserve">1. </w:t>
        </w:r>
        <w:r w:rsidR="00657CE8">
          <w:rPr>
            <w:rStyle w:val="Hyperlink"/>
            <w:noProof/>
          </w:rPr>
          <w:tab/>
        </w:r>
        <w:r w:rsidR="00657CE8" w:rsidRPr="00704F06">
          <w:rPr>
            <w:rStyle w:val="Hyperlink"/>
            <w:noProof/>
          </w:rPr>
          <w:t>Circumstances Making the Collection of Information Necessary</w:t>
        </w:r>
        <w:r w:rsidR="00657CE8">
          <w:rPr>
            <w:noProof/>
            <w:webHidden/>
          </w:rPr>
          <w:tab/>
        </w:r>
        <w:r w:rsidR="00657CE8">
          <w:rPr>
            <w:noProof/>
            <w:webHidden/>
          </w:rPr>
          <w:fldChar w:fldCharType="begin"/>
        </w:r>
        <w:r w:rsidR="00657CE8">
          <w:rPr>
            <w:noProof/>
            <w:webHidden/>
          </w:rPr>
          <w:instrText xml:space="preserve"> PAGEREF _Toc485906209 \h </w:instrText>
        </w:r>
        <w:r w:rsidR="00657CE8">
          <w:rPr>
            <w:noProof/>
            <w:webHidden/>
          </w:rPr>
        </w:r>
        <w:r w:rsidR="00657CE8">
          <w:rPr>
            <w:noProof/>
            <w:webHidden/>
          </w:rPr>
          <w:fldChar w:fldCharType="separate"/>
        </w:r>
        <w:r w:rsidR="008040B0">
          <w:rPr>
            <w:noProof/>
            <w:webHidden/>
          </w:rPr>
          <w:t>1</w:t>
        </w:r>
        <w:r w:rsidR="00657CE8">
          <w:rPr>
            <w:noProof/>
            <w:webHidden/>
          </w:rPr>
          <w:fldChar w:fldCharType="end"/>
        </w:r>
      </w:hyperlink>
    </w:p>
    <w:p w:rsidR="00657CE8" w:rsidRDefault="00352ED4" w:rsidP="00F4176A">
      <w:pPr>
        <w:pStyle w:val="TOC2"/>
        <w:rPr>
          <w:rFonts w:asciiTheme="minorHAnsi" w:eastAsiaTheme="minorEastAsia" w:hAnsiTheme="minorHAnsi" w:cstheme="minorBidi"/>
          <w:noProof/>
          <w:sz w:val="22"/>
          <w:szCs w:val="22"/>
        </w:rPr>
      </w:pPr>
      <w:hyperlink w:anchor="_Toc485906210" w:history="1">
        <w:r w:rsidR="00657CE8" w:rsidRPr="00704F06">
          <w:rPr>
            <w:rStyle w:val="Hyperlink"/>
            <w:noProof/>
          </w:rPr>
          <w:t>2.</w:t>
        </w:r>
        <w:r w:rsidR="00657CE8">
          <w:rPr>
            <w:rFonts w:asciiTheme="minorHAnsi" w:eastAsiaTheme="minorEastAsia" w:hAnsiTheme="minorHAnsi" w:cstheme="minorBidi"/>
            <w:noProof/>
            <w:sz w:val="22"/>
            <w:szCs w:val="22"/>
          </w:rPr>
          <w:tab/>
        </w:r>
        <w:r w:rsidR="00657CE8" w:rsidRPr="00704F06">
          <w:rPr>
            <w:rStyle w:val="Hyperlink"/>
            <w:noProof/>
          </w:rPr>
          <w:t>Purpose and Use of Information Collection</w:t>
        </w:r>
        <w:r w:rsidR="00657CE8">
          <w:rPr>
            <w:noProof/>
            <w:webHidden/>
          </w:rPr>
          <w:tab/>
        </w:r>
        <w:r w:rsidR="00657CE8">
          <w:rPr>
            <w:noProof/>
            <w:webHidden/>
          </w:rPr>
          <w:fldChar w:fldCharType="begin"/>
        </w:r>
        <w:r w:rsidR="00657CE8">
          <w:rPr>
            <w:noProof/>
            <w:webHidden/>
          </w:rPr>
          <w:instrText xml:space="preserve"> PAGEREF _Toc485906210 \h </w:instrText>
        </w:r>
        <w:r w:rsidR="00657CE8">
          <w:rPr>
            <w:noProof/>
            <w:webHidden/>
          </w:rPr>
        </w:r>
        <w:r w:rsidR="00657CE8">
          <w:rPr>
            <w:noProof/>
            <w:webHidden/>
          </w:rPr>
          <w:fldChar w:fldCharType="separate"/>
        </w:r>
        <w:r w:rsidR="008040B0">
          <w:rPr>
            <w:noProof/>
            <w:webHidden/>
          </w:rPr>
          <w:t>1</w:t>
        </w:r>
        <w:r w:rsidR="00657CE8">
          <w:rPr>
            <w:noProof/>
            <w:webHidden/>
          </w:rPr>
          <w:fldChar w:fldCharType="end"/>
        </w:r>
      </w:hyperlink>
    </w:p>
    <w:p w:rsidR="00657CE8" w:rsidRDefault="00352ED4" w:rsidP="00F4176A">
      <w:pPr>
        <w:pStyle w:val="TOC2"/>
        <w:rPr>
          <w:rFonts w:asciiTheme="minorHAnsi" w:eastAsiaTheme="minorEastAsia" w:hAnsiTheme="minorHAnsi" w:cstheme="minorBidi"/>
          <w:noProof/>
          <w:sz w:val="22"/>
          <w:szCs w:val="22"/>
        </w:rPr>
      </w:pPr>
      <w:hyperlink w:anchor="_Toc485906211" w:history="1">
        <w:r w:rsidR="00657CE8" w:rsidRPr="00704F06">
          <w:rPr>
            <w:rStyle w:val="Hyperlink"/>
            <w:noProof/>
          </w:rPr>
          <w:t>3.</w:t>
        </w:r>
        <w:r w:rsidR="00657CE8">
          <w:rPr>
            <w:rFonts w:asciiTheme="minorHAnsi" w:eastAsiaTheme="minorEastAsia" w:hAnsiTheme="minorHAnsi" w:cstheme="minorBidi"/>
            <w:noProof/>
            <w:sz w:val="22"/>
            <w:szCs w:val="22"/>
          </w:rPr>
          <w:tab/>
        </w:r>
        <w:r w:rsidR="00657CE8" w:rsidRPr="00704F06">
          <w:rPr>
            <w:rStyle w:val="Hyperlink"/>
            <w:noProof/>
          </w:rPr>
          <w:t>Use of Improved Information Technology and Burden Reduction</w:t>
        </w:r>
        <w:r w:rsidR="00657CE8">
          <w:rPr>
            <w:noProof/>
            <w:webHidden/>
          </w:rPr>
          <w:tab/>
        </w:r>
        <w:r w:rsidR="00657CE8">
          <w:rPr>
            <w:noProof/>
            <w:webHidden/>
          </w:rPr>
          <w:fldChar w:fldCharType="begin"/>
        </w:r>
        <w:r w:rsidR="00657CE8">
          <w:rPr>
            <w:noProof/>
            <w:webHidden/>
          </w:rPr>
          <w:instrText xml:space="preserve"> PAGEREF _Toc485906211 \h </w:instrText>
        </w:r>
        <w:r w:rsidR="00657CE8">
          <w:rPr>
            <w:noProof/>
            <w:webHidden/>
          </w:rPr>
        </w:r>
        <w:r w:rsidR="00657CE8">
          <w:rPr>
            <w:noProof/>
            <w:webHidden/>
          </w:rPr>
          <w:fldChar w:fldCharType="separate"/>
        </w:r>
        <w:r w:rsidR="008040B0">
          <w:rPr>
            <w:noProof/>
            <w:webHidden/>
          </w:rPr>
          <w:t>1</w:t>
        </w:r>
        <w:r w:rsidR="00657CE8">
          <w:rPr>
            <w:noProof/>
            <w:webHidden/>
          </w:rPr>
          <w:fldChar w:fldCharType="end"/>
        </w:r>
      </w:hyperlink>
    </w:p>
    <w:p w:rsidR="00657CE8" w:rsidRDefault="00352ED4" w:rsidP="00F4176A">
      <w:pPr>
        <w:pStyle w:val="TOC2"/>
        <w:rPr>
          <w:rFonts w:asciiTheme="minorHAnsi" w:eastAsiaTheme="minorEastAsia" w:hAnsiTheme="minorHAnsi" w:cstheme="minorBidi"/>
          <w:noProof/>
          <w:sz w:val="22"/>
          <w:szCs w:val="22"/>
        </w:rPr>
      </w:pPr>
      <w:hyperlink w:anchor="_Toc485906212" w:history="1">
        <w:r w:rsidR="00657CE8" w:rsidRPr="00704F06">
          <w:rPr>
            <w:rStyle w:val="Hyperlink"/>
            <w:noProof/>
          </w:rPr>
          <w:t>4.</w:t>
        </w:r>
        <w:r w:rsidR="00657CE8">
          <w:rPr>
            <w:rFonts w:asciiTheme="minorHAnsi" w:eastAsiaTheme="minorEastAsia" w:hAnsiTheme="minorHAnsi" w:cstheme="minorBidi"/>
            <w:noProof/>
            <w:sz w:val="22"/>
            <w:szCs w:val="22"/>
          </w:rPr>
          <w:tab/>
        </w:r>
        <w:r w:rsidR="00657CE8" w:rsidRPr="00704F06">
          <w:rPr>
            <w:rStyle w:val="Hyperlink"/>
            <w:noProof/>
          </w:rPr>
          <w:t>Efforts to Identify Duplication and Use of Similar Information</w:t>
        </w:r>
        <w:r w:rsidR="00657CE8">
          <w:rPr>
            <w:noProof/>
            <w:webHidden/>
          </w:rPr>
          <w:tab/>
        </w:r>
        <w:r w:rsidR="00657CE8">
          <w:rPr>
            <w:noProof/>
            <w:webHidden/>
          </w:rPr>
          <w:fldChar w:fldCharType="begin"/>
        </w:r>
        <w:r w:rsidR="00657CE8">
          <w:rPr>
            <w:noProof/>
            <w:webHidden/>
          </w:rPr>
          <w:instrText xml:space="preserve"> PAGEREF _Toc485906212 \h </w:instrText>
        </w:r>
        <w:r w:rsidR="00657CE8">
          <w:rPr>
            <w:noProof/>
            <w:webHidden/>
          </w:rPr>
        </w:r>
        <w:r w:rsidR="00657CE8">
          <w:rPr>
            <w:noProof/>
            <w:webHidden/>
          </w:rPr>
          <w:fldChar w:fldCharType="separate"/>
        </w:r>
        <w:r w:rsidR="008040B0">
          <w:rPr>
            <w:noProof/>
            <w:webHidden/>
          </w:rPr>
          <w:t>1</w:t>
        </w:r>
        <w:r w:rsidR="00657CE8">
          <w:rPr>
            <w:noProof/>
            <w:webHidden/>
          </w:rPr>
          <w:fldChar w:fldCharType="end"/>
        </w:r>
      </w:hyperlink>
    </w:p>
    <w:p w:rsidR="00657CE8" w:rsidRDefault="00352ED4" w:rsidP="00F4176A">
      <w:pPr>
        <w:pStyle w:val="TOC2"/>
        <w:rPr>
          <w:rFonts w:asciiTheme="minorHAnsi" w:eastAsiaTheme="minorEastAsia" w:hAnsiTheme="minorHAnsi" w:cstheme="minorBidi"/>
          <w:noProof/>
          <w:sz w:val="22"/>
          <w:szCs w:val="22"/>
        </w:rPr>
      </w:pPr>
      <w:hyperlink w:anchor="_Toc485906213" w:history="1">
        <w:r w:rsidR="00657CE8" w:rsidRPr="00704F06">
          <w:rPr>
            <w:rStyle w:val="Hyperlink"/>
            <w:noProof/>
          </w:rPr>
          <w:t>5.</w:t>
        </w:r>
        <w:r w:rsidR="00657CE8">
          <w:rPr>
            <w:rFonts w:asciiTheme="minorHAnsi" w:eastAsiaTheme="minorEastAsia" w:hAnsiTheme="minorHAnsi" w:cstheme="minorBidi"/>
            <w:noProof/>
            <w:sz w:val="22"/>
            <w:szCs w:val="22"/>
          </w:rPr>
          <w:tab/>
        </w:r>
        <w:r w:rsidR="00657CE8" w:rsidRPr="00704F06">
          <w:rPr>
            <w:rStyle w:val="Hyperlink"/>
            <w:noProof/>
          </w:rPr>
          <w:t>Impact on Small Businesses or Other Small Entities</w:t>
        </w:r>
        <w:r w:rsidR="00657CE8">
          <w:rPr>
            <w:noProof/>
            <w:webHidden/>
          </w:rPr>
          <w:tab/>
        </w:r>
        <w:r w:rsidR="00657CE8">
          <w:rPr>
            <w:noProof/>
            <w:webHidden/>
          </w:rPr>
          <w:fldChar w:fldCharType="begin"/>
        </w:r>
        <w:r w:rsidR="00657CE8">
          <w:rPr>
            <w:noProof/>
            <w:webHidden/>
          </w:rPr>
          <w:instrText xml:space="preserve"> PAGEREF _Toc485906213 \h </w:instrText>
        </w:r>
        <w:r w:rsidR="00657CE8">
          <w:rPr>
            <w:noProof/>
            <w:webHidden/>
          </w:rPr>
        </w:r>
        <w:r w:rsidR="00657CE8">
          <w:rPr>
            <w:noProof/>
            <w:webHidden/>
          </w:rPr>
          <w:fldChar w:fldCharType="separate"/>
        </w:r>
        <w:r w:rsidR="008040B0">
          <w:rPr>
            <w:noProof/>
            <w:webHidden/>
          </w:rPr>
          <w:t>1</w:t>
        </w:r>
        <w:r w:rsidR="00657CE8">
          <w:rPr>
            <w:noProof/>
            <w:webHidden/>
          </w:rPr>
          <w:fldChar w:fldCharType="end"/>
        </w:r>
      </w:hyperlink>
    </w:p>
    <w:p w:rsidR="00657CE8" w:rsidRDefault="00352ED4" w:rsidP="00F4176A">
      <w:pPr>
        <w:pStyle w:val="TOC2"/>
        <w:rPr>
          <w:rFonts w:asciiTheme="minorHAnsi" w:eastAsiaTheme="minorEastAsia" w:hAnsiTheme="minorHAnsi" w:cstheme="minorBidi"/>
          <w:noProof/>
          <w:sz w:val="22"/>
          <w:szCs w:val="22"/>
        </w:rPr>
      </w:pPr>
      <w:hyperlink w:anchor="_Toc485906214" w:history="1">
        <w:r w:rsidR="00657CE8" w:rsidRPr="00704F06">
          <w:rPr>
            <w:rStyle w:val="Hyperlink"/>
            <w:noProof/>
          </w:rPr>
          <w:t xml:space="preserve">6. </w:t>
        </w:r>
        <w:r w:rsidR="00657CE8">
          <w:rPr>
            <w:rStyle w:val="Hyperlink"/>
            <w:noProof/>
          </w:rPr>
          <w:tab/>
        </w:r>
        <w:r w:rsidR="00657CE8" w:rsidRPr="00704F06">
          <w:rPr>
            <w:rStyle w:val="Hyperlink"/>
            <w:noProof/>
          </w:rPr>
          <w:t>Consequences of Collecting the Information Less Frequently</w:t>
        </w:r>
        <w:r w:rsidR="00657CE8">
          <w:rPr>
            <w:noProof/>
            <w:webHidden/>
          </w:rPr>
          <w:tab/>
        </w:r>
        <w:r w:rsidR="00657CE8">
          <w:rPr>
            <w:noProof/>
            <w:webHidden/>
          </w:rPr>
          <w:fldChar w:fldCharType="begin"/>
        </w:r>
        <w:r w:rsidR="00657CE8">
          <w:rPr>
            <w:noProof/>
            <w:webHidden/>
          </w:rPr>
          <w:instrText xml:space="preserve"> PAGEREF _Toc485906214 \h </w:instrText>
        </w:r>
        <w:r w:rsidR="00657CE8">
          <w:rPr>
            <w:noProof/>
            <w:webHidden/>
          </w:rPr>
        </w:r>
        <w:r w:rsidR="00657CE8">
          <w:rPr>
            <w:noProof/>
            <w:webHidden/>
          </w:rPr>
          <w:fldChar w:fldCharType="separate"/>
        </w:r>
        <w:r w:rsidR="008040B0">
          <w:rPr>
            <w:noProof/>
            <w:webHidden/>
          </w:rPr>
          <w:t>1</w:t>
        </w:r>
        <w:r w:rsidR="00657CE8">
          <w:rPr>
            <w:noProof/>
            <w:webHidden/>
          </w:rPr>
          <w:fldChar w:fldCharType="end"/>
        </w:r>
      </w:hyperlink>
    </w:p>
    <w:p w:rsidR="00657CE8" w:rsidRDefault="00352ED4" w:rsidP="00F4176A">
      <w:pPr>
        <w:pStyle w:val="TOC2"/>
        <w:rPr>
          <w:rFonts w:asciiTheme="minorHAnsi" w:eastAsiaTheme="minorEastAsia" w:hAnsiTheme="minorHAnsi" w:cstheme="minorBidi"/>
          <w:noProof/>
          <w:sz w:val="22"/>
          <w:szCs w:val="22"/>
        </w:rPr>
      </w:pPr>
      <w:hyperlink w:anchor="_Toc485906215" w:history="1">
        <w:r w:rsidR="00657CE8" w:rsidRPr="00704F06">
          <w:rPr>
            <w:rStyle w:val="Hyperlink"/>
            <w:noProof/>
          </w:rPr>
          <w:t xml:space="preserve">7. </w:t>
        </w:r>
        <w:r w:rsidR="00657CE8">
          <w:rPr>
            <w:rStyle w:val="Hyperlink"/>
            <w:noProof/>
          </w:rPr>
          <w:tab/>
        </w:r>
        <w:r w:rsidR="00657CE8" w:rsidRPr="00704F06">
          <w:rPr>
            <w:rStyle w:val="Hyperlink"/>
            <w:noProof/>
          </w:rPr>
          <w:t>Special Circumstances Relating to the Guidelines of 5 CFR 1320.5</w:t>
        </w:r>
        <w:r w:rsidR="00657CE8">
          <w:rPr>
            <w:noProof/>
            <w:webHidden/>
          </w:rPr>
          <w:tab/>
        </w:r>
        <w:r w:rsidR="00657CE8">
          <w:rPr>
            <w:noProof/>
            <w:webHidden/>
          </w:rPr>
          <w:fldChar w:fldCharType="begin"/>
        </w:r>
        <w:r w:rsidR="00657CE8">
          <w:rPr>
            <w:noProof/>
            <w:webHidden/>
          </w:rPr>
          <w:instrText xml:space="preserve"> PAGEREF _Toc485906215 \h </w:instrText>
        </w:r>
        <w:r w:rsidR="00657CE8">
          <w:rPr>
            <w:noProof/>
            <w:webHidden/>
          </w:rPr>
        </w:r>
        <w:r w:rsidR="00657CE8">
          <w:rPr>
            <w:noProof/>
            <w:webHidden/>
          </w:rPr>
          <w:fldChar w:fldCharType="separate"/>
        </w:r>
        <w:r w:rsidR="008040B0">
          <w:rPr>
            <w:noProof/>
            <w:webHidden/>
          </w:rPr>
          <w:t>1</w:t>
        </w:r>
        <w:r w:rsidR="00657CE8">
          <w:rPr>
            <w:noProof/>
            <w:webHidden/>
          </w:rPr>
          <w:fldChar w:fldCharType="end"/>
        </w:r>
      </w:hyperlink>
    </w:p>
    <w:p w:rsidR="00657CE8" w:rsidRDefault="00352ED4" w:rsidP="00F4176A">
      <w:pPr>
        <w:pStyle w:val="TOC2"/>
        <w:rPr>
          <w:rFonts w:asciiTheme="minorHAnsi" w:eastAsiaTheme="minorEastAsia" w:hAnsiTheme="minorHAnsi" w:cstheme="minorBidi"/>
          <w:noProof/>
          <w:sz w:val="22"/>
          <w:szCs w:val="22"/>
        </w:rPr>
      </w:pPr>
      <w:hyperlink w:anchor="_Toc485906216" w:history="1">
        <w:r w:rsidR="00657CE8" w:rsidRPr="00704F06">
          <w:rPr>
            <w:rStyle w:val="Hyperlink"/>
            <w:noProof/>
          </w:rPr>
          <w:t xml:space="preserve">8. </w:t>
        </w:r>
        <w:r w:rsidR="00657CE8">
          <w:rPr>
            <w:rStyle w:val="Hyperlink"/>
            <w:noProof/>
          </w:rPr>
          <w:tab/>
        </w:r>
        <w:r w:rsidR="00657CE8" w:rsidRPr="00704F06">
          <w:rPr>
            <w:rStyle w:val="Hyperlink"/>
            <w:noProof/>
          </w:rPr>
          <w:t>Comments in Response to the Federal Register Notice and Efforts to Consult Outside the Agency</w:t>
        </w:r>
        <w:r w:rsidR="00657CE8">
          <w:rPr>
            <w:noProof/>
            <w:webHidden/>
          </w:rPr>
          <w:tab/>
        </w:r>
        <w:r w:rsidR="00657CE8">
          <w:rPr>
            <w:noProof/>
            <w:webHidden/>
          </w:rPr>
          <w:fldChar w:fldCharType="begin"/>
        </w:r>
        <w:r w:rsidR="00657CE8">
          <w:rPr>
            <w:noProof/>
            <w:webHidden/>
          </w:rPr>
          <w:instrText xml:space="preserve"> PAGEREF _Toc485906216 \h </w:instrText>
        </w:r>
        <w:r w:rsidR="00657CE8">
          <w:rPr>
            <w:noProof/>
            <w:webHidden/>
          </w:rPr>
        </w:r>
        <w:r w:rsidR="00657CE8">
          <w:rPr>
            <w:noProof/>
            <w:webHidden/>
          </w:rPr>
          <w:fldChar w:fldCharType="separate"/>
        </w:r>
        <w:r w:rsidR="008040B0">
          <w:rPr>
            <w:noProof/>
            <w:webHidden/>
          </w:rPr>
          <w:t>1</w:t>
        </w:r>
        <w:r w:rsidR="00657CE8">
          <w:rPr>
            <w:noProof/>
            <w:webHidden/>
          </w:rPr>
          <w:fldChar w:fldCharType="end"/>
        </w:r>
      </w:hyperlink>
    </w:p>
    <w:p w:rsidR="00657CE8" w:rsidRDefault="00352ED4" w:rsidP="00F4176A">
      <w:pPr>
        <w:pStyle w:val="TOC2"/>
        <w:rPr>
          <w:rFonts w:asciiTheme="minorHAnsi" w:eastAsiaTheme="minorEastAsia" w:hAnsiTheme="minorHAnsi" w:cstheme="minorBidi"/>
          <w:noProof/>
          <w:sz w:val="22"/>
          <w:szCs w:val="22"/>
        </w:rPr>
      </w:pPr>
      <w:hyperlink w:anchor="_Toc485906217" w:history="1">
        <w:r w:rsidR="00657CE8" w:rsidRPr="00704F06">
          <w:rPr>
            <w:rStyle w:val="Hyperlink"/>
            <w:noProof/>
          </w:rPr>
          <w:t xml:space="preserve">9. </w:t>
        </w:r>
        <w:r w:rsidR="00657CE8">
          <w:rPr>
            <w:rStyle w:val="Hyperlink"/>
            <w:noProof/>
          </w:rPr>
          <w:tab/>
        </w:r>
        <w:r w:rsidR="00657CE8" w:rsidRPr="00704F06">
          <w:rPr>
            <w:rStyle w:val="Hyperlink"/>
            <w:noProof/>
          </w:rPr>
          <w:t>Explanation of any Payment or Gift to Respondents</w:t>
        </w:r>
        <w:r w:rsidR="00657CE8">
          <w:rPr>
            <w:noProof/>
            <w:webHidden/>
          </w:rPr>
          <w:tab/>
        </w:r>
        <w:r w:rsidR="00657CE8">
          <w:rPr>
            <w:noProof/>
            <w:webHidden/>
          </w:rPr>
          <w:fldChar w:fldCharType="begin"/>
        </w:r>
        <w:r w:rsidR="00657CE8">
          <w:rPr>
            <w:noProof/>
            <w:webHidden/>
          </w:rPr>
          <w:instrText xml:space="preserve"> PAGEREF _Toc485906217 \h </w:instrText>
        </w:r>
        <w:r w:rsidR="00657CE8">
          <w:rPr>
            <w:noProof/>
            <w:webHidden/>
          </w:rPr>
        </w:r>
        <w:r w:rsidR="00657CE8">
          <w:rPr>
            <w:noProof/>
            <w:webHidden/>
          </w:rPr>
          <w:fldChar w:fldCharType="separate"/>
        </w:r>
        <w:r w:rsidR="008040B0">
          <w:rPr>
            <w:noProof/>
            <w:webHidden/>
          </w:rPr>
          <w:t>1</w:t>
        </w:r>
        <w:r w:rsidR="00657CE8">
          <w:rPr>
            <w:noProof/>
            <w:webHidden/>
          </w:rPr>
          <w:fldChar w:fldCharType="end"/>
        </w:r>
      </w:hyperlink>
    </w:p>
    <w:p w:rsidR="00657CE8" w:rsidRDefault="00352ED4" w:rsidP="00F4176A">
      <w:pPr>
        <w:pStyle w:val="TOC2"/>
        <w:rPr>
          <w:rFonts w:asciiTheme="minorHAnsi" w:eastAsiaTheme="minorEastAsia" w:hAnsiTheme="minorHAnsi" w:cstheme="minorBidi"/>
          <w:noProof/>
          <w:sz w:val="22"/>
          <w:szCs w:val="22"/>
        </w:rPr>
      </w:pPr>
      <w:hyperlink w:anchor="_Toc485906218" w:history="1">
        <w:r w:rsidR="00657CE8" w:rsidRPr="00704F06">
          <w:rPr>
            <w:rStyle w:val="Hyperlink"/>
            <w:noProof/>
          </w:rPr>
          <w:t>10.</w:t>
        </w:r>
        <w:r w:rsidR="00657CE8">
          <w:rPr>
            <w:rFonts w:asciiTheme="minorHAnsi" w:eastAsiaTheme="minorEastAsia" w:hAnsiTheme="minorHAnsi" w:cstheme="minorBidi"/>
            <w:noProof/>
            <w:sz w:val="22"/>
            <w:szCs w:val="22"/>
          </w:rPr>
          <w:tab/>
        </w:r>
        <w:r w:rsidR="006278ED" w:rsidRPr="006278ED">
          <w:rPr>
            <w:rStyle w:val="Hyperlink"/>
            <w:noProof/>
          </w:rPr>
          <w:t>Protection of the Privacy and Confidentiality of Information Provided by Respondents</w:t>
        </w:r>
        <w:r w:rsidR="00657CE8">
          <w:rPr>
            <w:noProof/>
            <w:webHidden/>
          </w:rPr>
          <w:tab/>
        </w:r>
        <w:r w:rsidR="00657CE8">
          <w:rPr>
            <w:noProof/>
            <w:webHidden/>
          </w:rPr>
          <w:fldChar w:fldCharType="begin"/>
        </w:r>
        <w:r w:rsidR="00657CE8">
          <w:rPr>
            <w:noProof/>
            <w:webHidden/>
          </w:rPr>
          <w:instrText xml:space="preserve"> PAGEREF _Toc485906218 \h </w:instrText>
        </w:r>
        <w:r w:rsidR="00657CE8">
          <w:rPr>
            <w:noProof/>
            <w:webHidden/>
          </w:rPr>
        </w:r>
        <w:r w:rsidR="00657CE8">
          <w:rPr>
            <w:noProof/>
            <w:webHidden/>
          </w:rPr>
          <w:fldChar w:fldCharType="separate"/>
        </w:r>
        <w:r w:rsidR="008040B0">
          <w:rPr>
            <w:noProof/>
            <w:webHidden/>
          </w:rPr>
          <w:t>1</w:t>
        </w:r>
        <w:r w:rsidR="00657CE8">
          <w:rPr>
            <w:noProof/>
            <w:webHidden/>
          </w:rPr>
          <w:fldChar w:fldCharType="end"/>
        </w:r>
      </w:hyperlink>
    </w:p>
    <w:p w:rsidR="00657CE8" w:rsidRDefault="00352ED4" w:rsidP="00F4176A">
      <w:pPr>
        <w:pStyle w:val="TOC2"/>
        <w:rPr>
          <w:rFonts w:asciiTheme="minorHAnsi" w:eastAsiaTheme="minorEastAsia" w:hAnsiTheme="minorHAnsi" w:cstheme="minorBidi"/>
          <w:noProof/>
          <w:sz w:val="22"/>
          <w:szCs w:val="22"/>
        </w:rPr>
      </w:pPr>
      <w:hyperlink w:anchor="_Toc485906219" w:history="1">
        <w:r w:rsidR="00657CE8" w:rsidRPr="00704F06">
          <w:rPr>
            <w:rStyle w:val="Hyperlink"/>
            <w:noProof/>
          </w:rPr>
          <w:t xml:space="preserve">11. </w:t>
        </w:r>
        <w:r w:rsidR="00657CE8">
          <w:rPr>
            <w:rFonts w:asciiTheme="minorHAnsi" w:eastAsiaTheme="minorEastAsia" w:hAnsiTheme="minorHAnsi" w:cstheme="minorBidi"/>
            <w:noProof/>
            <w:sz w:val="22"/>
            <w:szCs w:val="22"/>
          </w:rPr>
          <w:tab/>
        </w:r>
        <w:r w:rsidR="006278ED" w:rsidRPr="006278ED">
          <w:rPr>
            <w:rStyle w:val="Hyperlink"/>
            <w:noProof/>
          </w:rPr>
          <w:t>Institutional Review Board (IRB) and Justification for Sensitive Questions</w:t>
        </w:r>
        <w:r w:rsidR="00657CE8">
          <w:rPr>
            <w:noProof/>
            <w:webHidden/>
          </w:rPr>
          <w:tab/>
        </w:r>
        <w:r w:rsidR="00657CE8">
          <w:rPr>
            <w:noProof/>
            <w:webHidden/>
          </w:rPr>
          <w:fldChar w:fldCharType="begin"/>
        </w:r>
        <w:r w:rsidR="00657CE8">
          <w:rPr>
            <w:noProof/>
            <w:webHidden/>
          </w:rPr>
          <w:instrText xml:space="preserve"> PAGEREF _Toc485906219 \h </w:instrText>
        </w:r>
        <w:r w:rsidR="00657CE8">
          <w:rPr>
            <w:noProof/>
            <w:webHidden/>
          </w:rPr>
        </w:r>
        <w:r w:rsidR="00657CE8">
          <w:rPr>
            <w:noProof/>
            <w:webHidden/>
          </w:rPr>
          <w:fldChar w:fldCharType="separate"/>
        </w:r>
        <w:r w:rsidR="008040B0">
          <w:rPr>
            <w:noProof/>
            <w:webHidden/>
          </w:rPr>
          <w:t>1</w:t>
        </w:r>
        <w:r w:rsidR="00657CE8">
          <w:rPr>
            <w:noProof/>
            <w:webHidden/>
          </w:rPr>
          <w:fldChar w:fldCharType="end"/>
        </w:r>
      </w:hyperlink>
    </w:p>
    <w:p w:rsidR="00657CE8" w:rsidRDefault="00352ED4" w:rsidP="00F4176A">
      <w:pPr>
        <w:pStyle w:val="TOC2"/>
        <w:rPr>
          <w:rFonts w:asciiTheme="minorHAnsi" w:eastAsiaTheme="minorEastAsia" w:hAnsiTheme="minorHAnsi" w:cstheme="minorBidi"/>
          <w:noProof/>
          <w:sz w:val="22"/>
          <w:szCs w:val="22"/>
        </w:rPr>
      </w:pPr>
      <w:hyperlink w:anchor="_Toc485906220" w:history="1">
        <w:r w:rsidR="00657CE8" w:rsidRPr="00704F06">
          <w:rPr>
            <w:rStyle w:val="Hyperlink"/>
            <w:noProof/>
          </w:rPr>
          <w:t>12.</w:t>
        </w:r>
        <w:r w:rsidR="00657CE8">
          <w:rPr>
            <w:rFonts w:asciiTheme="minorHAnsi" w:eastAsiaTheme="minorEastAsia" w:hAnsiTheme="minorHAnsi" w:cstheme="minorBidi"/>
            <w:noProof/>
            <w:sz w:val="22"/>
            <w:szCs w:val="22"/>
          </w:rPr>
          <w:tab/>
        </w:r>
        <w:r w:rsidR="00657CE8" w:rsidRPr="00704F06">
          <w:rPr>
            <w:rStyle w:val="Hyperlink"/>
            <w:noProof/>
          </w:rPr>
          <w:t>Estimates of Annualized Burden Hours and Costs</w:t>
        </w:r>
        <w:r w:rsidR="00657CE8">
          <w:rPr>
            <w:noProof/>
            <w:webHidden/>
          </w:rPr>
          <w:tab/>
        </w:r>
        <w:r w:rsidR="00657CE8">
          <w:rPr>
            <w:noProof/>
            <w:webHidden/>
          </w:rPr>
          <w:fldChar w:fldCharType="begin"/>
        </w:r>
        <w:r w:rsidR="00657CE8">
          <w:rPr>
            <w:noProof/>
            <w:webHidden/>
          </w:rPr>
          <w:instrText xml:space="preserve"> PAGEREF _Toc485906220 \h </w:instrText>
        </w:r>
        <w:r w:rsidR="00657CE8">
          <w:rPr>
            <w:noProof/>
            <w:webHidden/>
          </w:rPr>
        </w:r>
        <w:r w:rsidR="00657CE8">
          <w:rPr>
            <w:noProof/>
            <w:webHidden/>
          </w:rPr>
          <w:fldChar w:fldCharType="separate"/>
        </w:r>
        <w:r w:rsidR="008040B0">
          <w:rPr>
            <w:noProof/>
            <w:webHidden/>
          </w:rPr>
          <w:t>1</w:t>
        </w:r>
        <w:r w:rsidR="00657CE8">
          <w:rPr>
            <w:noProof/>
            <w:webHidden/>
          </w:rPr>
          <w:fldChar w:fldCharType="end"/>
        </w:r>
      </w:hyperlink>
    </w:p>
    <w:p w:rsidR="00657CE8" w:rsidRDefault="00352ED4" w:rsidP="00F4176A">
      <w:pPr>
        <w:pStyle w:val="TOC2"/>
        <w:rPr>
          <w:rFonts w:asciiTheme="minorHAnsi" w:eastAsiaTheme="minorEastAsia" w:hAnsiTheme="minorHAnsi" w:cstheme="minorBidi"/>
          <w:noProof/>
          <w:sz w:val="22"/>
          <w:szCs w:val="22"/>
        </w:rPr>
      </w:pPr>
      <w:hyperlink w:anchor="_Toc485906221" w:history="1">
        <w:r w:rsidR="00657CE8" w:rsidRPr="00704F06">
          <w:rPr>
            <w:rStyle w:val="Hyperlink"/>
            <w:noProof/>
          </w:rPr>
          <w:t xml:space="preserve">13. </w:t>
        </w:r>
        <w:r w:rsidR="00657CE8">
          <w:rPr>
            <w:rFonts w:asciiTheme="minorHAnsi" w:eastAsiaTheme="minorEastAsia" w:hAnsiTheme="minorHAnsi" w:cstheme="minorBidi"/>
            <w:noProof/>
            <w:sz w:val="22"/>
            <w:szCs w:val="22"/>
          </w:rPr>
          <w:tab/>
        </w:r>
        <w:r w:rsidR="00657CE8" w:rsidRPr="00704F06">
          <w:rPr>
            <w:rStyle w:val="Hyperlink"/>
            <w:noProof/>
          </w:rPr>
          <w:t>Estimates of Other Total Annual Cost Burden to Respondents or Record Keepers</w:t>
        </w:r>
        <w:r w:rsidR="00657CE8">
          <w:rPr>
            <w:noProof/>
            <w:webHidden/>
          </w:rPr>
          <w:tab/>
        </w:r>
        <w:r w:rsidR="00657CE8">
          <w:rPr>
            <w:noProof/>
            <w:webHidden/>
          </w:rPr>
          <w:fldChar w:fldCharType="begin"/>
        </w:r>
        <w:r w:rsidR="00657CE8">
          <w:rPr>
            <w:noProof/>
            <w:webHidden/>
          </w:rPr>
          <w:instrText xml:space="preserve"> PAGEREF _Toc485906221 \h </w:instrText>
        </w:r>
        <w:r w:rsidR="00657CE8">
          <w:rPr>
            <w:noProof/>
            <w:webHidden/>
          </w:rPr>
        </w:r>
        <w:r w:rsidR="00657CE8">
          <w:rPr>
            <w:noProof/>
            <w:webHidden/>
          </w:rPr>
          <w:fldChar w:fldCharType="separate"/>
        </w:r>
        <w:r w:rsidR="008040B0">
          <w:rPr>
            <w:noProof/>
            <w:webHidden/>
          </w:rPr>
          <w:t>1</w:t>
        </w:r>
        <w:r w:rsidR="00657CE8">
          <w:rPr>
            <w:noProof/>
            <w:webHidden/>
          </w:rPr>
          <w:fldChar w:fldCharType="end"/>
        </w:r>
      </w:hyperlink>
    </w:p>
    <w:p w:rsidR="00657CE8" w:rsidRDefault="00352ED4" w:rsidP="00F4176A">
      <w:pPr>
        <w:pStyle w:val="TOC2"/>
        <w:rPr>
          <w:rFonts w:asciiTheme="minorHAnsi" w:eastAsiaTheme="minorEastAsia" w:hAnsiTheme="minorHAnsi" w:cstheme="minorBidi"/>
          <w:noProof/>
          <w:sz w:val="22"/>
          <w:szCs w:val="22"/>
        </w:rPr>
      </w:pPr>
      <w:hyperlink w:anchor="_Toc485906222" w:history="1">
        <w:r w:rsidR="00657CE8" w:rsidRPr="00704F06">
          <w:rPr>
            <w:rStyle w:val="Hyperlink"/>
            <w:noProof/>
          </w:rPr>
          <w:t xml:space="preserve">14. </w:t>
        </w:r>
        <w:r w:rsidR="00657CE8">
          <w:rPr>
            <w:rFonts w:asciiTheme="minorHAnsi" w:eastAsiaTheme="minorEastAsia" w:hAnsiTheme="minorHAnsi" w:cstheme="minorBidi"/>
            <w:noProof/>
            <w:sz w:val="22"/>
            <w:szCs w:val="22"/>
          </w:rPr>
          <w:tab/>
        </w:r>
        <w:r w:rsidR="00657CE8" w:rsidRPr="00704F06">
          <w:rPr>
            <w:rStyle w:val="Hyperlink"/>
            <w:noProof/>
          </w:rPr>
          <w:t>Annualized Cost to the Government</w:t>
        </w:r>
        <w:r w:rsidR="00657CE8">
          <w:rPr>
            <w:noProof/>
            <w:webHidden/>
          </w:rPr>
          <w:tab/>
        </w:r>
        <w:r w:rsidR="00657CE8">
          <w:rPr>
            <w:noProof/>
            <w:webHidden/>
          </w:rPr>
          <w:fldChar w:fldCharType="begin"/>
        </w:r>
        <w:r w:rsidR="00657CE8">
          <w:rPr>
            <w:noProof/>
            <w:webHidden/>
          </w:rPr>
          <w:instrText xml:space="preserve"> PAGEREF _Toc485906222 \h </w:instrText>
        </w:r>
        <w:r w:rsidR="00657CE8">
          <w:rPr>
            <w:noProof/>
            <w:webHidden/>
          </w:rPr>
        </w:r>
        <w:r w:rsidR="00657CE8">
          <w:rPr>
            <w:noProof/>
            <w:webHidden/>
          </w:rPr>
          <w:fldChar w:fldCharType="separate"/>
        </w:r>
        <w:r w:rsidR="008040B0">
          <w:rPr>
            <w:noProof/>
            <w:webHidden/>
          </w:rPr>
          <w:t>1</w:t>
        </w:r>
        <w:r w:rsidR="00657CE8">
          <w:rPr>
            <w:noProof/>
            <w:webHidden/>
          </w:rPr>
          <w:fldChar w:fldCharType="end"/>
        </w:r>
      </w:hyperlink>
    </w:p>
    <w:p w:rsidR="00657CE8" w:rsidRDefault="00352ED4" w:rsidP="00F4176A">
      <w:pPr>
        <w:pStyle w:val="TOC2"/>
        <w:rPr>
          <w:rFonts w:asciiTheme="minorHAnsi" w:eastAsiaTheme="minorEastAsia" w:hAnsiTheme="minorHAnsi" w:cstheme="minorBidi"/>
          <w:noProof/>
          <w:sz w:val="22"/>
          <w:szCs w:val="22"/>
        </w:rPr>
      </w:pPr>
      <w:hyperlink w:anchor="_Toc485906223" w:history="1">
        <w:r w:rsidR="00657CE8" w:rsidRPr="00704F06">
          <w:rPr>
            <w:rStyle w:val="Hyperlink"/>
            <w:noProof/>
          </w:rPr>
          <w:t>15.</w:t>
        </w:r>
        <w:r w:rsidR="00657CE8">
          <w:rPr>
            <w:rFonts w:asciiTheme="minorHAnsi" w:eastAsiaTheme="minorEastAsia" w:hAnsiTheme="minorHAnsi" w:cstheme="minorBidi"/>
            <w:noProof/>
            <w:sz w:val="22"/>
            <w:szCs w:val="22"/>
          </w:rPr>
          <w:tab/>
        </w:r>
        <w:r w:rsidR="00657CE8" w:rsidRPr="00704F06">
          <w:rPr>
            <w:rStyle w:val="Hyperlink"/>
            <w:noProof/>
          </w:rPr>
          <w:t>Explanation for Program Changes or Adjustments</w:t>
        </w:r>
        <w:r w:rsidR="00657CE8">
          <w:rPr>
            <w:noProof/>
            <w:webHidden/>
          </w:rPr>
          <w:tab/>
        </w:r>
        <w:r w:rsidR="00657CE8">
          <w:rPr>
            <w:noProof/>
            <w:webHidden/>
          </w:rPr>
          <w:fldChar w:fldCharType="begin"/>
        </w:r>
        <w:r w:rsidR="00657CE8">
          <w:rPr>
            <w:noProof/>
            <w:webHidden/>
          </w:rPr>
          <w:instrText xml:space="preserve"> PAGEREF _Toc485906223 \h </w:instrText>
        </w:r>
        <w:r w:rsidR="00657CE8">
          <w:rPr>
            <w:noProof/>
            <w:webHidden/>
          </w:rPr>
        </w:r>
        <w:r w:rsidR="00657CE8">
          <w:rPr>
            <w:noProof/>
            <w:webHidden/>
          </w:rPr>
          <w:fldChar w:fldCharType="separate"/>
        </w:r>
        <w:r w:rsidR="008040B0">
          <w:rPr>
            <w:noProof/>
            <w:webHidden/>
          </w:rPr>
          <w:t>1</w:t>
        </w:r>
        <w:r w:rsidR="00657CE8">
          <w:rPr>
            <w:noProof/>
            <w:webHidden/>
          </w:rPr>
          <w:fldChar w:fldCharType="end"/>
        </w:r>
      </w:hyperlink>
    </w:p>
    <w:p w:rsidR="00657CE8" w:rsidRDefault="00352ED4" w:rsidP="00F4176A">
      <w:pPr>
        <w:pStyle w:val="TOC2"/>
        <w:rPr>
          <w:rFonts w:asciiTheme="minorHAnsi" w:eastAsiaTheme="minorEastAsia" w:hAnsiTheme="minorHAnsi" w:cstheme="minorBidi"/>
          <w:noProof/>
          <w:sz w:val="22"/>
          <w:szCs w:val="22"/>
        </w:rPr>
      </w:pPr>
      <w:hyperlink w:anchor="_Toc485906224" w:history="1">
        <w:r w:rsidR="00657CE8" w:rsidRPr="00704F06">
          <w:rPr>
            <w:rStyle w:val="Hyperlink"/>
            <w:noProof/>
          </w:rPr>
          <w:t>16.</w:t>
        </w:r>
        <w:r w:rsidR="00657CE8">
          <w:rPr>
            <w:rFonts w:asciiTheme="minorHAnsi" w:eastAsiaTheme="minorEastAsia" w:hAnsiTheme="minorHAnsi" w:cstheme="minorBidi"/>
            <w:noProof/>
            <w:sz w:val="22"/>
            <w:szCs w:val="22"/>
          </w:rPr>
          <w:tab/>
        </w:r>
        <w:r w:rsidR="00657CE8" w:rsidRPr="00704F06">
          <w:rPr>
            <w:rStyle w:val="Hyperlink"/>
            <w:noProof/>
          </w:rPr>
          <w:t>Plans for Tabulation and Publication and Project Time Schedule</w:t>
        </w:r>
        <w:r w:rsidR="00657CE8">
          <w:rPr>
            <w:noProof/>
            <w:webHidden/>
          </w:rPr>
          <w:tab/>
        </w:r>
        <w:r w:rsidR="00657CE8">
          <w:rPr>
            <w:noProof/>
            <w:webHidden/>
          </w:rPr>
          <w:fldChar w:fldCharType="begin"/>
        </w:r>
        <w:r w:rsidR="00657CE8">
          <w:rPr>
            <w:noProof/>
            <w:webHidden/>
          </w:rPr>
          <w:instrText xml:space="preserve"> PAGEREF _Toc485906224 \h </w:instrText>
        </w:r>
        <w:r w:rsidR="00657CE8">
          <w:rPr>
            <w:noProof/>
            <w:webHidden/>
          </w:rPr>
        </w:r>
        <w:r w:rsidR="00657CE8">
          <w:rPr>
            <w:noProof/>
            <w:webHidden/>
          </w:rPr>
          <w:fldChar w:fldCharType="separate"/>
        </w:r>
        <w:r w:rsidR="008040B0">
          <w:rPr>
            <w:noProof/>
            <w:webHidden/>
          </w:rPr>
          <w:t>1</w:t>
        </w:r>
        <w:r w:rsidR="00657CE8">
          <w:rPr>
            <w:noProof/>
            <w:webHidden/>
          </w:rPr>
          <w:fldChar w:fldCharType="end"/>
        </w:r>
      </w:hyperlink>
    </w:p>
    <w:p w:rsidR="00657CE8" w:rsidRDefault="00352ED4" w:rsidP="00F4176A">
      <w:pPr>
        <w:pStyle w:val="TOC2"/>
        <w:rPr>
          <w:rFonts w:asciiTheme="minorHAnsi" w:eastAsiaTheme="minorEastAsia" w:hAnsiTheme="minorHAnsi" w:cstheme="minorBidi"/>
          <w:noProof/>
          <w:sz w:val="22"/>
          <w:szCs w:val="22"/>
        </w:rPr>
      </w:pPr>
      <w:hyperlink w:anchor="_Toc485906225" w:history="1">
        <w:r w:rsidR="00657CE8" w:rsidRPr="00704F06">
          <w:rPr>
            <w:rStyle w:val="Hyperlink"/>
            <w:noProof/>
          </w:rPr>
          <w:t xml:space="preserve">17. </w:t>
        </w:r>
        <w:r w:rsidR="00657CE8">
          <w:rPr>
            <w:rFonts w:asciiTheme="minorHAnsi" w:eastAsiaTheme="minorEastAsia" w:hAnsiTheme="minorHAnsi" w:cstheme="minorBidi"/>
            <w:noProof/>
            <w:sz w:val="22"/>
            <w:szCs w:val="22"/>
          </w:rPr>
          <w:tab/>
        </w:r>
        <w:r w:rsidR="00657CE8" w:rsidRPr="00704F06">
          <w:rPr>
            <w:rStyle w:val="Hyperlink"/>
            <w:noProof/>
          </w:rPr>
          <w:t>Reason(s) Display of OMB Expiration Date is Inappropriate</w:t>
        </w:r>
        <w:r w:rsidR="00657CE8">
          <w:rPr>
            <w:noProof/>
            <w:webHidden/>
          </w:rPr>
          <w:tab/>
        </w:r>
        <w:r w:rsidR="00657CE8">
          <w:rPr>
            <w:noProof/>
            <w:webHidden/>
          </w:rPr>
          <w:fldChar w:fldCharType="begin"/>
        </w:r>
        <w:r w:rsidR="00657CE8">
          <w:rPr>
            <w:noProof/>
            <w:webHidden/>
          </w:rPr>
          <w:instrText xml:space="preserve"> PAGEREF _Toc485906225 \h </w:instrText>
        </w:r>
        <w:r w:rsidR="00657CE8">
          <w:rPr>
            <w:noProof/>
            <w:webHidden/>
          </w:rPr>
        </w:r>
        <w:r w:rsidR="00657CE8">
          <w:rPr>
            <w:noProof/>
            <w:webHidden/>
          </w:rPr>
          <w:fldChar w:fldCharType="separate"/>
        </w:r>
        <w:r w:rsidR="008040B0">
          <w:rPr>
            <w:noProof/>
            <w:webHidden/>
          </w:rPr>
          <w:t>1</w:t>
        </w:r>
        <w:r w:rsidR="00657CE8">
          <w:rPr>
            <w:noProof/>
            <w:webHidden/>
          </w:rPr>
          <w:fldChar w:fldCharType="end"/>
        </w:r>
      </w:hyperlink>
    </w:p>
    <w:p w:rsidR="00657CE8" w:rsidRDefault="00352ED4" w:rsidP="00F4176A">
      <w:pPr>
        <w:pStyle w:val="TOC2"/>
        <w:rPr>
          <w:rFonts w:asciiTheme="minorHAnsi" w:eastAsiaTheme="minorEastAsia" w:hAnsiTheme="minorHAnsi" w:cstheme="minorBidi"/>
          <w:noProof/>
          <w:sz w:val="22"/>
          <w:szCs w:val="22"/>
        </w:rPr>
      </w:pPr>
      <w:hyperlink w:anchor="_Toc485906226" w:history="1">
        <w:r w:rsidR="00657CE8" w:rsidRPr="00704F06">
          <w:rPr>
            <w:rStyle w:val="Hyperlink"/>
            <w:noProof/>
          </w:rPr>
          <w:t>18.</w:t>
        </w:r>
        <w:r w:rsidR="00657CE8">
          <w:rPr>
            <w:rFonts w:asciiTheme="minorHAnsi" w:eastAsiaTheme="minorEastAsia" w:hAnsiTheme="minorHAnsi" w:cstheme="minorBidi"/>
            <w:noProof/>
            <w:sz w:val="22"/>
            <w:szCs w:val="22"/>
          </w:rPr>
          <w:tab/>
        </w:r>
        <w:r w:rsidR="006278ED">
          <w:rPr>
            <w:rStyle w:val="Hyperlink"/>
            <w:noProof/>
          </w:rPr>
          <w:t>Exceptions to Certification</w:t>
        </w:r>
        <w:r w:rsidR="00657CE8" w:rsidRPr="00704F06">
          <w:rPr>
            <w:rStyle w:val="Hyperlink"/>
            <w:noProof/>
          </w:rPr>
          <w:t xml:space="preserve"> for Paperwork Reduction Act Submissions</w:t>
        </w:r>
        <w:r w:rsidR="00657CE8">
          <w:rPr>
            <w:noProof/>
            <w:webHidden/>
          </w:rPr>
          <w:tab/>
        </w:r>
        <w:r w:rsidR="00657CE8">
          <w:rPr>
            <w:noProof/>
            <w:webHidden/>
          </w:rPr>
          <w:fldChar w:fldCharType="begin"/>
        </w:r>
        <w:r w:rsidR="00657CE8">
          <w:rPr>
            <w:noProof/>
            <w:webHidden/>
          </w:rPr>
          <w:instrText xml:space="preserve"> PAGEREF _Toc485906226 \h </w:instrText>
        </w:r>
        <w:r w:rsidR="00657CE8">
          <w:rPr>
            <w:noProof/>
            <w:webHidden/>
          </w:rPr>
        </w:r>
        <w:r w:rsidR="00657CE8">
          <w:rPr>
            <w:noProof/>
            <w:webHidden/>
          </w:rPr>
          <w:fldChar w:fldCharType="separate"/>
        </w:r>
        <w:r w:rsidR="008040B0">
          <w:rPr>
            <w:noProof/>
            <w:webHidden/>
          </w:rPr>
          <w:t>1</w:t>
        </w:r>
        <w:r w:rsidR="00657CE8">
          <w:rPr>
            <w:noProof/>
            <w:webHidden/>
          </w:rPr>
          <w:fldChar w:fldCharType="end"/>
        </w:r>
      </w:hyperlink>
    </w:p>
    <w:p w:rsidR="00F07CEF" w:rsidRPr="00603813" w:rsidRDefault="00C12D4C" w:rsidP="002E15A0">
      <w:pPr>
        <w:autoSpaceDE w:val="0"/>
        <w:autoSpaceDN w:val="0"/>
        <w:adjustRightInd w:val="0"/>
        <w:rPr>
          <w:i/>
        </w:rPr>
      </w:pPr>
      <w:r w:rsidRPr="00603813">
        <w:rPr>
          <w:b/>
          <w:bCs/>
        </w:rPr>
        <w:fldChar w:fldCharType="end"/>
      </w:r>
      <w:r w:rsidR="00F07CEF" w:rsidRPr="00603813">
        <w:rPr>
          <w:i/>
        </w:rPr>
        <w:t xml:space="preserve"> </w:t>
      </w:r>
    </w:p>
    <w:p w:rsidR="000E070D" w:rsidRPr="00603813" w:rsidRDefault="000E070D" w:rsidP="002E15A0">
      <w:pPr>
        <w:autoSpaceDE w:val="0"/>
        <w:autoSpaceDN w:val="0"/>
        <w:adjustRightInd w:val="0"/>
      </w:pPr>
    </w:p>
    <w:p w:rsidR="00F07CEF" w:rsidRDefault="00F07CEF" w:rsidP="00316236">
      <w:pPr>
        <w:pStyle w:val="Caption"/>
        <w:rPr>
          <w:sz w:val="24"/>
          <w:szCs w:val="24"/>
        </w:rPr>
      </w:pPr>
      <w:r w:rsidRPr="00603813">
        <w:rPr>
          <w:sz w:val="24"/>
          <w:szCs w:val="24"/>
        </w:rPr>
        <w:t>EXHIBITS</w:t>
      </w:r>
    </w:p>
    <w:p w:rsidR="001C18AE" w:rsidRPr="00316236" w:rsidRDefault="001C18AE" w:rsidP="00316236"/>
    <w:p w:rsidR="00F4176A" w:rsidRPr="00603813" w:rsidRDefault="00670326" w:rsidP="00F4176A">
      <w:pPr>
        <w:tabs>
          <w:tab w:val="left" w:leader="dot" w:pos="9180"/>
          <w:tab w:val="left" w:leader="dot" w:pos="10080"/>
        </w:tabs>
        <w:ind w:right="-187"/>
      </w:pPr>
      <w:r w:rsidRPr="00603813">
        <w:t>Exhibit A</w:t>
      </w:r>
      <w:r w:rsidR="00D53EAA">
        <w:t>2</w:t>
      </w:r>
      <w:r w:rsidR="007272DD" w:rsidRPr="00603813">
        <w:t xml:space="preserve">.1 Items of </w:t>
      </w:r>
      <w:r w:rsidR="001C1970" w:rsidRPr="00603813">
        <w:t xml:space="preserve">Information to be </w:t>
      </w:r>
      <w:r w:rsidR="00F46D17" w:rsidRPr="00603813">
        <w:t>collected</w:t>
      </w:r>
      <w:r w:rsidR="00F4176A">
        <w:t xml:space="preserve"> </w:t>
      </w:r>
      <w:r w:rsidR="00F4176A">
        <w:tab/>
        <w:t>3</w:t>
      </w:r>
    </w:p>
    <w:p w:rsidR="00D5652A" w:rsidRPr="00603813" w:rsidRDefault="00D5652A" w:rsidP="00A60A31">
      <w:pPr>
        <w:tabs>
          <w:tab w:val="left" w:leader="dot" w:pos="9090"/>
        </w:tabs>
      </w:pPr>
      <w:r w:rsidRPr="00603813">
        <w:t xml:space="preserve">Exhibit </w:t>
      </w:r>
      <w:r w:rsidR="001D56A4" w:rsidRPr="00603813">
        <w:t>A</w:t>
      </w:r>
      <w:r w:rsidR="00DB01C3" w:rsidRPr="00603813">
        <w:t>12.1</w:t>
      </w:r>
      <w:r w:rsidR="00A60A31">
        <w:t xml:space="preserve"> </w:t>
      </w:r>
      <w:r w:rsidRPr="00603813">
        <w:t>Estimated Annualized Burden Hours</w:t>
      </w:r>
      <w:r w:rsidR="00F4176A">
        <w:tab/>
      </w:r>
      <w:r w:rsidR="00A60A31">
        <w:t>12</w:t>
      </w:r>
    </w:p>
    <w:p w:rsidR="00D5652A" w:rsidRPr="00603813" w:rsidRDefault="00D5652A" w:rsidP="00A60A31">
      <w:pPr>
        <w:tabs>
          <w:tab w:val="left" w:leader="dot" w:pos="9090"/>
        </w:tabs>
      </w:pPr>
      <w:r w:rsidRPr="00603813">
        <w:t xml:space="preserve">Exhibit </w:t>
      </w:r>
      <w:r w:rsidR="001D56A4" w:rsidRPr="00603813">
        <w:t>A</w:t>
      </w:r>
      <w:r w:rsidR="00DB01C3" w:rsidRPr="00603813">
        <w:t>12.2</w:t>
      </w:r>
      <w:r w:rsidR="00A60A31">
        <w:t xml:space="preserve"> </w:t>
      </w:r>
      <w:r w:rsidRPr="00603813">
        <w:t>Estimated Annualized Burden Costs</w:t>
      </w:r>
      <w:r w:rsidR="00A60A31">
        <w:t xml:space="preserve"> </w:t>
      </w:r>
      <w:r w:rsidR="00A60A31">
        <w:tab/>
        <w:t>13</w:t>
      </w:r>
    </w:p>
    <w:p w:rsidR="00D5652A" w:rsidRPr="00603813" w:rsidRDefault="00D5652A" w:rsidP="00A60A31">
      <w:pPr>
        <w:tabs>
          <w:tab w:val="left" w:leader="dot" w:pos="9090"/>
        </w:tabs>
      </w:pPr>
      <w:r w:rsidRPr="00603813">
        <w:t xml:space="preserve">Exhibit </w:t>
      </w:r>
      <w:r w:rsidR="001D56A4" w:rsidRPr="00603813">
        <w:t>A</w:t>
      </w:r>
      <w:r w:rsidR="00DB01C3" w:rsidRPr="00603813">
        <w:t>14.1</w:t>
      </w:r>
      <w:r w:rsidR="00A60A31">
        <w:t xml:space="preserve"> </w:t>
      </w:r>
      <w:r w:rsidR="00870D01">
        <w:t>Annualized</w:t>
      </w:r>
      <w:r w:rsidRPr="00603813">
        <w:t xml:space="preserve"> Cost to the Government </w:t>
      </w:r>
      <w:r w:rsidR="00A60A31">
        <w:tab/>
        <w:t>14</w:t>
      </w:r>
    </w:p>
    <w:p w:rsidR="00D5652A" w:rsidRPr="00603813" w:rsidRDefault="00D5652A" w:rsidP="00A60A31">
      <w:pPr>
        <w:tabs>
          <w:tab w:val="left" w:leader="dot" w:pos="9090"/>
        </w:tabs>
      </w:pPr>
      <w:r w:rsidRPr="00603813">
        <w:t xml:space="preserve">Exhibit </w:t>
      </w:r>
      <w:r w:rsidR="001D56A4" w:rsidRPr="00603813">
        <w:t>A</w:t>
      </w:r>
      <w:r w:rsidR="00DB01C3" w:rsidRPr="00603813">
        <w:t>16.1</w:t>
      </w:r>
      <w:r w:rsidR="00A60A31">
        <w:t xml:space="preserve"> </w:t>
      </w:r>
      <w:r w:rsidRPr="00603813">
        <w:t>Project Time Schedule</w:t>
      </w:r>
      <w:r w:rsidR="00A60A31">
        <w:t xml:space="preserve"> </w:t>
      </w:r>
      <w:r w:rsidR="00A60A31">
        <w:tab/>
        <w:t>14</w:t>
      </w:r>
    </w:p>
    <w:p w:rsidR="00F07CEF" w:rsidRPr="00603813" w:rsidRDefault="00F07CEF" w:rsidP="002E15A0"/>
    <w:p w:rsidR="001C18AE" w:rsidRDefault="001C18AE" w:rsidP="002E15A0">
      <w:pPr>
        <w:autoSpaceDE w:val="0"/>
        <w:autoSpaceDN w:val="0"/>
        <w:adjustRightInd w:val="0"/>
        <w:rPr>
          <w:b/>
        </w:rPr>
      </w:pPr>
    </w:p>
    <w:p w:rsidR="00F07CEF" w:rsidRPr="00603813" w:rsidRDefault="00F07CEF" w:rsidP="002E15A0">
      <w:pPr>
        <w:autoSpaceDE w:val="0"/>
        <w:autoSpaceDN w:val="0"/>
        <w:adjustRightInd w:val="0"/>
        <w:rPr>
          <w:b/>
        </w:rPr>
      </w:pPr>
      <w:r w:rsidRPr="00603813">
        <w:rPr>
          <w:b/>
        </w:rPr>
        <w:t>LIST OF ATTACHMENTS</w:t>
      </w:r>
    </w:p>
    <w:p w:rsidR="00D5652A" w:rsidRPr="00603813" w:rsidRDefault="00D5652A" w:rsidP="002E15A0">
      <w:pPr>
        <w:tabs>
          <w:tab w:val="left" w:pos="540"/>
        </w:tabs>
        <w:rPr>
          <w:b/>
          <w:highlight w:val="yellow"/>
        </w:rPr>
      </w:pPr>
    </w:p>
    <w:p w:rsidR="00D5652A" w:rsidRDefault="00D5652A" w:rsidP="002E15A0">
      <w:pPr>
        <w:tabs>
          <w:tab w:val="left" w:pos="540"/>
        </w:tabs>
      </w:pPr>
      <w:r w:rsidRPr="00603813">
        <w:rPr>
          <w:b/>
        </w:rPr>
        <w:t>Attachment 1</w:t>
      </w:r>
      <w:r w:rsidRPr="00603813">
        <w:rPr>
          <w:b/>
        </w:rPr>
        <w:tab/>
      </w:r>
      <w:r w:rsidRPr="00603813">
        <w:t xml:space="preserve">Authorizing Legislation </w:t>
      </w:r>
    </w:p>
    <w:p w:rsidR="00F24FB1" w:rsidRDefault="00F24FB1" w:rsidP="002E15A0">
      <w:pPr>
        <w:tabs>
          <w:tab w:val="left" w:pos="540"/>
        </w:tabs>
      </w:pPr>
    </w:p>
    <w:p w:rsidR="00F24FB1" w:rsidRPr="00603813" w:rsidRDefault="00F24FB1" w:rsidP="002E15A0">
      <w:pPr>
        <w:tabs>
          <w:tab w:val="left" w:pos="540"/>
        </w:tabs>
      </w:pPr>
      <w:r w:rsidRPr="00E84E2B">
        <w:rPr>
          <w:b/>
        </w:rPr>
        <w:t>Attachment 2</w:t>
      </w:r>
      <w:r>
        <w:tab/>
        <w:t>60-Day FRN</w:t>
      </w:r>
    </w:p>
    <w:p w:rsidR="00917D01" w:rsidRPr="00603813" w:rsidRDefault="00917D01" w:rsidP="002E15A0">
      <w:pPr>
        <w:tabs>
          <w:tab w:val="left" w:pos="540"/>
        </w:tabs>
      </w:pPr>
    </w:p>
    <w:p w:rsidR="00D5652A" w:rsidRPr="00603813" w:rsidRDefault="00D5652A" w:rsidP="002E15A0">
      <w:pPr>
        <w:tabs>
          <w:tab w:val="left" w:pos="540"/>
        </w:tabs>
        <w:rPr>
          <w:bCs/>
        </w:rPr>
      </w:pPr>
      <w:r w:rsidRPr="00603813">
        <w:rPr>
          <w:b/>
          <w:bCs/>
        </w:rPr>
        <w:t xml:space="preserve">Attachment </w:t>
      </w:r>
      <w:r w:rsidR="001C6F7A">
        <w:rPr>
          <w:b/>
          <w:bCs/>
        </w:rPr>
        <w:t>3</w:t>
      </w:r>
      <w:r w:rsidRPr="00603813">
        <w:rPr>
          <w:bCs/>
        </w:rPr>
        <w:t xml:space="preserve"> Data Collection Forms</w:t>
      </w:r>
    </w:p>
    <w:p w:rsidR="00742FBD" w:rsidRDefault="001C6F7A" w:rsidP="002E15A0">
      <w:pPr>
        <w:ind w:firstLine="720"/>
      </w:pPr>
      <w:r>
        <w:t>3</w:t>
      </w:r>
      <w:r w:rsidR="00742FBD">
        <w:t>a</w:t>
      </w:r>
      <w:r w:rsidR="00742FBD" w:rsidRPr="00603813">
        <w:t xml:space="preserve">. </w:t>
      </w:r>
      <w:r w:rsidR="00A60A31">
        <w:t>Screener</w:t>
      </w:r>
    </w:p>
    <w:p w:rsidR="00A40280" w:rsidRPr="00603813" w:rsidRDefault="00A40280" w:rsidP="002E15A0">
      <w:pPr>
        <w:ind w:firstLine="720"/>
      </w:pPr>
      <w:r>
        <w:t>3b. Eligibility Verification</w:t>
      </w:r>
    </w:p>
    <w:p w:rsidR="00742FBD" w:rsidRPr="00603813" w:rsidRDefault="001C6F7A" w:rsidP="002E15A0">
      <w:pPr>
        <w:ind w:firstLine="720"/>
      </w:pPr>
      <w:r>
        <w:t>3</w:t>
      </w:r>
      <w:r w:rsidR="00A40280">
        <w:t>c</w:t>
      </w:r>
      <w:r w:rsidR="00742FBD" w:rsidRPr="00603813">
        <w:t xml:space="preserve">. </w:t>
      </w:r>
      <w:r w:rsidR="00A60A31">
        <w:t>In-depth Interview (IDI) Guide</w:t>
      </w:r>
    </w:p>
    <w:p w:rsidR="00742FBD" w:rsidRPr="00603813" w:rsidRDefault="001C6F7A" w:rsidP="002E15A0">
      <w:pPr>
        <w:ind w:firstLine="720"/>
      </w:pPr>
      <w:r>
        <w:t>3</w:t>
      </w:r>
      <w:r w:rsidR="00A40280">
        <w:t>d</w:t>
      </w:r>
      <w:r w:rsidR="00742FBD" w:rsidRPr="00603813">
        <w:t>.</w:t>
      </w:r>
      <w:r w:rsidR="00742FBD">
        <w:t xml:space="preserve"> </w:t>
      </w:r>
      <w:r w:rsidR="00A60A31">
        <w:t>Focus Group Moderator Guide</w:t>
      </w:r>
    </w:p>
    <w:p w:rsidR="00742FBD" w:rsidRDefault="001C6F7A" w:rsidP="002E15A0">
      <w:pPr>
        <w:ind w:firstLine="720"/>
      </w:pPr>
      <w:r>
        <w:t>3</w:t>
      </w:r>
      <w:r w:rsidR="00A40280">
        <w:t>e</w:t>
      </w:r>
      <w:r w:rsidR="00742FBD" w:rsidRPr="00603813">
        <w:t xml:space="preserve">. </w:t>
      </w:r>
      <w:r w:rsidR="00A60A31">
        <w:t>Behavioral Assessment</w:t>
      </w:r>
    </w:p>
    <w:p w:rsidR="00F2411C" w:rsidRDefault="00F2411C" w:rsidP="002E15A0">
      <w:pPr>
        <w:ind w:firstLine="720"/>
      </w:pPr>
      <w:r w:rsidRPr="00CD0B7A">
        <w:t>3f. Contact Form</w:t>
      </w:r>
    </w:p>
    <w:p w:rsidR="00CE7E07" w:rsidRPr="00603813" w:rsidRDefault="00CE7E07" w:rsidP="002E15A0">
      <w:pPr>
        <w:ind w:firstLine="720"/>
      </w:pPr>
      <w:r>
        <w:t xml:space="preserve">3g. </w:t>
      </w:r>
      <w:r w:rsidR="00F16F50">
        <w:t xml:space="preserve">Eligibility Verification, </w:t>
      </w:r>
      <w:r w:rsidR="00F31CB2">
        <w:t xml:space="preserve">Screener &amp; </w:t>
      </w:r>
      <w:r>
        <w:t>Behavioral Assessment Print Screens</w:t>
      </w:r>
    </w:p>
    <w:p w:rsidR="00D5652A" w:rsidRPr="00603813" w:rsidRDefault="00D5652A" w:rsidP="002E15A0">
      <w:pPr>
        <w:spacing w:before="120"/>
      </w:pPr>
      <w:r w:rsidRPr="00603813">
        <w:rPr>
          <w:b/>
        </w:rPr>
        <w:lastRenderedPageBreak/>
        <w:t xml:space="preserve">Attachment </w:t>
      </w:r>
      <w:r w:rsidR="001C6F7A">
        <w:rPr>
          <w:b/>
        </w:rPr>
        <w:t>4</w:t>
      </w:r>
      <w:r w:rsidRPr="00603813">
        <w:rPr>
          <w:b/>
        </w:rPr>
        <w:tab/>
      </w:r>
      <w:r w:rsidRPr="00603813">
        <w:rPr>
          <w:bCs/>
        </w:rPr>
        <w:t xml:space="preserve">Consent </w:t>
      </w:r>
      <w:r w:rsidR="00AE3C10">
        <w:rPr>
          <w:bCs/>
        </w:rPr>
        <w:t xml:space="preserve">and Assent </w:t>
      </w:r>
      <w:r w:rsidRPr="00603813">
        <w:rPr>
          <w:bCs/>
        </w:rPr>
        <w:t>forms</w:t>
      </w:r>
    </w:p>
    <w:p w:rsidR="00D5652A" w:rsidRPr="00603813" w:rsidRDefault="001C6F7A" w:rsidP="002E15A0">
      <w:pPr>
        <w:ind w:left="720"/>
        <w:rPr>
          <w:iCs/>
        </w:rPr>
      </w:pPr>
      <w:r>
        <w:t>4</w:t>
      </w:r>
      <w:r w:rsidR="00D5652A" w:rsidRPr="00603813">
        <w:t xml:space="preserve">a. </w:t>
      </w:r>
      <w:r w:rsidR="00A60A31">
        <w:t>In-depth Interview Informed Consent</w:t>
      </w:r>
    </w:p>
    <w:p w:rsidR="00AE3C10" w:rsidRDefault="001C6F7A" w:rsidP="002E15A0">
      <w:pPr>
        <w:ind w:left="720"/>
      </w:pPr>
      <w:r>
        <w:t>4</w:t>
      </w:r>
      <w:r w:rsidR="00D5652A" w:rsidRPr="00603813">
        <w:t xml:space="preserve">b. </w:t>
      </w:r>
      <w:r w:rsidR="00A60A31">
        <w:t>Focus Group Informed Consent</w:t>
      </w:r>
    </w:p>
    <w:p w:rsidR="00591A3E" w:rsidRDefault="00A60A31" w:rsidP="00A60A31">
      <w:pPr>
        <w:ind w:left="720"/>
      </w:pPr>
      <w:r>
        <w:t>4c. Behavioral Assessment Informed Consent</w:t>
      </w:r>
    </w:p>
    <w:p w:rsidR="00D5652A" w:rsidRPr="00603813" w:rsidRDefault="00D5652A" w:rsidP="002E15A0">
      <w:pPr>
        <w:spacing w:before="120"/>
      </w:pPr>
      <w:r w:rsidRPr="00603813">
        <w:rPr>
          <w:b/>
        </w:rPr>
        <w:t xml:space="preserve">Attachment </w:t>
      </w:r>
      <w:r w:rsidR="001C6F7A">
        <w:rPr>
          <w:b/>
        </w:rPr>
        <w:t>5</w:t>
      </w:r>
      <w:r w:rsidRPr="00603813">
        <w:rPr>
          <w:b/>
        </w:rPr>
        <w:tab/>
      </w:r>
      <w:r w:rsidRPr="00603813">
        <w:rPr>
          <w:bCs/>
        </w:rPr>
        <w:t>Human Subjects Approvals</w:t>
      </w:r>
    </w:p>
    <w:p w:rsidR="00F86F81" w:rsidRDefault="001C6F7A" w:rsidP="00EC25A2">
      <w:pPr>
        <w:ind w:left="720"/>
      </w:pPr>
      <w:r>
        <w:t>5</w:t>
      </w:r>
      <w:r w:rsidR="00D5652A" w:rsidRPr="00603813">
        <w:t xml:space="preserve">a. </w:t>
      </w:r>
      <w:r w:rsidR="00A60A31">
        <w:t>Emory University Institutional Review Board Decision</w:t>
      </w:r>
    </w:p>
    <w:p w:rsidR="00F86F81" w:rsidRDefault="001C6F7A" w:rsidP="002E15A0">
      <w:pPr>
        <w:ind w:left="720"/>
      </w:pPr>
      <w:r>
        <w:t>5</w:t>
      </w:r>
      <w:r w:rsidR="00A60A31">
        <w:t>b. Centers for Disease Control Institutional Review Board Approval</w:t>
      </w:r>
    </w:p>
    <w:p w:rsidR="00D5652A" w:rsidRPr="00603813" w:rsidRDefault="00D5652A" w:rsidP="002E15A0">
      <w:pPr>
        <w:rPr>
          <w:highlight w:val="yellow"/>
        </w:rPr>
      </w:pPr>
    </w:p>
    <w:p w:rsidR="005F7E57" w:rsidRPr="00603813" w:rsidRDefault="00D5652A" w:rsidP="002E15A0">
      <w:r w:rsidRPr="00603813">
        <w:rPr>
          <w:b/>
        </w:rPr>
        <w:t xml:space="preserve">Attachment </w:t>
      </w:r>
      <w:r w:rsidR="001C6F7A">
        <w:rPr>
          <w:b/>
        </w:rPr>
        <w:t>6</w:t>
      </w:r>
      <w:r w:rsidRPr="00603813">
        <w:rPr>
          <w:b/>
        </w:rPr>
        <w:tab/>
      </w:r>
      <w:r w:rsidRPr="00603813">
        <w:t xml:space="preserve">Recruitment </w:t>
      </w:r>
      <w:r w:rsidR="00255204">
        <w:t>M</w:t>
      </w:r>
      <w:r w:rsidRPr="00603813">
        <w:t>aterials</w:t>
      </w:r>
    </w:p>
    <w:p w:rsidR="00D5652A" w:rsidRPr="00603813" w:rsidRDefault="00D5652A" w:rsidP="00A60A31">
      <w:r w:rsidRPr="00603813">
        <w:tab/>
      </w:r>
      <w:r w:rsidR="001C6F7A">
        <w:t>6</w:t>
      </w:r>
      <w:r w:rsidR="00F86F81">
        <w:t>a</w:t>
      </w:r>
      <w:r w:rsidRPr="00603813">
        <w:t xml:space="preserve">. </w:t>
      </w:r>
      <w:r w:rsidR="0068454C">
        <w:t>HIV-negative MSM</w:t>
      </w:r>
      <w:r w:rsidR="00A60A31">
        <w:t xml:space="preserve"> Recruitment Materials (i.e. Flyers and Palm cards)</w:t>
      </w:r>
    </w:p>
    <w:p w:rsidR="00D5652A" w:rsidRPr="00603813" w:rsidRDefault="00D5652A" w:rsidP="002E15A0"/>
    <w:p w:rsidR="00056AE1" w:rsidRDefault="007272DD" w:rsidP="00EB0212">
      <w:r w:rsidRPr="00603813">
        <w:rPr>
          <w:b/>
        </w:rPr>
        <w:t xml:space="preserve">Attachment </w:t>
      </w:r>
      <w:r w:rsidR="001C6F7A">
        <w:rPr>
          <w:b/>
        </w:rPr>
        <w:t>7</w:t>
      </w:r>
      <w:r w:rsidRPr="00603813">
        <w:rPr>
          <w:b/>
        </w:rPr>
        <w:tab/>
      </w:r>
      <w:r w:rsidR="00067F5D" w:rsidRPr="00CD0B7A">
        <w:t>Data</w:t>
      </w:r>
      <w:r w:rsidR="00770396" w:rsidRPr="00CD0B7A">
        <w:t xml:space="preserve"> Security Plan</w:t>
      </w:r>
      <w:r w:rsidR="00770396" w:rsidRPr="00603813">
        <w:t xml:space="preserve"> </w:t>
      </w:r>
    </w:p>
    <w:p w:rsidR="006D495A" w:rsidRDefault="006D495A" w:rsidP="00EB0212"/>
    <w:p w:rsidR="006D495A" w:rsidRDefault="006D495A" w:rsidP="006D495A">
      <w:r w:rsidRPr="00603813">
        <w:rPr>
          <w:b/>
        </w:rPr>
        <w:t xml:space="preserve">Attachment </w:t>
      </w:r>
      <w:r>
        <w:rPr>
          <w:b/>
        </w:rPr>
        <w:t>8</w:t>
      </w:r>
      <w:r w:rsidRPr="00603813">
        <w:rPr>
          <w:b/>
        </w:rPr>
        <w:tab/>
      </w:r>
      <w:r>
        <w:t xml:space="preserve">Privacy Impact Assessment (PIA) </w:t>
      </w:r>
      <w:r w:rsidRPr="00603813">
        <w:t xml:space="preserve"> </w:t>
      </w:r>
    </w:p>
    <w:p w:rsidR="006D495A" w:rsidRDefault="006D495A" w:rsidP="00EB0212"/>
    <w:p w:rsidR="00D35747" w:rsidRDefault="00D35747" w:rsidP="00EB0212"/>
    <w:p w:rsidR="009B766F" w:rsidRDefault="009B766F" w:rsidP="002E15A0"/>
    <w:p w:rsidR="00056AE1" w:rsidRPr="00603813" w:rsidRDefault="00770396" w:rsidP="002E15A0">
      <w:pPr>
        <w:rPr>
          <w:b/>
        </w:rPr>
        <w:sectPr w:rsidR="00056AE1" w:rsidRPr="00603813" w:rsidSect="000F622F">
          <w:footerReference w:type="default" r:id="rId11"/>
          <w:pgSz w:w="12240" w:h="15840"/>
          <w:pgMar w:top="1440" w:right="1440" w:bottom="1440" w:left="1440" w:header="720" w:footer="720" w:gutter="0"/>
          <w:pgNumType w:start="1"/>
          <w:cols w:space="720"/>
          <w:docGrid w:linePitch="360"/>
        </w:sectPr>
      </w:pPr>
      <w:r w:rsidRPr="00603813">
        <w:tab/>
      </w:r>
      <w:r w:rsidR="005657DA" w:rsidRPr="00603813">
        <w:t xml:space="preserve"> </w:t>
      </w:r>
    </w:p>
    <w:p w:rsidR="00F24FB1" w:rsidRDefault="00F24FB1" w:rsidP="002E15A0">
      <w:pPr>
        <w:spacing w:after="200" w:line="276" w:lineRule="auto"/>
        <w:rPr>
          <w:b/>
        </w:rPr>
      </w:pPr>
      <w:bookmarkStart w:id="1" w:name="_Toc235958534"/>
      <w:bookmarkStart w:id="2" w:name="_Toc306891233"/>
      <w:r w:rsidRPr="00295D23">
        <w:rPr>
          <w:noProof/>
        </w:rPr>
        <mc:AlternateContent>
          <mc:Choice Requires="wps">
            <w:drawing>
              <wp:anchor distT="0" distB="0" distL="114300" distR="114300" simplePos="0" relativeHeight="251659264" behindDoc="0" locked="0" layoutInCell="1" allowOverlap="1" wp14:anchorId="09D66741" wp14:editId="0143D6A0">
                <wp:simplePos x="0" y="0"/>
                <wp:positionH relativeFrom="margin">
                  <wp:align>left</wp:align>
                </wp:positionH>
                <wp:positionV relativeFrom="paragraph">
                  <wp:posOffset>-353635</wp:posOffset>
                </wp:positionV>
                <wp:extent cx="6162675" cy="3329224"/>
                <wp:effectExtent l="0" t="0" r="28575"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329224"/>
                        </a:xfrm>
                        <a:prstGeom prst="rect">
                          <a:avLst/>
                        </a:prstGeom>
                        <a:solidFill>
                          <a:srgbClr val="FFFFFF"/>
                        </a:solidFill>
                        <a:ln w="9525">
                          <a:solidFill>
                            <a:srgbClr val="000000"/>
                          </a:solidFill>
                          <a:miter lim="800000"/>
                          <a:headEnd/>
                          <a:tailEnd/>
                        </a:ln>
                      </wps:spPr>
                      <wps:txbx>
                        <w:txbxContent>
                          <w:p w:rsidR="00F41A75" w:rsidRPr="000763A7" w:rsidRDefault="00F41A75" w:rsidP="00EB5BC8">
                            <w:pPr>
                              <w:pStyle w:val="ListParagraph"/>
                              <w:numPr>
                                <w:ilvl w:val="0"/>
                                <w:numId w:val="22"/>
                              </w:numPr>
                              <w:rPr>
                                <w:rFonts w:ascii="Times New Roman" w:hAnsi="Times New Roman"/>
                              </w:rPr>
                            </w:pPr>
                            <w:r w:rsidRPr="000763A7">
                              <w:rPr>
                                <w:rFonts w:ascii="Times New Roman" w:hAnsi="Times New Roman"/>
                                <w:b/>
                              </w:rPr>
                              <w:t>Goal of the study</w:t>
                            </w:r>
                            <w:r w:rsidRPr="000763A7">
                              <w:rPr>
                                <w:rFonts w:ascii="Times New Roman" w:hAnsi="Times New Roman"/>
                                <w:lang w:val="en-US"/>
                              </w:rPr>
                              <w:t xml:space="preserve">: </w:t>
                            </w:r>
                            <w:r w:rsidRPr="000763A7">
                              <w:rPr>
                                <w:rFonts w:ascii="Times New Roman" w:hAnsi="Times New Roman"/>
                                <w:lang w:bidi="en-US"/>
                              </w:rPr>
                              <w:t xml:space="preserve">The </w:t>
                            </w:r>
                            <w:r w:rsidRPr="000763A7">
                              <w:rPr>
                                <w:rFonts w:ascii="Times New Roman" w:hAnsi="Times New Roman"/>
                                <w:lang w:val="en-US" w:bidi="en-US"/>
                              </w:rPr>
                              <w:t xml:space="preserve">goal </w:t>
                            </w:r>
                            <w:r w:rsidRPr="000763A7">
                              <w:rPr>
                                <w:rFonts w:ascii="Times New Roman" w:hAnsi="Times New Roman"/>
                                <w:lang w:bidi="en-US"/>
                              </w:rPr>
                              <w:t xml:space="preserve">is to </w:t>
                            </w:r>
                            <w:r w:rsidRPr="000763A7">
                              <w:rPr>
                                <w:rFonts w:ascii="Times New Roman" w:hAnsi="Times New Roman"/>
                                <w:lang w:val="en-US" w:bidi="en-US"/>
                              </w:rPr>
                              <w:t>understand</w:t>
                            </w:r>
                            <w:r w:rsidRPr="000763A7">
                              <w:rPr>
                                <w:rFonts w:ascii="Times New Roman" w:hAnsi="Times New Roman"/>
                                <w:lang w:bidi="en-US"/>
                              </w:rPr>
                              <w:t xml:space="preserve"> </w:t>
                            </w:r>
                            <w:r w:rsidRPr="000763A7">
                              <w:rPr>
                                <w:rFonts w:ascii="Times New Roman" w:hAnsi="Times New Roman"/>
                                <w:lang w:val="en-US" w:bidi="en-US"/>
                              </w:rPr>
                              <w:t xml:space="preserve">why high risk HIV-negative men who have sex with men (MSM) who reside in </w:t>
                            </w:r>
                            <w:r w:rsidRPr="000763A7">
                              <w:rPr>
                                <w:rFonts w:ascii="Times New Roman" w:hAnsi="Times New Roman"/>
                                <w:lang w:val="en-US"/>
                              </w:rPr>
                              <w:t>Atlanta, GA; Chicago, IL., and Raleigh-Durham, NC., and are eligible to use pre-exposure prophylaxis (PrEP) to prevent HIV infection due to risk behavior, either a) refuse it when offered, b) fail to initiate after agreeing to use it</w:t>
                            </w:r>
                            <w:r>
                              <w:rPr>
                                <w:rFonts w:ascii="Times New Roman" w:hAnsi="Times New Roman"/>
                                <w:lang w:val="en-US"/>
                              </w:rPr>
                              <w:t xml:space="preserve">, or c) </w:t>
                            </w:r>
                            <w:r w:rsidRPr="00EB5BC8">
                              <w:rPr>
                                <w:rFonts w:ascii="Times New Roman" w:hAnsi="Times New Roman"/>
                                <w:lang w:val="en-US"/>
                              </w:rPr>
                              <w:t xml:space="preserve">are </w:t>
                            </w:r>
                            <w:r>
                              <w:rPr>
                                <w:rFonts w:ascii="Times New Roman" w:hAnsi="Times New Roman"/>
                                <w:lang w:val="en-US"/>
                              </w:rPr>
                              <w:t xml:space="preserve">not on PrEP but </w:t>
                            </w:r>
                            <w:r w:rsidRPr="00EB5BC8">
                              <w:rPr>
                                <w:rFonts w:ascii="Times New Roman" w:hAnsi="Times New Roman"/>
                                <w:lang w:val="en-US"/>
                              </w:rPr>
                              <w:t>eligible for PrEP per CDC guidelines (condomless anal sex within the last 3 months)</w:t>
                            </w:r>
                            <w:r w:rsidRPr="000763A7">
                              <w:rPr>
                                <w:rFonts w:ascii="Times New Roman" w:hAnsi="Times New Roman"/>
                                <w:lang w:val="en-US"/>
                              </w:rPr>
                              <w:t>.</w:t>
                            </w:r>
                          </w:p>
                          <w:p w:rsidR="00F41A75" w:rsidRPr="000763A7" w:rsidRDefault="00F41A75" w:rsidP="00295D23">
                            <w:pPr>
                              <w:pStyle w:val="ListParagraph"/>
                              <w:numPr>
                                <w:ilvl w:val="0"/>
                                <w:numId w:val="22"/>
                              </w:numPr>
                              <w:rPr>
                                <w:rFonts w:ascii="Times New Roman" w:hAnsi="Times New Roman"/>
                              </w:rPr>
                            </w:pPr>
                            <w:r w:rsidRPr="000763A7">
                              <w:rPr>
                                <w:rFonts w:ascii="Times New Roman" w:hAnsi="Times New Roman"/>
                                <w:b/>
                              </w:rPr>
                              <w:t>Intended use of the resulting data</w:t>
                            </w:r>
                            <w:r w:rsidRPr="000763A7">
                              <w:rPr>
                                <w:rFonts w:ascii="Times New Roman" w:hAnsi="Times New Roman"/>
                                <w:lang w:val="en-US"/>
                              </w:rPr>
                              <w:t>:</w:t>
                            </w:r>
                            <w:r w:rsidRPr="000763A7">
                              <w:rPr>
                                <w:rFonts w:ascii="Times New Roman" w:hAnsi="Times New Roman"/>
                              </w:rPr>
                              <w:t xml:space="preserve"> </w:t>
                            </w:r>
                            <w:r w:rsidRPr="000763A7">
                              <w:rPr>
                                <w:rFonts w:ascii="Times New Roman" w:hAnsi="Times New Roman"/>
                                <w:lang w:val="en-US" w:bidi="en-US"/>
                              </w:rPr>
                              <w:t>In</w:t>
                            </w:r>
                            <w:r w:rsidRPr="000763A7">
                              <w:rPr>
                                <w:rFonts w:ascii="Times New Roman" w:hAnsi="Times New Roman"/>
                                <w:lang w:bidi="en-US"/>
                              </w:rPr>
                              <w:t>form</w:t>
                            </w:r>
                            <w:r w:rsidRPr="000763A7">
                              <w:rPr>
                                <w:rFonts w:ascii="Times New Roman" w:hAnsi="Times New Roman"/>
                                <w:lang w:val="en-US" w:bidi="en-US"/>
                              </w:rPr>
                              <w:t xml:space="preserve"> </w:t>
                            </w:r>
                            <w:r w:rsidRPr="000763A7">
                              <w:rPr>
                                <w:rFonts w:ascii="Times New Roman" w:hAnsi="Times New Roman"/>
                                <w:lang w:bidi="en-US"/>
                              </w:rPr>
                              <w:t xml:space="preserve">ongoing </w:t>
                            </w:r>
                            <w:r w:rsidRPr="000763A7">
                              <w:rPr>
                                <w:rFonts w:ascii="Times New Roman" w:hAnsi="Times New Roman"/>
                                <w:lang w:val="en-US" w:bidi="en-US"/>
                              </w:rPr>
                              <w:t>CDC efforts</w:t>
                            </w:r>
                            <w:r w:rsidRPr="000763A7">
                              <w:rPr>
                                <w:rFonts w:ascii="Times New Roman" w:hAnsi="Times New Roman"/>
                                <w:lang w:bidi="en-US"/>
                              </w:rPr>
                              <w:t xml:space="preserve"> to </w:t>
                            </w:r>
                            <w:r w:rsidRPr="000763A7">
                              <w:rPr>
                                <w:rFonts w:ascii="Times New Roman" w:hAnsi="Times New Roman"/>
                                <w:lang w:val="en-US" w:bidi="en-US"/>
                              </w:rPr>
                              <w:t>target</w:t>
                            </w:r>
                            <w:r w:rsidRPr="000763A7">
                              <w:rPr>
                                <w:rFonts w:ascii="Times New Roman" w:hAnsi="Times New Roman"/>
                                <w:lang w:bidi="en-US"/>
                              </w:rPr>
                              <w:t xml:space="preserve"> </w:t>
                            </w:r>
                            <w:r w:rsidRPr="000763A7">
                              <w:rPr>
                                <w:rFonts w:ascii="Times New Roman" w:hAnsi="Times New Roman"/>
                                <w:lang w:val="en-US" w:bidi="en-US"/>
                              </w:rPr>
                              <w:t>PrEP focused HIV prevention strategies for MSM and gauge acceptability of emerging HIV prevention options, including alternative PrEP dosing and administration.</w:t>
                            </w:r>
                          </w:p>
                          <w:p w:rsidR="00F41A75" w:rsidRPr="000763A7" w:rsidRDefault="00F41A75" w:rsidP="00295D23">
                            <w:pPr>
                              <w:pStyle w:val="ListParagraph"/>
                              <w:numPr>
                                <w:ilvl w:val="0"/>
                                <w:numId w:val="22"/>
                              </w:numPr>
                              <w:rPr>
                                <w:rFonts w:ascii="Times New Roman" w:hAnsi="Times New Roman"/>
                              </w:rPr>
                            </w:pPr>
                            <w:r w:rsidRPr="000763A7">
                              <w:rPr>
                                <w:rFonts w:ascii="Times New Roman" w:hAnsi="Times New Roman"/>
                                <w:b/>
                              </w:rPr>
                              <w:t>Methods to be used to collect</w:t>
                            </w:r>
                            <w:r>
                              <w:rPr>
                                <w:rFonts w:ascii="Times New Roman" w:hAnsi="Times New Roman"/>
                                <w:b/>
                                <w:lang w:val="en-US"/>
                              </w:rPr>
                              <w:t xml:space="preserve"> data</w:t>
                            </w:r>
                            <w:r w:rsidRPr="000763A7">
                              <w:rPr>
                                <w:rFonts w:ascii="Times New Roman" w:hAnsi="Times New Roman"/>
                                <w:lang w:val="en-US"/>
                              </w:rPr>
                              <w:t xml:space="preserve">: Qualitative semi-structured interviews (n=60) and focus groups (12 groups with 5 respondents per group; n=60) with men who either refuse PrEP or unsuccessfully initiate a PrEP regimen. A 30-minute self-administered quantitative behavioral assessment (aka survey) with all respondents (n=300). </w:t>
                            </w:r>
                          </w:p>
                          <w:p w:rsidR="00F41A75" w:rsidRPr="000763A7" w:rsidRDefault="00F41A75" w:rsidP="00295D23">
                            <w:pPr>
                              <w:pStyle w:val="ListParagraph"/>
                              <w:numPr>
                                <w:ilvl w:val="0"/>
                                <w:numId w:val="22"/>
                              </w:numPr>
                              <w:rPr>
                                <w:rFonts w:ascii="Times New Roman" w:hAnsi="Times New Roman"/>
                              </w:rPr>
                            </w:pPr>
                            <w:r w:rsidRPr="000763A7">
                              <w:rPr>
                                <w:rFonts w:ascii="Times New Roman" w:hAnsi="Times New Roman"/>
                                <w:b/>
                                <w:lang w:val="en-US"/>
                              </w:rPr>
                              <w:t>Population to be studied</w:t>
                            </w:r>
                            <w:r w:rsidRPr="000763A7">
                              <w:rPr>
                                <w:rFonts w:ascii="Times New Roman" w:hAnsi="Times New Roman"/>
                              </w:rPr>
                              <w:t>:</w:t>
                            </w:r>
                            <w:r w:rsidRPr="000763A7">
                              <w:rPr>
                                <w:rFonts w:ascii="Times New Roman" w:hAnsi="Times New Roman"/>
                                <w:lang w:val="en-US"/>
                              </w:rPr>
                              <w:t xml:space="preserve"> Biol</w:t>
                            </w:r>
                            <w:r>
                              <w:rPr>
                                <w:rFonts w:ascii="Times New Roman" w:hAnsi="Times New Roman"/>
                                <w:lang w:val="en-US"/>
                              </w:rPr>
                              <w:t>ogical males who report having sex with other men</w:t>
                            </w:r>
                            <w:r w:rsidRPr="000763A7">
                              <w:rPr>
                                <w:rFonts w:ascii="Times New Roman" w:hAnsi="Times New Roman"/>
                                <w:lang w:val="en-US"/>
                              </w:rPr>
                              <w:t>, are over 18</w:t>
                            </w:r>
                            <w:r>
                              <w:rPr>
                                <w:rFonts w:ascii="Times New Roman" w:hAnsi="Times New Roman"/>
                                <w:lang w:val="en-US"/>
                              </w:rPr>
                              <w:t xml:space="preserve"> years of age</w:t>
                            </w:r>
                            <w:r w:rsidRPr="000763A7">
                              <w:rPr>
                                <w:rFonts w:ascii="Times New Roman" w:hAnsi="Times New Roman"/>
                                <w:lang w:val="en-US"/>
                              </w:rPr>
                              <w:t>, and are HIV-negative. At least 35% and no more than 65% will be men who identify as black/African American</w:t>
                            </w:r>
                            <w:r>
                              <w:rPr>
                                <w:rFonts w:ascii="Times New Roman" w:hAnsi="Times New Roman"/>
                                <w:lang w:val="en-US"/>
                              </w:rPr>
                              <w:t>,</w:t>
                            </w:r>
                            <w:r w:rsidRPr="000763A7">
                              <w:rPr>
                                <w:rFonts w:ascii="Times New Roman" w:hAnsi="Times New Roman"/>
                                <w:lang w:val="en-US"/>
                              </w:rPr>
                              <w:t xml:space="preserve"> Hispanic/Latino or </w:t>
                            </w:r>
                            <w:r>
                              <w:rPr>
                                <w:rFonts w:ascii="Times New Roman" w:hAnsi="Times New Roman"/>
                                <w:lang w:val="en-US"/>
                              </w:rPr>
                              <w:t xml:space="preserve">identify as </w:t>
                            </w:r>
                            <w:r w:rsidRPr="000763A7">
                              <w:rPr>
                                <w:rFonts w:ascii="Times New Roman" w:hAnsi="Times New Roman"/>
                                <w:lang w:val="en-US"/>
                              </w:rPr>
                              <w:t>another race/ethnic minority.</w:t>
                            </w:r>
                          </w:p>
                          <w:p w:rsidR="00F41A75" w:rsidRPr="000763A7" w:rsidRDefault="00F41A75" w:rsidP="00295D23">
                            <w:pPr>
                              <w:pStyle w:val="ListParagraph"/>
                              <w:numPr>
                                <w:ilvl w:val="0"/>
                                <w:numId w:val="22"/>
                              </w:numPr>
                              <w:rPr>
                                <w:rFonts w:ascii="Times New Roman" w:hAnsi="Times New Roman"/>
                              </w:rPr>
                            </w:pPr>
                            <w:r w:rsidRPr="000763A7">
                              <w:rPr>
                                <w:rFonts w:ascii="Times New Roman" w:hAnsi="Times New Roman"/>
                                <w:b/>
                              </w:rPr>
                              <w:t>How</w:t>
                            </w:r>
                            <w:r>
                              <w:rPr>
                                <w:rFonts w:ascii="Times New Roman" w:hAnsi="Times New Roman"/>
                                <w:b/>
                              </w:rPr>
                              <w:t xml:space="preserve"> data will be analyzed</w:t>
                            </w:r>
                            <w:r w:rsidRPr="000763A7">
                              <w:rPr>
                                <w:rFonts w:ascii="Times New Roman" w:hAnsi="Times New Roman"/>
                                <w:b/>
                                <w:lang w:val="en-US"/>
                              </w:rPr>
                              <w:t>:</w:t>
                            </w:r>
                            <w:r w:rsidRPr="000763A7">
                              <w:rPr>
                                <w:rFonts w:ascii="Times New Roman" w:eastAsiaTheme="minorEastAsia" w:hAnsi="Times New Roman"/>
                                <w:sz w:val="20"/>
                                <w:szCs w:val="20"/>
                                <w:lang w:val="en-US" w:eastAsia="en-US"/>
                              </w:rPr>
                              <w:t xml:space="preserve"> </w:t>
                            </w:r>
                            <w:r w:rsidRPr="000763A7">
                              <w:rPr>
                                <w:rFonts w:ascii="Times New Roman" w:hAnsi="Times New Roman"/>
                                <w:lang w:val="en-US"/>
                              </w:rPr>
                              <w:t>Qualitative content analysis of interview and focus group transcripts. Statistical analysis of quantitative behavioral assessment data.</w:t>
                            </w:r>
                          </w:p>
                          <w:p w:rsidR="00F41A75" w:rsidRDefault="00F41A75" w:rsidP="00295D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85pt;width:485.25pt;height:262.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0HJQIAAEc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cjldZsvVghKOvtksW2fZPP7B8ufnrXX+rQBNwqGgFsWP&#10;8Oz04HxIh+XPIeE3B0pWe6lUNOyh3ClLTgwbZR/XiP5TmDKkK+h6kS0GBv4Kkcb1JwgtPXa8krqg&#10;N5cglgfe3pgq9qNnUg1nTFmZkcjA3cCi78t+FKaE6oyUWhg6GycRDw3Yb5R02NUFdV+PzApK1DuD&#10;sqyn83kYg2jMF6sMDXvtKa89zHCEKqinZDjufBydQJiBO5SvlpHYoPOQyZgrdmvke5ysMA7Xdoz6&#10;Mf/b7wAAAP//AwBQSwMEFAAGAAgAAAAhACFnUcXfAAAACAEAAA8AAABkcnMvZG93bnJldi54bWxM&#10;j81OwzAQhO9IvIO1SFxQ6wDNT0M2FUICwQ0Kgqsbb5OIeB1sNw1vjznBcTSjmW+qzWwGMZHzvWWE&#10;y2UCgrixuucW4e31flGA8EGxVoNlQvgmD5v69KRSpbZHfqFpG1oRS9iXCqELYSyl9E1HRvmlHYmj&#10;t7fOqBCla6V26hjLzSCvkiSTRvUcFzo10l1Hzef2YBCK1eP04Z+un9+bbD+sw0U+PXw5xPOz+fYG&#10;RKA5/IXhFz+iQx2ZdvbA2osBIR4JCIs0zUFEe50nKYgdwiorMpB1Jf8fqH8AAAD//wMAUEsBAi0A&#10;FAAGAAgAAAAhALaDOJL+AAAA4QEAABMAAAAAAAAAAAAAAAAAAAAAAFtDb250ZW50X1R5cGVzXS54&#10;bWxQSwECLQAUAAYACAAAACEAOP0h/9YAAACUAQAACwAAAAAAAAAAAAAAAAAvAQAAX3JlbHMvLnJl&#10;bHNQSwECLQAUAAYACAAAACEAkPldByUCAABHBAAADgAAAAAAAAAAAAAAAAAuAgAAZHJzL2Uyb0Rv&#10;Yy54bWxQSwECLQAUAAYACAAAACEAIWdRxd8AAAAIAQAADwAAAAAAAAAAAAAAAAB/BAAAZHJzL2Rv&#10;d25yZXYueG1sUEsFBgAAAAAEAAQA8wAAAIsFAAAAAA==&#10;">
                <v:textbox>
                  <w:txbxContent>
                    <w:p w:rsidR="00F41A75" w:rsidRPr="000763A7" w:rsidRDefault="00F41A75" w:rsidP="00EB5BC8">
                      <w:pPr>
                        <w:pStyle w:val="ListParagraph"/>
                        <w:numPr>
                          <w:ilvl w:val="0"/>
                          <w:numId w:val="22"/>
                        </w:numPr>
                        <w:rPr>
                          <w:rFonts w:ascii="Times New Roman" w:hAnsi="Times New Roman"/>
                        </w:rPr>
                      </w:pPr>
                      <w:r w:rsidRPr="000763A7">
                        <w:rPr>
                          <w:rFonts w:ascii="Times New Roman" w:hAnsi="Times New Roman"/>
                          <w:b/>
                        </w:rPr>
                        <w:t>Goal of the study</w:t>
                      </w:r>
                      <w:r w:rsidRPr="000763A7">
                        <w:rPr>
                          <w:rFonts w:ascii="Times New Roman" w:hAnsi="Times New Roman"/>
                          <w:lang w:val="en-US"/>
                        </w:rPr>
                        <w:t xml:space="preserve">: </w:t>
                      </w:r>
                      <w:r w:rsidRPr="000763A7">
                        <w:rPr>
                          <w:rFonts w:ascii="Times New Roman" w:hAnsi="Times New Roman"/>
                          <w:lang w:bidi="en-US"/>
                        </w:rPr>
                        <w:t xml:space="preserve">The </w:t>
                      </w:r>
                      <w:r w:rsidRPr="000763A7">
                        <w:rPr>
                          <w:rFonts w:ascii="Times New Roman" w:hAnsi="Times New Roman"/>
                          <w:lang w:val="en-US" w:bidi="en-US"/>
                        </w:rPr>
                        <w:t xml:space="preserve">goal </w:t>
                      </w:r>
                      <w:r w:rsidRPr="000763A7">
                        <w:rPr>
                          <w:rFonts w:ascii="Times New Roman" w:hAnsi="Times New Roman"/>
                          <w:lang w:bidi="en-US"/>
                        </w:rPr>
                        <w:t xml:space="preserve">is to </w:t>
                      </w:r>
                      <w:r w:rsidRPr="000763A7">
                        <w:rPr>
                          <w:rFonts w:ascii="Times New Roman" w:hAnsi="Times New Roman"/>
                          <w:lang w:val="en-US" w:bidi="en-US"/>
                        </w:rPr>
                        <w:t>understand</w:t>
                      </w:r>
                      <w:r w:rsidRPr="000763A7">
                        <w:rPr>
                          <w:rFonts w:ascii="Times New Roman" w:hAnsi="Times New Roman"/>
                          <w:lang w:bidi="en-US"/>
                        </w:rPr>
                        <w:t xml:space="preserve"> </w:t>
                      </w:r>
                      <w:r w:rsidRPr="000763A7">
                        <w:rPr>
                          <w:rFonts w:ascii="Times New Roman" w:hAnsi="Times New Roman"/>
                          <w:lang w:val="en-US" w:bidi="en-US"/>
                        </w:rPr>
                        <w:t xml:space="preserve">why high risk HIV-negative men who have sex with men (MSM) who reside in </w:t>
                      </w:r>
                      <w:r w:rsidRPr="000763A7">
                        <w:rPr>
                          <w:rFonts w:ascii="Times New Roman" w:hAnsi="Times New Roman"/>
                          <w:lang w:val="en-US"/>
                        </w:rPr>
                        <w:t>Atlanta, GA; Chicago, IL., and Raleigh-Durham, NC., and are eligible to use pre-exposure prophylaxis (PrEP) to prevent HIV infection due to risk behavior, either a) refuse it when offered, b) fail to initiate after agreeing to use it</w:t>
                      </w:r>
                      <w:r>
                        <w:rPr>
                          <w:rFonts w:ascii="Times New Roman" w:hAnsi="Times New Roman"/>
                          <w:lang w:val="en-US"/>
                        </w:rPr>
                        <w:t xml:space="preserve">, or c) </w:t>
                      </w:r>
                      <w:r w:rsidRPr="00EB5BC8">
                        <w:rPr>
                          <w:rFonts w:ascii="Times New Roman" w:hAnsi="Times New Roman"/>
                          <w:lang w:val="en-US"/>
                        </w:rPr>
                        <w:t xml:space="preserve">are </w:t>
                      </w:r>
                      <w:r>
                        <w:rPr>
                          <w:rFonts w:ascii="Times New Roman" w:hAnsi="Times New Roman"/>
                          <w:lang w:val="en-US"/>
                        </w:rPr>
                        <w:t xml:space="preserve">not on PrEP but </w:t>
                      </w:r>
                      <w:r w:rsidRPr="00EB5BC8">
                        <w:rPr>
                          <w:rFonts w:ascii="Times New Roman" w:hAnsi="Times New Roman"/>
                          <w:lang w:val="en-US"/>
                        </w:rPr>
                        <w:t>eligible for PrEP per CDC guidelines (condomless anal sex within the last 3 months)</w:t>
                      </w:r>
                      <w:r w:rsidRPr="000763A7">
                        <w:rPr>
                          <w:rFonts w:ascii="Times New Roman" w:hAnsi="Times New Roman"/>
                          <w:lang w:val="en-US"/>
                        </w:rPr>
                        <w:t>.</w:t>
                      </w:r>
                    </w:p>
                    <w:p w:rsidR="00F41A75" w:rsidRPr="000763A7" w:rsidRDefault="00F41A75" w:rsidP="00295D23">
                      <w:pPr>
                        <w:pStyle w:val="ListParagraph"/>
                        <w:numPr>
                          <w:ilvl w:val="0"/>
                          <w:numId w:val="22"/>
                        </w:numPr>
                        <w:rPr>
                          <w:rFonts w:ascii="Times New Roman" w:hAnsi="Times New Roman"/>
                        </w:rPr>
                      </w:pPr>
                      <w:r w:rsidRPr="000763A7">
                        <w:rPr>
                          <w:rFonts w:ascii="Times New Roman" w:hAnsi="Times New Roman"/>
                          <w:b/>
                        </w:rPr>
                        <w:t>Intended use of the resulting data</w:t>
                      </w:r>
                      <w:r w:rsidRPr="000763A7">
                        <w:rPr>
                          <w:rFonts w:ascii="Times New Roman" w:hAnsi="Times New Roman"/>
                          <w:lang w:val="en-US"/>
                        </w:rPr>
                        <w:t>:</w:t>
                      </w:r>
                      <w:r w:rsidRPr="000763A7">
                        <w:rPr>
                          <w:rFonts w:ascii="Times New Roman" w:hAnsi="Times New Roman"/>
                        </w:rPr>
                        <w:t xml:space="preserve"> </w:t>
                      </w:r>
                      <w:r w:rsidRPr="000763A7">
                        <w:rPr>
                          <w:rFonts w:ascii="Times New Roman" w:hAnsi="Times New Roman"/>
                          <w:lang w:val="en-US" w:bidi="en-US"/>
                        </w:rPr>
                        <w:t>In</w:t>
                      </w:r>
                      <w:r w:rsidRPr="000763A7">
                        <w:rPr>
                          <w:rFonts w:ascii="Times New Roman" w:hAnsi="Times New Roman"/>
                          <w:lang w:bidi="en-US"/>
                        </w:rPr>
                        <w:t>form</w:t>
                      </w:r>
                      <w:r w:rsidRPr="000763A7">
                        <w:rPr>
                          <w:rFonts w:ascii="Times New Roman" w:hAnsi="Times New Roman"/>
                          <w:lang w:val="en-US" w:bidi="en-US"/>
                        </w:rPr>
                        <w:t xml:space="preserve"> </w:t>
                      </w:r>
                      <w:r w:rsidRPr="000763A7">
                        <w:rPr>
                          <w:rFonts w:ascii="Times New Roman" w:hAnsi="Times New Roman"/>
                          <w:lang w:bidi="en-US"/>
                        </w:rPr>
                        <w:t xml:space="preserve">ongoing </w:t>
                      </w:r>
                      <w:r w:rsidRPr="000763A7">
                        <w:rPr>
                          <w:rFonts w:ascii="Times New Roman" w:hAnsi="Times New Roman"/>
                          <w:lang w:val="en-US" w:bidi="en-US"/>
                        </w:rPr>
                        <w:t>CDC efforts</w:t>
                      </w:r>
                      <w:r w:rsidRPr="000763A7">
                        <w:rPr>
                          <w:rFonts w:ascii="Times New Roman" w:hAnsi="Times New Roman"/>
                          <w:lang w:bidi="en-US"/>
                        </w:rPr>
                        <w:t xml:space="preserve"> to </w:t>
                      </w:r>
                      <w:r w:rsidRPr="000763A7">
                        <w:rPr>
                          <w:rFonts w:ascii="Times New Roman" w:hAnsi="Times New Roman"/>
                          <w:lang w:val="en-US" w:bidi="en-US"/>
                        </w:rPr>
                        <w:t>target</w:t>
                      </w:r>
                      <w:r w:rsidRPr="000763A7">
                        <w:rPr>
                          <w:rFonts w:ascii="Times New Roman" w:hAnsi="Times New Roman"/>
                          <w:lang w:bidi="en-US"/>
                        </w:rPr>
                        <w:t xml:space="preserve"> </w:t>
                      </w:r>
                      <w:r w:rsidRPr="000763A7">
                        <w:rPr>
                          <w:rFonts w:ascii="Times New Roman" w:hAnsi="Times New Roman"/>
                          <w:lang w:val="en-US" w:bidi="en-US"/>
                        </w:rPr>
                        <w:t>PrEP focused HIV prevention strategies for MSM and gauge acceptability of emerging HIV prevention options, including alternative PrEP dosing and administration.</w:t>
                      </w:r>
                    </w:p>
                    <w:p w:rsidR="00F41A75" w:rsidRPr="000763A7" w:rsidRDefault="00F41A75" w:rsidP="00295D23">
                      <w:pPr>
                        <w:pStyle w:val="ListParagraph"/>
                        <w:numPr>
                          <w:ilvl w:val="0"/>
                          <w:numId w:val="22"/>
                        </w:numPr>
                        <w:rPr>
                          <w:rFonts w:ascii="Times New Roman" w:hAnsi="Times New Roman"/>
                        </w:rPr>
                      </w:pPr>
                      <w:r w:rsidRPr="000763A7">
                        <w:rPr>
                          <w:rFonts w:ascii="Times New Roman" w:hAnsi="Times New Roman"/>
                          <w:b/>
                        </w:rPr>
                        <w:t>Methods to be used to collect</w:t>
                      </w:r>
                      <w:r>
                        <w:rPr>
                          <w:rFonts w:ascii="Times New Roman" w:hAnsi="Times New Roman"/>
                          <w:b/>
                          <w:lang w:val="en-US"/>
                        </w:rPr>
                        <w:t xml:space="preserve"> data</w:t>
                      </w:r>
                      <w:r w:rsidRPr="000763A7">
                        <w:rPr>
                          <w:rFonts w:ascii="Times New Roman" w:hAnsi="Times New Roman"/>
                          <w:lang w:val="en-US"/>
                        </w:rPr>
                        <w:t xml:space="preserve">: Qualitative semi-structured interviews (n=60) and focus groups (12 groups with 5 respondents per group; n=60) with men who either refuse PrEP or unsuccessfully initiate a PrEP regimen. A 30-minute self-administered quantitative behavioral assessment (aka survey) with all respondents (n=300). </w:t>
                      </w:r>
                    </w:p>
                    <w:p w:rsidR="00F41A75" w:rsidRPr="000763A7" w:rsidRDefault="00F41A75" w:rsidP="00295D23">
                      <w:pPr>
                        <w:pStyle w:val="ListParagraph"/>
                        <w:numPr>
                          <w:ilvl w:val="0"/>
                          <w:numId w:val="22"/>
                        </w:numPr>
                        <w:rPr>
                          <w:rFonts w:ascii="Times New Roman" w:hAnsi="Times New Roman"/>
                        </w:rPr>
                      </w:pPr>
                      <w:r w:rsidRPr="000763A7">
                        <w:rPr>
                          <w:rFonts w:ascii="Times New Roman" w:hAnsi="Times New Roman"/>
                          <w:b/>
                          <w:lang w:val="en-US"/>
                        </w:rPr>
                        <w:t>Population to be studied</w:t>
                      </w:r>
                      <w:r w:rsidRPr="000763A7">
                        <w:rPr>
                          <w:rFonts w:ascii="Times New Roman" w:hAnsi="Times New Roman"/>
                        </w:rPr>
                        <w:t>:</w:t>
                      </w:r>
                      <w:r w:rsidRPr="000763A7">
                        <w:rPr>
                          <w:rFonts w:ascii="Times New Roman" w:hAnsi="Times New Roman"/>
                          <w:lang w:val="en-US"/>
                        </w:rPr>
                        <w:t xml:space="preserve"> Biol</w:t>
                      </w:r>
                      <w:r>
                        <w:rPr>
                          <w:rFonts w:ascii="Times New Roman" w:hAnsi="Times New Roman"/>
                          <w:lang w:val="en-US"/>
                        </w:rPr>
                        <w:t>ogical males who report having sex with other men</w:t>
                      </w:r>
                      <w:r w:rsidRPr="000763A7">
                        <w:rPr>
                          <w:rFonts w:ascii="Times New Roman" w:hAnsi="Times New Roman"/>
                          <w:lang w:val="en-US"/>
                        </w:rPr>
                        <w:t>, are over 18</w:t>
                      </w:r>
                      <w:r>
                        <w:rPr>
                          <w:rFonts w:ascii="Times New Roman" w:hAnsi="Times New Roman"/>
                          <w:lang w:val="en-US"/>
                        </w:rPr>
                        <w:t xml:space="preserve"> years of age</w:t>
                      </w:r>
                      <w:r w:rsidRPr="000763A7">
                        <w:rPr>
                          <w:rFonts w:ascii="Times New Roman" w:hAnsi="Times New Roman"/>
                          <w:lang w:val="en-US"/>
                        </w:rPr>
                        <w:t>, and are HIV-negative. At least 35% and no more than 65% will be men who identify as black/African American</w:t>
                      </w:r>
                      <w:r>
                        <w:rPr>
                          <w:rFonts w:ascii="Times New Roman" w:hAnsi="Times New Roman"/>
                          <w:lang w:val="en-US"/>
                        </w:rPr>
                        <w:t>,</w:t>
                      </w:r>
                      <w:r w:rsidRPr="000763A7">
                        <w:rPr>
                          <w:rFonts w:ascii="Times New Roman" w:hAnsi="Times New Roman"/>
                          <w:lang w:val="en-US"/>
                        </w:rPr>
                        <w:t xml:space="preserve"> Hispanic/Latino or </w:t>
                      </w:r>
                      <w:r>
                        <w:rPr>
                          <w:rFonts w:ascii="Times New Roman" w:hAnsi="Times New Roman"/>
                          <w:lang w:val="en-US"/>
                        </w:rPr>
                        <w:t xml:space="preserve">identify as </w:t>
                      </w:r>
                      <w:r w:rsidRPr="000763A7">
                        <w:rPr>
                          <w:rFonts w:ascii="Times New Roman" w:hAnsi="Times New Roman"/>
                          <w:lang w:val="en-US"/>
                        </w:rPr>
                        <w:t>another race/ethnic minority.</w:t>
                      </w:r>
                    </w:p>
                    <w:p w:rsidR="00F41A75" w:rsidRPr="000763A7" w:rsidRDefault="00F41A75" w:rsidP="00295D23">
                      <w:pPr>
                        <w:pStyle w:val="ListParagraph"/>
                        <w:numPr>
                          <w:ilvl w:val="0"/>
                          <w:numId w:val="22"/>
                        </w:numPr>
                        <w:rPr>
                          <w:rFonts w:ascii="Times New Roman" w:hAnsi="Times New Roman"/>
                        </w:rPr>
                      </w:pPr>
                      <w:r w:rsidRPr="000763A7">
                        <w:rPr>
                          <w:rFonts w:ascii="Times New Roman" w:hAnsi="Times New Roman"/>
                          <w:b/>
                        </w:rPr>
                        <w:t>How</w:t>
                      </w:r>
                      <w:r>
                        <w:rPr>
                          <w:rFonts w:ascii="Times New Roman" w:hAnsi="Times New Roman"/>
                          <w:b/>
                        </w:rPr>
                        <w:t xml:space="preserve"> data will be analyzed</w:t>
                      </w:r>
                      <w:r w:rsidRPr="000763A7">
                        <w:rPr>
                          <w:rFonts w:ascii="Times New Roman" w:hAnsi="Times New Roman"/>
                          <w:b/>
                          <w:lang w:val="en-US"/>
                        </w:rPr>
                        <w:t>:</w:t>
                      </w:r>
                      <w:r w:rsidRPr="000763A7">
                        <w:rPr>
                          <w:rFonts w:ascii="Times New Roman" w:eastAsiaTheme="minorEastAsia" w:hAnsi="Times New Roman"/>
                          <w:sz w:val="20"/>
                          <w:szCs w:val="20"/>
                          <w:lang w:val="en-US" w:eastAsia="en-US"/>
                        </w:rPr>
                        <w:t xml:space="preserve"> </w:t>
                      </w:r>
                      <w:r w:rsidRPr="000763A7">
                        <w:rPr>
                          <w:rFonts w:ascii="Times New Roman" w:hAnsi="Times New Roman"/>
                          <w:lang w:val="en-US"/>
                        </w:rPr>
                        <w:t>Qualitative content analysis of interview and focus group transcripts. Statistical analysis of quantitative behavioral assessment data.</w:t>
                      </w:r>
                    </w:p>
                    <w:p w:rsidR="00F41A75" w:rsidRDefault="00F41A75" w:rsidP="00295D23"/>
                  </w:txbxContent>
                </v:textbox>
                <w10:wrap anchorx="margin"/>
              </v:shape>
            </w:pict>
          </mc:Fallback>
        </mc:AlternateContent>
      </w:r>
    </w:p>
    <w:p w:rsidR="00F24FB1" w:rsidRDefault="00F24FB1" w:rsidP="002E15A0">
      <w:pPr>
        <w:spacing w:after="200" w:line="276" w:lineRule="auto"/>
        <w:rPr>
          <w:b/>
        </w:rPr>
      </w:pPr>
    </w:p>
    <w:p w:rsidR="00F24FB1" w:rsidRDefault="00F24FB1" w:rsidP="002E15A0">
      <w:pPr>
        <w:spacing w:after="200" w:line="276" w:lineRule="auto"/>
        <w:rPr>
          <w:b/>
        </w:rPr>
      </w:pPr>
    </w:p>
    <w:p w:rsidR="00F24FB1" w:rsidRDefault="00F24FB1" w:rsidP="002E15A0">
      <w:pPr>
        <w:spacing w:after="200" w:line="276" w:lineRule="auto"/>
        <w:rPr>
          <w:b/>
        </w:rPr>
      </w:pPr>
    </w:p>
    <w:p w:rsidR="00F24FB1" w:rsidRDefault="00F24FB1" w:rsidP="002E15A0">
      <w:pPr>
        <w:spacing w:after="200" w:line="276" w:lineRule="auto"/>
        <w:rPr>
          <w:b/>
        </w:rPr>
      </w:pPr>
    </w:p>
    <w:p w:rsidR="00F24FB1" w:rsidRDefault="00F24FB1" w:rsidP="002E15A0">
      <w:pPr>
        <w:spacing w:after="200" w:line="276" w:lineRule="auto"/>
        <w:rPr>
          <w:b/>
        </w:rPr>
      </w:pPr>
    </w:p>
    <w:p w:rsidR="00F24FB1" w:rsidRDefault="00F24FB1" w:rsidP="002E15A0">
      <w:pPr>
        <w:spacing w:after="200" w:line="276" w:lineRule="auto"/>
        <w:rPr>
          <w:b/>
        </w:rPr>
      </w:pPr>
    </w:p>
    <w:p w:rsidR="00F24FB1" w:rsidRDefault="00F24FB1" w:rsidP="002E15A0">
      <w:pPr>
        <w:spacing w:after="200" w:line="276" w:lineRule="auto"/>
        <w:rPr>
          <w:b/>
        </w:rPr>
      </w:pPr>
    </w:p>
    <w:p w:rsidR="00F24FB1" w:rsidRDefault="00F24FB1" w:rsidP="002E15A0">
      <w:pPr>
        <w:spacing w:after="200" w:line="276" w:lineRule="auto"/>
        <w:rPr>
          <w:b/>
        </w:rPr>
      </w:pPr>
    </w:p>
    <w:p w:rsidR="00E00D36" w:rsidRDefault="00E00D36" w:rsidP="002E15A0">
      <w:pPr>
        <w:spacing w:after="200" w:line="276" w:lineRule="auto"/>
        <w:rPr>
          <w:b/>
        </w:rPr>
      </w:pPr>
    </w:p>
    <w:p w:rsidR="00E00D36" w:rsidRDefault="00E00D36" w:rsidP="002E15A0">
      <w:pPr>
        <w:spacing w:after="200" w:line="276" w:lineRule="auto"/>
        <w:rPr>
          <w:b/>
        </w:rPr>
      </w:pPr>
    </w:p>
    <w:p w:rsidR="00DA4CA4" w:rsidRPr="00DA4CA4" w:rsidRDefault="00DA4CA4" w:rsidP="002E15A0">
      <w:pPr>
        <w:spacing w:after="200" w:line="276" w:lineRule="auto"/>
        <w:rPr>
          <w:b/>
        </w:rPr>
      </w:pPr>
      <w:r w:rsidRPr="00DA4CA4">
        <w:rPr>
          <w:b/>
        </w:rPr>
        <w:t>Supporting Statement</w:t>
      </w:r>
    </w:p>
    <w:p w:rsidR="00DA4CA4" w:rsidRPr="00DA4CA4" w:rsidRDefault="00DA4CA4" w:rsidP="002E15A0">
      <w:pPr>
        <w:rPr>
          <w:b/>
        </w:rPr>
      </w:pPr>
      <w:r w:rsidRPr="00DA4CA4">
        <w:rPr>
          <w:b/>
        </w:rPr>
        <w:t xml:space="preserve">A.  </w:t>
      </w:r>
      <w:r w:rsidRPr="00DA4CA4">
        <w:rPr>
          <w:b/>
          <w:u w:val="single"/>
        </w:rPr>
        <w:t>Justification</w:t>
      </w:r>
      <w:r w:rsidRPr="00DA4CA4">
        <w:rPr>
          <w:b/>
        </w:rPr>
        <w:t xml:space="preserve">  </w:t>
      </w:r>
    </w:p>
    <w:p w:rsidR="00DA4CA4" w:rsidRPr="005D7618" w:rsidRDefault="00DA4CA4" w:rsidP="002E15A0">
      <w:pPr>
        <w:pStyle w:val="Heading2"/>
        <w:rPr>
          <w:rFonts w:ascii="Times New Roman" w:hAnsi="Times New Roman" w:cs="Times New Roman"/>
          <w:b w:val="0"/>
          <w:i w:val="0"/>
          <w:sz w:val="24"/>
          <w:szCs w:val="24"/>
        </w:rPr>
      </w:pPr>
      <w:bookmarkStart w:id="3" w:name="_Toc485906209"/>
      <w:r w:rsidRPr="005D7618">
        <w:rPr>
          <w:rFonts w:ascii="Times New Roman" w:hAnsi="Times New Roman" w:cs="Times New Roman"/>
          <w:b w:val="0"/>
          <w:i w:val="0"/>
          <w:sz w:val="24"/>
          <w:szCs w:val="24"/>
        </w:rPr>
        <w:t>1</w:t>
      </w:r>
      <w:r w:rsidR="00291298" w:rsidRPr="005D7618">
        <w:rPr>
          <w:rFonts w:ascii="Times New Roman" w:hAnsi="Times New Roman" w:cs="Times New Roman"/>
          <w:b w:val="0"/>
          <w:i w:val="0"/>
          <w:sz w:val="24"/>
          <w:szCs w:val="24"/>
        </w:rPr>
        <w:t>.</w:t>
      </w:r>
      <w:r w:rsidRPr="005D7618">
        <w:rPr>
          <w:rFonts w:ascii="Times New Roman" w:hAnsi="Times New Roman" w:cs="Times New Roman"/>
          <w:b w:val="0"/>
          <w:i w:val="0"/>
          <w:sz w:val="24"/>
          <w:szCs w:val="24"/>
        </w:rPr>
        <w:t xml:space="preserve"> </w:t>
      </w:r>
      <w:r w:rsidRPr="00291553">
        <w:rPr>
          <w:rFonts w:ascii="Times New Roman" w:hAnsi="Times New Roman" w:cs="Times New Roman"/>
          <w:i w:val="0"/>
          <w:sz w:val="24"/>
          <w:szCs w:val="24"/>
        </w:rPr>
        <w:t>Circumstances Making the Collection of Information Necessary</w:t>
      </w:r>
      <w:bookmarkEnd w:id="3"/>
    </w:p>
    <w:p w:rsidR="009A223F" w:rsidRPr="00603813" w:rsidRDefault="009A223F" w:rsidP="002E15A0">
      <w:pPr>
        <w:autoSpaceDE w:val="0"/>
        <w:autoSpaceDN w:val="0"/>
        <w:adjustRightInd w:val="0"/>
      </w:pPr>
      <w:bookmarkStart w:id="4" w:name="_Toc235958535"/>
      <w:bookmarkEnd w:id="1"/>
      <w:bookmarkEnd w:id="2"/>
    </w:p>
    <w:p w:rsidR="00A83FFF" w:rsidRDefault="00A83FFF" w:rsidP="002E15A0">
      <w:r w:rsidRPr="00A83FFF">
        <w:t xml:space="preserve">The Centers for Disease Control and Prevention’s (CDC) Division of HIV/AIDS Prevention, (DHAP) requests OMB approval for </w:t>
      </w:r>
      <w:r w:rsidRPr="00B0778A">
        <w:t>1 year</w:t>
      </w:r>
      <w:r w:rsidRPr="00A83FFF">
        <w:t xml:space="preserve"> of data collection for a research </w:t>
      </w:r>
      <w:r w:rsidR="007C49E8">
        <w:t xml:space="preserve">study </w:t>
      </w:r>
      <w:r w:rsidRPr="00A83FFF">
        <w:t>entitled, “</w:t>
      </w:r>
      <w:r w:rsidRPr="00A83FFF">
        <w:rPr>
          <w:b/>
          <w:bCs/>
        </w:rPr>
        <w:t>Understanding Decisions and Barriers about PrEP Use and Uptake Among Men Who Have Sex With Men</w:t>
      </w:r>
      <w:r w:rsidRPr="00A83FFF">
        <w:t>” as a new information collection.</w:t>
      </w:r>
      <w:r w:rsidR="007C49E8">
        <w:t xml:space="preserve"> </w:t>
      </w:r>
      <w:r w:rsidR="008746A5">
        <w:t xml:space="preserve"> </w:t>
      </w:r>
    </w:p>
    <w:p w:rsidR="00A83FFF" w:rsidRDefault="00A83FFF" w:rsidP="002E15A0"/>
    <w:p w:rsidR="008D35DC" w:rsidRDefault="00A45FD3" w:rsidP="00A45FD3">
      <w:r w:rsidRPr="00A45FD3">
        <w:t>Approximately half of all diagnosed HIV infections are among other MSM.</w:t>
      </w:r>
      <w:r w:rsidR="007A3495">
        <w:rPr>
          <w:vertAlign w:val="superscript"/>
        </w:rPr>
        <w:t>1</w:t>
      </w:r>
      <w:r w:rsidR="00501BBC">
        <w:t xml:space="preserve">  </w:t>
      </w:r>
      <w:r w:rsidR="008D35DC">
        <w:t>The FDA-approved PrEP regimen, daily Tenofovir/emtricitabine (aka Truvada</w:t>
      </w:r>
      <w:r w:rsidR="008D35DC" w:rsidRPr="000763A7">
        <w:rPr>
          <w:vertAlign w:val="superscript"/>
        </w:rPr>
        <w:t>®</w:t>
      </w:r>
      <w:r w:rsidR="008D35DC">
        <w:t>), has shown greater than 90% efficacy in reducing HIV infections among MSM when taken in accordance with its prescribed daily schedule.</w:t>
      </w:r>
      <w:r w:rsidR="007A3495">
        <w:rPr>
          <w:vertAlign w:val="superscript"/>
        </w:rPr>
        <w:t>2</w:t>
      </w:r>
      <w:r w:rsidR="008D35DC">
        <w:t xml:space="preserve"> In 2014, CDC published </w:t>
      </w:r>
      <w:r w:rsidR="0063551E">
        <w:t xml:space="preserve">voluntary </w:t>
      </w:r>
      <w:r w:rsidR="008D35DC">
        <w:t>clinical practice guidelines for the use of PrEP in high-risk populations</w:t>
      </w:r>
      <w:r w:rsidR="007A3495">
        <w:rPr>
          <w:vertAlign w:val="superscript"/>
        </w:rPr>
        <w:t>3</w:t>
      </w:r>
      <w:r w:rsidR="008D35DC">
        <w:t>, and began national promotion of PrEP as an effective HIV prevention strategy for MSM</w:t>
      </w:r>
      <w:r w:rsidR="00DA3EE8">
        <w:t xml:space="preserve"> in accordance with H</w:t>
      </w:r>
      <w:r w:rsidR="009A4764">
        <w:t>HS indicators, which call for a 500%</w:t>
      </w:r>
      <w:r w:rsidR="00DA3EE8">
        <w:t xml:space="preserve"> increase in PrEP </w:t>
      </w:r>
      <w:r w:rsidR="009A4764">
        <w:t>uptake</w:t>
      </w:r>
      <w:r w:rsidR="00DA3EE8">
        <w:t xml:space="preserve"> </w:t>
      </w:r>
      <w:r w:rsidR="00DA3EE8" w:rsidRPr="00C617B1">
        <w:t>by 2020</w:t>
      </w:r>
      <w:r w:rsidR="008D35DC" w:rsidRPr="00C617B1">
        <w:t>.</w:t>
      </w:r>
      <w:r w:rsidR="00DA3EE8" w:rsidRPr="003621BB">
        <w:rPr>
          <w:vertAlign w:val="superscript"/>
        </w:rPr>
        <w:t>4</w:t>
      </w:r>
      <w:r w:rsidR="008D35DC" w:rsidRPr="003621BB">
        <w:t xml:space="preserve"> </w:t>
      </w:r>
      <w:r w:rsidR="0063551E" w:rsidRPr="003621BB">
        <w:t>However,</w:t>
      </w:r>
      <w:r w:rsidR="0063551E">
        <w:t xml:space="preserve"> </w:t>
      </w:r>
      <w:r w:rsidR="008D35DC">
        <w:t>PrEP uptake has been slow.</w:t>
      </w:r>
      <w:r w:rsidR="003621BB">
        <w:rPr>
          <w:vertAlign w:val="superscript"/>
        </w:rPr>
        <w:t>5</w:t>
      </w:r>
      <w:r w:rsidR="003621BB">
        <w:t xml:space="preserve"> </w:t>
      </w:r>
      <w:r w:rsidR="008D35DC">
        <w:t>Some studies report a wide range in the percentages of MSM (28-81%) interested in PrEP.</w:t>
      </w:r>
      <w:r w:rsidR="003621BB">
        <w:rPr>
          <w:vertAlign w:val="superscript"/>
        </w:rPr>
        <w:t>6</w:t>
      </w:r>
      <w:r w:rsidR="003621BB">
        <w:t xml:space="preserve"> </w:t>
      </w:r>
      <w:r w:rsidR="008D35DC">
        <w:t xml:space="preserve">In addition, other studies indicate that specific cities have </w:t>
      </w:r>
      <w:r w:rsidR="0063551E">
        <w:t>very</w:t>
      </w:r>
      <w:r w:rsidR="008D35DC">
        <w:t xml:space="preserve"> low rates of PrEP</w:t>
      </w:r>
      <w:r>
        <w:t>.</w:t>
      </w:r>
      <w:r w:rsidR="003621BB" w:rsidRPr="007623BD">
        <w:rPr>
          <w:vertAlign w:val="superscript"/>
        </w:rPr>
        <w:t>7</w:t>
      </w:r>
      <w:r>
        <w:t xml:space="preserve"> Moreover, recent survey findings have shown that </w:t>
      </w:r>
      <w:r w:rsidR="008451D4">
        <w:t>less</w:t>
      </w:r>
      <w:r>
        <w:t xml:space="preserve"> than 1 in 10 </w:t>
      </w:r>
      <w:r w:rsidR="006C1C5B">
        <w:t xml:space="preserve">MSM on PrEP </w:t>
      </w:r>
      <w:r>
        <w:t xml:space="preserve">are adherent to their PrEP </w:t>
      </w:r>
      <w:r w:rsidR="003621BB">
        <w:t>regimen</w:t>
      </w:r>
      <w:r w:rsidR="003621BB">
        <w:rPr>
          <w:vertAlign w:val="superscript"/>
        </w:rPr>
        <w:t>8</w:t>
      </w:r>
      <w:r w:rsidR="008D35DC">
        <w:t xml:space="preserve">; adherence is necessary to optimize efficacy. </w:t>
      </w:r>
    </w:p>
    <w:p w:rsidR="008D35DC" w:rsidRDefault="008D35DC" w:rsidP="00A45FD3"/>
    <w:p w:rsidR="00A45FD3" w:rsidRDefault="008D35DC">
      <w:r w:rsidRPr="00BB06DA">
        <w:t>Age, level of educational attainment, risky sexual behavior, and perceived risk of HIV are all key influencers on attitudes towards PrEP utilization.</w:t>
      </w:r>
      <w:r w:rsidR="003621BB">
        <w:rPr>
          <w:vertAlign w:val="superscript"/>
        </w:rPr>
        <w:t>9</w:t>
      </w:r>
      <w:r w:rsidR="003621BB" w:rsidRPr="00BB06DA">
        <w:t xml:space="preserve"> </w:t>
      </w:r>
      <w:r w:rsidR="00BB06DA" w:rsidRPr="00BB06DA">
        <w:t xml:space="preserve">MSM who do not consider themselves at risk for HIV in particular, and those with long-term partners/spouses who are also HIV negative, question the need for PrEP as a </w:t>
      </w:r>
      <w:r w:rsidR="00AC6534">
        <w:t>preventative measure</w:t>
      </w:r>
      <w:r w:rsidR="00BB06DA" w:rsidRPr="00BB06DA">
        <w:t>.</w:t>
      </w:r>
      <w:r w:rsidR="003621BB">
        <w:rPr>
          <w:vertAlign w:val="superscript"/>
        </w:rPr>
        <w:t>10</w:t>
      </w:r>
      <w:r w:rsidR="003621BB">
        <w:t xml:space="preserve"> </w:t>
      </w:r>
      <w:r>
        <w:t>L</w:t>
      </w:r>
      <w:r w:rsidRPr="00BB06DA">
        <w:t>ack of access to healthcare providers may pose an additional challenge to PrEP use for people without regular care.</w:t>
      </w:r>
      <w:r w:rsidR="007A3495">
        <w:rPr>
          <w:vertAlign w:val="superscript"/>
        </w:rPr>
        <w:t>1</w:t>
      </w:r>
      <w:r w:rsidR="003621BB">
        <w:rPr>
          <w:vertAlign w:val="superscript"/>
        </w:rPr>
        <w:t>1</w:t>
      </w:r>
      <w:r w:rsidRPr="00BB06DA">
        <w:t xml:space="preserve"> </w:t>
      </w:r>
    </w:p>
    <w:p w:rsidR="00BB06DA" w:rsidRDefault="00BB06DA" w:rsidP="00A45FD3"/>
    <w:p w:rsidR="00082F30" w:rsidRDefault="0063551E" w:rsidP="002E15A0">
      <w:r>
        <w:t>S</w:t>
      </w:r>
      <w:r w:rsidR="005135EA">
        <w:t>tudies are needed to</w:t>
      </w:r>
      <w:r w:rsidR="00B833A1">
        <w:t xml:space="preserve"> </w:t>
      </w:r>
      <w:r w:rsidR="006C1C5B">
        <w:t>better understand the decisions men mak</w:t>
      </w:r>
      <w:r w:rsidR="00B86BFE">
        <w:t xml:space="preserve">e about their </w:t>
      </w:r>
      <w:r w:rsidR="006C1C5B">
        <w:t xml:space="preserve">HIV prevention </w:t>
      </w:r>
      <w:r w:rsidR="00B86BFE">
        <w:t>needs</w:t>
      </w:r>
      <w:r w:rsidR="006C1C5B">
        <w:t xml:space="preserve">. </w:t>
      </w:r>
      <w:r w:rsidR="00B833A1" w:rsidRPr="003032A9">
        <w:t>Q</w:t>
      </w:r>
      <w:r w:rsidR="005135EA" w:rsidRPr="003032A9">
        <w:t xml:space="preserve">ualitative methods </w:t>
      </w:r>
      <w:r w:rsidR="00082F30" w:rsidRPr="003032A9">
        <w:t>will</w:t>
      </w:r>
      <w:r w:rsidR="00B833A1" w:rsidRPr="003032A9">
        <w:t xml:space="preserve"> be used to explore </w:t>
      </w:r>
      <w:r w:rsidR="00082F30" w:rsidRPr="003032A9">
        <w:t xml:space="preserve">in-depth </w:t>
      </w:r>
      <w:r w:rsidR="00B833A1" w:rsidRPr="003032A9">
        <w:t xml:space="preserve">the “Whys” and “How’s” of </w:t>
      </w:r>
      <w:r w:rsidR="00AC6534">
        <w:t xml:space="preserve">MSM’s </w:t>
      </w:r>
      <w:r w:rsidR="006C1C5B">
        <w:t xml:space="preserve">decisions to refuse or use PrEP, and barriers and challenges to successfully undertake a PrEP medication regimen. </w:t>
      </w:r>
      <w:r w:rsidR="004F0BA2" w:rsidRPr="003032A9">
        <w:t xml:space="preserve"> </w:t>
      </w:r>
      <w:r w:rsidR="006C1C5B">
        <w:t>Quantitative metho</w:t>
      </w:r>
      <w:r w:rsidR="00B86BFE">
        <w:t xml:space="preserve">ds will be used to understand the HIV </w:t>
      </w:r>
      <w:r w:rsidR="006C1C5B">
        <w:t xml:space="preserve">risk behavior context, </w:t>
      </w:r>
      <w:r w:rsidR="00B86BFE">
        <w:t xml:space="preserve">attitudes towards </w:t>
      </w:r>
      <w:r w:rsidR="006C1C5B">
        <w:t xml:space="preserve">PrEP, </w:t>
      </w:r>
      <w:r w:rsidR="00B86BFE">
        <w:t>health seeking behavior</w:t>
      </w:r>
      <w:r w:rsidR="006C1C5B">
        <w:t xml:space="preserve">, and acceptability of </w:t>
      </w:r>
      <w:r w:rsidR="00B86BFE">
        <w:t>new modes of PrEP delivery</w:t>
      </w:r>
      <w:r w:rsidR="006C1C5B">
        <w:t xml:space="preserve"> (that differ from current recommendation of daily PrEP and</w:t>
      </w:r>
      <w:r w:rsidR="008451D4">
        <w:t xml:space="preserve"> that are</w:t>
      </w:r>
      <w:r w:rsidR="006C1C5B">
        <w:t xml:space="preserve"> in development or </w:t>
      </w:r>
      <w:r w:rsidR="008451D4">
        <w:t>discussion</w:t>
      </w:r>
      <w:r w:rsidR="006C1C5B">
        <w:t>)</w:t>
      </w:r>
      <w:r w:rsidR="00B86BFE">
        <w:t xml:space="preserve"> and emerging biomedical HIV prevention options</w:t>
      </w:r>
      <w:r w:rsidR="00B833A1">
        <w:t xml:space="preserve">. </w:t>
      </w:r>
      <w:r w:rsidR="005135EA">
        <w:t xml:space="preserve"> </w:t>
      </w:r>
    </w:p>
    <w:p w:rsidR="005135EA" w:rsidRDefault="005135EA" w:rsidP="002E15A0"/>
    <w:p w:rsidR="00E84E2B" w:rsidRDefault="00E84E2B" w:rsidP="002E15A0">
      <w:r w:rsidRPr="00E84E2B">
        <w:t>This request is authorized by Title III – General Powers and Duties of the Public Health Service, Section 301 (241.)a. Research and investigations generally (</w:t>
      </w:r>
      <w:r w:rsidRPr="00E84E2B">
        <w:rPr>
          <w:b/>
        </w:rPr>
        <w:t>Attachment 1</w:t>
      </w:r>
      <w:r>
        <w:t xml:space="preserve">). </w:t>
      </w:r>
    </w:p>
    <w:p w:rsidR="00E84E2B" w:rsidRDefault="00E84E2B" w:rsidP="002E15A0"/>
    <w:p w:rsidR="00133B17" w:rsidRPr="00EB3A1B" w:rsidRDefault="00133B17" w:rsidP="006F387E">
      <w:pPr>
        <w:pStyle w:val="Heading2"/>
        <w:numPr>
          <w:ilvl w:val="0"/>
          <w:numId w:val="21"/>
        </w:numPr>
        <w:spacing w:before="0" w:after="0"/>
        <w:contextualSpacing/>
        <w:rPr>
          <w:rFonts w:ascii="Times New Roman" w:hAnsi="Times New Roman" w:cs="Times New Roman"/>
          <w:bCs w:val="0"/>
          <w:i w:val="0"/>
          <w:sz w:val="24"/>
          <w:szCs w:val="24"/>
        </w:rPr>
      </w:pPr>
      <w:bookmarkStart w:id="5" w:name="_Toc306891236"/>
      <w:bookmarkStart w:id="6" w:name="_Toc485906210"/>
      <w:bookmarkStart w:id="7" w:name="_Toc235958536"/>
      <w:bookmarkEnd w:id="4"/>
      <w:r w:rsidRPr="00EB3A1B">
        <w:rPr>
          <w:rFonts w:ascii="Times New Roman" w:hAnsi="Times New Roman" w:cs="Times New Roman"/>
          <w:bCs w:val="0"/>
          <w:i w:val="0"/>
          <w:sz w:val="24"/>
          <w:szCs w:val="24"/>
        </w:rPr>
        <w:t>Purpose and Use of Information</w:t>
      </w:r>
      <w:bookmarkEnd w:id="5"/>
      <w:r w:rsidR="00291298" w:rsidRPr="00EB3A1B">
        <w:rPr>
          <w:rFonts w:ascii="Times New Roman" w:hAnsi="Times New Roman" w:cs="Times New Roman"/>
          <w:bCs w:val="0"/>
          <w:i w:val="0"/>
          <w:sz w:val="24"/>
          <w:szCs w:val="24"/>
        </w:rPr>
        <w:t xml:space="preserve"> Collection</w:t>
      </w:r>
      <w:bookmarkEnd w:id="6"/>
    </w:p>
    <w:p w:rsidR="006F6C71" w:rsidRPr="00603813" w:rsidRDefault="006F6C71" w:rsidP="002E15A0">
      <w:pPr>
        <w:ind w:left="1440"/>
      </w:pPr>
    </w:p>
    <w:bookmarkEnd w:id="7"/>
    <w:p w:rsidR="00AA1A6D" w:rsidRPr="00E6525F" w:rsidRDefault="00AA1A6D" w:rsidP="00AA1A6D">
      <w:pPr>
        <w:widowControl w:val="0"/>
        <w:tabs>
          <w:tab w:val="left" w:pos="1440"/>
        </w:tabs>
        <w:autoSpaceDE w:val="0"/>
        <w:autoSpaceDN w:val="0"/>
        <w:adjustRightInd w:val="0"/>
      </w:pPr>
      <w:r w:rsidRPr="00E6525F">
        <w:t>The purpose of this research is to</w:t>
      </w:r>
      <w:r w:rsidR="00A30212" w:rsidRPr="00303E21">
        <w:t xml:space="preserve"> explore </w:t>
      </w:r>
      <w:r w:rsidR="00A30212">
        <w:t>decisions, barriers, and facilitators about p</w:t>
      </w:r>
      <w:r w:rsidR="00A30212" w:rsidRPr="00E6525F">
        <w:t>r</w:t>
      </w:r>
      <w:r w:rsidR="00A30212">
        <w:t xml:space="preserve">e-exposure </w:t>
      </w:r>
      <w:r w:rsidR="00C62F1A">
        <w:t>prophylaxis</w:t>
      </w:r>
      <w:r w:rsidR="00A30212">
        <w:t xml:space="preserve"> (PrE</w:t>
      </w:r>
      <w:r w:rsidR="00A30212" w:rsidRPr="00E6525F">
        <w:t>P</w:t>
      </w:r>
      <w:r w:rsidR="00A30212">
        <w:t xml:space="preserve">) use (PrEP is an </w:t>
      </w:r>
      <w:r w:rsidR="00A30212">
        <w:rPr>
          <w:rFonts w:eastAsia="Calibri"/>
        </w:rPr>
        <w:t>FDA-approved regimen of Tenofovir/emtricitabine</w:t>
      </w:r>
      <w:r w:rsidR="00554092">
        <w:rPr>
          <w:rFonts w:eastAsia="Calibri"/>
        </w:rPr>
        <w:t xml:space="preserve"> (aka Truvada</w:t>
      </w:r>
      <w:r w:rsidR="00554092" w:rsidRPr="00657CE8">
        <w:rPr>
          <w:rFonts w:eastAsia="Calibri"/>
          <w:vertAlign w:val="superscript"/>
        </w:rPr>
        <w:t>®</w:t>
      </w:r>
      <w:r w:rsidR="00554092">
        <w:rPr>
          <w:rFonts w:eastAsia="Calibri"/>
        </w:rPr>
        <w:t>),</w:t>
      </w:r>
      <w:r w:rsidR="00A30212">
        <w:rPr>
          <w:rFonts w:eastAsia="Calibri"/>
        </w:rPr>
        <w:t xml:space="preserve"> </w:t>
      </w:r>
      <w:r w:rsidR="00A30212" w:rsidRPr="00F2222C">
        <w:rPr>
          <w:rFonts w:eastAsia="Calibri"/>
        </w:rPr>
        <w:t xml:space="preserve">shown </w:t>
      </w:r>
      <w:r w:rsidR="00A30212">
        <w:rPr>
          <w:rFonts w:eastAsia="Calibri"/>
        </w:rPr>
        <w:t xml:space="preserve">to have </w:t>
      </w:r>
      <w:r w:rsidR="00A30212" w:rsidRPr="00F2222C">
        <w:rPr>
          <w:rFonts w:eastAsia="Calibri"/>
        </w:rPr>
        <w:t>greater than 90% efficacy in reducing HIV infections among MSM when taken in accordance with its prescribed daily schedule</w:t>
      </w:r>
      <w:r w:rsidR="00A30212">
        <w:rPr>
          <w:rFonts w:eastAsia="Calibri"/>
        </w:rPr>
        <w:t xml:space="preserve"> among MSM</w:t>
      </w:r>
      <w:r w:rsidR="00A30212">
        <w:t>:</w:t>
      </w:r>
      <w:r w:rsidR="00A30212" w:rsidRPr="00E6525F">
        <w:t xml:space="preserve"> </w:t>
      </w:r>
      <w:r w:rsidR="00A30212">
        <w:t>1)</w:t>
      </w:r>
      <w:r w:rsidR="00A30212" w:rsidRPr="005A76CB">
        <w:t xml:space="preserve"> </w:t>
      </w:r>
      <w:r w:rsidR="00A30212">
        <w:t xml:space="preserve">who </w:t>
      </w:r>
      <w:r w:rsidR="00A30212" w:rsidRPr="005A76CB">
        <w:t>were offered PrE</w:t>
      </w:r>
      <w:r w:rsidR="00A30212">
        <w:t>P but refused it; 2</w:t>
      </w:r>
      <w:r w:rsidR="00A30212" w:rsidRPr="005A76CB">
        <w:t xml:space="preserve">) </w:t>
      </w:r>
      <w:r w:rsidR="00A30212">
        <w:t>who were interested in</w:t>
      </w:r>
      <w:r w:rsidR="00A30212" w:rsidRPr="005A76CB">
        <w:t xml:space="preserve"> </w:t>
      </w:r>
      <w:r w:rsidR="00A30212">
        <w:t xml:space="preserve">or started a </w:t>
      </w:r>
      <w:r w:rsidR="00A30212" w:rsidRPr="005A76CB">
        <w:t>PrEP</w:t>
      </w:r>
      <w:r w:rsidR="00A30212">
        <w:t xml:space="preserve"> regimen but did not follow through; </w:t>
      </w:r>
      <w:r w:rsidR="00A30212" w:rsidRPr="00E6525F">
        <w:t xml:space="preserve">and (3) </w:t>
      </w:r>
      <w:r w:rsidR="00DA6D10">
        <w:t xml:space="preserve">are not on PrEP but </w:t>
      </w:r>
      <w:r w:rsidR="00A30212">
        <w:t>who are eligible for PrEP</w:t>
      </w:r>
      <w:r w:rsidR="00A30212" w:rsidRPr="00E6525F">
        <w:t xml:space="preserve"> </w:t>
      </w:r>
      <w:r w:rsidR="00A30212">
        <w:t xml:space="preserve">per CDC guidelines (condomless anal sex within last </w:t>
      </w:r>
      <w:r w:rsidR="008451D4">
        <w:t>3</w:t>
      </w:r>
      <w:r w:rsidR="00A30212">
        <w:t xml:space="preserve"> months)</w:t>
      </w:r>
      <w:r w:rsidR="006945FC" w:rsidRPr="006945FC">
        <w:t xml:space="preserve"> but are not currently on PrEP.</w:t>
      </w:r>
    </w:p>
    <w:p w:rsidR="0012537C" w:rsidRDefault="0012537C" w:rsidP="0012537C">
      <w:pPr>
        <w:tabs>
          <w:tab w:val="left" w:pos="720"/>
        </w:tabs>
        <w:contextualSpacing/>
      </w:pPr>
    </w:p>
    <w:p w:rsidR="0012537C" w:rsidRDefault="0012537C" w:rsidP="0012537C">
      <w:pPr>
        <w:tabs>
          <w:tab w:val="left" w:pos="720"/>
        </w:tabs>
        <w:contextualSpacing/>
      </w:pPr>
      <w:r w:rsidRPr="0012537C">
        <w:t xml:space="preserve">This study will </w:t>
      </w:r>
      <w:r w:rsidR="00E73CDD">
        <w:t>provide</w:t>
      </w:r>
      <w:r w:rsidRPr="0012537C">
        <w:t xml:space="preserve"> insight on </w:t>
      </w:r>
      <w:r w:rsidR="00E73CDD">
        <w:t xml:space="preserve">individual and community level </w:t>
      </w:r>
      <w:r w:rsidRPr="0012537C">
        <w:t>PrEP-related decision-making</w:t>
      </w:r>
      <w:r w:rsidR="00AC6534">
        <w:t>,</w:t>
      </w:r>
      <w:r w:rsidRPr="0012537C">
        <w:t xml:space="preserve"> and identify barriers and facilitators to successful PrEP initiation</w:t>
      </w:r>
      <w:r w:rsidR="00E73CDD">
        <w:t xml:space="preserve"> and PrEP acceptability</w:t>
      </w:r>
      <w:r w:rsidRPr="0012537C">
        <w:t xml:space="preserve">. </w:t>
      </w:r>
      <w:r w:rsidR="00E73CDD">
        <w:t>Findings will improve programming, in line with the CDC</w:t>
      </w:r>
      <w:r w:rsidR="00E73CDD" w:rsidRPr="00E73CDD">
        <w:t xml:space="preserve"> Divis</w:t>
      </w:r>
      <w:r w:rsidR="00E73CDD">
        <w:t>ion of HIV/AIDS Prevention goal</w:t>
      </w:r>
      <w:r w:rsidR="00E73CDD" w:rsidRPr="00E73CDD">
        <w:t xml:space="preserve"> of high-impact prevention to reduce HIV infections in the U.S.</w:t>
      </w:r>
      <w:r w:rsidR="007A3495">
        <w:rPr>
          <w:vertAlign w:val="superscript"/>
        </w:rPr>
        <w:t>1</w:t>
      </w:r>
      <w:r w:rsidR="003621BB">
        <w:rPr>
          <w:vertAlign w:val="superscript"/>
        </w:rPr>
        <w:t>2</w:t>
      </w:r>
      <w:r w:rsidR="008D35DC" w:rsidRPr="00E73CDD">
        <w:t xml:space="preserve"> </w:t>
      </w:r>
      <w:r w:rsidRPr="0012537C">
        <w:t>Findings will assist the CDC</w:t>
      </w:r>
      <w:r w:rsidR="004D09FC">
        <w:t xml:space="preserve"> and frontline public health programs</w:t>
      </w:r>
      <w:r w:rsidRPr="0012537C">
        <w:t xml:space="preserve"> in identifying and designing programs and intervention approaches that encourage, support, and maintain appropriate PrEP uptake among eligible MSM and anticipate future HIV prevention needs, including anticipated changes in PrEP delivery. </w:t>
      </w:r>
      <w:r w:rsidR="00E73CDD">
        <w:t xml:space="preserve"> </w:t>
      </w:r>
    </w:p>
    <w:p w:rsidR="00D53EAA" w:rsidRDefault="00D53EAA" w:rsidP="002E15A0">
      <w:pPr>
        <w:tabs>
          <w:tab w:val="left" w:pos="720"/>
        </w:tabs>
        <w:contextualSpacing/>
      </w:pPr>
    </w:p>
    <w:p w:rsidR="0012537C" w:rsidRDefault="0012537C" w:rsidP="0012537C">
      <w:r>
        <w:t xml:space="preserve">We are proposing a mixed method </w:t>
      </w:r>
      <w:r w:rsidR="006244C7">
        <w:t>study that</w:t>
      </w:r>
      <w:r>
        <w:t xml:space="preserve"> includes </w:t>
      </w:r>
      <w:r w:rsidR="001338DC">
        <w:t xml:space="preserve">in-person </w:t>
      </w:r>
      <w:r>
        <w:t>qualitative semi-structured in-depth interv</w:t>
      </w:r>
      <w:r w:rsidR="00DC63CD">
        <w:t>iews (IDIs) and focus groups, as well as</w:t>
      </w:r>
      <w:r>
        <w:t xml:space="preserve"> a </w:t>
      </w:r>
      <w:r w:rsidR="001338DC">
        <w:t>self-administered</w:t>
      </w:r>
      <w:r w:rsidR="00115696">
        <w:t>,</w:t>
      </w:r>
      <w:r w:rsidR="001338DC">
        <w:t xml:space="preserve"> </w:t>
      </w:r>
      <w:r>
        <w:t xml:space="preserve">structured behavioral assessment. All data collection will be carried out in Atlanta, GA, Raleigh-Durham, NC, and Chicago, IL with the cooperation of designated local partners, such as community based organizations (CBOs), community health clinics, health departments, and other service providers in each of the selected cities.  Data collection will occur in 2 phases. </w:t>
      </w:r>
    </w:p>
    <w:p w:rsidR="0012537C" w:rsidRDefault="0012537C" w:rsidP="0012537C"/>
    <w:p w:rsidR="0012537C" w:rsidRDefault="00E73CDD" w:rsidP="0012537C">
      <w:r>
        <w:t xml:space="preserve">In phase 1, we will conduct </w:t>
      </w:r>
      <w:r w:rsidRPr="00237BBB">
        <w:t>45-minute</w:t>
      </w:r>
      <w:r>
        <w:t xml:space="preserve"> </w:t>
      </w:r>
      <w:r w:rsidR="0012537C">
        <w:t>semi-structured qualitative</w:t>
      </w:r>
      <w:r w:rsidR="00B071C1">
        <w:t>, in-depth</w:t>
      </w:r>
      <w:r w:rsidR="0012537C">
        <w:t xml:space="preserve"> interviews </w:t>
      </w:r>
      <w:r>
        <w:t>(n=60), 12 one-hour focus groups with 5 MSM per group (n=60)</w:t>
      </w:r>
      <w:r w:rsidR="0012537C">
        <w:t xml:space="preserve">, and a </w:t>
      </w:r>
      <w:r>
        <w:t xml:space="preserve">30-minute </w:t>
      </w:r>
      <w:r w:rsidR="0012537C">
        <w:t>computer-assisted, self-administered, structured behavioral assessment via SurveyGizmo (n=</w:t>
      </w:r>
      <w:r>
        <w:t>120</w:t>
      </w:r>
      <w:r w:rsidR="0012537C">
        <w:t xml:space="preserve">).  Phase 1 </w:t>
      </w:r>
      <w:r w:rsidR="00736876">
        <w:t>respondent</w:t>
      </w:r>
      <w:r w:rsidR="0012537C">
        <w:t xml:space="preserve">s will be evenly divided into two groups of MSM: 1) those who were offered PrEP but refused (‘PrEP refusers’), and 2) those who agreed to start PrEP but did not follow through, or who started but stopped within a week (‘unsuccessful initiators’). </w:t>
      </w:r>
      <w:r w:rsidR="007A32E1">
        <w:t xml:space="preserve">Phase 1 </w:t>
      </w:r>
      <w:r w:rsidR="006244C7">
        <w:t>respondents will</w:t>
      </w:r>
      <w:r w:rsidR="0012537C">
        <w:t xml:space="preserve"> participate in one qualitative data collection activity (either </w:t>
      </w:r>
      <w:r w:rsidR="001338DC">
        <w:t>an interview</w:t>
      </w:r>
      <w:r w:rsidR="0012537C">
        <w:t xml:space="preserve"> or </w:t>
      </w:r>
      <w:r w:rsidR="001338DC">
        <w:t xml:space="preserve">a </w:t>
      </w:r>
      <w:r w:rsidR="0012537C">
        <w:t xml:space="preserve">focus group) and </w:t>
      </w:r>
      <w:r w:rsidR="001338DC">
        <w:t xml:space="preserve">will complete </w:t>
      </w:r>
      <w:r w:rsidR="0012537C">
        <w:t>the</w:t>
      </w:r>
      <w:r>
        <w:t xml:space="preserve"> self-administered structured</w:t>
      </w:r>
      <w:r w:rsidR="0012537C">
        <w:t xml:space="preserve"> behavioral assessment.</w:t>
      </w:r>
    </w:p>
    <w:p w:rsidR="0012537C" w:rsidRDefault="0012537C" w:rsidP="0012537C"/>
    <w:p w:rsidR="0012537C" w:rsidRDefault="0012537C" w:rsidP="0012537C">
      <w:r>
        <w:t>In phase 2, we will implement the</w:t>
      </w:r>
      <w:r w:rsidR="00764850">
        <w:t xml:space="preserve"> 30-minute self-administered</w:t>
      </w:r>
      <w:r>
        <w:t xml:space="preserve"> behavioral assessment with MSM who are eligible for PrEP through self-reported risk behavior (‘PrEP-eligible’) (n=180)</w:t>
      </w:r>
      <w:r w:rsidR="006945FC">
        <w:t xml:space="preserve"> </w:t>
      </w:r>
      <w:r w:rsidR="006945FC" w:rsidRPr="006945FC">
        <w:t>but are not currently on PrEP.</w:t>
      </w:r>
    </w:p>
    <w:p w:rsidR="0012537C" w:rsidRDefault="0012537C" w:rsidP="0012537C"/>
    <w:p w:rsidR="00B071C1" w:rsidRDefault="00B071C1" w:rsidP="0012537C">
      <w:r>
        <w:t>Combined, phase 1 and phase 2 will result in a total of 300 respondents.</w:t>
      </w:r>
    </w:p>
    <w:p w:rsidR="00B071C1" w:rsidRDefault="00B071C1" w:rsidP="0012537C"/>
    <w:p w:rsidR="0012537C" w:rsidRDefault="0012537C" w:rsidP="0012537C">
      <w:r>
        <w:t>All study instruments will be pilot tested prior to implementation. Data collectors will be tr</w:t>
      </w:r>
      <w:r w:rsidR="00873FE1">
        <w:t xml:space="preserve">ained on all study procedures. </w:t>
      </w:r>
      <w:r>
        <w:t xml:space="preserve">All MSM will meet the same </w:t>
      </w:r>
      <w:r w:rsidR="00B44AF4">
        <w:t xml:space="preserve">HIV risk and age </w:t>
      </w:r>
      <w:r>
        <w:t xml:space="preserve">eligibility </w:t>
      </w:r>
      <w:r w:rsidR="00B44AF4">
        <w:t xml:space="preserve">requirements </w:t>
      </w:r>
      <w:r>
        <w:t xml:space="preserve">at screening for participation. </w:t>
      </w:r>
      <w:r w:rsidR="00736876">
        <w:t>Respondent</w:t>
      </w:r>
      <w:r>
        <w:t xml:space="preserve">s for the qualitative phase will be asked additional eligibility questions </w:t>
      </w:r>
      <w:r w:rsidR="00B44AF4">
        <w:t>about</w:t>
      </w:r>
      <w:r>
        <w:t xml:space="preserve"> PrEP use. </w:t>
      </w:r>
      <w:r w:rsidR="00736876">
        <w:t>Respondent</w:t>
      </w:r>
      <w:r>
        <w:t>s will be screened at the time of recruitment, and if enrolled, will be re-screened prior to data collection. Screening verification will identify if MSM change eligibility during the time period between enrollment and participation (up to one month).</w:t>
      </w:r>
    </w:p>
    <w:p w:rsidR="00D53EAA" w:rsidRDefault="00D53EAA" w:rsidP="00D53EAA">
      <w:pPr>
        <w:pStyle w:val="ListParagraph"/>
        <w:spacing w:after="0" w:line="240" w:lineRule="auto"/>
        <w:ind w:left="0"/>
        <w:contextualSpacing w:val="0"/>
        <w:rPr>
          <w:rFonts w:ascii="Times New Roman" w:hAnsi="Times New Roman"/>
          <w:b/>
        </w:rPr>
      </w:pPr>
    </w:p>
    <w:p w:rsidR="00D53EAA" w:rsidRPr="004A30E7" w:rsidRDefault="00D53EAA" w:rsidP="00D53EAA">
      <w:pPr>
        <w:pStyle w:val="ListParagraph"/>
        <w:spacing w:after="0" w:line="240" w:lineRule="auto"/>
        <w:ind w:left="0"/>
        <w:contextualSpacing w:val="0"/>
        <w:rPr>
          <w:rFonts w:ascii="Times New Roman" w:hAnsi="Times New Roman"/>
          <w:sz w:val="24"/>
          <w:szCs w:val="24"/>
          <w:lang w:val="en-US"/>
        </w:rPr>
      </w:pPr>
      <w:r w:rsidRPr="004A30E7">
        <w:rPr>
          <w:rFonts w:ascii="Times New Roman" w:hAnsi="Times New Roman"/>
        </w:rPr>
        <w:t>Exhibit A</w:t>
      </w:r>
      <w:r w:rsidRPr="004A30E7">
        <w:rPr>
          <w:rFonts w:ascii="Times New Roman" w:hAnsi="Times New Roman"/>
          <w:lang w:val="en-US"/>
        </w:rPr>
        <w:t>2</w:t>
      </w:r>
      <w:r w:rsidRPr="004A30E7">
        <w:rPr>
          <w:rFonts w:ascii="Times New Roman" w:hAnsi="Times New Roman"/>
        </w:rPr>
        <w:t>.</w:t>
      </w:r>
      <w:r w:rsidRPr="004A30E7">
        <w:rPr>
          <w:rFonts w:ascii="Times New Roman" w:hAnsi="Times New Roman"/>
          <w:lang w:val="en-US"/>
        </w:rPr>
        <w:t>1</w:t>
      </w:r>
      <w:r w:rsidRPr="004A30E7">
        <w:rPr>
          <w:rFonts w:ascii="Times New Roman" w:hAnsi="Times New Roman"/>
        </w:rPr>
        <w:t xml:space="preserve"> Items of Information to be </w:t>
      </w:r>
      <w:r w:rsidR="00C62F1A">
        <w:rPr>
          <w:rFonts w:ascii="Times New Roman" w:hAnsi="Times New Roman"/>
          <w:lang w:val="en-US"/>
        </w:rPr>
        <w:t>C</w:t>
      </w:r>
      <w:r w:rsidR="00C62F1A" w:rsidRPr="004A30E7">
        <w:rPr>
          <w:rFonts w:ascii="Times New Roman" w:hAnsi="Times New Roman"/>
        </w:rPr>
        <w:t>ollected</w:t>
      </w:r>
    </w:p>
    <w:p w:rsidR="00D53EAA" w:rsidRPr="00603813" w:rsidRDefault="00D53EAA" w:rsidP="00D53EAA">
      <w:pPr>
        <w:autoSpaceDE w:val="0"/>
        <w:autoSpaceDN w:val="0"/>
        <w:adjustRightInd w:val="0"/>
      </w:pPr>
    </w:p>
    <w:tbl>
      <w:tblPr>
        <w:tblW w:w="9262" w:type="dxa"/>
        <w:tblInd w:w="93" w:type="dxa"/>
        <w:tblLook w:val="04A0" w:firstRow="1" w:lastRow="0" w:firstColumn="1" w:lastColumn="0" w:noHBand="0" w:noVBand="1"/>
      </w:tblPr>
      <w:tblGrid>
        <w:gridCol w:w="2660"/>
        <w:gridCol w:w="2359"/>
        <w:gridCol w:w="1974"/>
        <w:gridCol w:w="2269"/>
      </w:tblGrid>
      <w:tr w:rsidR="00D53EAA" w:rsidRPr="00F830D5" w:rsidTr="00663ACB">
        <w:trPr>
          <w:trHeight w:val="480"/>
        </w:trPr>
        <w:tc>
          <w:tcPr>
            <w:tcW w:w="2660" w:type="dxa"/>
            <w:tcBorders>
              <w:top w:val="single" w:sz="4" w:space="0" w:color="auto"/>
              <w:left w:val="single" w:sz="4" w:space="0" w:color="auto"/>
              <w:bottom w:val="single" w:sz="4" w:space="0" w:color="auto"/>
              <w:right w:val="single" w:sz="4" w:space="0" w:color="auto"/>
            </w:tcBorders>
            <w:shd w:val="clear" w:color="auto" w:fill="auto"/>
            <w:hideMark/>
          </w:tcPr>
          <w:p w:rsidR="00D53EAA" w:rsidRPr="00F830D5" w:rsidRDefault="00D53EAA" w:rsidP="00D53EAA">
            <w:pPr>
              <w:rPr>
                <w:b/>
                <w:bCs/>
              </w:rPr>
            </w:pPr>
            <w:r w:rsidRPr="00F830D5">
              <w:rPr>
                <w:b/>
                <w:bCs/>
              </w:rPr>
              <w:t>Variables to be explored</w:t>
            </w:r>
          </w:p>
        </w:tc>
        <w:tc>
          <w:tcPr>
            <w:tcW w:w="2359" w:type="dxa"/>
            <w:tcBorders>
              <w:top w:val="single" w:sz="4" w:space="0" w:color="auto"/>
              <w:left w:val="nil"/>
              <w:bottom w:val="single" w:sz="4" w:space="0" w:color="auto"/>
              <w:right w:val="single" w:sz="4" w:space="0" w:color="auto"/>
            </w:tcBorders>
            <w:shd w:val="clear" w:color="auto" w:fill="auto"/>
            <w:hideMark/>
          </w:tcPr>
          <w:p w:rsidR="00D53EAA" w:rsidRPr="00F830D5" w:rsidRDefault="00D53EAA" w:rsidP="00D53EAA">
            <w:pPr>
              <w:rPr>
                <w:b/>
                <w:bCs/>
              </w:rPr>
            </w:pPr>
            <w:r w:rsidRPr="00F830D5">
              <w:rPr>
                <w:b/>
                <w:bCs/>
              </w:rPr>
              <w:t xml:space="preserve">Data collection tool and citation </w:t>
            </w:r>
          </w:p>
        </w:tc>
        <w:tc>
          <w:tcPr>
            <w:tcW w:w="1974" w:type="dxa"/>
            <w:tcBorders>
              <w:top w:val="single" w:sz="4" w:space="0" w:color="auto"/>
              <w:left w:val="nil"/>
              <w:bottom w:val="single" w:sz="4" w:space="0" w:color="auto"/>
              <w:right w:val="single" w:sz="4" w:space="0" w:color="auto"/>
            </w:tcBorders>
            <w:shd w:val="clear" w:color="auto" w:fill="auto"/>
            <w:hideMark/>
          </w:tcPr>
          <w:p w:rsidR="00D53EAA" w:rsidRPr="00F830D5" w:rsidRDefault="00D53EAA" w:rsidP="00D53EAA">
            <w:pPr>
              <w:rPr>
                <w:b/>
                <w:bCs/>
              </w:rPr>
            </w:pPr>
            <w:r w:rsidRPr="00F830D5">
              <w:rPr>
                <w:b/>
                <w:bCs/>
              </w:rPr>
              <w:t>Study Related Procedures</w:t>
            </w:r>
          </w:p>
        </w:tc>
        <w:tc>
          <w:tcPr>
            <w:tcW w:w="2269" w:type="dxa"/>
            <w:tcBorders>
              <w:top w:val="single" w:sz="4" w:space="0" w:color="auto"/>
              <w:left w:val="nil"/>
              <w:bottom w:val="single" w:sz="4" w:space="0" w:color="auto"/>
              <w:right w:val="single" w:sz="4" w:space="0" w:color="auto"/>
            </w:tcBorders>
            <w:shd w:val="clear" w:color="auto" w:fill="auto"/>
            <w:hideMark/>
          </w:tcPr>
          <w:p w:rsidR="00D53EAA" w:rsidRPr="00F830D5" w:rsidRDefault="00D53EAA" w:rsidP="00D53EAA">
            <w:pPr>
              <w:rPr>
                <w:b/>
                <w:bCs/>
              </w:rPr>
            </w:pPr>
            <w:r w:rsidRPr="00F830D5">
              <w:rPr>
                <w:b/>
                <w:bCs/>
              </w:rPr>
              <w:t>Target Population</w:t>
            </w:r>
          </w:p>
        </w:tc>
      </w:tr>
      <w:tr w:rsidR="00D53EAA" w:rsidRPr="00F830D5" w:rsidTr="00663ACB">
        <w:trPr>
          <w:trHeight w:val="480"/>
        </w:trPr>
        <w:tc>
          <w:tcPr>
            <w:tcW w:w="2660" w:type="dxa"/>
            <w:tcBorders>
              <w:top w:val="nil"/>
              <w:left w:val="single" w:sz="4" w:space="0" w:color="auto"/>
              <w:bottom w:val="single" w:sz="4" w:space="0" w:color="auto"/>
              <w:right w:val="single" w:sz="4" w:space="0" w:color="auto"/>
            </w:tcBorders>
            <w:shd w:val="clear" w:color="auto" w:fill="auto"/>
            <w:vAlign w:val="center"/>
          </w:tcPr>
          <w:p w:rsidR="00D53EAA" w:rsidRPr="00F830D5" w:rsidRDefault="00520504" w:rsidP="00D53EAA">
            <w:r w:rsidRPr="00F830D5">
              <w:t>Perceptions of PrEP</w:t>
            </w:r>
            <w:r>
              <w:t xml:space="preserve"> use, decision making, challenges, barriers and facilitators to use, new prevention options</w:t>
            </w:r>
            <w:r w:rsidRPr="00F830D5" w:rsidDel="007C009E">
              <w:t xml:space="preserve"> </w:t>
            </w:r>
          </w:p>
        </w:tc>
        <w:tc>
          <w:tcPr>
            <w:tcW w:w="2359" w:type="dxa"/>
            <w:tcBorders>
              <w:top w:val="nil"/>
              <w:left w:val="nil"/>
              <w:bottom w:val="single" w:sz="4" w:space="0" w:color="auto"/>
              <w:right w:val="single" w:sz="4" w:space="0" w:color="auto"/>
            </w:tcBorders>
            <w:shd w:val="clear" w:color="auto" w:fill="auto"/>
            <w:vAlign w:val="center"/>
          </w:tcPr>
          <w:p w:rsidR="00626C33" w:rsidRDefault="00CA167D">
            <w:r>
              <w:t>Att</w:t>
            </w:r>
            <w:r w:rsidR="00862A48">
              <w:t>achment</w:t>
            </w:r>
            <w:r>
              <w:t xml:space="preserve"> 3d</w:t>
            </w:r>
            <w:r w:rsidR="00862A48">
              <w:t>.</w:t>
            </w:r>
            <w:r w:rsidR="00445C28">
              <w:t xml:space="preserve"> </w:t>
            </w:r>
          </w:p>
          <w:p w:rsidR="00D53EAA" w:rsidRPr="00F830D5" w:rsidRDefault="00445C28">
            <w:pPr>
              <w:rPr>
                <w:b/>
                <w:bCs/>
              </w:rPr>
            </w:pPr>
            <w:r>
              <w:t>Focus Group</w:t>
            </w:r>
            <w:r w:rsidR="00CA167D">
              <w:t xml:space="preserve"> Moderator</w:t>
            </w:r>
            <w:r>
              <w:t xml:space="preserve"> Guide</w:t>
            </w:r>
          </w:p>
        </w:tc>
        <w:tc>
          <w:tcPr>
            <w:tcW w:w="1974" w:type="dxa"/>
            <w:tcBorders>
              <w:top w:val="nil"/>
              <w:left w:val="nil"/>
              <w:bottom w:val="single" w:sz="4" w:space="0" w:color="auto"/>
              <w:right w:val="single" w:sz="4" w:space="0" w:color="auto"/>
            </w:tcBorders>
            <w:shd w:val="clear" w:color="auto" w:fill="auto"/>
            <w:vAlign w:val="center"/>
          </w:tcPr>
          <w:p w:rsidR="00D53EAA" w:rsidRPr="00F830D5" w:rsidRDefault="00520504">
            <w:pPr>
              <w:rPr>
                <w:b/>
                <w:bCs/>
              </w:rPr>
            </w:pPr>
            <w:r>
              <w:t>Small in-person groups</w:t>
            </w:r>
          </w:p>
        </w:tc>
        <w:tc>
          <w:tcPr>
            <w:tcW w:w="2269" w:type="dxa"/>
            <w:tcBorders>
              <w:top w:val="nil"/>
              <w:left w:val="nil"/>
              <w:bottom w:val="single" w:sz="4" w:space="0" w:color="auto"/>
              <w:right w:val="single" w:sz="4" w:space="0" w:color="auto"/>
            </w:tcBorders>
            <w:shd w:val="clear" w:color="auto" w:fill="auto"/>
            <w:vAlign w:val="center"/>
          </w:tcPr>
          <w:p w:rsidR="00D53EAA" w:rsidRPr="00F830D5" w:rsidRDefault="00D53EAA" w:rsidP="007C009E">
            <w:pPr>
              <w:rPr>
                <w:b/>
                <w:bCs/>
              </w:rPr>
            </w:pPr>
            <w:r w:rsidRPr="00F830D5">
              <w:t>HIV-negative</w:t>
            </w:r>
            <w:r w:rsidR="00445C28">
              <w:t xml:space="preserve"> PrEP refusers/ unsuccessful uptake</w:t>
            </w:r>
            <w:r w:rsidRPr="00F830D5">
              <w:t xml:space="preserve"> MSM</w:t>
            </w:r>
          </w:p>
        </w:tc>
      </w:tr>
      <w:tr w:rsidR="00445C28" w:rsidRPr="00F830D5" w:rsidTr="00663ACB">
        <w:trPr>
          <w:trHeight w:val="1200"/>
        </w:trPr>
        <w:tc>
          <w:tcPr>
            <w:tcW w:w="2660" w:type="dxa"/>
            <w:tcBorders>
              <w:top w:val="nil"/>
              <w:left w:val="single" w:sz="4" w:space="0" w:color="auto"/>
              <w:bottom w:val="single" w:sz="4" w:space="0" w:color="auto"/>
              <w:right w:val="single" w:sz="4" w:space="0" w:color="auto"/>
            </w:tcBorders>
            <w:shd w:val="clear" w:color="auto" w:fill="auto"/>
            <w:vAlign w:val="center"/>
          </w:tcPr>
          <w:p w:rsidR="00445C28" w:rsidRPr="00F830D5" w:rsidRDefault="007640BB">
            <w:r>
              <w:t>Eligibility</w:t>
            </w:r>
            <w:r w:rsidR="001855A3">
              <w:t xml:space="preserve"> </w:t>
            </w:r>
            <w:r w:rsidR="009B4E96">
              <w:t>re</w:t>
            </w:r>
            <w:r w:rsidR="001855A3">
              <w:t>verification</w:t>
            </w:r>
            <w:r>
              <w:t xml:space="preserve">, </w:t>
            </w:r>
            <w:r w:rsidR="007C009E" w:rsidRPr="00F830D5">
              <w:t xml:space="preserve">Demographics; HIV knowledge; HIV risk behavior; PrEP </w:t>
            </w:r>
            <w:r w:rsidR="007C009E">
              <w:t xml:space="preserve">use; </w:t>
            </w:r>
            <w:r>
              <w:t>health seeking behavior</w:t>
            </w:r>
            <w:r w:rsidR="007C009E">
              <w:t>; future prevention options</w:t>
            </w:r>
          </w:p>
        </w:tc>
        <w:tc>
          <w:tcPr>
            <w:tcW w:w="2359" w:type="dxa"/>
            <w:tcBorders>
              <w:top w:val="nil"/>
              <w:left w:val="nil"/>
              <w:bottom w:val="single" w:sz="4" w:space="0" w:color="auto"/>
              <w:right w:val="single" w:sz="4" w:space="0" w:color="auto"/>
            </w:tcBorders>
            <w:shd w:val="clear" w:color="auto" w:fill="auto"/>
            <w:vAlign w:val="center"/>
          </w:tcPr>
          <w:p w:rsidR="00445C28" w:rsidRDefault="00CA167D" w:rsidP="00445C28">
            <w:r>
              <w:t>Att</w:t>
            </w:r>
            <w:r w:rsidR="00862A48">
              <w:t>achment</w:t>
            </w:r>
            <w:r>
              <w:t xml:space="preserve"> 3e</w:t>
            </w:r>
            <w:r w:rsidR="00445C28">
              <w:t>.</w:t>
            </w:r>
            <w:r w:rsidR="00CE7E07">
              <w:t xml:space="preserve"> &amp; 3g</w:t>
            </w:r>
            <w:r w:rsidR="00445C28">
              <w:t xml:space="preserve"> Behavioral Assessment</w:t>
            </w:r>
          </w:p>
        </w:tc>
        <w:tc>
          <w:tcPr>
            <w:tcW w:w="1974" w:type="dxa"/>
            <w:tcBorders>
              <w:top w:val="nil"/>
              <w:left w:val="nil"/>
              <w:bottom w:val="single" w:sz="4" w:space="0" w:color="auto"/>
              <w:right w:val="single" w:sz="4" w:space="0" w:color="auto"/>
            </w:tcBorders>
            <w:shd w:val="clear" w:color="auto" w:fill="auto"/>
            <w:vAlign w:val="center"/>
          </w:tcPr>
          <w:p w:rsidR="00445C28" w:rsidRPr="00F830D5" w:rsidRDefault="00520504" w:rsidP="00D53EAA">
            <w:r>
              <w:t>Self-administered survey</w:t>
            </w:r>
          </w:p>
        </w:tc>
        <w:tc>
          <w:tcPr>
            <w:tcW w:w="2269" w:type="dxa"/>
            <w:tcBorders>
              <w:top w:val="nil"/>
              <w:left w:val="nil"/>
              <w:bottom w:val="single" w:sz="4" w:space="0" w:color="auto"/>
              <w:right w:val="single" w:sz="4" w:space="0" w:color="auto"/>
            </w:tcBorders>
            <w:shd w:val="clear" w:color="auto" w:fill="auto"/>
            <w:vAlign w:val="center"/>
          </w:tcPr>
          <w:p w:rsidR="00445C28" w:rsidRPr="00F830D5" w:rsidRDefault="00445C28" w:rsidP="00D53EAA">
            <w:r>
              <w:t>HIV-negative PrEP refusers</w:t>
            </w:r>
            <w:r w:rsidR="00AA1A6D">
              <w:t>/unsuccessful uptake</w:t>
            </w:r>
            <w:r>
              <w:t>, PrEP eligible high risk MSM</w:t>
            </w:r>
          </w:p>
        </w:tc>
      </w:tr>
      <w:tr w:rsidR="00D53EAA" w:rsidRPr="00F830D5" w:rsidTr="00663ACB">
        <w:trPr>
          <w:trHeight w:val="1200"/>
        </w:trPr>
        <w:tc>
          <w:tcPr>
            <w:tcW w:w="2660" w:type="dxa"/>
            <w:tcBorders>
              <w:top w:val="nil"/>
              <w:left w:val="single" w:sz="4" w:space="0" w:color="auto"/>
              <w:bottom w:val="single" w:sz="4" w:space="0" w:color="auto"/>
              <w:right w:val="single" w:sz="4" w:space="0" w:color="auto"/>
            </w:tcBorders>
            <w:shd w:val="clear" w:color="auto" w:fill="auto"/>
            <w:vAlign w:val="center"/>
          </w:tcPr>
          <w:p w:rsidR="00D53EAA" w:rsidRPr="00F830D5" w:rsidRDefault="00D53EAA">
            <w:r w:rsidRPr="00F830D5">
              <w:t>Perceptions of PrEP</w:t>
            </w:r>
            <w:r w:rsidR="00520504">
              <w:t xml:space="preserve"> use, decision making, challenges, barriers and facilitators to use, new prevention options</w:t>
            </w:r>
          </w:p>
        </w:tc>
        <w:tc>
          <w:tcPr>
            <w:tcW w:w="2359" w:type="dxa"/>
            <w:tcBorders>
              <w:top w:val="nil"/>
              <w:left w:val="nil"/>
              <w:bottom w:val="single" w:sz="4" w:space="0" w:color="auto"/>
              <w:right w:val="single" w:sz="4" w:space="0" w:color="auto"/>
            </w:tcBorders>
            <w:shd w:val="clear" w:color="auto" w:fill="auto"/>
            <w:vAlign w:val="center"/>
          </w:tcPr>
          <w:p w:rsidR="00626C33" w:rsidRDefault="00CA167D" w:rsidP="00255204">
            <w:r>
              <w:t>Att</w:t>
            </w:r>
            <w:r w:rsidR="00862A48">
              <w:t>achment</w:t>
            </w:r>
            <w:r>
              <w:t xml:space="preserve"> 3c</w:t>
            </w:r>
            <w:r w:rsidR="00D53EAA" w:rsidRPr="00F830D5">
              <w:t xml:space="preserve">. </w:t>
            </w:r>
          </w:p>
          <w:p w:rsidR="00D53EAA" w:rsidRPr="00F830D5" w:rsidRDefault="00CA167D" w:rsidP="00255204">
            <w:r>
              <w:t>In-depth</w:t>
            </w:r>
            <w:r w:rsidR="00445C28">
              <w:t xml:space="preserve"> Interview Guide</w:t>
            </w:r>
            <w:r w:rsidR="00D53EAA" w:rsidRPr="00F830D5">
              <w:t xml:space="preserve"> </w:t>
            </w:r>
          </w:p>
        </w:tc>
        <w:tc>
          <w:tcPr>
            <w:tcW w:w="1974" w:type="dxa"/>
            <w:tcBorders>
              <w:top w:val="nil"/>
              <w:left w:val="nil"/>
              <w:bottom w:val="single" w:sz="4" w:space="0" w:color="auto"/>
              <w:right w:val="single" w:sz="4" w:space="0" w:color="auto"/>
            </w:tcBorders>
            <w:shd w:val="clear" w:color="auto" w:fill="auto"/>
            <w:vAlign w:val="center"/>
          </w:tcPr>
          <w:p w:rsidR="00D53EAA" w:rsidRPr="00F830D5" w:rsidRDefault="00CA167D" w:rsidP="00D53EAA">
            <w:r>
              <w:t>Semi-structured</w:t>
            </w:r>
            <w:r w:rsidR="00D53EAA" w:rsidRPr="00F830D5">
              <w:t xml:space="preserve"> </w:t>
            </w:r>
            <w:r w:rsidR="00520504">
              <w:t>in-person i</w:t>
            </w:r>
            <w:r w:rsidR="00D53EAA" w:rsidRPr="00F830D5">
              <w:t>nterviews</w:t>
            </w:r>
          </w:p>
        </w:tc>
        <w:tc>
          <w:tcPr>
            <w:tcW w:w="2269" w:type="dxa"/>
            <w:tcBorders>
              <w:top w:val="nil"/>
              <w:left w:val="nil"/>
              <w:bottom w:val="single" w:sz="4" w:space="0" w:color="auto"/>
              <w:right w:val="single" w:sz="4" w:space="0" w:color="auto"/>
            </w:tcBorders>
            <w:shd w:val="clear" w:color="auto" w:fill="auto"/>
            <w:vAlign w:val="center"/>
          </w:tcPr>
          <w:p w:rsidR="00D53EAA" w:rsidRPr="00F830D5" w:rsidRDefault="007C009E" w:rsidP="00D53EAA">
            <w:r w:rsidRPr="00F830D5">
              <w:t>HIV-negative</w:t>
            </w:r>
            <w:r>
              <w:t xml:space="preserve"> PrEP refusers/ unsuccessful uptake</w:t>
            </w:r>
            <w:r w:rsidRPr="00F830D5">
              <w:t xml:space="preserve"> MSM</w:t>
            </w:r>
            <w:r w:rsidRPr="00F830D5" w:rsidDel="00445C28">
              <w:t xml:space="preserve"> </w:t>
            </w:r>
          </w:p>
        </w:tc>
      </w:tr>
      <w:tr w:rsidR="007C009E" w:rsidRPr="00F830D5" w:rsidTr="00663ACB">
        <w:trPr>
          <w:trHeight w:val="1200"/>
        </w:trPr>
        <w:tc>
          <w:tcPr>
            <w:tcW w:w="2660" w:type="dxa"/>
            <w:tcBorders>
              <w:top w:val="nil"/>
              <w:left w:val="single" w:sz="4" w:space="0" w:color="auto"/>
              <w:bottom w:val="single" w:sz="4" w:space="0" w:color="auto"/>
              <w:right w:val="single" w:sz="4" w:space="0" w:color="auto"/>
            </w:tcBorders>
            <w:shd w:val="clear" w:color="auto" w:fill="auto"/>
            <w:vAlign w:val="center"/>
          </w:tcPr>
          <w:p w:rsidR="007C009E" w:rsidRPr="00F830D5" w:rsidDel="007C009E" w:rsidRDefault="007640BB" w:rsidP="00D53EAA">
            <w:r>
              <w:t>Eligibility criteria [HIV status, sex risk, PrEP use]</w:t>
            </w:r>
          </w:p>
        </w:tc>
        <w:tc>
          <w:tcPr>
            <w:tcW w:w="2359" w:type="dxa"/>
            <w:tcBorders>
              <w:top w:val="nil"/>
              <w:left w:val="nil"/>
              <w:bottom w:val="single" w:sz="4" w:space="0" w:color="auto"/>
              <w:right w:val="single" w:sz="4" w:space="0" w:color="auto"/>
            </w:tcBorders>
            <w:shd w:val="clear" w:color="auto" w:fill="auto"/>
            <w:vAlign w:val="center"/>
          </w:tcPr>
          <w:p w:rsidR="007C009E" w:rsidRDefault="00CA167D" w:rsidP="001855A3">
            <w:r>
              <w:t>Att</w:t>
            </w:r>
            <w:r w:rsidR="00862A48">
              <w:t>achment</w:t>
            </w:r>
            <w:r>
              <w:t xml:space="preserve"> 3a</w:t>
            </w:r>
            <w:r w:rsidR="007C009E">
              <w:t xml:space="preserve">. Screener </w:t>
            </w:r>
          </w:p>
        </w:tc>
        <w:tc>
          <w:tcPr>
            <w:tcW w:w="1974" w:type="dxa"/>
            <w:tcBorders>
              <w:top w:val="nil"/>
              <w:left w:val="nil"/>
              <w:bottom w:val="single" w:sz="4" w:space="0" w:color="auto"/>
              <w:right w:val="single" w:sz="4" w:space="0" w:color="auto"/>
            </w:tcBorders>
            <w:shd w:val="clear" w:color="auto" w:fill="auto"/>
            <w:vAlign w:val="center"/>
          </w:tcPr>
          <w:p w:rsidR="007C009E" w:rsidRPr="00F830D5" w:rsidRDefault="00B86BFE" w:rsidP="00D53EAA">
            <w:r>
              <w:t xml:space="preserve">Short eligibility screener </w:t>
            </w:r>
          </w:p>
        </w:tc>
        <w:tc>
          <w:tcPr>
            <w:tcW w:w="2269" w:type="dxa"/>
            <w:tcBorders>
              <w:top w:val="nil"/>
              <w:left w:val="nil"/>
              <w:bottom w:val="single" w:sz="4" w:space="0" w:color="auto"/>
              <w:right w:val="single" w:sz="4" w:space="0" w:color="auto"/>
            </w:tcBorders>
            <w:shd w:val="clear" w:color="auto" w:fill="auto"/>
            <w:vAlign w:val="center"/>
          </w:tcPr>
          <w:p w:rsidR="007C009E" w:rsidRPr="00F830D5" w:rsidRDefault="00B86BFE" w:rsidP="00D53EAA">
            <w:r>
              <w:t>HIV-negative MSM</w:t>
            </w:r>
          </w:p>
        </w:tc>
      </w:tr>
      <w:tr w:rsidR="00DC63CD" w:rsidRPr="00F830D5" w:rsidTr="00663ACB">
        <w:trPr>
          <w:trHeight w:val="1200"/>
        </w:trPr>
        <w:tc>
          <w:tcPr>
            <w:tcW w:w="2660" w:type="dxa"/>
            <w:tcBorders>
              <w:top w:val="nil"/>
              <w:left w:val="single" w:sz="4" w:space="0" w:color="auto"/>
              <w:bottom w:val="single" w:sz="4" w:space="0" w:color="auto"/>
              <w:right w:val="single" w:sz="4" w:space="0" w:color="auto"/>
            </w:tcBorders>
            <w:shd w:val="clear" w:color="auto" w:fill="auto"/>
            <w:vAlign w:val="center"/>
          </w:tcPr>
          <w:p w:rsidR="00DC63CD" w:rsidRDefault="00DC63CD" w:rsidP="00D53EAA">
            <w:r>
              <w:t>Eligibility criteria [HIV status, sex risk, PrEP use]</w:t>
            </w:r>
          </w:p>
        </w:tc>
        <w:tc>
          <w:tcPr>
            <w:tcW w:w="2359" w:type="dxa"/>
            <w:tcBorders>
              <w:top w:val="nil"/>
              <w:left w:val="nil"/>
              <w:bottom w:val="single" w:sz="4" w:space="0" w:color="auto"/>
              <w:right w:val="single" w:sz="4" w:space="0" w:color="auto"/>
            </w:tcBorders>
            <w:shd w:val="clear" w:color="auto" w:fill="auto"/>
            <w:vAlign w:val="center"/>
          </w:tcPr>
          <w:p w:rsidR="00DC63CD" w:rsidRDefault="00DC63CD" w:rsidP="001855A3">
            <w:r>
              <w:t>Attachment 3b. Eligibility Verification</w:t>
            </w:r>
          </w:p>
        </w:tc>
        <w:tc>
          <w:tcPr>
            <w:tcW w:w="1974" w:type="dxa"/>
            <w:tcBorders>
              <w:top w:val="nil"/>
              <w:left w:val="nil"/>
              <w:bottom w:val="single" w:sz="4" w:space="0" w:color="auto"/>
              <w:right w:val="single" w:sz="4" w:space="0" w:color="auto"/>
            </w:tcBorders>
            <w:shd w:val="clear" w:color="auto" w:fill="auto"/>
            <w:vAlign w:val="center"/>
          </w:tcPr>
          <w:p w:rsidR="00DC63CD" w:rsidRDefault="00DC63CD" w:rsidP="00D53EAA">
            <w:r>
              <w:t>Short eligibility verification</w:t>
            </w:r>
          </w:p>
        </w:tc>
        <w:tc>
          <w:tcPr>
            <w:tcW w:w="2269" w:type="dxa"/>
            <w:tcBorders>
              <w:top w:val="nil"/>
              <w:left w:val="nil"/>
              <w:bottom w:val="single" w:sz="4" w:space="0" w:color="auto"/>
              <w:right w:val="single" w:sz="4" w:space="0" w:color="auto"/>
            </w:tcBorders>
            <w:shd w:val="clear" w:color="auto" w:fill="auto"/>
            <w:vAlign w:val="center"/>
          </w:tcPr>
          <w:p w:rsidR="00DC63CD" w:rsidRDefault="00DC63CD" w:rsidP="00D53EAA">
            <w:r w:rsidRPr="00DC63CD">
              <w:t>HIV-negative PrEP refusers/ unsuccessful uptake MSM</w:t>
            </w:r>
          </w:p>
        </w:tc>
      </w:tr>
      <w:tr w:rsidR="00D53EAA" w:rsidRPr="00F830D5" w:rsidTr="00663ACB">
        <w:trPr>
          <w:trHeight w:val="863"/>
        </w:trPr>
        <w:tc>
          <w:tcPr>
            <w:tcW w:w="2660" w:type="dxa"/>
            <w:tcBorders>
              <w:top w:val="nil"/>
              <w:left w:val="single" w:sz="4" w:space="0" w:color="auto"/>
              <w:bottom w:val="single" w:sz="4" w:space="0" w:color="auto"/>
              <w:right w:val="single" w:sz="4" w:space="0" w:color="auto"/>
            </w:tcBorders>
            <w:shd w:val="clear" w:color="auto" w:fill="auto"/>
            <w:vAlign w:val="center"/>
          </w:tcPr>
          <w:p w:rsidR="00D53EAA" w:rsidRPr="00F830D5" w:rsidRDefault="00D53EAA" w:rsidP="00D53EAA">
            <w:r w:rsidRPr="00F830D5">
              <w:t>Contact information: name, phone number, email</w:t>
            </w:r>
          </w:p>
        </w:tc>
        <w:tc>
          <w:tcPr>
            <w:tcW w:w="2359" w:type="dxa"/>
            <w:tcBorders>
              <w:top w:val="nil"/>
              <w:left w:val="nil"/>
              <w:bottom w:val="single" w:sz="4" w:space="0" w:color="auto"/>
              <w:right w:val="single" w:sz="4" w:space="0" w:color="auto"/>
            </w:tcBorders>
            <w:shd w:val="clear" w:color="auto" w:fill="auto"/>
            <w:vAlign w:val="center"/>
          </w:tcPr>
          <w:p w:rsidR="00D53EAA" w:rsidRPr="00F830D5" w:rsidRDefault="00F2411C" w:rsidP="00D53EAA">
            <w:r>
              <w:t>Att</w:t>
            </w:r>
            <w:r w:rsidR="00862A48">
              <w:t>achment</w:t>
            </w:r>
            <w:r>
              <w:t xml:space="preserve"> 3f</w:t>
            </w:r>
            <w:r w:rsidR="00D53EAA" w:rsidRPr="00F830D5">
              <w:t xml:space="preserve">. Contact </w:t>
            </w:r>
            <w:r>
              <w:t>F</w:t>
            </w:r>
            <w:r w:rsidR="00D53EAA" w:rsidRPr="00F830D5">
              <w:t>orm</w:t>
            </w:r>
          </w:p>
        </w:tc>
        <w:tc>
          <w:tcPr>
            <w:tcW w:w="1974" w:type="dxa"/>
            <w:tcBorders>
              <w:top w:val="nil"/>
              <w:left w:val="nil"/>
              <w:bottom w:val="single" w:sz="4" w:space="0" w:color="auto"/>
              <w:right w:val="single" w:sz="4" w:space="0" w:color="auto"/>
            </w:tcBorders>
            <w:shd w:val="clear" w:color="auto" w:fill="auto"/>
            <w:vAlign w:val="center"/>
          </w:tcPr>
          <w:p w:rsidR="00D53EAA" w:rsidRPr="00F830D5" w:rsidRDefault="00D53EAA" w:rsidP="00D53EAA">
            <w:r w:rsidRPr="00F830D5">
              <w:t>Contact form</w:t>
            </w:r>
          </w:p>
        </w:tc>
        <w:tc>
          <w:tcPr>
            <w:tcW w:w="2269" w:type="dxa"/>
            <w:tcBorders>
              <w:top w:val="nil"/>
              <w:left w:val="nil"/>
              <w:bottom w:val="single" w:sz="4" w:space="0" w:color="auto"/>
              <w:right w:val="single" w:sz="4" w:space="0" w:color="auto"/>
            </w:tcBorders>
            <w:shd w:val="clear" w:color="auto" w:fill="auto"/>
            <w:vAlign w:val="center"/>
          </w:tcPr>
          <w:p w:rsidR="00D53EAA" w:rsidRPr="00F830D5" w:rsidRDefault="00D53EAA" w:rsidP="00D53EAA">
            <w:r w:rsidRPr="00F830D5">
              <w:t>HIV-negative MSM</w:t>
            </w:r>
          </w:p>
        </w:tc>
      </w:tr>
    </w:tbl>
    <w:p w:rsidR="00D53EAA" w:rsidRPr="00603813" w:rsidRDefault="00D53EAA" w:rsidP="002E15A0">
      <w:pPr>
        <w:tabs>
          <w:tab w:val="left" w:pos="720"/>
        </w:tabs>
        <w:contextualSpacing/>
      </w:pPr>
    </w:p>
    <w:p w:rsidR="00133B17" w:rsidRPr="00603813" w:rsidRDefault="00133B17" w:rsidP="002E15A0">
      <w:pPr>
        <w:pStyle w:val="Heading2"/>
        <w:numPr>
          <w:ilvl w:val="0"/>
          <w:numId w:val="21"/>
        </w:numPr>
        <w:spacing w:before="0" w:after="0"/>
        <w:contextualSpacing/>
        <w:rPr>
          <w:rFonts w:ascii="Times New Roman" w:hAnsi="Times New Roman" w:cs="Times New Roman"/>
          <w:bCs w:val="0"/>
          <w:i w:val="0"/>
          <w:sz w:val="24"/>
          <w:szCs w:val="24"/>
        </w:rPr>
      </w:pPr>
      <w:bookmarkStart w:id="8" w:name="_Toc306891237"/>
      <w:bookmarkStart w:id="9" w:name="_Toc485906211"/>
      <w:bookmarkStart w:id="10" w:name="_Toc235958537"/>
      <w:r w:rsidRPr="00AD502A">
        <w:rPr>
          <w:rFonts w:ascii="Times New Roman" w:hAnsi="Times New Roman" w:cs="Times New Roman"/>
          <w:bCs w:val="0"/>
          <w:i w:val="0"/>
          <w:sz w:val="24"/>
          <w:szCs w:val="24"/>
        </w:rPr>
        <w:t>Use</w:t>
      </w:r>
      <w:r w:rsidRPr="00603813">
        <w:rPr>
          <w:rFonts w:ascii="Times New Roman" w:hAnsi="Times New Roman" w:cs="Times New Roman"/>
          <w:bCs w:val="0"/>
          <w:i w:val="0"/>
          <w:sz w:val="24"/>
          <w:szCs w:val="24"/>
        </w:rPr>
        <w:t xml:space="preserve"> of </w:t>
      </w:r>
      <w:r w:rsidR="00291298">
        <w:rPr>
          <w:rFonts w:ascii="Times New Roman" w:hAnsi="Times New Roman" w:cs="Times New Roman"/>
          <w:bCs w:val="0"/>
          <w:i w:val="0"/>
          <w:sz w:val="24"/>
          <w:szCs w:val="24"/>
        </w:rPr>
        <w:t xml:space="preserve">Improved </w:t>
      </w:r>
      <w:r w:rsidRPr="00603813">
        <w:rPr>
          <w:rFonts w:ascii="Times New Roman" w:hAnsi="Times New Roman" w:cs="Times New Roman"/>
          <w:bCs w:val="0"/>
          <w:i w:val="0"/>
          <w:sz w:val="24"/>
          <w:szCs w:val="24"/>
        </w:rPr>
        <w:t>Information Technology</w:t>
      </w:r>
      <w:bookmarkEnd w:id="8"/>
      <w:r w:rsidR="00957999" w:rsidRPr="00603813">
        <w:rPr>
          <w:rFonts w:ascii="Times New Roman" w:hAnsi="Times New Roman" w:cs="Times New Roman"/>
          <w:bCs w:val="0"/>
          <w:i w:val="0"/>
          <w:sz w:val="24"/>
          <w:szCs w:val="24"/>
        </w:rPr>
        <w:t xml:space="preserve"> </w:t>
      </w:r>
      <w:r w:rsidR="00291298">
        <w:rPr>
          <w:rFonts w:ascii="Times New Roman" w:hAnsi="Times New Roman" w:cs="Times New Roman"/>
          <w:bCs w:val="0"/>
          <w:i w:val="0"/>
          <w:sz w:val="24"/>
          <w:szCs w:val="24"/>
        </w:rPr>
        <w:t>and Burden Reduction</w:t>
      </w:r>
      <w:bookmarkEnd w:id="9"/>
    </w:p>
    <w:p w:rsidR="00D6493B" w:rsidRPr="00603813" w:rsidRDefault="00D6493B" w:rsidP="002E15A0"/>
    <w:p w:rsidR="00EC6DF6" w:rsidRPr="00603813" w:rsidRDefault="001B7CDA" w:rsidP="002E15A0">
      <w:r>
        <w:t xml:space="preserve">Variables of interest for this project are best </w:t>
      </w:r>
      <w:r w:rsidR="003A5488">
        <w:t xml:space="preserve">understood </w:t>
      </w:r>
      <w:r>
        <w:t>in face-to-face interviews and focus groups</w:t>
      </w:r>
      <w:r w:rsidR="00C8493D" w:rsidRPr="00603813">
        <w:t>.</w:t>
      </w:r>
      <w:r w:rsidR="00A66AC8" w:rsidRPr="00603813">
        <w:t xml:space="preserve"> </w:t>
      </w:r>
      <w:r w:rsidR="006E7DAC" w:rsidRPr="00603813">
        <w:t>T</w:t>
      </w:r>
      <w:r w:rsidR="00A66AC8" w:rsidRPr="00603813">
        <w:t>elephone interviews</w:t>
      </w:r>
      <w:r w:rsidR="007014D2">
        <w:t>/focus groups</w:t>
      </w:r>
      <w:r w:rsidR="00A66AC8" w:rsidRPr="00603813">
        <w:t xml:space="preserve"> </w:t>
      </w:r>
      <w:r w:rsidR="00D6493B" w:rsidRPr="00603813">
        <w:t>or</w:t>
      </w:r>
      <w:r w:rsidR="00A66AC8" w:rsidRPr="00603813">
        <w:t xml:space="preserve"> visual remote interviews</w:t>
      </w:r>
      <w:r w:rsidR="007014D2">
        <w:t>/focus groups</w:t>
      </w:r>
      <w:r w:rsidR="00A66AC8" w:rsidRPr="00603813">
        <w:t xml:space="preserve"> </w:t>
      </w:r>
      <w:r w:rsidR="00D6493B" w:rsidRPr="00603813">
        <w:t>(</w:t>
      </w:r>
      <w:r w:rsidR="00A66AC8" w:rsidRPr="00603813">
        <w:t xml:space="preserve">such as </w:t>
      </w:r>
      <w:r w:rsidR="007014D2">
        <w:t xml:space="preserve">via the </w:t>
      </w:r>
      <w:r w:rsidR="00A66AC8" w:rsidRPr="00603813">
        <w:t>web or Skype</w:t>
      </w:r>
      <w:r w:rsidR="00D6493B" w:rsidRPr="00603813">
        <w:t>)</w:t>
      </w:r>
      <w:r w:rsidR="00A66AC8" w:rsidRPr="00603813">
        <w:t xml:space="preserve"> are not </w:t>
      </w:r>
      <w:r w:rsidR="003C0D13">
        <w:t>optimal</w:t>
      </w:r>
      <w:r w:rsidR="00A66AC8" w:rsidRPr="00603813">
        <w:t xml:space="preserve"> for developing the necessary rapport between interviewer</w:t>
      </w:r>
      <w:r w:rsidR="007014D2">
        <w:t>/facilitator</w:t>
      </w:r>
      <w:r w:rsidR="00A66AC8" w:rsidRPr="00603813">
        <w:t xml:space="preserve"> and respondent</w:t>
      </w:r>
      <w:r w:rsidR="007014D2">
        <w:t>(s)</w:t>
      </w:r>
      <w:r w:rsidR="00A66AC8" w:rsidRPr="00603813">
        <w:t xml:space="preserve"> for a successful qualitative interview on a sensitive </w:t>
      </w:r>
      <w:r w:rsidR="007014D2">
        <w:t xml:space="preserve">or controversial </w:t>
      </w:r>
      <w:r w:rsidR="00A66AC8" w:rsidRPr="00603813">
        <w:t>topic.</w:t>
      </w:r>
      <w:r w:rsidR="00ED29DB" w:rsidRPr="00603813">
        <w:t xml:space="preserve"> Body language and facial cues are critical to understand where additional probing may be needed or should stop, and telephone or web interviews limit the interviewer’s ability to </w:t>
      </w:r>
      <w:r w:rsidR="005643E5">
        <w:t>assess</w:t>
      </w:r>
      <w:r w:rsidR="00ED29DB" w:rsidRPr="00603813">
        <w:t xml:space="preserve"> both. </w:t>
      </w:r>
      <w:r w:rsidR="003C0D13">
        <w:t xml:space="preserve">In addition, telephone and visually remote interviews/focus group more often lack the controls necessary to minimize ambient sounds, as well as intrusions to the interview process. </w:t>
      </w:r>
      <w:r w:rsidR="006E7DAC" w:rsidRPr="00603813">
        <w:t xml:space="preserve">Thus, </w:t>
      </w:r>
      <w:r w:rsidR="008611F7" w:rsidRPr="00603813">
        <w:t>we will conduct</w:t>
      </w:r>
      <w:r w:rsidR="006E7DAC" w:rsidRPr="00603813">
        <w:t xml:space="preserve"> individual,</w:t>
      </w:r>
      <w:r w:rsidR="008611F7" w:rsidRPr="00603813">
        <w:t xml:space="preserve"> </w:t>
      </w:r>
      <w:r w:rsidR="007014D2">
        <w:t>semi-structured interviews and small focus groups</w:t>
      </w:r>
      <w:r w:rsidR="008611F7" w:rsidRPr="00603813">
        <w:t xml:space="preserve"> in person</w:t>
      </w:r>
      <w:r w:rsidR="00A66AC8" w:rsidRPr="00603813">
        <w:t xml:space="preserve">. </w:t>
      </w:r>
      <w:r w:rsidR="007014D2">
        <w:t>After</w:t>
      </w:r>
      <w:r w:rsidRPr="00603813">
        <w:t xml:space="preserve"> receiving </w:t>
      </w:r>
      <w:r>
        <w:t>permission</w:t>
      </w:r>
      <w:r w:rsidRPr="00603813">
        <w:t xml:space="preserve"> from respondent</w:t>
      </w:r>
      <w:r>
        <w:t>(s)</w:t>
      </w:r>
      <w:r w:rsidRPr="00603813">
        <w:t>, we will audio-record the interview</w:t>
      </w:r>
      <w:r>
        <w:t>/focus group</w:t>
      </w:r>
      <w:r w:rsidR="007014D2">
        <w:t xml:space="preserve">. Recordings will be </w:t>
      </w:r>
      <w:r w:rsidRPr="00603813">
        <w:t>transcribe</w:t>
      </w:r>
      <w:r w:rsidR="007014D2">
        <w:t xml:space="preserve">d as soon as possible </w:t>
      </w:r>
      <w:r w:rsidRPr="00603813">
        <w:t>after the interview</w:t>
      </w:r>
      <w:r>
        <w:t>/focus group</w:t>
      </w:r>
      <w:r w:rsidRPr="00603813">
        <w:t xml:space="preserve">. </w:t>
      </w:r>
      <w:r w:rsidR="00B071C1">
        <w:t>Audio-recording</w:t>
      </w:r>
      <w:r w:rsidRPr="00603813">
        <w:t xml:space="preserve"> limits the burden on the respondent and allows the interviewer to focus on building and maintaining rapport with the respondent</w:t>
      </w:r>
      <w:r w:rsidR="005643E5">
        <w:t>, as well as ensuring the completeness of responses during transcription</w:t>
      </w:r>
      <w:r w:rsidRPr="00603813">
        <w:t>.</w:t>
      </w:r>
      <w:r>
        <w:t xml:space="preserve"> Focus groups will be led by a facilitator and a note-taker. The role of the note-taker is to identify the speaker (via a code or by number 1 through 5</w:t>
      </w:r>
      <w:r w:rsidR="007014D2">
        <w:t>)</w:t>
      </w:r>
      <w:r>
        <w:t xml:space="preserve"> for the purpose of differentiating responses in the transcripts</w:t>
      </w:r>
      <w:r w:rsidR="007014D2">
        <w:t>, reducing the burden on the facilitator, and allowing the group discussion to flow with limited interruption</w:t>
      </w:r>
      <w:r>
        <w:t>. Note-takers will also observe non-verba</w:t>
      </w:r>
      <w:r w:rsidR="007014D2">
        <w:t>l group dynamics</w:t>
      </w:r>
      <w:r>
        <w:t xml:space="preserve">. </w:t>
      </w:r>
      <w:r w:rsidR="003D1C23">
        <w:t>Structured</w:t>
      </w:r>
      <w:r>
        <w:t xml:space="preserve"> behavioral assessments will be </w:t>
      </w:r>
      <w:r w:rsidR="003D1C23">
        <w:t xml:space="preserve">self-administered (immediately after the focus group or interview in phase </w:t>
      </w:r>
      <w:r w:rsidR="005643E5">
        <w:t>1)</w:t>
      </w:r>
      <w:r>
        <w:t xml:space="preserve"> usi</w:t>
      </w:r>
      <w:r w:rsidR="007014D2">
        <w:t>ng Su</w:t>
      </w:r>
      <w:r>
        <w:t xml:space="preserve">rveyGizmo on an iPad or laptop computer. This allows for privacy in responding to sensitive questions about risk behavior. </w:t>
      </w:r>
      <w:r w:rsidR="003D1C23">
        <w:t xml:space="preserve">Assessments will be </w:t>
      </w:r>
      <w:r w:rsidR="003A5488">
        <w:t xml:space="preserve">completed </w:t>
      </w:r>
      <w:r w:rsidR="003D1C23">
        <w:t>in-person after the qualitative data collection or immediately after recruitment (in phase 2 only) on study iPads or laptops that are compliant with federal data security protocols.</w:t>
      </w:r>
    </w:p>
    <w:p w:rsidR="00911289" w:rsidRPr="00603813" w:rsidRDefault="00911289" w:rsidP="002E15A0"/>
    <w:p w:rsidR="00133B17" w:rsidRPr="00603813" w:rsidRDefault="00133B17" w:rsidP="002E15A0">
      <w:pPr>
        <w:rPr>
          <w:bCs/>
          <w:i/>
        </w:rPr>
      </w:pPr>
      <w:bookmarkStart w:id="11" w:name="_Toc235958538"/>
      <w:bookmarkEnd w:id="10"/>
    </w:p>
    <w:p w:rsidR="00E30B2F" w:rsidRPr="00603813" w:rsidRDefault="00370B37" w:rsidP="002E15A0">
      <w:pPr>
        <w:pStyle w:val="Heading2"/>
        <w:numPr>
          <w:ilvl w:val="0"/>
          <w:numId w:val="21"/>
        </w:numPr>
        <w:spacing w:before="0" w:after="0"/>
        <w:contextualSpacing/>
        <w:rPr>
          <w:rFonts w:ascii="Times New Roman" w:hAnsi="Times New Roman" w:cs="Times New Roman"/>
          <w:bCs w:val="0"/>
          <w:i w:val="0"/>
          <w:sz w:val="24"/>
          <w:szCs w:val="24"/>
        </w:rPr>
      </w:pPr>
      <w:bookmarkStart w:id="12" w:name="_Toc306891238"/>
      <w:bookmarkStart w:id="13" w:name="_Toc485906212"/>
      <w:r>
        <w:rPr>
          <w:rFonts w:ascii="Times New Roman" w:hAnsi="Times New Roman" w:cs="Times New Roman"/>
          <w:bCs w:val="0"/>
          <w:i w:val="0"/>
          <w:sz w:val="24"/>
          <w:szCs w:val="24"/>
        </w:rPr>
        <w:t>Efforts to Identify Duplication and Use of Similar Information</w:t>
      </w:r>
      <w:bookmarkStart w:id="14" w:name="_Toc306891239"/>
      <w:bookmarkStart w:id="15" w:name="_Toc235958539"/>
      <w:bookmarkEnd w:id="11"/>
      <w:bookmarkEnd w:id="12"/>
      <w:bookmarkEnd w:id="13"/>
    </w:p>
    <w:p w:rsidR="00937979" w:rsidRPr="00603813" w:rsidRDefault="00937979" w:rsidP="002E15A0"/>
    <w:p w:rsidR="00057B8E" w:rsidRPr="00603813" w:rsidRDefault="00057B8E" w:rsidP="002E15A0">
      <w:r w:rsidRPr="00603813">
        <w:t xml:space="preserve">The interviews will collect key information that the Agency believes is not captured elsewhere. The Agency believes no other survey data collection effort has been conducted or has been planned to collect similar information for </w:t>
      </w:r>
      <w:r w:rsidR="00F970E4" w:rsidRPr="00603813">
        <w:t xml:space="preserve">these </w:t>
      </w:r>
      <w:r w:rsidRPr="00603813">
        <w:t>population</w:t>
      </w:r>
      <w:r w:rsidR="00F970E4" w:rsidRPr="00603813">
        <w:t>s</w:t>
      </w:r>
      <w:r w:rsidRPr="00603813">
        <w:t xml:space="preserve">. </w:t>
      </w:r>
      <w:r w:rsidR="001123C3" w:rsidRPr="00603813">
        <w:t>CDC</w:t>
      </w:r>
      <w:r w:rsidR="006F1870" w:rsidRPr="00603813">
        <w:t xml:space="preserve"> conducted </w:t>
      </w:r>
      <w:r w:rsidR="006E7DAC" w:rsidRPr="00603813">
        <w:t>a</w:t>
      </w:r>
      <w:r w:rsidR="006F1870" w:rsidRPr="00603813">
        <w:t xml:space="preserve"> review </w:t>
      </w:r>
      <w:r w:rsidR="006E7DAC" w:rsidRPr="00603813">
        <w:t xml:space="preserve">of similar studies </w:t>
      </w:r>
      <w:r w:rsidR="006F1870" w:rsidRPr="00603813">
        <w:t>prior to the issuance of th</w:t>
      </w:r>
      <w:r w:rsidR="008746A5">
        <w:t>is</w:t>
      </w:r>
      <w:r w:rsidR="006F1870" w:rsidRPr="00603813">
        <w:t xml:space="preserve"> contract, and determined that t</w:t>
      </w:r>
      <w:r w:rsidR="00265960" w:rsidRPr="00603813">
        <w:t xml:space="preserve">his study is collecting unique information from </w:t>
      </w:r>
      <w:r w:rsidR="00EC628D" w:rsidRPr="00603813">
        <w:t>th</w:t>
      </w:r>
      <w:r w:rsidR="00EC628D">
        <w:t>is</w:t>
      </w:r>
      <w:r w:rsidR="00EC628D" w:rsidRPr="00603813">
        <w:t xml:space="preserve"> </w:t>
      </w:r>
      <w:r w:rsidR="00265960" w:rsidRPr="00603813">
        <w:t>population.</w:t>
      </w:r>
      <w:r w:rsidR="005E02A4" w:rsidRPr="00603813">
        <w:t xml:space="preserve"> </w:t>
      </w:r>
      <w:r w:rsidR="00921D74">
        <w:t>T</w:t>
      </w:r>
      <w:r w:rsidR="00921D74" w:rsidRPr="00921D74">
        <w:t xml:space="preserve">here is very little research on </w:t>
      </w:r>
      <w:r w:rsidR="00EC628D">
        <w:t xml:space="preserve">PrEP decision making among </w:t>
      </w:r>
      <w:r w:rsidR="00921D74" w:rsidRPr="00921D74">
        <w:t xml:space="preserve">MSM. Also, biomedical HIV prevention </w:t>
      </w:r>
      <w:r w:rsidR="00EC628D">
        <w:t>options, including PrEP, are</w:t>
      </w:r>
      <w:r w:rsidR="00EC628D" w:rsidRPr="00921D74">
        <w:t xml:space="preserve"> </w:t>
      </w:r>
      <w:r w:rsidR="00921D74" w:rsidRPr="00921D74">
        <w:t xml:space="preserve">new and rapidly emerging. Knowledge about uptake or lack thereof, community norms, etc. are not </w:t>
      </w:r>
      <w:r w:rsidR="005643E5">
        <w:t>available.</w:t>
      </w:r>
      <w:r w:rsidR="00921D74">
        <w:t xml:space="preserve"> </w:t>
      </w:r>
      <w:r w:rsidRPr="00603813">
        <w:t>Therefore, our evaluation requires the collection of this new primary data. There would be no reason for another Federal Agency to evaluate this</w:t>
      </w:r>
      <w:r w:rsidR="005E02A4" w:rsidRPr="00603813">
        <w:t>.</w:t>
      </w:r>
    </w:p>
    <w:p w:rsidR="00E30B2F" w:rsidRPr="00603813" w:rsidRDefault="00E30B2F" w:rsidP="002E15A0">
      <w:pPr>
        <w:rPr>
          <w:bCs/>
          <w:i/>
        </w:rPr>
      </w:pPr>
    </w:p>
    <w:p w:rsidR="00133B17" w:rsidRPr="00603813" w:rsidRDefault="009559DE" w:rsidP="002E15A0">
      <w:pPr>
        <w:pStyle w:val="Heading2"/>
        <w:numPr>
          <w:ilvl w:val="0"/>
          <w:numId w:val="21"/>
        </w:numPr>
        <w:spacing w:before="0" w:after="0"/>
        <w:contextualSpacing/>
        <w:rPr>
          <w:rFonts w:ascii="Times New Roman" w:hAnsi="Times New Roman" w:cs="Times New Roman"/>
          <w:bCs w:val="0"/>
          <w:i w:val="0"/>
          <w:sz w:val="24"/>
          <w:szCs w:val="24"/>
        </w:rPr>
      </w:pPr>
      <w:bookmarkStart w:id="16" w:name="_Toc485906213"/>
      <w:r w:rsidRPr="00AD502A">
        <w:rPr>
          <w:rFonts w:ascii="Times New Roman" w:hAnsi="Times New Roman" w:cs="Times New Roman"/>
          <w:bCs w:val="0"/>
          <w:i w:val="0"/>
          <w:sz w:val="24"/>
          <w:szCs w:val="24"/>
        </w:rPr>
        <w:t>Impact</w:t>
      </w:r>
      <w:r w:rsidR="00133B17" w:rsidRPr="00603813">
        <w:rPr>
          <w:rFonts w:ascii="Times New Roman" w:hAnsi="Times New Roman" w:cs="Times New Roman"/>
          <w:bCs w:val="0"/>
          <w:i w:val="0"/>
          <w:sz w:val="24"/>
          <w:szCs w:val="24"/>
        </w:rPr>
        <w:t xml:space="preserve"> on Small Businesses or Other Small Entities</w:t>
      </w:r>
      <w:bookmarkEnd w:id="14"/>
      <w:bookmarkEnd w:id="16"/>
    </w:p>
    <w:p w:rsidR="00102D28" w:rsidRPr="00603813" w:rsidRDefault="00102D28" w:rsidP="002E15A0"/>
    <w:p w:rsidR="00A17BE4" w:rsidRPr="00921D74" w:rsidRDefault="003E4506" w:rsidP="005B21AD">
      <w:r>
        <w:t>No small businesses</w:t>
      </w:r>
      <w:r w:rsidR="00AF7E0B" w:rsidRPr="00603813">
        <w:t xml:space="preserve"> will </w:t>
      </w:r>
      <w:r>
        <w:t xml:space="preserve">be impacted by this study. </w:t>
      </w:r>
      <w:r w:rsidR="007C49E8">
        <w:t>The Contractor</w:t>
      </w:r>
      <w:r>
        <w:t xml:space="preserve"> will partner with </w:t>
      </w:r>
      <w:r w:rsidR="00E75104">
        <w:t>health departments, community based organizations</w:t>
      </w:r>
      <w:r w:rsidR="00523F36">
        <w:t xml:space="preserve"> </w:t>
      </w:r>
      <w:r w:rsidR="00F90B8E">
        <w:t>(</w:t>
      </w:r>
      <w:r w:rsidR="00523F36">
        <w:t>CBO</w:t>
      </w:r>
      <w:r w:rsidR="00F90B8E">
        <w:t>s)</w:t>
      </w:r>
      <w:r w:rsidR="00E75104">
        <w:t xml:space="preserve">, and </w:t>
      </w:r>
      <w:r>
        <w:t xml:space="preserve">HIV </w:t>
      </w:r>
      <w:r w:rsidR="00AF7E0B" w:rsidRPr="00603813">
        <w:t xml:space="preserve">clinics to aid in recruiting potential respondents by identifying eligible </w:t>
      </w:r>
      <w:r>
        <w:t>MSM</w:t>
      </w:r>
      <w:r w:rsidR="00AF7E0B" w:rsidRPr="00603813">
        <w:t xml:space="preserve"> and providing them with a recruitment </w:t>
      </w:r>
      <w:r w:rsidR="00B071C1">
        <w:t>materials</w:t>
      </w:r>
      <w:r w:rsidR="00AF7E0B" w:rsidRPr="00603813">
        <w:t xml:space="preserve">. </w:t>
      </w:r>
    </w:p>
    <w:p w:rsidR="00133B17" w:rsidRPr="00316236" w:rsidRDefault="008E0AA6" w:rsidP="00316236">
      <w:pPr>
        <w:pStyle w:val="Heading2"/>
        <w:rPr>
          <w:b w:val="0"/>
        </w:rPr>
      </w:pPr>
      <w:bookmarkStart w:id="17" w:name="_Toc485906214"/>
      <w:bookmarkStart w:id="18" w:name="_Toc235958540"/>
      <w:bookmarkEnd w:id="15"/>
      <w:r w:rsidRPr="00316236">
        <w:rPr>
          <w:rFonts w:ascii="Times New Roman" w:hAnsi="Times New Roman" w:cs="Times New Roman"/>
          <w:i w:val="0"/>
          <w:sz w:val="24"/>
          <w:szCs w:val="24"/>
        </w:rPr>
        <w:t xml:space="preserve">6. </w:t>
      </w:r>
      <w:r w:rsidR="00133B17" w:rsidRPr="00316236">
        <w:rPr>
          <w:rFonts w:ascii="Times New Roman" w:hAnsi="Times New Roman" w:cs="Times New Roman"/>
          <w:i w:val="0"/>
          <w:sz w:val="24"/>
          <w:szCs w:val="24"/>
        </w:rPr>
        <w:t xml:space="preserve">Consequences of Collecting the </w:t>
      </w:r>
      <w:r w:rsidR="009559DE" w:rsidRPr="00316236">
        <w:rPr>
          <w:rFonts w:ascii="Times New Roman" w:hAnsi="Times New Roman" w:cs="Times New Roman"/>
          <w:i w:val="0"/>
          <w:sz w:val="24"/>
          <w:szCs w:val="24"/>
        </w:rPr>
        <w:t>Information Less Frequently</w:t>
      </w:r>
      <w:bookmarkEnd w:id="17"/>
      <w:r w:rsidR="00133B17" w:rsidRPr="00316236">
        <w:rPr>
          <w:rFonts w:ascii="Times New Roman" w:hAnsi="Times New Roman" w:cs="Times New Roman"/>
          <w:i w:val="0"/>
          <w:sz w:val="24"/>
          <w:szCs w:val="24"/>
        </w:rPr>
        <w:t xml:space="preserve"> </w:t>
      </w:r>
    </w:p>
    <w:p w:rsidR="00102D28" w:rsidRPr="00921D74" w:rsidRDefault="00102D28" w:rsidP="00921D74"/>
    <w:p w:rsidR="00E30B2F" w:rsidRPr="00921D74" w:rsidRDefault="00E30B2F" w:rsidP="00921D74">
      <w:r w:rsidRPr="00921D74">
        <w:t xml:space="preserve">The present study will provide the primary </w:t>
      </w:r>
      <w:r w:rsidR="002C7945" w:rsidRPr="00921D74">
        <w:t xml:space="preserve">qualitative </w:t>
      </w:r>
      <w:r w:rsidR="00AB08CD">
        <w:t xml:space="preserve">and quantitative </w:t>
      </w:r>
      <w:r w:rsidRPr="00921D74">
        <w:t xml:space="preserve">data needed to </w:t>
      </w:r>
      <w:r w:rsidR="006A66F7" w:rsidRPr="00921D74">
        <w:t xml:space="preserve">understand </w:t>
      </w:r>
      <w:r w:rsidR="00AB08CD">
        <w:t>decisions about</w:t>
      </w:r>
      <w:r w:rsidR="00353DE4" w:rsidRPr="00921D74">
        <w:t xml:space="preserve"> </w:t>
      </w:r>
      <w:r w:rsidR="00AB08CD">
        <w:t>PrEP use</w:t>
      </w:r>
      <w:r w:rsidR="006A66F7" w:rsidRPr="00921D74">
        <w:t xml:space="preserve"> among HIV-negative MSM at the greatest risk for HIV infection in the U.S</w:t>
      </w:r>
      <w:r w:rsidR="00353DE4" w:rsidRPr="00921D74">
        <w:t>.</w:t>
      </w:r>
      <w:r w:rsidR="00057B8E" w:rsidRPr="00921D74">
        <w:t xml:space="preserve"> If this evaluation were not conducted, </w:t>
      </w:r>
      <w:r w:rsidR="00353DE4" w:rsidRPr="00921D74">
        <w:t xml:space="preserve">it would not be possible to </w:t>
      </w:r>
      <w:r w:rsidR="006A66F7" w:rsidRPr="00921D74">
        <w:t xml:space="preserve">identify </w:t>
      </w:r>
      <w:r w:rsidR="00353DE4" w:rsidRPr="00921D74">
        <w:t xml:space="preserve">barriers and facilitators </w:t>
      </w:r>
      <w:r w:rsidR="001C7CA8">
        <w:t xml:space="preserve">of PrEP uptake </w:t>
      </w:r>
      <w:r w:rsidR="006A66F7" w:rsidRPr="00921D74">
        <w:t>and to use this information to strengthen</w:t>
      </w:r>
      <w:r w:rsidR="00353DE4" w:rsidRPr="00921D74">
        <w:t xml:space="preserve"> </w:t>
      </w:r>
      <w:r w:rsidR="00AB08CD">
        <w:t xml:space="preserve">PrEP uptake and </w:t>
      </w:r>
      <w:r w:rsidR="00353DE4" w:rsidRPr="00921D74">
        <w:t>prevention</w:t>
      </w:r>
      <w:r w:rsidR="006A66F7" w:rsidRPr="00921D74">
        <w:t xml:space="preserve"> </w:t>
      </w:r>
      <w:r w:rsidR="00AB08CD">
        <w:t>of HIV infection in</w:t>
      </w:r>
      <w:r w:rsidR="00AB08CD" w:rsidRPr="00921D74">
        <w:t xml:space="preserve"> </w:t>
      </w:r>
      <w:r w:rsidR="006A66F7" w:rsidRPr="00921D74">
        <w:t>these vulnerable populations</w:t>
      </w:r>
      <w:r w:rsidR="00353DE4" w:rsidRPr="00921D74">
        <w:t xml:space="preserve">. </w:t>
      </w:r>
      <w:r w:rsidR="006C1714" w:rsidRPr="00921D74">
        <w:t xml:space="preserve">The length </w:t>
      </w:r>
      <w:r w:rsidR="00ED62E6" w:rsidRPr="00921D74">
        <w:t xml:space="preserve">of data collection is 2-3 months and </w:t>
      </w:r>
      <w:r w:rsidR="006C1714" w:rsidRPr="00921D74">
        <w:t>data will only be collected once.</w:t>
      </w:r>
    </w:p>
    <w:p w:rsidR="00133B17" w:rsidRPr="00316236" w:rsidRDefault="00133B17" w:rsidP="00316236">
      <w:pPr>
        <w:pStyle w:val="Heading2"/>
        <w:rPr>
          <w:b w:val="0"/>
        </w:rPr>
      </w:pPr>
      <w:bookmarkStart w:id="19" w:name="_Toc485906215"/>
      <w:bookmarkStart w:id="20" w:name="_Toc306891240"/>
      <w:bookmarkStart w:id="21" w:name="_Toc235958541"/>
      <w:bookmarkEnd w:id="18"/>
      <w:r w:rsidRPr="00316236">
        <w:rPr>
          <w:rFonts w:ascii="Times New Roman" w:hAnsi="Times New Roman" w:cs="Times New Roman"/>
          <w:i w:val="0"/>
          <w:sz w:val="24"/>
          <w:szCs w:val="24"/>
        </w:rPr>
        <w:t xml:space="preserve">7. Special </w:t>
      </w:r>
      <w:r w:rsidR="009559DE" w:rsidRPr="00316236">
        <w:rPr>
          <w:rFonts w:ascii="Times New Roman" w:hAnsi="Times New Roman" w:cs="Times New Roman"/>
          <w:i w:val="0"/>
          <w:sz w:val="24"/>
          <w:szCs w:val="24"/>
        </w:rPr>
        <w:t>Circumstances Relating to the Guidelines of 5 CFR 1320.5</w:t>
      </w:r>
      <w:bookmarkEnd w:id="19"/>
      <w:r w:rsidR="009559DE" w:rsidRPr="00316236">
        <w:rPr>
          <w:rFonts w:ascii="Times New Roman" w:hAnsi="Times New Roman" w:cs="Times New Roman"/>
          <w:i w:val="0"/>
          <w:sz w:val="24"/>
          <w:szCs w:val="24"/>
        </w:rPr>
        <w:t xml:space="preserve">  </w:t>
      </w:r>
      <w:bookmarkEnd w:id="20"/>
    </w:p>
    <w:p w:rsidR="00133B17" w:rsidRPr="00921D74" w:rsidRDefault="00133B17" w:rsidP="00921D74">
      <w:bookmarkStart w:id="22" w:name="_Toc235958542"/>
      <w:bookmarkEnd w:id="21"/>
    </w:p>
    <w:p w:rsidR="00D43200" w:rsidRPr="00921D74" w:rsidRDefault="00B6586B" w:rsidP="00921D74">
      <w:r w:rsidRPr="00921D74">
        <w:t>This data collection effort does not involve any special circumstances.</w:t>
      </w:r>
    </w:p>
    <w:p w:rsidR="00B6586B" w:rsidRPr="00921D74" w:rsidRDefault="00B6586B" w:rsidP="00921D74"/>
    <w:p w:rsidR="00133B17" w:rsidRPr="00F7575E" w:rsidRDefault="00A53E92" w:rsidP="00921D74">
      <w:pPr>
        <w:pStyle w:val="Heading2"/>
        <w:spacing w:before="0" w:after="0"/>
        <w:contextualSpacing/>
        <w:rPr>
          <w:rFonts w:ascii="Times New Roman" w:hAnsi="Times New Roman" w:cs="Times New Roman"/>
          <w:bCs w:val="0"/>
          <w:i w:val="0"/>
          <w:sz w:val="24"/>
          <w:szCs w:val="24"/>
        </w:rPr>
      </w:pPr>
      <w:bookmarkStart w:id="23" w:name="_Toc306891241"/>
      <w:bookmarkStart w:id="24" w:name="_Toc485906216"/>
      <w:r w:rsidRPr="002E77BD">
        <w:rPr>
          <w:rFonts w:ascii="Times New Roman" w:hAnsi="Times New Roman" w:cs="Times New Roman"/>
          <w:i w:val="0"/>
          <w:sz w:val="24"/>
          <w:szCs w:val="24"/>
        </w:rPr>
        <w:t xml:space="preserve">8. </w:t>
      </w:r>
      <w:r w:rsidR="009559DE" w:rsidRPr="00AD502A">
        <w:rPr>
          <w:rFonts w:ascii="Times New Roman" w:hAnsi="Times New Roman" w:cs="Times New Roman"/>
          <w:i w:val="0"/>
          <w:sz w:val="24"/>
          <w:szCs w:val="24"/>
        </w:rPr>
        <w:t>Comments</w:t>
      </w:r>
      <w:r w:rsidR="009559DE" w:rsidRPr="002E77BD">
        <w:rPr>
          <w:rFonts w:ascii="Times New Roman" w:hAnsi="Times New Roman" w:cs="Times New Roman"/>
          <w:i w:val="0"/>
          <w:sz w:val="24"/>
          <w:szCs w:val="24"/>
        </w:rPr>
        <w:t xml:space="preserve"> in Response to the </w:t>
      </w:r>
      <w:r w:rsidR="00133B17" w:rsidRPr="002E77BD">
        <w:rPr>
          <w:rFonts w:ascii="Times New Roman" w:hAnsi="Times New Roman" w:cs="Times New Roman"/>
          <w:i w:val="0"/>
          <w:sz w:val="24"/>
          <w:szCs w:val="24"/>
        </w:rPr>
        <w:t>Federal Register Notice</w:t>
      </w:r>
      <w:bookmarkEnd w:id="23"/>
      <w:r w:rsidR="009559DE" w:rsidRPr="002E77BD">
        <w:rPr>
          <w:rFonts w:ascii="Times New Roman" w:hAnsi="Times New Roman" w:cs="Times New Roman"/>
          <w:i w:val="0"/>
          <w:sz w:val="24"/>
          <w:szCs w:val="24"/>
        </w:rPr>
        <w:t xml:space="preserve"> and Efforts to Consult Outside </w:t>
      </w:r>
      <w:r w:rsidR="009559DE" w:rsidRPr="002E77BD">
        <w:rPr>
          <w:rFonts w:ascii="Times New Roman" w:hAnsi="Times New Roman" w:cs="Times New Roman"/>
          <w:bCs w:val="0"/>
          <w:i w:val="0"/>
          <w:sz w:val="24"/>
          <w:szCs w:val="24"/>
        </w:rPr>
        <w:t>the Agency</w:t>
      </w:r>
      <w:bookmarkEnd w:id="24"/>
    </w:p>
    <w:p w:rsidR="00D43200" w:rsidRPr="00603813" w:rsidRDefault="00D43200" w:rsidP="002E15A0"/>
    <w:p w:rsidR="00D43200" w:rsidRDefault="00533530" w:rsidP="002E15A0">
      <w:r>
        <w:t>A 60-</w:t>
      </w:r>
      <w:r w:rsidR="00441620" w:rsidRPr="00533530">
        <w:t>day notice to solicit public comments was published in the Federal Register on</w:t>
      </w:r>
      <w:r w:rsidR="00AB08CD" w:rsidRPr="00533530">
        <w:t xml:space="preserve"> </w:t>
      </w:r>
      <w:r w:rsidR="00C617B1" w:rsidRPr="00533530">
        <w:t>10</w:t>
      </w:r>
      <w:r w:rsidR="00BE426D" w:rsidRPr="00533530">
        <w:t>/</w:t>
      </w:r>
      <w:r w:rsidR="00C617B1" w:rsidRPr="00533530">
        <w:t>1</w:t>
      </w:r>
      <w:r w:rsidRPr="00533530">
        <w:t>0</w:t>
      </w:r>
      <w:r w:rsidR="00BE426D" w:rsidRPr="00533530">
        <w:t>/</w:t>
      </w:r>
      <w:r w:rsidR="00C617B1" w:rsidRPr="00533530">
        <w:t>2017</w:t>
      </w:r>
      <w:r w:rsidR="00BE426D" w:rsidRPr="00533530">
        <w:t>,</w:t>
      </w:r>
      <w:r w:rsidR="00D10113" w:rsidRPr="00533530">
        <w:t xml:space="preserve"> </w:t>
      </w:r>
      <w:r w:rsidR="00295B33" w:rsidRPr="00533530">
        <w:t xml:space="preserve">Volume </w:t>
      </w:r>
      <w:r w:rsidRPr="00533530">
        <w:t>82</w:t>
      </w:r>
      <w:r w:rsidR="00295B33" w:rsidRPr="00533530">
        <w:t xml:space="preserve">, Number </w:t>
      </w:r>
      <w:r w:rsidRPr="00533530">
        <w:t>194</w:t>
      </w:r>
      <w:r w:rsidR="00295B33" w:rsidRPr="00533530">
        <w:t xml:space="preserve">, </w:t>
      </w:r>
      <w:r w:rsidRPr="00533530">
        <w:t>and Page</w:t>
      </w:r>
      <w:r w:rsidR="00295B33" w:rsidRPr="00533530">
        <w:t xml:space="preserve"> Number </w:t>
      </w:r>
      <w:r w:rsidRPr="00533530">
        <w:t>46996</w:t>
      </w:r>
      <w:r w:rsidR="00AB08CD" w:rsidRPr="00533530">
        <w:t>-</w:t>
      </w:r>
      <w:r w:rsidRPr="00533530">
        <w:t>46997</w:t>
      </w:r>
      <w:r w:rsidR="009A1B49">
        <w:t xml:space="preserve"> (</w:t>
      </w:r>
      <w:r w:rsidR="00A6282A">
        <w:rPr>
          <w:b/>
        </w:rPr>
        <w:t>A</w:t>
      </w:r>
      <w:r w:rsidR="009A1B49" w:rsidRPr="00497940">
        <w:rPr>
          <w:b/>
        </w:rPr>
        <w:t>ttachment 1</w:t>
      </w:r>
      <w:r w:rsidR="009A1B49">
        <w:t>)</w:t>
      </w:r>
      <w:r w:rsidR="00441620" w:rsidRPr="00441620">
        <w:t>.</w:t>
      </w:r>
      <w:r w:rsidR="00D10113">
        <w:t xml:space="preserve"> </w:t>
      </w:r>
      <w:r w:rsidR="00BE426D">
        <w:t xml:space="preserve"> </w:t>
      </w:r>
      <w:r w:rsidR="00735C62">
        <w:t>One public comment received from the New York City Department of Health and Hygiene that was support of th</w:t>
      </w:r>
      <w:r w:rsidR="00503331">
        <w:t>e proposed study (Att. 2a).</w:t>
      </w:r>
    </w:p>
    <w:p w:rsidR="00921D74" w:rsidRDefault="00921D74" w:rsidP="002E15A0"/>
    <w:p w:rsidR="00921D74" w:rsidRDefault="00921D74" w:rsidP="002E15A0">
      <w:r>
        <w:t xml:space="preserve">In addition, Emory University’s Rollins School of Public Health, </w:t>
      </w:r>
      <w:r w:rsidR="00AB08CD">
        <w:t xml:space="preserve">the Emory University HIV Community Advisory Board, </w:t>
      </w:r>
      <w:r>
        <w:t>and Research Support Services, Inc.</w:t>
      </w:r>
      <w:r w:rsidR="00533530">
        <w:t>,</w:t>
      </w:r>
      <w:r>
        <w:t xml:space="preserve"> were consulted for development of this study.</w:t>
      </w:r>
      <w:r w:rsidR="00E05147">
        <w:t xml:space="preserve"> There were no unresolved issues associated with the consultation proce</w:t>
      </w:r>
      <w:r w:rsidR="00533530">
        <w:t>ss.  Aside from the official 60-</w:t>
      </w:r>
      <w:r w:rsidR="00E05147">
        <w:t xml:space="preserve">day public comment period in the Federal Register, there were no other public contacts or opportunities for public comment on this study. </w:t>
      </w:r>
    </w:p>
    <w:p w:rsidR="002B06C7" w:rsidRDefault="002B06C7" w:rsidP="002E15A0"/>
    <w:tbl>
      <w:tblPr>
        <w:tblStyle w:val="TableGrid"/>
        <w:tblW w:w="0" w:type="auto"/>
        <w:tblLook w:val="04A0" w:firstRow="1" w:lastRow="0" w:firstColumn="1" w:lastColumn="0" w:noHBand="0" w:noVBand="1"/>
      </w:tblPr>
      <w:tblGrid>
        <w:gridCol w:w="4675"/>
        <w:gridCol w:w="4675"/>
      </w:tblGrid>
      <w:tr w:rsidR="002B06C7" w:rsidRPr="00C80212" w:rsidTr="002B06C7">
        <w:tc>
          <w:tcPr>
            <w:tcW w:w="4675" w:type="dxa"/>
          </w:tcPr>
          <w:p w:rsidR="002B06C7" w:rsidRPr="00C80212" w:rsidRDefault="002B06C7" w:rsidP="002B06C7">
            <w:pPr>
              <w:rPr>
                <w:color w:val="000000"/>
              </w:rPr>
            </w:pPr>
            <w:r w:rsidRPr="00C80212">
              <w:rPr>
                <w:color w:val="000000"/>
              </w:rPr>
              <w:t>Alisu Schoua-Glusberg</w:t>
            </w:r>
            <w:r w:rsidR="00D05001" w:rsidRPr="00C80212">
              <w:rPr>
                <w:color w:val="000000"/>
              </w:rPr>
              <w:t xml:space="preserve">, </w:t>
            </w:r>
            <w:r w:rsidR="003456FB" w:rsidRPr="00C80212">
              <w:rPr>
                <w:color w:val="000000"/>
              </w:rPr>
              <w:t>Project Director</w:t>
            </w:r>
            <w:r w:rsidRPr="00C80212">
              <w:rPr>
                <w:color w:val="000000"/>
              </w:rPr>
              <w:t xml:space="preserve"> </w:t>
            </w:r>
          </w:p>
          <w:p w:rsidR="002B06C7" w:rsidRPr="00C80212" w:rsidRDefault="002B06C7" w:rsidP="002E15A0">
            <w:pPr>
              <w:rPr>
                <w:color w:val="000000"/>
              </w:rPr>
            </w:pPr>
            <w:r w:rsidRPr="00C80212">
              <w:rPr>
                <w:color w:val="000000"/>
              </w:rPr>
              <w:t xml:space="preserve">Research Support Services, Inc. </w:t>
            </w:r>
          </w:p>
          <w:p w:rsidR="00D05001" w:rsidRPr="00C80212" w:rsidRDefault="002B06C7" w:rsidP="002E15A0">
            <w:pPr>
              <w:rPr>
                <w:color w:val="000000"/>
              </w:rPr>
            </w:pPr>
            <w:r w:rsidRPr="00C80212">
              <w:rPr>
                <w:color w:val="000000"/>
              </w:rPr>
              <w:t>Address</w:t>
            </w:r>
            <w:r w:rsidR="00D05001" w:rsidRPr="00C80212">
              <w:rPr>
                <w:color w:val="000000"/>
              </w:rPr>
              <w:t xml:space="preserve">: 906 Ridge Ave. </w:t>
            </w:r>
          </w:p>
          <w:p w:rsidR="002B06C7" w:rsidRPr="00C80212" w:rsidRDefault="00D05001" w:rsidP="002E15A0">
            <w:pPr>
              <w:rPr>
                <w:color w:val="000000"/>
              </w:rPr>
            </w:pPr>
            <w:r w:rsidRPr="00C80212">
              <w:rPr>
                <w:color w:val="000000"/>
              </w:rPr>
              <w:t>Evanston, IL 60202-1720</w:t>
            </w:r>
          </w:p>
          <w:p w:rsidR="002B06C7" w:rsidRPr="00C80212" w:rsidRDefault="00D05001" w:rsidP="002E15A0">
            <w:pPr>
              <w:rPr>
                <w:color w:val="000000"/>
              </w:rPr>
            </w:pPr>
            <w:r w:rsidRPr="00C80212">
              <w:rPr>
                <w:color w:val="000000"/>
              </w:rPr>
              <w:t>Phone:  847.864.5677</w:t>
            </w:r>
          </w:p>
          <w:p w:rsidR="002B06C7" w:rsidRPr="00C80212" w:rsidRDefault="00352ED4" w:rsidP="002E15A0">
            <w:pPr>
              <w:rPr>
                <w:color w:val="000000"/>
              </w:rPr>
            </w:pPr>
            <w:hyperlink r:id="rId12" w:history="1">
              <w:r w:rsidR="009F4559" w:rsidRPr="00C80212">
                <w:rPr>
                  <w:rStyle w:val="Hyperlink"/>
                </w:rPr>
                <w:t>alisu@researchsupportservices.com</w:t>
              </w:r>
            </w:hyperlink>
            <w:r w:rsidR="009F4559" w:rsidRPr="00C80212">
              <w:rPr>
                <w:color w:val="000000"/>
              </w:rPr>
              <w:t xml:space="preserve"> </w:t>
            </w:r>
          </w:p>
          <w:p w:rsidR="002B06C7" w:rsidRPr="00C80212" w:rsidRDefault="002B06C7" w:rsidP="002E15A0"/>
        </w:tc>
        <w:tc>
          <w:tcPr>
            <w:tcW w:w="4675" w:type="dxa"/>
          </w:tcPr>
          <w:p w:rsidR="002B06C7" w:rsidRPr="00C80212" w:rsidRDefault="00D95ECA" w:rsidP="002E15A0">
            <w:pPr>
              <w:rPr>
                <w:color w:val="000000"/>
              </w:rPr>
            </w:pPr>
            <w:r w:rsidRPr="00C80212">
              <w:rPr>
                <w:color w:val="000000"/>
              </w:rPr>
              <w:t>Casey Tefaye</w:t>
            </w:r>
            <w:r w:rsidR="00D05001" w:rsidRPr="00C80212">
              <w:rPr>
                <w:color w:val="000000"/>
              </w:rPr>
              <w:t xml:space="preserve">, </w:t>
            </w:r>
            <w:r w:rsidR="002B06C7" w:rsidRPr="00C80212">
              <w:rPr>
                <w:color w:val="000000"/>
              </w:rPr>
              <w:t xml:space="preserve">Project </w:t>
            </w:r>
            <w:r w:rsidR="003456FB" w:rsidRPr="00C80212">
              <w:rPr>
                <w:color w:val="000000"/>
              </w:rPr>
              <w:t>Manager</w:t>
            </w:r>
          </w:p>
          <w:p w:rsidR="002B06C7" w:rsidRPr="00C80212" w:rsidRDefault="002B06C7" w:rsidP="002E15A0">
            <w:pPr>
              <w:rPr>
                <w:color w:val="000000"/>
              </w:rPr>
            </w:pPr>
            <w:r w:rsidRPr="00C80212">
              <w:rPr>
                <w:color w:val="000000"/>
              </w:rPr>
              <w:t xml:space="preserve">Research Support Services, </w:t>
            </w:r>
            <w:r w:rsidR="00C62F1A" w:rsidRPr="00C80212">
              <w:rPr>
                <w:color w:val="000000"/>
              </w:rPr>
              <w:t>Inc.</w:t>
            </w:r>
          </w:p>
          <w:p w:rsidR="00D05001" w:rsidRPr="00C80212" w:rsidRDefault="00D05001" w:rsidP="00D05001">
            <w:pPr>
              <w:rPr>
                <w:color w:val="000000"/>
              </w:rPr>
            </w:pPr>
            <w:r w:rsidRPr="00C80212">
              <w:rPr>
                <w:color w:val="000000"/>
              </w:rPr>
              <w:t>Address: 906 Ridge Ave. Evanston, IL 60202-1720</w:t>
            </w:r>
          </w:p>
          <w:p w:rsidR="00D05001" w:rsidRPr="00C80212" w:rsidRDefault="00D05001" w:rsidP="00D05001">
            <w:pPr>
              <w:rPr>
                <w:color w:val="000000"/>
              </w:rPr>
            </w:pPr>
            <w:r w:rsidRPr="00C80212">
              <w:rPr>
                <w:color w:val="000000"/>
              </w:rPr>
              <w:t>Phone:  847.864.5677</w:t>
            </w:r>
          </w:p>
          <w:p w:rsidR="002B06C7" w:rsidRPr="00C80212" w:rsidRDefault="00352ED4" w:rsidP="00D95ECA">
            <w:hyperlink r:id="rId13" w:history="1">
              <w:r w:rsidR="00D95ECA" w:rsidRPr="00C80212">
                <w:rPr>
                  <w:rStyle w:val="Hyperlink"/>
                </w:rPr>
                <w:t>casey@researchsupportservices.com</w:t>
              </w:r>
            </w:hyperlink>
            <w:r w:rsidR="009F4559" w:rsidRPr="00C80212">
              <w:rPr>
                <w:color w:val="000000"/>
              </w:rPr>
              <w:t xml:space="preserve"> </w:t>
            </w:r>
          </w:p>
        </w:tc>
      </w:tr>
      <w:tr w:rsidR="002B06C7" w:rsidRPr="00C80212" w:rsidTr="002B06C7">
        <w:tc>
          <w:tcPr>
            <w:tcW w:w="4675" w:type="dxa"/>
          </w:tcPr>
          <w:p w:rsidR="000E760D" w:rsidRPr="00C80212" w:rsidRDefault="000E760D" w:rsidP="000E760D">
            <w:pPr>
              <w:rPr>
                <w:color w:val="000000"/>
              </w:rPr>
            </w:pPr>
            <w:r w:rsidRPr="00C80212">
              <w:rPr>
                <w:color w:val="000000"/>
              </w:rPr>
              <w:t xml:space="preserve">Paula Frew, </w:t>
            </w:r>
            <w:r w:rsidR="006E71D5">
              <w:rPr>
                <w:color w:val="000000"/>
              </w:rPr>
              <w:t>Team Lead</w:t>
            </w:r>
            <w:r w:rsidRPr="00C80212">
              <w:rPr>
                <w:color w:val="000000"/>
              </w:rPr>
              <w:t xml:space="preserve"> </w:t>
            </w:r>
          </w:p>
          <w:p w:rsidR="000E760D" w:rsidRPr="00C80212" w:rsidRDefault="000E760D" w:rsidP="000E760D">
            <w:pPr>
              <w:rPr>
                <w:color w:val="000000"/>
              </w:rPr>
            </w:pPr>
            <w:r w:rsidRPr="00C80212">
              <w:t>Emory University’s Rollins School of Public Health</w:t>
            </w:r>
          </w:p>
          <w:p w:rsidR="000E760D" w:rsidRPr="00C80212" w:rsidRDefault="000E760D" w:rsidP="000E760D">
            <w:pPr>
              <w:rPr>
                <w:color w:val="000000"/>
              </w:rPr>
            </w:pPr>
            <w:r w:rsidRPr="00C80212">
              <w:rPr>
                <w:color w:val="000000"/>
              </w:rPr>
              <w:t>Address:</w:t>
            </w:r>
            <w:r w:rsidRPr="00C80212">
              <w:t xml:space="preserve"> </w:t>
            </w:r>
            <w:r w:rsidRPr="00C80212">
              <w:rPr>
                <w:color w:val="000000"/>
              </w:rPr>
              <w:t>1518 Clifton Rd, Atlanta, GA 30322</w:t>
            </w:r>
          </w:p>
          <w:p w:rsidR="000E760D" w:rsidRPr="00C80212" w:rsidRDefault="000E760D" w:rsidP="000E760D">
            <w:pPr>
              <w:rPr>
                <w:color w:val="000000"/>
              </w:rPr>
            </w:pPr>
            <w:r w:rsidRPr="00C80212">
              <w:rPr>
                <w:color w:val="000000"/>
              </w:rPr>
              <w:t>Phone: 404-712-8546</w:t>
            </w:r>
          </w:p>
          <w:p w:rsidR="002B06C7" w:rsidRPr="00C80212" w:rsidRDefault="00352ED4" w:rsidP="000E760D">
            <w:hyperlink r:id="rId14" w:history="1">
              <w:r w:rsidR="000E760D" w:rsidRPr="00C80212">
                <w:rPr>
                  <w:rStyle w:val="Hyperlink"/>
                </w:rPr>
                <w:t>pfrew@emory.edu</w:t>
              </w:r>
            </w:hyperlink>
          </w:p>
        </w:tc>
        <w:tc>
          <w:tcPr>
            <w:tcW w:w="4675" w:type="dxa"/>
          </w:tcPr>
          <w:p w:rsidR="002B06C7" w:rsidRPr="00C80212" w:rsidRDefault="00D05001" w:rsidP="002E15A0">
            <w:pPr>
              <w:rPr>
                <w:color w:val="000000"/>
              </w:rPr>
            </w:pPr>
            <w:r w:rsidRPr="00C80212">
              <w:rPr>
                <w:color w:val="000000"/>
              </w:rPr>
              <w:t xml:space="preserve">Elizabeth Gall, </w:t>
            </w:r>
            <w:r w:rsidR="002B06C7" w:rsidRPr="00C80212">
              <w:rPr>
                <w:color w:val="000000"/>
              </w:rPr>
              <w:t>Data Analyst</w:t>
            </w:r>
          </w:p>
          <w:p w:rsidR="002B06C7" w:rsidRPr="00C80212" w:rsidRDefault="00E05147" w:rsidP="002E15A0">
            <w:pPr>
              <w:rPr>
                <w:color w:val="000000"/>
              </w:rPr>
            </w:pPr>
            <w:r w:rsidRPr="00C80212">
              <w:rPr>
                <w:color w:val="000000"/>
              </w:rPr>
              <w:t>I</w:t>
            </w:r>
            <w:r w:rsidR="00D05001" w:rsidRPr="00C80212">
              <w:rPr>
                <w:color w:val="000000"/>
              </w:rPr>
              <w:t>MPAQ</w:t>
            </w:r>
            <w:r w:rsidRPr="00C80212">
              <w:rPr>
                <w:color w:val="000000"/>
              </w:rPr>
              <w:t xml:space="preserve"> International </w:t>
            </w:r>
          </w:p>
          <w:p w:rsidR="00D05001" w:rsidRPr="00C80212" w:rsidRDefault="002B06C7" w:rsidP="00D05001">
            <w:pPr>
              <w:rPr>
                <w:color w:val="000000"/>
              </w:rPr>
            </w:pPr>
            <w:r w:rsidRPr="00C80212">
              <w:rPr>
                <w:color w:val="000000"/>
              </w:rPr>
              <w:t>Address</w:t>
            </w:r>
            <w:r w:rsidR="00D05001" w:rsidRPr="00C80212">
              <w:rPr>
                <w:color w:val="000000"/>
              </w:rPr>
              <w:t>:</w:t>
            </w:r>
            <w:r w:rsidR="00D05001" w:rsidRPr="00C80212">
              <w:t xml:space="preserve"> </w:t>
            </w:r>
            <w:r w:rsidR="00D05001" w:rsidRPr="00C80212">
              <w:rPr>
                <w:color w:val="000000"/>
              </w:rPr>
              <w:t>10420 Little Patuxent Parkway</w:t>
            </w:r>
          </w:p>
          <w:p w:rsidR="00D05001" w:rsidRPr="00C80212" w:rsidRDefault="00D05001" w:rsidP="00D05001">
            <w:pPr>
              <w:rPr>
                <w:color w:val="000000"/>
              </w:rPr>
            </w:pPr>
            <w:r w:rsidRPr="00C80212">
              <w:rPr>
                <w:color w:val="000000"/>
              </w:rPr>
              <w:t>Suite 300</w:t>
            </w:r>
          </w:p>
          <w:p w:rsidR="002B06C7" w:rsidRPr="00C80212" w:rsidRDefault="00D05001" w:rsidP="00D05001">
            <w:pPr>
              <w:rPr>
                <w:color w:val="000000"/>
              </w:rPr>
            </w:pPr>
            <w:r w:rsidRPr="00C80212">
              <w:rPr>
                <w:color w:val="000000"/>
              </w:rPr>
              <w:t>Columbia, MD 21044</w:t>
            </w:r>
          </w:p>
          <w:p w:rsidR="002B06C7" w:rsidRPr="00C80212" w:rsidRDefault="00D05001" w:rsidP="002B06C7">
            <w:pPr>
              <w:rPr>
                <w:color w:val="000000"/>
              </w:rPr>
            </w:pPr>
            <w:r w:rsidRPr="00C80212">
              <w:rPr>
                <w:color w:val="000000"/>
              </w:rPr>
              <w:t>Phone: 443-259-5216</w:t>
            </w:r>
          </w:p>
          <w:p w:rsidR="002B06C7" w:rsidRPr="00C80212" w:rsidRDefault="00352ED4" w:rsidP="002E15A0">
            <w:hyperlink r:id="rId15" w:history="1">
              <w:r w:rsidR="009F4559" w:rsidRPr="00C80212">
                <w:rPr>
                  <w:rStyle w:val="Hyperlink"/>
                </w:rPr>
                <w:t>egall@impaqint.com</w:t>
              </w:r>
            </w:hyperlink>
            <w:r w:rsidR="009F4559" w:rsidRPr="00C80212">
              <w:rPr>
                <w:color w:val="000000"/>
              </w:rPr>
              <w:t xml:space="preserve"> </w:t>
            </w:r>
          </w:p>
        </w:tc>
      </w:tr>
      <w:tr w:rsidR="002B06C7" w:rsidRPr="00C80212" w:rsidTr="002B06C7">
        <w:tc>
          <w:tcPr>
            <w:tcW w:w="4675" w:type="dxa"/>
          </w:tcPr>
          <w:p w:rsidR="000E760D" w:rsidRPr="00C80212" w:rsidRDefault="00115696" w:rsidP="000E760D">
            <w:pPr>
              <w:rPr>
                <w:color w:val="000000"/>
              </w:rPr>
            </w:pPr>
            <w:r w:rsidRPr="00C80212">
              <w:rPr>
                <w:color w:val="000000"/>
              </w:rPr>
              <w:t>Valerie Betley</w:t>
            </w:r>
            <w:r w:rsidR="000E760D" w:rsidRPr="00C80212">
              <w:rPr>
                <w:color w:val="000000"/>
              </w:rPr>
              <w:t>, Data Analyst</w:t>
            </w:r>
          </w:p>
          <w:p w:rsidR="000E760D" w:rsidRPr="00C80212" w:rsidRDefault="000E760D" w:rsidP="000E760D">
            <w:pPr>
              <w:rPr>
                <w:color w:val="000000"/>
              </w:rPr>
            </w:pPr>
            <w:r w:rsidRPr="00C80212">
              <w:rPr>
                <w:color w:val="000000"/>
              </w:rPr>
              <w:t xml:space="preserve">IMPAQ International </w:t>
            </w:r>
          </w:p>
          <w:p w:rsidR="000E760D" w:rsidRPr="00C80212" w:rsidRDefault="000E760D" w:rsidP="000E760D">
            <w:pPr>
              <w:rPr>
                <w:color w:val="000000"/>
              </w:rPr>
            </w:pPr>
            <w:r w:rsidRPr="00C80212">
              <w:rPr>
                <w:color w:val="000000"/>
              </w:rPr>
              <w:t>Address: 10420 Little Patuxent Parkway</w:t>
            </w:r>
          </w:p>
          <w:p w:rsidR="000E760D" w:rsidRPr="00C80212" w:rsidRDefault="000E760D" w:rsidP="000E760D">
            <w:pPr>
              <w:rPr>
                <w:color w:val="000000"/>
              </w:rPr>
            </w:pPr>
            <w:r w:rsidRPr="00C80212">
              <w:rPr>
                <w:color w:val="000000"/>
              </w:rPr>
              <w:t>Suite 300</w:t>
            </w:r>
          </w:p>
          <w:p w:rsidR="000E760D" w:rsidRPr="00C80212" w:rsidRDefault="000E760D" w:rsidP="000E760D">
            <w:pPr>
              <w:rPr>
                <w:color w:val="000000"/>
              </w:rPr>
            </w:pPr>
            <w:r w:rsidRPr="00C80212">
              <w:rPr>
                <w:color w:val="000000"/>
              </w:rPr>
              <w:t>Columbia, MD 21044</w:t>
            </w:r>
          </w:p>
          <w:p w:rsidR="000E760D" w:rsidRPr="00C80212" w:rsidRDefault="000E760D" w:rsidP="000E760D">
            <w:pPr>
              <w:rPr>
                <w:color w:val="000000"/>
              </w:rPr>
            </w:pPr>
            <w:r w:rsidRPr="00C80212">
              <w:rPr>
                <w:color w:val="000000"/>
              </w:rPr>
              <w:t xml:space="preserve">Phone: </w:t>
            </w:r>
            <w:r w:rsidR="00115696" w:rsidRPr="00C80212">
              <w:rPr>
                <w:color w:val="000000"/>
              </w:rPr>
              <w:t>443-259-5196</w:t>
            </w:r>
          </w:p>
          <w:p w:rsidR="002B06C7" w:rsidRPr="00C80212" w:rsidRDefault="00115696">
            <w:r w:rsidRPr="00C80212">
              <w:t>vbetley</w:t>
            </w:r>
            <w:hyperlink r:id="rId16" w:history="1">
              <w:r w:rsidR="000E760D" w:rsidRPr="00C80212">
                <w:rPr>
                  <w:rStyle w:val="Hyperlink"/>
                </w:rPr>
                <w:t>@impaqint.com</w:t>
              </w:r>
            </w:hyperlink>
          </w:p>
        </w:tc>
        <w:tc>
          <w:tcPr>
            <w:tcW w:w="4675" w:type="dxa"/>
          </w:tcPr>
          <w:p w:rsidR="002B06C7" w:rsidRPr="00C80212" w:rsidRDefault="002B06C7" w:rsidP="000E760D"/>
        </w:tc>
      </w:tr>
    </w:tbl>
    <w:p w:rsidR="001123C3" w:rsidRPr="00C80212" w:rsidRDefault="001123C3" w:rsidP="002E15A0"/>
    <w:p w:rsidR="00133B17" w:rsidRPr="00603813" w:rsidRDefault="00A53E92" w:rsidP="002E15A0">
      <w:pPr>
        <w:pStyle w:val="Heading2"/>
        <w:spacing w:before="0" w:after="0"/>
        <w:contextualSpacing/>
        <w:rPr>
          <w:rFonts w:ascii="Times New Roman" w:hAnsi="Times New Roman" w:cs="Times New Roman"/>
          <w:bCs w:val="0"/>
          <w:i w:val="0"/>
          <w:sz w:val="24"/>
          <w:szCs w:val="24"/>
        </w:rPr>
      </w:pPr>
      <w:bookmarkStart w:id="25" w:name="_Toc306891242"/>
      <w:bookmarkStart w:id="26" w:name="_Toc485906217"/>
      <w:bookmarkStart w:id="27" w:name="_Toc235958543"/>
      <w:bookmarkEnd w:id="22"/>
      <w:r w:rsidRPr="00C80212">
        <w:rPr>
          <w:rFonts w:ascii="Times New Roman" w:hAnsi="Times New Roman" w:cs="Times New Roman"/>
          <w:bCs w:val="0"/>
          <w:i w:val="0"/>
          <w:sz w:val="24"/>
          <w:szCs w:val="24"/>
        </w:rPr>
        <w:t xml:space="preserve">9. </w:t>
      </w:r>
      <w:bookmarkEnd w:id="25"/>
      <w:r w:rsidR="009559DE" w:rsidRPr="00C80212">
        <w:rPr>
          <w:rFonts w:ascii="Times New Roman" w:hAnsi="Times New Roman" w:cs="Times New Roman"/>
          <w:bCs w:val="0"/>
          <w:i w:val="0"/>
          <w:sz w:val="24"/>
          <w:szCs w:val="24"/>
        </w:rPr>
        <w:t>Explanation</w:t>
      </w:r>
      <w:r w:rsidR="009559DE">
        <w:rPr>
          <w:rFonts w:ascii="Times New Roman" w:hAnsi="Times New Roman" w:cs="Times New Roman"/>
          <w:bCs w:val="0"/>
          <w:i w:val="0"/>
          <w:sz w:val="24"/>
          <w:szCs w:val="24"/>
        </w:rPr>
        <w:t xml:space="preserve"> of any Payment or Gift to Respondents</w:t>
      </w:r>
      <w:bookmarkEnd w:id="26"/>
    </w:p>
    <w:p w:rsidR="00E30B2F" w:rsidRPr="00603813" w:rsidRDefault="00E30B2F" w:rsidP="002E15A0"/>
    <w:p w:rsidR="00C95B55" w:rsidRDefault="006437A5" w:rsidP="002E15A0">
      <w:r w:rsidRPr="00603813">
        <w:t xml:space="preserve">We will provide </w:t>
      </w:r>
      <w:r w:rsidR="00F67F16">
        <w:t>MSM</w:t>
      </w:r>
      <w:r w:rsidR="0027589F" w:rsidRPr="00603813">
        <w:t xml:space="preserve"> who participate with </w:t>
      </w:r>
      <w:r w:rsidR="002834A3" w:rsidRPr="00603813">
        <w:t>a</w:t>
      </w:r>
      <w:r w:rsidR="00431216" w:rsidRPr="00603813">
        <w:t xml:space="preserve"> token of appreciation</w:t>
      </w:r>
      <w:r w:rsidR="002834A3" w:rsidRPr="00603813">
        <w:t xml:space="preserve"> </w:t>
      </w:r>
      <w:r w:rsidR="00F35203" w:rsidRPr="00603813">
        <w:t>to encourage their participation, and convey appreciation for contributing to this important study</w:t>
      </w:r>
      <w:r w:rsidR="003D2288">
        <w:t>.</w:t>
      </w:r>
      <w:r w:rsidR="00D95ECA">
        <w:t xml:space="preserve"> Depending on the activities they participate in, the tokens will be in </w:t>
      </w:r>
      <w:r w:rsidR="00193610">
        <w:t>cash</w:t>
      </w:r>
      <w:r w:rsidR="00D95ECA">
        <w:t xml:space="preserve"> as follows</w:t>
      </w:r>
      <w:r w:rsidR="00C95B55">
        <w:t>:</w:t>
      </w:r>
    </w:p>
    <w:p w:rsidR="00C95B55" w:rsidRDefault="00C95B55" w:rsidP="002E15A0"/>
    <w:p w:rsidR="00C95B55" w:rsidRDefault="00865FFE" w:rsidP="002E15A0">
      <w:r>
        <w:t>In-depth</w:t>
      </w:r>
      <w:r w:rsidR="00C95B55">
        <w:t xml:space="preserve"> interview </w:t>
      </w:r>
      <w:r w:rsidR="00533530">
        <w:t>and behavioral assessment</w:t>
      </w:r>
      <w:r w:rsidR="006244C7">
        <w:t xml:space="preserve"> </w:t>
      </w:r>
      <w:r w:rsidR="00C95B55">
        <w:t>= $</w:t>
      </w:r>
      <w:r w:rsidR="006244C7">
        <w:t>6</w:t>
      </w:r>
      <w:r w:rsidR="00C95B55">
        <w:t>0</w:t>
      </w:r>
      <w:r w:rsidR="00193610">
        <w:t xml:space="preserve"> token</w:t>
      </w:r>
      <w:r w:rsidR="00C95B55">
        <w:t xml:space="preserve"> </w:t>
      </w:r>
    </w:p>
    <w:p w:rsidR="00C95B55" w:rsidRDefault="00C95B55" w:rsidP="002E15A0">
      <w:r>
        <w:t>Focus group</w:t>
      </w:r>
      <w:r w:rsidR="006244C7">
        <w:t xml:space="preserve"> </w:t>
      </w:r>
      <w:r w:rsidR="00533530">
        <w:t>and behavioral assessment</w:t>
      </w:r>
      <w:r>
        <w:t xml:space="preserve"> = $</w:t>
      </w:r>
      <w:r w:rsidR="006244C7">
        <w:t>7</w:t>
      </w:r>
      <w:r>
        <w:t>5</w:t>
      </w:r>
      <w:r w:rsidR="00237BBB">
        <w:t xml:space="preserve"> </w:t>
      </w:r>
      <w:r w:rsidR="00193610">
        <w:t>token</w:t>
      </w:r>
    </w:p>
    <w:p w:rsidR="00C95B55" w:rsidRDefault="00C95B55" w:rsidP="002E15A0">
      <w:r>
        <w:t xml:space="preserve">Behavioral assessment </w:t>
      </w:r>
      <w:r w:rsidR="00B852A4">
        <w:t xml:space="preserve">only </w:t>
      </w:r>
      <w:r>
        <w:t>= $20</w:t>
      </w:r>
      <w:r w:rsidR="00237BBB">
        <w:t xml:space="preserve"> </w:t>
      </w:r>
      <w:r w:rsidR="00193610">
        <w:t>token</w:t>
      </w:r>
    </w:p>
    <w:p w:rsidR="00C95B55" w:rsidRDefault="00C95B55" w:rsidP="002E15A0"/>
    <w:p w:rsidR="00B86BFE" w:rsidRDefault="00D95ECA" w:rsidP="00B86BFE">
      <w:r>
        <w:t xml:space="preserve">The minimum a </w:t>
      </w:r>
      <w:r w:rsidR="00736876">
        <w:t>respondent</w:t>
      </w:r>
      <w:r>
        <w:t xml:space="preserve"> can receive is $20 for about 30 minutes of activity and the maximum $75 for 90 – 120 minutes of activity. </w:t>
      </w:r>
      <w:r w:rsidR="0022364B" w:rsidRPr="00603813">
        <w:rPr>
          <w:bCs/>
          <w:iCs/>
        </w:rPr>
        <w:t>Although there has been some debate on the necessity of offering tokens of appreciation, numerous</w:t>
      </w:r>
      <w:r w:rsidR="00D43200" w:rsidRPr="00603813">
        <w:t xml:space="preserve"> studies have shown that </w:t>
      </w:r>
      <w:r w:rsidR="00431216" w:rsidRPr="00603813">
        <w:t>tokens of appreciation</w:t>
      </w:r>
      <w:r w:rsidR="00D43200" w:rsidRPr="00603813">
        <w:t xml:space="preserve"> can significantly increase response rates</w:t>
      </w:r>
      <w:r w:rsidR="0022364B" w:rsidRPr="00603813">
        <w:rPr>
          <w:bCs/>
          <w:iCs/>
        </w:rPr>
        <w:t xml:space="preserve"> and the use of tokens of appreciation is expected to enhance survey response rates without biasing responses</w:t>
      </w:r>
      <w:r w:rsidR="00D652D5">
        <w:rPr>
          <w:bCs/>
          <w:iCs/>
        </w:rPr>
        <w:t>.</w:t>
      </w:r>
      <w:r w:rsidR="00C57E51">
        <w:rPr>
          <w:vertAlign w:val="superscript"/>
        </w:rPr>
        <w:t>1</w:t>
      </w:r>
      <w:r w:rsidR="003621BB">
        <w:rPr>
          <w:vertAlign w:val="superscript"/>
        </w:rPr>
        <w:t>3</w:t>
      </w:r>
      <w:r w:rsidR="00C57E51">
        <w:rPr>
          <w:vertAlign w:val="superscript"/>
        </w:rPr>
        <w:t>,1</w:t>
      </w:r>
      <w:r w:rsidR="003621BB">
        <w:rPr>
          <w:vertAlign w:val="superscript"/>
        </w:rPr>
        <w:t>4</w:t>
      </w:r>
      <w:r w:rsidR="000623A9">
        <w:rPr>
          <w:bCs/>
          <w:iCs/>
        </w:rPr>
        <w:t xml:space="preserve"> I</w:t>
      </w:r>
      <w:r w:rsidR="000623A9" w:rsidRPr="00603813">
        <w:rPr>
          <w:bCs/>
          <w:iCs/>
        </w:rPr>
        <w:t xml:space="preserve">n addition, HIV has a stigma that other health issues do not, which makes it difficult to recruit </w:t>
      </w:r>
      <w:r w:rsidR="000623A9">
        <w:rPr>
          <w:bCs/>
          <w:iCs/>
        </w:rPr>
        <w:t>respondent</w:t>
      </w:r>
      <w:r w:rsidR="000623A9" w:rsidRPr="00603813">
        <w:rPr>
          <w:bCs/>
          <w:iCs/>
        </w:rPr>
        <w:t xml:space="preserve">s for research when compared to other diseases, (e.g. cancer, diabetes, obesity). </w:t>
      </w:r>
      <w:r w:rsidR="005643E5">
        <w:rPr>
          <w:bCs/>
          <w:iCs/>
        </w:rPr>
        <w:t>In o</w:t>
      </w:r>
      <w:r w:rsidR="000623A9" w:rsidRPr="00603813">
        <w:rPr>
          <w:bCs/>
          <w:iCs/>
        </w:rPr>
        <w:t xml:space="preserve">ne study on research </w:t>
      </w:r>
      <w:r w:rsidR="000623A9">
        <w:rPr>
          <w:bCs/>
          <w:iCs/>
        </w:rPr>
        <w:t>respondent</w:t>
      </w:r>
      <w:r w:rsidR="000623A9" w:rsidRPr="00603813">
        <w:rPr>
          <w:bCs/>
          <w:iCs/>
        </w:rPr>
        <w:t xml:space="preserve"> recruitment in Hispanic</w:t>
      </w:r>
      <w:r w:rsidR="000623A9">
        <w:rPr>
          <w:bCs/>
          <w:iCs/>
        </w:rPr>
        <w:t>/Latino</w:t>
      </w:r>
      <w:r w:rsidR="000623A9" w:rsidRPr="00603813">
        <w:rPr>
          <w:bCs/>
          <w:iCs/>
        </w:rPr>
        <w:t xml:space="preserve"> communities, researchers noted that the stigma related to HIV/AIDS is a major barrier in subject recruitment for HIV/AIDS behavioral research</w:t>
      </w:r>
      <w:r w:rsidR="000623A9">
        <w:rPr>
          <w:bCs/>
          <w:iCs/>
        </w:rPr>
        <w:t>.</w:t>
      </w:r>
      <w:r w:rsidR="003621BB">
        <w:rPr>
          <w:bCs/>
          <w:iCs/>
          <w:vertAlign w:val="superscript"/>
        </w:rPr>
        <w:t>15</w:t>
      </w:r>
      <w:r w:rsidR="003621BB">
        <w:rPr>
          <w:bCs/>
          <w:iCs/>
        </w:rPr>
        <w:t xml:space="preserve"> </w:t>
      </w:r>
      <w:r w:rsidR="000623A9">
        <w:rPr>
          <w:bCs/>
          <w:iCs/>
        </w:rPr>
        <w:t>O</w:t>
      </w:r>
      <w:r w:rsidR="000623A9" w:rsidRPr="00603813">
        <w:rPr>
          <w:bCs/>
          <w:iCs/>
        </w:rPr>
        <w:t xml:space="preserve">ffering tokens of appreciation is </w:t>
      </w:r>
      <w:r w:rsidR="000623A9">
        <w:rPr>
          <w:bCs/>
          <w:iCs/>
        </w:rPr>
        <w:t xml:space="preserve">considered </w:t>
      </w:r>
      <w:r w:rsidR="000623A9" w:rsidRPr="00603813">
        <w:rPr>
          <w:bCs/>
          <w:iCs/>
        </w:rPr>
        <w:t>necessary to recruit minorities and historically underrepresented groups in research</w:t>
      </w:r>
      <w:r w:rsidR="000623A9">
        <w:rPr>
          <w:bCs/>
          <w:iCs/>
        </w:rPr>
        <w:t xml:space="preserve"> studies</w:t>
      </w:r>
      <w:r w:rsidR="000623A9" w:rsidRPr="00603813">
        <w:rPr>
          <w:bCs/>
          <w:iCs/>
        </w:rPr>
        <w:t>. Barriers related to recruit</w:t>
      </w:r>
      <w:r w:rsidR="000623A9">
        <w:rPr>
          <w:bCs/>
          <w:iCs/>
        </w:rPr>
        <w:t>ing</w:t>
      </w:r>
      <w:r w:rsidR="000623A9" w:rsidRPr="00603813">
        <w:rPr>
          <w:bCs/>
          <w:iCs/>
        </w:rPr>
        <w:t xml:space="preserve"> minorities include (1) lack of trust among minority communities towards the medical research process and research</w:t>
      </w:r>
      <w:r w:rsidR="000623A9">
        <w:rPr>
          <w:bCs/>
          <w:iCs/>
        </w:rPr>
        <w:t>,</w:t>
      </w:r>
      <w:r w:rsidR="003621BB">
        <w:rPr>
          <w:bCs/>
          <w:iCs/>
          <w:vertAlign w:val="superscript"/>
        </w:rPr>
        <w:t>16</w:t>
      </w:r>
      <w:r w:rsidR="003621BB" w:rsidRPr="00603813">
        <w:rPr>
          <w:bCs/>
          <w:iCs/>
        </w:rPr>
        <w:t xml:space="preserve"> </w:t>
      </w:r>
      <w:r w:rsidR="000623A9" w:rsidRPr="00603813">
        <w:rPr>
          <w:bCs/>
          <w:iCs/>
        </w:rPr>
        <w:t xml:space="preserve">(2) a lack of competence among researchers to use culturally </w:t>
      </w:r>
      <w:r w:rsidR="000623A9">
        <w:rPr>
          <w:bCs/>
          <w:iCs/>
        </w:rPr>
        <w:t>appropriate</w:t>
      </w:r>
      <w:r w:rsidR="000623A9" w:rsidRPr="00603813">
        <w:rPr>
          <w:bCs/>
          <w:iCs/>
        </w:rPr>
        <w:t xml:space="preserve"> approaches for recruitment</w:t>
      </w:r>
      <w:r w:rsidR="000623A9">
        <w:rPr>
          <w:bCs/>
          <w:iCs/>
        </w:rPr>
        <w:t>,</w:t>
      </w:r>
      <w:r w:rsidR="003621BB">
        <w:rPr>
          <w:bCs/>
          <w:iCs/>
          <w:vertAlign w:val="superscript"/>
        </w:rPr>
        <w:t>17</w:t>
      </w:r>
      <w:r w:rsidR="003621BB">
        <w:rPr>
          <w:bCs/>
          <w:iCs/>
        </w:rPr>
        <w:t xml:space="preserve"> </w:t>
      </w:r>
      <w:r w:rsidR="000623A9">
        <w:rPr>
          <w:bCs/>
          <w:iCs/>
        </w:rPr>
        <w:t>and</w:t>
      </w:r>
      <w:r w:rsidR="000623A9" w:rsidRPr="00603813">
        <w:rPr>
          <w:bCs/>
          <w:iCs/>
        </w:rPr>
        <w:t xml:space="preserve"> (3) reluctance to participate due to inconvenience and a lack of time.</w:t>
      </w:r>
      <w:r w:rsidR="003621BB">
        <w:rPr>
          <w:bCs/>
          <w:iCs/>
          <w:vertAlign w:val="superscript"/>
        </w:rPr>
        <w:t>18</w:t>
      </w:r>
      <w:r w:rsidR="003621BB" w:rsidRPr="00603813">
        <w:rPr>
          <w:bCs/>
          <w:iCs/>
        </w:rPr>
        <w:t xml:space="preserve"> </w:t>
      </w:r>
      <w:r w:rsidR="000623A9" w:rsidRPr="00603813">
        <w:rPr>
          <w:bCs/>
          <w:iCs/>
        </w:rPr>
        <w:t xml:space="preserve">In a recent study </w:t>
      </w:r>
      <w:r w:rsidR="00CD0B7A">
        <w:rPr>
          <w:bCs/>
          <w:iCs/>
        </w:rPr>
        <w:t xml:space="preserve">of community based organizations (CBO) providing HIV prevention interventions to </w:t>
      </w:r>
      <w:r w:rsidR="000623A9">
        <w:rPr>
          <w:bCs/>
          <w:iCs/>
        </w:rPr>
        <w:t>b</w:t>
      </w:r>
      <w:r w:rsidR="000623A9" w:rsidRPr="00603813">
        <w:rPr>
          <w:bCs/>
          <w:iCs/>
        </w:rPr>
        <w:t>lack</w:t>
      </w:r>
      <w:r w:rsidR="000623A9">
        <w:rPr>
          <w:bCs/>
          <w:iCs/>
        </w:rPr>
        <w:t>/African American</w:t>
      </w:r>
      <w:r w:rsidR="000623A9" w:rsidRPr="00603813">
        <w:rPr>
          <w:bCs/>
          <w:iCs/>
        </w:rPr>
        <w:t xml:space="preserve"> men who </w:t>
      </w:r>
      <w:r w:rsidR="000623A9">
        <w:rPr>
          <w:bCs/>
          <w:iCs/>
        </w:rPr>
        <w:t>have sex</w:t>
      </w:r>
      <w:r w:rsidR="000623A9" w:rsidRPr="00603813">
        <w:rPr>
          <w:bCs/>
          <w:iCs/>
        </w:rPr>
        <w:t xml:space="preserve"> with men</w:t>
      </w:r>
      <w:r w:rsidR="000623A9">
        <w:rPr>
          <w:bCs/>
          <w:iCs/>
        </w:rPr>
        <w:t xml:space="preserve"> (BMSM)</w:t>
      </w:r>
      <w:r w:rsidR="000623A9" w:rsidRPr="00603813">
        <w:rPr>
          <w:bCs/>
          <w:iCs/>
        </w:rPr>
        <w:t>,</w:t>
      </w:r>
      <w:r w:rsidR="000623A9" w:rsidRPr="00603813">
        <w:t xml:space="preserve"> </w:t>
      </w:r>
      <w:r w:rsidR="00CD0B7A">
        <w:t xml:space="preserve">study </w:t>
      </w:r>
      <w:r w:rsidR="000623A9" w:rsidRPr="00603813">
        <w:rPr>
          <w:bCs/>
          <w:iCs/>
        </w:rPr>
        <w:t xml:space="preserve">recruiters found it difficult to </w:t>
      </w:r>
      <w:r w:rsidR="00CD0B7A">
        <w:rPr>
          <w:bCs/>
          <w:iCs/>
        </w:rPr>
        <w:t xml:space="preserve">meet study sampling goals </w:t>
      </w:r>
      <w:r w:rsidR="000623A9" w:rsidRPr="00603813">
        <w:rPr>
          <w:bCs/>
          <w:iCs/>
        </w:rPr>
        <w:t xml:space="preserve">because many </w:t>
      </w:r>
      <w:r w:rsidR="00CD0B7A">
        <w:rPr>
          <w:bCs/>
          <w:iCs/>
        </w:rPr>
        <w:t xml:space="preserve">of the men </w:t>
      </w:r>
      <w:r w:rsidR="000623A9" w:rsidRPr="00603813">
        <w:rPr>
          <w:bCs/>
          <w:iCs/>
        </w:rPr>
        <w:t xml:space="preserve">were reluctant to provide their names and contact information </w:t>
      </w:r>
      <w:r w:rsidR="00CD0B7A">
        <w:rPr>
          <w:bCs/>
          <w:iCs/>
        </w:rPr>
        <w:t>due to</w:t>
      </w:r>
      <w:r w:rsidR="000623A9" w:rsidRPr="00603813">
        <w:rPr>
          <w:bCs/>
          <w:iCs/>
        </w:rPr>
        <w:t xml:space="preserve"> concerns about being seen giving personal details to an HIV prevention program</w:t>
      </w:r>
      <w:r w:rsidR="000623A9">
        <w:rPr>
          <w:bCs/>
          <w:iCs/>
        </w:rPr>
        <w:t>.</w:t>
      </w:r>
      <w:r w:rsidR="003621BB">
        <w:rPr>
          <w:bCs/>
          <w:iCs/>
          <w:vertAlign w:val="superscript"/>
        </w:rPr>
        <w:t>19</w:t>
      </w:r>
      <w:r w:rsidR="003621BB" w:rsidRPr="00603813">
        <w:rPr>
          <w:bCs/>
          <w:iCs/>
        </w:rPr>
        <w:t xml:space="preserve"> </w:t>
      </w:r>
      <w:r w:rsidR="000623A9" w:rsidRPr="00603813">
        <w:rPr>
          <w:bCs/>
          <w:iCs/>
        </w:rPr>
        <w:t xml:space="preserve">Concern with potential social labeling and HIV-related stigma also may have contributed to </w:t>
      </w:r>
      <w:r w:rsidR="00CD0B7A">
        <w:rPr>
          <w:bCs/>
          <w:iCs/>
        </w:rPr>
        <w:t xml:space="preserve">BMSM’s </w:t>
      </w:r>
      <w:r w:rsidR="000623A9" w:rsidRPr="00603813">
        <w:rPr>
          <w:bCs/>
          <w:iCs/>
        </w:rPr>
        <w:t>hesitation. In th</w:t>
      </w:r>
      <w:r w:rsidR="000623A9">
        <w:rPr>
          <w:bCs/>
          <w:iCs/>
        </w:rPr>
        <w:t>e</w:t>
      </w:r>
      <w:r w:rsidR="000623A9" w:rsidRPr="00603813">
        <w:rPr>
          <w:bCs/>
          <w:iCs/>
        </w:rPr>
        <w:t xml:space="preserve"> study</w:t>
      </w:r>
      <w:r w:rsidR="000623A9">
        <w:rPr>
          <w:bCs/>
          <w:iCs/>
        </w:rPr>
        <w:t xml:space="preserve"> cited</w:t>
      </w:r>
      <w:r w:rsidR="000623A9" w:rsidRPr="00603813">
        <w:rPr>
          <w:bCs/>
          <w:iCs/>
        </w:rPr>
        <w:t>, some agreed to participate in the evaluation because of the token of appreciation offered.</w:t>
      </w:r>
      <w:r w:rsidR="003621BB">
        <w:rPr>
          <w:bCs/>
          <w:iCs/>
          <w:vertAlign w:val="superscript"/>
        </w:rPr>
        <w:t>20</w:t>
      </w:r>
      <w:r w:rsidR="003621BB">
        <w:rPr>
          <w:bCs/>
          <w:iCs/>
        </w:rPr>
        <w:t xml:space="preserve"> </w:t>
      </w:r>
      <w:r w:rsidR="000623A9">
        <w:t>Additionally, a meta-analysis of 95 studies published between January 1999 and April 2005 describing methods of increasing minority persons’ enrollment and retention in research studies found that remuneration enhanced retention among hard</w:t>
      </w:r>
      <w:r w:rsidR="005643E5">
        <w:t>-</w:t>
      </w:r>
      <w:r w:rsidR="000623A9">
        <w:t>to</w:t>
      </w:r>
      <w:r w:rsidR="005643E5">
        <w:t>-</w:t>
      </w:r>
      <w:r w:rsidR="000623A9">
        <w:t>reach populations.</w:t>
      </w:r>
      <w:r w:rsidR="003621BB">
        <w:rPr>
          <w:vertAlign w:val="superscript"/>
        </w:rPr>
        <w:t>21</w:t>
      </w:r>
      <w:r w:rsidR="003621BB">
        <w:t xml:space="preserve"> </w:t>
      </w:r>
      <w:r w:rsidR="00B86BFE">
        <w:t>Based on these scientific research studies, providing remuneration to hard-to-find racial/ethnic minority respondents is critical to achieve acceptable response rates.</w:t>
      </w:r>
    </w:p>
    <w:p w:rsidR="00B86BFE" w:rsidRDefault="00B86BFE" w:rsidP="00B86BFE"/>
    <w:p w:rsidR="000623A9" w:rsidRPr="00497940" w:rsidRDefault="00B86BFE" w:rsidP="00B86BFE">
      <w:pPr>
        <w:rPr>
          <w:vertAlign w:val="superscript"/>
        </w:rPr>
      </w:pPr>
      <w:r>
        <w:t xml:space="preserve">Remuneration has been used in other HIV-related CDC data collection efforts such as </w:t>
      </w:r>
      <w:r w:rsidR="007623BD">
        <w:t>the</w:t>
      </w:r>
      <w:r>
        <w:t xml:space="preserve"> National HIV Behavioral Surveillance (OMB 0920-0770, exp. </w:t>
      </w:r>
      <w:r w:rsidR="007623BD">
        <w:t>3</w:t>
      </w:r>
      <w:r>
        <w:t>/31/201</w:t>
      </w:r>
      <w:r w:rsidR="007623BD">
        <w:t>7</w:t>
      </w:r>
      <w:r>
        <w:t>)</w:t>
      </w:r>
      <w:r w:rsidR="00431560">
        <w:t>,</w:t>
      </w:r>
      <w:r>
        <w:t xml:space="preserve"> </w:t>
      </w:r>
      <w:r w:rsidR="00431560" w:rsidRPr="00431560">
        <w:t>and the Testing Brief Messages for Black and Latino MSM Study (OMB 0920-14SY un</w:t>
      </w:r>
      <w:r w:rsidR="007623BD">
        <w:t>der 0920-0840, exp. 1/31/2019). Both</w:t>
      </w:r>
      <w:r>
        <w:t xml:space="preserve"> ask</w:t>
      </w:r>
      <w:r w:rsidR="00D652D5">
        <w:t>ed</w:t>
      </w:r>
      <w:r>
        <w:t xml:space="preserve"> questions similar to those included in the proposed research</w:t>
      </w:r>
      <w:r w:rsidR="00D652D5">
        <w:t>,</w:t>
      </w:r>
      <w:r>
        <w:t xml:space="preserve"> and have a similar length of time for completing </w:t>
      </w:r>
      <w:r w:rsidR="00057BD6">
        <w:t>participation.</w:t>
      </w:r>
      <w:r>
        <w:t xml:space="preserve"> In these other </w:t>
      </w:r>
      <w:r w:rsidR="005C54ED">
        <w:t>projects,</w:t>
      </w:r>
      <w:r>
        <w:t xml:space="preserve"> tokens of appreciation were used to increase participation rates. Other studies have also found that </w:t>
      </w:r>
      <w:r w:rsidR="00D229FE">
        <w:t>token</w:t>
      </w:r>
      <w:r>
        <w:t>s</w:t>
      </w:r>
      <w:r w:rsidR="00D229FE">
        <w:t xml:space="preserve"> of appreciation</w:t>
      </w:r>
      <w:r>
        <w:t xml:space="preserve"> improve response rates.</w:t>
      </w:r>
      <w:r w:rsidR="003621BB">
        <w:rPr>
          <w:vertAlign w:val="superscript"/>
        </w:rPr>
        <w:t>22</w:t>
      </w:r>
    </w:p>
    <w:p w:rsidR="00E30B2F" w:rsidRPr="00603813" w:rsidRDefault="00E30B2F" w:rsidP="002E15A0"/>
    <w:p w:rsidR="00E1065E" w:rsidRPr="00603813" w:rsidRDefault="00133B17" w:rsidP="00663ACB">
      <w:pPr>
        <w:pStyle w:val="Heading2"/>
        <w:spacing w:before="0" w:after="0"/>
        <w:contextualSpacing/>
      </w:pPr>
      <w:bookmarkStart w:id="28" w:name="_Toc306891243"/>
      <w:bookmarkStart w:id="29" w:name="_Toc235958544"/>
      <w:bookmarkStart w:id="30" w:name="_Toc485906218"/>
      <w:bookmarkEnd w:id="27"/>
      <w:r w:rsidRPr="00603813">
        <w:rPr>
          <w:rFonts w:ascii="Times New Roman" w:hAnsi="Times New Roman" w:cs="Times New Roman"/>
          <w:bCs w:val="0"/>
          <w:i w:val="0"/>
          <w:sz w:val="24"/>
          <w:szCs w:val="24"/>
        </w:rPr>
        <w:t>10.</w:t>
      </w:r>
      <w:r w:rsidRPr="00603813">
        <w:rPr>
          <w:rFonts w:ascii="Times New Roman" w:hAnsi="Times New Roman" w:cs="Times New Roman"/>
          <w:bCs w:val="0"/>
          <w:i w:val="0"/>
          <w:sz w:val="24"/>
          <w:szCs w:val="24"/>
        </w:rPr>
        <w:tab/>
      </w:r>
      <w:r w:rsidR="00B52759" w:rsidRPr="00B52759">
        <w:rPr>
          <w:rFonts w:ascii="Times New Roman" w:hAnsi="Times New Roman" w:cs="Times New Roman"/>
          <w:bCs w:val="0"/>
          <w:i w:val="0"/>
          <w:sz w:val="24"/>
          <w:szCs w:val="24"/>
        </w:rPr>
        <w:t>Protection of the Privacy and Confidentiality of Information Provided by Respondents</w:t>
      </w:r>
      <w:r w:rsidR="00B52759" w:rsidRPr="00B52759" w:rsidDel="00B52759">
        <w:rPr>
          <w:rFonts w:ascii="Times New Roman" w:hAnsi="Times New Roman" w:cs="Times New Roman"/>
          <w:bCs w:val="0"/>
          <w:i w:val="0"/>
          <w:sz w:val="24"/>
          <w:szCs w:val="24"/>
        </w:rPr>
        <w:t xml:space="preserve"> </w:t>
      </w:r>
      <w:bookmarkEnd w:id="28"/>
      <w:bookmarkEnd w:id="29"/>
      <w:bookmarkEnd w:id="30"/>
    </w:p>
    <w:p w:rsidR="0008508B" w:rsidRDefault="0008508B" w:rsidP="00EA2B7B"/>
    <w:p w:rsidR="007C49E8" w:rsidRPr="00510969" w:rsidRDefault="007C49E8" w:rsidP="007C49E8">
      <w:r w:rsidRPr="00EA2F65">
        <w:t xml:space="preserve">The Privacy Officer </w:t>
      </w:r>
      <w:r>
        <w:t xml:space="preserve">for </w:t>
      </w:r>
      <w:r w:rsidRPr="00EA2F65">
        <w:t>CDC</w:t>
      </w:r>
      <w:r>
        <w:t xml:space="preserve">/ATSDR </w:t>
      </w:r>
      <w:r w:rsidRPr="00EA2F65">
        <w:t>has assessed this package for ap</w:t>
      </w:r>
      <w:r>
        <w:t xml:space="preserve">plicability of 5 U.S.C. § 552a </w:t>
      </w:r>
      <w:r w:rsidRPr="00510969">
        <w:t xml:space="preserve">and determined that the Privacy Act does apply to the overall information collection as PII is being collected.  PII is collected </w:t>
      </w:r>
      <w:r>
        <w:t xml:space="preserve">to contact participants for scheduling study activities.  Access to these data is </w:t>
      </w:r>
      <w:r w:rsidRPr="00510969">
        <w:t xml:space="preserve">restricted to specific job tasks and individuals who perform those tasks. Access to PII in study data collected for the purposes of analysis is limited to the study investigators and data manager. However, personally identifiable information (PII) will not be transmitted to the CDC or retrievable by a personal identifier. </w:t>
      </w:r>
    </w:p>
    <w:p w:rsidR="007C49E8" w:rsidRPr="00510969" w:rsidRDefault="007C49E8" w:rsidP="007C49E8"/>
    <w:p w:rsidR="007C49E8" w:rsidRDefault="007C49E8" w:rsidP="007C49E8">
      <w:r w:rsidRPr="00F2401E">
        <w:t>A privacy impact assessment</w:t>
      </w:r>
      <w:r w:rsidR="00735C62">
        <w:t xml:space="preserve"> </w:t>
      </w:r>
      <w:r w:rsidR="004F7B0C">
        <w:t xml:space="preserve">(PIA) </w:t>
      </w:r>
      <w:r w:rsidRPr="00F2401E">
        <w:t>was conducted to ensure the protections</w:t>
      </w:r>
      <w:r w:rsidR="00AE4C3B">
        <w:t xml:space="preserve"> of the collected information</w:t>
      </w:r>
      <w:r w:rsidR="004F7B0C">
        <w:t xml:space="preserve"> (</w:t>
      </w:r>
      <w:r w:rsidR="004F7B0C" w:rsidRPr="00D032A5">
        <w:rPr>
          <w:b/>
        </w:rPr>
        <w:t>Att</w:t>
      </w:r>
      <w:r w:rsidR="00D032A5" w:rsidRPr="00D032A5">
        <w:rPr>
          <w:b/>
        </w:rPr>
        <w:t xml:space="preserve">achment </w:t>
      </w:r>
      <w:r w:rsidR="004F7B0C" w:rsidRPr="00D032A5">
        <w:rPr>
          <w:b/>
        </w:rPr>
        <w:t>8</w:t>
      </w:r>
      <w:r w:rsidR="00D032A5">
        <w:t>)</w:t>
      </w:r>
      <w:r w:rsidRPr="003454FA">
        <w:t>.</w:t>
      </w:r>
      <w:r w:rsidRPr="00F2401E">
        <w:t xml:space="preserve"> This information collection is covered under the Privacy Act system of records notice (SORN) # 09-20-0136, “Epidemiologic Studies and Surveillance of Disease Problems. HHS/CDC”, which enables the Centers for Disease Control and Prevention (CDC) officials to collect information to better understand disease patterns in the United States, develop programs for prevention and control of health problems, and communicate new knowledge to the health community.</w:t>
      </w:r>
    </w:p>
    <w:p w:rsidR="007C49E8" w:rsidRDefault="007C49E8" w:rsidP="007C49E8"/>
    <w:p w:rsidR="007C49E8" w:rsidRDefault="007C49E8" w:rsidP="007C49E8">
      <w:r>
        <w:t xml:space="preserve">The Contractor will be </w:t>
      </w:r>
      <w:r w:rsidRPr="00B80F52">
        <w:t xml:space="preserve">responsible for collecting all data for this study. </w:t>
      </w:r>
      <w:r w:rsidRPr="00603813">
        <w:t xml:space="preserve">To ensure that respondents’ </w:t>
      </w:r>
      <w:r>
        <w:t xml:space="preserve">health information </w:t>
      </w:r>
      <w:r w:rsidRPr="00603813">
        <w:t xml:space="preserve">is protected, we </w:t>
      </w:r>
      <w:r>
        <w:t xml:space="preserve">will </w:t>
      </w:r>
      <w:r w:rsidRPr="00603813">
        <w:t xml:space="preserve">take </w:t>
      </w:r>
      <w:r>
        <w:t xml:space="preserve">the following </w:t>
      </w:r>
      <w:r w:rsidRPr="00603813">
        <w:t>measures to separate personally identifiable information (PII) from study-related data</w:t>
      </w:r>
      <w:r>
        <w:t>:</w:t>
      </w:r>
      <w:r w:rsidRPr="00603813">
        <w:t xml:space="preserve"> </w:t>
      </w:r>
      <w:r>
        <w:t xml:space="preserve">(1) </w:t>
      </w:r>
      <w:r w:rsidRPr="00603813">
        <w:t>all respondents will receive unique identification codes</w:t>
      </w:r>
      <w:r>
        <w:t>,</w:t>
      </w:r>
      <w:r w:rsidRPr="00603813">
        <w:t xml:space="preserve"> which will be stored separately from PII</w:t>
      </w:r>
      <w:r>
        <w:t xml:space="preserve"> on a password protected computer and or locked file cabinet; (2) contact</w:t>
      </w:r>
      <w:r w:rsidRPr="00603813">
        <w:t xml:space="preserve"> information collected for the purposes of recruiting (i.e., name and telephone number) will be collected and stored securely and separately from responses to screening </w:t>
      </w:r>
      <w:r>
        <w:t>and or interview questions; and (3) we</w:t>
      </w:r>
      <w:r w:rsidRPr="00603813">
        <w:t xml:space="preserve"> will train researchers who play a role in data collection and analysis in proper procedures for</w:t>
      </w:r>
      <w:r>
        <w:t xml:space="preserve"> securing project </w:t>
      </w:r>
      <w:r w:rsidRPr="00603813">
        <w:t>data</w:t>
      </w:r>
      <w:r>
        <w:t xml:space="preserve"> and protecting participant confidentiality</w:t>
      </w:r>
      <w:r w:rsidRPr="00603813">
        <w:t xml:space="preserve">. We will inform respondents that their responses will be kept private to the extent permitted by the law. All respondents interviewed will be informed that the information collected will not be attributable directly to the respondent and will only be discussed among members of the </w:t>
      </w:r>
      <w:r>
        <w:t>study</w:t>
      </w:r>
      <w:r w:rsidRPr="00603813">
        <w:t xml:space="preserve"> team. Terms of the CDC contract authorizi</w:t>
      </w:r>
      <w:r w:rsidR="008746A5">
        <w:t>ng data collection require the C</w:t>
      </w:r>
      <w:r w:rsidRPr="00603813">
        <w:t xml:space="preserve">ontractor to maintain the privacy of all information collected. </w:t>
      </w:r>
    </w:p>
    <w:p w:rsidR="007C49E8" w:rsidRDefault="007C49E8" w:rsidP="007C49E8"/>
    <w:p w:rsidR="007C49E8" w:rsidRDefault="007C49E8" w:rsidP="007C49E8">
      <w:r w:rsidRPr="00603813">
        <w:t>Access to all</w:t>
      </w:r>
      <w:r>
        <w:t xml:space="preserve"> data that identify respondents</w:t>
      </w:r>
      <w:r w:rsidRPr="00603813">
        <w:t xml:space="preserve"> </w:t>
      </w:r>
      <w:r>
        <w:t xml:space="preserve">(name, phone number, email) </w:t>
      </w:r>
      <w:r w:rsidRPr="00603813">
        <w:t xml:space="preserve">will be limited to </w:t>
      </w:r>
      <w:r w:rsidR="000E6DEB">
        <w:t>study</w:t>
      </w:r>
      <w:r w:rsidRPr="00603813">
        <w:t xml:space="preserve"> staff </w:t>
      </w:r>
      <w:r>
        <w:t>with</w:t>
      </w:r>
      <w:r w:rsidRPr="00603813">
        <w:t xml:space="preserve"> a data collection role in the project. Such data will be needed only for scheduling interviews with respondents, and will not be used </w:t>
      </w:r>
      <w:r>
        <w:t>for analyses. T</w:t>
      </w:r>
      <w:r w:rsidRPr="00603813">
        <w:t xml:space="preserve">ranscripts </w:t>
      </w:r>
      <w:r>
        <w:t xml:space="preserve">of interviews and focus groups will be stripped of identifiers and </w:t>
      </w:r>
      <w:r w:rsidRPr="00603813">
        <w:t>will be completed on password protected</w:t>
      </w:r>
      <w:r>
        <w:t>,</w:t>
      </w:r>
      <w:r w:rsidRPr="00603813">
        <w:t xml:space="preserve"> standalone (non-networked) computers. Access to the transcript files on these computers will require </w:t>
      </w:r>
      <w:r>
        <w:t xml:space="preserve">a </w:t>
      </w:r>
      <w:r w:rsidRPr="00603813">
        <w:t xml:space="preserve">password, and will only be allowed for </w:t>
      </w:r>
      <w:r w:rsidR="000E6DEB">
        <w:t xml:space="preserve">study </w:t>
      </w:r>
      <w:r w:rsidRPr="00603813">
        <w:t>staff working on this project and with a need to access</w:t>
      </w:r>
      <w:r>
        <w:t>, such as data analysts</w:t>
      </w:r>
      <w:r w:rsidRPr="00603813">
        <w:t>. No PII will be included in the transcription</w:t>
      </w:r>
      <w:r>
        <w:t>s</w:t>
      </w:r>
      <w:r w:rsidRPr="00603813">
        <w:t xml:space="preserve">. If the respondent divulges PII during the interview, the transcriber will convert the PII to bracketed non-PII descriptor information (i.e., [Daughter’s Name]). Although transcripts will </w:t>
      </w:r>
      <w:r w:rsidRPr="00603813">
        <w:rPr>
          <w:i/>
        </w:rPr>
        <w:t>not</w:t>
      </w:r>
      <w:r w:rsidRPr="00603813">
        <w:t xml:space="preserve"> contain PII, all transcripts will be encrypted. No names or identifiers will be used when transcribing the data. </w:t>
      </w:r>
    </w:p>
    <w:p w:rsidR="009A1D0E" w:rsidRPr="00603813" w:rsidRDefault="009A1D0E" w:rsidP="009A1D0E"/>
    <w:p w:rsidR="009A1D0E" w:rsidRPr="00603813" w:rsidRDefault="009A1D0E" w:rsidP="009A1D0E">
      <w:r w:rsidRPr="00603813">
        <w:t xml:space="preserve">In conjunction with the data policy, members of </w:t>
      </w:r>
      <w:r w:rsidR="000E6DEB">
        <w:t>study</w:t>
      </w:r>
      <w:r w:rsidRPr="00603813">
        <w:t xml:space="preserve"> staff are required to: </w:t>
      </w:r>
    </w:p>
    <w:p w:rsidR="009A1D0E" w:rsidRPr="00603813" w:rsidRDefault="009A1D0E" w:rsidP="009A1D0E">
      <w:pPr>
        <w:pStyle w:val="Bullet"/>
        <w:numPr>
          <w:ilvl w:val="0"/>
          <w:numId w:val="18"/>
        </w:numPr>
        <w:spacing w:before="120" w:after="0"/>
        <w:jc w:val="left"/>
      </w:pPr>
      <w:r>
        <w:rPr>
          <w:lang w:val="en-US"/>
        </w:rPr>
        <w:t xml:space="preserve">Ensure project data are secured against </w:t>
      </w:r>
      <w:r w:rsidRPr="00603813">
        <w:t xml:space="preserve">improper disclosure or unauthorized use of information. </w:t>
      </w:r>
    </w:p>
    <w:p w:rsidR="009A1D0E" w:rsidRPr="00603813" w:rsidRDefault="009A1D0E" w:rsidP="009A1D0E">
      <w:pPr>
        <w:pStyle w:val="Bullet"/>
        <w:numPr>
          <w:ilvl w:val="0"/>
          <w:numId w:val="18"/>
        </w:numPr>
        <w:spacing w:before="120" w:after="0"/>
        <w:jc w:val="left"/>
      </w:pPr>
      <w:r w:rsidRPr="00603813">
        <w:t>Access information only on a need-to-know basis when necessary in the performance of assigned duties.</w:t>
      </w:r>
    </w:p>
    <w:p w:rsidR="009A1D0E" w:rsidRPr="00603813" w:rsidRDefault="009A1D0E" w:rsidP="009A1D0E">
      <w:pPr>
        <w:pStyle w:val="Bullet"/>
        <w:numPr>
          <w:ilvl w:val="0"/>
          <w:numId w:val="18"/>
        </w:numPr>
        <w:spacing w:before="120" w:after="0"/>
        <w:jc w:val="left"/>
      </w:pPr>
      <w:r w:rsidRPr="00603813">
        <w:t xml:space="preserve">Notify their supervisor, the Project Director, and the organizational Security Officer if information has either been disclosed to an unauthorized individual, used in an improper manner, or altered in an improper manner. </w:t>
      </w:r>
    </w:p>
    <w:p w:rsidR="009A1D0E" w:rsidRPr="00603813" w:rsidRDefault="009A1D0E" w:rsidP="009A1D0E">
      <w:pPr>
        <w:pStyle w:val="Bullet"/>
        <w:numPr>
          <w:ilvl w:val="0"/>
          <w:numId w:val="18"/>
        </w:numPr>
        <w:spacing w:before="120" w:after="0"/>
        <w:jc w:val="left"/>
      </w:pPr>
      <w:r w:rsidRPr="00603813">
        <w:t>Report immediately to both the Project Director and the organizational Security Officer all contacts and inquiries concerning information from unauthorized staff and non-research team personnel.</w:t>
      </w:r>
    </w:p>
    <w:p w:rsidR="009A1D0E" w:rsidRPr="00603813" w:rsidRDefault="009A1D0E" w:rsidP="009A1D0E"/>
    <w:p w:rsidR="009A1D0E" w:rsidRPr="00603813" w:rsidRDefault="009A1D0E" w:rsidP="009A1D0E">
      <w:r w:rsidRPr="00603813">
        <w:t xml:space="preserve">The security procedures implemented by the </w:t>
      </w:r>
      <w:r w:rsidR="000E6DEB">
        <w:t>study</w:t>
      </w:r>
      <w:r w:rsidRPr="00603813">
        <w:t xml:space="preserve"> staff cover all aspects of data handling for hard copy and electronic data. Transcriptions (stripped of PII) will be stored on encrypted flash drives. Additional information about the security protocols for all materials and transcripts can be found in the</w:t>
      </w:r>
      <w:r>
        <w:t xml:space="preserve"> Data</w:t>
      </w:r>
      <w:r w:rsidRPr="00603813">
        <w:t xml:space="preserve"> Security Plan </w:t>
      </w:r>
      <w:r w:rsidRPr="008D5227">
        <w:t>(</w:t>
      </w:r>
      <w:r w:rsidRPr="008D5227">
        <w:rPr>
          <w:b/>
        </w:rPr>
        <w:t xml:space="preserve">Attachment </w:t>
      </w:r>
      <w:r>
        <w:rPr>
          <w:b/>
        </w:rPr>
        <w:t>7</w:t>
      </w:r>
      <w:r w:rsidRPr="00603813">
        <w:t xml:space="preserve">) submitted with this document. We will investigate immediately if any item is delayed or lost. When not in use, all completed hardcopy documents will be stored in locked file cabinets or locked storage rooms. </w:t>
      </w:r>
      <w:r>
        <w:t>All project related</w:t>
      </w:r>
      <w:r w:rsidRPr="00603813">
        <w:t xml:space="preserve"> documents </w:t>
      </w:r>
      <w:r>
        <w:t xml:space="preserve">and audio recordings </w:t>
      </w:r>
      <w:r w:rsidRPr="00603813">
        <w:t xml:space="preserve">will be destroyed when no longer needed for the project. </w:t>
      </w:r>
    </w:p>
    <w:p w:rsidR="009A1D0E" w:rsidRDefault="009A1D0E" w:rsidP="009A1D0E">
      <w:pPr>
        <w:widowControl w:val="0"/>
        <w:autoSpaceDE w:val="0"/>
        <w:autoSpaceDN w:val="0"/>
        <w:adjustRightInd w:val="0"/>
      </w:pPr>
    </w:p>
    <w:p w:rsidR="009A1D0E" w:rsidRDefault="009A1D0E" w:rsidP="009A1D0E">
      <w:pPr>
        <w:widowControl w:val="0"/>
        <w:autoSpaceDE w:val="0"/>
        <w:autoSpaceDN w:val="0"/>
        <w:adjustRightInd w:val="0"/>
      </w:pPr>
      <w:r>
        <w:t>SurveyGizmo was selected as the data collection platform for the quantitative behavioral assessment because of the anti-hacking measures, firewalls, and constant security scans, the parent company completes on behalf of subscribers. SurveyGizmo automatically encrypts all survey data, and requires unique passwords to access as well as decrypt collected data. Data will be stored on SurveyGizmo servers for 24 hours prior to download. All downloaded data will be eradicated from the SurveyGizmo servers.</w:t>
      </w:r>
    </w:p>
    <w:p w:rsidR="009A1D0E" w:rsidRDefault="009A1D0E" w:rsidP="009A1D0E">
      <w:pPr>
        <w:widowControl w:val="0"/>
        <w:autoSpaceDE w:val="0"/>
        <w:autoSpaceDN w:val="0"/>
        <w:adjustRightInd w:val="0"/>
      </w:pPr>
    </w:p>
    <w:p w:rsidR="009A1D0E" w:rsidRPr="00792A51" w:rsidRDefault="009A1D0E" w:rsidP="009A1D0E">
      <w:pPr>
        <w:pStyle w:val="Heading2"/>
        <w:spacing w:before="0" w:after="0"/>
        <w:contextualSpacing/>
        <w:rPr>
          <w:rFonts w:ascii="Times New Roman" w:eastAsia="Calibri" w:hAnsi="Times New Roman" w:cs="Times New Roman"/>
          <w:sz w:val="24"/>
          <w:szCs w:val="24"/>
        </w:rPr>
      </w:pPr>
      <w:r w:rsidRPr="00792A51">
        <w:rPr>
          <w:rFonts w:ascii="Times New Roman" w:hAnsi="Times New Roman" w:cs="Times New Roman"/>
          <w:b w:val="0"/>
          <w:i w:val="0"/>
          <w:sz w:val="24"/>
          <w:szCs w:val="24"/>
        </w:rPr>
        <w:t xml:space="preserve">The NCHHSTP IT Security Information </w:t>
      </w:r>
      <w:r w:rsidR="007C49E8">
        <w:rPr>
          <w:rFonts w:ascii="Times New Roman" w:hAnsi="Times New Roman" w:cs="Times New Roman"/>
          <w:b w:val="0"/>
          <w:i w:val="0"/>
          <w:sz w:val="24"/>
          <w:szCs w:val="24"/>
        </w:rPr>
        <w:t xml:space="preserve">System Security Officer (ISSO) </w:t>
      </w:r>
      <w:r w:rsidR="00920C93" w:rsidRPr="00792A51">
        <w:rPr>
          <w:rFonts w:ascii="Times New Roman" w:hAnsi="Times New Roman" w:cs="Times New Roman"/>
          <w:b w:val="0"/>
          <w:i w:val="0"/>
          <w:sz w:val="24"/>
          <w:szCs w:val="24"/>
        </w:rPr>
        <w:t>consulted</w:t>
      </w:r>
      <w:r w:rsidRPr="00792A51">
        <w:rPr>
          <w:rFonts w:ascii="Times New Roman" w:hAnsi="Times New Roman" w:cs="Times New Roman"/>
          <w:b w:val="0"/>
          <w:i w:val="0"/>
          <w:sz w:val="24"/>
          <w:szCs w:val="24"/>
        </w:rPr>
        <w:t xml:space="preserve"> on the system security described in this section. Th</w:t>
      </w:r>
      <w:r w:rsidRPr="00792A51">
        <w:rPr>
          <w:rFonts w:ascii="Times New Roman" w:eastAsia="Calibri" w:hAnsi="Times New Roman" w:cs="Times New Roman"/>
          <w:b w:val="0"/>
          <w:i w:val="0"/>
          <w:sz w:val="24"/>
          <w:szCs w:val="24"/>
        </w:rPr>
        <w:t>e data system for this collection reside</w:t>
      </w:r>
      <w:r w:rsidR="000D443A" w:rsidRPr="00792A51">
        <w:rPr>
          <w:rFonts w:ascii="Times New Roman" w:eastAsia="Calibri" w:hAnsi="Times New Roman" w:cs="Times New Roman"/>
          <w:b w:val="0"/>
          <w:i w:val="0"/>
          <w:sz w:val="24"/>
          <w:szCs w:val="24"/>
        </w:rPr>
        <w:t>s</w:t>
      </w:r>
      <w:r w:rsidRPr="00792A51">
        <w:rPr>
          <w:rFonts w:ascii="Times New Roman" w:eastAsia="Calibri" w:hAnsi="Times New Roman" w:cs="Times New Roman"/>
          <w:b w:val="0"/>
          <w:i w:val="0"/>
          <w:sz w:val="24"/>
          <w:szCs w:val="24"/>
        </w:rPr>
        <w:t xml:space="preserve"> with the contractor at an external third party data center and </w:t>
      </w:r>
      <w:r w:rsidR="00920C93" w:rsidRPr="00792A51">
        <w:rPr>
          <w:rFonts w:ascii="Times New Roman" w:eastAsia="Calibri" w:hAnsi="Times New Roman" w:cs="Times New Roman"/>
          <w:b w:val="0"/>
          <w:i w:val="0"/>
          <w:sz w:val="24"/>
          <w:szCs w:val="24"/>
        </w:rPr>
        <w:t>underwent</w:t>
      </w:r>
      <w:r w:rsidRPr="00792A51">
        <w:rPr>
          <w:rFonts w:ascii="Times New Roman" w:eastAsia="Calibri" w:hAnsi="Times New Roman" w:cs="Times New Roman"/>
          <w:b w:val="0"/>
          <w:i w:val="0"/>
          <w:sz w:val="24"/>
          <w:szCs w:val="24"/>
        </w:rPr>
        <w:t xml:space="preserve"> a Privacy Impact Assessment (PIA) during the SA&amp;A process (Enterprise Systems Catalog, IT Record ID: </w:t>
      </w:r>
      <w:r w:rsidR="000D443A" w:rsidRPr="00792A51">
        <w:rPr>
          <w:rFonts w:ascii="Times New Roman" w:eastAsia="Calibri" w:hAnsi="Times New Roman" w:cs="Times New Roman"/>
          <w:b w:val="0"/>
          <w:i w:val="0"/>
          <w:sz w:val="24"/>
          <w:szCs w:val="24"/>
        </w:rPr>
        <w:t>2567</w:t>
      </w:r>
      <w:r w:rsidRPr="00792A51">
        <w:rPr>
          <w:rFonts w:ascii="Times New Roman" w:eastAsia="Calibri" w:hAnsi="Times New Roman" w:cs="Times New Roman"/>
          <w:b w:val="0"/>
          <w:i w:val="0"/>
          <w:sz w:val="24"/>
          <w:szCs w:val="24"/>
        </w:rPr>
        <w:t>)</w:t>
      </w:r>
      <w:r w:rsidRPr="00792A51">
        <w:rPr>
          <w:rFonts w:ascii="Times New Roman" w:eastAsia="Calibri" w:hAnsi="Times New Roman" w:cs="Times New Roman"/>
          <w:sz w:val="24"/>
          <w:szCs w:val="24"/>
        </w:rPr>
        <w:t xml:space="preserve">.  </w:t>
      </w:r>
    </w:p>
    <w:p w:rsidR="0033176F" w:rsidRPr="00603813" w:rsidRDefault="0033176F" w:rsidP="002E15A0">
      <w:pPr>
        <w:widowControl w:val="0"/>
        <w:autoSpaceDE w:val="0"/>
        <w:autoSpaceDN w:val="0"/>
        <w:adjustRightInd w:val="0"/>
      </w:pPr>
    </w:p>
    <w:p w:rsidR="00133B17" w:rsidRPr="00603813" w:rsidRDefault="00133B17" w:rsidP="002E15A0">
      <w:pPr>
        <w:pStyle w:val="Heading2"/>
        <w:spacing w:before="0" w:after="0"/>
        <w:contextualSpacing/>
        <w:rPr>
          <w:rFonts w:ascii="Times New Roman" w:hAnsi="Times New Roman" w:cs="Times New Roman"/>
          <w:bCs w:val="0"/>
          <w:i w:val="0"/>
          <w:sz w:val="24"/>
          <w:szCs w:val="24"/>
        </w:rPr>
      </w:pPr>
      <w:bookmarkStart w:id="31" w:name="_Toc485906219"/>
      <w:bookmarkStart w:id="32" w:name="_Toc306891244"/>
      <w:bookmarkStart w:id="33" w:name="_Toc235958545"/>
      <w:r w:rsidRPr="00603813">
        <w:rPr>
          <w:rFonts w:ascii="Times New Roman" w:hAnsi="Times New Roman" w:cs="Times New Roman"/>
          <w:bCs w:val="0"/>
          <w:i w:val="0"/>
          <w:sz w:val="24"/>
          <w:szCs w:val="24"/>
        </w:rPr>
        <w:t xml:space="preserve">11. </w:t>
      </w:r>
      <w:r w:rsidRPr="00603813">
        <w:rPr>
          <w:rFonts w:ascii="Times New Roman" w:hAnsi="Times New Roman" w:cs="Times New Roman"/>
          <w:bCs w:val="0"/>
          <w:i w:val="0"/>
          <w:sz w:val="24"/>
          <w:szCs w:val="24"/>
        </w:rPr>
        <w:tab/>
      </w:r>
      <w:r w:rsidR="009A1B49" w:rsidRPr="009A1B49">
        <w:rPr>
          <w:rFonts w:ascii="Times New Roman" w:hAnsi="Times New Roman" w:cs="Times New Roman"/>
          <w:bCs w:val="0"/>
          <w:i w:val="0"/>
          <w:sz w:val="24"/>
          <w:szCs w:val="24"/>
        </w:rPr>
        <w:t>Institutional Review Board (IRB) and Justification for Sensitive Questions</w:t>
      </w:r>
      <w:r w:rsidR="009A1B49" w:rsidRPr="009A1B49" w:rsidDel="009A1B49">
        <w:rPr>
          <w:rFonts w:ascii="Times New Roman" w:hAnsi="Times New Roman" w:cs="Times New Roman"/>
          <w:bCs w:val="0"/>
          <w:i w:val="0"/>
          <w:sz w:val="24"/>
          <w:szCs w:val="24"/>
        </w:rPr>
        <w:t xml:space="preserve"> </w:t>
      </w:r>
      <w:bookmarkEnd w:id="31"/>
      <w:bookmarkEnd w:id="32"/>
      <w:bookmarkEnd w:id="33"/>
    </w:p>
    <w:p w:rsidR="00683C2C" w:rsidRPr="00603813" w:rsidRDefault="00683C2C" w:rsidP="002E15A0">
      <w:bookmarkStart w:id="34" w:name="_Toc235958546"/>
    </w:p>
    <w:p w:rsidR="004A1BE8" w:rsidRDefault="004A1BE8" w:rsidP="003D57E7">
      <w:r>
        <w:t>IRB</w:t>
      </w:r>
    </w:p>
    <w:p w:rsidR="004A1BE8" w:rsidRDefault="004A1BE8" w:rsidP="003D57E7"/>
    <w:p w:rsidR="009A1B49" w:rsidRDefault="00213F93" w:rsidP="003D57E7">
      <w:r>
        <w:t xml:space="preserve">The study protocol was </w:t>
      </w:r>
      <w:r w:rsidR="003C0D13">
        <w:t>reviewed</w:t>
      </w:r>
      <w:r>
        <w:t xml:space="preserve"> by Emory University’s IRB on May 30, 2017 (</w:t>
      </w:r>
      <w:r w:rsidRPr="00655AAF">
        <w:rPr>
          <w:b/>
        </w:rPr>
        <w:t>Attachment 5a</w:t>
      </w:r>
      <w:r>
        <w:t xml:space="preserve">) and </w:t>
      </w:r>
      <w:r w:rsidR="003C0D13">
        <w:t xml:space="preserve">approved by </w:t>
      </w:r>
      <w:r>
        <w:t xml:space="preserve">the CDC </w:t>
      </w:r>
      <w:r w:rsidR="009A1B49">
        <w:t>IRB</w:t>
      </w:r>
      <w:r>
        <w:t xml:space="preserve"> on</w:t>
      </w:r>
      <w:r w:rsidR="004A1BE8">
        <w:t xml:space="preserve"> July 20, 2017</w:t>
      </w:r>
      <w:r w:rsidR="009A1B49">
        <w:t xml:space="preserve"> </w:t>
      </w:r>
      <w:r>
        <w:t>(</w:t>
      </w:r>
      <w:r w:rsidRPr="00655AAF">
        <w:rPr>
          <w:b/>
        </w:rPr>
        <w:t>Attachment 5b</w:t>
      </w:r>
      <w:r>
        <w:t>).</w:t>
      </w:r>
    </w:p>
    <w:p w:rsidR="009A1B49" w:rsidRDefault="009A1B49" w:rsidP="003D57E7"/>
    <w:p w:rsidR="009A1B49" w:rsidRDefault="009A1B49" w:rsidP="003D57E7">
      <w:r>
        <w:t>Sensitive Questions</w:t>
      </w:r>
    </w:p>
    <w:p w:rsidR="009A1B49" w:rsidRDefault="009A1B49" w:rsidP="003D57E7"/>
    <w:p w:rsidR="00CC02F6" w:rsidRDefault="00D27D9F" w:rsidP="003D57E7">
      <w:r w:rsidRPr="00603813">
        <w:t xml:space="preserve">This study </w:t>
      </w:r>
      <w:r w:rsidR="00D95ECA">
        <w:t>will collect information on sensitive behaviors related to HIV risk and prevention.</w:t>
      </w:r>
      <w:r w:rsidR="003439A7" w:rsidRPr="00603813">
        <w:t xml:space="preserve"> </w:t>
      </w:r>
      <w:r w:rsidR="00CC02F6">
        <w:t xml:space="preserve">We plan to ask the following questions that may be sensitive to </w:t>
      </w:r>
      <w:r w:rsidR="00736876">
        <w:t>respondent</w:t>
      </w:r>
      <w:r w:rsidR="00CC02F6">
        <w:t>s:</w:t>
      </w:r>
    </w:p>
    <w:p w:rsidR="00CC02F6" w:rsidRDefault="00CC02F6" w:rsidP="003D57E7"/>
    <w:tbl>
      <w:tblPr>
        <w:tblStyle w:val="TableGrid"/>
        <w:tblW w:w="0" w:type="auto"/>
        <w:tblLook w:val="04A0" w:firstRow="1" w:lastRow="0" w:firstColumn="1" w:lastColumn="0" w:noHBand="0" w:noVBand="1"/>
      </w:tblPr>
      <w:tblGrid>
        <w:gridCol w:w="4675"/>
        <w:gridCol w:w="4675"/>
      </w:tblGrid>
      <w:tr w:rsidR="00383BB3" w:rsidTr="00383BB3">
        <w:tc>
          <w:tcPr>
            <w:tcW w:w="4675" w:type="dxa"/>
          </w:tcPr>
          <w:p w:rsidR="00383BB3" w:rsidRPr="003D57E7" w:rsidRDefault="00383BB3" w:rsidP="002E15A0">
            <w:pPr>
              <w:rPr>
                <w:b/>
              </w:rPr>
            </w:pPr>
            <w:r>
              <w:rPr>
                <w:b/>
              </w:rPr>
              <w:t xml:space="preserve">Potentially Sensitive </w:t>
            </w:r>
            <w:r w:rsidRPr="003D57E7">
              <w:rPr>
                <w:b/>
              </w:rPr>
              <w:t>Question</w:t>
            </w:r>
            <w:r>
              <w:rPr>
                <w:b/>
              </w:rPr>
              <w:t>s</w:t>
            </w:r>
          </w:p>
        </w:tc>
        <w:tc>
          <w:tcPr>
            <w:tcW w:w="4675" w:type="dxa"/>
          </w:tcPr>
          <w:p w:rsidR="00383BB3" w:rsidRPr="003D57E7" w:rsidRDefault="00383BB3" w:rsidP="002E15A0">
            <w:pPr>
              <w:rPr>
                <w:b/>
              </w:rPr>
            </w:pPr>
            <w:r w:rsidRPr="003D57E7">
              <w:rPr>
                <w:b/>
              </w:rPr>
              <w:t>Justification</w:t>
            </w:r>
          </w:p>
        </w:tc>
      </w:tr>
      <w:tr w:rsidR="002932A9" w:rsidTr="00383BB3">
        <w:tc>
          <w:tcPr>
            <w:tcW w:w="4675" w:type="dxa"/>
          </w:tcPr>
          <w:p w:rsidR="002932A9" w:rsidRDefault="002932A9">
            <w:r w:rsidRPr="002932A9">
              <w:t>In the past 12</w:t>
            </w:r>
            <w:r>
              <w:t xml:space="preserve"> </w:t>
            </w:r>
            <w:r w:rsidRPr="002932A9">
              <w:t>months, that is since [mm/yyyy], have you had sex with a man?</w:t>
            </w:r>
            <w:r>
              <w:t xml:space="preserve"> (Screener 1 and 2, Question S11)</w:t>
            </w:r>
          </w:p>
        </w:tc>
        <w:tc>
          <w:tcPr>
            <w:tcW w:w="4675" w:type="dxa"/>
          </w:tcPr>
          <w:p w:rsidR="002932A9" w:rsidRDefault="00D95ECA" w:rsidP="00D16DF6">
            <w:r>
              <w:t>Questions to determine eligibility for PrEP (per CDC guidelines)</w:t>
            </w:r>
          </w:p>
        </w:tc>
      </w:tr>
      <w:tr w:rsidR="002932A9" w:rsidTr="00383BB3">
        <w:tc>
          <w:tcPr>
            <w:tcW w:w="4675" w:type="dxa"/>
          </w:tcPr>
          <w:p w:rsidR="002932A9" w:rsidRPr="002932A9" w:rsidRDefault="002932A9" w:rsidP="002932A9">
            <w:r w:rsidRPr="002932A9">
              <w:t>In the past 3 months, that is since [mm/yyyy], have you had anal sex with a man without using a condom?</w:t>
            </w:r>
            <w:r>
              <w:t xml:space="preserve"> (Screener 1 and 2, Question S12)</w:t>
            </w:r>
          </w:p>
        </w:tc>
        <w:tc>
          <w:tcPr>
            <w:tcW w:w="4675" w:type="dxa"/>
          </w:tcPr>
          <w:p w:rsidR="002932A9" w:rsidRDefault="002932A9" w:rsidP="00D16DF6"/>
        </w:tc>
      </w:tr>
      <w:tr w:rsidR="00383BB3" w:rsidTr="00383BB3">
        <w:tc>
          <w:tcPr>
            <w:tcW w:w="4675" w:type="dxa"/>
          </w:tcPr>
          <w:p w:rsidR="00383BB3" w:rsidRDefault="00563FE4" w:rsidP="002E15A0">
            <w:r w:rsidRPr="00563FE4">
              <w:t>I want you to think about a recent sexual experience where you did not use a condom and answer the next questions about that experience</w:t>
            </w:r>
            <w:r w:rsidR="00D95ECA">
              <w:t xml:space="preserve"> (SSI, Question </w:t>
            </w:r>
            <w:r>
              <w:t>14)</w:t>
            </w:r>
            <w:r w:rsidRPr="00563FE4">
              <w:t>.</w:t>
            </w:r>
          </w:p>
        </w:tc>
        <w:tc>
          <w:tcPr>
            <w:tcW w:w="4675" w:type="dxa"/>
          </w:tcPr>
          <w:p w:rsidR="00383BB3" w:rsidRDefault="00D95ECA" w:rsidP="00D95ECA">
            <w:r>
              <w:t>In-depth interview question to explore behavioral risk factors related to risk for HIV/STDs and PrEP use/refusal.</w:t>
            </w:r>
          </w:p>
        </w:tc>
      </w:tr>
      <w:tr w:rsidR="00383BB3" w:rsidTr="00383BB3">
        <w:tc>
          <w:tcPr>
            <w:tcW w:w="4675" w:type="dxa"/>
          </w:tcPr>
          <w:p w:rsidR="00383BB3" w:rsidRDefault="002932A9" w:rsidP="002E15A0">
            <w:r w:rsidRPr="002932A9">
              <w:rPr>
                <w:rFonts w:eastAsia="Batang"/>
              </w:rPr>
              <w:t xml:space="preserve">In the past 3 months, with how many men other than your most recent primary partner did you have any anal sex?  </w:t>
            </w:r>
            <w:r>
              <w:rPr>
                <w:rFonts w:eastAsia="Batang"/>
              </w:rPr>
              <w:t>(BA, Questions SX2)</w:t>
            </w:r>
          </w:p>
        </w:tc>
        <w:tc>
          <w:tcPr>
            <w:tcW w:w="4675" w:type="dxa"/>
          </w:tcPr>
          <w:p w:rsidR="00383BB3" w:rsidRDefault="00D95ECA" w:rsidP="00D95ECA">
            <w:r>
              <w:t>Structured response question to m</w:t>
            </w:r>
            <w:r w:rsidR="00383BB3">
              <w:t>easur</w:t>
            </w:r>
            <w:r>
              <w:t>e</w:t>
            </w:r>
            <w:r w:rsidR="00383BB3">
              <w:t xml:space="preserve"> </w:t>
            </w:r>
            <w:r>
              <w:t>sexual risk</w:t>
            </w:r>
            <w:r w:rsidR="00D16DF6">
              <w:t xml:space="preserve"> for</w:t>
            </w:r>
            <w:r w:rsidR="00383BB3">
              <w:t xml:space="preserve"> </w:t>
            </w:r>
            <w:r w:rsidR="002B517A">
              <w:t>HIV/STD</w:t>
            </w:r>
            <w:r w:rsidR="00383BB3">
              <w:t xml:space="preserve"> </w:t>
            </w:r>
            <w:r w:rsidR="00D16DF6">
              <w:t>acquisition</w:t>
            </w:r>
            <w:r w:rsidR="00383BB3">
              <w:t>.</w:t>
            </w:r>
            <w:r w:rsidR="007B0720">
              <w:t xml:space="preserve"> </w:t>
            </w:r>
          </w:p>
        </w:tc>
      </w:tr>
      <w:tr w:rsidR="002932A9" w:rsidTr="00383BB3">
        <w:tc>
          <w:tcPr>
            <w:tcW w:w="4675" w:type="dxa"/>
          </w:tcPr>
          <w:p w:rsidR="002932A9" w:rsidRPr="002932A9" w:rsidRDefault="002932A9" w:rsidP="002932A9">
            <w:pPr>
              <w:rPr>
                <w:rFonts w:eastAsia="Batang"/>
              </w:rPr>
            </w:pPr>
            <w:r w:rsidRPr="002932A9">
              <w:rPr>
                <w:rFonts w:eastAsia="Batang"/>
              </w:rPr>
              <w:t>In the past 3 months, that is since [month and year], have you had ANY anal sex with [Response to SXP1] in which a condom was not used from start to finish?</w:t>
            </w:r>
          </w:p>
          <w:p w:rsidR="002932A9" w:rsidRPr="002932A9" w:rsidRDefault="002932A9" w:rsidP="002932A9">
            <w:pPr>
              <w:rPr>
                <w:rFonts w:eastAsia="Batang"/>
              </w:rPr>
            </w:pPr>
          </w:p>
          <w:p w:rsidR="002932A9" w:rsidRPr="002932A9" w:rsidRDefault="002932A9" w:rsidP="002932A9">
            <w:pPr>
              <w:rPr>
                <w:rFonts w:eastAsia="Batang"/>
              </w:rPr>
            </w:pPr>
            <w:r w:rsidRPr="002932A9">
              <w:rPr>
                <w:rFonts w:eastAsia="Batang"/>
              </w:rPr>
              <w:t>Think of the times in the past 3 months that you had anal sex with [Response to SXP1] and did not use a condom from start to finish. Were you the top (you put your penis in his butt), the bottom (he put his penis in your butt), or both?</w:t>
            </w:r>
          </w:p>
          <w:p w:rsidR="002932A9" w:rsidRPr="002932A9" w:rsidRDefault="002932A9" w:rsidP="002932A9">
            <w:pPr>
              <w:rPr>
                <w:rFonts w:eastAsia="Batang"/>
              </w:rPr>
            </w:pPr>
          </w:p>
          <w:p w:rsidR="002932A9" w:rsidRPr="002932A9" w:rsidRDefault="002932A9" w:rsidP="002932A9">
            <w:pPr>
              <w:rPr>
                <w:rFonts w:eastAsia="Batang"/>
              </w:rPr>
            </w:pPr>
            <w:r w:rsidRPr="002932A9">
              <w:rPr>
                <w:rFonts w:eastAsia="Batang"/>
              </w:rPr>
              <w:t>Think of the times in the past 3 months that you had anal sex with [Response to SXP1] and did not use a condom from start to finish. Were you ever drunk or buzzed on alcohol within 2 hours before or during sex?</w:t>
            </w:r>
          </w:p>
          <w:p w:rsidR="002932A9" w:rsidRPr="002932A9" w:rsidRDefault="002932A9" w:rsidP="002932A9">
            <w:pPr>
              <w:rPr>
                <w:rFonts w:eastAsia="Batang"/>
              </w:rPr>
            </w:pPr>
          </w:p>
          <w:p w:rsidR="002932A9" w:rsidRDefault="002932A9" w:rsidP="002932A9">
            <w:pPr>
              <w:rPr>
                <w:rFonts w:eastAsia="Batang"/>
              </w:rPr>
            </w:pPr>
            <w:r w:rsidRPr="002932A9">
              <w:rPr>
                <w:rFonts w:eastAsia="Batang"/>
              </w:rPr>
              <w:t>Think of the times in the past 3 months that you had anal sex with [Response to SXP1] and did not use a condom from start to finish. Did you ever use non-prescription drugs within 2 hours before or during sex?</w:t>
            </w:r>
          </w:p>
          <w:p w:rsidR="00AC7413" w:rsidRDefault="00AC7413" w:rsidP="002932A9">
            <w:pPr>
              <w:rPr>
                <w:rFonts w:eastAsia="Batang"/>
              </w:rPr>
            </w:pPr>
          </w:p>
          <w:p w:rsidR="00AC7413" w:rsidRPr="00AC7413" w:rsidRDefault="00AC7413" w:rsidP="00AC7413">
            <w:pPr>
              <w:rPr>
                <w:rFonts w:eastAsia="Batang"/>
              </w:rPr>
            </w:pPr>
            <w:r w:rsidRPr="00AC7413">
              <w:rPr>
                <w:rFonts w:eastAsia="Batang"/>
              </w:rPr>
              <w:t xml:space="preserve">How long ago was the last time you had any anal sex with [Response to SXP1]?  That is, with or without a condom, and with or without ejaculation. </w:t>
            </w:r>
          </w:p>
          <w:p w:rsidR="00AC7413" w:rsidRPr="00AC7413" w:rsidRDefault="00AC7413" w:rsidP="00AC7413">
            <w:pPr>
              <w:rPr>
                <w:rFonts w:eastAsia="Batang"/>
              </w:rPr>
            </w:pPr>
          </w:p>
          <w:p w:rsidR="00AC7413" w:rsidRPr="00AC7413" w:rsidRDefault="00AC7413" w:rsidP="00AC7413">
            <w:pPr>
              <w:rPr>
                <w:rFonts w:eastAsia="Batang"/>
              </w:rPr>
            </w:pPr>
            <w:r w:rsidRPr="00AC7413">
              <w:rPr>
                <w:rFonts w:eastAsia="Batang"/>
              </w:rPr>
              <w:t>During the most recent time you had anal sex with [Response to SXP1], were you the top (you put your penis in his butt)?  This would be with or without a condom and with or without ejaculation.</w:t>
            </w:r>
          </w:p>
          <w:p w:rsidR="00AC7413" w:rsidRPr="00AC7413" w:rsidRDefault="00AC7413" w:rsidP="00AC7413">
            <w:pPr>
              <w:rPr>
                <w:rFonts w:eastAsia="Batang"/>
              </w:rPr>
            </w:pPr>
          </w:p>
          <w:p w:rsidR="00AC7413" w:rsidRPr="00AC7413" w:rsidRDefault="00AC7413" w:rsidP="00AC7413">
            <w:pPr>
              <w:rPr>
                <w:rFonts w:eastAsia="Batang"/>
              </w:rPr>
            </w:pPr>
            <w:r w:rsidRPr="00AC7413">
              <w:rPr>
                <w:rFonts w:eastAsia="Batang"/>
              </w:rPr>
              <w:t>Was a condom used from start to finish when you were the top?</w:t>
            </w:r>
          </w:p>
          <w:p w:rsidR="00AC7413" w:rsidRPr="00AC7413" w:rsidRDefault="00AC7413" w:rsidP="00AC7413">
            <w:pPr>
              <w:rPr>
                <w:rFonts w:eastAsia="Batang"/>
              </w:rPr>
            </w:pPr>
          </w:p>
          <w:p w:rsidR="00AC7413" w:rsidRPr="00AC7413" w:rsidRDefault="00AC7413" w:rsidP="00AC7413">
            <w:pPr>
              <w:rPr>
                <w:rFonts w:eastAsia="Batang"/>
              </w:rPr>
            </w:pPr>
            <w:r w:rsidRPr="00AC7413">
              <w:rPr>
                <w:rFonts w:eastAsia="Batang"/>
              </w:rPr>
              <w:t>During the most recent time you had anal sex with [Response to SXP1], were you the bottom (he put his penis in your butt}?  This would be with or without a condom and whether or not you ejaculated.</w:t>
            </w:r>
          </w:p>
          <w:p w:rsidR="00AC7413" w:rsidRPr="00AC7413" w:rsidRDefault="00AC7413" w:rsidP="00AC7413">
            <w:pPr>
              <w:rPr>
                <w:rFonts w:eastAsia="Batang"/>
              </w:rPr>
            </w:pPr>
          </w:p>
          <w:p w:rsidR="00AC7413" w:rsidRPr="00AC7413" w:rsidRDefault="00AC7413" w:rsidP="00AC7413">
            <w:pPr>
              <w:rPr>
                <w:rFonts w:eastAsia="Batang"/>
              </w:rPr>
            </w:pPr>
            <w:r w:rsidRPr="00AC7413">
              <w:rPr>
                <w:rFonts w:eastAsia="Batang"/>
              </w:rPr>
              <w:t>Was a condom used from start to finish when you were the bottom?</w:t>
            </w:r>
          </w:p>
          <w:p w:rsidR="00AC7413" w:rsidRPr="002932A9" w:rsidRDefault="00AC7413" w:rsidP="00AC7413">
            <w:pPr>
              <w:rPr>
                <w:rFonts w:eastAsia="Batang"/>
              </w:rPr>
            </w:pPr>
          </w:p>
        </w:tc>
        <w:tc>
          <w:tcPr>
            <w:tcW w:w="4675" w:type="dxa"/>
          </w:tcPr>
          <w:p w:rsidR="002932A9" w:rsidRDefault="00D95ECA" w:rsidP="00D95ECA">
            <w:r w:rsidRPr="00D95ECA">
              <w:t>Structured response question</w:t>
            </w:r>
            <w:r>
              <w:t>s to measure</w:t>
            </w:r>
            <w:r w:rsidRPr="00D95ECA">
              <w:t xml:space="preserve"> sexual risk factors </w:t>
            </w:r>
            <w:r w:rsidR="00AC7413">
              <w:t xml:space="preserve">with primary male partner </w:t>
            </w:r>
            <w:r w:rsidR="000734DF">
              <w:t xml:space="preserve">and non-primary male partner </w:t>
            </w:r>
            <w:r w:rsidRPr="00D95ECA">
              <w:t>for HIV/STD acquisition.</w:t>
            </w:r>
            <w:r w:rsidR="00AC7413">
              <w:t xml:space="preserve"> Response options are:</w:t>
            </w:r>
          </w:p>
          <w:p w:rsidR="00AC7413" w:rsidRDefault="00AC7413" w:rsidP="00AC7413">
            <w:r>
              <w:t>1</w:t>
            </w:r>
            <w:r>
              <w:tab/>
              <w:t>Yes</w:t>
            </w:r>
          </w:p>
          <w:p w:rsidR="00AC7413" w:rsidRDefault="00AC7413" w:rsidP="00AC7413">
            <w:r>
              <w:t>0</w:t>
            </w:r>
            <w:r>
              <w:tab/>
              <w:t>No</w:t>
            </w:r>
          </w:p>
          <w:p w:rsidR="00AC7413" w:rsidRDefault="00AC7413" w:rsidP="00AC7413">
            <w:r>
              <w:t>77</w:t>
            </w:r>
            <w:r>
              <w:tab/>
              <w:t>I don’t know</w:t>
            </w:r>
          </w:p>
          <w:p w:rsidR="00AC7413" w:rsidRDefault="00AC7413" w:rsidP="00AC7413">
            <w:r>
              <w:t>99</w:t>
            </w:r>
            <w:r>
              <w:tab/>
              <w:t>I’d prefer not to answer</w:t>
            </w:r>
          </w:p>
        </w:tc>
      </w:tr>
      <w:tr w:rsidR="007B0720" w:rsidTr="00383BB3">
        <w:tc>
          <w:tcPr>
            <w:tcW w:w="4675" w:type="dxa"/>
          </w:tcPr>
          <w:p w:rsidR="00AC7413" w:rsidRPr="00AC7413" w:rsidRDefault="00AC7413" w:rsidP="00AC7413">
            <w:pPr>
              <w:rPr>
                <w:rFonts w:eastAsia="Batang"/>
              </w:rPr>
            </w:pPr>
            <w:r w:rsidRPr="00AC7413">
              <w:rPr>
                <w:rFonts w:eastAsia="Batang"/>
              </w:rPr>
              <w:t>Did you use any drug within two hours before or during the most recent time you had anal sex with [Response to SEX5]?</w:t>
            </w:r>
          </w:p>
          <w:p w:rsidR="00AC7413" w:rsidRPr="00AC7413" w:rsidRDefault="00AC7413" w:rsidP="00AC7413">
            <w:pPr>
              <w:rPr>
                <w:rFonts w:eastAsia="Batang"/>
              </w:rPr>
            </w:pPr>
          </w:p>
          <w:p w:rsidR="00AC7413" w:rsidRPr="00AC7413" w:rsidRDefault="00AC7413" w:rsidP="00AC7413">
            <w:pPr>
              <w:rPr>
                <w:rFonts w:eastAsia="Batang"/>
              </w:rPr>
            </w:pPr>
            <w:r w:rsidRPr="00AC7413">
              <w:rPr>
                <w:rFonts w:eastAsia="Batang"/>
              </w:rPr>
              <w:t xml:space="preserve">Which drugs? (Check all that apply)  </w:t>
            </w:r>
          </w:p>
          <w:p w:rsidR="00AC7413" w:rsidRPr="00AC7413" w:rsidRDefault="00AC7413" w:rsidP="00AC7413">
            <w:pPr>
              <w:rPr>
                <w:rFonts w:eastAsia="Batang"/>
              </w:rPr>
            </w:pPr>
          </w:p>
          <w:p w:rsidR="00AC7413" w:rsidRPr="00AC7413" w:rsidRDefault="00AC7413" w:rsidP="00AC7413">
            <w:pPr>
              <w:rPr>
                <w:rFonts w:eastAsia="Batang"/>
              </w:rPr>
            </w:pPr>
            <w:r w:rsidRPr="00AC7413">
              <w:rPr>
                <w:rFonts w:eastAsia="Batang"/>
              </w:rPr>
              <w:t>Injected Methamphetamine or other amphetamine, injected (me</w:t>
            </w:r>
            <w:r>
              <w:rPr>
                <w:rFonts w:eastAsia="Batang"/>
              </w:rPr>
              <w:t>th, speed, crystal, crank, ice)</w:t>
            </w:r>
            <w:r w:rsidR="00D35747">
              <w:rPr>
                <w:rFonts w:eastAsia="Batang"/>
              </w:rPr>
              <w:t xml:space="preserve">; </w:t>
            </w:r>
            <w:r w:rsidRPr="00AC7413">
              <w:rPr>
                <w:rFonts w:eastAsia="Batang"/>
              </w:rPr>
              <w:t>Methamphetamine or other amphetamine, smoked or snorted (me</w:t>
            </w:r>
            <w:r>
              <w:rPr>
                <w:rFonts w:eastAsia="Batang"/>
              </w:rPr>
              <w:t>th, speed, crystal, crank, ice)</w:t>
            </w:r>
            <w:r w:rsidR="00D35747">
              <w:rPr>
                <w:rFonts w:eastAsia="Batang"/>
              </w:rPr>
              <w:t xml:space="preserve">; </w:t>
            </w:r>
            <w:r w:rsidRPr="00AC7413">
              <w:rPr>
                <w:rFonts w:eastAsia="Batang"/>
              </w:rPr>
              <w:t>Downers (Valium, Ativa, Xanax)</w:t>
            </w:r>
            <w:r w:rsidR="00D35747">
              <w:rPr>
                <w:rFonts w:eastAsia="Batang"/>
              </w:rPr>
              <w:t xml:space="preserve">; </w:t>
            </w:r>
            <w:r w:rsidRPr="00AC7413">
              <w:rPr>
                <w:rFonts w:eastAsia="Batang"/>
              </w:rPr>
              <w:t>Pain killers (Oxycontin, Percocet)</w:t>
            </w:r>
            <w:r w:rsidR="00D35747">
              <w:rPr>
                <w:rFonts w:eastAsia="Batang"/>
              </w:rPr>
              <w:t xml:space="preserve">; </w:t>
            </w:r>
            <w:r w:rsidRPr="00AC7413">
              <w:rPr>
                <w:rFonts w:eastAsia="Batang"/>
              </w:rPr>
              <w:t>Hallucinogens (LSD, mushrooms, Peyote, Mescaline)</w:t>
            </w:r>
            <w:r w:rsidR="00D35747">
              <w:rPr>
                <w:rFonts w:eastAsia="Batang"/>
              </w:rPr>
              <w:t xml:space="preserve">; </w:t>
            </w:r>
            <w:r w:rsidR="00CD0B7A" w:rsidRPr="00AC7413">
              <w:rPr>
                <w:rFonts w:eastAsia="Batang"/>
              </w:rPr>
              <w:t>Ecstasy</w:t>
            </w:r>
            <w:r w:rsidRPr="00AC7413">
              <w:rPr>
                <w:rFonts w:eastAsia="Batang"/>
              </w:rPr>
              <w:t xml:space="preserve"> (E, X, MDMA)</w:t>
            </w:r>
          </w:p>
          <w:p w:rsidR="00AC7413" w:rsidRPr="00AC7413" w:rsidRDefault="00AC7413" w:rsidP="00AC7413">
            <w:pPr>
              <w:rPr>
                <w:rFonts w:eastAsia="Batang"/>
              </w:rPr>
            </w:pPr>
            <w:r w:rsidRPr="00AC7413">
              <w:rPr>
                <w:rFonts w:eastAsia="Batang"/>
              </w:rPr>
              <w:t>Club drugs (GHB, ketamine, special K)</w:t>
            </w:r>
            <w:r w:rsidR="00D35747">
              <w:rPr>
                <w:rFonts w:eastAsia="Batang"/>
              </w:rPr>
              <w:t xml:space="preserve">; </w:t>
            </w:r>
            <w:r w:rsidRPr="00AC7413">
              <w:rPr>
                <w:rFonts w:eastAsia="Batang"/>
              </w:rPr>
              <w:t>Marijuana (pot, weed)</w:t>
            </w:r>
            <w:r w:rsidR="00D35747">
              <w:rPr>
                <w:rFonts w:eastAsia="Batang"/>
              </w:rPr>
              <w:t xml:space="preserve">; Poppers (amyl nitrate); </w:t>
            </w:r>
            <w:r w:rsidRPr="00AC7413">
              <w:rPr>
                <w:rFonts w:eastAsia="Batang"/>
              </w:rPr>
              <w:t>PCP (angel dust, wet, wicky sticks)</w:t>
            </w:r>
          </w:p>
          <w:p w:rsidR="00AC7413" w:rsidRPr="00AC7413" w:rsidRDefault="00AC7413" w:rsidP="00AC7413">
            <w:pPr>
              <w:rPr>
                <w:rFonts w:eastAsia="Batang"/>
              </w:rPr>
            </w:pPr>
            <w:r w:rsidRPr="00AC7413">
              <w:rPr>
                <w:rFonts w:eastAsia="Batang"/>
              </w:rPr>
              <w:t>Synthetic marijuana (herbal incense, spice, K2)</w:t>
            </w:r>
            <w:r w:rsidR="00D35747">
              <w:rPr>
                <w:rFonts w:eastAsia="Batang"/>
              </w:rPr>
              <w:t xml:space="preserve">; </w:t>
            </w:r>
            <w:r w:rsidRPr="00AC7413">
              <w:rPr>
                <w:rFonts w:eastAsia="Batang"/>
              </w:rPr>
              <w:t>Crack, injected</w:t>
            </w:r>
            <w:r w:rsidR="00D35747">
              <w:rPr>
                <w:rFonts w:eastAsia="Batang"/>
              </w:rPr>
              <w:t xml:space="preserve">; </w:t>
            </w:r>
            <w:r w:rsidRPr="00AC7413">
              <w:rPr>
                <w:rFonts w:eastAsia="Batang"/>
              </w:rPr>
              <w:t>Crack, smoked or snorted</w:t>
            </w:r>
            <w:r w:rsidR="00D35747">
              <w:rPr>
                <w:rFonts w:eastAsia="Batang"/>
              </w:rPr>
              <w:t xml:space="preserve">; </w:t>
            </w:r>
            <w:r w:rsidRPr="00AC7413">
              <w:rPr>
                <w:rFonts w:eastAsia="Batang"/>
              </w:rPr>
              <w:t>Cocaine, injected</w:t>
            </w:r>
            <w:r w:rsidR="00D35747">
              <w:rPr>
                <w:rFonts w:eastAsia="Batang"/>
              </w:rPr>
              <w:t xml:space="preserve">; </w:t>
            </w:r>
            <w:r w:rsidRPr="00AC7413">
              <w:rPr>
                <w:rFonts w:eastAsia="Batang"/>
              </w:rPr>
              <w:t>Cocaine, smoked or snorted</w:t>
            </w:r>
            <w:r w:rsidR="00D35747">
              <w:rPr>
                <w:rFonts w:eastAsia="Batang"/>
              </w:rPr>
              <w:t xml:space="preserve">; </w:t>
            </w:r>
            <w:r w:rsidRPr="00AC7413">
              <w:rPr>
                <w:rFonts w:eastAsia="Batang"/>
              </w:rPr>
              <w:t>Heroin, injected</w:t>
            </w:r>
            <w:r w:rsidR="00D35747">
              <w:rPr>
                <w:rFonts w:eastAsia="Batang"/>
              </w:rPr>
              <w:t xml:space="preserve">; </w:t>
            </w:r>
            <w:r w:rsidRPr="00AC7413">
              <w:rPr>
                <w:rFonts w:eastAsia="Batang"/>
              </w:rPr>
              <w:t>Heroin, smoked or snorted</w:t>
            </w:r>
            <w:r w:rsidR="00D35747">
              <w:rPr>
                <w:rFonts w:eastAsia="Batang"/>
              </w:rPr>
              <w:t xml:space="preserve">; </w:t>
            </w:r>
            <w:r w:rsidRPr="00AC7413">
              <w:rPr>
                <w:rFonts w:eastAsia="Batang"/>
              </w:rPr>
              <w:t>Heroin and cocaine injected together (speedballs)</w:t>
            </w:r>
            <w:r w:rsidR="00D35747">
              <w:rPr>
                <w:rFonts w:eastAsia="Batang"/>
              </w:rPr>
              <w:t xml:space="preserve">; </w:t>
            </w:r>
            <w:r>
              <w:rPr>
                <w:rFonts w:eastAsia="Batang"/>
              </w:rPr>
              <w:t>Other</w:t>
            </w:r>
          </w:p>
          <w:p w:rsidR="00AC7413" w:rsidRPr="00AC7413" w:rsidRDefault="00AC7413" w:rsidP="00AC7413">
            <w:pPr>
              <w:rPr>
                <w:rFonts w:eastAsia="Batang"/>
              </w:rPr>
            </w:pPr>
          </w:p>
          <w:p w:rsidR="00AC7413" w:rsidRPr="00AC7413" w:rsidRDefault="00AC7413" w:rsidP="00AC7413">
            <w:pPr>
              <w:rPr>
                <w:rFonts w:eastAsia="Batang"/>
              </w:rPr>
            </w:pPr>
            <w:r w:rsidRPr="00AC7413">
              <w:rPr>
                <w:rFonts w:eastAsia="Batang"/>
              </w:rPr>
              <w:t>Please specify which other drugs you used.</w:t>
            </w:r>
          </w:p>
          <w:p w:rsidR="007B0720" w:rsidRDefault="007B0720" w:rsidP="002E15A0">
            <w:pPr>
              <w:rPr>
                <w:rFonts w:eastAsia="Batang"/>
              </w:rPr>
            </w:pPr>
          </w:p>
        </w:tc>
        <w:tc>
          <w:tcPr>
            <w:tcW w:w="4675" w:type="dxa"/>
          </w:tcPr>
          <w:p w:rsidR="007B0720" w:rsidRDefault="00AC7413" w:rsidP="00AC7413">
            <w:r>
              <w:t>Structured response questions m</w:t>
            </w:r>
            <w:r w:rsidR="007B0720">
              <w:t xml:space="preserve">easuring </w:t>
            </w:r>
            <w:r>
              <w:t xml:space="preserve">substance using behavior related to HIV/STD risk. </w:t>
            </w:r>
          </w:p>
        </w:tc>
      </w:tr>
    </w:tbl>
    <w:p w:rsidR="00CC02F6" w:rsidRDefault="00CC02F6" w:rsidP="002E15A0"/>
    <w:p w:rsidR="00CC02F6" w:rsidRDefault="00CC02F6" w:rsidP="002E15A0"/>
    <w:p w:rsidR="00683C2C" w:rsidRPr="00603813" w:rsidRDefault="003439A7" w:rsidP="002E15A0">
      <w:r w:rsidRPr="00603813">
        <w:t>Understanding the</w:t>
      </w:r>
      <w:r w:rsidR="00683C2C" w:rsidRPr="00603813">
        <w:t xml:space="preserve"> slight possibility of emotional response or anxiety on the part of the respondent, all </w:t>
      </w:r>
      <w:r w:rsidR="000E6DEB">
        <w:t xml:space="preserve">study </w:t>
      </w:r>
      <w:r w:rsidR="00683C2C" w:rsidRPr="00603813">
        <w:t>staff will be traine</w:t>
      </w:r>
      <w:r w:rsidR="002F5E7B" w:rsidRPr="00603813">
        <w:t xml:space="preserve">d to provide </w:t>
      </w:r>
      <w:r w:rsidR="00F24407" w:rsidRPr="00603813">
        <w:t>respondents</w:t>
      </w:r>
      <w:r w:rsidR="002F5E7B" w:rsidRPr="00603813">
        <w:t xml:space="preserve"> with</w:t>
      </w:r>
      <w:r w:rsidR="00683C2C" w:rsidRPr="00603813">
        <w:t xml:space="preserve"> city-specific </w:t>
      </w:r>
      <w:r w:rsidR="004667D9" w:rsidRPr="00603813">
        <w:t>hotlines</w:t>
      </w:r>
      <w:r w:rsidR="00BD045A" w:rsidRPr="00603813">
        <w:t xml:space="preserve"> for HIV and mental health care </w:t>
      </w:r>
      <w:r w:rsidR="004667D9" w:rsidRPr="00603813">
        <w:t xml:space="preserve">organizations as </w:t>
      </w:r>
      <w:r w:rsidR="00683C2C" w:rsidRPr="00603813">
        <w:t xml:space="preserve">needed. </w:t>
      </w:r>
      <w:r w:rsidR="009A2A22" w:rsidRPr="00603813">
        <w:t xml:space="preserve">We will inform </w:t>
      </w:r>
      <w:r w:rsidR="008C43D7" w:rsidRPr="00603813">
        <w:t xml:space="preserve">all </w:t>
      </w:r>
      <w:r w:rsidR="00F24407" w:rsidRPr="00603813">
        <w:t>respondents</w:t>
      </w:r>
      <w:r w:rsidR="009A2A22" w:rsidRPr="00603813">
        <w:t xml:space="preserve"> that</w:t>
      </w:r>
      <w:r w:rsidR="00683C2C" w:rsidRPr="00603813">
        <w:t xml:space="preserve"> they may </w:t>
      </w:r>
      <w:r w:rsidR="00A66AC8" w:rsidRPr="00603813">
        <w:t xml:space="preserve">skip any question or </w:t>
      </w:r>
      <w:r w:rsidR="00683C2C" w:rsidRPr="00603813">
        <w:t xml:space="preserve">stop participation at any time </w:t>
      </w:r>
      <w:r w:rsidR="00A66AC8" w:rsidRPr="00603813">
        <w:t>for any reason</w:t>
      </w:r>
      <w:r w:rsidR="00683C2C" w:rsidRPr="00603813">
        <w:t xml:space="preserve">. </w:t>
      </w:r>
      <w:r w:rsidR="00DD05A8">
        <w:t>This study has been reviewed and approve</w:t>
      </w:r>
      <w:r w:rsidR="000D443A">
        <w:t>d</w:t>
      </w:r>
      <w:r w:rsidR="007623BD">
        <w:t xml:space="preserve"> for human subject’s p</w:t>
      </w:r>
      <w:r w:rsidR="00DD05A8">
        <w:t>rotections (</w:t>
      </w:r>
      <w:r w:rsidR="00DD05A8" w:rsidRPr="00E84E2B">
        <w:rPr>
          <w:b/>
        </w:rPr>
        <w:t xml:space="preserve">Attachments </w:t>
      </w:r>
      <w:r w:rsidR="00A6282A">
        <w:rPr>
          <w:b/>
        </w:rPr>
        <w:t>5a and 5b</w:t>
      </w:r>
      <w:r w:rsidR="00DD05A8" w:rsidRPr="00497940">
        <w:t>).</w:t>
      </w:r>
      <w:r w:rsidR="00683C2C" w:rsidRPr="00603813">
        <w:t xml:space="preserve"> </w:t>
      </w:r>
    </w:p>
    <w:p w:rsidR="008D0C41" w:rsidRPr="00603813" w:rsidRDefault="008D0C41" w:rsidP="002E15A0">
      <w:pPr>
        <w:rPr>
          <w:bCs/>
          <w:i/>
        </w:rPr>
      </w:pPr>
      <w:bookmarkStart w:id="35" w:name="_Toc306891245"/>
    </w:p>
    <w:p w:rsidR="00133B17" w:rsidRPr="00603813" w:rsidRDefault="00133B17" w:rsidP="002E15A0">
      <w:pPr>
        <w:pStyle w:val="Heading2"/>
        <w:spacing w:before="0" w:after="0"/>
        <w:contextualSpacing/>
        <w:rPr>
          <w:rFonts w:ascii="Times New Roman" w:hAnsi="Times New Roman" w:cs="Times New Roman"/>
          <w:bCs w:val="0"/>
          <w:i w:val="0"/>
          <w:sz w:val="24"/>
          <w:szCs w:val="24"/>
        </w:rPr>
      </w:pPr>
      <w:bookmarkStart w:id="36" w:name="_Toc485906220"/>
      <w:r w:rsidRPr="00603813">
        <w:rPr>
          <w:rFonts w:ascii="Times New Roman" w:hAnsi="Times New Roman" w:cs="Times New Roman"/>
          <w:bCs w:val="0"/>
          <w:i w:val="0"/>
          <w:sz w:val="24"/>
          <w:szCs w:val="24"/>
        </w:rPr>
        <w:t>12.</w:t>
      </w:r>
      <w:r w:rsidRPr="00603813">
        <w:rPr>
          <w:rFonts w:ascii="Times New Roman" w:hAnsi="Times New Roman" w:cs="Times New Roman"/>
          <w:bCs w:val="0"/>
          <w:i w:val="0"/>
          <w:sz w:val="24"/>
          <w:szCs w:val="24"/>
        </w:rPr>
        <w:tab/>
        <w:t>Estimate</w:t>
      </w:r>
      <w:r w:rsidR="009559DE">
        <w:rPr>
          <w:rFonts w:ascii="Times New Roman" w:hAnsi="Times New Roman" w:cs="Times New Roman"/>
          <w:bCs w:val="0"/>
          <w:i w:val="0"/>
          <w:sz w:val="24"/>
          <w:szCs w:val="24"/>
        </w:rPr>
        <w:t>s</w:t>
      </w:r>
      <w:r w:rsidRPr="00603813">
        <w:rPr>
          <w:rFonts w:ascii="Times New Roman" w:hAnsi="Times New Roman" w:cs="Times New Roman"/>
          <w:bCs w:val="0"/>
          <w:i w:val="0"/>
          <w:sz w:val="24"/>
          <w:szCs w:val="24"/>
        </w:rPr>
        <w:t xml:space="preserve"> of Annualized Burden Hours and Costs</w:t>
      </w:r>
      <w:bookmarkEnd w:id="35"/>
      <w:bookmarkEnd w:id="36"/>
    </w:p>
    <w:p w:rsidR="00133B17" w:rsidRPr="00603813" w:rsidRDefault="00133B17" w:rsidP="002E15A0">
      <w:pPr>
        <w:autoSpaceDE w:val="0"/>
        <w:autoSpaceDN w:val="0"/>
        <w:adjustRightInd w:val="0"/>
        <w:contextualSpacing/>
        <w:rPr>
          <w:b/>
          <w:bCs/>
        </w:rPr>
      </w:pPr>
      <w:r w:rsidRPr="00603813">
        <w:rPr>
          <w:b/>
          <w:bCs/>
        </w:rPr>
        <w:t xml:space="preserve"> </w:t>
      </w:r>
    </w:p>
    <w:p w:rsidR="00BC3A12" w:rsidRPr="004B7F41" w:rsidRDefault="009559DE" w:rsidP="002E15A0">
      <w:pPr>
        <w:pStyle w:val="Caption"/>
        <w:rPr>
          <w:sz w:val="24"/>
          <w:szCs w:val="24"/>
        </w:rPr>
      </w:pPr>
      <w:r>
        <w:rPr>
          <w:sz w:val="24"/>
          <w:szCs w:val="24"/>
        </w:rPr>
        <w:t>12A</w:t>
      </w:r>
      <w:r w:rsidR="00BC3A12" w:rsidRPr="004B7F41">
        <w:rPr>
          <w:sz w:val="24"/>
          <w:szCs w:val="24"/>
        </w:rPr>
        <w:t xml:space="preserve">. Estimated Annualized Burden Hours </w:t>
      </w:r>
    </w:p>
    <w:p w:rsidR="00BC3A12" w:rsidRPr="00603813" w:rsidRDefault="00BC3A12" w:rsidP="002E15A0">
      <w:pPr>
        <w:pStyle w:val="Caption"/>
        <w:rPr>
          <w:b w:val="0"/>
          <w:sz w:val="24"/>
          <w:szCs w:val="24"/>
        </w:rPr>
      </w:pPr>
    </w:p>
    <w:p w:rsidR="00830F20" w:rsidRPr="00603813" w:rsidRDefault="000734DF" w:rsidP="002E15A0">
      <w:pPr>
        <w:pStyle w:val="Caption"/>
        <w:rPr>
          <w:b w:val="0"/>
          <w:sz w:val="24"/>
          <w:szCs w:val="24"/>
        </w:rPr>
      </w:pPr>
      <w:r>
        <w:rPr>
          <w:b w:val="0"/>
          <w:sz w:val="24"/>
          <w:szCs w:val="24"/>
        </w:rPr>
        <w:t>Partnerships with health departments, universities, and community based organizations and HIV and STD testing sites and health clinics and agencies will be made in each recruitment site</w:t>
      </w:r>
      <w:r w:rsidR="00255204">
        <w:rPr>
          <w:sz w:val="24"/>
          <w:szCs w:val="24"/>
        </w:rPr>
        <w:t>.</w:t>
      </w:r>
      <w:r>
        <w:rPr>
          <w:b w:val="0"/>
          <w:sz w:val="24"/>
          <w:szCs w:val="24"/>
        </w:rPr>
        <w:t xml:space="preserve"> </w:t>
      </w:r>
      <w:r w:rsidR="00222B1B">
        <w:rPr>
          <w:b w:val="0"/>
          <w:sz w:val="24"/>
          <w:szCs w:val="24"/>
        </w:rPr>
        <w:t xml:space="preserve">Recruitment will consist of </w:t>
      </w:r>
      <w:r>
        <w:rPr>
          <w:b w:val="0"/>
          <w:sz w:val="24"/>
          <w:szCs w:val="24"/>
        </w:rPr>
        <w:t xml:space="preserve">partnering agency sites distributing flyers or palm cards to potentially eligible MSM. Partnering agency staff will be trained on the study eligibility criteria for this purpose. </w:t>
      </w:r>
      <w:r w:rsidR="00736876">
        <w:rPr>
          <w:b w:val="0"/>
          <w:sz w:val="24"/>
          <w:szCs w:val="24"/>
        </w:rPr>
        <w:t>Respondent</w:t>
      </w:r>
      <w:r>
        <w:rPr>
          <w:b w:val="0"/>
          <w:sz w:val="24"/>
          <w:szCs w:val="24"/>
        </w:rPr>
        <w:t>s will then be directed to contact study staff for screening. In phase 2 of the study</w:t>
      </w:r>
      <w:r w:rsidR="00FA06A3">
        <w:rPr>
          <w:b w:val="0"/>
          <w:sz w:val="24"/>
          <w:szCs w:val="24"/>
        </w:rPr>
        <w:t>,</w:t>
      </w:r>
      <w:r>
        <w:rPr>
          <w:b w:val="0"/>
          <w:sz w:val="24"/>
          <w:szCs w:val="24"/>
        </w:rPr>
        <w:t xml:space="preserve"> recruitment will be solely for the 30 minute behavioral assessment and potentially eligible men will be screened at time of recruitment by study staff</w:t>
      </w:r>
      <w:r w:rsidR="00906D65">
        <w:rPr>
          <w:b w:val="0"/>
          <w:sz w:val="24"/>
          <w:szCs w:val="24"/>
        </w:rPr>
        <w:t xml:space="preserve"> at partnering agencies or at community events (such as gay </w:t>
      </w:r>
      <w:r w:rsidR="00D652D5">
        <w:rPr>
          <w:b w:val="0"/>
          <w:sz w:val="24"/>
          <w:szCs w:val="24"/>
        </w:rPr>
        <w:t>P</w:t>
      </w:r>
      <w:r w:rsidR="00906D65">
        <w:rPr>
          <w:b w:val="0"/>
          <w:sz w:val="24"/>
          <w:szCs w:val="24"/>
        </w:rPr>
        <w:t>ride festivals)</w:t>
      </w:r>
      <w:r>
        <w:rPr>
          <w:b w:val="0"/>
          <w:sz w:val="24"/>
          <w:szCs w:val="24"/>
        </w:rPr>
        <w:t>.</w:t>
      </w:r>
      <w:r w:rsidR="00222B1B" w:rsidRPr="00222B1B">
        <w:rPr>
          <w:b w:val="0"/>
          <w:sz w:val="24"/>
          <w:szCs w:val="24"/>
        </w:rPr>
        <w:t xml:space="preserve"> </w:t>
      </w:r>
      <w:r w:rsidR="00614848" w:rsidRPr="003D57E7">
        <w:rPr>
          <w:b w:val="0"/>
          <w:sz w:val="24"/>
          <w:szCs w:val="24"/>
        </w:rPr>
        <w:t xml:space="preserve">We anticipate screening a total of </w:t>
      </w:r>
      <w:r w:rsidRPr="001855A3">
        <w:rPr>
          <w:b w:val="0"/>
          <w:sz w:val="24"/>
          <w:szCs w:val="24"/>
        </w:rPr>
        <w:t>600</w:t>
      </w:r>
      <w:r>
        <w:rPr>
          <w:b w:val="0"/>
          <w:sz w:val="24"/>
          <w:szCs w:val="24"/>
        </w:rPr>
        <w:t xml:space="preserve"> </w:t>
      </w:r>
      <w:r w:rsidR="00614848" w:rsidRPr="003D57E7">
        <w:rPr>
          <w:b w:val="0"/>
          <w:sz w:val="24"/>
          <w:szCs w:val="24"/>
        </w:rPr>
        <w:t>respondents, at various locations</w:t>
      </w:r>
      <w:r w:rsidR="00614848">
        <w:rPr>
          <w:b w:val="0"/>
          <w:sz w:val="24"/>
          <w:szCs w:val="24"/>
        </w:rPr>
        <w:t>,</w:t>
      </w:r>
      <w:r w:rsidR="00614848" w:rsidRPr="003D57E7">
        <w:rPr>
          <w:b w:val="0"/>
          <w:sz w:val="24"/>
          <w:szCs w:val="24"/>
        </w:rPr>
        <w:t xml:space="preserve"> and anticipate the screening process to take 5 minutes per respondent</w:t>
      </w:r>
      <w:r w:rsidR="00614848">
        <w:rPr>
          <w:b w:val="0"/>
          <w:sz w:val="24"/>
          <w:szCs w:val="24"/>
        </w:rPr>
        <w:t xml:space="preserve"> for</w:t>
      </w:r>
      <w:r w:rsidR="00614848" w:rsidRPr="003D57E7">
        <w:rPr>
          <w:b w:val="0"/>
          <w:sz w:val="24"/>
          <w:szCs w:val="24"/>
        </w:rPr>
        <w:t xml:space="preserve"> </w:t>
      </w:r>
      <w:r w:rsidR="00614848">
        <w:rPr>
          <w:b w:val="0"/>
          <w:sz w:val="24"/>
          <w:szCs w:val="24"/>
        </w:rPr>
        <w:t xml:space="preserve">a </w:t>
      </w:r>
      <w:r w:rsidR="00614848" w:rsidRPr="003D57E7">
        <w:rPr>
          <w:b w:val="0"/>
          <w:sz w:val="24"/>
          <w:szCs w:val="24"/>
        </w:rPr>
        <w:t xml:space="preserve">total </w:t>
      </w:r>
      <w:r w:rsidR="00614848">
        <w:rPr>
          <w:b w:val="0"/>
          <w:sz w:val="24"/>
          <w:szCs w:val="24"/>
        </w:rPr>
        <w:t xml:space="preserve">of </w:t>
      </w:r>
      <w:r>
        <w:rPr>
          <w:b w:val="0"/>
          <w:sz w:val="24"/>
          <w:szCs w:val="24"/>
        </w:rPr>
        <w:t>5</w:t>
      </w:r>
      <w:r w:rsidR="001223A1">
        <w:rPr>
          <w:b w:val="0"/>
          <w:sz w:val="24"/>
          <w:szCs w:val="24"/>
        </w:rPr>
        <w:t>0</w:t>
      </w:r>
      <w:r w:rsidRPr="003D57E7">
        <w:rPr>
          <w:b w:val="0"/>
          <w:sz w:val="24"/>
          <w:szCs w:val="24"/>
        </w:rPr>
        <w:t xml:space="preserve"> </w:t>
      </w:r>
      <w:r w:rsidR="00614848" w:rsidRPr="003D57E7">
        <w:rPr>
          <w:b w:val="0"/>
          <w:sz w:val="24"/>
          <w:szCs w:val="24"/>
        </w:rPr>
        <w:t>burden hours</w:t>
      </w:r>
      <w:r w:rsidR="008E7C75">
        <w:rPr>
          <w:b w:val="0"/>
          <w:sz w:val="24"/>
          <w:szCs w:val="24"/>
        </w:rPr>
        <w:t xml:space="preserve"> (</w:t>
      </w:r>
      <w:r w:rsidR="008E7C75">
        <w:rPr>
          <w:sz w:val="24"/>
          <w:szCs w:val="24"/>
        </w:rPr>
        <w:t>A</w:t>
      </w:r>
      <w:r w:rsidR="008E7C75" w:rsidRPr="00E84E2B">
        <w:rPr>
          <w:sz w:val="24"/>
          <w:szCs w:val="24"/>
        </w:rPr>
        <w:t>ttachment</w:t>
      </w:r>
      <w:r w:rsidR="00255204">
        <w:rPr>
          <w:sz w:val="24"/>
          <w:szCs w:val="24"/>
        </w:rPr>
        <w:t xml:space="preserve"> 3a</w:t>
      </w:r>
      <w:r w:rsidR="008E7C75">
        <w:rPr>
          <w:sz w:val="24"/>
          <w:szCs w:val="24"/>
        </w:rPr>
        <w:t>)</w:t>
      </w:r>
      <w:r w:rsidR="00614848" w:rsidRPr="003D57E7">
        <w:rPr>
          <w:b w:val="0"/>
          <w:sz w:val="24"/>
          <w:szCs w:val="24"/>
        </w:rPr>
        <w:t xml:space="preserve">.  Of the </w:t>
      </w:r>
      <w:r>
        <w:rPr>
          <w:b w:val="0"/>
          <w:sz w:val="24"/>
          <w:szCs w:val="24"/>
        </w:rPr>
        <w:t>6</w:t>
      </w:r>
      <w:r w:rsidRPr="003D57E7">
        <w:rPr>
          <w:b w:val="0"/>
          <w:sz w:val="24"/>
          <w:szCs w:val="24"/>
        </w:rPr>
        <w:t xml:space="preserve">00 </w:t>
      </w:r>
      <w:r w:rsidR="00614848">
        <w:rPr>
          <w:b w:val="0"/>
          <w:sz w:val="24"/>
          <w:szCs w:val="24"/>
        </w:rPr>
        <w:t xml:space="preserve">respondents screened, </w:t>
      </w:r>
      <w:r w:rsidR="00614848" w:rsidRPr="003D57E7">
        <w:rPr>
          <w:b w:val="0"/>
          <w:sz w:val="24"/>
          <w:szCs w:val="24"/>
        </w:rPr>
        <w:t>we anticipate a 50% response rate</w:t>
      </w:r>
      <w:r w:rsidR="000B5376">
        <w:rPr>
          <w:b w:val="0"/>
          <w:sz w:val="24"/>
          <w:szCs w:val="24"/>
        </w:rPr>
        <w:t xml:space="preserve">. We anticipate that recording a </w:t>
      </w:r>
      <w:r w:rsidR="00736876">
        <w:rPr>
          <w:b w:val="0"/>
          <w:sz w:val="24"/>
          <w:szCs w:val="24"/>
        </w:rPr>
        <w:t>respondent</w:t>
      </w:r>
      <w:r w:rsidR="000B5376">
        <w:rPr>
          <w:b w:val="0"/>
          <w:sz w:val="24"/>
          <w:szCs w:val="24"/>
        </w:rPr>
        <w:t xml:space="preserve">’s </w:t>
      </w:r>
      <w:r w:rsidR="00614848">
        <w:rPr>
          <w:b w:val="0"/>
          <w:sz w:val="24"/>
          <w:szCs w:val="24"/>
        </w:rPr>
        <w:t xml:space="preserve">contact information to take 1 minute per respondent for a total of </w:t>
      </w:r>
      <w:r w:rsidR="001223A1">
        <w:rPr>
          <w:b w:val="0"/>
          <w:sz w:val="24"/>
          <w:szCs w:val="24"/>
        </w:rPr>
        <w:t>5</w:t>
      </w:r>
      <w:r w:rsidR="00906D65">
        <w:rPr>
          <w:b w:val="0"/>
          <w:sz w:val="24"/>
          <w:szCs w:val="24"/>
        </w:rPr>
        <w:t xml:space="preserve"> </w:t>
      </w:r>
      <w:r w:rsidR="00614848">
        <w:rPr>
          <w:b w:val="0"/>
          <w:sz w:val="24"/>
          <w:szCs w:val="24"/>
        </w:rPr>
        <w:t xml:space="preserve">burden hours for </w:t>
      </w:r>
      <w:r w:rsidR="003116A4">
        <w:rPr>
          <w:b w:val="0"/>
          <w:sz w:val="24"/>
          <w:szCs w:val="24"/>
        </w:rPr>
        <w:t xml:space="preserve">the </w:t>
      </w:r>
      <w:r w:rsidR="00906D65">
        <w:rPr>
          <w:b w:val="0"/>
          <w:sz w:val="24"/>
          <w:szCs w:val="24"/>
        </w:rPr>
        <w:t xml:space="preserve">300 </w:t>
      </w:r>
      <w:r w:rsidR="00736876">
        <w:rPr>
          <w:b w:val="0"/>
          <w:sz w:val="24"/>
          <w:szCs w:val="24"/>
        </w:rPr>
        <w:t>respondent</w:t>
      </w:r>
      <w:r w:rsidR="00614848">
        <w:rPr>
          <w:b w:val="0"/>
          <w:sz w:val="24"/>
          <w:szCs w:val="24"/>
        </w:rPr>
        <w:t>s</w:t>
      </w:r>
      <w:r w:rsidR="003116A4">
        <w:rPr>
          <w:b w:val="0"/>
          <w:sz w:val="24"/>
          <w:szCs w:val="24"/>
        </w:rPr>
        <w:t xml:space="preserve"> </w:t>
      </w:r>
      <w:r w:rsidR="008D7BB0">
        <w:rPr>
          <w:b w:val="0"/>
          <w:sz w:val="24"/>
          <w:szCs w:val="24"/>
        </w:rPr>
        <w:t>(</w:t>
      </w:r>
      <w:r w:rsidR="008D7BB0" w:rsidRPr="003D57E7">
        <w:rPr>
          <w:sz w:val="24"/>
          <w:szCs w:val="24"/>
        </w:rPr>
        <w:t xml:space="preserve">Attachments </w:t>
      </w:r>
      <w:r w:rsidR="00255204">
        <w:rPr>
          <w:sz w:val="24"/>
          <w:szCs w:val="24"/>
        </w:rPr>
        <w:t>3f</w:t>
      </w:r>
      <w:r w:rsidR="008D7BB0">
        <w:rPr>
          <w:b w:val="0"/>
          <w:sz w:val="24"/>
          <w:szCs w:val="24"/>
        </w:rPr>
        <w:t>)</w:t>
      </w:r>
      <w:r w:rsidR="00614848">
        <w:rPr>
          <w:b w:val="0"/>
          <w:sz w:val="24"/>
          <w:szCs w:val="24"/>
        </w:rPr>
        <w:t xml:space="preserve">. </w:t>
      </w:r>
      <w:r w:rsidR="00736876">
        <w:rPr>
          <w:b w:val="0"/>
          <w:sz w:val="24"/>
          <w:szCs w:val="24"/>
        </w:rPr>
        <w:t>Respondent</w:t>
      </w:r>
      <w:r w:rsidR="00906D65">
        <w:rPr>
          <w:b w:val="0"/>
          <w:sz w:val="24"/>
          <w:szCs w:val="24"/>
        </w:rPr>
        <w:t>s recruited on site at partnering agencies or community events for the behavioral assessment will be immediately enrolled if eligible and be administered the behavioral assessment post enrollment</w:t>
      </w:r>
      <w:r w:rsidR="00FA06A3">
        <w:rPr>
          <w:b w:val="0"/>
          <w:sz w:val="24"/>
          <w:szCs w:val="24"/>
        </w:rPr>
        <w:t>;</w:t>
      </w:r>
      <w:r w:rsidR="00906D65">
        <w:rPr>
          <w:b w:val="0"/>
          <w:sz w:val="24"/>
          <w:szCs w:val="24"/>
        </w:rPr>
        <w:t xml:space="preserve"> therefore</w:t>
      </w:r>
      <w:r w:rsidR="00FA06A3">
        <w:rPr>
          <w:b w:val="0"/>
          <w:sz w:val="24"/>
          <w:szCs w:val="24"/>
        </w:rPr>
        <w:t>,</w:t>
      </w:r>
      <w:r w:rsidR="00906D65">
        <w:rPr>
          <w:b w:val="0"/>
          <w:sz w:val="24"/>
          <w:szCs w:val="24"/>
        </w:rPr>
        <w:t xml:space="preserve"> contact information will not be collected for these individuals. For phase 1 activities, we </w:t>
      </w:r>
      <w:r w:rsidR="00F7575E">
        <w:rPr>
          <w:b w:val="0"/>
          <w:sz w:val="24"/>
          <w:szCs w:val="24"/>
        </w:rPr>
        <w:t xml:space="preserve">will conduct a 1 hour </w:t>
      </w:r>
      <w:r w:rsidR="00906D65">
        <w:rPr>
          <w:b w:val="0"/>
          <w:sz w:val="24"/>
          <w:szCs w:val="24"/>
        </w:rPr>
        <w:t xml:space="preserve">focus group or a 45 minute semi-structured </w:t>
      </w:r>
      <w:r w:rsidR="0038000A">
        <w:rPr>
          <w:b w:val="0"/>
          <w:sz w:val="24"/>
          <w:szCs w:val="24"/>
        </w:rPr>
        <w:t xml:space="preserve">in depth </w:t>
      </w:r>
      <w:r w:rsidR="00F7575E">
        <w:rPr>
          <w:b w:val="0"/>
          <w:sz w:val="24"/>
          <w:szCs w:val="24"/>
        </w:rPr>
        <w:t xml:space="preserve">interview </w:t>
      </w:r>
      <w:r w:rsidR="00906D65">
        <w:rPr>
          <w:b w:val="0"/>
          <w:sz w:val="24"/>
          <w:szCs w:val="24"/>
        </w:rPr>
        <w:t xml:space="preserve">plus </w:t>
      </w:r>
      <w:r w:rsidR="003456FB">
        <w:rPr>
          <w:b w:val="0"/>
          <w:sz w:val="24"/>
          <w:szCs w:val="24"/>
        </w:rPr>
        <w:t xml:space="preserve">a </w:t>
      </w:r>
      <w:r w:rsidR="00906D65">
        <w:rPr>
          <w:b w:val="0"/>
          <w:sz w:val="24"/>
          <w:szCs w:val="24"/>
        </w:rPr>
        <w:t>30-minute behavioral assessment.</w:t>
      </w:r>
      <w:r w:rsidR="008E7C75">
        <w:rPr>
          <w:b w:val="0"/>
          <w:sz w:val="24"/>
          <w:szCs w:val="24"/>
        </w:rPr>
        <w:t xml:space="preserve"> </w:t>
      </w:r>
      <w:r w:rsidR="00BB0410" w:rsidRPr="00603813">
        <w:rPr>
          <w:b w:val="0"/>
          <w:sz w:val="24"/>
          <w:szCs w:val="24"/>
        </w:rPr>
        <w:t xml:space="preserve">The total </w:t>
      </w:r>
      <w:r w:rsidR="00A20EF7" w:rsidRPr="00603813">
        <w:rPr>
          <w:b w:val="0"/>
          <w:sz w:val="24"/>
          <w:szCs w:val="24"/>
        </w:rPr>
        <w:t xml:space="preserve">number of </w:t>
      </w:r>
      <w:r w:rsidR="00BB0410" w:rsidRPr="00603813">
        <w:rPr>
          <w:b w:val="0"/>
          <w:sz w:val="24"/>
          <w:szCs w:val="24"/>
        </w:rPr>
        <w:t xml:space="preserve">burden hours </w:t>
      </w:r>
      <w:r w:rsidR="00BB0410" w:rsidRPr="00A331B3">
        <w:rPr>
          <w:b w:val="0"/>
          <w:sz w:val="24"/>
          <w:szCs w:val="24"/>
        </w:rPr>
        <w:t>is</w:t>
      </w:r>
      <w:r w:rsidR="00BE426D">
        <w:rPr>
          <w:b w:val="0"/>
          <w:sz w:val="24"/>
          <w:szCs w:val="24"/>
        </w:rPr>
        <w:t xml:space="preserve"> 335</w:t>
      </w:r>
      <w:r w:rsidR="00E128A4">
        <w:rPr>
          <w:b w:val="0"/>
          <w:sz w:val="24"/>
          <w:szCs w:val="24"/>
        </w:rPr>
        <w:t>.</w:t>
      </w:r>
      <w:r w:rsidR="00BB0410" w:rsidRPr="00603813">
        <w:rPr>
          <w:b w:val="0"/>
          <w:sz w:val="24"/>
          <w:szCs w:val="24"/>
        </w:rPr>
        <w:t xml:space="preserve"> </w:t>
      </w:r>
    </w:p>
    <w:p w:rsidR="009D2CFD" w:rsidRPr="00603813" w:rsidRDefault="009D2CFD" w:rsidP="002E15A0"/>
    <w:p w:rsidR="00133B17" w:rsidRDefault="00133B17" w:rsidP="002E15A0">
      <w:pPr>
        <w:rPr>
          <w:b/>
        </w:rPr>
      </w:pPr>
      <w:r w:rsidRPr="00603813">
        <w:rPr>
          <w:b/>
        </w:rPr>
        <w:t>Exhibit</w:t>
      </w:r>
      <w:r w:rsidR="00DD3D26" w:rsidRPr="00603813">
        <w:rPr>
          <w:b/>
        </w:rPr>
        <w:t xml:space="preserve"> </w:t>
      </w:r>
      <w:r w:rsidR="001123C3" w:rsidRPr="00603813">
        <w:rPr>
          <w:b/>
        </w:rPr>
        <w:t>A</w:t>
      </w:r>
      <w:r w:rsidR="003C2783" w:rsidRPr="00603813">
        <w:rPr>
          <w:b/>
        </w:rPr>
        <w:t>12.</w:t>
      </w:r>
      <w:r w:rsidRPr="00603813">
        <w:rPr>
          <w:b/>
        </w:rPr>
        <w:t xml:space="preserve">1: </w:t>
      </w:r>
      <w:r w:rsidR="002011D6" w:rsidRPr="00603813">
        <w:rPr>
          <w:b/>
        </w:rPr>
        <w:t xml:space="preserve">Estimated </w:t>
      </w:r>
      <w:r w:rsidR="009559DE" w:rsidRPr="009559DE">
        <w:rPr>
          <w:b/>
        </w:rPr>
        <w:t>Annualized</w:t>
      </w:r>
      <w:r w:rsidR="009559DE">
        <w:rPr>
          <w:b/>
        </w:rPr>
        <w:t xml:space="preserve"> </w:t>
      </w:r>
      <w:r w:rsidR="002011D6" w:rsidRPr="00603813">
        <w:rPr>
          <w:b/>
        </w:rPr>
        <w:t>Burden Hours</w:t>
      </w:r>
    </w:p>
    <w:p w:rsidR="00806C31" w:rsidRDefault="00806C31" w:rsidP="00806C31">
      <w:pPr>
        <w:rPr>
          <w:color w:val="1F497D"/>
          <w:sz w:val="22"/>
          <w:szCs w:val="22"/>
        </w:rPr>
      </w:pPr>
      <w:r>
        <w:rPr>
          <w:color w:val="1F497D"/>
        </w:rPr>
        <w:t xml:space="preserve">                                                                                                                  </w:t>
      </w:r>
    </w:p>
    <w:tbl>
      <w:tblPr>
        <w:tblW w:w="9540" w:type="dxa"/>
        <w:tblCellMar>
          <w:left w:w="0" w:type="dxa"/>
          <w:right w:w="0" w:type="dxa"/>
        </w:tblCellMar>
        <w:tblLook w:val="04A0" w:firstRow="1" w:lastRow="0" w:firstColumn="1" w:lastColumn="0" w:noHBand="0" w:noVBand="1"/>
      </w:tblPr>
      <w:tblGrid>
        <w:gridCol w:w="1703"/>
        <w:gridCol w:w="2030"/>
        <w:gridCol w:w="1565"/>
        <w:gridCol w:w="1642"/>
        <w:gridCol w:w="1568"/>
        <w:gridCol w:w="1032"/>
      </w:tblGrid>
      <w:tr w:rsidR="00806C31" w:rsidRPr="00F830D5" w:rsidTr="00663ACB">
        <w:trPr>
          <w:cantSplit/>
          <w:tblHeader/>
        </w:trPr>
        <w:tc>
          <w:tcPr>
            <w:tcW w:w="1703" w:type="dxa"/>
            <w:tcBorders>
              <w:top w:val="single" w:sz="8" w:space="0" w:color="000000"/>
              <w:left w:val="single" w:sz="8" w:space="0" w:color="000000"/>
              <w:bottom w:val="nil"/>
              <w:right w:val="nil"/>
            </w:tcBorders>
            <w:tcMar>
              <w:top w:w="0" w:type="dxa"/>
              <w:left w:w="129" w:type="dxa"/>
              <w:bottom w:w="0" w:type="dxa"/>
              <w:right w:w="129" w:type="dxa"/>
            </w:tcMar>
            <w:hideMark/>
          </w:tcPr>
          <w:p w:rsidR="00806C31" w:rsidRPr="00F830D5" w:rsidRDefault="00806C31">
            <w:pPr>
              <w:rPr>
                <w:b/>
                <w:bCs/>
              </w:rPr>
            </w:pPr>
            <w:r w:rsidRPr="00F830D5">
              <w:rPr>
                <w:b/>
                <w:bCs/>
              </w:rPr>
              <w:t>Type of Respondent</w:t>
            </w:r>
          </w:p>
        </w:tc>
        <w:tc>
          <w:tcPr>
            <w:tcW w:w="2030" w:type="dxa"/>
            <w:tcBorders>
              <w:top w:val="single" w:sz="8" w:space="0" w:color="000000"/>
              <w:left w:val="single" w:sz="8" w:space="0" w:color="000000"/>
              <w:bottom w:val="nil"/>
              <w:right w:val="nil"/>
            </w:tcBorders>
            <w:tcMar>
              <w:top w:w="0" w:type="dxa"/>
              <w:left w:w="129" w:type="dxa"/>
              <w:bottom w:w="0" w:type="dxa"/>
              <w:right w:w="129" w:type="dxa"/>
            </w:tcMar>
            <w:hideMark/>
          </w:tcPr>
          <w:p w:rsidR="00806C31" w:rsidRPr="00F830D5" w:rsidRDefault="00806C31">
            <w:pPr>
              <w:rPr>
                <w:b/>
                <w:bCs/>
              </w:rPr>
            </w:pPr>
            <w:r w:rsidRPr="00F830D5">
              <w:rPr>
                <w:b/>
                <w:bCs/>
              </w:rPr>
              <w:t>Form Name</w:t>
            </w:r>
          </w:p>
        </w:tc>
        <w:tc>
          <w:tcPr>
            <w:tcW w:w="1565" w:type="dxa"/>
            <w:tcBorders>
              <w:top w:val="single" w:sz="8" w:space="0" w:color="000000"/>
              <w:left w:val="single" w:sz="8" w:space="0" w:color="000000"/>
              <w:bottom w:val="nil"/>
              <w:right w:val="nil"/>
            </w:tcBorders>
            <w:tcMar>
              <w:top w:w="0" w:type="dxa"/>
              <w:left w:w="129" w:type="dxa"/>
              <w:bottom w:w="0" w:type="dxa"/>
              <w:right w:w="129" w:type="dxa"/>
            </w:tcMar>
            <w:hideMark/>
          </w:tcPr>
          <w:p w:rsidR="00806C31" w:rsidRPr="00F830D5" w:rsidRDefault="00806C31">
            <w:pPr>
              <w:rPr>
                <w:b/>
                <w:bCs/>
              </w:rPr>
            </w:pPr>
            <w:r w:rsidRPr="00F830D5">
              <w:rPr>
                <w:b/>
                <w:bCs/>
              </w:rPr>
              <w:t>No. of Respondents</w:t>
            </w:r>
          </w:p>
        </w:tc>
        <w:tc>
          <w:tcPr>
            <w:tcW w:w="1642" w:type="dxa"/>
            <w:tcBorders>
              <w:top w:val="single" w:sz="8" w:space="0" w:color="000000"/>
              <w:left w:val="single" w:sz="8" w:space="0" w:color="000000"/>
              <w:bottom w:val="nil"/>
              <w:right w:val="nil"/>
            </w:tcBorders>
            <w:tcMar>
              <w:top w:w="0" w:type="dxa"/>
              <w:left w:w="129" w:type="dxa"/>
              <w:bottom w:w="0" w:type="dxa"/>
              <w:right w:w="129" w:type="dxa"/>
            </w:tcMar>
            <w:hideMark/>
          </w:tcPr>
          <w:p w:rsidR="00806C31" w:rsidRPr="00F830D5" w:rsidRDefault="00806C31">
            <w:pPr>
              <w:rPr>
                <w:b/>
                <w:bCs/>
              </w:rPr>
            </w:pPr>
            <w:r w:rsidRPr="00F830D5">
              <w:rPr>
                <w:b/>
                <w:bCs/>
              </w:rPr>
              <w:t>No. of Responses Per Respondent</w:t>
            </w:r>
          </w:p>
        </w:tc>
        <w:tc>
          <w:tcPr>
            <w:tcW w:w="1568" w:type="dxa"/>
            <w:tcBorders>
              <w:top w:val="single" w:sz="8" w:space="0" w:color="000000"/>
              <w:left w:val="single" w:sz="8" w:space="0" w:color="000000"/>
              <w:bottom w:val="nil"/>
              <w:right w:val="single" w:sz="8" w:space="0" w:color="000000"/>
            </w:tcBorders>
            <w:tcMar>
              <w:top w:w="0" w:type="dxa"/>
              <w:left w:w="129" w:type="dxa"/>
              <w:bottom w:w="0" w:type="dxa"/>
              <w:right w:w="129" w:type="dxa"/>
            </w:tcMar>
            <w:hideMark/>
          </w:tcPr>
          <w:p w:rsidR="00806C31" w:rsidRPr="00F830D5" w:rsidRDefault="00806C31">
            <w:pPr>
              <w:rPr>
                <w:b/>
                <w:bCs/>
              </w:rPr>
            </w:pPr>
            <w:r w:rsidRPr="00F830D5">
              <w:rPr>
                <w:b/>
                <w:bCs/>
              </w:rPr>
              <w:t xml:space="preserve">Average Burden Per Response (in Hours) </w:t>
            </w:r>
          </w:p>
        </w:tc>
        <w:tc>
          <w:tcPr>
            <w:tcW w:w="1032" w:type="dxa"/>
            <w:tcBorders>
              <w:top w:val="single" w:sz="8" w:space="0" w:color="000000"/>
              <w:left w:val="nil"/>
              <w:bottom w:val="nil"/>
              <w:right w:val="single" w:sz="8" w:space="0" w:color="000000"/>
            </w:tcBorders>
            <w:tcMar>
              <w:top w:w="0" w:type="dxa"/>
              <w:left w:w="129" w:type="dxa"/>
              <w:bottom w:w="0" w:type="dxa"/>
              <w:right w:w="129" w:type="dxa"/>
            </w:tcMar>
            <w:hideMark/>
          </w:tcPr>
          <w:p w:rsidR="00806C31" w:rsidRPr="00F830D5" w:rsidRDefault="00806C31">
            <w:pPr>
              <w:rPr>
                <w:b/>
                <w:bCs/>
              </w:rPr>
            </w:pPr>
            <w:r w:rsidRPr="00F830D5">
              <w:rPr>
                <w:b/>
                <w:bCs/>
              </w:rPr>
              <w:t xml:space="preserve">Total </w:t>
            </w:r>
          </w:p>
          <w:p w:rsidR="00806C31" w:rsidRPr="00F830D5" w:rsidRDefault="00806C31">
            <w:pPr>
              <w:rPr>
                <w:b/>
                <w:bCs/>
              </w:rPr>
            </w:pPr>
            <w:r w:rsidRPr="00F830D5">
              <w:rPr>
                <w:b/>
                <w:bCs/>
              </w:rPr>
              <w:t>Burden</w:t>
            </w:r>
          </w:p>
          <w:p w:rsidR="00806C31" w:rsidRPr="00F830D5" w:rsidRDefault="00806C31">
            <w:pPr>
              <w:rPr>
                <w:b/>
                <w:bCs/>
              </w:rPr>
            </w:pPr>
            <w:r w:rsidRPr="00F830D5">
              <w:rPr>
                <w:b/>
                <w:bCs/>
              </w:rPr>
              <w:t>Hours</w:t>
            </w:r>
          </w:p>
        </w:tc>
      </w:tr>
      <w:tr w:rsidR="00806C31" w:rsidRPr="00F830D5" w:rsidTr="00663ACB">
        <w:trPr>
          <w:cantSplit/>
        </w:trPr>
        <w:tc>
          <w:tcPr>
            <w:tcW w:w="1703" w:type="dxa"/>
            <w:tcBorders>
              <w:top w:val="single" w:sz="8" w:space="0" w:color="auto"/>
              <w:left w:val="single" w:sz="8" w:space="0" w:color="auto"/>
              <w:bottom w:val="single" w:sz="8" w:space="0" w:color="auto"/>
              <w:right w:val="single" w:sz="8" w:space="0" w:color="auto"/>
            </w:tcBorders>
            <w:tcMar>
              <w:top w:w="0" w:type="dxa"/>
              <w:left w:w="129" w:type="dxa"/>
              <w:bottom w:w="0" w:type="dxa"/>
              <w:right w:w="129" w:type="dxa"/>
            </w:tcMar>
            <w:hideMark/>
          </w:tcPr>
          <w:p w:rsidR="00806C31" w:rsidRPr="00F830D5" w:rsidRDefault="00806C31" w:rsidP="00906D65">
            <w:r w:rsidRPr="00F830D5">
              <w:t xml:space="preserve">General Public- Adults </w:t>
            </w:r>
          </w:p>
        </w:tc>
        <w:tc>
          <w:tcPr>
            <w:tcW w:w="2030" w:type="dxa"/>
            <w:tcBorders>
              <w:top w:val="single" w:sz="8" w:space="0" w:color="000000"/>
              <w:left w:val="nil"/>
              <w:bottom w:val="single" w:sz="8" w:space="0" w:color="000000"/>
              <w:right w:val="nil"/>
            </w:tcBorders>
            <w:tcMar>
              <w:top w:w="0" w:type="dxa"/>
              <w:left w:w="129" w:type="dxa"/>
              <w:bottom w:w="0" w:type="dxa"/>
              <w:right w:w="129" w:type="dxa"/>
            </w:tcMar>
            <w:hideMark/>
          </w:tcPr>
          <w:p w:rsidR="00806C31" w:rsidRPr="00F830D5" w:rsidRDefault="00BA73EA" w:rsidP="00906D65">
            <w:pPr>
              <w:ind w:left="-39" w:right="51"/>
            </w:pPr>
            <w:r>
              <w:t>Attachment 3a</w:t>
            </w:r>
            <w:r w:rsidR="00806C31" w:rsidRPr="00F830D5">
              <w:t>.</w:t>
            </w:r>
            <w:r w:rsidR="00297E11">
              <w:t xml:space="preserve"> &amp; 3g</w:t>
            </w:r>
            <w:r w:rsidR="009B4E96">
              <w:t>.</w:t>
            </w:r>
            <w:r w:rsidR="00806C31" w:rsidRPr="00F830D5">
              <w:t xml:space="preserve"> Screener</w:t>
            </w:r>
          </w:p>
        </w:tc>
        <w:tc>
          <w:tcPr>
            <w:tcW w:w="1565" w:type="dxa"/>
            <w:tcBorders>
              <w:top w:val="single" w:sz="8" w:space="0" w:color="000000"/>
              <w:left w:val="single" w:sz="8" w:space="0" w:color="000000"/>
              <w:bottom w:val="single" w:sz="8" w:space="0" w:color="000000"/>
              <w:right w:val="nil"/>
            </w:tcBorders>
            <w:tcMar>
              <w:top w:w="0" w:type="dxa"/>
              <w:left w:w="129" w:type="dxa"/>
              <w:bottom w:w="0" w:type="dxa"/>
              <w:right w:w="129" w:type="dxa"/>
            </w:tcMar>
            <w:vAlign w:val="center"/>
            <w:hideMark/>
          </w:tcPr>
          <w:p w:rsidR="00806C31" w:rsidRPr="00F830D5" w:rsidRDefault="0029597A">
            <w:r>
              <w:t>600</w:t>
            </w:r>
          </w:p>
        </w:tc>
        <w:tc>
          <w:tcPr>
            <w:tcW w:w="1642" w:type="dxa"/>
            <w:tcBorders>
              <w:top w:val="single" w:sz="8" w:space="0" w:color="000000"/>
              <w:left w:val="single" w:sz="8" w:space="0" w:color="000000"/>
              <w:bottom w:val="single" w:sz="8" w:space="0" w:color="000000"/>
              <w:right w:val="nil"/>
            </w:tcBorders>
            <w:tcMar>
              <w:top w:w="0" w:type="dxa"/>
              <w:left w:w="129" w:type="dxa"/>
              <w:bottom w:w="0" w:type="dxa"/>
              <w:right w:w="129" w:type="dxa"/>
            </w:tcMar>
            <w:vAlign w:val="center"/>
            <w:hideMark/>
          </w:tcPr>
          <w:p w:rsidR="00806C31" w:rsidRPr="00F830D5" w:rsidRDefault="00806C31">
            <w:pPr>
              <w:ind w:right="-39"/>
            </w:pPr>
            <w:r w:rsidRPr="00F830D5">
              <w:t>1</w:t>
            </w:r>
          </w:p>
        </w:tc>
        <w:tc>
          <w:tcPr>
            <w:tcW w:w="1568" w:type="dxa"/>
            <w:tcBorders>
              <w:top w:val="single" w:sz="8" w:space="0" w:color="000000"/>
              <w:left w:val="single" w:sz="8" w:space="0" w:color="000000"/>
              <w:bottom w:val="single" w:sz="8" w:space="0" w:color="000000"/>
              <w:right w:val="single" w:sz="8" w:space="0" w:color="000000"/>
            </w:tcBorders>
            <w:tcMar>
              <w:top w:w="0" w:type="dxa"/>
              <w:left w:w="129" w:type="dxa"/>
              <w:bottom w:w="0" w:type="dxa"/>
              <w:right w:w="129" w:type="dxa"/>
            </w:tcMar>
            <w:vAlign w:val="center"/>
            <w:hideMark/>
          </w:tcPr>
          <w:p w:rsidR="00806C31" w:rsidRPr="00F830D5" w:rsidRDefault="00806C31" w:rsidP="009A1B49">
            <w:pPr>
              <w:ind w:right="-39"/>
            </w:pPr>
            <w:r w:rsidRPr="00F830D5">
              <w:t>5/60</w:t>
            </w:r>
            <w:r w:rsidR="009136FD">
              <w:t xml:space="preserve"> </w:t>
            </w:r>
          </w:p>
        </w:tc>
        <w:tc>
          <w:tcPr>
            <w:tcW w:w="1032" w:type="dxa"/>
            <w:tcBorders>
              <w:top w:val="single" w:sz="8" w:space="0" w:color="000000"/>
              <w:left w:val="nil"/>
              <w:bottom w:val="single" w:sz="8" w:space="0" w:color="000000"/>
              <w:right w:val="single" w:sz="8" w:space="0" w:color="000000"/>
            </w:tcBorders>
            <w:tcMar>
              <w:top w:w="0" w:type="dxa"/>
              <w:left w:w="129" w:type="dxa"/>
              <w:bottom w:w="0" w:type="dxa"/>
              <w:right w:w="129" w:type="dxa"/>
            </w:tcMar>
            <w:vAlign w:val="center"/>
            <w:hideMark/>
          </w:tcPr>
          <w:p w:rsidR="00806C31" w:rsidRPr="00F830D5" w:rsidRDefault="003C0D13" w:rsidP="003C0D13">
            <w:r>
              <w:t>50</w:t>
            </w:r>
          </w:p>
        </w:tc>
      </w:tr>
      <w:tr w:rsidR="00806C31" w:rsidRPr="00F830D5" w:rsidTr="00663ACB">
        <w:trPr>
          <w:cantSplit/>
        </w:trPr>
        <w:tc>
          <w:tcPr>
            <w:tcW w:w="1703" w:type="dxa"/>
            <w:tcBorders>
              <w:top w:val="single" w:sz="4" w:space="0" w:color="auto"/>
              <w:left w:val="single" w:sz="8" w:space="0" w:color="auto"/>
              <w:bottom w:val="single" w:sz="8" w:space="0" w:color="auto"/>
              <w:right w:val="single" w:sz="8" w:space="0" w:color="auto"/>
            </w:tcBorders>
            <w:tcMar>
              <w:top w:w="0" w:type="dxa"/>
              <w:left w:w="129" w:type="dxa"/>
              <w:bottom w:w="0" w:type="dxa"/>
              <w:right w:w="129" w:type="dxa"/>
            </w:tcMar>
            <w:hideMark/>
          </w:tcPr>
          <w:p w:rsidR="00806C31" w:rsidRPr="00F830D5" w:rsidRDefault="00806C31" w:rsidP="00906D65">
            <w:r w:rsidRPr="00F830D5">
              <w:t xml:space="preserve">General Public- Adults </w:t>
            </w:r>
          </w:p>
        </w:tc>
        <w:tc>
          <w:tcPr>
            <w:tcW w:w="2030" w:type="dxa"/>
            <w:tcBorders>
              <w:top w:val="single" w:sz="4" w:space="0" w:color="auto"/>
              <w:left w:val="nil"/>
              <w:bottom w:val="single" w:sz="8" w:space="0" w:color="000000"/>
              <w:right w:val="nil"/>
            </w:tcBorders>
            <w:tcMar>
              <w:top w:w="0" w:type="dxa"/>
              <w:left w:w="129" w:type="dxa"/>
              <w:bottom w:w="0" w:type="dxa"/>
              <w:right w:w="129" w:type="dxa"/>
            </w:tcMar>
            <w:hideMark/>
          </w:tcPr>
          <w:p w:rsidR="00806C31" w:rsidRPr="00F830D5" w:rsidRDefault="00BA73EA" w:rsidP="00906D65">
            <w:pPr>
              <w:ind w:left="-39" w:right="51"/>
            </w:pPr>
            <w:r>
              <w:t>Attachment 3f. Contact</w:t>
            </w:r>
            <w:r w:rsidR="00806C31" w:rsidRPr="00F830D5">
              <w:t xml:space="preserve"> Form</w:t>
            </w:r>
          </w:p>
        </w:tc>
        <w:tc>
          <w:tcPr>
            <w:tcW w:w="1565" w:type="dxa"/>
            <w:tcBorders>
              <w:top w:val="single" w:sz="4" w:space="0" w:color="auto"/>
              <w:left w:val="single" w:sz="8" w:space="0" w:color="000000"/>
              <w:bottom w:val="single" w:sz="8" w:space="0" w:color="000000"/>
              <w:right w:val="nil"/>
            </w:tcBorders>
            <w:tcMar>
              <w:top w:w="0" w:type="dxa"/>
              <w:left w:w="129" w:type="dxa"/>
              <w:bottom w:w="0" w:type="dxa"/>
              <w:right w:w="129" w:type="dxa"/>
            </w:tcMar>
            <w:vAlign w:val="center"/>
            <w:hideMark/>
          </w:tcPr>
          <w:p w:rsidR="00806C31" w:rsidRPr="00F830D5" w:rsidRDefault="000D492F">
            <w:r>
              <w:t>300</w:t>
            </w:r>
          </w:p>
        </w:tc>
        <w:tc>
          <w:tcPr>
            <w:tcW w:w="1642" w:type="dxa"/>
            <w:tcBorders>
              <w:top w:val="single" w:sz="4" w:space="0" w:color="auto"/>
              <w:left w:val="single" w:sz="8" w:space="0" w:color="000000"/>
              <w:bottom w:val="single" w:sz="8" w:space="0" w:color="000000"/>
              <w:right w:val="nil"/>
            </w:tcBorders>
            <w:tcMar>
              <w:top w:w="0" w:type="dxa"/>
              <w:left w:w="129" w:type="dxa"/>
              <w:bottom w:w="0" w:type="dxa"/>
              <w:right w:w="129" w:type="dxa"/>
            </w:tcMar>
            <w:vAlign w:val="center"/>
            <w:hideMark/>
          </w:tcPr>
          <w:p w:rsidR="00806C31" w:rsidRPr="00F830D5" w:rsidRDefault="009136FD">
            <w:pPr>
              <w:ind w:right="-39"/>
            </w:pPr>
            <w:r>
              <w:t>1</w:t>
            </w:r>
          </w:p>
        </w:tc>
        <w:tc>
          <w:tcPr>
            <w:tcW w:w="1568" w:type="dxa"/>
            <w:tcBorders>
              <w:top w:val="single" w:sz="4" w:space="0" w:color="auto"/>
              <w:left w:val="single" w:sz="8" w:space="0" w:color="000000"/>
              <w:bottom w:val="single" w:sz="8" w:space="0" w:color="000000"/>
              <w:right w:val="single" w:sz="8" w:space="0" w:color="000000"/>
            </w:tcBorders>
            <w:tcMar>
              <w:top w:w="0" w:type="dxa"/>
              <w:left w:w="129" w:type="dxa"/>
              <w:bottom w:w="0" w:type="dxa"/>
              <w:right w:w="129" w:type="dxa"/>
            </w:tcMar>
            <w:vAlign w:val="center"/>
            <w:hideMark/>
          </w:tcPr>
          <w:p w:rsidR="00806C31" w:rsidRPr="00F830D5" w:rsidRDefault="00806C31" w:rsidP="009A1B49">
            <w:pPr>
              <w:ind w:right="-39"/>
            </w:pPr>
            <w:r w:rsidRPr="00F830D5">
              <w:t>1/60</w:t>
            </w:r>
            <w:r w:rsidR="009136FD">
              <w:t xml:space="preserve"> </w:t>
            </w:r>
          </w:p>
        </w:tc>
        <w:tc>
          <w:tcPr>
            <w:tcW w:w="1032" w:type="dxa"/>
            <w:tcBorders>
              <w:top w:val="single" w:sz="4" w:space="0" w:color="auto"/>
              <w:left w:val="nil"/>
              <w:bottom w:val="single" w:sz="8" w:space="0" w:color="000000"/>
              <w:right w:val="single" w:sz="8" w:space="0" w:color="000000"/>
            </w:tcBorders>
            <w:tcMar>
              <w:top w:w="0" w:type="dxa"/>
              <w:left w:w="129" w:type="dxa"/>
              <w:bottom w:w="0" w:type="dxa"/>
              <w:right w:w="129" w:type="dxa"/>
            </w:tcMar>
            <w:vAlign w:val="center"/>
            <w:hideMark/>
          </w:tcPr>
          <w:p w:rsidR="00806C31" w:rsidRPr="00F830D5" w:rsidRDefault="003C0D13">
            <w:r>
              <w:t>5</w:t>
            </w:r>
          </w:p>
        </w:tc>
      </w:tr>
      <w:tr w:rsidR="00806C31" w:rsidRPr="00F830D5" w:rsidTr="00663ACB">
        <w:trPr>
          <w:cantSplit/>
        </w:trPr>
        <w:tc>
          <w:tcPr>
            <w:tcW w:w="1703" w:type="dxa"/>
            <w:tcBorders>
              <w:top w:val="nil"/>
              <w:left w:val="single" w:sz="8" w:space="0" w:color="auto"/>
              <w:bottom w:val="single" w:sz="8" w:space="0" w:color="auto"/>
              <w:right w:val="single" w:sz="8" w:space="0" w:color="auto"/>
            </w:tcBorders>
            <w:tcMar>
              <w:top w:w="0" w:type="dxa"/>
              <w:left w:w="129" w:type="dxa"/>
              <w:bottom w:w="0" w:type="dxa"/>
              <w:right w:w="129" w:type="dxa"/>
            </w:tcMar>
            <w:hideMark/>
          </w:tcPr>
          <w:p w:rsidR="00806C31" w:rsidRPr="00F830D5" w:rsidRDefault="00806C31" w:rsidP="00257C11">
            <w:r w:rsidRPr="00F830D5">
              <w:t xml:space="preserve">General Public- Adults </w:t>
            </w:r>
            <w:r w:rsidR="00257C11" w:rsidRPr="00F830D5">
              <w:t xml:space="preserve"> </w:t>
            </w:r>
          </w:p>
        </w:tc>
        <w:tc>
          <w:tcPr>
            <w:tcW w:w="2030" w:type="dxa"/>
            <w:tcBorders>
              <w:top w:val="nil"/>
              <w:left w:val="nil"/>
              <w:bottom w:val="single" w:sz="8" w:space="0" w:color="000000"/>
              <w:right w:val="nil"/>
            </w:tcBorders>
            <w:tcMar>
              <w:top w:w="0" w:type="dxa"/>
              <w:left w:w="129" w:type="dxa"/>
              <w:bottom w:w="0" w:type="dxa"/>
              <w:right w:w="129" w:type="dxa"/>
            </w:tcMar>
            <w:hideMark/>
          </w:tcPr>
          <w:p w:rsidR="00806C31" w:rsidRPr="00F830D5" w:rsidRDefault="00BA73EA" w:rsidP="00906D65">
            <w:pPr>
              <w:ind w:left="-39" w:right="51"/>
            </w:pPr>
            <w:r>
              <w:t>Attachment 3c</w:t>
            </w:r>
            <w:r w:rsidR="00806C31" w:rsidRPr="00F830D5">
              <w:t xml:space="preserve">.  </w:t>
            </w:r>
            <w:r>
              <w:t>In-depth</w:t>
            </w:r>
            <w:r w:rsidR="00806C31" w:rsidRPr="00F830D5">
              <w:t xml:space="preserve"> Interview Guide</w:t>
            </w:r>
          </w:p>
        </w:tc>
        <w:tc>
          <w:tcPr>
            <w:tcW w:w="1565" w:type="dxa"/>
            <w:tcBorders>
              <w:top w:val="nil"/>
              <w:left w:val="single" w:sz="8" w:space="0" w:color="000000"/>
              <w:bottom w:val="single" w:sz="8" w:space="0" w:color="000000"/>
              <w:right w:val="nil"/>
            </w:tcBorders>
            <w:tcMar>
              <w:top w:w="0" w:type="dxa"/>
              <w:left w:w="129" w:type="dxa"/>
              <w:bottom w:w="0" w:type="dxa"/>
              <w:right w:w="129" w:type="dxa"/>
            </w:tcMar>
            <w:vAlign w:val="center"/>
            <w:hideMark/>
          </w:tcPr>
          <w:p w:rsidR="00806C31" w:rsidRPr="00F830D5" w:rsidRDefault="000D492F">
            <w:r>
              <w:t>60</w:t>
            </w:r>
          </w:p>
        </w:tc>
        <w:tc>
          <w:tcPr>
            <w:tcW w:w="1642" w:type="dxa"/>
            <w:tcBorders>
              <w:top w:val="nil"/>
              <w:left w:val="single" w:sz="8" w:space="0" w:color="000000"/>
              <w:bottom w:val="single" w:sz="8" w:space="0" w:color="000000"/>
              <w:right w:val="nil"/>
            </w:tcBorders>
            <w:tcMar>
              <w:top w:w="0" w:type="dxa"/>
              <w:left w:w="129" w:type="dxa"/>
              <w:bottom w:w="0" w:type="dxa"/>
              <w:right w:w="129" w:type="dxa"/>
            </w:tcMar>
            <w:vAlign w:val="center"/>
            <w:hideMark/>
          </w:tcPr>
          <w:p w:rsidR="00806C31" w:rsidRPr="00F830D5" w:rsidRDefault="009136FD">
            <w:pPr>
              <w:ind w:right="-39"/>
            </w:pPr>
            <w:r>
              <w:t>1</w:t>
            </w:r>
          </w:p>
        </w:tc>
        <w:tc>
          <w:tcPr>
            <w:tcW w:w="1568" w:type="dxa"/>
            <w:tcBorders>
              <w:top w:val="nil"/>
              <w:left w:val="single" w:sz="8" w:space="0" w:color="000000"/>
              <w:bottom w:val="single" w:sz="8" w:space="0" w:color="000000"/>
              <w:right w:val="single" w:sz="8" w:space="0" w:color="000000"/>
            </w:tcBorders>
            <w:tcMar>
              <w:top w:w="0" w:type="dxa"/>
              <w:left w:w="129" w:type="dxa"/>
              <w:bottom w:w="0" w:type="dxa"/>
              <w:right w:w="129" w:type="dxa"/>
            </w:tcMar>
            <w:vAlign w:val="center"/>
            <w:hideMark/>
          </w:tcPr>
          <w:p w:rsidR="00806C31" w:rsidRPr="00F830D5" w:rsidRDefault="009136FD" w:rsidP="009A1B49">
            <w:pPr>
              <w:ind w:right="-39"/>
            </w:pPr>
            <w:r>
              <w:t xml:space="preserve">45/60 </w:t>
            </w:r>
          </w:p>
        </w:tc>
        <w:tc>
          <w:tcPr>
            <w:tcW w:w="1032" w:type="dxa"/>
            <w:tcBorders>
              <w:top w:val="nil"/>
              <w:left w:val="nil"/>
              <w:bottom w:val="single" w:sz="8" w:space="0" w:color="000000"/>
              <w:right w:val="single" w:sz="8" w:space="0" w:color="000000"/>
            </w:tcBorders>
            <w:tcMar>
              <w:top w:w="0" w:type="dxa"/>
              <w:left w:w="129" w:type="dxa"/>
              <w:bottom w:w="0" w:type="dxa"/>
              <w:right w:w="129" w:type="dxa"/>
            </w:tcMar>
            <w:vAlign w:val="center"/>
            <w:hideMark/>
          </w:tcPr>
          <w:p w:rsidR="00806C31" w:rsidRPr="00F830D5" w:rsidRDefault="009136FD">
            <w:r>
              <w:t>45</w:t>
            </w:r>
          </w:p>
        </w:tc>
      </w:tr>
      <w:tr w:rsidR="000D492F" w:rsidRPr="00F830D5" w:rsidTr="000D492F">
        <w:trPr>
          <w:cantSplit/>
        </w:trPr>
        <w:tc>
          <w:tcPr>
            <w:tcW w:w="1703" w:type="dxa"/>
            <w:tcBorders>
              <w:top w:val="nil"/>
              <w:left w:val="single" w:sz="8" w:space="0" w:color="auto"/>
              <w:bottom w:val="single" w:sz="8" w:space="0" w:color="auto"/>
              <w:right w:val="single" w:sz="8" w:space="0" w:color="auto"/>
            </w:tcBorders>
            <w:tcMar>
              <w:top w:w="0" w:type="dxa"/>
              <w:left w:w="129" w:type="dxa"/>
              <w:bottom w:w="0" w:type="dxa"/>
              <w:right w:w="129" w:type="dxa"/>
            </w:tcMar>
          </w:tcPr>
          <w:p w:rsidR="000D492F" w:rsidRPr="00F830D5" w:rsidRDefault="000D492F" w:rsidP="00257C11">
            <w:r>
              <w:t>General Public - Adults</w:t>
            </w:r>
          </w:p>
        </w:tc>
        <w:tc>
          <w:tcPr>
            <w:tcW w:w="2030" w:type="dxa"/>
            <w:tcBorders>
              <w:top w:val="nil"/>
              <w:left w:val="nil"/>
              <w:bottom w:val="single" w:sz="8" w:space="0" w:color="000000"/>
              <w:right w:val="nil"/>
            </w:tcBorders>
            <w:tcMar>
              <w:top w:w="0" w:type="dxa"/>
              <w:left w:w="129" w:type="dxa"/>
              <w:bottom w:w="0" w:type="dxa"/>
              <w:right w:w="129" w:type="dxa"/>
            </w:tcMar>
          </w:tcPr>
          <w:p w:rsidR="000D492F" w:rsidRPr="00F830D5" w:rsidDel="000D492F" w:rsidRDefault="00BA73EA" w:rsidP="00BA73EA">
            <w:pPr>
              <w:ind w:right="51"/>
            </w:pPr>
            <w:r>
              <w:t>Attachment 3d</w:t>
            </w:r>
            <w:r w:rsidR="000D492F">
              <w:t xml:space="preserve">. Focus Group </w:t>
            </w:r>
            <w:r>
              <w:t xml:space="preserve">Moderator </w:t>
            </w:r>
            <w:r w:rsidR="000D492F">
              <w:t>Guide</w:t>
            </w:r>
          </w:p>
        </w:tc>
        <w:tc>
          <w:tcPr>
            <w:tcW w:w="1565" w:type="dxa"/>
            <w:tcBorders>
              <w:top w:val="nil"/>
              <w:left w:val="single" w:sz="8" w:space="0" w:color="000000"/>
              <w:bottom w:val="single" w:sz="8" w:space="0" w:color="000000"/>
              <w:right w:val="nil"/>
            </w:tcBorders>
            <w:tcMar>
              <w:top w:w="0" w:type="dxa"/>
              <w:left w:w="129" w:type="dxa"/>
              <w:bottom w:w="0" w:type="dxa"/>
              <w:right w:w="129" w:type="dxa"/>
            </w:tcMar>
            <w:vAlign w:val="center"/>
          </w:tcPr>
          <w:p w:rsidR="000D492F" w:rsidRPr="00F830D5" w:rsidDel="000D492F" w:rsidRDefault="000D492F">
            <w:r>
              <w:t>60</w:t>
            </w:r>
          </w:p>
        </w:tc>
        <w:tc>
          <w:tcPr>
            <w:tcW w:w="1642" w:type="dxa"/>
            <w:tcBorders>
              <w:top w:val="nil"/>
              <w:left w:val="single" w:sz="8" w:space="0" w:color="000000"/>
              <w:bottom w:val="single" w:sz="8" w:space="0" w:color="000000"/>
              <w:right w:val="nil"/>
            </w:tcBorders>
            <w:tcMar>
              <w:top w:w="0" w:type="dxa"/>
              <w:left w:w="129" w:type="dxa"/>
              <w:bottom w:w="0" w:type="dxa"/>
              <w:right w:w="129" w:type="dxa"/>
            </w:tcMar>
            <w:vAlign w:val="center"/>
          </w:tcPr>
          <w:p w:rsidR="000D492F" w:rsidRPr="00F830D5" w:rsidRDefault="009136FD">
            <w:pPr>
              <w:ind w:right="-39"/>
            </w:pPr>
            <w:r>
              <w:t>1</w:t>
            </w:r>
          </w:p>
        </w:tc>
        <w:tc>
          <w:tcPr>
            <w:tcW w:w="1568" w:type="dxa"/>
            <w:tcBorders>
              <w:top w:val="nil"/>
              <w:left w:val="single" w:sz="8" w:space="0" w:color="000000"/>
              <w:bottom w:val="single" w:sz="8" w:space="0" w:color="000000"/>
              <w:right w:val="single" w:sz="8" w:space="0" w:color="000000"/>
            </w:tcBorders>
            <w:tcMar>
              <w:top w:w="0" w:type="dxa"/>
              <w:left w:w="129" w:type="dxa"/>
              <w:bottom w:w="0" w:type="dxa"/>
              <w:right w:w="129" w:type="dxa"/>
            </w:tcMar>
            <w:vAlign w:val="center"/>
          </w:tcPr>
          <w:p w:rsidR="000D492F" w:rsidRPr="00F830D5" w:rsidRDefault="009136FD">
            <w:pPr>
              <w:ind w:right="-39"/>
            </w:pPr>
            <w:r>
              <w:t>1</w:t>
            </w:r>
          </w:p>
        </w:tc>
        <w:tc>
          <w:tcPr>
            <w:tcW w:w="1032" w:type="dxa"/>
            <w:tcBorders>
              <w:top w:val="nil"/>
              <w:left w:val="nil"/>
              <w:bottom w:val="single" w:sz="8" w:space="0" w:color="000000"/>
              <w:right w:val="single" w:sz="8" w:space="0" w:color="000000"/>
            </w:tcBorders>
            <w:tcMar>
              <w:top w:w="0" w:type="dxa"/>
              <w:left w:w="129" w:type="dxa"/>
              <w:bottom w:w="0" w:type="dxa"/>
              <w:right w:w="129" w:type="dxa"/>
            </w:tcMar>
            <w:vAlign w:val="center"/>
          </w:tcPr>
          <w:p w:rsidR="000D492F" w:rsidRPr="00F830D5" w:rsidDel="000D492F" w:rsidRDefault="009136FD">
            <w:r>
              <w:t>60</w:t>
            </w:r>
          </w:p>
        </w:tc>
      </w:tr>
      <w:tr w:rsidR="000D492F" w:rsidRPr="00F830D5" w:rsidTr="00663ACB">
        <w:trPr>
          <w:cantSplit/>
        </w:trPr>
        <w:tc>
          <w:tcPr>
            <w:tcW w:w="1703" w:type="dxa"/>
            <w:tcBorders>
              <w:top w:val="nil"/>
              <w:left w:val="single" w:sz="8" w:space="0" w:color="auto"/>
              <w:bottom w:val="single" w:sz="4" w:space="0" w:color="auto"/>
              <w:right w:val="single" w:sz="8" w:space="0" w:color="auto"/>
            </w:tcBorders>
            <w:tcMar>
              <w:top w:w="0" w:type="dxa"/>
              <w:left w:w="129" w:type="dxa"/>
              <w:bottom w:w="0" w:type="dxa"/>
              <w:right w:w="129" w:type="dxa"/>
            </w:tcMar>
          </w:tcPr>
          <w:p w:rsidR="000D492F" w:rsidRPr="00F830D5" w:rsidRDefault="000D492F" w:rsidP="000D492F">
            <w:r w:rsidRPr="00C4106D">
              <w:t>General Public - Adults</w:t>
            </w:r>
          </w:p>
        </w:tc>
        <w:tc>
          <w:tcPr>
            <w:tcW w:w="2030" w:type="dxa"/>
            <w:tcBorders>
              <w:top w:val="nil"/>
              <w:left w:val="nil"/>
              <w:bottom w:val="single" w:sz="4" w:space="0" w:color="auto"/>
              <w:right w:val="nil"/>
            </w:tcBorders>
            <w:tcMar>
              <w:top w:w="0" w:type="dxa"/>
              <w:left w:w="129" w:type="dxa"/>
              <w:bottom w:w="0" w:type="dxa"/>
              <w:right w:w="129" w:type="dxa"/>
            </w:tcMar>
          </w:tcPr>
          <w:p w:rsidR="000D492F" w:rsidRPr="00F830D5" w:rsidRDefault="00BA73EA" w:rsidP="00BA73EA">
            <w:pPr>
              <w:ind w:right="51"/>
            </w:pPr>
            <w:r>
              <w:t>Attachment 3b</w:t>
            </w:r>
            <w:r w:rsidR="000D492F">
              <w:t>.</w:t>
            </w:r>
            <w:r w:rsidR="00297E11">
              <w:t xml:space="preserve"> &amp; 3g</w:t>
            </w:r>
            <w:r w:rsidR="006945FC">
              <w:t>.</w:t>
            </w:r>
            <w:r w:rsidR="000D492F">
              <w:t xml:space="preserve"> </w:t>
            </w:r>
            <w:r w:rsidR="00890D5C">
              <w:t>Eligibility verification</w:t>
            </w:r>
            <w:r w:rsidR="000D492F" w:rsidRPr="00C4106D">
              <w:t xml:space="preserve"> (verification of continuing eligibility)</w:t>
            </w:r>
          </w:p>
        </w:tc>
        <w:tc>
          <w:tcPr>
            <w:tcW w:w="1565" w:type="dxa"/>
            <w:tcBorders>
              <w:top w:val="nil"/>
              <w:left w:val="single" w:sz="8" w:space="0" w:color="000000"/>
              <w:bottom w:val="single" w:sz="4" w:space="0" w:color="auto"/>
              <w:right w:val="nil"/>
            </w:tcBorders>
            <w:tcMar>
              <w:top w:w="0" w:type="dxa"/>
              <w:left w:w="129" w:type="dxa"/>
              <w:bottom w:w="0" w:type="dxa"/>
              <w:right w:w="129" w:type="dxa"/>
            </w:tcMar>
            <w:vAlign w:val="center"/>
          </w:tcPr>
          <w:p w:rsidR="000D492F" w:rsidRPr="00F830D5" w:rsidRDefault="000D492F" w:rsidP="00663ACB">
            <w:r>
              <w:t>300</w:t>
            </w:r>
          </w:p>
        </w:tc>
        <w:tc>
          <w:tcPr>
            <w:tcW w:w="1642" w:type="dxa"/>
            <w:tcBorders>
              <w:top w:val="nil"/>
              <w:left w:val="single" w:sz="8" w:space="0" w:color="000000"/>
              <w:bottom w:val="single" w:sz="4" w:space="0" w:color="auto"/>
              <w:right w:val="nil"/>
            </w:tcBorders>
            <w:tcMar>
              <w:top w:w="0" w:type="dxa"/>
              <w:left w:w="129" w:type="dxa"/>
              <w:bottom w:w="0" w:type="dxa"/>
              <w:right w:w="129" w:type="dxa"/>
            </w:tcMar>
            <w:vAlign w:val="center"/>
          </w:tcPr>
          <w:p w:rsidR="000D492F" w:rsidRPr="00F830D5" w:rsidRDefault="009136FD" w:rsidP="00663ACB">
            <w:pPr>
              <w:ind w:right="-39"/>
            </w:pPr>
            <w:r>
              <w:t>1</w:t>
            </w:r>
          </w:p>
        </w:tc>
        <w:tc>
          <w:tcPr>
            <w:tcW w:w="1568" w:type="dxa"/>
            <w:tcBorders>
              <w:top w:val="nil"/>
              <w:left w:val="single" w:sz="8" w:space="0" w:color="000000"/>
              <w:bottom w:val="single" w:sz="4" w:space="0" w:color="auto"/>
              <w:right w:val="single" w:sz="8" w:space="0" w:color="000000"/>
            </w:tcBorders>
            <w:tcMar>
              <w:top w:w="0" w:type="dxa"/>
              <w:left w:w="129" w:type="dxa"/>
              <w:bottom w:w="0" w:type="dxa"/>
              <w:right w:w="129" w:type="dxa"/>
            </w:tcMar>
            <w:vAlign w:val="center"/>
          </w:tcPr>
          <w:p w:rsidR="000D492F" w:rsidRPr="00F830D5" w:rsidRDefault="009136FD" w:rsidP="009A1B49">
            <w:pPr>
              <w:ind w:right="-39"/>
            </w:pPr>
            <w:r>
              <w:t xml:space="preserve">5/60 </w:t>
            </w:r>
          </w:p>
        </w:tc>
        <w:tc>
          <w:tcPr>
            <w:tcW w:w="1032" w:type="dxa"/>
            <w:tcBorders>
              <w:top w:val="nil"/>
              <w:left w:val="nil"/>
              <w:bottom w:val="single" w:sz="4" w:space="0" w:color="auto"/>
              <w:right w:val="single" w:sz="8" w:space="0" w:color="000000"/>
            </w:tcBorders>
            <w:tcMar>
              <w:top w:w="0" w:type="dxa"/>
              <w:left w:w="129" w:type="dxa"/>
              <w:bottom w:w="0" w:type="dxa"/>
              <w:right w:w="129" w:type="dxa"/>
            </w:tcMar>
            <w:vAlign w:val="center"/>
          </w:tcPr>
          <w:p w:rsidR="000D492F" w:rsidRPr="00F830D5" w:rsidRDefault="003C0D13" w:rsidP="00663ACB">
            <w:r>
              <w:t>25</w:t>
            </w:r>
          </w:p>
        </w:tc>
      </w:tr>
      <w:tr w:rsidR="00806C31" w:rsidRPr="00F830D5" w:rsidTr="00663ACB">
        <w:trPr>
          <w:cantSplit/>
        </w:trPr>
        <w:tc>
          <w:tcPr>
            <w:tcW w:w="1703" w:type="dxa"/>
            <w:tcBorders>
              <w:top w:val="single" w:sz="4" w:space="0" w:color="auto"/>
              <w:left w:val="single" w:sz="8" w:space="0" w:color="auto"/>
              <w:bottom w:val="single" w:sz="8" w:space="0" w:color="auto"/>
              <w:right w:val="single" w:sz="8" w:space="0" w:color="auto"/>
            </w:tcBorders>
            <w:tcMar>
              <w:top w:w="0" w:type="dxa"/>
              <w:left w:w="129" w:type="dxa"/>
              <w:bottom w:w="0" w:type="dxa"/>
              <w:right w:w="129" w:type="dxa"/>
            </w:tcMar>
            <w:hideMark/>
          </w:tcPr>
          <w:p w:rsidR="00806C31" w:rsidRPr="00F830D5" w:rsidRDefault="00806C31" w:rsidP="00906D65">
            <w:r w:rsidRPr="00F830D5">
              <w:t xml:space="preserve">General Public- </w:t>
            </w:r>
            <w:r w:rsidR="00906D65">
              <w:t>Adults</w:t>
            </w:r>
            <w:r w:rsidR="00906D65" w:rsidRPr="00F830D5">
              <w:t xml:space="preserve">  </w:t>
            </w:r>
          </w:p>
        </w:tc>
        <w:tc>
          <w:tcPr>
            <w:tcW w:w="2030" w:type="dxa"/>
            <w:tcBorders>
              <w:top w:val="single" w:sz="4" w:space="0" w:color="auto"/>
              <w:left w:val="nil"/>
              <w:bottom w:val="single" w:sz="8" w:space="0" w:color="000000"/>
              <w:right w:val="nil"/>
            </w:tcBorders>
            <w:tcMar>
              <w:top w:w="0" w:type="dxa"/>
              <w:left w:w="129" w:type="dxa"/>
              <w:bottom w:w="0" w:type="dxa"/>
              <w:right w:w="129" w:type="dxa"/>
            </w:tcMar>
            <w:hideMark/>
          </w:tcPr>
          <w:p w:rsidR="00CE7E07" w:rsidRDefault="00BA73EA" w:rsidP="00BA73EA">
            <w:pPr>
              <w:ind w:left="-39" w:right="51"/>
            </w:pPr>
            <w:r>
              <w:t>Attachment 3e</w:t>
            </w:r>
            <w:r w:rsidR="00806C31" w:rsidRPr="00F830D5">
              <w:t>.</w:t>
            </w:r>
            <w:r w:rsidR="00CE7E07">
              <w:t xml:space="preserve"> &amp; 3g</w:t>
            </w:r>
            <w:r w:rsidR="00806C31" w:rsidRPr="00F830D5">
              <w:t xml:space="preserve"> </w:t>
            </w:r>
          </w:p>
          <w:p w:rsidR="00806C31" w:rsidRPr="00F830D5" w:rsidRDefault="00BA73EA" w:rsidP="00BA73EA">
            <w:pPr>
              <w:ind w:left="-39" w:right="51"/>
            </w:pPr>
            <w:r>
              <w:t>Behavioral A</w:t>
            </w:r>
            <w:r w:rsidR="00906D65">
              <w:t>ssessment</w:t>
            </w:r>
          </w:p>
        </w:tc>
        <w:tc>
          <w:tcPr>
            <w:tcW w:w="1565" w:type="dxa"/>
            <w:tcBorders>
              <w:top w:val="single" w:sz="4" w:space="0" w:color="auto"/>
              <w:left w:val="single" w:sz="8" w:space="0" w:color="000000"/>
              <w:bottom w:val="single" w:sz="8" w:space="0" w:color="000000"/>
              <w:right w:val="nil"/>
            </w:tcBorders>
            <w:tcMar>
              <w:top w:w="0" w:type="dxa"/>
              <w:left w:w="129" w:type="dxa"/>
              <w:bottom w:w="0" w:type="dxa"/>
              <w:right w:w="129" w:type="dxa"/>
            </w:tcMar>
            <w:vAlign w:val="center"/>
            <w:hideMark/>
          </w:tcPr>
          <w:p w:rsidR="00806C31" w:rsidRPr="00F830D5" w:rsidRDefault="000D492F">
            <w:r>
              <w:t>300</w:t>
            </w:r>
          </w:p>
        </w:tc>
        <w:tc>
          <w:tcPr>
            <w:tcW w:w="1642" w:type="dxa"/>
            <w:tcBorders>
              <w:top w:val="single" w:sz="4" w:space="0" w:color="auto"/>
              <w:left w:val="single" w:sz="8" w:space="0" w:color="000000"/>
              <w:bottom w:val="single" w:sz="8" w:space="0" w:color="000000"/>
              <w:right w:val="nil"/>
            </w:tcBorders>
            <w:tcMar>
              <w:top w:w="0" w:type="dxa"/>
              <w:left w:w="129" w:type="dxa"/>
              <w:bottom w:w="0" w:type="dxa"/>
              <w:right w:w="129" w:type="dxa"/>
            </w:tcMar>
            <w:vAlign w:val="center"/>
            <w:hideMark/>
          </w:tcPr>
          <w:p w:rsidR="00806C31" w:rsidRPr="00F830D5" w:rsidRDefault="009136FD">
            <w:pPr>
              <w:ind w:right="-39"/>
            </w:pPr>
            <w:r>
              <w:t>1</w:t>
            </w:r>
          </w:p>
        </w:tc>
        <w:tc>
          <w:tcPr>
            <w:tcW w:w="1568" w:type="dxa"/>
            <w:tcBorders>
              <w:top w:val="single" w:sz="4" w:space="0" w:color="auto"/>
              <w:left w:val="single" w:sz="8" w:space="0" w:color="000000"/>
              <w:bottom w:val="single" w:sz="8" w:space="0" w:color="000000"/>
              <w:right w:val="single" w:sz="8" w:space="0" w:color="000000"/>
            </w:tcBorders>
            <w:tcMar>
              <w:top w:w="0" w:type="dxa"/>
              <w:left w:w="129" w:type="dxa"/>
              <w:bottom w:w="0" w:type="dxa"/>
              <w:right w:w="129" w:type="dxa"/>
            </w:tcMar>
            <w:vAlign w:val="center"/>
            <w:hideMark/>
          </w:tcPr>
          <w:p w:rsidR="00806C31" w:rsidRPr="00F830D5" w:rsidRDefault="009136FD" w:rsidP="009A1B49">
            <w:pPr>
              <w:ind w:right="-39"/>
            </w:pPr>
            <w:r>
              <w:t xml:space="preserve">30/60 </w:t>
            </w:r>
          </w:p>
        </w:tc>
        <w:tc>
          <w:tcPr>
            <w:tcW w:w="1032" w:type="dxa"/>
            <w:tcBorders>
              <w:top w:val="single" w:sz="4" w:space="0" w:color="auto"/>
              <w:left w:val="nil"/>
              <w:bottom w:val="single" w:sz="8" w:space="0" w:color="000000"/>
              <w:right w:val="single" w:sz="8" w:space="0" w:color="000000"/>
            </w:tcBorders>
            <w:tcMar>
              <w:top w:w="0" w:type="dxa"/>
              <w:left w:w="129" w:type="dxa"/>
              <w:bottom w:w="0" w:type="dxa"/>
              <w:right w:w="129" w:type="dxa"/>
            </w:tcMar>
            <w:vAlign w:val="center"/>
            <w:hideMark/>
          </w:tcPr>
          <w:p w:rsidR="00806C31" w:rsidRPr="00F830D5" w:rsidRDefault="009136FD">
            <w:r>
              <w:t>150</w:t>
            </w:r>
          </w:p>
        </w:tc>
      </w:tr>
      <w:tr w:rsidR="00806C31" w:rsidRPr="00F830D5" w:rsidTr="00663ACB">
        <w:trPr>
          <w:cantSplit/>
        </w:trPr>
        <w:tc>
          <w:tcPr>
            <w:tcW w:w="8508" w:type="dxa"/>
            <w:gridSpan w:val="5"/>
            <w:tcBorders>
              <w:top w:val="nil"/>
              <w:left w:val="single" w:sz="8" w:space="0" w:color="000000"/>
              <w:bottom w:val="single" w:sz="8" w:space="0" w:color="000000"/>
              <w:right w:val="single" w:sz="8" w:space="0" w:color="000000"/>
            </w:tcBorders>
            <w:tcMar>
              <w:top w:w="0" w:type="dxa"/>
              <w:left w:w="129" w:type="dxa"/>
              <w:bottom w:w="0" w:type="dxa"/>
              <w:right w:w="129" w:type="dxa"/>
            </w:tcMar>
            <w:hideMark/>
          </w:tcPr>
          <w:p w:rsidR="00806C31" w:rsidRPr="00F830D5" w:rsidRDefault="00806C31">
            <w:pPr>
              <w:ind w:right="224"/>
              <w:rPr>
                <w:b/>
                <w:bCs/>
              </w:rPr>
            </w:pPr>
            <w:r w:rsidRPr="00F830D5">
              <w:rPr>
                <w:b/>
                <w:bCs/>
              </w:rPr>
              <w:t>Total</w:t>
            </w:r>
          </w:p>
        </w:tc>
        <w:tc>
          <w:tcPr>
            <w:tcW w:w="1032" w:type="dxa"/>
            <w:tcBorders>
              <w:top w:val="nil"/>
              <w:left w:val="nil"/>
              <w:bottom w:val="single" w:sz="8" w:space="0" w:color="000000"/>
              <w:right w:val="single" w:sz="8" w:space="0" w:color="000000"/>
            </w:tcBorders>
            <w:tcMar>
              <w:top w:w="0" w:type="dxa"/>
              <w:left w:w="129" w:type="dxa"/>
              <w:bottom w:w="0" w:type="dxa"/>
              <w:right w:w="129" w:type="dxa"/>
            </w:tcMar>
            <w:vAlign w:val="center"/>
            <w:hideMark/>
          </w:tcPr>
          <w:p w:rsidR="00806C31" w:rsidRPr="00F830D5" w:rsidRDefault="00BE426D" w:rsidP="003C0D13">
            <w:pPr>
              <w:rPr>
                <w:b/>
                <w:bCs/>
              </w:rPr>
            </w:pPr>
            <w:r>
              <w:rPr>
                <w:b/>
                <w:bCs/>
              </w:rPr>
              <w:t>335</w:t>
            </w:r>
          </w:p>
        </w:tc>
      </w:tr>
    </w:tbl>
    <w:p w:rsidR="00806C31" w:rsidRDefault="00806C31" w:rsidP="002E15A0">
      <w:pPr>
        <w:rPr>
          <w:b/>
        </w:rPr>
      </w:pPr>
    </w:p>
    <w:p w:rsidR="00BC3A12" w:rsidRPr="004B7F41" w:rsidRDefault="009559DE" w:rsidP="002E15A0">
      <w:pPr>
        <w:rPr>
          <w:b/>
        </w:rPr>
      </w:pPr>
      <w:bookmarkStart w:id="37" w:name="_Toc235958548"/>
      <w:bookmarkEnd w:id="34"/>
      <w:r>
        <w:rPr>
          <w:b/>
        </w:rPr>
        <w:t>12B</w:t>
      </w:r>
      <w:r w:rsidR="00BC3A12" w:rsidRPr="004B7F41">
        <w:rPr>
          <w:b/>
        </w:rPr>
        <w:t xml:space="preserve">. Estimated </w:t>
      </w:r>
      <w:r w:rsidR="003949E3" w:rsidRPr="003949E3">
        <w:rPr>
          <w:b/>
        </w:rPr>
        <w:t>Annualized</w:t>
      </w:r>
      <w:r w:rsidR="003949E3">
        <w:rPr>
          <w:b/>
        </w:rPr>
        <w:t xml:space="preserve"> Burden Costs</w:t>
      </w:r>
    </w:p>
    <w:p w:rsidR="00BC3A12" w:rsidRPr="00603813" w:rsidRDefault="00BC3A12" w:rsidP="002E15A0"/>
    <w:p w:rsidR="00952CF5" w:rsidRPr="00603813" w:rsidRDefault="00A31361" w:rsidP="002E15A0">
      <w:r w:rsidRPr="00603813">
        <w:t>The annualized costs to the respond</w:t>
      </w:r>
      <w:r w:rsidR="001123C3" w:rsidRPr="00603813">
        <w:t>ents are described in Exhibit A</w:t>
      </w:r>
      <w:r w:rsidRPr="00603813">
        <w:t xml:space="preserve">12.B.  The United States Department of Labor Statistics </w:t>
      </w:r>
      <w:r w:rsidR="00D53EAA" w:rsidRPr="000763A7">
        <w:t>May</w:t>
      </w:r>
      <w:r w:rsidRPr="000763A7">
        <w:t xml:space="preserve">, </w:t>
      </w:r>
      <w:r w:rsidR="000D492F" w:rsidRPr="000763A7">
        <w:t xml:space="preserve">2016 </w:t>
      </w:r>
      <w:hyperlink r:id="rId17" w:history="1">
        <w:r w:rsidRPr="004F6ACC">
          <w:rPr>
            <w:rStyle w:val="Hyperlink"/>
          </w:rPr>
          <w:t>http://www.bls.gov/oes/current/oes_nat.htm</w:t>
        </w:r>
      </w:hyperlink>
      <w:r w:rsidRPr="00603813">
        <w:t xml:space="preserve"> </w:t>
      </w:r>
      <w:hyperlink w:history="1"/>
      <w:r w:rsidRPr="00603813">
        <w:t>was used to estimate the hourly wage rate for the general public</w:t>
      </w:r>
      <w:r w:rsidR="00433BB1" w:rsidRPr="00603813">
        <w:t xml:space="preserve"> </w:t>
      </w:r>
      <w:r w:rsidRPr="00603813">
        <w:t xml:space="preserve">for the purpose of this request. </w:t>
      </w:r>
      <w:r w:rsidR="00CE3C66" w:rsidRPr="00603813">
        <w:t>This cost represents the total burden hours</w:t>
      </w:r>
      <w:r w:rsidR="00433BB1" w:rsidRPr="00603813">
        <w:t xml:space="preserve"> to respondents multiplied </w:t>
      </w:r>
      <w:r w:rsidR="00F46D17" w:rsidRPr="00603813">
        <w:t>by the</w:t>
      </w:r>
      <w:r w:rsidR="00433BB1" w:rsidRPr="00603813">
        <w:t xml:space="preserve"> average hourly wage rate </w:t>
      </w:r>
      <w:r w:rsidR="008D7BB0">
        <w:t xml:space="preserve">for adults </w:t>
      </w:r>
      <w:r w:rsidR="00CE3C66" w:rsidRPr="00603813">
        <w:t>(</w:t>
      </w:r>
      <w:r w:rsidR="000D492F" w:rsidRPr="000D492F">
        <w:t>$23.86</w:t>
      </w:r>
      <w:r w:rsidR="00CE3C66" w:rsidRPr="00603813">
        <w:t>)</w:t>
      </w:r>
      <w:r w:rsidR="00952CF5" w:rsidRPr="00603813">
        <w:t xml:space="preserve">. </w:t>
      </w:r>
    </w:p>
    <w:p w:rsidR="004B7F41" w:rsidRPr="003949E3" w:rsidRDefault="00952CF5" w:rsidP="002E15A0">
      <w:r w:rsidRPr="00603813">
        <w:t xml:space="preserve"> </w:t>
      </w:r>
    </w:p>
    <w:p w:rsidR="003949E3" w:rsidRDefault="00133B17" w:rsidP="002E15A0">
      <w:pPr>
        <w:pStyle w:val="Caption"/>
        <w:rPr>
          <w:sz w:val="24"/>
          <w:szCs w:val="24"/>
        </w:rPr>
      </w:pPr>
      <w:r w:rsidRPr="003949E3">
        <w:rPr>
          <w:sz w:val="24"/>
          <w:szCs w:val="24"/>
        </w:rPr>
        <w:t xml:space="preserve">Exhibit </w:t>
      </w:r>
      <w:r w:rsidR="001123C3" w:rsidRPr="003949E3">
        <w:rPr>
          <w:sz w:val="24"/>
          <w:szCs w:val="24"/>
        </w:rPr>
        <w:t>A</w:t>
      </w:r>
      <w:r w:rsidR="00433BB1" w:rsidRPr="003949E3">
        <w:rPr>
          <w:sz w:val="24"/>
          <w:szCs w:val="24"/>
        </w:rPr>
        <w:t>12.</w:t>
      </w:r>
      <w:r w:rsidR="00890D5C">
        <w:rPr>
          <w:sz w:val="24"/>
          <w:szCs w:val="24"/>
        </w:rPr>
        <w:t>2</w:t>
      </w:r>
      <w:r w:rsidR="00433BB1" w:rsidRPr="003949E3">
        <w:rPr>
          <w:sz w:val="24"/>
          <w:szCs w:val="24"/>
        </w:rPr>
        <w:t xml:space="preserve">.  </w:t>
      </w:r>
      <w:r w:rsidR="003949E3" w:rsidRPr="003949E3">
        <w:rPr>
          <w:sz w:val="24"/>
          <w:szCs w:val="24"/>
        </w:rPr>
        <w:t xml:space="preserve">Estimated Annualized Burden </w:t>
      </w:r>
      <w:r w:rsidR="00E82578">
        <w:rPr>
          <w:sz w:val="24"/>
          <w:szCs w:val="24"/>
        </w:rPr>
        <w:t>Costs</w:t>
      </w:r>
    </w:p>
    <w:p w:rsidR="00C70F21" w:rsidRPr="00316236" w:rsidRDefault="00C70F21" w:rsidP="00316236"/>
    <w:tbl>
      <w:tblPr>
        <w:tblW w:w="9087" w:type="dxa"/>
        <w:tblLayout w:type="fixed"/>
        <w:tblCellMar>
          <w:left w:w="129" w:type="dxa"/>
          <w:right w:w="129" w:type="dxa"/>
        </w:tblCellMar>
        <w:tblLook w:val="0000" w:firstRow="0" w:lastRow="0" w:firstColumn="0" w:lastColumn="0" w:noHBand="0" w:noVBand="0"/>
      </w:tblPr>
      <w:tblGrid>
        <w:gridCol w:w="1890"/>
        <w:gridCol w:w="1890"/>
        <w:gridCol w:w="1890"/>
        <w:gridCol w:w="1710"/>
        <w:gridCol w:w="1707"/>
      </w:tblGrid>
      <w:tr w:rsidR="000D492F" w:rsidRPr="00F830D5" w:rsidTr="00663ACB">
        <w:trPr>
          <w:cantSplit/>
          <w:tblHeader/>
        </w:trPr>
        <w:tc>
          <w:tcPr>
            <w:tcW w:w="1890" w:type="dxa"/>
            <w:tcBorders>
              <w:top w:val="single" w:sz="2" w:space="0" w:color="000000"/>
              <w:left w:val="single" w:sz="2" w:space="0" w:color="000000"/>
              <w:bottom w:val="nil"/>
              <w:right w:val="nil"/>
            </w:tcBorders>
          </w:tcPr>
          <w:p w:rsidR="000D492F" w:rsidRPr="00F830D5" w:rsidRDefault="000D492F" w:rsidP="000D492F">
            <w:pPr>
              <w:rPr>
                <w:b/>
              </w:rPr>
            </w:pPr>
            <w:r w:rsidRPr="00875BE7">
              <w:t>Type of Respondent</w:t>
            </w:r>
          </w:p>
        </w:tc>
        <w:tc>
          <w:tcPr>
            <w:tcW w:w="1890" w:type="dxa"/>
            <w:tcBorders>
              <w:top w:val="single" w:sz="2" w:space="0" w:color="000000"/>
              <w:left w:val="single" w:sz="2" w:space="0" w:color="000000"/>
              <w:bottom w:val="nil"/>
              <w:right w:val="single" w:sz="2" w:space="0" w:color="000000"/>
            </w:tcBorders>
          </w:tcPr>
          <w:p w:rsidR="000D492F" w:rsidRPr="00F830D5" w:rsidRDefault="000D492F" w:rsidP="000D492F">
            <w:pPr>
              <w:rPr>
                <w:b/>
              </w:rPr>
            </w:pPr>
            <w:r w:rsidRPr="00DB2E59">
              <w:t>Form Name</w:t>
            </w:r>
          </w:p>
        </w:tc>
        <w:tc>
          <w:tcPr>
            <w:tcW w:w="1890" w:type="dxa"/>
            <w:tcBorders>
              <w:top w:val="single" w:sz="2" w:space="0" w:color="000000"/>
              <w:left w:val="single" w:sz="2" w:space="0" w:color="000000"/>
              <w:bottom w:val="nil"/>
              <w:right w:val="nil"/>
            </w:tcBorders>
          </w:tcPr>
          <w:p w:rsidR="000D492F" w:rsidRPr="00F830D5" w:rsidRDefault="000D492F" w:rsidP="000D492F">
            <w:pPr>
              <w:rPr>
                <w:b/>
              </w:rPr>
            </w:pPr>
            <w:r w:rsidRPr="00F830D5">
              <w:rPr>
                <w:b/>
              </w:rPr>
              <w:t xml:space="preserve">Total </w:t>
            </w:r>
          </w:p>
          <w:p w:rsidR="000D492F" w:rsidRPr="00F830D5" w:rsidRDefault="000D492F" w:rsidP="000D492F">
            <w:pPr>
              <w:rPr>
                <w:b/>
              </w:rPr>
            </w:pPr>
            <w:r w:rsidRPr="00F830D5">
              <w:rPr>
                <w:b/>
              </w:rPr>
              <w:t>Burden</w:t>
            </w:r>
          </w:p>
          <w:p w:rsidR="000D492F" w:rsidRPr="00F830D5" w:rsidRDefault="000D492F" w:rsidP="000D492F">
            <w:pPr>
              <w:rPr>
                <w:b/>
              </w:rPr>
            </w:pPr>
            <w:r w:rsidRPr="00F830D5">
              <w:rPr>
                <w:b/>
              </w:rPr>
              <w:t>Hours</w:t>
            </w:r>
          </w:p>
        </w:tc>
        <w:tc>
          <w:tcPr>
            <w:tcW w:w="1710" w:type="dxa"/>
            <w:tcBorders>
              <w:top w:val="single" w:sz="2" w:space="0" w:color="000000"/>
              <w:left w:val="single" w:sz="2" w:space="0" w:color="000000"/>
              <w:bottom w:val="nil"/>
              <w:right w:val="nil"/>
            </w:tcBorders>
          </w:tcPr>
          <w:p w:rsidR="000D492F" w:rsidRPr="00F830D5" w:rsidRDefault="000D492F" w:rsidP="000D492F">
            <w:pPr>
              <w:rPr>
                <w:b/>
              </w:rPr>
            </w:pPr>
            <w:r w:rsidRPr="00F830D5">
              <w:rPr>
                <w:b/>
              </w:rPr>
              <w:t>Hourly Wage Rate</w:t>
            </w:r>
            <w:r>
              <w:rPr>
                <w:b/>
              </w:rPr>
              <w:t xml:space="preserve"> </w:t>
            </w:r>
          </w:p>
        </w:tc>
        <w:tc>
          <w:tcPr>
            <w:tcW w:w="1707" w:type="dxa"/>
            <w:tcBorders>
              <w:top w:val="single" w:sz="2" w:space="0" w:color="000000"/>
              <w:left w:val="single" w:sz="2" w:space="0" w:color="000000"/>
              <w:bottom w:val="nil"/>
              <w:right w:val="single" w:sz="2" w:space="0" w:color="000000"/>
            </w:tcBorders>
          </w:tcPr>
          <w:p w:rsidR="000D492F" w:rsidRPr="00F830D5" w:rsidRDefault="000D492F" w:rsidP="000D492F">
            <w:pPr>
              <w:jc w:val="center"/>
              <w:rPr>
                <w:b/>
              </w:rPr>
            </w:pPr>
            <w:r w:rsidRPr="00F830D5">
              <w:rPr>
                <w:b/>
              </w:rPr>
              <w:t>Total Respondent Costs</w:t>
            </w:r>
            <w:r w:rsidR="00B45E32">
              <w:rPr>
                <w:b/>
              </w:rPr>
              <w:t xml:space="preserve"> </w:t>
            </w:r>
          </w:p>
        </w:tc>
      </w:tr>
      <w:tr w:rsidR="009136FD" w:rsidRPr="00F830D5" w:rsidTr="00663ACB">
        <w:trPr>
          <w:cantSplit/>
        </w:trPr>
        <w:tc>
          <w:tcPr>
            <w:tcW w:w="1890" w:type="dxa"/>
            <w:tcBorders>
              <w:top w:val="single" w:sz="4" w:space="0" w:color="auto"/>
              <w:left w:val="single" w:sz="4" w:space="0" w:color="auto"/>
              <w:bottom w:val="single" w:sz="4" w:space="0" w:color="auto"/>
              <w:right w:val="single" w:sz="4" w:space="0" w:color="auto"/>
            </w:tcBorders>
          </w:tcPr>
          <w:p w:rsidR="009136FD" w:rsidRPr="00F830D5" w:rsidRDefault="009136FD" w:rsidP="009136FD">
            <w:r w:rsidRPr="00875BE7">
              <w:t xml:space="preserve">General Public- Adults </w:t>
            </w:r>
          </w:p>
        </w:tc>
        <w:tc>
          <w:tcPr>
            <w:tcW w:w="1890" w:type="dxa"/>
            <w:tcBorders>
              <w:top w:val="single" w:sz="2" w:space="0" w:color="000000"/>
              <w:left w:val="single" w:sz="2" w:space="0" w:color="000000"/>
              <w:bottom w:val="single" w:sz="2" w:space="0" w:color="000000"/>
              <w:right w:val="single" w:sz="2" w:space="0" w:color="000000"/>
            </w:tcBorders>
          </w:tcPr>
          <w:p w:rsidR="009136FD" w:rsidRPr="00F830D5" w:rsidRDefault="00862A48" w:rsidP="009136FD">
            <w:r>
              <w:t>Attachment 3a</w:t>
            </w:r>
            <w:r w:rsidR="009B4E96">
              <w:t>.</w:t>
            </w:r>
            <w:r w:rsidR="009136FD">
              <w:t xml:space="preserve"> </w:t>
            </w:r>
            <w:r w:rsidR="00297E11">
              <w:t>&amp; 3g</w:t>
            </w:r>
            <w:r w:rsidR="009B4E96">
              <w:t>.</w:t>
            </w:r>
            <w:r w:rsidR="00297E11">
              <w:t xml:space="preserve"> </w:t>
            </w:r>
            <w:r>
              <w:t>Screener</w:t>
            </w:r>
          </w:p>
        </w:tc>
        <w:tc>
          <w:tcPr>
            <w:tcW w:w="1890" w:type="dxa"/>
            <w:tcBorders>
              <w:top w:val="single" w:sz="8" w:space="0" w:color="000000"/>
              <w:left w:val="nil"/>
              <w:bottom w:val="single" w:sz="8" w:space="0" w:color="000000"/>
              <w:right w:val="single" w:sz="8" w:space="0" w:color="000000"/>
            </w:tcBorders>
            <w:vAlign w:val="center"/>
          </w:tcPr>
          <w:p w:rsidR="009136FD" w:rsidRPr="00F830D5" w:rsidRDefault="0048572A" w:rsidP="00663ACB">
            <w:r>
              <w:t>50</w:t>
            </w:r>
          </w:p>
        </w:tc>
        <w:tc>
          <w:tcPr>
            <w:tcW w:w="1710" w:type="dxa"/>
            <w:tcBorders>
              <w:top w:val="single" w:sz="2" w:space="0" w:color="000000"/>
              <w:left w:val="single" w:sz="2" w:space="0" w:color="000000"/>
              <w:bottom w:val="single" w:sz="2" w:space="0" w:color="000000"/>
              <w:right w:val="nil"/>
            </w:tcBorders>
            <w:vAlign w:val="center"/>
          </w:tcPr>
          <w:p w:rsidR="009136FD" w:rsidRPr="00F830D5" w:rsidRDefault="00B45E32" w:rsidP="00663ACB">
            <w:pPr>
              <w:ind w:right="-39"/>
            </w:pPr>
            <w:r>
              <w:t>$</w:t>
            </w:r>
            <w:r w:rsidR="009136FD">
              <w:t>23.86</w:t>
            </w:r>
          </w:p>
        </w:tc>
        <w:tc>
          <w:tcPr>
            <w:tcW w:w="1707" w:type="dxa"/>
            <w:tcBorders>
              <w:top w:val="single" w:sz="2" w:space="0" w:color="000000"/>
              <w:left w:val="single" w:sz="2" w:space="0" w:color="000000"/>
              <w:bottom w:val="single" w:sz="2" w:space="0" w:color="000000"/>
              <w:right w:val="single" w:sz="2" w:space="0" w:color="000000"/>
            </w:tcBorders>
            <w:vAlign w:val="center"/>
          </w:tcPr>
          <w:p w:rsidR="009136FD" w:rsidRPr="00F830D5" w:rsidRDefault="00B45E32" w:rsidP="00663ACB">
            <w:pPr>
              <w:ind w:right="-39"/>
            </w:pPr>
            <w:r>
              <w:t>$1,1</w:t>
            </w:r>
            <w:r w:rsidR="0048572A">
              <w:t>93</w:t>
            </w:r>
          </w:p>
        </w:tc>
      </w:tr>
      <w:tr w:rsidR="009136FD" w:rsidRPr="00F830D5" w:rsidTr="00663ACB">
        <w:trPr>
          <w:cantSplit/>
        </w:trPr>
        <w:tc>
          <w:tcPr>
            <w:tcW w:w="1890" w:type="dxa"/>
            <w:tcBorders>
              <w:top w:val="single" w:sz="4" w:space="0" w:color="auto"/>
              <w:left w:val="single" w:sz="4" w:space="0" w:color="auto"/>
              <w:bottom w:val="single" w:sz="4" w:space="0" w:color="auto"/>
              <w:right w:val="single" w:sz="4" w:space="0" w:color="auto"/>
            </w:tcBorders>
          </w:tcPr>
          <w:p w:rsidR="009136FD" w:rsidRPr="00F830D5" w:rsidRDefault="009136FD" w:rsidP="009136FD">
            <w:r w:rsidRPr="00875BE7">
              <w:t xml:space="preserve">General Public- Adults </w:t>
            </w:r>
          </w:p>
        </w:tc>
        <w:tc>
          <w:tcPr>
            <w:tcW w:w="1890" w:type="dxa"/>
            <w:tcBorders>
              <w:top w:val="single" w:sz="2" w:space="0" w:color="000000"/>
              <w:left w:val="single" w:sz="2" w:space="0" w:color="000000"/>
              <w:bottom w:val="single" w:sz="2" w:space="0" w:color="000000"/>
              <w:right w:val="single" w:sz="2" w:space="0" w:color="000000"/>
            </w:tcBorders>
          </w:tcPr>
          <w:p w:rsidR="009136FD" w:rsidRPr="00F830D5" w:rsidRDefault="00862A48" w:rsidP="009136FD">
            <w:r>
              <w:t>Attachment 3f. Contact</w:t>
            </w:r>
            <w:r w:rsidR="009136FD" w:rsidRPr="00DB2E59">
              <w:t xml:space="preserve"> Form</w:t>
            </w:r>
          </w:p>
        </w:tc>
        <w:tc>
          <w:tcPr>
            <w:tcW w:w="1890" w:type="dxa"/>
            <w:tcBorders>
              <w:top w:val="single" w:sz="4" w:space="0" w:color="auto"/>
              <w:left w:val="nil"/>
              <w:bottom w:val="single" w:sz="8" w:space="0" w:color="000000"/>
              <w:right w:val="single" w:sz="8" w:space="0" w:color="000000"/>
            </w:tcBorders>
            <w:vAlign w:val="center"/>
          </w:tcPr>
          <w:p w:rsidR="009136FD" w:rsidRPr="00F830D5" w:rsidRDefault="0048572A" w:rsidP="00663ACB">
            <w:r>
              <w:t>5</w:t>
            </w:r>
          </w:p>
        </w:tc>
        <w:tc>
          <w:tcPr>
            <w:tcW w:w="1710" w:type="dxa"/>
            <w:tcBorders>
              <w:top w:val="single" w:sz="2" w:space="0" w:color="000000"/>
              <w:left w:val="single" w:sz="2" w:space="0" w:color="000000"/>
              <w:bottom w:val="single" w:sz="2" w:space="0" w:color="000000"/>
              <w:right w:val="nil"/>
            </w:tcBorders>
            <w:vAlign w:val="center"/>
          </w:tcPr>
          <w:p w:rsidR="009136FD" w:rsidRPr="00F830D5" w:rsidRDefault="00B45E32" w:rsidP="00663ACB">
            <w:pPr>
              <w:ind w:right="-39"/>
            </w:pPr>
            <w:r>
              <w:t>$</w:t>
            </w:r>
            <w:r w:rsidR="009136FD">
              <w:t>23.86</w:t>
            </w:r>
          </w:p>
        </w:tc>
        <w:tc>
          <w:tcPr>
            <w:tcW w:w="1707" w:type="dxa"/>
            <w:tcBorders>
              <w:top w:val="single" w:sz="2" w:space="0" w:color="000000"/>
              <w:left w:val="single" w:sz="2" w:space="0" w:color="000000"/>
              <w:bottom w:val="single" w:sz="2" w:space="0" w:color="000000"/>
              <w:right w:val="single" w:sz="2" w:space="0" w:color="000000"/>
            </w:tcBorders>
            <w:vAlign w:val="center"/>
          </w:tcPr>
          <w:p w:rsidR="009136FD" w:rsidRPr="00F830D5" w:rsidRDefault="00B45E32" w:rsidP="00663ACB">
            <w:pPr>
              <w:ind w:right="-39"/>
            </w:pPr>
            <w:r>
              <w:t>$1</w:t>
            </w:r>
            <w:r w:rsidR="0048572A">
              <w:t>19.3</w:t>
            </w:r>
          </w:p>
        </w:tc>
      </w:tr>
      <w:tr w:rsidR="009136FD" w:rsidRPr="00F830D5" w:rsidTr="00663ACB">
        <w:trPr>
          <w:cantSplit/>
        </w:trPr>
        <w:tc>
          <w:tcPr>
            <w:tcW w:w="1890" w:type="dxa"/>
            <w:tcBorders>
              <w:top w:val="single" w:sz="4" w:space="0" w:color="auto"/>
              <w:left w:val="single" w:sz="4" w:space="0" w:color="auto"/>
              <w:bottom w:val="single" w:sz="4" w:space="0" w:color="auto"/>
              <w:right w:val="single" w:sz="4" w:space="0" w:color="auto"/>
            </w:tcBorders>
          </w:tcPr>
          <w:p w:rsidR="009136FD" w:rsidRPr="00F830D5" w:rsidRDefault="009136FD" w:rsidP="009136FD">
            <w:r w:rsidRPr="00875BE7">
              <w:t xml:space="preserve">General Public- Adults  </w:t>
            </w:r>
          </w:p>
        </w:tc>
        <w:tc>
          <w:tcPr>
            <w:tcW w:w="1890" w:type="dxa"/>
            <w:tcBorders>
              <w:top w:val="single" w:sz="2" w:space="0" w:color="000000"/>
              <w:left w:val="single" w:sz="2" w:space="0" w:color="000000"/>
              <w:bottom w:val="single" w:sz="2" w:space="0" w:color="000000"/>
              <w:right w:val="single" w:sz="2" w:space="0" w:color="000000"/>
            </w:tcBorders>
          </w:tcPr>
          <w:p w:rsidR="009136FD" w:rsidRPr="00F830D5" w:rsidRDefault="00862A48" w:rsidP="00862A48">
            <w:r>
              <w:t>Attachment 3c</w:t>
            </w:r>
            <w:r w:rsidR="009136FD" w:rsidRPr="00DB2E59">
              <w:t xml:space="preserve">.  </w:t>
            </w:r>
            <w:r>
              <w:t>In</w:t>
            </w:r>
            <w:r w:rsidR="009136FD" w:rsidRPr="00DB2E59">
              <w:t>-d</w:t>
            </w:r>
            <w:r>
              <w:t>epth</w:t>
            </w:r>
            <w:r w:rsidR="009136FD" w:rsidRPr="00DB2E59">
              <w:t xml:space="preserve"> Interview Guide</w:t>
            </w:r>
          </w:p>
        </w:tc>
        <w:tc>
          <w:tcPr>
            <w:tcW w:w="1890" w:type="dxa"/>
            <w:tcBorders>
              <w:top w:val="nil"/>
              <w:left w:val="nil"/>
              <w:bottom w:val="single" w:sz="8" w:space="0" w:color="000000"/>
              <w:right w:val="single" w:sz="8" w:space="0" w:color="000000"/>
            </w:tcBorders>
            <w:vAlign w:val="center"/>
          </w:tcPr>
          <w:p w:rsidR="009136FD" w:rsidRPr="00F830D5" w:rsidRDefault="009136FD" w:rsidP="00663ACB">
            <w:r>
              <w:t>45</w:t>
            </w:r>
          </w:p>
        </w:tc>
        <w:tc>
          <w:tcPr>
            <w:tcW w:w="1710" w:type="dxa"/>
            <w:tcBorders>
              <w:top w:val="single" w:sz="2" w:space="0" w:color="000000"/>
              <w:left w:val="single" w:sz="2" w:space="0" w:color="000000"/>
              <w:bottom w:val="single" w:sz="2" w:space="0" w:color="000000"/>
              <w:right w:val="nil"/>
            </w:tcBorders>
            <w:vAlign w:val="center"/>
          </w:tcPr>
          <w:p w:rsidR="009136FD" w:rsidRPr="00F830D5" w:rsidRDefault="00B45E32" w:rsidP="00663ACB">
            <w:pPr>
              <w:ind w:right="-39"/>
            </w:pPr>
            <w:r>
              <w:t>$</w:t>
            </w:r>
            <w:r w:rsidR="009136FD">
              <w:t>23.86</w:t>
            </w:r>
          </w:p>
        </w:tc>
        <w:tc>
          <w:tcPr>
            <w:tcW w:w="1707" w:type="dxa"/>
            <w:tcBorders>
              <w:top w:val="single" w:sz="2" w:space="0" w:color="000000"/>
              <w:left w:val="single" w:sz="2" w:space="0" w:color="000000"/>
              <w:bottom w:val="single" w:sz="2" w:space="0" w:color="000000"/>
              <w:right w:val="single" w:sz="2" w:space="0" w:color="000000"/>
            </w:tcBorders>
            <w:vAlign w:val="center"/>
          </w:tcPr>
          <w:p w:rsidR="009136FD" w:rsidRPr="00F830D5" w:rsidRDefault="00B45E32" w:rsidP="00663ACB">
            <w:pPr>
              <w:ind w:right="-39"/>
            </w:pPr>
            <w:r>
              <w:t>$1,073.7</w:t>
            </w:r>
          </w:p>
        </w:tc>
      </w:tr>
      <w:tr w:rsidR="009136FD" w:rsidRPr="00F830D5" w:rsidTr="00663ACB">
        <w:trPr>
          <w:cantSplit/>
        </w:trPr>
        <w:tc>
          <w:tcPr>
            <w:tcW w:w="1890" w:type="dxa"/>
            <w:tcBorders>
              <w:top w:val="single" w:sz="4" w:space="0" w:color="auto"/>
              <w:left w:val="single" w:sz="4" w:space="0" w:color="auto"/>
              <w:bottom w:val="single" w:sz="4" w:space="0" w:color="auto"/>
              <w:right w:val="single" w:sz="4" w:space="0" w:color="auto"/>
            </w:tcBorders>
          </w:tcPr>
          <w:p w:rsidR="009136FD" w:rsidRPr="00875BE7" w:rsidRDefault="009136FD" w:rsidP="009136FD">
            <w:r w:rsidRPr="00345827">
              <w:t>General Public - Adults</w:t>
            </w:r>
          </w:p>
        </w:tc>
        <w:tc>
          <w:tcPr>
            <w:tcW w:w="1890" w:type="dxa"/>
            <w:tcBorders>
              <w:top w:val="single" w:sz="2" w:space="0" w:color="000000"/>
              <w:left w:val="single" w:sz="2" w:space="0" w:color="000000"/>
              <w:bottom w:val="single" w:sz="2" w:space="0" w:color="000000"/>
              <w:right w:val="single" w:sz="2" w:space="0" w:color="000000"/>
            </w:tcBorders>
          </w:tcPr>
          <w:p w:rsidR="009136FD" w:rsidRDefault="00862A48" w:rsidP="009136FD">
            <w:r>
              <w:t>3d</w:t>
            </w:r>
            <w:r w:rsidR="009136FD" w:rsidRPr="00345827">
              <w:t xml:space="preserve">. Focus Group </w:t>
            </w:r>
            <w:r>
              <w:t xml:space="preserve">Moderator </w:t>
            </w:r>
            <w:r w:rsidR="009136FD" w:rsidRPr="00345827">
              <w:t>Guide</w:t>
            </w:r>
          </w:p>
        </w:tc>
        <w:tc>
          <w:tcPr>
            <w:tcW w:w="1890" w:type="dxa"/>
            <w:tcBorders>
              <w:top w:val="nil"/>
              <w:left w:val="nil"/>
              <w:bottom w:val="single" w:sz="8" w:space="0" w:color="000000"/>
              <w:right w:val="single" w:sz="8" w:space="0" w:color="000000"/>
            </w:tcBorders>
            <w:vAlign w:val="center"/>
          </w:tcPr>
          <w:p w:rsidR="009136FD" w:rsidRPr="00F830D5" w:rsidDel="009C3388" w:rsidRDefault="009136FD" w:rsidP="00663ACB">
            <w:r>
              <w:t>60</w:t>
            </w:r>
          </w:p>
        </w:tc>
        <w:tc>
          <w:tcPr>
            <w:tcW w:w="1710" w:type="dxa"/>
            <w:tcBorders>
              <w:top w:val="single" w:sz="2" w:space="0" w:color="000000"/>
              <w:left w:val="single" w:sz="2" w:space="0" w:color="000000"/>
              <w:bottom w:val="single" w:sz="2" w:space="0" w:color="000000"/>
              <w:right w:val="nil"/>
            </w:tcBorders>
            <w:vAlign w:val="center"/>
          </w:tcPr>
          <w:p w:rsidR="009136FD" w:rsidRPr="00F830D5" w:rsidDel="000D492F" w:rsidRDefault="00B45E32" w:rsidP="00663ACB">
            <w:pPr>
              <w:ind w:right="-39"/>
            </w:pPr>
            <w:r>
              <w:t>$</w:t>
            </w:r>
            <w:r w:rsidR="009136FD">
              <w:t>23.86</w:t>
            </w:r>
          </w:p>
        </w:tc>
        <w:tc>
          <w:tcPr>
            <w:tcW w:w="1707" w:type="dxa"/>
            <w:tcBorders>
              <w:top w:val="single" w:sz="2" w:space="0" w:color="000000"/>
              <w:left w:val="single" w:sz="2" w:space="0" w:color="000000"/>
              <w:bottom w:val="single" w:sz="2" w:space="0" w:color="000000"/>
              <w:right w:val="single" w:sz="2" w:space="0" w:color="000000"/>
            </w:tcBorders>
            <w:vAlign w:val="center"/>
          </w:tcPr>
          <w:p w:rsidR="009136FD" w:rsidRPr="00F830D5" w:rsidDel="000D492F" w:rsidRDefault="00B45E32" w:rsidP="00663ACB">
            <w:pPr>
              <w:ind w:right="-39"/>
            </w:pPr>
            <w:r>
              <w:t>$1,431.6</w:t>
            </w:r>
          </w:p>
        </w:tc>
      </w:tr>
      <w:tr w:rsidR="009136FD" w:rsidRPr="00F830D5" w:rsidTr="00663ACB">
        <w:trPr>
          <w:cantSplit/>
        </w:trPr>
        <w:tc>
          <w:tcPr>
            <w:tcW w:w="1890" w:type="dxa"/>
            <w:tcBorders>
              <w:top w:val="single" w:sz="4" w:space="0" w:color="auto"/>
              <w:left w:val="single" w:sz="4" w:space="0" w:color="auto"/>
              <w:bottom w:val="single" w:sz="4" w:space="0" w:color="auto"/>
              <w:right w:val="single" w:sz="4" w:space="0" w:color="auto"/>
            </w:tcBorders>
          </w:tcPr>
          <w:p w:rsidR="009136FD" w:rsidRPr="00875BE7" w:rsidRDefault="009136FD" w:rsidP="009136FD">
            <w:r>
              <w:t>General Public - Adults</w:t>
            </w:r>
          </w:p>
        </w:tc>
        <w:tc>
          <w:tcPr>
            <w:tcW w:w="1890" w:type="dxa"/>
            <w:tcBorders>
              <w:top w:val="single" w:sz="2" w:space="0" w:color="000000"/>
              <w:left w:val="single" w:sz="2" w:space="0" w:color="000000"/>
              <w:bottom w:val="single" w:sz="2" w:space="0" w:color="000000"/>
              <w:right w:val="single" w:sz="2" w:space="0" w:color="000000"/>
            </w:tcBorders>
          </w:tcPr>
          <w:p w:rsidR="009136FD" w:rsidRDefault="00862A48" w:rsidP="009136FD">
            <w:r>
              <w:t>Attachment 3b.</w:t>
            </w:r>
            <w:r w:rsidR="00297E11">
              <w:t xml:space="preserve"> &amp; 3g</w:t>
            </w:r>
            <w:r w:rsidR="009B4E96">
              <w:t>.</w:t>
            </w:r>
            <w:r>
              <w:t xml:space="preserve"> </w:t>
            </w:r>
            <w:r w:rsidR="00890D5C">
              <w:t xml:space="preserve">Eligibility Verification </w:t>
            </w:r>
            <w:r w:rsidR="009136FD">
              <w:t>(verification of continuing eligibility)</w:t>
            </w:r>
          </w:p>
        </w:tc>
        <w:tc>
          <w:tcPr>
            <w:tcW w:w="1890" w:type="dxa"/>
            <w:tcBorders>
              <w:top w:val="nil"/>
              <w:left w:val="nil"/>
              <w:bottom w:val="single" w:sz="4" w:space="0" w:color="auto"/>
              <w:right w:val="single" w:sz="8" w:space="0" w:color="000000"/>
            </w:tcBorders>
            <w:vAlign w:val="center"/>
          </w:tcPr>
          <w:p w:rsidR="009136FD" w:rsidRPr="00F830D5" w:rsidRDefault="009136FD" w:rsidP="00663ACB">
            <w:r>
              <w:t>2</w:t>
            </w:r>
            <w:r w:rsidR="0048572A">
              <w:t>5</w:t>
            </w:r>
          </w:p>
        </w:tc>
        <w:tc>
          <w:tcPr>
            <w:tcW w:w="1710" w:type="dxa"/>
            <w:tcBorders>
              <w:top w:val="single" w:sz="2" w:space="0" w:color="000000"/>
              <w:left w:val="single" w:sz="2" w:space="0" w:color="000000"/>
              <w:bottom w:val="single" w:sz="2" w:space="0" w:color="000000"/>
              <w:right w:val="nil"/>
            </w:tcBorders>
            <w:vAlign w:val="center"/>
          </w:tcPr>
          <w:p w:rsidR="009136FD" w:rsidRPr="00F830D5" w:rsidDel="000D492F" w:rsidRDefault="00B45E32" w:rsidP="00663ACB">
            <w:pPr>
              <w:ind w:right="-39"/>
            </w:pPr>
            <w:r>
              <w:t>$</w:t>
            </w:r>
            <w:r w:rsidR="009136FD">
              <w:t>23.86</w:t>
            </w:r>
          </w:p>
        </w:tc>
        <w:tc>
          <w:tcPr>
            <w:tcW w:w="1707" w:type="dxa"/>
            <w:tcBorders>
              <w:top w:val="single" w:sz="2" w:space="0" w:color="000000"/>
              <w:left w:val="single" w:sz="2" w:space="0" w:color="000000"/>
              <w:bottom w:val="single" w:sz="2" w:space="0" w:color="000000"/>
              <w:right w:val="single" w:sz="2" w:space="0" w:color="000000"/>
            </w:tcBorders>
            <w:vAlign w:val="center"/>
          </w:tcPr>
          <w:p w:rsidR="009136FD" w:rsidRPr="00F830D5" w:rsidDel="000D492F" w:rsidRDefault="00B45E32" w:rsidP="00663ACB">
            <w:pPr>
              <w:ind w:right="-39"/>
            </w:pPr>
            <w:r>
              <w:t>$5</w:t>
            </w:r>
            <w:r w:rsidR="0048572A">
              <w:t>96.5</w:t>
            </w:r>
          </w:p>
        </w:tc>
      </w:tr>
      <w:tr w:rsidR="000D492F" w:rsidRPr="00F830D5" w:rsidTr="00663ACB">
        <w:trPr>
          <w:cantSplit/>
        </w:trPr>
        <w:tc>
          <w:tcPr>
            <w:tcW w:w="1890" w:type="dxa"/>
            <w:tcBorders>
              <w:top w:val="single" w:sz="4" w:space="0" w:color="auto"/>
              <w:left w:val="single" w:sz="4" w:space="0" w:color="auto"/>
              <w:bottom w:val="single" w:sz="4" w:space="0" w:color="auto"/>
              <w:right w:val="single" w:sz="4" w:space="0" w:color="auto"/>
            </w:tcBorders>
          </w:tcPr>
          <w:p w:rsidR="000D492F" w:rsidRPr="00F830D5" w:rsidRDefault="000D492F" w:rsidP="000D492F">
            <w:r w:rsidRPr="00875BE7">
              <w:t xml:space="preserve">General Public- Adults  </w:t>
            </w:r>
          </w:p>
        </w:tc>
        <w:tc>
          <w:tcPr>
            <w:tcW w:w="1890" w:type="dxa"/>
            <w:tcBorders>
              <w:top w:val="single" w:sz="2" w:space="0" w:color="000000"/>
              <w:left w:val="single" w:sz="2" w:space="0" w:color="000000"/>
              <w:bottom w:val="single" w:sz="2" w:space="0" w:color="000000"/>
              <w:right w:val="single" w:sz="2" w:space="0" w:color="000000"/>
            </w:tcBorders>
          </w:tcPr>
          <w:p w:rsidR="00CE7E07" w:rsidRDefault="00862A48" w:rsidP="000D492F">
            <w:r>
              <w:t>Attachment 3e.</w:t>
            </w:r>
            <w:r w:rsidR="00CE7E07">
              <w:t xml:space="preserve"> &amp; 3g</w:t>
            </w:r>
            <w:r w:rsidR="009B4E96">
              <w:t>.</w:t>
            </w:r>
            <w:r>
              <w:t xml:space="preserve"> </w:t>
            </w:r>
          </w:p>
          <w:p w:rsidR="000D492F" w:rsidRPr="00F830D5" w:rsidRDefault="00862A48" w:rsidP="000D492F">
            <w:r>
              <w:t>Behavioral A</w:t>
            </w:r>
            <w:r w:rsidR="000D492F" w:rsidRPr="00DB2E59">
              <w:t>ssessment</w:t>
            </w:r>
          </w:p>
        </w:tc>
        <w:tc>
          <w:tcPr>
            <w:tcW w:w="1890" w:type="dxa"/>
            <w:tcBorders>
              <w:top w:val="single" w:sz="2" w:space="0" w:color="000000"/>
              <w:left w:val="single" w:sz="2" w:space="0" w:color="000000"/>
              <w:bottom w:val="single" w:sz="2" w:space="0" w:color="000000"/>
              <w:right w:val="nil"/>
            </w:tcBorders>
            <w:vAlign w:val="center"/>
          </w:tcPr>
          <w:p w:rsidR="000D492F" w:rsidRPr="00F830D5" w:rsidRDefault="009136FD" w:rsidP="00663ACB">
            <w:r>
              <w:t>150</w:t>
            </w:r>
          </w:p>
        </w:tc>
        <w:tc>
          <w:tcPr>
            <w:tcW w:w="1710" w:type="dxa"/>
            <w:tcBorders>
              <w:top w:val="single" w:sz="2" w:space="0" w:color="000000"/>
              <w:left w:val="single" w:sz="2" w:space="0" w:color="000000"/>
              <w:bottom w:val="single" w:sz="2" w:space="0" w:color="000000"/>
              <w:right w:val="nil"/>
            </w:tcBorders>
            <w:vAlign w:val="center"/>
          </w:tcPr>
          <w:p w:rsidR="000D492F" w:rsidRPr="00F830D5" w:rsidRDefault="00B45E32" w:rsidP="00663ACB">
            <w:pPr>
              <w:ind w:right="-39"/>
            </w:pPr>
            <w:r>
              <w:t>$</w:t>
            </w:r>
            <w:r w:rsidR="000D492F">
              <w:t>23.86</w:t>
            </w:r>
          </w:p>
        </w:tc>
        <w:tc>
          <w:tcPr>
            <w:tcW w:w="1707" w:type="dxa"/>
            <w:tcBorders>
              <w:top w:val="single" w:sz="2" w:space="0" w:color="000000"/>
              <w:left w:val="single" w:sz="2" w:space="0" w:color="000000"/>
              <w:bottom w:val="single" w:sz="2" w:space="0" w:color="000000"/>
              <w:right w:val="single" w:sz="2" w:space="0" w:color="000000"/>
            </w:tcBorders>
            <w:vAlign w:val="center"/>
          </w:tcPr>
          <w:p w:rsidR="000D492F" w:rsidRPr="00F830D5" w:rsidRDefault="00B45E32" w:rsidP="00663ACB">
            <w:pPr>
              <w:ind w:right="-39"/>
            </w:pPr>
            <w:r>
              <w:t>$3,579.0</w:t>
            </w:r>
          </w:p>
        </w:tc>
      </w:tr>
      <w:tr w:rsidR="000D492F" w:rsidRPr="00F830D5" w:rsidTr="00663ACB">
        <w:trPr>
          <w:cantSplit/>
        </w:trPr>
        <w:tc>
          <w:tcPr>
            <w:tcW w:w="1890" w:type="dxa"/>
            <w:tcBorders>
              <w:top w:val="single" w:sz="4" w:space="0" w:color="auto"/>
              <w:left w:val="single" w:sz="4" w:space="0" w:color="auto"/>
              <w:bottom w:val="single" w:sz="4" w:space="0" w:color="auto"/>
              <w:right w:val="single" w:sz="4" w:space="0" w:color="auto"/>
            </w:tcBorders>
          </w:tcPr>
          <w:p w:rsidR="000D492F" w:rsidRPr="00F830D5" w:rsidRDefault="000D492F" w:rsidP="000D492F">
            <w:r w:rsidRPr="00875BE7">
              <w:t>Total</w:t>
            </w:r>
          </w:p>
        </w:tc>
        <w:tc>
          <w:tcPr>
            <w:tcW w:w="1890" w:type="dxa"/>
            <w:tcBorders>
              <w:top w:val="single" w:sz="2" w:space="0" w:color="000000"/>
              <w:left w:val="single" w:sz="2" w:space="0" w:color="000000"/>
              <w:bottom w:val="single" w:sz="2" w:space="0" w:color="000000"/>
              <w:right w:val="single" w:sz="2" w:space="0" w:color="000000"/>
            </w:tcBorders>
          </w:tcPr>
          <w:p w:rsidR="000D492F" w:rsidRPr="00F830D5" w:rsidRDefault="000D492F" w:rsidP="000D492F"/>
        </w:tc>
        <w:tc>
          <w:tcPr>
            <w:tcW w:w="1890" w:type="dxa"/>
            <w:tcBorders>
              <w:top w:val="single" w:sz="2" w:space="0" w:color="000000"/>
              <w:left w:val="single" w:sz="2" w:space="0" w:color="000000"/>
              <w:bottom w:val="single" w:sz="2" w:space="0" w:color="000000"/>
              <w:right w:val="nil"/>
            </w:tcBorders>
            <w:vAlign w:val="center"/>
          </w:tcPr>
          <w:p w:rsidR="000D492F" w:rsidRPr="00F830D5" w:rsidRDefault="000D492F" w:rsidP="000D492F"/>
        </w:tc>
        <w:tc>
          <w:tcPr>
            <w:tcW w:w="1710" w:type="dxa"/>
            <w:tcBorders>
              <w:top w:val="single" w:sz="2" w:space="0" w:color="000000"/>
              <w:left w:val="single" w:sz="2" w:space="0" w:color="000000"/>
              <w:bottom w:val="single" w:sz="2" w:space="0" w:color="000000"/>
              <w:right w:val="nil"/>
            </w:tcBorders>
            <w:vAlign w:val="center"/>
          </w:tcPr>
          <w:p w:rsidR="000D492F" w:rsidRPr="00F830D5" w:rsidRDefault="000D492F" w:rsidP="000D492F">
            <w:pPr>
              <w:ind w:right="-39"/>
            </w:pPr>
          </w:p>
        </w:tc>
        <w:tc>
          <w:tcPr>
            <w:tcW w:w="1707" w:type="dxa"/>
            <w:tcBorders>
              <w:top w:val="single" w:sz="2" w:space="0" w:color="000000"/>
              <w:left w:val="single" w:sz="2" w:space="0" w:color="000000"/>
              <w:bottom w:val="single" w:sz="2" w:space="0" w:color="000000"/>
              <w:right w:val="single" w:sz="2" w:space="0" w:color="000000"/>
            </w:tcBorders>
            <w:vAlign w:val="center"/>
          </w:tcPr>
          <w:p w:rsidR="000D492F" w:rsidRPr="00F830D5" w:rsidRDefault="000D492F" w:rsidP="00BE426D">
            <w:pPr>
              <w:ind w:right="-39"/>
              <w:jc w:val="right"/>
            </w:pPr>
            <w:r w:rsidRPr="00F830D5">
              <w:t>$</w:t>
            </w:r>
            <w:r w:rsidR="00BE426D">
              <w:t>7993.10</w:t>
            </w:r>
          </w:p>
        </w:tc>
      </w:tr>
    </w:tbl>
    <w:p w:rsidR="001123C3" w:rsidRPr="00603813" w:rsidRDefault="001123C3" w:rsidP="002E15A0">
      <w:pPr>
        <w:rPr>
          <w:bCs/>
          <w:i/>
        </w:rPr>
      </w:pPr>
      <w:bookmarkStart w:id="38" w:name="_Toc306891246"/>
      <w:bookmarkStart w:id="39" w:name="_Toc235958549"/>
      <w:bookmarkEnd w:id="37"/>
    </w:p>
    <w:p w:rsidR="00133B17" w:rsidRPr="00603813" w:rsidRDefault="00133B17" w:rsidP="002E15A0">
      <w:pPr>
        <w:pStyle w:val="Heading2"/>
        <w:spacing w:before="0" w:after="0"/>
        <w:contextualSpacing/>
        <w:rPr>
          <w:rFonts w:ascii="Times New Roman" w:hAnsi="Times New Roman" w:cs="Times New Roman"/>
          <w:bCs w:val="0"/>
          <w:i w:val="0"/>
          <w:sz w:val="24"/>
          <w:szCs w:val="24"/>
        </w:rPr>
      </w:pPr>
      <w:bookmarkStart w:id="40" w:name="_Toc485906221"/>
      <w:r w:rsidRPr="00603813">
        <w:rPr>
          <w:rFonts w:ascii="Times New Roman" w:hAnsi="Times New Roman" w:cs="Times New Roman"/>
          <w:bCs w:val="0"/>
          <w:i w:val="0"/>
          <w:sz w:val="24"/>
          <w:szCs w:val="24"/>
        </w:rPr>
        <w:t xml:space="preserve">13. </w:t>
      </w:r>
      <w:r w:rsidRPr="00603813">
        <w:rPr>
          <w:rFonts w:ascii="Times New Roman" w:hAnsi="Times New Roman" w:cs="Times New Roman"/>
          <w:bCs w:val="0"/>
          <w:i w:val="0"/>
          <w:sz w:val="24"/>
          <w:szCs w:val="24"/>
        </w:rPr>
        <w:tab/>
        <w:t xml:space="preserve">Estimates of </w:t>
      </w:r>
      <w:r w:rsidR="00577C3C">
        <w:rPr>
          <w:rFonts w:ascii="Times New Roman" w:hAnsi="Times New Roman" w:cs="Times New Roman"/>
          <w:bCs w:val="0"/>
          <w:i w:val="0"/>
          <w:sz w:val="24"/>
          <w:szCs w:val="24"/>
        </w:rPr>
        <w:t>Other Total Annual Cost Burden to</w:t>
      </w:r>
      <w:r w:rsidRPr="00603813">
        <w:rPr>
          <w:rFonts w:ascii="Times New Roman" w:hAnsi="Times New Roman" w:cs="Times New Roman"/>
          <w:bCs w:val="0"/>
          <w:i w:val="0"/>
          <w:sz w:val="24"/>
          <w:szCs w:val="24"/>
        </w:rPr>
        <w:t xml:space="preserve"> Respondent</w:t>
      </w:r>
      <w:r w:rsidR="00577C3C">
        <w:rPr>
          <w:rFonts w:ascii="Times New Roman" w:hAnsi="Times New Roman" w:cs="Times New Roman"/>
          <w:bCs w:val="0"/>
          <w:i w:val="0"/>
          <w:sz w:val="24"/>
          <w:szCs w:val="24"/>
        </w:rPr>
        <w:t>s or Record Keepers</w:t>
      </w:r>
      <w:bookmarkEnd w:id="40"/>
      <w:r w:rsidRPr="00603813">
        <w:rPr>
          <w:rFonts w:ascii="Times New Roman" w:hAnsi="Times New Roman" w:cs="Times New Roman"/>
          <w:bCs w:val="0"/>
          <w:i w:val="0"/>
          <w:sz w:val="24"/>
          <w:szCs w:val="24"/>
        </w:rPr>
        <w:t xml:space="preserve"> </w:t>
      </w:r>
      <w:bookmarkEnd w:id="38"/>
    </w:p>
    <w:p w:rsidR="00133B17" w:rsidRPr="00603813" w:rsidRDefault="00133B17" w:rsidP="002E15A0">
      <w:pPr>
        <w:autoSpaceDE w:val="0"/>
        <w:autoSpaceDN w:val="0"/>
        <w:adjustRightInd w:val="0"/>
        <w:contextualSpacing/>
        <w:rPr>
          <w:b/>
          <w:bCs/>
        </w:rPr>
      </w:pPr>
      <w:r w:rsidRPr="00603813">
        <w:rPr>
          <w:b/>
          <w:bCs/>
        </w:rPr>
        <w:t xml:space="preserve"> </w:t>
      </w:r>
    </w:p>
    <w:p w:rsidR="009D2CFD" w:rsidRPr="00603813" w:rsidRDefault="009D2CFD" w:rsidP="002E15A0">
      <w:pPr>
        <w:autoSpaceDE w:val="0"/>
        <w:autoSpaceDN w:val="0"/>
        <w:adjustRightInd w:val="0"/>
        <w:contextualSpacing/>
        <w:rPr>
          <w:bCs/>
        </w:rPr>
      </w:pPr>
      <w:r w:rsidRPr="00603813">
        <w:rPr>
          <w:bCs/>
        </w:rPr>
        <w:t xml:space="preserve">There are no costs to respondents </w:t>
      </w:r>
      <w:r w:rsidR="00C21B91" w:rsidRPr="00603813">
        <w:rPr>
          <w:bCs/>
        </w:rPr>
        <w:t>for participating in this survey</w:t>
      </w:r>
      <w:r w:rsidRPr="00603813">
        <w:rPr>
          <w:bCs/>
        </w:rPr>
        <w:t xml:space="preserve">. </w:t>
      </w:r>
    </w:p>
    <w:p w:rsidR="009D2CFD" w:rsidRPr="00603813" w:rsidRDefault="009D2CFD" w:rsidP="002E15A0">
      <w:pPr>
        <w:autoSpaceDE w:val="0"/>
        <w:autoSpaceDN w:val="0"/>
        <w:adjustRightInd w:val="0"/>
        <w:contextualSpacing/>
        <w:rPr>
          <w:bCs/>
        </w:rPr>
      </w:pPr>
    </w:p>
    <w:p w:rsidR="00133B17" w:rsidRPr="00603813" w:rsidRDefault="00133B17" w:rsidP="002E15A0">
      <w:pPr>
        <w:pStyle w:val="Heading2"/>
        <w:spacing w:before="0" w:after="0"/>
        <w:contextualSpacing/>
        <w:rPr>
          <w:rFonts w:ascii="Times New Roman" w:hAnsi="Times New Roman" w:cs="Times New Roman"/>
          <w:bCs w:val="0"/>
          <w:i w:val="0"/>
          <w:sz w:val="24"/>
          <w:szCs w:val="24"/>
        </w:rPr>
      </w:pPr>
      <w:bookmarkStart w:id="41" w:name="_Toc306891247"/>
      <w:bookmarkStart w:id="42" w:name="_Toc485906222"/>
      <w:bookmarkStart w:id="43" w:name="_Toc235958550"/>
      <w:bookmarkEnd w:id="39"/>
      <w:r w:rsidRPr="00603813">
        <w:rPr>
          <w:rFonts w:ascii="Times New Roman" w:hAnsi="Times New Roman" w:cs="Times New Roman"/>
          <w:bCs w:val="0"/>
          <w:i w:val="0"/>
          <w:sz w:val="24"/>
          <w:szCs w:val="24"/>
        </w:rPr>
        <w:t xml:space="preserve">14. </w:t>
      </w:r>
      <w:r w:rsidRPr="00603813">
        <w:rPr>
          <w:rFonts w:ascii="Times New Roman" w:hAnsi="Times New Roman" w:cs="Times New Roman"/>
          <w:bCs w:val="0"/>
          <w:i w:val="0"/>
          <w:sz w:val="24"/>
          <w:szCs w:val="24"/>
        </w:rPr>
        <w:tab/>
        <w:t>Annualized Cost to the Government</w:t>
      </w:r>
      <w:bookmarkEnd w:id="41"/>
      <w:bookmarkEnd w:id="42"/>
    </w:p>
    <w:bookmarkEnd w:id="43"/>
    <w:p w:rsidR="00A20EF7" w:rsidRPr="00603813" w:rsidRDefault="00A20EF7" w:rsidP="002E15A0">
      <w:pPr>
        <w:autoSpaceDE w:val="0"/>
        <w:autoSpaceDN w:val="0"/>
        <w:adjustRightInd w:val="0"/>
        <w:contextualSpacing/>
      </w:pPr>
    </w:p>
    <w:p w:rsidR="00EC1C76" w:rsidRPr="00603813" w:rsidRDefault="009D2CFD" w:rsidP="002E15A0">
      <w:pPr>
        <w:autoSpaceDE w:val="0"/>
        <w:autoSpaceDN w:val="0"/>
        <w:adjustRightInd w:val="0"/>
        <w:contextualSpacing/>
      </w:pPr>
      <w:r w:rsidRPr="003456FB">
        <w:t xml:space="preserve">The </w:t>
      </w:r>
      <w:r w:rsidR="009A1B49">
        <w:t>annualized</w:t>
      </w:r>
      <w:r w:rsidR="009A1B49" w:rsidRPr="003456FB">
        <w:t xml:space="preserve"> </w:t>
      </w:r>
      <w:r w:rsidR="00426AF3" w:rsidRPr="003456FB">
        <w:t xml:space="preserve">cost to </w:t>
      </w:r>
      <w:r w:rsidR="0083002C" w:rsidRPr="003456FB">
        <w:t xml:space="preserve">the government is </w:t>
      </w:r>
      <w:r w:rsidR="001D0BC3" w:rsidRPr="003456FB">
        <w:rPr>
          <w:sz w:val="22"/>
          <w:szCs w:val="22"/>
        </w:rPr>
        <w:t>$</w:t>
      </w:r>
      <w:r w:rsidR="00AE6EA6">
        <w:rPr>
          <w:sz w:val="22"/>
          <w:szCs w:val="22"/>
        </w:rPr>
        <w:t>474,082.84</w:t>
      </w:r>
      <w:r w:rsidR="00132DA0" w:rsidRPr="003456FB">
        <w:t>.</w:t>
      </w:r>
      <w:r w:rsidR="00132DA0" w:rsidRPr="003456FB">
        <w:rPr>
          <w:b/>
        </w:rPr>
        <w:t xml:space="preserve"> </w:t>
      </w:r>
    </w:p>
    <w:p w:rsidR="00EC1C76" w:rsidRPr="00603813" w:rsidRDefault="00EC1C76" w:rsidP="002E15A0">
      <w:pPr>
        <w:rPr>
          <w:b/>
        </w:rPr>
      </w:pPr>
    </w:p>
    <w:p w:rsidR="00BC3A12" w:rsidRPr="00603813" w:rsidRDefault="00BE060F" w:rsidP="002E15A0">
      <w:pPr>
        <w:rPr>
          <w:b/>
        </w:rPr>
      </w:pPr>
      <w:r w:rsidRPr="00603813">
        <w:rPr>
          <w:b/>
        </w:rPr>
        <w:t>Exhibit A</w:t>
      </w:r>
      <w:r w:rsidR="00BC3A12" w:rsidRPr="00603813">
        <w:rPr>
          <w:b/>
        </w:rPr>
        <w:t xml:space="preserve">14.1: </w:t>
      </w:r>
      <w:r w:rsidR="00BC3A12" w:rsidRPr="00663ACB">
        <w:rPr>
          <w:b/>
        </w:rPr>
        <w:t>Annualized Cost to the Government</w:t>
      </w:r>
    </w:p>
    <w:p w:rsidR="00BC3A12" w:rsidRPr="00603813" w:rsidRDefault="00BC3A12" w:rsidP="002E15A0"/>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465"/>
        <w:gridCol w:w="4976"/>
        <w:gridCol w:w="1914"/>
      </w:tblGrid>
      <w:tr w:rsidR="00603813" w:rsidRPr="00F830D5" w:rsidTr="00A30A63">
        <w:tc>
          <w:tcPr>
            <w:tcW w:w="2465" w:type="dxa"/>
          </w:tcPr>
          <w:p w:rsidR="00BC3A12" w:rsidRPr="00F830D5" w:rsidRDefault="00BC3A12"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F830D5">
              <w:rPr>
                <w:b/>
                <w:bCs/>
              </w:rPr>
              <w:t>Expense Type</w:t>
            </w:r>
          </w:p>
        </w:tc>
        <w:tc>
          <w:tcPr>
            <w:tcW w:w="4976" w:type="dxa"/>
          </w:tcPr>
          <w:p w:rsidR="00BC3A12" w:rsidRPr="00F830D5" w:rsidRDefault="00BC3A12"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highlight w:val="yellow"/>
              </w:rPr>
            </w:pPr>
            <w:r w:rsidRPr="00F830D5">
              <w:rPr>
                <w:b/>
                <w:bCs/>
              </w:rPr>
              <w:t>Expense Explanation</w:t>
            </w:r>
          </w:p>
        </w:tc>
        <w:tc>
          <w:tcPr>
            <w:tcW w:w="1914" w:type="dxa"/>
          </w:tcPr>
          <w:p w:rsidR="00BC3A12" w:rsidRPr="00F830D5" w:rsidRDefault="00BC3A12" w:rsidP="002E15A0">
            <w:pPr>
              <w:tabs>
                <w:tab w:val="center" w:pos="4320"/>
                <w:tab w:val="right" w:pos="8640"/>
              </w:tabs>
              <w:spacing w:line="50" w:lineRule="exact"/>
            </w:pPr>
          </w:p>
          <w:p w:rsidR="00BC3A12" w:rsidRPr="00F830D5" w:rsidRDefault="00BC3A12"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sidRPr="00F830D5">
              <w:rPr>
                <w:b/>
                <w:bCs/>
              </w:rPr>
              <w:t>Annual Costs (dollars)</w:t>
            </w:r>
          </w:p>
        </w:tc>
      </w:tr>
      <w:tr w:rsidR="003F7B0F" w:rsidRPr="00F830D5" w:rsidTr="00A30A63">
        <w:tc>
          <w:tcPr>
            <w:tcW w:w="2465" w:type="dxa"/>
          </w:tcPr>
          <w:p w:rsidR="003F7B0F" w:rsidRPr="00F830D5" w:rsidRDefault="003F7B0F"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830D5">
              <w:t>Direct Costs to the Federal Government</w:t>
            </w:r>
          </w:p>
        </w:tc>
        <w:tc>
          <w:tcPr>
            <w:tcW w:w="4976" w:type="dxa"/>
            <w:vAlign w:val="center"/>
          </w:tcPr>
          <w:p w:rsidR="003F7B0F" w:rsidRPr="00F830D5" w:rsidRDefault="003F7B0F" w:rsidP="00663A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F830D5">
              <w:t>CDC, COR (GS-14 0.</w:t>
            </w:r>
            <w:r w:rsidR="00B45E32">
              <w:t>1</w:t>
            </w:r>
            <w:r w:rsidR="005F7B68">
              <w:t>0</w:t>
            </w:r>
            <w:r w:rsidR="005F7B68" w:rsidRPr="00F830D5">
              <w:t xml:space="preserve"> </w:t>
            </w:r>
            <w:r w:rsidRPr="00F830D5">
              <w:t>FTE)</w:t>
            </w:r>
          </w:p>
        </w:tc>
        <w:tc>
          <w:tcPr>
            <w:tcW w:w="1914" w:type="dxa"/>
            <w:vAlign w:val="center"/>
          </w:tcPr>
          <w:p w:rsidR="003F7B0F" w:rsidRPr="00F830D5" w:rsidRDefault="00AE4276"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highlight w:val="yellow"/>
              </w:rPr>
            </w:pPr>
            <w:r>
              <w:t>$</w:t>
            </w:r>
            <w:r w:rsidR="00B45E32">
              <w:t>13,829.6</w:t>
            </w:r>
          </w:p>
        </w:tc>
      </w:tr>
      <w:tr w:rsidR="003F7B0F" w:rsidRPr="00F830D5" w:rsidTr="00A30A63">
        <w:tc>
          <w:tcPr>
            <w:tcW w:w="2465" w:type="dxa"/>
          </w:tcPr>
          <w:p w:rsidR="003F7B0F" w:rsidRPr="00F830D5" w:rsidRDefault="003F7B0F"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4976" w:type="dxa"/>
            <w:vAlign w:val="center"/>
          </w:tcPr>
          <w:p w:rsidR="003F7B0F" w:rsidRPr="00F830D5" w:rsidRDefault="003F7B0F"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830D5">
              <w:t>CDC, Contracting Officer (GS-14, 0.20 FTE)</w:t>
            </w:r>
          </w:p>
        </w:tc>
        <w:tc>
          <w:tcPr>
            <w:tcW w:w="1914" w:type="dxa"/>
            <w:vAlign w:val="center"/>
          </w:tcPr>
          <w:p w:rsidR="003F7B0F" w:rsidRPr="00F830D5" w:rsidRDefault="00AE4276"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highlight w:val="yellow"/>
              </w:rPr>
            </w:pPr>
            <w:r>
              <w:t>$</w:t>
            </w:r>
            <w:r w:rsidR="00B45E32">
              <w:t>27,659.2</w:t>
            </w:r>
          </w:p>
        </w:tc>
      </w:tr>
      <w:tr w:rsidR="003F7B0F" w:rsidRPr="00F830D5" w:rsidTr="00A30A63">
        <w:tc>
          <w:tcPr>
            <w:tcW w:w="2465" w:type="dxa"/>
          </w:tcPr>
          <w:p w:rsidR="003F7B0F" w:rsidRPr="00F830D5" w:rsidRDefault="003F7B0F"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4976" w:type="dxa"/>
            <w:vAlign w:val="center"/>
          </w:tcPr>
          <w:p w:rsidR="003F7B0F" w:rsidRPr="00F830D5" w:rsidRDefault="003F7B0F" w:rsidP="00D35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830D5">
              <w:t>CDC, Contracting Officer (GS-13, 0.</w:t>
            </w:r>
            <w:r w:rsidR="005F7B68">
              <w:t>3</w:t>
            </w:r>
            <w:r w:rsidR="005F7B68" w:rsidRPr="00F830D5">
              <w:t xml:space="preserve">0 </w:t>
            </w:r>
            <w:r w:rsidRPr="00F830D5">
              <w:t>FTE)</w:t>
            </w:r>
          </w:p>
        </w:tc>
        <w:tc>
          <w:tcPr>
            <w:tcW w:w="1914" w:type="dxa"/>
            <w:vAlign w:val="center"/>
          </w:tcPr>
          <w:p w:rsidR="003F7B0F" w:rsidRPr="00F830D5" w:rsidRDefault="00AE4276"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w:t>
            </w:r>
            <w:r w:rsidR="00B45E32">
              <w:t>33,308.1</w:t>
            </w:r>
          </w:p>
        </w:tc>
      </w:tr>
      <w:tr w:rsidR="003F7B0F" w:rsidRPr="00F830D5" w:rsidTr="00A30A63">
        <w:tc>
          <w:tcPr>
            <w:tcW w:w="2465" w:type="dxa"/>
          </w:tcPr>
          <w:p w:rsidR="003F7B0F" w:rsidRPr="00F830D5" w:rsidRDefault="003F7B0F"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4976" w:type="dxa"/>
            <w:vAlign w:val="center"/>
          </w:tcPr>
          <w:p w:rsidR="003F7B0F" w:rsidRPr="00F830D5" w:rsidRDefault="003F7B0F" w:rsidP="00D35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830D5">
              <w:t>CDC, Contracting Officer (GS-12, 0.</w:t>
            </w:r>
            <w:r w:rsidR="005F7B68">
              <w:t>2</w:t>
            </w:r>
            <w:r w:rsidR="005F7B68" w:rsidRPr="00F830D5">
              <w:t xml:space="preserve">0 </w:t>
            </w:r>
            <w:r w:rsidRPr="00F830D5">
              <w:t xml:space="preserve">FTE) </w:t>
            </w:r>
          </w:p>
        </w:tc>
        <w:tc>
          <w:tcPr>
            <w:tcW w:w="1914" w:type="dxa"/>
            <w:vAlign w:val="center"/>
          </w:tcPr>
          <w:p w:rsidR="003F7B0F" w:rsidRPr="00F830D5" w:rsidRDefault="00AE4276"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$15,141.0</w:t>
            </w:r>
          </w:p>
        </w:tc>
      </w:tr>
      <w:tr w:rsidR="003F7B0F" w:rsidRPr="00F830D5" w:rsidTr="00A30A63">
        <w:tc>
          <w:tcPr>
            <w:tcW w:w="2465" w:type="dxa"/>
          </w:tcPr>
          <w:p w:rsidR="003F7B0F" w:rsidRPr="00F830D5" w:rsidRDefault="003F7B0F"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4976" w:type="dxa"/>
            <w:vAlign w:val="center"/>
          </w:tcPr>
          <w:p w:rsidR="003F7B0F" w:rsidRPr="00F830D5" w:rsidRDefault="003F7B0F"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830D5">
              <w:rPr>
                <w:b/>
              </w:rPr>
              <w:t xml:space="preserve">           Subtotal, Direct Costs</w:t>
            </w:r>
          </w:p>
        </w:tc>
        <w:tc>
          <w:tcPr>
            <w:tcW w:w="1914" w:type="dxa"/>
            <w:vAlign w:val="center"/>
          </w:tcPr>
          <w:p w:rsidR="003F7B0F" w:rsidRPr="00F830D5" w:rsidRDefault="003F7B0F" w:rsidP="00D35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rsidRPr="00663ACB">
              <w:rPr>
                <w:b/>
              </w:rPr>
              <w:t>$</w:t>
            </w:r>
            <w:r w:rsidR="00AE4276">
              <w:rPr>
                <w:b/>
              </w:rPr>
              <w:t>89,937.9</w:t>
            </w:r>
          </w:p>
        </w:tc>
      </w:tr>
      <w:tr w:rsidR="00603813" w:rsidRPr="00F830D5" w:rsidTr="00A30A63">
        <w:tc>
          <w:tcPr>
            <w:tcW w:w="2465" w:type="dxa"/>
          </w:tcPr>
          <w:p w:rsidR="00BC3A12" w:rsidRPr="00F830D5" w:rsidRDefault="00BC3A12"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830D5">
              <w:t>Cooperative Agreement or Contract Costs</w:t>
            </w:r>
          </w:p>
        </w:tc>
        <w:tc>
          <w:tcPr>
            <w:tcW w:w="4976" w:type="dxa"/>
            <w:vAlign w:val="center"/>
          </w:tcPr>
          <w:p w:rsidR="00D87671" w:rsidRPr="00F830D5" w:rsidRDefault="00EC1C76"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830D5">
              <w:t>Contract Cost</w:t>
            </w:r>
            <w:r w:rsidR="00D87671" w:rsidRPr="00F830D5">
              <w:t>:</w:t>
            </w:r>
          </w:p>
          <w:p w:rsidR="00BC3A12" w:rsidRPr="00F830D5" w:rsidRDefault="00BC3A12"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830D5">
              <w:t xml:space="preserve"> </w:t>
            </w:r>
            <w:r w:rsidR="00D87671" w:rsidRPr="00F830D5">
              <w:t xml:space="preserve"> </w:t>
            </w:r>
            <w:r w:rsidR="00D87671" w:rsidRPr="00F830D5">
              <w:rPr>
                <w:lang w:bidi="en-US"/>
              </w:rPr>
              <w:t>Research Support Services</w:t>
            </w:r>
            <w:r w:rsidRPr="00F830D5">
              <w:t xml:space="preserve"> </w:t>
            </w:r>
            <w:r w:rsidR="00EC1C76" w:rsidRPr="00F830D5">
              <w:t>(</w:t>
            </w:r>
            <w:r w:rsidR="00295D23" w:rsidRPr="00F830D5">
              <w:t>RSS</w:t>
            </w:r>
            <w:r w:rsidR="00EC1C76" w:rsidRPr="00F830D5">
              <w:t>)</w:t>
            </w:r>
            <w:r w:rsidRPr="00F830D5">
              <w:t xml:space="preserve">       </w:t>
            </w:r>
          </w:p>
        </w:tc>
        <w:tc>
          <w:tcPr>
            <w:tcW w:w="1914" w:type="dxa"/>
            <w:vAlign w:val="center"/>
          </w:tcPr>
          <w:p w:rsidR="00BC3A12" w:rsidRPr="00F830D5" w:rsidRDefault="006244C7" w:rsidP="00D35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pPr>
            <w:r>
              <w:t>$384,144.94</w:t>
            </w:r>
          </w:p>
        </w:tc>
      </w:tr>
      <w:tr w:rsidR="00E82578" w:rsidRPr="00F830D5" w:rsidTr="00A30A63">
        <w:tc>
          <w:tcPr>
            <w:tcW w:w="2465" w:type="dxa"/>
          </w:tcPr>
          <w:p w:rsidR="00E82578" w:rsidRPr="00F830D5" w:rsidRDefault="00E82578" w:rsidP="002E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4976" w:type="dxa"/>
            <w:vAlign w:val="center"/>
          </w:tcPr>
          <w:p w:rsidR="00E82578" w:rsidRPr="00E82578" w:rsidRDefault="00E82578" w:rsidP="00D35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82578">
              <w:rPr>
                <w:b/>
              </w:rPr>
              <w:t>ANNUALIZED COST</w:t>
            </w:r>
          </w:p>
        </w:tc>
        <w:tc>
          <w:tcPr>
            <w:tcW w:w="1914" w:type="dxa"/>
            <w:vAlign w:val="center"/>
          </w:tcPr>
          <w:p w:rsidR="00E82578" w:rsidRPr="00F830D5" w:rsidRDefault="00E82578" w:rsidP="00663A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rPr>
            </w:pPr>
            <w:r>
              <w:rPr>
                <w:b/>
              </w:rPr>
              <w:t>$474,082.84</w:t>
            </w:r>
          </w:p>
        </w:tc>
      </w:tr>
    </w:tbl>
    <w:p w:rsidR="003F2EE2" w:rsidRPr="00603813" w:rsidRDefault="003F2EE2" w:rsidP="002E15A0">
      <w:pPr>
        <w:autoSpaceDE w:val="0"/>
        <w:autoSpaceDN w:val="0"/>
        <w:adjustRightInd w:val="0"/>
        <w:contextualSpacing/>
      </w:pPr>
    </w:p>
    <w:p w:rsidR="00133B17" w:rsidRPr="00603813" w:rsidRDefault="00133B17" w:rsidP="002E15A0">
      <w:pPr>
        <w:pStyle w:val="Heading2"/>
        <w:spacing w:before="0" w:after="0"/>
        <w:contextualSpacing/>
        <w:rPr>
          <w:rFonts w:ascii="Times New Roman" w:hAnsi="Times New Roman" w:cs="Times New Roman"/>
          <w:bCs w:val="0"/>
          <w:i w:val="0"/>
          <w:sz w:val="24"/>
          <w:szCs w:val="24"/>
        </w:rPr>
      </w:pPr>
      <w:bookmarkStart w:id="44" w:name="_Toc485906223"/>
      <w:bookmarkStart w:id="45" w:name="_Toc306891248"/>
      <w:bookmarkStart w:id="46" w:name="_Toc235958551"/>
      <w:r w:rsidRPr="00603813">
        <w:rPr>
          <w:rFonts w:ascii="Times New Roman" w:hAnsi="Times New Roman" w:cs="Times New Roman"/>
          <w:bCs w:val="0"/>
          <w:i w:val="0"/>
          <w:sz w:val="24"/>
          <w:szCs w:val="24"/>
        </w:rPr>
        <w:t>15.</w:t>
      </w:r>
      <w:r w:rsidRPr="00603813">
        <w:rPr>
          <w:rFonts w:ascii="Times New Roman" w:hAnsi="Times New Roman" w:cs="Times New Roman"/>
          <w:bCs w:val="0"/>
          <w:i w:val="0"/>
          <w:sz w:val="24"/>
          <w:szCs w:val="24"/>
        </w:rPr>
        <w:tab/>
      </w:r>
      <w:r w:rsidR="00577C3C">
        <w:rPr>
          <w:rFonts w:ascii="Times New Roman" w:hAnsi="Times New Roman" w:cs="Times New Roman"/>
          <w:bCs w:val="0"/>
          <w:i w:val="0"/>
          <w:sz w:val="24"/>
          <w:szCs w:val="24"/>
        </w:rPr>
        <w:t>Explanation for Program Changes or Adjustments</w:t>
      </w:r>
      <w:bookmarkEnd w:id="44"/>
      <w:r w:rsidR="00577C3C">
        <w:rPr>
          <w:rFonts w:ascii="Times New Roman" w:hAnsi="Times New Roman" w:cs="Times New Roman"/>
          <w:bCs w:val="0"/>
          <w:i w:val="0"/>
          <w:sz w:val="24"/>
          <w:szCs w:val="24"/>
        </w:rPr>
        <w:t xml:space="preserve"> </w:t>
      </w:r>
      <w:bookmarkEnd w:id="45"/>
    </w:p>
    <w:p w:rsidR="00133B17" w:rsidRPr="00603813" w:rsidRDefault="00133B17" w:rsidP="002E15A0">
      <w:pPr>
        <w:autoSpaceDE w:val="0"/>
        <w:autoSpaceDN w:val="0"/>
        <w:adjustRightInd w:val="0"/>
        <w:contextualSpacing/>
        <w:rPr>
          <w:b/>
          <w:bCs/>
        </w:rPr>
      </w:pPr>
      <w:r w:rsidRPr="00603813">
        <w:rPr>
          <w:b/>
          <w:bCs/>
        </w:rPr>
        <w:t xml:space="preserve"> </w:t>
      </w:r>
      <w:bookmarkStart w:id="47" w:name="_Toc235958552"/>
      <w:bookmarkEnd w:id="46"/>
    </w:p>
    <w:p w:rsidR="006A3D4F" w:rsidRPr="00603813" w:rsidRDefault="006A3D4F" w:rsidP="002E15A0">
      <w:pPr>
        <w:autoSpaceDE w:val="0"/>
        <w:autoSpaceDN w:val="0"/>
        <w:adjustRightInd w:val="0"/>
        <w:contextualSpacing/>
        <w:rPr>
          <w:bCs/>
        </w:rPr>
      </w:pPr>
      <w:r w:rsidRPr="00603813">
        <w:rPr>
          <w:bCs/>
        </w:rPr>
        <w:t xml:space="preserve">This is a new information collection request (ICR). </w:t>
      </w:r>
    </w:p>
    <w:p w:rsidR="00A20EF7" w:rsidRPr="00603813" w:rsidRDefault="00A20EF7" w:rsidP="002E15A0">
      <w:pPr>
        <w:rPr>
          <w:bCs/>
          <w:i/>
        </w:rPr>
      </w:pPr>
      <w:bookmarkStart w:id="48" w:name="_Toc306891249"/>
    </w:p>
    <w:p w:rsidR="00133B17" w:rsidRPr="00603813" w:rsidRDefault="00133B17" w:rsidP="002E15A0">
      <w:pPr>
        <w:pStyle w:val="Heading2"/>
        <w:spacing w:before="0" w:after="0"/>
        <w:contextualSpacing/>
        <w:rPr>
          <w:rFonts w:ascii="Times New Roman" w:hAnsi="Times New Roman" w:cs="Times New Roman"/>
          <w:bCs w:val="0"/>
          <w:i w:val="0"/>
          <w:sz w:val="24"/>
          <w:szCs w:val="24"/>
        </w:rPr>
      </w:pPr>
      <w:bookmarkStart w:id="49" w:name="_Toc485906224"/>
      <w:r w:rsidRPr="00603813">
        <w:rPr>
          <w:rFonts w:ascii="Times New Roman" w:hAnsi="Times New Roman" w:cs="Times New Roman"/>
          <w:bCs w:val="0"/>
          <w:i w:val="0"/>
          <w:sz w:val="24"/>
          <w:szCs w:val="24"/>
        </w:rPr>
        <w:t>16.</w:t>
      </w:r>
      <w:r w:rsidRPr="00603813">
        <w:rPr>
          <w:rFonts w:ascii="Times New Roman" w:hAnsi="Times New Roman" w:cs="Times New Roman"/>
          <w:bCs w:val="0"/>
          <w:i w:val="0"/>
          <w:sz w:val="24"/>
          <w:szCs w:val="24"/>
        </w:rPr>
        <w:tab/>
        <w:t>Plans for Tabulation and Publication</w:t>
      </w:r>
      <w:bookmarkEnd w:id="48"/>
      <w:r w:rsidR="00577C3C">
        <w:rPr>
          <w:rFonts w:ascii="Times New Roman" w:hAnsi="Times New Roman" w:cs="Times New Roman"/>
          <w:bCs w:val="0"/>
          <w:i w:val="0"/>
          <w:sz w:val="24"/>
          <w:szCs w:val="24"/>
        </w:rPr>
        <w:t xml:space="preserve"> and </w:t>
      </w:r>
      <w:r w:rsidR="00577C3C" w:rsidRPr="00577C3C">
        <w:rPr>
          <w:rFonts w:ascii="Times New Roman" w:hAnsi="Times New Roman" w:cs="Times New Roman"/>
          <w:bCs w:val="0"/>
          <w:i w:val="0"/>
          <w:sz w:val="24"/>
          <w:szCs w:val="24"/>
        </w:rPr>
        <w:t>Project Time Schedule</w:t>
      </w:r>
      <w:bookmarkEnd w:id="49"/>
    </w:p>
    <w:p w:rsidR="009E438A" w:rsidRPr="00603813" w:rsidRDefault="009E438A" w:rsidP="002E15A0"/>
    <w:p w:rsidR="003A20A7" w:rsidRPr="00603813" w:rsidRDefault="009E438A" w:rsidP="002E15A0">
      <w:r w:rsidRPr="00603813">
        <w:t xml:space="preserve">A final meeting to present the findings from the </w:t>
      </w:r>
      <w:r w:rsidR="003F7B0F">
        <w:t>study</w:t>
      </w:r>
      <w:r w:rsidR="003F7B0F" w:rsidRPr="00603813">
        <w:t xml:space="preserve"> </w:t>
      </w:r>
      <w:r w:rsidRPr="00603813">
        <w:t>will be held in person at CDC in Atlanta at least two weeks before the end of the contract</w:t>
      </w:r>
      <w:r w:rsidR="008D0C41" w:rsidRPr="00603813">
        <w:t xml:space="preserve">. </w:t>
      </w:r>
      <w:r w:rsidR="006E418D" w:rsidRPr="00603813">
        <w:t>Tabulation will include descriptive characteristics of study respondents collected in the first part of the interview (e.g., demographics, city,</w:t>
      </w:r>
      <w:r w:rsidR="006E418D">
        <w:t xml:space="preserve"> age, </w:t>
      </w:r>
      <w:r w:rsidR="006244C7">
        <w:t xml:space="preserve">and </w:t>
      </w:r>
      <w:r w:rsidR="006E418D">
        <w:t>race/ethnicity</w:t>
      </w:r>
      <w:r w:rsidR="006E418D" w:rsidRPr="00603813">
        <w:t>).</w:t>
      </w:r>
      <w:r w:rsidR="006E418D">
        <w:t xml:space="preserve"> </w:t>
      </w:r>
      <w:r w:rsidR="00132DA0" w:rsidRPr="00603813">
        <w:t>The project ti</w:t>
      </w:r>
      <w:r w:rsidR="00BE060F" w:rsidRPr="00603813">
        <w:t>meline is detailed in exhibit A</w:t>
      </w:r>
      <w:r w:rsidR="00132DA0" w:rsidRPr="00603813">
        <w:t>16.1.</w:t>
      </w:r>
    </w:p>
    <w:p w:rsidR="003A20A7" w:rsidRPr="00603813" w:rsidRDefault="003A20A7" w:rsidP="002E15A0">
      <w:pPr>
        <w:rPr>
          <w:b/>
        </w:rPr>
      </w:pPr>
    </w:p>
    <w:p w:rsidR="009A3482" w:rsidRPr="00603813" w:rsidRDefault="00BE060F" w:rsidP="002E15A0">
      <w:pPr>
        <w:rPr>
          <w:b/>
        </w:rPr>
      </w:pPr>
      <w:r w:rsidRPr="003456FB">
        <w:rPr>
          <w:b/>
        </w:rPr>
        <w:t>Exhibit A</w:t>
      </w:r>
      <w:r w:rsidR="009A3482" w:rsidRPr="003456FB">
        <w:rPr>
          <w:b/>
        </w:rPr>
        <w:t>16.1: Project Time Schedule</w:t>
      </w:r>
    </w:p>
    <w:p w:rsidR="009A3482" w:rsidRPr="00603813" w:rsidRDefault="009A3482" w:rsidP="002E15A0">
      <w:pPr>
        <w:rPr>
          <w:b/>
        </w:rPr>
      </w:pPr>
    </w:p>
    <w:tbl>
      <w:tblPr>
        <w:tblW w:w="0" w:type="auto"/>
        <w:jc w:val="center"/>
        <w:tblCellMar>
          <w:left w:w="0" w:type="dxa"/>
          <w:right w:w="0" w:type="dxa"/>
        </w:tblCellMar>
        <w:tblLook w:val="04A0" w:firstRow="1" w:lastRow="0" w:firstColumn="1" w:lastColumn="0" w:noHBand="0" w:noVBand="1"/>
      </w:tblPr>
      <w:tblGrid>
        <w:gridCol w:w="5650"/>
        <w:gridCol w:w="3660"/>
      </w:tblGrid>
      <w:tr w:rsidR="00603813" w:rsidRPr="00603813" w:rsidTr="00316236">
        <w:trPr>
          <w:jc w:val="center"/>
        </w:trPr>
        <w:tc>
          <w:tcPr>
            <w:tcW w:w="5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3482" w:rsidRPr="00603813" w:rsidRDefault="009A3482" w:rsidP="002E15A0">
            <w:pPr>
              <w:spacing w:before="100" w:beforeAutospacing="1" w:after="100" w:afterAutospacing="1"/>
            </w:pPr>
            <w:r w:rsidRPr="00603813">
              <w:t> </w:t>
            </w:r>
          </w:p>
          <w:p w:rsidR="009A3482" w:rsidRPr="00603813" w:rsidRDefault="009A3482" w:rsidP="002E15A0">
            <w:pPr>
              <w:spacing w:before="100" w:beforeAutospacing="1" w:after="100" w:afterAutospacing="1"/>
            </w:pPr>
            <w:r w:rsidRPr="00603813">
              <w:rPr>
                <w:b/>
                <w:bCs/>
              </w:rPr>
              <w:t>Activity</w:t>
            </w:r>
          </w:p>
        </w:tc>
        <w:tc>
          <w:tcPr>
            <w:tcW w:w="3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3482" w:rsidRPr="00603813" w:rsidRDefault="00A6282A" w:rsidP="002E15A0">
            <w:pPr>
              <w:spacing w:before="100" w:beforeAutospacing="1" w:after="100" w:afterAutospacing="1"/>
            </w:pPr>
            <w:r>
              <w:t xml:space="preserve">Data collection to begin </w:t>
            </w:r>
            <w:r w:rsidR="004A1BE8">
              <w:t>March 1,</w:t>
            </w:r>
            <w:r>
              <w:t xml:space="preserve"> 2018</w:t>
            </w:r>
          </w:p>
        </w:tc>
      </w:tr>
      <w:tr w:rsidR="00603813" w:rsidRPr="00603813" w:rsidTr="00316236">
        <w:trPr>
          <w:jc w:val="center"/>
        </w:trPr>
        <w:tc>
          <w:tcPr>
            <w:tcW w:w="5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3482" w:rsidRPr="00603813" w:rsidRDefault="009A3482" w:rsidP="002E15A0">
            <w:pPr>
              <w:spacing w:before="100" w:beforeAutospacing="1" w:after="100" w:afterAutospacing="1"/>
            </w:pPr>
            <w:r w:rsidRPr="00603813">
              <w:t>Data collection tools, sampling and data pans, study protocol development</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rsidR="009A3482" w:rsidRPr="00603813" w:rsidRDefault="009A3482" w:rsidP="002E15A0">
            <w:pPr>
              <w:spacing w:before="100" w:beforeAutospacing="1" w:after="100" w:afterAutospacing="1"/>
            </w:pPr>
            <w:r w:rsidRPr="00603813">
              <w:t xml:space="preserve">2-3 months </w:t>
            </w:r>
            <w:r w:rsidR="00C033EF" w:rsidRPr="00603813">
              <w:t xml:space="preserve">before </w:t>
            </w:r>
            <w:r w:rsidRPr="00603813">
              <w:t>OMB approval</w:t>
            </w:r>
          </w:p>
        </w:tc>
      </w:tr>
      <w:tr w:rsidR="00603813" w:rsidRPr="00603813" w:rsidTr="00316236">
        <w:trPr>
          <w:jc w:val="center"/>
        </w:trPr>
        <w:tc>
          <w:tcPr>
            <w:tcW w:w="5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3482" w:rsidRPr="00603813" w:rsidRDefault="009A3482" w:rsidP="002E15A0">
            <w:pPr>
              <w:spacing w:before="100" w:beforeAutospacing="1" w:after="100" w:afterAutospacing="1"/>
            </w:pPr>
            <w:r w:rsidRPr="00603813">
              <w:t>Recruitment  </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rsidR="009A3482" w:rsidRPr="00603813" w:rsidRDefault="00C033EF" w:rsidP="002E15A0">
            <w:pPr>
              <w:spacing w:before="100" w:beforeAutospacing="1" w:after="100" w:afterAutospacing="1"/>
            </w:pPr>
            <w:r w:rsidRPr="00603813">
              <w:t xml:space="preserve">1 </w:t>
            </w:r>
            <w:r w:rsidR="00A354AD" w:rsidRPr="00603813">
              <w:t xml:space="preserve">month </w:t>
            </w:r>
            <w:r w:rsidR="009A3482" w:rsidRPr="00603813">
              <w:t>after OMB approval</w:t>
            </w:r>
          </w:p>
        </w:tc>
      </w:tr>
      <w:tr w:rsidR="00603813" w:rsidRPr="00603813" w:rsidTr="00316236">
        <w:trPr>
          <w:jc w:val="center"/>
        </w:trPr>
        <w:tc>
          <w:tcPr>
            <w:tcW w:w="5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3482" w:rsidRPr="00603813" w:rsidRDefault="009A3482" w:rsidP="002E15A0">
            <w:pPr>
              <w:spacing w:before="100" w:beforeAutospacing="1" w:after="100" w:afterAutospacing="1"/>
            </w:pPr>
            <w:r w:rsidRPr="00603813">
              <w:t>Data Collection  </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rsidR="009A3482" w:rsidRPr="00603813" w:rsidRDefault="00C033EF" w:rsidP="002E15A0">
            <w:pPr>
              <w:spacing w:before="100" w:beforeAutospacing="1" w:after="100" w:afterAutospacing="1"/>
            </w:pPr>
            <w:r w:rsidRPr="00603813">
              <w:t xml:space="preserve">2-3 </w:t>
            </w:r>
            <w:r w:rsidR="009A3482" w:rsidRPr="00603813">
              <w:t>months after OMB approval</w:t>
            </w:r>
          </w:p>
        </w:tc>
      </w:tr>
      <w:tr w:rsidR="00603813" w:rsidRPr="00603813" w:rsidTr="00316236">
        <w:trPr>
          <w:jc w:val="center"/>
        </w:trPr>
        <w:tc>
          <w:tcPr>
            <w:tcW w:w="5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3482" w:rsidRPr="00603813" w:rsidRDefault="009A3482" w:rsidP="002E15A0">
            <w:pPr>
              <w:spacing w:before="100" w:beforeAutospacing="1" w:after="100" w:afterAutospacing="1"/>
            </w:pPr>
            <w:r w:rsidRPr="00603813">
              <w:t>Data analysis finalized and report</w:t>
            </w:r>
            <w:r w:rsidR="0042433B">
              <w:t>s</w:t>
            </w:r>
            <w:r w:rsidRPr="00603813">
              <w:t xml:space="preserve"> drafted</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rsidR="009A3482" w:rsidRPr="00603813" w:rsidRDefault="00C033EF" w:rsidP="002E15A0">
            <w:pPr>
              <w:spacing w:before="100" w:beforeAutospacing="1" w:after="100" w:afterAutospacing="1"/>
            </w:pPr>
            <w:r w:rsidRPr="00603813">
              <w:t xml:space="preserve">4 </w:t>
            </w:r>
            <w:r w:rsidR="00A354AD" w:rsidRPr="00603813">
              <w:t>months</w:t>
            </w:r>
            <w:r w:rsidR="009A3482" w:rsidRPr="00603813">
              <w:t xml:space="preserve"> after OMB approval</w:t>
            </w:r>
          </w:p>
        </w:tc>
      </w:tr>
      <w:tr w:rsidR="00603813" w:rsidRPr="00603813" w:rsidTr="00316236">
        <w:trPr>
          <w:jc w:val="center"/>
        </w:trPr>
        <w:tc>
          <w:tcPr>
            <w:tcW w:w="5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3482" w:rsidRPr="00603813" w:rsidRDefault="009A3482" w:rsidP="002E15A0">
            <w:pPr>
              <w:spacing w:before="100" w:beforeAutospacing="1" w:after="100" w:afterAutospacing="1"/>
            </w:pPr>
            <w:r w:rsidRPr="00603813">
              <w:t>Final data set and final report</w:t>
            </w:r>
            <w:r w:rsidR="0042433B">
              <w:t xml:space="preserve">s </w:t>
            </w:r>
            <w:r w:rsidRPr="00603813">
              <w:t>submitted to CDC</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rsidR="009A3482" w:rsidRPr="00603813" w:rsidRDefault="00C033EF" w:rsidP="002E15A0">
            <w:pPr>
              <w:spacing w:before="100" w:beforeAutospacing="1" w:after="100" w:afterAutospacing="1"/>
            </w:pPr>
            <w:r w:rsidRPr="00603813">
              <w:t xml:space="preserve">5 </w:t>
            </w:r>
            <w:r w:rsidR="009A3482" w:rsidRPr="00603813">
              <w:t>months after OMB approval</w:t>
            </w:r>
          </w:p>
        </w:tc>
      </w:tr>
    </w:tbl>
    <w:p w:rsidR="00132DA0" w:rsidRPr="00603813" w:rsidRDefault="00132DA0" w:rsidP="002E15A0"/>
    <w:bookmarkEnd w:id="47"/>
    <w:p w:rsidR="009E438A" w:rsidRPr="00603813" w:rsidRDefault="0042433B" w:rsidP="002E15A0">
      <w:r>
        <w:t>The Contractor will write</w:t>
      </w:r>
      <w:r w:rsidRPr="0042433B">
        <w:t xml:space="preserve"> (1) report for each PrEP site (n=3) describing local results from this study</w:t>
      </w:r>
      <w:r w:rsidR="00FA06A3">
        <w:t>,</w:t>
      </w:r>
      <w:r w:rsidRPr="0042433B">
        <w:t xml:space="preserve"> and </w:t>
      </w:r>
      <w:r w:rsidR="00FA06A3">
        <w:t xml:space="preserve">will </w:t>
      </w:r>
      <w:r w:rsidRPr="0042433B">
        <w:t>write one (1) report describing the overall results for CDC.</w:t>
      </w:r>
      <w:r>
        <w:t xml:space="preserve"> </w:t>
      </w:r>
      <w:r w:rsidR="009E438A" w:rsidRPr="00603813">
        <w:t>A final data set will also be provided</w:t>
      </w:r>
      <w:r>
        <w:t>. CDC will prepare results for dissemination in</w:t>
      </w:r>
      <w:r w:rsidR="009E438A" w:rsidRPr="00603813">
        <w:t xml:space="preserve"> manuscript and presentation </w:t>
      </w:r>
      <w:r>
        <w:t xml:space="preserve">format at the completion of the study </w:t>
      </w:r>
      <w:r w:rsidR="009E438A" w:rsidRPr="00603813">
        <w:t xml:space="preserve">period.  </w:t>
      </w:r>
    </w:p>
    <w:p w:rsidR="00A20EF7" w:rsidRPr="00603813" w:rsidRDefault="00A20EF7" w:rsidP="002E15A0">
      <w:pPr>
        <w:rPr>
          <w:highlight w:val="yellow"/>
        </w:rPr>
      </w:pPr>
    </w:p>
    <w:p w:rsidR="009E438A" w:rsidRPr="00603813" w:rsidRDefault="00A20EF7" w:rsidP="002E15A0">
      <w:r w:rsidRPr="00603813">
        <w:t>We anticipate</w:t>
      </w:r>
      <w:r w:rsidR="00FA0FE7" w:rsidRPr="00603813">
        <w:t xml:space="preserve"> that multiple manuscripts will be published in peer reviewed journals</w:t>
      </w:r>
      <w:r w:rsidR="00EA6294" w:rsidRPr="00603813">
        <w:t>,</w:t>
      </w:r>
      <w:r w:rsidR="00FA0FE7" w:rsidRPr="00603813">
        <w:t xml:space="preserve"> presented at national conferences</w:t>
      </w:r>
      <w:r w:rsidR="00EA6294" w:rsidRPr="00603813">
        <w:t>,</w:t>
      </w:r>
      <w:r w:rsidR="00FA0FE7" w:rsidRPr="00603813">
        <w:t xml:space="preserve"> and provided on conference websites. </w:t>
      </w:r>
      <w:r w:rsidR="00EA6294" w:rsidRPr="00603813">
        <w:t>L</w:t>
      </w:r>
      <w:r w:rsidR="00DB36C9" w:rsidRPr="00603813">
        <w:t xml:space="preserve">inks to these publications will be </w:t>
      </w:r>
      <w:r w:rsidR="00EA6294" w:rsidRPr="00603813">
        <w:t>available</w:t>
      </w:r>
      <w:r w:rsidR="00DB36C9" w:rsidRPr="00603813">
        <w:t xml:space="preserve"> through the CDC website</w:t>
      </w:r>
      <w:r w:rsidR="00EA6294" w:rsidRPr="00603813">
        <w:t>.</w:t>
      </w:r>
      <w:r w:rsidR="00403DA8">
        <w:t xml:space="preserve"> In addition, per CDC guidelines, demographic and text data will be publically available by special use request after study completion and dissemination of findings.</w:t>
      </w:r>
    </w:p>
    <w:p w:rsidR="00133B17" w:rsidRPr="00603813" w:rsidRDefault="00133B17" w:rsidP="002E15A0">
      <w:pPr>
        <w:contextualSpacing/>
        <w:rPr>
          <w:b/>
          <w:bCs/>
        </w:rPr>
      </w:pPr>
    </w:p>
    <w:p w:rsidR="00133B17" w:rsidRPr="00603813" w:rsidRDefault="00133B17" w:rsidP="002E15A0">
      <w:pPr>
        <w:pStyle w:val="Heading2"/>
        <w:spacing w:before="0" w:after="0"/>
        <w:contextualSpacing/>
        <w:rPr>
          <w:rFonts w:ascii="Times New Roman" w:hAnsi="Times New Roman" w:cs="Times New Roman"/>
          <w:bCs w:val="0"/>
          <w:i w:val="0"/>
          <w:sz w:val="24"/>
          <w:szCs w:val="24"/>
        </w:rPr>
      </w:pPr>
      <w:bookmarkStart w:id="50" w:name="_Toc485906225"/>
      <w:bookmarkStart w:id="51" w:name="_Toc306891250"/>
      <w:bookmarkStart w:id="52" w:name="_Toc235958553"/>
      <w:r w:rsidRPr="00603813">
        <w:rPr>
          <w:rFonts w:ascii="Times New Roman" w:hAnsi="Times New Roman" w:cs="Times New Roman"/>
          <w:bCs w:val="0"/>
          <w:i w:val="0"/>
          <w:sz w:val="24"/>
          <w:szCs w:val="24"/>
        </w:rPr>
        <w:t xml:space="preserve">17. </w:t>
      </w:r>
      <w:r w:rsidRPr="00603813">
        <w:rPr>
          <w:rFonts w:ascii="Times New Roman" w:hAnsi="Times New Roman" w:cs="Times New Roman"/>
          <w:bCs w:val="0"/>
          <w:i w:val="0"/>
          <w:sz w:val="24"/>
          <w:szCs w:val="24"/>
        </w:rPr>
        <w:tab/>
      </w:r>
      <w:r w:rsidR="00577C3C">
        <w:rPr>
          <w:rFonts w:ascii="Times New Roman" w:hAnsi="Times New Roman" w:cs="Times New Roman"/>
          <w:bCs w:val="0"/>
          <w:i w:val="0"/>
          <w:sz w:val="24"/>
          <w:szCs w:val="24"/>
        </w:rPr>
        <w:t>Reason(s) Display of OMB Expiration Date is Inappropriate</w:t>
      </w:r>
      <w:bookmarkEnd w:id="50"/>
      <w:r w:rsidR="00577C3C">
        <w:rPr>
          <w:rFonts w:ascii="Times New Roman" w:hAnsi="Times New Roman" w:cs="Times New Roman"/>
          <w:bCs w:val="0"/>
          <w:i w:val="0"/>
          <w:sz w:val="24"/>
          <w:szCs w:val="24"/>
        </w:rPr>
        <w:t xml:space="preserve"> </w:t>
      </w:r>
      <w:bookmarkEnd w:id="51"/>
    </w:p>
    <w:p w:rsidR="00133B17" w:rsidRPr="00603813" w:rsidRDefault="00133B17" w:rsidP="002E15A0">
      <w:pPr>
        <w:contextualSpacing/>
      </w:pPr>
      <w:bookmarkStart w:id="53" w:name="_Toc235958554"/>
      <w:bookmarkEnd w:id="52"/>
    </w:p>
    <w:p w:rsidR="009E438A" w:rsidRPr="00603813" w:rsidRDefault="009E438A" w:rsidP="002E15A0">
      <w:pPr>
        <w:contextualSpacing/>
      </w:pPr>
      <w:r w:rsidRPr="00603813">
        <w:t xml:space="preserve">We do not seek approval to eliminate the expiration date. </w:t>
      </w:r>
    </w:p>
    <w:p w:rsidR="009E438A" w:rsidRPr="00603813" w:rsidRDefault="009E438A" w:rsidP="002E15A0">
      <w:pPr>
        <w:contextualSpacing/>
      </w:pPr>
    </w:p>
    <w:p w:rsidR="00133B17" w:rsidRPr="00603813" w:rsidRDefault="00133B17" w:rsidP="002E15A0">
      <w:pPr>
        <w:pStyle w:val="Heading2"/>
        <w:spacing w:before="0" w:after="0"/>
        <w:contextualSpacing/>
        <w:rPr>
          <w:rFonts w:ascii="Times New Roman" w:hAnsi="Times New Roman" w:cs="Times New Roman"/>
          <w:bCs w:val="0"/>
          <w:i w:val="0"/>
          <w:sz w:val="24"/>
          <w:szCs w:val="24"/>
        </w:rPr>
      </w:pPr>
      <w:bookmarkStart w:id="54" w:name="_Toc485906226"/>
      <w:bookmarkStart w:id="55" w:name="_Toc306891251"/>
      <w:r w:rsidRPr="00603813">
        <w:rPr>
          <w:rFonts w:ascii="Times New Roman" w:hAnsi="Times New Roman" w:cs="Times New Roman"/>
          <w:bCs w:val="0"/>
          <w:i w:val="0"/>
          <w:sz w:val="24"/>
          <w:szCs w:val="24"/>
        </w:rPr>
        <w:t>18.</w:t>
      </w:r>
      <w:r w:rsidRPr="00603813">
        <w:rPr>
          <w:rFonts w:ascii="Times New Roman" w:hAnsi="Times New Roman" w:cs="Times New Roman"/>
          <w:bCs w:val="0"/>
          <w:i w:val="0"/>
          <w:sz w:val="24"/>
          <w:szCs w:val="24"/>
        </w:rPr>
        <w:tab/>
      </w:r>
      <w:r w:rsidR="009A1B49">
        <w:rPr>
          <w:rFonts w:ascii="Times New Roman" w:hAnsi="Times New Roman" w:cs="Times New Roman"/>
          <w:bCs w:val="0"/>
          <w:i w:val="0"/>
          <w:sz w:val="24"/>
          <w:szCs w:val="24"/>
        </w:rPr>
        <w:t xml:space="preserve">Exceptions </w:t>
      </w:r>
      <w:r w:rsidR="00577C3C">
        <w:rPr>
          <w:rFonts w:ascii="Times New Roman" w:hAnsi="Times New Roman" w:cs="Times New Roman"/>
          <w:bCs w:val="0"/>
          <w:i w:val="0"/>
          <w:sz w:val="24"/>
          <w:szCs w:val="24"/>
        </w:rPr>
        <w:t>to Certification for Paperwork Reduction Act Submissions</w:t>
      </w:r>
      <w:bookmarkEnd w:id="54"/>
      <w:r w:rsidR="00577C3C">
        <w:rPr>
          <w:rFonts w:ascii="Times New Roman" w:hAnsi="Times New Roman" w:cs="Times New Roman"/>
          <w:bCs w:val="0"/>
          <w:i w:val="0"/>
          <w:sz w:val="24"/>
          <w:szCs w:val="24"/>
        </w:rPr>
        <w:t xml:space="preserve"> </w:t>
      </w:r>
      <w:bookmarkEnd w:id="55"/>
    </w:p>
    <w:p w:rsidR="00133B17" w:rsidRPr="00603813" w:rsidRDefault="00133B17" w:rsidP="002E15A0">
      <w:pPr>
        <w:autoSpaceDE w:val="0"/>
        <w:autoSpaceDN w:val="0"/>
        <w:adjustRightInd w:val="0"/>
        <w:rPr>
          <w:b/>
          <w:bCs/>
        </w:rPr>
      </w:pPr>
      <w:r w:rsidRPr="00603813">
        <w:rPr>
          <w:b/>
          <w:bCs/>
        </w:rPr>
        <w:t xml:space="preserve"> </w:t>
      </w:r>
      <w:bookmarkStart w:id="56" w:name="_Toc235958555"/>
      <w:bookmarkEnd w:id="53"/>
    </w:p>
    <w:bookmarkEnd w:id="56"/>
    <w:p w:rsidR="006F5358" w:rsidRPr="00603813" w:rsidRDefault="009E438A" w:rsidP="002E15A0">
      <w:r w:rsidRPr="00603813">
        <w:t xml:space="preserve">There are no </w:t>
      </w:r>
      <w:r w:rsidR="00577C3C">
        <w:rPr>
          <w:bCs/>
        </w:rPr>
        <w:t>e</w:t>
      </w:r>
      <w:r w:rsidR="00577C3C" w:rsidRPr="00577C3C">
        <w:rPr>
          <w:bCs/>
        </w:rPr>
        <w:t>xemptions</w:t>
      </w:r>
      <w:r w:rsidR="00577C3C" w:rsidRPr="00577C3C">
        <w:t xml:space="preserve"> </w:t>
      </w:r>
      <w:r w:rsidRPr="00603813">
        <w:t xml:space="preserve">to the certification. </w:t>
      </w:r>
    </w:p>
    <w:p w:rsidR="00D43200" w:rsidRPr="00603813" w:rsidRDefault="00D43200" w:rsidP="002E15A0">
      <w:pPr>
        <w:rPr>
          <w:i/>
        </w:rPr>
      </w:pPr>
    </w:p>
    <w:p w:rsidR="000623A9" w:rsidRDefault="000623A9">
      <w:pPr>
        <w:rPr>
          <w:lang w:eastAsia="x-none"/>
        </w:rPr>
      </w:pPr>
      <w:r>
        <w:br w:type="page"/>
      </w:r>
    </w:p>
    <w:p w:rsidR="000623A9" w:rsidRDefault="000623A9" w:rsidP="00497940">
      <w:pPr>
        <w:pStyle w:val="biblio"/>
        <w:jc w:val="center"/>
        <w:rPr>
          <w:szCs w:val="24"/>
          <w:lang w:val="en-US"/>
        </w:rPr>
      </w:pPr>
      <w:r>
        <w:rPr>
          <w:szCs w:val="24"/>
          <w:lang w:val="en-US"/>
        </w:rPr>
        <w:t>REFERENCES</w:t>
      </w:r>
    </w:p>
    <w:p w:rsidR="000623A9" w:rsidRPr="000623A9" w:rsidRDefault="000623A9" w:rsidP="00836E03">
      <w:pPr>
        <w:pStyle w:val="biblio"/>
        <w:numPr>
          <w:ilvl w:val="0"/>
          <w:numId w:val="26"/>
        </w:numPr>
        <w:ind w:left="720" w:hanging="720"/>
        <w:rPr>
          <w:szCs w:val="24"/>
          <w:lang w:val="en-US"/>
        </w:rPr>
      </w:pPr>
      <w:r w:rsidRPr="000623A9">
        <w:rPr>
          <w:szCs w:val="24"/>
          <w:lang w:val="en-US"/>
        </w:rPr>
        <w:t>Centers for Disease Control and Prevention. Diagnoses of HIV Infection in the United States and Dependent Areas, 2014.  November 2015.</w:t>
      </w:r>
    </w:p>
    <w:p w:rsidR="000623A9" w:rsidRPr="000623A9" w:rsidRDefault="000623A9" w:rsidP="00836E03">
      <w:pPr>
        <w:pStyle w:val="biblio"/>
        <w:numPr>
          <w:ilvl w:val="0"/>
          <w:numId w:val="26"/>
        </w:numPr>
        <w:ind w:left="720" w:hanging="720"/>
        <w:rPr>
          <w:szCs w:val="24"/>
          <w:lang w:val="en-US"/>
        </w:rPr>
      </w:pPr>
      <w:r w:rsidRPr="000623A9">
        <w:rPr>
          <w:szCs w:val="24"/>
          <w:lang w:val="en-US"/>
        </w:rPr>
        <w:t>Grant RM, Lama JR, Anderson PL, et al. Preexposure chemoprophylaxis for HIV prevention in men who have sex with men. N Engl J Med. 2010;363(27):2587-2599.</w:t>
      </w:r>
    </w:p>
    <w:p w:rsidR="009A4764" w:rsidRPr="000623A9" w:rsidRDefault="000623A9" w:rsidP="00836E03">
      <w:pPr>
        <w:pStyle w:val="biblio"/>
        <w:numPr>
          <w:ilvl w:val="0"/>
          <w:numId w:val="26"/>
        </w:numPr>
        <w:ind w:left="720" w:hanging="720"/>
        <w:rPr>
          <w:szCs w:val="24"/>
          <w:lang w:val="en-US"/>
        </w:rPr>
      </w:pPr>
      <w:r w:rsidRPr="000623A9">
        <w:rPr>
          <w:szCs w:val="24"/>
          <w:lang w:val="en-US"/>
        </w:rPr>
        <w:t>United States Public Health Service. Pre-Exposure Prophylaxis for the Prevention of HIV Infection in the United States-2014, A Clinical Practice Guideline. 2014. http://www.cdc.gov/hiv/pdf/prepguidelines2014.pdf. Accessed December, 12th, 2015.</w:t>
      </w:r>
    </w:p>
    <w:p w:rsidR="003621BB" w:rsidRPr="009A4764" w:rsidRDefault="009A4764" w:rsidP="007623BD">
      <w:pPr>
        <w:pStyle w:val="biblio"/>
        <w:numPr>
          <w:ilvl w:val="0"/>
          <w:numId w:val="26"/>
        </w:numPr>
        <w:ind w:left="720" w:hanging="720"/>
        <w:rPr>
          <w:szCs w:val="24"/>
          <w:lang w:val="en-US"/>
        </w:rPr>
      </w:pPr>
      <w:r w:rsidRPr="00C617B1">
        <w:rPr>
          <w:szCs w:val="24"/>
          <w:lang w:val="en-US"/>
        </w:rPr>
        <w:t>Office of National AIDS Policy (</w:t>
      </w:r>
      <w:r w:rsidRPr="009A4764">
        <w:rPr>
          <w:szCs w:val="24"/>
          <w:lang w:val="en-US"/>
        </w:rPr>
        <w:t xml:space="preserve">2015). National HIV/AIDS Strategy for the United States: Updated for 2020. Accessed </w:t>
      </w:r>
      <w:r>
        <w:rPr>
          <w:szCs w:val="24"/>
          <w:lang w:val="en-US"/>
        </w:rPr>
        <w:t>Nov 14, 2017</w:t>
      </w:r>
      <w:r w:rsidRPr="00C617B1">
        <w:rPr>
          <w:szCs w:val="24"/>
          <w:lang w:val="en-US"/>
        </w:rPr>
        <w:t xml:space="preserve">: </w:t>
      </w:r>
      <w:r w:rsidRPr="009A4764">
        <w:rPr>
          <w:szCs w:val="24"/>
          <w:lang w:val="en-US"/>
        </w:rPr>
        <w:t>https://obamawhitehouse.archives.gov/the-press-office/2015/07/30/fact-sheet-national-hivaids-strategy-updated-2020</w:t>
      </w:r>
    </w:p>
    <w:p w:rsidR="000623A9" w:rsidRPr="000623A9" w:rsidRDefault="000623A9" w:rsidP="00836E03">
      <w:pPr>
        <w:pStyle w:val="biblio"/>
        <w:numPr>
          <w:ilvl w:val="0"/>
          <w:numId w:val="26"/>
        </w:numPr>
        <w:ind w:left="720" w:hanging="720"/>
        <w:rPr>
          <w:szCs w:val="24"/>
          <w:lang w:val="en-US"/>
        </w:rPr>
      </w:pPr>
      <w:r w:rsidRPr="000623A9">
        <w:rPr>
          <w:szCs w:val="24"/>
          <w:lang w:val="en-US"/>
        </w:rPr>
        <w:t>Calabrese SK, Magnus M, Mayer KH, et al. Putting PrEP into Practice: Lessons Learned from Early-Adopting U.S. Providers' Firsthand Experiences Providing HIV Pre-Exposure Prophylaxis and Associated Care. PLoS One. 2016;11(6):e0157324.</w:t>
      </w:r>
    </w:p>
    <w:p w:rsidR="000623A9" w:rsidRPr="00C617B1" w:rsidRDefault="000623A9" w:rsidP="00836E03">
      <w:pPr>
        <w:pStyle w:val="biblio"/>
        <w:numPr>
          <w:ilvl w:val="0"/>
          <w:numId w:val="26"/>
        </w:numPr>
        <w:ind w:left="720" w:hanging="720"/>
        <w:rPr>
          <w:szCs w:val="24"/>
          <w:lang w:val="en-US"/>
        </w:rPr>
      </w:pPr>
      <w:r w:rsidRPr="000623A9">
        <w:rPr>
          <w:szCs w:val="24"/>
          <w:lang w:val="en-US"/>
        </w:rPr>
        <w:t>Cohen SE, Vittinghoff E, Bacon O, et al. High interest in preexposure prophylaxis among men who have sex with men at risk for HIV infection: baseline data from the US PrEP demonstration project. Journal of acquired immune deficiency syndromes. 2015;68(4</w:t>
      </w:r>
      <w:r w:rsidRPr="00C617B1">
        <w:rPr>
          <w:szCs w:val="24"/>
          <w:lang w:val="en-US"/>
        </w:rPr>
        <w:t>):439-448.</w:t>
      </w:r>
    </w:p>
    <w:p w:rsidR="000623A9" w:rsidRPr="003621BB" w:rsidRDefault="000623A9" w:rsidP="00836E03">
      <w:pPr>
        <w:pStyle w:val="biblio"/>
        <w:numPr>
          <w:ilvl w:val="0"/>
          <w:numId w:val="26"/>
        </w:numPr>
        <w:ind w:left="720" w:hanging="720"/>
        <w:rPr>
          <w:szCs w:val="24"/>
          <w:lang w:val="en-US"/>
        </w:rPr>
      </w:pPr>
      <w:r w:rsidRPr="003621BB">
        <w:rPr>
          <w:szCs w:val="24"/>
          <w:lang w:val="en-US"/>
        </w:rPr>
        <w:t>Rolle C-P, Rosenberg ES, Luisi N, et al. Willingness to use pre-exposure prophylaxis among Black and White men who have sex with men in Atlanta, Georgia. International Journal of STD &amp; AIDS. 2016:0956462416675095.</w:t>
      </w:r>
    </w:p>
    <w:p w:rsidR="000623A9" w:rsidRPr="000623A9" w:rsidRDefault="000623A9" w:rsidP="00836E03">
      <w:pPr>
        <w:pStyle w:val="biblio"/>
        <w:numPr>
          <w:ilvl w:val="0"/>
          <w:numId w:val="26"/>
        </w:numPr>
        <w:ind w:left="720" w:hanging="720"/>
        <w:rPr>
          <w:szCs w:val="24"/>
          <w:lang w:val="en-US"/>
        </w:rPr>
      </w:pPr>
      <w:r w:rsidRPr="000623A9">
        <w:rPr>
          <w:szCs w:val="24"/>
          <w:lang w:val="en-US"/>
        </w:rPr>
        <w:t>Beymer MR, Weiss RE, Sugar CA, et al. Are Centers for Disease Control and Prevention Guidelines for Preexposure Prophylaxis Specific Enough? Formulation of a Personalized HIV Risk Score for Pre-Exposure Prophylaxis Initiation. Sex Transm Dis. 2017;44(1):48-56.</w:t>
      </w:r>
    </w:p>
    <w:p w:rsidR="000623A9" w:rsidRPr="000623A9" w:rsidRDefault="000623A9" w:rsidP="00836E03">
      <w:pPr>
        <w:pStyle w:val="biblio"/>
        <w:numPr>
          <w:ilvl w:val="0"/>
          <w:numId w:val="26"/>
        </w:numPr>
        <w:ind w:left="720" w:hanging="720"/>
        <w:rPr>
          <w:szCs w:val="24"/>
          <w:lang w:val="en-US"/>
        </w:rPr>
      </w:pPr>
      <w:r w:rsidRPr="000623A9">
        <w:rPr>
          <w:szCs w:val="24"/>
          <w:lang w:val="en-US"/>
        </w:rPr>
        <w:t>Krakower DS, Mimiaga MJ, Rosenberger JG, et al. Limited Awareness and Low Immediate Uptake of Pre-Exposure Prophylaxis among Men Who Have Sex with Men Using an Internet Social Networking Site. PLoS One. 2012;7(3):e33119.</w:t>
      </w:r>
    </w:p>
    <w:p w:rsidR="000623A9" w:rsidRPr="000623A9" w:rsidRDefault="000623A9" w:rsidP="00836E03">
      <w:pPr>
        <w:pStyle w:val="biblio"/>
        <w:numPr>
          <w:ilvl w:val="0"/>
          <w:numId w:val="26"/>
        </w:numPr>
        <w:ind w:left="720" w:hanging="720"/>
        <w:rPr>
          <w:szCs w:val="24"/>
          <w:lang w:val="en-US"/>
        </w:rPr>
      </w:pPr>
      <w:r w:rsidRPr="000623A9">
        <w:rPr>
          <w:szCs w:val="24"/>
          <w:lang w:val="en-US"/>
        </w:rPr>
        <w:t>Perez-Figueroa RE, Kapadia F, Barton SC, Eddy JA, Halkitis PN. Acceptability of PrEP Uptake Among Racially/Ethnically Diverse Young Men Who Have Sex With Men: The P18 Study. AIDS education and prevention : official publication of the International Society for AIDS Education. 2015;27(2):112-125.</w:t>
      </w:r>
    </w:p>
    <w:p w:rsidR="000623A9" w:rsidRPr="000623A9" w:rsidRDefault="000623A9" w:rsidP="00836E03">
      <w:pPr>
        <w:pStyle w:val="biblio"/>
        <w:numPr>
          <w:ilvl w:val="0"/>
          <w:numId w:val="26"/>
        </w:numPr>
        <w:ind w:left="720" w:hanging="720"/>
        <w:rPr>
          <w:szCs w:val="24"/>
          <w:lang w:val="en-US"/>
        </w:rPr>
      </w:pPr>
      <w:r w:rsidRPr="000623A9">
        <w:rPr>
          <w:szCs w:val="24"/>
          <w:lang w:val="en-US"/>
        </w:rPr>
        <w:t>Underhill K, Morrow KM, Colleran C, et al. A Qualitative Study of Medical Mistrust, Perceived Discrimination, and Risk Behavior Disclosure to Clinicians by U.S. Male Sex Workers and Other Men Who Have Sex with Men: Implications for Biomedical HIV Prevention. Journal of Urban Health : Bulletin of the New York Academy of Medicine. 2015;92(4):667-686.</w:t>
      </w:r>
    </w:p>
    <w:p w:rsidR="000623A9" w:rsidRPr="00C617B1" w:rsidRDefault="000623A9" w:rsidP="007623BD">
      <w:pPr>
        <w:pStyle w:val="biblio"/>
        <w:numPr>
          <w:ilvl w:val="0"/>
          <w:numId w:val="26"/>
        </w:numPr>
        <w:ind w:left="720" w:hanging="720"/>
        <w:rPr>
          <w:szCs w:val="24"/>
          <w:lang w:val="en-US"/>
        </w:rPr>
      </w:pPr>
      <w:r w:rsidRPr="000623A9">
        <w:rPr>
          <w:szCs w:val="24"/>
          <w:lang w:val="en-US"/>
        </w:rPr>
        <w:t>Mermin J. The science and practice of HIV prevention in the United States. Paper presented at: 18th conference on retroviruses and opportunistic infections, Boston 2011.</w:t>
      </w:r>
    </w:p>
    <w:p w:rsidR="000623A9" w:rsidRPr="000623A9" w:rsidRDefault="000623A9" w:rsidP="00836E03">
      <w:pPr>
        <w:pStyle w:val="biblio"/>
        <w:numPr>
          <w:ilvl w:val="0"/>
          <w:numId w:val="26"/>
        </w:numPr>
        <w:ind w:left="720" w:hanging="720"/>
        <w:rPr>
          <w:szCs w:val="24"/>
          <w:lang w:val="en-US"/>
        </w:rPr>
      </w:pPr>
      <w:r w:rsidRPr="000623A9">
        <w:rPr>
          <w:szCs w:val="24"/>
          <w:lang w:val="en-US"/>
        </w:rPr>
        <w:t>Abreu, D. A., &amp; Winters, F. (1999). Using monetary incentives to reduce attrition in the survey of income and program participation. Proceedings of the Survey Research Methods Section of the American Statistical Association.</w:t>
      </w:r>
    </w:p>
    <w:p w:rsidR="000623A9" w:rsidRPr="000623A9" w:rsidRDefault="000623A9" w:rsidP="00836E03">
      <w:pPr>
        <w:pStyle w:val="biblio"/>
        <w:numPr>
          <w:ilvl w:val="0"/>
          <w:numId w:val="26"/>
        </w:numPr>
        <w:ind w:left="720" w:hanging="720"/>
        <w:rPr>
          <w:szCs w:val="24"/>
          <w:lang w:val="en-US"/>
        </w:rPr>
      </w:pPr>
      <w:r w:rsidRPr="000623A9">
        <w:rPr>
          <w:szCs w:val="24"/>
          <w:lang w:val="en-US"/>
        </w:rPr>
        <w:t>Shettle, C., &amp; Mooney, G. (1999). Monetary incentives in U.S. government surveys. Journal of Official Statistics, 15, 231–250.</w:t>
      </w:r>
    </w:p>
    <w:p w:rsidR="000623A9" w:rsidRPr="000623A9" w:rsidRDefault="000623A9" w:rsidP="00836E03">
      <w:pPr>
        <w:pStyle w:val="biblio"/>
        <w:numPr>
          <w:ilvl w:val="0"/>
          <w:numId w:val="26"/>
        </w:numPr>
        <w:ind w:left="720" w:hanging="720"/>
        <w:rPr>
          <w:szCs w:val="24"/>
          <w:lang w:val="en-US"/>
        </w:rPr>
      </w:pPr>
      <w:r w:rsidRPr="000623A9">
        <w:rPr>
          <w:szCs w:val="24"/>
          <w:lang w:val="en-US"/>
        </w:rPr>
        <w:t>Shedlin, M. G., Decena, C. U., Mangadu, T., &amp; Martinez, A. (2011). Research respondent recruitment in Hispanic communities: Lessons learned. Journal of Immigrant and Minority Health, 13 (2), 352-360.</w:t>
      </w:r>
    </w:p>
    <w:p w:rsidR="000623A9" w:rsidRPr="000623A9" w:rsidRDefault="000623A9" w:rsidP="00836E03">
      <w:pPr>
        <w:pStyle w:val="biblio"/>
        <w:numPr>
          <w:ilvl w:val="0"/>
          <w:numId w:val="26"/>
        </w:numPr>
        <w:ind w:left="720" w:hanging="720"/>
        <w:rPr>
          <w:szCs w:val="24"/>
          <w:lang w:val="en-US"/>
        </w:rPr>
      </w:pPr>
      <w:r w:rsidRPr="000623A9">
        <w:rPr>
          <w:szCs w:val="24"/>
          <w:lang w:val="en-US"/>
        </w:rPr>
        <w:t>Rendina HJ, Whitfield TH, Grov C, Starks TJ, Parsons JT. Distinguishing hypothetical willingness from behavioral intentions to initiate HIV pre-exposure prophylaxis (PrEP): Findings from a large cohort of gay and bisexual men in the U.S. Soc Sci Med. 2017;172:115-123.</w:t>
      </w:r>
    </w:p>
    <w:p w:rsidR="000623A9" w:rsidRPr="000623A9" w:rsidRDefault="000623A9" w:rsidP="00836E03">
      <w:pPr>
        <w:pStyle w:val="biblio"/>
        <w:numPr>
          <w:ilvl w:val="0"/>
          <w:numId w:val="26"/>
        </w:numPr>
        <w:ind w:left="720" w:hanging="720"/>
        <w:rPr>
          <w:szCs w:val="24"/>
          <w:lang w:val="en-US"/>
        </w:rPr>
      </w:pPr>
      <w:r w:rsidRPr="000623A9">
        <w:rPr>
          <w:szCs w:val="24"/>
          <w:lang w:val="en-US"/>
        </w:rPr>
        <w:t>Goodwin, P. Y., Williams, S. W., &amp; Dilworth-Anderson, P. (2006). The role of resources in the emotional health of African American women: Rural and urban comparisons. In R. T. Coward, L.A. Davis, C.H. Gold, H. Smiciklas-Wright, L.E. Thorndyke, &amp; F.W. Vondracek, (Eds.). Rural women’s health: Mental, behavioral, and physical issues (pp. 179 — 196). New York: Springer</w:t>
      </w:r>
    </w:p>
    <w:p w:rsidR="000623A9" w:rsidRPr="000623A9" w:rsidRDefault="000623A9" w:rsidP="00836E03">
      <w:pPr>
        <w:pStyle w:val="biblio"/>
        <w:numPr>
          <w:ilvl w:val="0"/>
          <w:numId w:val="26"/>
        </w:numPr>
        <w:ind w:left="720" w:hanging="720"/>
        <w:rPr>
          <w:szCs w:val="24"/>
          <w:lang w:val="en-US"/>
        </w:rPr>
      </w:pPr>
      <w:r w:rsidRPr="000623A9">
        <w:rPr>
          <w:szCs w:val="24"/>
          <w:lang w:val="en-US"/>
        </w:rPr>
        <w:t>Rolle C-P, Rosenberg ES, Luisi N, et al. Willingness to use pre-exposure prophylaxis among Black and White men who have sex with men in Atlanta, Georgia. International Journal of STD &amp; AIDS. 2016:0956462416675095.</w:t>
      </w:r>
    </w:p>
    <w:p w:rsidR="000623A9" w:rsidRPr="000623A9" w:rsidRDefault="000623A9" w:rsidP="00836E03">
      <w:pPr>
        <w:pStyle w:val="biblio"/>
        <w:numPr>
          <w:ilvl w:val="0"/>
          <w:numId w:val="26"/>
        </w:numPr>
        <w:ind w:left="720" w:hanging="720"/>
        <w:rPr>
          <w:szCs w:val="24"/>
          <w:lang w:val="en-US"/>
        </w:rPr>
      </w:pPr>
      <w:r w:rsidRPr="000623A9">
        <w:rPr>
          <w:szCs w:val="24"/>
          <w:lang w:val="en-US"/>
        </w:rPr>
        <w:t>Painter, T. M., Ngalame, P. M., Lucas, B., Lauby, J. L., &amp; Herbst, J. H. (2010). Strategies used by community-based organizations to evaluate their locally developed HIV prevention interventions: Lessons learned from the CDC's innovative interventions project. AIDS Education and Prevention, 22(5), 387-401.</w:t>
      </w:r>
    </w:p>
    <w:p w:rsidR="000623A9" w:rsidRPr="000623A9" w:rsidRDefault="000623A9" w:rsidP="00836E03">
      <w:pPr>
        <w:pStyle w:val="biblio"/>
        <w:numPr>
          <w:ilvl w:val="0"/>
          <w:numId w:val="26"/>
        </w:numPr>
        <w:ind w:left="720" w:hanging="720"/>
        <w:rPr>
          <w:szCs w:val="24"/>
          <w:lang w:val="en-US"/>
        </w:rPr>
      </w:pPr>
      <w:r w:rsidRPr="000623A9">
        <w:rPr>
          <w:szCs w:val="24"/>
          <w:lang w:val="en-US"/>
        </w:rPr>
        <w:t>Rendina HJ, Whitfield TH, Grov C, Starks TJ, Parsons JT. Distinguishing hypothetical willingness from behavioral intentions to initiate HIV pre-exposure prophylaxis (PrEP): Findings from a large cohort of gay and bisexual men in the U.S. Soc Sci Med. 2017;172:115-123.</w:t>
      </w:r>
    </w:p>
    <w:p w:rsidR="000623A9" w:rsidRPr="000623A9" w:rsidRDefault="000623A9" w:rsidP="00836E03">
      <w:pPr>
        <w:pStyle w:val="biblio"/>
        <w:numPr>
          <w:ilvl w:val="0"/>
          <w:numId w:val="26"/>
        </w:numPr>
        <w:ind w:left="720" w:hanging="720"/>
        <w:rPr>
          <w:szCs w:val="24"/>
          <w:lang w:val="en-US"/>
        </w:rPr>
      </w:pPr>
      <w:r w:rsidRPr="000623A9">
        <w:rPr>
          <w:szCs w:val="24"/>
          <w:lang w:val="en-US"/>
        </w:rPr>
        <w:t>Yancey, A. K., Ortega, A. N., &amp; Kumanyika, S. K. (2006). Effective recruitment and retention of minority research participants. Annu. Rev. Public Health, 27, 1-28.</w:t>
      </w:r>
    </w:p>
    <w:p w:rsidR="00D43200" w:rsidRPr="00603813" w:rsidRDefault="000623A9" w:rsidP="00836E03">
      <w:pPr>
        <w:pStyle w:val="biblio"/>
        <w:numPr>
          <w:ilvl w:val="0"/>
          <w:numId w:val="26"/>
        </w:numPr>
        <w:ind w:left="720" w:hanging="720"/>
        <w:rPr>
          <w:szCs w:val="24"/>
          <w:lang w:val="en-US"/>
        </w:rPr>
      </w:pPr>
      <w:r w:rsidRPr="000623A9">
        <w:rPr>
          <w:szCs w:val="24"/>
          <w:lang w:val="en-US"/>
        </w:rPr>
        <w:t>Shaw, M. J., Beebe, T. J., Jensen, H. L., &amp; Adlis, S. A. (2001). The use of monetary inc</w:t>
      </w:r>
      <w:r>
        <w:rPr>
          <w:szCs w:val="24"/>
          <w:lang w:val="en-US"/>
        </w:rPr>
        <w:t xml:space="preserve">entives </w:t>
      </w:r>
      <w:r w:rsidRPr="000623A9">
        <w:rPr>
          <w:szCs w:val="24"/>
          <w:lang w:val="en-US"/>
        </w:rPr>
        <w:t>in a community survey: impact on response rates, data quality, and cost. Health services research, 35(6), 1339.</w:t>
      </w:r>
    </w:p>
    <w:sectPr w:rsidR="00D43200" w:rsidRPr="00603813" w:rsidSect="000F622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A75" w:rsidRDefault="00F41A75">
      <w:r>
        <w:separator/>
      </w:r>
    </w:p>
  </w:endnote>
  <w:endnote w:type="continuationSeparator" w:id="0">
    <w:p w:rsidR="00F41A75" w:rsidRDefault="00F4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A75" w:rsidRPr="00E52ED6" w:rsidRDefault="00F41A75" w:rsidP="00E52ED6">
    <w:pPr>
      <w:pStyle w:val="Footer"/>
      <w:pBdr>
        <w:top w:val="single" w:sz="4" w:space="1" w:color="660000"/>
      </w:pBdr>
      <w:tabs>
        <w:tab w:val="clear" w:pos="8640"/>
        <w:tab w:val="right" w:pos="9360"/>
      </w:tabs>
      <w:rPr>
        <w:rFonts w:ascii="Calibri" w:hAnsi="Calibri" w:cs="Calibri"/>
        <w:sz w:val="20"/>
        <w:szCs w:val="20"/>
      </w:rPr>
    </w:pPr>
    <w:r w:rsidRPr="00E52ED6">
      <w:rPr>
        <w:rFonts w:ascii="Calibri" w:hAnsi="Calibri" w:cs="Calibri"/>
        <w:sz w:val="20"/>
        <w:szCs w:val="20"/>
      </w:rPr>
      <w:tab/>
    </w:r>
    <w:r w:rsidRPr="00E52ED6">
      <w:rPr>
        <w:rFonts w:ascii="Calibri" w:hAnsi="Calibri" w:cs="Calibri"/>
        <w:sz w:val="20"/>
        <w:szCs w:val="20"/>
      </w:rPr>
      <w:fldChar w:fldCharType="begin"/>
    </w:r>
    <w:r w:rsidRPr="00E52ED6">
      <w:rPr>
        <w:rFonts w:ascii="Calibri" w:hAnsi="Calibri" w:cs="Calibri"/>
        <w:sz w:val="20"/>
        <w:szCs w:val="20"/>
      </w:rPr>
      <w:instrText xml:space="preserve"> PAGE   \* MERGEFORMAT </w:instrText>
    </w:r>
    <w:r w:rsidRPr="00E52ED6">
      <w:rPr>
        <w:rFonts w:ascii="Calibri" w:hAnsi="Calibri" w:cs="Calibri"/>
        <w:sz w:val="20"/>
        <w:szCs w:val="20"/>
      </w:rPr>
      <w:fldChar w:fldCharType="separate"/>
    </w:r>
    <w:r w:rsidR="00352ED4">
      <w:rPr>
        <w:rFonts w:ascii="Calibri" w:hAnsi="Calibri" w:cs="Calibri"/>
        <w:noProof/>
        <w:sz w:val="20"/>
        <w:szCs w:val="20"/>
      </w:rPr>
      <w:t>1</w:t>
    </w:r>
    <w:r w:rsidRPr="00E52ED6">
      <w:rPr>
        <w:rFonts w:ascii="Calibri" w:hAnsi="Calibri" w:cs="Calibri"/>
        <w:noProof/>
        <w:sz w:val="20"/>
        <w:szCs w:val="20"/>
      </w:rPr>
      <w:fldChar w:fldCharType="end"/>
    </w:r>
    <w:r>
      <w:rPr>
        <w:rFonts w:ascii="Calibri" w:hAnsi="Calibri" w:cs="Calibri"/>
        <w:sz w:val="20"/>
        <w:szCs w:val="20"/>
      </w:rPr>
      <w:tab/>
    </w:r>
  </w:p>
  <w:p w:rsidR="00F41A75" w:rsidRDefault="00F41A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A75" w:rsidRDefault="00F41A75">
      <w:r>
        <w:separator/>
      </w:r>
    </w:p>
  </w:footnote>
  <w:footnote w:type="continuationSeparator" w:id="0">
    <w:p w:rsidR="00F41A75" w:rsidRDefault="00F41A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A75" w:rsidRPr="00162767" w:rsidRDefault="00F41A75" w:rsidP="00D71624">
    <w:pPr>
      <w:pStyle w:val="Header"/>
      <w:tabs>
        <w:tab w:val="left" w:pos="57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CD4B8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851EB8"/>
    <w:multiLevelType w:val="hybridMultilevel"/>
    <w:tmpl w:val="E6526DA6"/>
    <w:lvl w:ilvl="0" w:tplc="0BE0D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524F39"/>
    <w:multiLevelType w:val="hybridMultilevel"/>
    <w:tmpl w:val="1862CF04"/>
    <w:lvl w:ilvl="0" w:tplc="99E8F8AA">
      <w:start w:val="1"/>
      <w:numFmt w:val="bullet"/>
      <w:lvlText w:val=""/>
      <w:lvlJc w:val="left"/>
      <w:pPr>
        <w:ind w:left="720" w:hanging="360"/>
      </w:pPr>
      <w:rPr>
        <w:rFonts w:ascii="Wingdings" w:hAnsi="Wingdings" w:hint="default"/>
        <w:sz w:val="16"/>
      </w:rPr>
    </w:lvl>
    <w:lvl w:ilvl="1" w:tplc="4D0C1E56">
      <w:start w:val="1"/>
      <w:numFmt w:val="bullet"/>
      <w:lvlText w:val="o"/>
      <w:lvlJc w:val="left"/>
      <w:pPr>
        <w:ind w:left="1440" w:hanging="360"/>
      </w:pPr>
      <w:rPr>
        <w:rFonts w:ascii="Courier New" w:hAnsi="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C117D"/>
    <w:multiLevelType w:val="hybridMultilevel"/>
    <w:tmpl w:val="08C85B4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677935"/>
    <w:multiLevelType w:val="hybridMultilevel"/>
    <w:tmpl w:val="BA7A7098"/>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67474BF"/>
    <w:multiLevelType w:val="hybridMultilevel"/>
    <w:tmpl w:val="F2F8A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950377"/>
    <w:multiLevelType w:val="hybridMultilevel"/>
    <w:tmpl w:val="90523B10"/>
    <w:lvl w:ilvl="0" w:tplc="42E6C65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232A14"/>
    <w:multiLevelType w:val="hybridMultilevel"/>
    <w:tmpl w:val="96002726"/>
    <w:lvl w:ilvl="0" w:tplc="2398F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E103A9"/>
    <w:multiLevelType w:val="hybridMultilevel"/>
    <w:tmpl w:val="F2F8A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2FDB1D8F"/>
    <w:multiLevelType w:val="hybridMultilevel"/>
    <w:tmpl w:val="FA9E20BA"/>
    <w:lvl w:ilvl="0" w:tplc="0AAA84E8">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637398"/>
    <w:multiLevelType w:val="hybridMultilevel"/>
    <w:tmpl w:val="A66C1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D0C0D"/>
    <w:multiLevelType w:val="hybridMultilevel"/>
    <w:tmpl w:val="39E20E5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3C842CB"/>
    <w:multiLevelType w:val="hybridMultilevel"/>
    <w:tmpl w:val="3E62C472"/>
    <w:lvl w:ilvl="0" w:tplc="199A98C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CD43A8"/>
    <w:multiLevelType w:val="multilevel"/>
    <w:tmpl w:val="723833A2"/>
    <w:lvl w:ilvl="0">
      <w:start w:val="1"/>
      <w:numFmt w:val="decimal"/>
      <w:suff w:val="space"/>
      <w:lvlText w:val="%1."/>
      <w:lvlJc w:val="left"/>
      <w:pPr>
        <w:ind w:left="720" w:hanging="720"/>
      </w:pPr>
      <w:rPr>
        <w:rFonts w:ascii="Calibri" w:eastAsia="Batang" w:hAnsi="Calibri" w:cs="Times New Roman"/>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DD31983"/>
    <w:multiLevelType w:val="multilevel"/>
    <w:tmpl w:val="4F528316"/>
    <w:lvl w:ilvl="0">
      <w:start w:val="12"/>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43270248"/>
    <w:multiLevelType w:val="hybridMultilevel"/>
    <w:tmpl w:val="86D295D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2A6457"/>
    <w:multiLevelType w:val="hybridMultilevel"/>
    <w:tmpl w:val="2E82A96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BC3B30"/>
    <w:multiLevelType w:val="hybridMultilevel"/>
    <w:tmpl w:val="09185940"/>
    <w:lvl w:ilvl="0" w:tplc="B298F02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8E34F30"/>
    <w:multiLevelType w:val="hybridMultilevel"/>
    <w:tmpl w:val="4C863B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29D59DF"/>
    <w:multiLevelType w:val="hybridMultilevel"/>
    <w:tmpl w:val="AD1821B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691ED4"/>
    <w:multiLevelType w:val="multilevel"/>
    <w:tmpl w:val="C5748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E2118B6"/>
    <w:multiLevelType w:val="multilevel"/>
    <w:tmpl w:val="91B8A57C"/>
    <w:lvl w:ilvl="0">
      <w:start w:val="1"/>
      <w:numFmt w:val="upperLetter"/>
      <w:pStyle w:val="Style1"/>
      <w:lvlText w:val="%1)"/>
      <w:lvlJc w:val="left"/>
      <w:pPr>
        <w:tabs>
          <w:tab w:val="num" w:pos="360"/>
        </w:tabs>
        <w:ind w:left="360" w:hanging="360"/>
      </w:pPr>
      <w:rPr>
        <w:rFonts w:cs="Times New Roman" w:hint="default"/>
      </w:rPr>
    </w:lvl>
    <w:lvl w:ilvl="1">
      <w:start w:val="1"/>
      <w:numFmt w:val="decimal"/>
      <w:pStyle w:val="Style2"/>
      <w:lvlText w:val="%2)"/>
      <w:lvlJc w:val="left"/>
      <w:pPr>
        <w:tabs>
          <w:tab w:val="num" w:pos="900"/>
        </w:tabs>
        <w:ind w:left="900" w:hanging="360"/>
      </w:pPr>
      <w:rPr>
        <w:rFonts w:cs="Times New Roman" w:hint="default"/>
      </w:rPr>
    </w:lvl>
    <w:lvl w:ilvl="2">
      <w:start w:val="1"/>
      <w:numFmt w:val="lowerLetter"/>
      <w:pStyle w:val="Style3"/>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5"/>
  </w:num>
  <w:num w:numId="2">
    <w:abstractNumId w:val="5"/>
  </w:num>
  <w:num w:numId="3">
    <w:abstractNumId w:val="16"/>
  </w:num>
  <w:num w:numId="4">
    <w:abstractNumId w:val="21"/>
  </w:num>
  <w:num w:numId="5">
    <w:abstractNumId w:val="2"/>
  </w:num>
  <w:num w:numId="6">
    <w:abstractNumId w:val="11"/>
  </w:num>
  <w:num w:numId="7">
    <w:abstractNumId w:val="22"/>
  </w:num>
  <w:num w:numId="8">
    <w:abstractNumId w:val="19"/>
  </w:num>
  <w:num w:numId="9">
    <w:abstractNumId w:val="18"/>
  </w:num>
  <w:num w:numId="10">
    <w:abstractNumId w:val="7"/>
  </w:num>
  <w:num w:numId="11">
    <w:abstractNumId w:val="9"/>
  </w:num>
  <w:num w:numId="12">
    <w:abstractNumId w:val="12"/>
  </w:num>
  <w:num w:numId="13">
    <w:abstractNumId w:val="6"/>
  </w:num>
  <w:num w:numId="14">
    <w:abstractNumId w:val="14"/>
  </w:num>
  <w:num w:numId="15">
    <w:abstractNumId w:val="1"/>
  </w:num>
  <w:num w:numId="16">
    <w:abstractNumId w:val="23"/>
  </w:num>
  <w:num w:numId="17">
    <w:abstractNumId w:val="13"/>
  </w:num>
  <w:num w:numId="18">
    <w:abstractNumId w:val="4"/>
  </w:num>
  <w:num w:numId="19">
    <w:abstractNumId w:val="0"/>
  </w:num>
  <w:num w:numId="20">
    <w:abstractNumId w:val="24"/>
  </w:num>
  <w:num w:numId="21">
    <w:abstractNumId w:val="20"/>
  </w:num>
  <w:num w:numId="22">
    <w:abstractNumId w:val="10"/>
  </w:num>
  <w:num w:numId="23">
    <w:abstractNumId w:val="15"/>
  </w:num>
  <w:num w:numId="24">
    <w:abstractNumId w:val="17"/>
  </w:num>
  <w:num w:numId="25">
    <w:abstractNumId w:val="8"/>
  </w:num>
  <w:num w:numId="2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C3F"/>
    <w:rsid w:val="00001692"/>
    <w:rsid w:val="00005E03"/>
    <w:rsid w:val="00006ED9"/>
    <w:rsid w:val="00007041"/>
    <w:rsid w:val="00017621"/>
    <w:rsid w:val="000206BA"/>
    <w:rsid w:val="000211C0"/>
    <w:rsid w:val="00021D4B"/>
    <w:rsid w:val="000229EF"/>
    <w:rsid w:val="00023165"/>
    <w:rsid w:val="00025B5B"/>
    <w:rsid w:val="000264FF"/>
    <w:rsid w:val="00027012"/>
    <w:rsid w:val="000344AD"/>
    <w:rsid w:val="000348CD"/>
    <w:rsid w:val="000369C8"/>
    <w:rsid w:val="000402FF"/>
    <w:rsid w:val="00041410"/>
    <w:rsid w:val="0004319F"/>
    <w:rsid w:val="00043A79"/>
    <w:rsid w:val="0004470D"/>
    <w:rsid w:val="00044848"/>
    <w:rsid w:val="00047EB4"/>
    <w:rsid w:val="000512F8"/>
    <w:rsid w:val="00053A5A"/>
    <w:rsid w:val="00054569"/>
    <w:rsid w:val="00054C87"/>
    <w:rsid w:val="00055787"/>
    <w:rsid w:val="00055A5B"/>
    <w:rsid w:val="00055F92"/>
    <w:rsid w:val="00056496"/>
    <w:rsid w:val="00056AE1"/>
    <w:rsid w:val="00056BB3"/>
    <w:rsid w:val="00057B32"/>
    <w:rsid w:val="00057B8E"/>
    <w:rsid w:val="00057BD6"/>
    <w:rsid w:val="00060B72"/>
    <w:rsid w:val="000613A1"/>
    <w:rsid w:val="00061446"/>
    <w:rsid w:val="00061F17"/>
    <w:rsid w:val="000623A9"/>
    <w:rsid w:val="00064E6C"/>
    <w:rsid w:val="00065679"/>
    <w:rsid w:val="00066943"/>
    <w:rsid w:val="00066DAC"/>
    <w:rsid w:val="00067F5D"/>
    <w:rsid w:val="000734DF"/>
    <w:rsid w:val="00073DA4"/>
    <w:rsid w:val="000754BD"/>
    <w:rsid w:val="000763A7"/>
    <w:rsid w:val="00076B37"/>
    <w:rsid w:val="00077D65"/>
    <w:rsid w:val="00082D05"/>
    <w:rsid w:val="00082F30"/>
    <w:rsid w:val="0008508B"/>
    <w:rsid w:val="000857C6"/>
    <w:rsid w:val="0008620A"/>
    <w:rsid w:val="000862FD"/>
    <w:rsid w:val="00087C8F"/>
    <w:rsid w:val="0009011D"/>
    <w:rsid w:val="00092401"/>
    <w:rsid w:val="00093AE9"/>
    <w:rsid w:val="00096350"/>
    <w:rsid w:val="00097944"/>
    <w:rsid w:val="000A108C"/>
    <w:rsid w:val="000A47B9"/>
    <w:rsid w:val="000A50FB"/>
    <w:rsid w:val="000A6CDD"/>
    <w:rsid w:val="000A791A"/>
    <w:rsid w:val="000B5376"/>
    <w:rsid w:val="000B541A"/>
    <w:rsid w:val="000B5C40"/>
    <w:rsid w:val="000B6FC2"/>
    <w:rsid w:val="000C3B4C"/>
    <w:rsid w:val="000C3C1F"/>
    <w:rsid w:val="000C4ACF"/>
    <w:rsid w:val="000C64BE"/>
    <w:rsid w:val="000C6936"/>
    <w:rsid w:val="000C6E58"/>
    <w:rsid w:val="000C7038"/>
    <w:rsid w:val="000C7A56"/>
    <w:rsid w:val="000C7B72"/>
    <w:rsid w:val="000D0B9F"/>
    <w:rsid w:val="000D443A"/>
    <w:rsid w:val="000D492F"/>
    <w:rsid w:val="000D6110"/>
    <w:rsid w:val="000D6458"/>
    <w:rsid w:val="000D6B02"/>
    <w:rsid w:val="000E070D"/>
    <w:rsid w:val="000E184D"/>
    <w:rsid w:val="000E2E17"/>
    <w:rsid w:val="000E5A4C"/>
    <w:rsid w:val="000E5CDC"/>
    <w:rsid w:val="000E6DEB"/>
    <w:rsid w:val="000E72C1"/>
    <w:rsid w:val="000E7397"/>
    <w:rsid w:val="000E760D"/>
    <w:rsid w:val="000E761F"/>
    <w:rsid w:val="000F1434"/>
    <w:rsid w:val="000F26B6"/>
    <w:rsid w:val="000F4210"/>
    <w:rsid w:val="000F48DC"/>
    <w:rsid w:val="000F5310"/>
    <w:rsid w:val="000F5D99"/>
    <w:rsid w:val="000F622F"/>
    <w:rsid w:val="000F6C9A"/>
    <w:rsid w:val="000F729C"/>
    <w:rsid w:val="000F7417"/>
    <w:rsid w:val="000F7843"/>
    <w:rsid w:val="00101032"/>
    <w:rsid w:val="00101C63"/>
    <w:rsid w:val="00102D28"/>
    <w:rsid w:val="0010359F"/>
    <w:rsid w:val="00103E89"/>
    <w:rsid w:val="00105A6D"/>
    <w:rsid w:val="001123C3"/>
    <w:rsid w:val="0011462B"/>
    <w:rsid w:val="00115696"/>
    <w:rsid w:val="00116F4F"/>
    <w:rsid w:val="0011726D"/>
    <w:rsid w:val="00117343"/>
    <w:rsid w:val="00117481"/>
    <w:rsid w:val="00120F5B"/>
    <w:rsid w:val="00121E17"/>
    <w:rsid w:val="001223A1"/>
    <w:rsid w:val="00122471"/>
    <w:rsid w:val="0012313A"/>
    <w:rsid w:val="00124439"/>
    <w:rsid w:val="00124C48"/>
    <w:rsid w:val="0012537C"/>
    <w:rsid w:val="00125F05"/>
    <w:rsid w:val="00126CF0"/>
    <w:rsid w:val="00132DA0"/>
    <w:rsid w:val="001338DC"/>
    <w:rsid w:val="00133B17"/>
    <w:rsid w:val="00135F78"/>
    <w:rsid w:val="0013606D"/>
    <w:rsid w:val="0014034A"/>
    <w:rsid w:val="0014294F"/>
    <w:rsid w:val="00143C8E"/>
    <w:rsid w:val="00144F5B"/>
    <w:rsid w:val="001476E1"/>
    <w:rsid w:val="001477B4"/>
    <w:rsid w:val="00155E90"/>
    <w:rsid w:val="001572F1"/>
    <w:rsid w:val="00162767"/>
    <w:rsid w:val="00162AC2"/>
    <w:rsid w:val="001654EF"/>
    <w:rsid w:val="001662E4"/>
    <w:rsid w:val="00166768"/>
    <w:rsid w:val="00166E41"/>
    <w:rsid w:val="001751AB"/>
    <w:rsid w:val="00176C59"/>
    <w:rsid w:val="00177457"/>
    <w:rsid w:val="00177D24"/>
    <w:rsid w:val="00181143"/>
    <w:rsid w:val="0018452C"/>
    <w:rsid w:val="001847F0"/>
    <w:rsid w:val="001855A3"/>
    <w:rsid w:val="00186A43"/>
    <w:rsid w:val="0018732D"/>
    <w:rsid w:val="00190A8B"/>
    <w:rsid w:val="00193282"/>
    <w:rsid w:val="00193610"/>
    <w:rsid w:val="00193FCD"/>
    <w:rsid w:val="00194907"/>
    <w:rsid w:val="00194A6C"/>
    <w:rsid w:val="001957B0"/>
    <w:rsid w:val="001961AA"/>
    <w:rsid w:val="00197FBE"/>
    <w:rsid w:val="001A1A2C"/>
    <w:rsid w:val="001A307F"/>
    <w:rsid w:val="001A53A3"/>
    <w:rsid w:val="001A769F"/>
    <w:rsid w:val="001B1D32"/>
    <w:rsid w:val="001B54D5"/>
    <w:rsid w:val="001B5B35"/>
    <w:rsid w:val="001B676D"/>
    <w:rsid w:val="001B6B0F"/>
    <w:rsid w:val="001B7442"/>
    <w:rsid w:val="001B7CDA"/>
    <w:rsid w:val="001C12A5"/>
    <w:rsid w:val="001C18AE"/>
    <w:rsid w:val="001C1970"/>
    <w:rsid w:val="001C6F7A"/>
    <w:rsid w:val="001C743B"/>
    <w:rsid w:val="001C768C"/>
    <w:rsid w:val="001C78C0"/>
    <w:rsid w:val="001C7CA8"/>
    <w:rsid w:val="001D08B2"/>
    <w:rsid w:val="001D0BC3"/>
    <w:rsid w:val="001D160E"/>
    <w:rsid w:val="001D2475"/>
    <w:rsid w:val="001D5307"/>
    <w:rsid w:val="001D56A4"/>
    <w:rsid w:val="001D5793"/>
    <w:rsid w:val="001D6D46"/>
    <w:rsid w:val="001E0268"/>
    <w:rsid w:val="001E4914"/>
    <w:rsid w:val="001E7DBB"/>
    <w:rsid w:val="001F1CA5"/>
    <w:rsid w:val="001F29A5"/>
    <w:rsid w:val="001F2E48"/>
    <w:rsid w:val="001F35D8"/>
    <w:rsid w:val="001F5314"/>
    <w:rsid w:val="001F5EEA"/>
    <w:rsid w:val="0020003C"/>
    <w:rsid w:val="002011A4"/>
    <w:rsid w:val="002011D6"/>
    <w:rsid w:val="002014AA"/>
    <w:rsid w:val="00202B73"/>
    <w:rsid w:val="00203D0B"/>
    <w:rsid w:val="00204FCF"/>
    <w:rsid w:val="0020511C"/>
    <w:rsid w:val="00205DED"/>
    <w:rsid w:val="002073E1"/>
    <w:rsid w:val="00211283"/>
    <w:rsid w:val="002113D2"/>
    <w:rsid w:val="0021198B"/>
    <w:rsid w:val="002124C3"/>
    <w:rsid w:val="00213F93"/>
    <w:rsid w:val="00215BDA"/>
    <w:rsid w:val="002161B4"/>
    <w:rsid w:val="002172DF"/>
    <w:rsid w:val="002174D7"/>
    <w:rsid w:val="0022265A"/>
    <w:rsid w:val="00222B1B"/>
    <w:rsid w:val="002233FF"/>
    <w:rsid w:val="0022364B"/>
    <w:rsid w:val="0022495D"/>
    <w:rsid w:val="00225110"/>
    <w:rsid w:val="002302F1"/>
    <w:rsid w:val="00230689"/>
    <w:rsid w:val="00230B81"/>
    <w:rsid w:val="00231269"/>
    <w:rsid w:val="00235D48"/>
    <w:rsid w:val="00236555"/>
    <w:rsid w:val="002371B5"/>
    <w:rsid w:val="00237BBB"/>
    <w:rsid w:val="00241730"/>
    <w:rsid w:val="00242350"/>
    <w:rsid w:val="0024541C"/>
    <w:rsid w:val="00246BA8"/>
    <w:rsid w:val="002471E3"/>
    <w:rsid w:val="002517B8"/>
    <w:rsid w:val="00251E07"/>
    <w:rsid w:val="00253C80"/>
    <w:rsid w:val="0025476E"/>
    <w:rsid w:val="00254F17"/>
    <w:rsid w:val="00255204"/>
    <w:rsid w:val="0025587C"/>
    <w:rsid w:val="0025695E"/>
    <w:rsid w:val="0025771F"/>
    <w:rsid w:val="00257C11"/>
    <w:rsid w:val="00262910"/>
    <w:rsid w:val="00263F84"/>
    <w:rsid w:val="0026426C"/>
    <w:rsid w:val="00265960"/>
    <w:rsid w:val="00265CFB"/>
    <w:rsid w:val="00271D69"/>
    <w:rsid w:val="002726F6"/>
    <w:rsid w:val="0027589F"/>
    <w:rsid w:val="0028007D"/>
    <w:rsid w:val="002833C8"/>
    <w:rsid w:val="002834A3"/>
    <w:rsid w:val="00284401"/>
    <w:rsid w:val="00286D0C"/>
    <w:rsid w:val="002902B7"/>
    <w:rsid w:val="00291298"/>
    <w:rsid w:val="00291553"/>
    <w:rsid w:val="002932A9"/>
    <w:rsid w:val="002943D7"/>
    <w:rsid w:val="0029597A"/>
    <w:rsid w:val="00295B33"/>
    <w:rsid w:val="00295CA6"/>
    <w:rsid w:val="00295D23"/>
    <w:rsid w:val="00297045"/>
    <w:rsid w:val="00297218"/>
    <w:rsid w:val="00297E11"/>
    <w:rsid w:val="002A2824"/>
    <w:rsid w:val="002A2CD5"/>
    <w:rsid w:val="002A3355"/>
    <w:rsid w:val="002A4AE6"/>
    <w:rsid w:val="002A52C5"/>
    <w:rsid w:val="002A530F"/>
    <w:rsid w:val="002A620C"/>
    <w:rsid w:val="002B06C7"/>
    <w:rsid w:val="002B2C4C"/>
    <w:rsid w:val="002B517A"/>
    <w:rsid w:val="002B61FB"/>
    <w:rsid w:val="002B7971"/>
    <w:rsid w:val="002B7A02"/>
    <w:rsid w:val="002C016D"/>
    <w:rsid w:val="002C153D"/>
    <w:rsid w:val="002C23E1"/>
    <w:rsid w:val="002C4483"/>
    <w:rsid w:val="002C7945"/>
    <w:rsid w:val="002D034B"/>
    <w:rsid w:val="002D121F"/>
    <w:rsid w:val="002D1604"/>
    <w:rsid w:val="002D41BB"/>
    <w:rsid w:val="002E1089"/>
    <w:rsid w:val="002E125B"/>
    <w:rsid w:val="002E15A0"/>
    <w:rsid w:val="002E77BD"/>
    <w:rsid w:val="002E792F"/>
    <w:rsid w:val="002F0E7A"/>
    <w:rsid w:val="002F10E0"/>
    <w:rsid w:val="002F2235"/>
    <w:rsid w:val="002F3055"/>
    <w:rsid w:val="002F462E"/>
    <w:rsid w:val="002F4CE9"/>
    <w:rsid w:val="002F4D8C"/>
    <w:rsid w:val="002F5827"/>
    <w:rsid w:val="002F5E7B"/>
    <w:rsid w:val="002F7287"/>
    <w:rsid w:val="002F7B06"/>
    <w:rsid w:val="00300F10"/>
    <w:rsid w:val="003032A9"/>
    <w:rsid w:val="00304E71"/>
    <w:rsid w:val="00305360"/>
    <w:rsid w:val="00305A7C"/>
    <w:rsid w:val="00307B7E"/>
    <w:rsid w:val="00307E27"/>
    <w:rsid w:val="003116A4"/>
    <w:rsid w:val="0031248F"/>
    <w:rsid w:val="003149C4"/>
    <w:rsid w:val="003157E4"/>
    <w:rsid w:val="00315A43"/>
    <w:rsid w:val="00316236"/>
    <w:rsid w:val="003165A0"/>
    <w:rsid w:val="00316C65"/>
    <w:rsid w:val="00316EA4"/>
    <w:rsid w:val="003213E0"/>
    <w:rsid w:val="003218E5"/>
    <w:rsid w:val="0032473B"/>
    <w:rsid w:val="003253F5"/>
    <w:rsid w:val="00327DF3"/>
    <w:rsid w:val="00330CA9"/>
    <w:rsid w:val="0033176F"/>
    <w:rsid w:val="00331F5A"/>
    <w:rsid w:val="00331FF5"/>
    <w:rsid w:val="00333BEA"/>
    <w:rsid w:val="00335BC5"/>
    <w:rsid w:val="003401E6"/>
    <w:rsid w:val="00341605"/>
    <w:rsid w:val="003422FA"/>
    <w:rsid w:val="0034281B"/>
    <w:rsid w:val="00343688"/>
    <w:rsid w:val="003437A3"/>
    <w:rsid w:val="003439A7"/>
    <w:rsid w:val="00344DC8"/>
    <w:rsid w:val="003454FA"/>
    <w:rsid w:val="003456FB"/>
    <w:rsid w:val="003458DC"/>
    <w:rsid w:val="00346075"/>
    <w:rsid w:val="00352ED4"/>
    <w:rsid w:val="00353AB1"/>
    <w:rsid w:val="00353DE4"/>
    <w:rsid w:val="00355DDB"/>
    <w:rsid w:val="003572AF"/>
    <w:rsid w:val="00361B83"/>
    <w:rsid w:val="003621BB"/>
    <w:rsid w:val="00362CE6"/>
    <w:rsid w:val="00365DCC"/>
    <w:rsid w:val="003666D6"/>
    <w:rsid w:val="0036728F"/>
    <w:rsid w:val="00367B1B"/>
    <w:rsid w:val="00370B37"/>
    <w:rsid w:val="00371275"/>
    <w:rsid w:val="00373089"/>
    <w:rsid w:val="003738CB"/>
    <w:rsid w:val="00373F4C"/>
    <w:rsid w:val="00375CC0"/>
    <w:rsid w:val="00375CF8"/>
    <w:rsid w:val="00376790"/>
    <w:rsid w:val="003770C0"/>
    <w:rsid w:val="00377708"/>
    <w:rsid w:val="0038000A"/>
    <w:rsid w:val="00382F08"/>
    <w:rsid w:val="00382FC2"/>
    <w:rsid w:val="00383B96"/>
    <w:rsid w:val="00383BB3"/>
    <w:rsid w:val="00386583"/>
    <w:rsid w:val="0039027F"/>
    <w:rsid w:val="003938EF"/>
    <w:rsid w:val="003949E3"/>
    <w:rsid w:val="00394BF1"/>
    <w:rsid w:val="003959B0"/>
    <w:rsid w:val="00395EE2"/>
    <w:rsid w:val="00397C78"/>
    <w:rsid w:val="003A1F99"/>
    <w:rsid w:val="003A20A7"/>
    <w:rsid w:val="003A5488"/>
    <w:rsid w:val="003A6C09"/>
    <w:rsid w:val="003B170B"/>
    <w:rsid w:val="003B331C"/>
    <w:rsid w:val="003B5FD7"/>
    <w:rsid w:val="003C0D13"/>
    <w:rsid w:val="003C2783"/>
    <w:rsid w:val="003C282D"/>
    <w:rsid w:val="003C3686"/>
    <w:rsid w:val="003C5417"/>
    <w:rsid w:val="003C5573"/>
    <w:rsid w:val="003C6A47"/>
    <w:rsid w:val="003D1C23"/>
    <w:rsid w:val="003D2288"/>
    <w:rsid w:val="003D57E7"/>
    <w:rsid w:val="003D7B2F"/>
    <w:rsid w:val="003E2B74"/>
    <w:rsid w:val="003E4506"/>
    <w:rsid w:val="003E576A"/>
    <w:rsid w:val="003F0A8A"/>
    <w:rsid w:val="003F19C9"/>
    <w:rsid w:val="003F1FD9"/>
    <w:rsid w:val="003F2EE2"/>
    <w:rsid w:val="003F341B"/>
    <w:rsid w:val="003F46F1"/>
    <w:rsid w:val="003F49B4"/>
    <w:rsid w:val="003F4C36"/>
    <w:rsid w:val="003F7B0F"/>
    <w:rsid w:val="003F7F43"/>
    <w:rsid w:val="00400659"/>
    <w:rsid w:val="00403DA8"/>
    <w:rsid w:val="004055F2"/>
    <w:rsid w:val="00407379"/>
    <w:rsid w:val="00410089"/>
    <w:rsid w:val="00414944"/>
    <w:rsid w:val="004177AD"/>
    <w:rsid w:val="0042261E"/>
    <w:rsid w:val="0042433B"/>
    <w:rsid w:val="00424724"/>
    <w:rsid w:val="00424727"/>
    <w:rsid w:val="00426AF3"/>
    <w:rsid w:val="00430F02"/>
    <w:rsid w:val="00431216"/>
    <w:rsid w:val="00431560"/>
    <w:rsid w:val="00431B38"/>
    <w:rsid w:val="00431BC7"/>
    <w:rsid w:val="00432DE4"/>
    <w:rsid w:val="00433BB1"/>
    <w:rsid w:val="0043408B"/>
    <w:rsid w:val="004348EE"/>
    <w:rsid w:val="004366E1"/>
    <w:rsid w:val="00441620"/>
    <w:rsid w:val="004420A4"/>
    <w:rsid w:val="00443F75"/>
    <w:rsid w:val="00444F70"/>
    <w:rsid w:val="00445C28"/>
    <w:rsid w:val="00445CF3"/>
    <w:rsid w:val="00450B2B"/>
    <w:rsid w:val="00451B57"/>
    <w:rsid w:val="0045426A"/>
    <w:rsid w:val="00455F96"/>
    <w:rsid w:val="0045727D"/>
    <w:rsid w:val="004667D9"/>
    <w:rsid w:val="00467B69"/>
    <w:rsid w:val="00472C3B"/>
    <w:rsid w:val="004737C7"/>
    <w:rsid w:val="004767AC"/>
    <w:rsid w:val="00476AE6"/>
    <w:rsid w:val="004808A7"/>
    <w:rsid w:val="00480F4B"/>
    <w:rsid w:val="00482390"/>
    <w:rsid w:val="00484D3C"/>
    <w:rsid w:val="0048572A"/>
    <w:rsid w:val="004867BA"/>
    <w:rsid w:val="0048702C"/>
    <w:rsid w:val="00487A68"/>
    <w:rsid w:val="004907DA"/>
    <w:rsid w:val="00491DAC"/>
    <w:rsid w:val="004941FF"/>
    <w:rsid w:val="00495104"/>
    <w:rsid w:val="0049564A"/>
    <w:rsid w:val="00495C56"/>
    <w:rsid w:val="00497940"/>
    <w:rsid w:val="004A1737"/>
    <w:rsid w:val="004A1BE8"/>
    <w:rsid w:val="004A30E7"/>
    <w:rsid w:val="004A3171"/>
    <w:rsid w:val="004A45EE"/>
    <w:rsid w:val="004B0DC7"/>
    <w:rsid w:val="004B5609"/>
    <w:rsid w:val="004B695F"/>
    <w:rsid w:val="004B7F41"/>
    <w:rsid w:val="004C14B2"/>
    <w:rsid w:val="004C21F8"/>
    <w:rsid w:val="004D00B0"/>
    <w:rsid w:val="004D09FC"/>
    <w:rsid w:val="004D1FE5"/>
    <w:rsid w:val="004D3AC4"/>
    <w:rsid w:val="004D5F45"/>
    <w:rsid w:val="004D79B7"/>
    <w:rsid w:val="004D79C2"/>
    <w:rsid w:val="004E3022"/>
    <w:rsid w:val="004E51AE"/>
    <w:rsid w:val="004F0BA2"/>
    <w:rsid w:val="004F2EB2"/>
    <w:rsid w:val="004F3680"/>
    <w:rsid w:val="004F5E15"/>
    <w:rsid w:val="004F6ACC"/>
    <w:rsid w:val="004F7B0C"/>
    <w:rsid w:val="004F7F9B"/>
    <w:rsid w:val="005019A3"/>
    <w:rsid w:val="00501BBC"/>
    <w:rsid w:val="00503331"/>
    <w:rsid w:val="00504B77"/>
    <w:rsid w:val="00506BE5"/>
    <w:rsid w:val="005107D9"/>
    <w:rsid w:val="00512E9A"/>
    <w:rsid w:val="0051305D"/>
    <w:rsid w:val="005134C2"/>
    <w:rsid w:val="005135EA"/>
    <w:rsid w:val="00513A09"/>
    <w:rsid w:val="00514266"/>
    <w:rsid w:val="00520504"/>
    <w:rsid w:val="00520EB7"/>
    <w:rsid w:val="00520F7B"/>
    <w:rsid w:val="005239F1"/>
    <w:rsid w:val="00523F36"/>
    <w:rsid w:val="00524916"/>
    <w:rsid w:val="00524C91"/>
    <w:rsid w:val="0052613D"/>
    <w:rsid w:val="0052632B"/>
    <w:rsid w:val="00532C02"/>
    <w:rsid w:val="00533530"/>
    <w:rsid w:val="00533EB2"/>
    <w:rsid w:val="005372A8"/>
    <w:rsid w:val="00543A6F"/>
    <w:rsid w:val="00546C9C"/>
    <w:rsid w:val="00554092"/>
    <w:rsid w:val="00554731"/>
    <w:rsid w:val="00554F7E"/>
    <w:rsid w:val="00561E42"/>
    <w:rsid w:val="00562EA1"/>
    <w:rsid w:val="00563FE4"/>
    <w:rsid w:val="0056434E"/>
    <w:rsid w:val="005643E5"/>
    <w:rsid w:val="00564E46"/>
    <w:rsid w:val="005657DA"/>
    <w:rsid w:val="005660E7"/>
    <w:rsid w:val="005673CA"/>
    <w:rsid w:val="005710CE"/>
    <w:rsid w:val="00571890"/>
    <w:rsid w:val="0057348C"/>
    <w:rsid w:val="00574411"/>
    <w:rsid w:val="0057551D"/>
    <w:rsid w:val="00576E9E"/>
    <w:rsid w:val="00577C3C"/>
    <w:rsid w:val="0058301E"/>
    <w:rsid w:val="005848AD"/>
    <w:rsid w:val="005855FE"/>
    <w:rsid w:val="005869E1"/>
    <w:rsid w:val="00591A3E"/>
    <w:rsid w:val="00593B54"/>
    <w:rsid w:val="0059628C"/>
    <w:rsid w:val="00597305"/>
    <w:rsid w:val="005978C7"/>
    <w:rsid w:val="005A3178"/>
    <w:rsid w:val="005A3B2B"/>
    <w:rsid w:val="005A3F5F"/>
    <w:rsid w:val="005A4FCD"/>
    <w:rsid w:val="005A5B7A"/>
    <w:rsid w:val="005A5E84"/>
    <w:rsid w:val="005A65F0"/>
    <w:rsid w:val="005B1913"/>
    <w:rsid w:val="005B21AD"/>
    <w:rsid w:val="005B4156"/>
    <w:rsid w:val="005C18DE"/>
    <w:rsid w:val="005C3984"/>
    <w:rsid w:val="005C511C"/>
    <w:rsid w:val="005C54ED"/>
    <w:rsid w:val="005C7208"/>
    <w:rsid w:val="005D016E"/>
    <w:rsid w:val="005D191B"/>
    <w:rsid w:val="005D404F"/>
    <w:rsid w:val="005D6DFC"/>
    <w:rsid w:val="005D6F08"/>
    <w:rsid w:val="005D7618"/>
    <w:rsid w:val="005E02A4"/>
    <w:rsid w:val="005E09B6"/>
    <w:rsid w:val="005E7B01"/>
    <w:rsid w:val="005F171E"/>
    <w:rsid w:val="005F555F"/>
    <w:rsid w:val="005F764D"/>
    <w:rsid w:val="005F7B68"/>
    <w:rsid w:val="005F7E57"/>
    <w:rsid w:val="0060024B"/>
    <w:rsid w:val="00600D19"/>
    <w:rsid w:val="00603813"/>
    <w:rsid w:val="00605397"/>
    <w:rsid w:val="00614848"/>
    <w:rsid w:val="00615883"/>
    <w:rsid w:val="006162E5"/>
    <w:rsid w:val="006163B5"/>
    <w:rsid w:val="00617989"/>
    <w:rsid w:val="006244C7"/>
    <w:rsid w:val="0062494A"/>
    <w:rsid w:val="006250D9"/>
    <w:rsid w:val="00626C33"/>
    <w:rsid w:val="00626C73"/>
    <w:rsid w:val="006278ED"/>
    <w:rsid w:val="00630146"/>
    <w:rsid w:val="00632912"/>
    <w:rsid w:val="0063338E"/>
    <w:rsid w:val="00633AE5"/>
    <w:rsid w:val="0063551E"/>
    <w:rsid w:val="006356AE"/>
    <w:rsid w:val="006437A5"/>
    <w:rsid w:val="00644C0F"/>
    <w:rsid w:val="00647CE2"/>
    <w:rsid w:val="006503F2"/>
    <w:rsid w:val="00652FA9"/>
    <w:rsid w:val="00652FB5"/>
    <w:rsid w:val="00654D49"/>
    <w:rsid w:val="006551C9"/>
    <w:rsid w:val="00655AAF"/>
    <w:rsid w:val="00655FCB"/>
    <w:rsid w:val="00657CE8"/>
    <w:rsid w:val="00660F5E"/>
    <w:rsid w:val="00662D4E"/>
    <w:rsid w:val="00663ACB"/>
    <w:rsid w:val="00665A89"/>
    <w:rsid w:val="00666A04"/>
    <w:rsid w:val="00666FC2"/>
    <w:rsid w:val="00670326"/>
    <w:rsid w:val="00670C60"/>
    <w:rsid w:val="00672BDB"/>
    <w:rsid w:val="00673264"/>
    <w:rsid w:val="00673341"/>
    <w:rsid w:val="0067457D"/>
    <w:rsid w:val="00676C4A"/>
    <w:rsid w:val="006774E0"/>
    <w:rsid w:val="00681F5F"/>
    <w:rsid w:val="0068223F"/>
    <w:rsid w:val="00683C2C"/>
    <w:rsid w:val="0068454C"/>
    <w:rsid w:val="0068494B"/>
    <w:rsid w:val="00684DB7"/>
    <w:rsid w:val="00691EA6"/>
    <w:rsid w:val="006930A1"/>
    <w:rsid w:val="00693AA8"/>
    <w:rsid w:val="006945FC"/>
    <w:rsid w:val="00695141"/>
    <w:rsid w:val="00696660"/>
    <w:rsid w:val="00696D4B"/>
    <w:rsid w:val="00697990"/>
    <w:rsid w:val="00697FCB"/>
    <w:rsid w:val="006A0798"/>
    <w:rsid w:val="006A35CE"/>
    <w:rsid w:val="006A3D4F"/>
    <w:rsid w:val="006A5930"/>
    <w:rsid w:val="006A59F1"/>
    <w:rsid w:val="006A66F7"/>
    <w:rsid w:val="006A6BB4"/>
    <w:rsid w:val="006B201D"/>
    <w:rsid w:val="006B2C54"/>
    <w:rsid w:val="006B453A"/>
    <w:rsid w:val="006B4640"/>
    <w:rsid w:val="006B5148"/>
    <w:rsid w:val="006B636A"/>
    <w:rsid w:val="006C1714"/>
    <w:rsid w:val="006C1C5B"/>
    <w:rsid w:val="006C1FCA"/>
    <w:rsid w:val="006C3B90"/>
    <w:rsid w:val="006D495A"/>
    <w:rsid w:val="006D758B"/>
    <w:rsid w:val="006E1555"/>
    <w:rsid w:val="006E181F"/>
    <w:rsid w:val="006E1D52"/>
    <w:rsid w:val="006E22AA"/>
    <w:rsid w:val="006E418D"/>
    <w:rsid w:val="006E4DFA"/>
    <w:rsid w:val="006E58A2"/>
    <w:rsid w:val="006E71D5"/>
    <w:rsid w:val="006E7DAC"/>
    <w:rsid w:val="006F1870"/>
    <w:rsid w:val="006F1F6E"/>
    <w:rsid w:val="006F2A26"/>
    <w:rsid w:val="006F387E"/>
    <w:rsid w:val="006F5358"/>
    <w:rsid w:val="006F6874"/>
    <w:rsid w:val="006F6C71"/>
    <w:rsid w:val="006F7092"/>
    <w:rsid w:val="007014D2"/>
    <w:rsid w:val="007056C7"/>
    <w:rsid w:val="007204B7"/>
    <w:rsid w:val="00720972"/>
    <w:rsid w:val="00725DA2"/>
    <w:rsid w:val="007272DD"/>
    <w:rsid w:val="00731AB3"/>
    <w:rsid w:val="007343EA"/>
    <w:rsid w:val="00735896"/>
    <w:rsid w:val="00735C62"/>
    <w:rsid w:val="00735D68"/>
    <w:rsid w:val="00735FBC"/>
    <w:rsid w:val="00736876"/>
    <w:rsid w:val="00736A55"/>
    <w:rsid w:val="00742FBD"/>
    <w:rsid w:val="00753D63"/>
    <w:rsid w:val="00753E2E"/>
    <w:rsid w:val="00756564"/>
    <w:rsid w:val="00757877"/>
    <w:rsid w:val="00760B74"/>
    <w:rsid w:val="007613F3"/>
    <w:rsid w:val="0076179A"/>
    <w:rsid w:val="007623BD"/>
    <w:rsid w:val="007640BB"/>
    <w:rsid w:val="00764850"/>
    <w:rsid w:val="00770396"/>
    <w:rsid w:val="00770642"/>
    <w:rsid w:val="0077151B"/>
    <w:rsid w:val="0077525E"/>
    <w:rsid w:val="007775CD"/>
    <w:rsid w:val="00781AB0"/>
    <w:rsid w:val="007826EE"/>
    <w:rsid w:val="00782C76"/>
    <w:rsid w:val="007832A5"/>
    <w:rsid w:val="0078338C"/>
    <w:rsid w:val="00787BEE"/>
    <w:rsid w:val="00792A51"/>
    <w:rsid w:val="00794052"/>
    <w:rsid w:val="00794C5F"/>
    <w:rsid w:val="00795509"/>
    <w:rsid w:val="00796BC7"/>
    <w:rsid w:val="00796F0A"/>
    <w:rsid w:val="00797329"/>
    <w:rsid w:val="007A1EB6"/>
    <w:rsid w:val="007A277A"/>
    <w:rsid w:val="007A2B8A"/>
    <w:rsid w:val="007A32E1"/>
    <w:rsid w:val="007A3495"/>
    <w:rsid w:val="007A60F0"/>
    <w:rsid w:val="007B00ED"/>
    <w:rsid w:val="007B019A"/>
    <w:rsid w:val="007B05A5"/>
    <w:rsid w:val="007B0720"/>
    <w:rsid w:val="007B4016"/>
    <w:rsid w:val="007B43AA"/>
    <w:rsid w:val="007B4D4D"/>
    <w:rsid w:val="007B61C0"/>
    <w:rsid w:val="007B6C56"/>
    <w:rsid w:val="007B7633"/>
    <w:rsid w:val="007C009E"/>
    <w:rsid w:val="007C36A0"/>
    <w:rsid w:val="007C49E8"/>
    <w:rsid w:val="007C4E7E"/>
    <w:rsid w:val="007C7F7F"/>
    <w:rsid w:val="007D0EEF"/>
    <w:rsid w:val="007D36CF"/>
    <w:rsid w:val="007D4E67"/>
    <w:rsid w:val="007D61F8"/>
    <w:rsid w:val="007D73B2"/>
    <w:rsid w:val="007E5F19"/>
    <w:rsid w:val="007E63AA"/>
    <w:rsid w:val="007F0DFC"/>
    <w:rsid w:val="007F625B"/>
    <w:rsid w:val="008040B0"/>
    <w:rsid w:val="00805F1C"/>
    <w:rsid w:val="00806C31"/>
    <w:rsid w:val="00810B2C"/>
    <w:rsid w:val="0081481A"/>
    <w:rsid w:val="0081537C"/>
    <w:rsid w:val="008164CC"/>
    <w:rsid w:val="008174CE"/>
    <w:rsid w:val="00823E9D"/>
    <w:rsid w:val="00823EEC"/>
    <w:rsid w:val="00825B05"/>
    <w:rsid w:val="0082788F"/>
    <w:rsid w:val="0083002C"/>
    <w:rsid w:val="00830F20"/>
    <w:rsid w:val="008311BB"/>
    <w:rsid w:val="008318AC"/>
    <w:rsid w:val="008335C1"/>
    <w:rsid w:val="00833BEB"/>
    <w:rsid w:val="00836E03"/>
    <w:rsid w:val="008378B9"/>
    <w:rsid w:val="00842849"/>
    <w:rsid w:val="008451D4"/>
    <w:rsid w:val="00845C99"/>
    <w:rsid w:val="00846765"/>
    <w:rsid w:val="0085018B"/>
    <w:rsid w:val="00852F23"/>
    <w:rsid w:val="00853B45"/>
    <w:rsid w:val="008605B0"/>
    <w:rsid w:val="008606D3"/>
    <w:rsid w:val="00860AFD"/>
    <w:rsid w:val="008611F7"/>
    <w:rsid w:val="0086148B"/>
    <w:rsid w:val="008622A8"/>
    <w:rsid w:val="00862A48"/>
    <w:rsid w:val="00865049"/>
    <w:rsid w:val="008655D7"/>
    <w:rsid w:val="00865FFE"/>
    <w:rsid w:val="008674C0"/>
    <w:rsid w:val="00870D01"/>
    <w:rsid w:val="0087166A"/>
    <w:rsid w:val="00873FE1"/>
    <w:rsid w:val="008746A5"/>
    <w:rsid w:val="00876ED3"/>
    <w:rsid w:val="008774C7"/>
    <w:rsid w:val="008777D5"/>
    <w:rsid w:val="00877940"/>
    <w:rsid w:val="00881D73"/>
    <w:rsid w:val="00881FBC"/>
    <w:rsid w:val="00884290"/>
    <w:rsid w:val="00885332"/>
    <w:rsid w:val="00886F49"/>
    <w:rsid w:val="00890D5C"/>
    <w:rsid w:val="008916CF"/>
    <w:rsid w:val="00891C61"/>
    <w:rsid w:val="00893508"/>
    <w:rsid w:val="00896A13"/>
    <w:rsid w:val="008A04C9"/>
    <w:rsid w:val="008A05B1"/>
    <w:rsid w:val="008A0E96"/>
    <w:rsid w:val="008A0F73"/>
    <w:rsid w:val="008A1A95"/>
    <w:rsid w:val="008A3525"/>
    <w:rsid w:val="008A3814"/>
    <w:rsid w:val="008A4E5A"/>
    <w:rsid w:val="008A5B86"/>
    <w:rsid w:val="008A64AC"/>
    <w:rsid w:val="008A6839"/>
    <w:rsid w:val="008B0652"/>
    <w:rsid w:val="008B104D"/>
    <w:rsid w:val="008B155C"/>
    <w:rsid w:val="008B38FC"/>
    <w:rsid w:val="008B3EEE"/>
    <w:rsid w:val="008B61B7"/>
    <w:rsid w:val="008B62E8"/>
    <w:rsid w:val="008B64A6"/>
    <w:rsid w:val="008B651C"/>
    <w:rsid w:val="008B79C6"/>
    <w:rsid w:val="008B7CC1"/>
    <w:rsid w:val="008C43D7"/>
    <w:rsid w:val="008C70ED"/>
    <w:rsid w:val="008D0C41"/>
    <w:rsid w:val="008D13A5"/>
    <w:rsid w:val="008D265B"/>
    <w:rsid w:val="008D26E1"/>
    <w:rsid w:val="008D298C"/>
    <w:rsid w:val="008D2A3D"/>
    <w:rsid w:val="008D35DC"/>
    <w:rsid w:val="008D3BC3"/>
    <w:rsid w:val="008D5227"/>
    <w:rsid w:val="008D6939"/>
    <w:rsid w:val="008D7BB0"/>
    <w:rsid w:val="008E06C2"/>
    <w:rsid w:val="008E0AA6"/>
    <w:rsid w:val="008E1380"/>
    <w:rsid w:val="008E141B"/>
    <w:rsid w:val="008E17F2"/>
    <w:rsid w:val="008E3270"/>
    <w:rsid w:val="008E3B71"/>
    <w:rsid w:val="008E58ED"/>
    <w:rsid w:val="008E5D01"/>
    <w:rsid w:val="008E711C"/>
    <w:rsid w:val="008E7C75"/>
    <w:rsid w:val="008F204A"/>
    <w:rsid w:val="008F31BB"/>
    <w:rsid w:val="008F4728"/>
    <w:rsid w:val="008F4E20"/>
    <w:rsid w:val="008F6E79"/>
    <w:rsid w:val="00900A53"/>
    <w:rsid w:val="00903A5B"/>
    <w:rsid w:val="009043AC"/>
    <w:rsid w:val="00905398"/>
    <w:rsid w:val="00906B8A"/>
    <w:rsid w:val="00906D65"/>
    <w:rsid w:val="00910B86"/>
    <w:rsid w:val="00911289"/>
    <w:rsid w:val="0091162F"/>
    <w:rsid w:val="0091183C"/>
    <w:rsid w:val="009136FD"/>
    <w:rsid w:val="00913C42"/>
    <w:rsid w:val="00915073"/>
    <w:rsid w:val="00916AD7"/>
    <w:rsid w:val="00917698"/>
    <w:rsid w:val="00917D01"/>
    <w:rsid w:val="00920C93"/>
    <w:rsid w:val="00921D74"/>
    <w:rsid w:val="00923348"/>
    <w:rsid w:val="00923A45"/>
    <w:rsid w:val="00926721"/>
    <w:rsid w:val="00927574"/>
    <w:rsid w:val="009275D5"/>
    <w:rsid w:val="00931C6A"/>
    <w:rsid w:val="009340FC"/>
    <w:rsid w:val="00934A06"/>
    <w:rsid w:val="00937979"/>
    <w:rsid w:val="0094021C"/>
    <w:rsid w:val="00940E2C"/>
    <w:rsid w:val="00940FA5"/>
    <w:rsid w:val="00943A7A"/>
    <w:rsid w:val="00944978"/>
    <w:rsid w:val="00946254"/>
    <w:rsid w:val="00951B11"/>
    <w:rsid w:val="00952CF5"/>
    <w:rsid w:val="009543F4"/>
    <w:rsid w:val="009559DE"/>
    <w:rsid w:val="0095605E"/>
    <w:rsid w:val="00956B01"/>
    <w:rsid w:val="00956B59"/>
    <w:rsid w:val="00957062"/>
    <w:rsid w:val="00957999"/>
    <w:rsid w:val="00960290"/>
    <w:rsid w:val="0096212E"/>
    <w:rsid w:val="00971004"/>
    <w:rsid w:val="00972E1B"/>
    <w:rsid w:val="0097360A"/>
    <w:rsid w:val="00973E14"/>
    <w:rsid w:val="0097654C"/>
    <w:rsid w:val="00976E71"/>
    <w:rsid w:val="00980369"/>
    <w:rsid w:val="009830BD"/>
    <w:rsid w:val="0099379E"/>
    <w:rsid w:val="009968C6"/>
    <w:rsid w:val="00996E6C"/>
    <w:rsid w:val="009A010B"/>
    <w:rsid w:val="009A1B49"/>
    <w:rsid w:val="009A1D0E"/>
    <w:rsid w:val="009A223F"/>
    <w:rsid w:val="009A2A22"/>
    <w:rsid w:val="009A3482"/>
    <w:rsid w:val="009A372B"/>
    <w:rsid w:val="009A4764"/>
    <w:rsid w:val="009B0E81"/>
    <w:rsid w:val="009B21CA"/>
    <w:rsid w:val="009B4239"/>
    <w:rsid w:val="009B4954"/>
    <w:rsid w:val="009B49C8"/>
    <w:rsid w:val="009B4E96"/>
    <w:rsid w:val="009B6D15"/>
    <w:rsid w:val="009B766F"/>
    <w:rsid w:val="009C0626"/>
    <w:rsid w:val="009C14A1"/>
    <w:rsid w:val="009C18A2"/>
    <w:rsid w:val="009C2911"/>
    <w:rsid w:val="009C3388"/>
    <w:rsid w:val="009C4EE6"/>
    <w:rsid w:val="009C5823"/>
    <w:rsid w:val="009C7439"/>
    <w:rsid w:val="009C7549"/>
    <w:rsid w:val="009D07EF"/>
    <w:rsid w:val="009D2CFD"/>
    <w:rsid w:val="009D2E59"/>
    <w:rsid w:val="009D32E7"/>
    <w:rsid w:val="009D742E"/>
    <w:rsid w:val="009E2CEB"/>
    <w:rsid w:val="009E3E77"/>
    <w:rsid w:val="009E3F9C"/>
    <w:rsid w:val="009E438A"/>
    <w:rsid w:val="009E787B"/>
    <w:rsid w:val="009F12EC"/>
    <w:rsid w:val="009F4559"/>
    <w:rsid w:val="009F7B05"/>
    <w:rsid w:val="00A015CA"/>
    <w:rsid w:val="00A0666E"/>
    <w:rsid w:val="00A11BF2"/>
    <w:rsid w:val="00A121F4"/>
    <w:rsid w:val="00A1780F"/>
    <w:rsid w:val="00A17BE4"/>
    <w:rsid w:val="00A20EF7"/>
    <w:rsid w:val="00A21062"/>
    <w:rsid w:val="00A22C5C"/>
    <w:rsid w:val="00A2416D"/>
    <w:rsid w:val="00A24517"/>
    <w:rsid w:val="00A250FB"/>
    <w:rsid w:val="00A26A27"/>
    <w:rsid w:val="00A27EA8"/>
    <w:rsid w:val="00A30212"/>
    <w:rsid w:val="00A30A63"/>
    <w:rsid w:val="00A31361"/>
    <w:rsid w:val="00A32A8E"/>
    <w:rsid w:val="00A331B3"/>
    <w:rsid w:val="00A3383C"/>
    <w:rsid w:val="00A339C6"/>
    <w:rsid w:val="00A354AD"/>
    <w:rsid w:val="00A35B7C"/>
    <w:rsid w:val="00A36344"/>
    <w:rsid w:val="00A370FF"/>
    <w:rsid w:val="00A37A7F"/>
    <w:rsid w:val="00A40280"/>
    <w:rsid w:val="00A40407"/>
    <w:rsid w:val="00A42000"/>
    <w:rsid w:val="00A43890"/>
    <w:rsid w:val="00A442B9"/>
    <w:rsid w:val="00A44336"/>
    <w:rsid w:val="00A4529C"/>
    <w:rsid w:val="00A45F5E"/>
    <w:rsid w:val="00A45FD3"/>
    <w:rsid w:val="00A47E40"/>
    <w:rsid w:val="00A47F79"/>
    <w:rsid w:val="00A502A9"/>
    <w:rsid w:val="00A5324E"/>
    <w:rsid w:val="00A53E92"/>
    <w:rsid w:val="00A60A31"/>
    <w:rsid w:val="00A6282A"/>
    <w:rsid w:val="00A65453"/>
    <w:rsid w:val="00A66AC8"/>
    <w:rsid w:val="00A67938"/>
    <w:rsid w:val="00A70AA8"/>
    <w:rsid w:val="00A715AD"/>
    <w:rsid w:val="00A729B5"/>
    <w:rsid w:val="00A73DB4"/>
    <w:rsid w:val="00A75D62"/>
    <w:rsid w:val="00A760A1"/>
    <w:rsid w:val="00A76525"/>
    <w:rsid w:val="00A82AFC"/>
    <w:rsid w:val="00A82DE4"/>
    <w:rsid w:val="00A83FFF"/>
    <w:rsid w:val="00A8431F"/>
    <w:rsid w:val="00A87D51"/>
    <w:rsid w:val="00A93068"/>
    <w:rsid w:val="00AA0247"/>
    <w:rsid w:val="00AA0AB4"/>
    <w:rsid w:val="00AA1632"/>
    <w:rsid w:val="00AA1A6D"/>
    <w:rsid w:val="00AA222E"/>
    <w:rsid w:val="00AA2EEE"/>
    <w:rsid w:val="00AA36C4"/>
    <w:rsid w:val="00AB08CD"/>
    <w:rsid w:val="00AB3BE7"/>
    <w:rsid w:val="00AB4972"/>
    <w:rsid w:val="00AC165D"/>
    <w:rsid w:val="00AC2CFB"/>
    <w:rsid w:val="00AC5766"/>
    <w:rsid w:val="00AC6534"/>
    <w:rsid w:val="00AC7413"/>
    <w:rsid w:val="00AD1B08"/>
    <w:rsid w:val="00AD2C6A"/>
    <w:rsid w:val="00AD477E"/>
    <w:rsid w:val="00AD4DA4"/>
    <w:rsid w:val="00AD502A"/>
    <w:rsid w:val="00AD5175"/>
    <w:rsid w:val="00AE2179"/>
    <w:rsid w:val="00AE3C10"/>
    <w:rsid w:val="00AE4276"/>
    <w:rsid w:val="00AE4C3B"/>
    <w:rsid w:val="00AE61B6"/>
    <w:rsid w:val="00AE6EA6"/>
    <w:rsid w:val="00AE76D4"/>
    <w:rsid w:val="00AE7E5F"/>
    <w:rsid w:val="00AF3627"/>
    <w:rsid w:val="00AF3C62"/>
    <w:rsid w:val="00AF7E0B"/>
    <w:rsid w:val="00B00849"/>
    <w:rsid w:val="00B01A2B"/>
    <w:rsid w:val="00B01F55"/>
    <w:rsid w:val="00B045B6"/>
    <w:rsid w:val="00B053B8"/>
    <w:rsid w:val="00B05973"/>
    <w:rsid w:val="00B071C1"/>
    <w:rsid w:val="00B0778A"/>
    <w:rsid w:val="00B1250B"/>
    <w:rsid w:val="00B12C12"/>
    <w:rsid w:val="00B1464C"/>
    <w:rsid w:val="00B16A2D"/>
    <w:rsid w:val="00B22800"/>
    <w:rsid w:val="00B24694"/>
    <w:rsid w:val="00B261D9"/>
    <w:rsid w:val="00B26C61"/>
    <w:rsid w:val="00B355A4"/>
    <w:rsid w:val="00B37165"/>
    <w:rsid w:val="00B40475"/>
    <w:rsid w:val="00B40AF3"/>
    <w:rsid w:val="00B410A2"/>
    <w:rsid w:val="00B43DC2"/>
    <w:rsid w:val="00B44AF4"/>
    <w:rsid w:val="00B45580"/>
    <w:rsid w:val="00B45E32"/>
    <w:rsid w:val="00B52759"/>
    <w:rsid w:val="00B536C3"/>
    <w:rsid w:val="00B63AF2"/>
    <w:rsid w:val="00B63F0D"/>
    <w:rsid w:val="00B64ED6"/>
    <w:rsid w:val="00B6586B"/>
    <w:rsid w:val="00B70EB6"/>
    <w:rsid w:val="00B746B3"/>
    <w:rsid w:val="00B75AD9"/>
    <w:rsid w:val="00B77EB9"/>
    <w:rsid w:val="00B80238"/>
    <w:rsid w:val="00B81F00"/>
    <w:rsid w:val="00B83171"/>
    <w:rsid w:val="00B833A1"/>
    <w:rsid w:val="00B842EB"/>
    <w:rsid w:val="00B852A4"/>
    <w:rsid w:val="00B86BFE"/>
    <w:rsid w:val="00B9025F"/>
    <w:rsid w:val="00B90F7E"/>
    <w:rsid w:val="00B91928"/>
    <w:rsid w:val="00B92C47"/>
    <w:rsid w:val="00B97CFB"/>
    <w:rsid w:val="00BA2A89"/>
    <w:rsid w:val="00BA2F6B"/>
    <w:rsid w:val="00BA2F78"/>
    <w:rsid w:val="00BA3D0B"/>
    <w:rsid w:val="00BA4EE2"/>
    <w:rsid w:val="00BA71FF"/>
    <w:rsid w:val="00BA73EA"/>
    <w:rsid w:val="00BB0410"/>
    <w:rsid w:val="00BB06DA"/>
    <w:rsid w:val="00BB4BD1"/>
    <w:rsid w:val="00BB5D2F"/>
    <w:rsid w:val="00BB7881"/>
    <w:rsid w:val="00BC0EE1"/>
    <w:rsid w:val="00BC1AE2"/>
    <w:rsid w:val="00BC1FBA"/>
    <w:rsid w:val="00BC2934"/>
    <w:rsid w:val="00BC3A12"/>
    <w:rsid w:val="00BC5006"/>
    <w:rsid w:val="00BC5009"/>
    <w:rsid w:val="00BC5DA5"/>
    <w:rsid w:val="00BC76A2"/>
    <w:rsid w:val="00BC774A"/>
    <w:rsid w:val="00BD045A"/>
    <w:rsid w:val="00BD21C7"/>
    <w:rsid w:val="00BD608D"/>
    <w:rsid w:val="00BD6BF2"/>
    <w:rsid w:val="00BD73FC"/>
    <w:rsid w:val="00BE060F"/>
    <w:rsid w:val="00BE13C7"/>
    <w:rsid w:val="00BE1439"/>
    <w:rsid w:val="00BE2F9F"/>
    <w:rsid w:val="00BE426D"/>
    <w:rsid w:val="00BE49D5"/>
    <w:rsid w:val="00BF0517"/>
    <w:rsid w:val="00BF4A4D"/>
    <w:rsid w:val="00BF64E5"/>
    <w:rsid w:val="00C001DE"/>
    <w:rsid w:val="00C009C2"/>
    <w:rsid w:val="00C01F9E"/>
    <w:rsid w:val="00C02918"/>
    <w:rsid w:val="00C02A0D"/>
    <w:rsid w:val="00C033EF"/>
    <w:rsid w:val="00C05B3E"/>
    <w:rsid w:val="00C07CC6"/>
    <w:rsid w:val="00C1232E"/>
    <w:rsid w:val="00C12D4C"/>
    <w:rsid w:val="00C17F10"/>
    <w:rsid w:val="00C21B91"/>
    <w:rsid w:val="00C23D88"/>
    <w:rsid w:val="00C268A9"/>
    <w:rsid w:val="00C26BB9"/>
    <w:rsid w:val="00C27BEB"/>
    <w:rsid w:val="00C3091B"/>
    <w:rsid w:val="00C30F88"/>
    <w:rsid w:val="00C3226F"/>
    <w:rsid w:val="00C328FF"/>
    <w:rsid w:val="00C358B7"/>
    <w:rsid w:val="00C35AB6"/>
    <w:rsid w:val="00C36A97"/>
    <w:rsid w:val="00C37DE4"/>
    <w:rsid w:val="00C40610"/>
    <w:rsid w:val="00C417F0"/>
    <w:rsid w:val="00C41932"/>
    <w:rsid w:val="00C445FE"/>
    <w:rsid w:val="00C4460F"/>
    <w:rsid w:val="00C47368"/>
    <w:rsid w:val="00C5087E"/>
    <w:rsid w:val="00C51812"/>
    <w:rsid w:val="00C52DD3"/>
    <w:rsid w:val="00C57E51"/>
    <w:rsid w:val="00C6007E"/>
    <w:rsid w:val="00C617B1"/>
    <w:rsid w:val="00C61B21"/>
    <w:rsid w:val="00C62F19"/>
    <w:rsid w:val="00C62F1A"/>
    <w:rsid w:val="00C659A9"/>
    <w:rsid w:val="00C66C95"/>
    <w:rsid w:val="00C70F21"/>
    <w:rsid w:val="00C7530B"/>
    <w:rsid w:val="00C7698F"/>
    <w:rsid w:val="00C775F1"/>
    <w:rsid w:val="00C80212"/>
    <w:rsid w:val="00C8137C"/>
    <w:rsid w:val="00C831D1"/>
    <w:rsid w:val="00C84517"/>
    <w:rsid w:val="00C8480C"/>
    <w:rsid w:val="00C8493D"/>
    <w:rsid w:val="00C90E37"/>
    <w:rsid w:val="00C92ED1"/>
    <w:rsid w:val="00C94EC4"/>
    <w:rsid w:val="00C95B55"/>
    <w:rsid w:val="00CA097F"/>
    <w:rsid w:val="00CA167D"/>
    <w:rsid w:val="00CA5907"/>
    <w:rsid w:val="00CA594C"/>
    <w:rsid w:val="00CA5F3C"/>
    <w:rsid w:val="00CA69FF"/>
    <w:rsid w:val="00CA6C98"/>
    <w:rsid w:val="00CA7826"/>
    <w:rsid w:val="00CB2450"/>
    <w:rsid w:val="00CB2478"/>
    <w:rsid w:val="00CB6A72"/>
    <w:rsid w:val="00CB759E"/>
    <w:rsid w:val="00CC02F6"/>
    <w:rsid w:val="00CC11B1"/>
    <w:rsid w:val="00CC4126"/>
    <w:rsid w:val="00CC53CD"/>
    <w:rsid w:val="00CC544A"/>
    <w:rsid w:val="00CC5DCE"/>
    <w:rsid w:val="00CD0B7A"/>
    <w:rsid w:val="00CD6D28"/>
    <w:rsid w:val="00CD6FE2"/>
    <w:rsid w:val="00CD6FFE"/>
    <w:rsid w:val="00CE10BA"/>
    <w:rsid w:val="00CE3C66"/>
    <w:rsid w:val="00CE4206"/>
    <w:rsid w:val="00CE7E07"/>
    <w:rsid w:val="00CF0356"/>
    <w:rsid w:val="00CF0577"/>
    <w:rsid w:val="00CF1207"/>
    <w:rsid w:val="00CF2A4A"/>
    <w:rsid w:val="00CF37C6"/>
    <w:rsid w:val="00CF3CD7"/>
    <w:rsid w:val="00CF3CF3"/>
    <w:rsid w:val="00CF4863"/>
    <w:rsid w:val="00CF5170"/>
    <w:rsid w:val="00CF6BA7"/>
    <w:rsid w:val="00D01E28"/>
    <w:rsid w:val="00D032A5"/>
    <w:rsid w:val="00D05001"/>
    <w:rsid w:val="00D05AF0"/>
    <w:rsid w:val="00D07F2A"/>
    <w:rsid w:val="00D10113"/>
    <w:rsid w:val="00D1086D"/>
    <w:rsid w:val="00D11E47"/>
    <w:rsid w:val="00D11FA3"/>
    <w:rsid w:val="00D11FF4"/>
    <w:rsid w:val="00D147BA"/>
    <w:rsid w:val="00D14D20"/>
    <w:rsid w:val="00D1521E"/>
    <w:rsid w:val="00D1696D"/>
    <w:rsid w:val="00D16DF6"/>
    <w:rsid w:val="00D1779F"/>
    <w:rsid w:val="00D17C14"/>
    <w:rsid w:val="00D229FE"/>
    <w:rsid w:val="00D22AB5"/>
    <w:rsid w:val="00D23058"/>
    <w:rsid w:val="00D23489"/>
    <w:rsid w:val="00D259C2"/>
    <w:rsid w:val="00D265AF"/>
    <w:rsid w:val="00D27D9F"/>
    <w:rsid w:val="00D30356"/>
    <w:rsid w:val="00D30C99"/>
    <w:rsid w:val="00D31547"/>
    <w:rsid w:val="00D322D3"/>
    <w:rsid w:val="00D35747"/>
    <w:rsid w:val="00D35A41"/>
    <w:rsid w:val="00D36893"/>
    <w:rsid w:val="00D43200"/>
    <w:rsid w:val="00D451EA"/>
    <w:rsid w:val="00D52E60"/>
    <w:rsid w:val="00D53145"/>
    <w:rsid w:val="00D53EAA"/>
    <w:rsid w:val="00D5652A"/>
    <w:rsid w:val="00D60288"/>
    <w:rsid w:val="00D60CE0"/>
    <w:rsid w:val="00D63952"/>
    <w:rsid w:val="00D6493B"/>
    <w:rsid w:val="00D651DD"/>
    <w:rsid w:val="00D651DE"/>
    <w:rsid w:val="00D652D5"/>
    <w:rsid w:val="00D71624"/>
    <w:rsid w:val="00D7204D"/>
    <w:rsid w:val="00D72C10"/>
    <w:rsid w:val="00D72F85"/>
    <w:rsid w:val="00D76A85"/>
    <w:rsid w:val="00D77519"/>
    <w:rsid w:val="00D85CC6"/>
    <w:rsid w:val="00D86696"/>
    <w:rsid w:val="00D87671"/>
    <w:rsid w:val="00D87F01"/>
    <w:rsid w:val="00D921B4"/>
    <w:rsid w:val="00D929EC"/>
    <w:rsid w:val="00D95ECA"/>
    <w:rsid w:val="00DA1752"/>
    <w:rsid w:val="00DA3EE8"/>
    <w:rsid w:val="00DA4CA4"/>
    <w:rsid w:val="00DA6D10"/>
    <w:rsid w:val="00DA7250"/>
    <w:rsid w:val="00DA72CC"/>
    <w:rsid w:val="00DA76A8"/>
    <w:rsid w:val="00DB01C3"/>
    <w:rsid w:val="00DB20F5"/>
    <w:rsid w:val="00DB36C9"/>
    <w:rsid w:val="00DB3EEE"/>
    <w:rsid w:val="00DB61D4"/>
    <w:rsid w:val="00DB7512"/>
    <w:rsid w:val="00DB79A5"/>
    <w:rsid w:val="00DC63CD"/>
    <w:rsid w:val="00DC6CD2"/>
    <w:rsid w:val="00DC778B"/>
    <w:rsid w:val="00DD05A8"/>
    <w:rsid w:val="00DD085E"/>
    <w:rsid w:val="00DD3D26"/>
    <w:rsid w:val="00DD4844"/>
    <w:rsid w:val="00DD5C1F"/>
    <w:rsid w:val="00DD62D8"/>
    <w:rsid w:val="00DD7A9F"/>
    <w:rsid w:val="00DE0C28"/>
    <w:rsid w:val="00DE0EC1"/>
    <w:rsid w:val="00DE2EB4"/>
    <w:rsid w:val="00DE3DA9"/>
    <w:rsid w:val="00DE3EB5"/>
    <w:rsid w:val="00DE566F"/>
    <w:rsid w:val="00DF0973"/>
    <w:rsid w:val="00DF78FE"/>
    <w:rsid w:val="00E0052A"/>
    <w:rsid w:val="00E00972"/>
    <w:rsid w:val="00E00D36"/>
    <w:rsid w:val="00E048C1"/>
    <w:rsid w:val="00E05147"/>
    <w:rsid w:val="00E062DC"/>
    <w:rsid w:val="00E06A2F"/>
    <w:rsid w:val="00E07326"/>
    <w:rsid w:val="00E07AFD"/>
    <w:rsid w:val="00E07E37"/>
    <w:rsid w:val="00E1065E"/>
    <w:rsid w:val="00E11E92"/>
    <w:rsid w:val="00E128A4"/>
    <w:rsid w:val="00E17771"/>
    <w:rsid w:val="00E20C2F"/>
    <w:rsid w:val="00E23F58"/>
    <w:rsid w:val="00E257AD"/>
    <w:rsid w:val="00E258D3"/>
    <w:rsid w:val="00E2630B"/>
    <w:rsid w:val="00E30B2F"/>
    <w:rsid w:val="00E3121B"/>
    <w:rsid w:val="00E3420D"/>
    <w:rsid w:val="00E35343"/>
    <w:rsid w:val="00E3701A"/>
    <w:rsid w:val="00E37EEB"/>
    <w:rsid w:val="00E42786"/>
    <w:rsid w:val="00E43CD7"/>
    <w:rsid w:val="00E44730"/>
    <w:rsid w:val="00E44B8E"/>
    <w:rsid w:val="00E51A45"/>
    <w:rsid w:val="00E51AEB"/>
    <w:rsid w:val="00E52ED6"/>
    <w:rsid w:val="00E54244"/>
    <w:rsid w:val="00E5657E"/>
    <w:rsid w:val="00E56E99"/>
    <w:rsid w:val="00E5740D"/>
    <w:rsid w:val="00E57504"/>
    <w:rsid w:val="00E601B9"/>
    <w:rsid w:val="00E60A24"/>
    <w:rsid w:val="00E636ED"/>
    <w:rsid w:val="00E66202"/>
    <w:rsid w:val="00E70850"/>
    <w:rsid w:val="00E72B22"/>
    <w:rsid w:val="00E73CDD"/>
    <w:rsid w:val="00E73DEA"/>
    <w:rsid w:val="00E75104"/>
    <w:rsid w:val="00E76421"/>
    <w:rsid w:val="00E77364"/>
    <w:rsid w:val="00E77B90"/>
    <w:rsid w:val="00E82578"/>
    <w:rsid w:val="00E82FAE"/>
    <w:rsid w:val="00E83E29"/>
    <w:rsid w:val="00E8400D"/>
    <w:rsid w:val="00E84219"/>
    <w:rsid w:val="00E84E2B"/>
    <w:rsid w:val="00E862E7"/>
    <w:rsid w:val="00E87EF7"/>
    <w:rsid w:val="00E924AC"/>
    <w:rsid w:val="00E9490B"/>
    <w:rsid w:val="00E94A49"/>
    <w:rsid w:val="00E94D48"/>
    <w:rsid w:val="00E95FDC"/>
    <w:rsid w:val="00E96E82"/>
    <w:rsid w:val="00E97EAE"/>
    <w:rsid w:val="00EA2B7B"/>
    <w:rsid w:val="00EA3B9F"/>
    <w:rsid w:val="00EA6294"/>
    <w:rsid w:val="00EB0212"/>
    <w:rsid w:val="00EB22F4"/>
    <w:rsid w:val="00EB3755"/>
    <w:rsid w:val="00EB3A1B"/>
    <w:rsid w:val="00EB5BC8"/>
    <w:rsid w:val="00EB6269"/>
    <w:rsid w:val="00EC1C76"/>
    <w:rsid w:val="00EC25A2"/>
    <w:rsid w:val="00EC4170"/>
    <w:rsid w:val="00EC628D"/>
    <w:rsid w:val="00EC6DF6"/>
    <w:rsid w:val="00ED29DB"/>
    <w:rsid w:val="00ED3630"/>
    <w:rsid w:val="00ED5A75"/>
    <w:rsid w:val="00ED60CB"/>
    <w:rsid w:val="00ED62E6"/>
    <w:rsid w:val="00EE1255"/>
    <w:rsid w:val="00EE1F9B"/>
    <w:rsid w:val="00EE3D91"/>
    <w:rsid w:val="00EE549E"/>
    <w:rsid w:val="00EE62E5"/>
    <w:rsid w:val="00EE793B"/>
    <w:rsid w:val="00EE7B45"/>
    <w:rsid w:val="00EF157B"/>
    <w:rsid w:val="00EF2C1D"/>
    <w:rsid w:val="00EF4B64"/>
    <w:rsid w:val="00EF5E6A"/>
    <w:rsid w:val="00F02332"/>
    <w:rsid w:val="00F02A06"/>
    <w:rsid w:val="00F05153"/>
    <w:rsid w:val="00F0760A"/>
    <w:rsid w:val="00F079F3"/>
    <w:rsid w:val="00F07CEF"/>
    <w:rsid w:val="00F101C3"/>
    <w:rsid w:val="00F11C3F"/>
    <w:rsid w:val="00F12175"/>
    <w:rsid w:val="00F16F50"/>
    <w:rsid w:val="00F21C33"/>
    <w:rsid w:val="00F2411C"/>
    <w:rsid w:val="00F24407"/>
    <w:rsid w:val="00F24FB1"/>
    <w:rsid w:val="00F2558A"/>
    <w:rsid w:val="00F26E69"/>
    <w:rsid w:val="00F31CB2"/>
    <w:rsid w:val="00F3212A"/>
    <w:rsid w:val="00F33D17"/>
    <w:rsid w:val="00F34C97"/>
    <w:rsid w:val="00F35203"/>
    <w:rsid w:val="00F37EAE"/>
    <w:rsid w:val="00F40850"/>
    <w:rsid w:val="00F4176A"/>
    <w:rsid w:val="00F41A75"/>
    <w:rsid w:val="00F42629"/>
    <w:rsid w:val="00F4553F"/>
    <w:rsid w:val="00F45BA5"/>
    <w:rsid w:val="00F46402"/>
    <w:rsid w:val="00F46D17"/>
    <w:rsid w:val="00F47E76"/>
    <w:rsid w:val="00F50FCF"/>
    <w:rsid w:val="00F518BA"/>
    <w:rsid w:val="00F5235F"/>
    <w:rsid w:val="00F52B75"/>
    <w:rsid w:val="00F54173"/>
    <w:rsid w:val="00F54652"/>
    <w:rsid w:val="00F55330"/>
    <w:rsid w:val="00F5646A"/>
    <w:rsid w:val="00F566DE"/>
    <w:rsid w:val="00F61A5F"/>
    <w:rsid w:val="00F622B2"/>
    <w:rsid w:val="00F6322E"/>
    <w:rsid w:val="00F63709"/>
    <w:rsid w:val="00F64D2F"/>
    <w:rsid w:val="00F66B1F"/>
    <w:rsid w:val="00F67F16"/>
    <w:rsid w:val="00F7078B"/>
    <w:rsid w:val="00F7163D"/>
    <w:rsid w:val="00F7575E"/>
    <w:rsid w:val="00F76997"/>
    <w:rsid w:val="00F7764B"/>
    <w:rsid w:val="00F80949"/>
    <w:rsid w:val="00F830D5"/>
    <w:rsid w:val="00F864EE"/>
    <w:rsid w:val="00F86F41"/>
    <w:rsid w:val="00F86F81"/>
    <w:rsid w:val="00F8703C"/>
    <w:rsid w:val="00F90B8E"/>
    <w:rsid w:val="00F95B07"/>
    <w:rsid w:val="00F970E4"/>
    <w:rsid w:val="00FA06A3"/>
    <w:rsid w:val="00FA0FE7"/>
    <w:rsid w:val="00FA33F0"/>
    <w:rsid w:val="00FA48AD"/>
    <w:rsid w:val="00FA5A15"/>
    <w:rsid w:val="00FA5F95"/>
    <w:rsid w:val="00FB01C4"/>
    <w:rsid w:val="00FB66A5"/>
    <w:rsid w:val="00FB7843"/>
    <w:rsid w:val="00FC078B"/>
    <w:rsid w:val="00FC0F2D"/>
    <w:rsid w:val="00FC2B17"/>
    <w:rsid w:val="00FC4025"/>
    <w:rsid w:val="00FC77DB"/>
    <w:rsid w:val="00FD0B93"/>
    <w:rsid w:val="00FD20C3"/>
    <w:rsid w:val="00FD2AE3"/>
    <w:rsid w:val="00FD43B5"/>
    <w:rsid w:val="00FD66B7"/>
    <w:rsid w:val="00FE1E04"/>
    <w:rsid w:val="00FE4BCC"/>
    <w:rsid w:val="00FE573C"/>
    <w:rsid w:val="00FE67EC"/>
    <w:rsid w:val="00FF34B1"/>
    <w:rsid w:val="00FF4E90"/>
    <w:rsid w:val="00FF5A5F"/>
    <w:rsid w:val="00FF7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uiPriority="0"/>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001"/>
    <w:rPr>
      <w:sz w:val="24"/>
      <w:szCs w:val="24"/>
    </w:rPr>
  </w:style>
  <w:style w:type="paragraph" w:styleId="Heading1">
    <w:name w:val="heading 1"/>
    <w:basedOn w:val="Normal"/>
    <w:next w:val="Normal"/>
    <w:link w:val="Heading1Char"/>
    <w:uiPriority w:val="99"/>
    <w:qFormat/>
    <w:rsid w:val="00491DA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91DA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91DAC"/>
    <w:pPr>
      <w:keepNext/>
      <w:spacing w:before="240" w:after="60"/>
      <w:outlineLvl w:val="2"/>
    </w:pPr>
    <w:rPr>
      <w:rFonts w:ascii="Cambria" w:hAnsi="Cambria"/>
      <w:b/>
      <w:bCs/>
      <w:sz w:val="26"/>
      <w:szCs w:val="26"/>
      <w:lang w:val="x-none" w:eastAsia="x-none"/>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91DAC"/>
    <w:rPr>
      <w:rFonts w:ascii="Arial" w:hAnsi="Arial" w:cs="Arial"/>
      <w:b/>
      <w:bCs/>
      <w:kern w:val="32"/>
      <w:sz w:val="32"/>
      <w:szCs w:val="32"/>
      <w:lang w:val="en-US" w:eastAsia="en-US" w:bidi="ar-SA"/>
    </w:rPr>
  </w:style>
  <w:style w:type="character" w:customStyle="1" w:styleId="Heading2Char">
    <w:name w:val="Heading 2 Char"/>
    <w:link w:val="Heading2"/>
    <w:uiPriority w:val="99"/>
    <w:locked/>
    <w:rsid w:val="00491DAC"/>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A35B7C"/>
    <w:rPr>
      <w:rFonts w:ascii="Cambria" w:hAnsi="Cambria" w:cs="Times New Roman"/>
      <w:b/>
      <w:bCs/>
      <w:sz w:val="26"/>
      <w:szCs w:val="26"/>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lang w:val="x-none" w:eastAsia="x-none"/>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491DAC"/>
    <w:pPr>
      <w:tabs>
        <w:tab w:val="center" w:pos="4320"/>
        <w:tab w:val="right" w:pos="8640"/>
      </w:tabs>
    </w:pPr>
    <w:rPr>
      <w:lang w:val="x-none" w:eastAsia="x-none"/>
    </w:rPr>
  </w:style>
  <w:style w:type="character" w:customStyle="1" w:styleId="FooterChar">
    <w:name w:val="Footer Char"/>
    <w:link w:val="Footer"/>
    <w:uiPriority w:val="99"/>
    <w:locked/>
    <w:rsid w:val="00491DAC"/>
    <w:rPr>
      <w:rFonts w:cs="Times New Roman"/>
      <w:sz w:val="24"/>
      <w:szCs w:val="24"/>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9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91DAC"/>
    <w:pPr>
      <w:tabs>
        <w:tab w:val="center" w:pos="4320"/>
        <w:tab w:val="right" w:pos="8640"/>
      </w:tabs>
    </w:pPr>
    <w:rPr>
      <w:sz w:val="20"/>
      <w:szCs w:val="20"/>
      <w:lang w:val="x-none" w:eastAsia="x-none"/>
    </w:rPr>
  </w:style>
  <w:style w:type="character" w:customStyle="1" w:styleId="HeaderChar">
    <w:name w:val="Header Char"/>
    <w:link w:val="Header"/>
    <w:uiPriority w:val="99"/>
    <w:locked/>
    <w:rsid w:val="00491DAC"/>
    <w:rPr>
      <w:rFonts w:cs="Times New Roman"/>
    </w:rPr>
  </w:style>
  <w:style w:type="paragraph" w:styleId="BodyTextIndent2">
    <w:name w:val="Body Text Indent 2"/>
    <w:basedOn w:val="Normal"/>
    <w:link w:val="BodyTextIndent2Char"/>
    <w:uiPriority w:val="99"/>
    <w:rsid w:val="00491DAC"/>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semiHidden/>
    <w:rsid w:val="00491DAC"/>
    <w:rPr>
      <w:rFonts w:cs="Times New Roman"/>
      <w:sz w:val="16"/>
      <w:szCs w:val="16"/>
    </w:rPr>
  </w:style>
  <w:style w:type="paragraph" w:styleId="CommentText">
    <w:name w:val="annotation text"/>
    <w:basedOn w:val="Normal"/>
    <w:link w:val="CommentTextChar"/>
    <w:semiHidden/>
    <w:rsid w:val="00491DAC"/>
    <w:rPr>
      <w:sz w:val="20"/>
      <w:szCs w:val="20"/>
      <w:lang w:val="x-none" w:eastAsia="x-none"/>
    </w:rPr>
  </w:style>
  <w:style w:type="character" w:customStyle="1" w:styleId="CommentTextChar">
    <w:name w:val="Comment Text Char"/>
    <w:link w:val="CommentText"/>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rFonts w:ascii="Times New Roman" w:hAnsi="Times New Roman"/>
      <w:bCs w:val="0"/>
      <w:i w:val="0"/>
      <w:sz w:val="24"/>
    </w:rPr>
  </w:style>
  <w:style w:type="paragraph" w:customStyle="1" w:styleId="Style3">
    <w:name w:val="Style3"/>
    <w:basedOn w:val="Heading3"/>
    <w:uiPriority w:val="99"/>
    <w:rsid w:val="00491DAC"/>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39"/>
    <w:rsid w:val="00491DAC"/>
  </w:style>
  <w:style w:type="paragraph" w:styleId="TOC2">
    <w:name w:val="toc 2"/>
    <w:basedOn w:val="Normal"/>
    <w:next w:val="Normal"/>
    <w:autoRedefine/>
    <w:uiPriority w:val="39"/>
    <w:rsid w:val="00F4176A"/>
    <w:pPr>
      <w:tabs>
        <w:tab w:val="left" w:pos="720"/>
        <w:tab w:val="right" w:leader="dot" w:pos="9350"/>
      </w:tabs>
      <w:ind w:left="720" w:hanging="475"/>
    </w:pPr>
  </w:style>
  <w:style w:type="paragraph" w:styleId="TOC3">
    <w:name w:val="toc 3"/>
    <w:basedOn w:val="Normal"/>
    <w:next w:val="Normal"/>
    <w:autoRedefine/>
    <w:uiPriority w:val="39"/>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rPr>
      <w:lang w:val="x-none" w:eastAsia="x-none"/>
    </w:r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rPr>
      <w:lang w:val="x-none" w:eastAsia="x-none"/>
    </w:r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rPr>
      <w:lang w:val="x-none" w:eastAsia="x-none"/>
    </w:r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eastAsia="x-none"/>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lang w:val="x-none" w:eastAsia="x-none"/>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TableGrid1">
    <w:name w:val="Table Grid1"/>
    <w:basedOn w:val="TableNormal"/>
    <w:next w:val="TableGrid"/>
    <w:uiPriority w:val="59"/>
    <w:rsid w:val="00155E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iblioChar">
    <w:name w:val="biblio Char"/>
    <w:link w:val="biblio"/>
    <w:uiPriority w:val="99"/>
    <w:locked/>
    <w:rsid w:val="00683C2C"/>
    <w:rPr>
      <w:sz w:val="24"/>
    </w:rPr>
  </w:style>
  <w:style w:type="paragraph" w:customStyle="1" w:styleId="biblio">
    <w:name w:val="biblio"/>
    <w:basedOn w:val="Normal"/>
    <w:link w:val="biblioChar"/>
    <w:uiPriority w:val="99"/>
    <w:rsid w:val="00683C2C"/>
    <w:pPr>
      <w:keepLines/>
      <w:spacing w:after="240"/>
      <w:ind w:left="720" w:hanging="720"/>
    </w:pPr>
    <w:rPr>
      <w:szCs w:val="20"/>
      <w:lang w:val="x-none" w:eastAsia="x-none"/>
    </w:rPr>
  </w:style>
  <w:style w:type="paragraph" w:customStyle="1" w:styleId="Bullet">
    <w:name w:val="Bullet"/>
    <w:basedOn w:val="ListParagraph"/>
    <w:uiPriority w:val="99"/>
    <w:qFormat/>
    <w:rsid w:val="00683C2C"/>
    <w:pPr>
      <w:autoSpaceDE w:val="0"/>
      <w:autoSpaceDN w:val="0"/>
      <w:adjustRightInd w:val="0"/>
      <w:spacing w:after="120" w:line="240" w:lineRule="auto"/>
      <w:ind w:left="0"/>
      <w:contextualSpacing w:val="0"/>
      <w:jc w:val="both"/>
    </w:pPr>
    <w:rPr>
      <w:rFonts w:ascii="Times New Roman" w:hAnsi="Times New Roman"/>
      <w:iCs/>
      <w:sz w:val="24"/>
      <w:szCs w:val="24"/>
    </w:rPr>
  </w:style>
  <w:style w:type="paragraph" w:styleId="EndnoteText">
    <w:name w:val="endnote text"/>
    <w:basedOn w:val="Normal"/>
    <w:link w:val="EndnoteTextChar"/>
    <w:uiPriority w:val="99"/>
    <w:semiHidden/>
    <w:unhideWhenUsed/>
    <w:locked/>
    <w:rsid w:val="0081537C"/>
    <w:rPr>
      <w:sz w:val="20"/>
      <w:szCs w:val="20"/>
    </w:rPr>
  </w:style>
  <w:style w:type="character" w:customStyle="1" w:styleId="EndnoteTextChar">
    <w:name w:val="Endnote Text Char"/>
    <w:basedOn w:val="DefaultParagraphFont"/>
    <w:link w:val="EndnoteText"/>
    <w:uiPriority w:val="99"/>
    <w:semiHidden/>
    <w:rsid w:val="0081537C"/>
  </w:style>
  <w:style w:type="character" w:styleId="EndnoteReference">
    <w:name w:val="endnote reference"/>
    <w:uiPriority w:val="99"/>
    <w:semiHidden/>
    <w:unhideWhenUsed/>
    <w:locked/>
    <w:rsid w:val="0081537C"/>
    <w:rPr>
      <w:vertAlign w:val="superscript"/>
    </w:rPr>
  </w:style>
  <w:style w:type="paragraph" w:styleId="Revision">
    <w:name w:val="Revision"/>
    <w:hidden/>
    <w:uiPriority w:val="99"/>
    <w:semiHidden/>
    <w:rsid w:val="00C21B91"/>
    <w:rPr>
      <w:sz w:val="24"/>
      <w:szCs w:val="24"/>
    </w:rPr>
  </w:style>
  <w:style w:type="paragraph" w:styleId="NormalWeb">
    <w:name w:val="Normal (Web)"/>
    <w:basedOn w:val="Normal"/>
    <w:uiPriority w:val="99"/>
    <w:semiHidden/>
    <w:unhideWhenUsed/>
    <w:locked/>
    <w:rsid w:val="00335BC5"/>
  </w:style>
  <w:style w:type="character" w:styleId="Emphasis">
    <w:name w:val="Emphasis"/>
    <w:basedOn w:val="DefaultParagraphFont"/>
    <w:qFormat/>
    <w:rsid w:val="00657CE8"/>
    <w:rPr>
      <w:i/>
      <w:iCs/>
    </w:rPr>
  </w:style>
  <w:style w:type="paragraph" w:styleId="TOCHeading">
    <w:name w:val="TOC Heading"/>
    <w:basedOn w:val="Heading1"/>
    <w:next w:val="Normal"/>
    <w:uiPriority w:val="39"/>
    <w:unhideWhenUsed/>
    <w:qFormat/>
    <w:rsid w:val="00657CE8"/>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uiPriority="0"/>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001"/>
    <w:rPr>
      <w:sz w:val="24"/>
      <w:szCs w:val="24"/>
    </w:rPr>
  </w:style>
  <w:style w:type="paragraph" w:styleId="Heading1">
    <w:name w:val="heading 1"/>
    <w:basedOn w:val="Normal"/>
    <w:next w:val="Normal"/>
    <w:link w:val="Heading1Char"/>
    <w:uiPriority w:val="99"/>
    <w:qFormat/>
    <w:rsid w:val="00491DA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91DA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91DAC"/>
    <w:pPr>
      <w:keepNext/>
      <w:spacing w:before="240" w:after="60"/>
      <w:outlineLvl w:val="2"/>
    </w:pPr>
    <w:rPr>
      <w:rFonts w:ascii="Cambria" w:hAnsi="Cambria"/>
      <w:b/>
      <w:bCs/>
      <w:sz w:val="26"/>
      <w:szCs w:val="26"/>
      <w:lang w:val="x-none" w:eastAsia="x-none"/>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91DAC"/>
    <w:rPr>
      <w:rFonts w:ascii="Arial" w:hAnsi="Arial" w:cs="Arial"/>
      <w:b/>
      <w:bCs/>
      <w:kern w:val="32"/>
      <w:sz w:val="32"/>
      <w:szCs w:val="32"/>
      <w:lang w:val="en-US" w:eastAsia="en-US" w:bidi="ar-SA"/>
    </w:rPr>
  </w:style>
  <w:style w:type="character" w:customStyle="1" w:styleId="Heading2Char">
    <w:name w:val="Heading 2 Char"/>
    <w:link w:val="Heading2"/>
    <w:uiPriority w:val="99"/>
    <w:locked/>
    <w:rsid w:val="00491DAC"/>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A35B7C"/>
    <w:rPr>
      <w:rFonts w:ascii="Cambria" w:hAnsi="Cambria" w:cs="Times New Roman"/>
      <w:b/>
      <w:bCs/>
      <w:sz w:val="26"/>
      <w:szCs w:val="26"/>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lang w:val="x-none" w:eastAsia="x-none"/>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491DAC"/>
    <w:pPr>
      <w:tabs>
        <w:tab w:val="center" w:pos="4320"/>
        <w:tab w:val="right" w:pos="8640"/>
      </w:tabs>
    </w:pPr>
    <w:rPr>
      <w:lang w:val="x-none" w:eastAsia="x-none"/>
    </w:rPr>
  </w:style>
  <w:style w:type="character" w:customStyle="1" w:styleId="FooterChar">
    <w:name w:val="Footer Char"/>
    <w:link w:val="Footer"/>
    <w:uiPriority w:val="99"/>
    <w:locked/>
    <w:rsid w:val="00491DAC"/>
    <w:rPr>
      <w:rFonts w:cs="Times New Roman"/>
      <w:sz w:val="24"/>
      <w:szCs w:val="24"/>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9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91DAC"/>
    <w:pPr>
      <w:tabs>
        <w:tab w:val="center" w:pos="4320"/>
        <w:tab w:val="right" w:pos="8640"/>
      </w:tabs>
    </w:pPr>
    <w:rPr>
      <w:sz w:val="20"/>
      <w:szCs w:val="20"/>
      <w:lang w:val="x-none" w:eastAsia="x-none"/>
    </w:rPr>
  </w:style>
  <w:style w:type="character" w:customStyle="1" w:styleId="HeaderChar">
    <w:name w:val="Header Char"/>
    <w:link w:val="Header"/>
    <w:uiPriority w:val="99"/>
    <w:locked/>
    <w:rsid w:val="00491DAC"/>
    <w:rPr>
      <w:rFonts w:cs="Times New Roman"/>
    </w:rPr>
  </w:style>
  <w:style w:type="paragraph" w:styleId="BodyTextIndent2">
    <w:name w:val="Body Text Indent 2"/>
    <w:basedOn w:val="Normal"/>
    <w:link w:val="BodyTextIndent2Char"/>
    <w:uiPriority w:val="99"/>
    <w:rsid w:val="00491DAC"/>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semiHidden/>
    <w:rsid w:val="00491DAC"/>
    <w:rPr>
      <w:rFonts w:cs="Times New Roman"/>
      <w:sz w:val="16"/>
      <w:szCs w:val="16"/>
    </w:rPr>
  </w:style>
  <w:style w:type="paragraph" w:styleId="CommentText">
    <w:name w:val="annotation text"/>
    <w:basedOn w:val="Normal"/>
    <w:link w:val="CommentTextChar"/>
    <w:semiHidden/>
    <w:rsid w:val="00491DAC"/>
    <w:rPr>
      <w:sz w:val="20"/>
      <w:szCs w:val="20"/>
      <w:lang w:val="x-none" w:eastAsia="x-none"/>
    </w:rPr>
  </w:style>
  <w:style w:type="character" w:customStyle="1" w:styleId="CommentTextChar">
    <w:name w:val="Comment Text Char"/>
    <w:link w:val="CommentText"/>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rFonts w:ascii="Times New Roman" w:hAnsi="Times New Roman"/>
      <w:bCs w:val="0"/>
      <w:i w:val="0"/>
      <w:sz w:val="24"/>
    </w:rPr>
  </w:style>
  <w:style w:type="paragraph" w:customStyle="1" w:styleId="Style3">
    <w:name w:val="Style3"/>
    <w:basedOn w:val="Heading3"/>
    <w:uiPriority w:val="99"/>
    <w:rsid w:val="00491DAC"/>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39"/>
    <w:rsid w:val="00491DAC"/>
  </w:style>
  <w:style w:type="paragraph" w:styleId="TOC2">
    <w:name w:val="toc 2"/>
    <w:basedOn w:val="Normal"/>
    <w:next w:val="Normal"/>
    <w:autoRedefine/>
    <w:uiPriority w:val="39"/>
    <w:rsid w:val="00F4176A"/>
    <w:pPr>
      <w:tabs>
        <w:tab w:val="left" w:pos="720"/>
        <w:tab w:val="right" w:leader="dot" w:pos="9350"/>
      </w:tabs>
      <w:ind w:left="720" w:hanging="475"/>
    </w:pPr>
  </w:style>
  <w:style w:type="paragraph" w:styleId="TOC3">
    <w:name w:val="toc 3"/>
    <w:basedOn w:val="Normal"/>
    <w:next w:val="Normal"/>
    <w:autoRedefine/>
    <w:uiPriority w:val="39"/>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rPr>
      <w:lang w:val="x-none" w:eastAsia="x-none"/>
    </w:r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rPr>
      <w:lang w:val="x-none" w:eastAsia="x-none"/>
    </w:r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rPr>
      <w:lang w:val="x-none" w:eastAsia="x-none"/>
    </w:r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eastAsia="x-none"/>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lang w:val="x-none" w:eastAsia="x-none"/>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TableGrid1">
    <w:name w:val="Table Grid1"/>
    <w:basedOn w:val="TableNormal"/>
    <w:next w:val="TableGrid"/>
    <w:uiPriority w:val="59"/>
    <w:rsid w:val="00155E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iblioChar">
    <w:name w:val="biblio Char"/>
    <w:link w:val="biblio"/>
    <w:uiPriority w:val="99"/>
    <w:locked/>
    <w:rsid w:val="00683C2C"/>
    <w:rPr>
      <w:sz w:val="24"/>
    </w:rPr>
  </w:style>
  <w:style w:type="paragraph" w:customStyle="1" w:styleId="biblio">
    <w:name w:val="biblio"/>
    <w:basedOn w:val="Normal"/>
    <w:link w:val="biblioChar"/>
    <w:uiPriority w:val="99"/>
    <w:rsid w:val="00683C2C"/>
    <w:pPr>
      <w:keepLines/>
      <w:spacing w:after="240"/>
      <w:ind w:left="720" w:hanging="720"/>
    </w:pPr>
    <w:rPr>
      <w:szCs w:val="20"/>
      <w:lang w:val="x-none" w:eastAsia="x-none"/>
    </w:rPr>
  </w:style>
  <w:style w:type="paragraph" w:customStyle="1" w:styleId="Bullet">
    <w:name w:val="Bullet"/>
    <w:basedOn w:val="ListParagraph"/>
    <w:uiPriority w:val="99"/>
    <w:qFormat/>
    <w:rsid w:val="00683C2C"/>
    <w:pPr>
      <w:autoSpaceDE w:val="0"/>
      <w:autoSpaceDN w:val="0"/>
      <w:adjustRightInd w:val="0"/>
      <w:spacing w:after="120" w:line="240" w:lineRule="auto"/>
      <w:ind w:left="0"/>
      <w:contextualSpacing w:val="0"/>
      <w:jc w:val="both"/>
    </w:pPr>
    <w:rPr>
      <w:rFonts w:ascii="Times New Roman" w:hAnsi="Times New Roman"/>
      <w:iCs/>
      <w:sz w:val="24"/>
      <w:szCs w:val="24"/>
    </w:rPr>
  </w:style>
  <w:style w:type="paragraph" w:styleId="EndnoteText">
    <w:name w:val="endnote text"/>
    <w:basedOn w:val="Normal"/>
    <w:link w:val="EndnoteTextChar"/>
    <w:uiPriority w:val="99"/>
    <w:semiHidden/>
    <w:unhideWhenUsed/>
    <w:locked/>
    <w:rsid w:val="0081537C"/>
    <w:rPr>
      <w:sz w:val="20"/>
      <w:szCs w:val="20"/>
    </w:rPr>
  </w:style>
  <w:style w:type="character" w:customStyle="1" w:styleId="EndnoteTextChar">
    <w:name w:val="Endnote Text Char"/>
    <w:basedOn w:val="DefaultParagraphFont"/>
    <w:link w:val="EndnoteText"/>
    <w:uiPriority w:val="99"/>
    <w:semiHidden/>
    <w:rsid w:val="0081537C"/>
  </w:style>
  <w:style w:type="character" w:styleId="EndnoteReference">
    <w:name w:val="endnote reference"/>
    <w:uiPriority w:val="99"/>
    <w:semiHidden/>
    <w:unhideWhenUsed/>
    <w:locked/>
    <w:rsid w:val="0081537C"/>
    <w:rPr>
      <w:vertAlign w:val="superscript"/>
    </w:rPr>
  </w:style>
  <w:style w:type="paragraph" w:styleId="Revision">
    <w:name w:val="Revision"/>
    <w:hidden/>
    <w:uiPriority w:val="99"/>
    <w:semiHidden/>
    <w:rsid w:val="00C21B91"/>
    <w:rPr>
      <w:sz w:val="24"/>
      <w:szCs w:val="24"/>
    </w:rPr>
  </w:style>
  <w:style w:type="paragraph" w:styleId="NormalWeb">
    <w:name w:val="Normal (Web)"/>
    <w:basedOn w:val="Normal"/>
    <w:uiPriority w:val="99"/>
    <w:semiHidden/>
    <w:unhideWhenUsed/>
    <w:locked/>
    <w:rsid w:val="00335BC5"/>
  </w:style>
  <w:style w:type="character" w:styleId="Emphasis">
    <w:name w:val="Emphasis"/>
    <w:basedOn w:val="DefaultParagraphFont"/>
    <w:qFormat/>
    <w:rsid w:val="00657CE8"/>
    <w:rPr>
      <w:i/>
      <w:iCs/>
    </w:rPr>
  </w:style>
  <w:style w:type="paragraph" w:styleId="TOCHeading">
    <w:name w:val="TOC Heading"/>
    <w:basedOn w:val="Heading1"/>
    <w:next w:val="Normal"/>
    <w:uiPriority w:val="39"/>
    <w:unhideWhenUsed/>
    <w:qFormat/>
    <w:rsid w:val="00657CE8"/>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4094">
      <w:bodyDiv w:val="1"/>
      <w:marLeft w:val="0"/>
      <w:marRight w:val="0"/>
      <w:marTop w:val="0"/>
      <w:marBottom w:val="0"/>
      <w:divBdr>
        <w:top w:val="none" w:sz="0" w:space="0" w:color="auto"/>
        <w:left w:val="none" w:sz="0" w:space="0" w:color="auto"/>
        <w:bottom w:val="none" w:sz="0" w:space="0" w:color="auto"/>
        <w:right w:val="none" w:sz="0" w:space="0" w:color="auto"/>
      </w:divBdr>
    </w:div>
    <w:div w:id="367291764">
      <w:bodyDiv w:val="1"/>
      <w:marLeft w:val="0"/>
      <w:marRight w:val="0"/>
      <w:marTop w:val="0"/>
      <w:marBottom w:val="0"/>
      <w:divBdr>
        <w:top w:val="none" w:sz="0" w:space="0" w:color="auto"/>
        <w:left w:val="none" w:sz="0" w:space="0" w:color="auto"/>
        <w:bottom w:val="none" w:sz="0" w:space="0" w:color="auto"/>
        <w:right w:val="none" w:sz="0" w:space="0" w:color="auto"/>
      </w:divBdr>
    </w:div>
    <w:div w:id="525020870">
      <w:bodyDiv w:val="1"/>
      <w:marLeft w:val="0"/>
      <w:marRight w:val="0"/>
      <w:marTop w:val="0"/>
      <w:marBottom w:val="0"/>
      <w:divBdr>
        <w:top w:val="none" w:sz="0" w:space="0" w:color="auto"/>
        <w:left w:val="none" w:sz="0" w:space="0" w:color="auto"/>
        <w:bottom w:val="none" w:sz="0" w:space="0" w:color="auto"/>
        <w:right w:val="none" w:sz="0" w:space="0" w:color="auto"/>
      </w:divBdr>
    </w:div>
    <w:div w:id="642122415">
      <w:bodyDiv w:val="1"/>
      <w:marLeft w:val="0"/>
      <w:marRight w:val="0"/>
      <w:marTop w:val="0"/>
      <w:marBottom w:val="0"/>
      <w:divBdr>
        <w:top w:val="none" w:sz="0" w:space="0" w:color="auto"/>
        <w:left w:val="none" w:sz="0" w:space="0" w:color="auto"/>
        <w:bottom w:val="none" w:sz="0" w:space="0" w:color="auto"/>
        <w:right w:val="none" w:sz="0" w:space="0" w:color="auto"/>
      </w:divBdr>
    </w:div>
    <w:div w:id="920139588">
      <w:bodyDiv w:val="1"/>
      <w:marLeft w:val="0"/>
      <w:marRight w:val="0"/>
      <w:marTop w:val="0"/>
      <w:marBottom w:val="0"/>
      <w:divBdr>
        <w:top w:val="none" w:sz="0" w:space="0" w:color="auto"/>
        <w:left w:val="none" w:sz="0" w:space="0" w:color="auto"/>
        <w:bottom w:val="none" w:sz="0" w:space="0" w:color="auto"/>
        <w:right w:val="none" w:sz="0" w:space="0" w:color="auto"/>
      </w:divBdr>
    </w:div>
    <w:div w:id="1105074455">
      <w:bodyDiv w:val="1"/>
      <w:marLeft w:val="0"/>
      <w:marRight w:val="0"/>
      <w:marTop w:val="0"/>
      <w:marBottom w:val="0"/>
      <w:divBdr>
        <w:top w:val="none" w:sz="0" w:space="0" w:color="auto"/>
        <w:left w:val="none" w:sz="0" w:space="0" w:color="auto"/>
        <w:bottom w:val="none" w:sz="0" w:space="0" w:color="auto"/>
        <w:right w:val="none" w:sz="0" w:space="0" w:color="auto"/>
      </w:divBdr>
    </w:div>
    <w:div w:id="1152066187">
      <w:bodyDiv w:val="1"/>
      <w:marLeft w:val="0"/>
      <w:marRight w:val="0"/>
      <w:marTop w:val="0"/>
      <w:marBottom w:val="0"/>
      <w:divBdr>
        <w:top w:val="none" w:sz="0" w:space="0" w:color="auto"/>
        <w:left w:val="none" w:sz="0" w:space="0" w:color="auto"/>
        <w:bottom w:val="none" w:sz="0" w:space="0" w:color="auto"/>
        <w:right w:val="none" w:sz="0" w:space="0" w:color="auto"/>
      </w:divBdr>
    </w:div>
    <w:div w:id="1454716602">
      <w:bodyDiv w:val="1"/>
      <w:marLeft w:val="0"/>
      <w:marRight w:val="0"/>
      <w:marTop w:val="0"/>
      <w:marBottom w:val="0"/>
      <w:divBdr>
        <w:top w:val="none" w:sz="0" w:space="0" w:color="auto"/>
        <w:left w:val="none" w:sz="0" w:space="0" w:color="auto"/>
        <w:bottom w:val="none" w:sz="0" w:space="0" w:color="auto"/>
        <w:right w:val="none" w:sz="0" w:space="0" w:color="auto"/>
      </w:divBdr>
      <w:divsChild>
        <w:div w:id="309142606">
          <w:marLeft w:val="0"/>
          <w:marRight w:val="0"/>
          <w:marTop w:val="100"/>
          <w:marBottom w:val="100"/>
          <w:divBdr>
            <w:top w:val="none" w:sz="0" w:space="0" w:color="auto"/>
            <w:left w:val="single" w:sz="6" w:space="0" w:color="CCCCCC"/>
            <w:bottom w:val="none" w:sz="0" w:space="0" w:color="auto"/>
            <w:right w:val="single" w:sz="6" w:space="0" w:color="CCCCCC"/>
          </w:divBdr>
          <w:divsChild>
            <w:div w:id="1005522792">
              <w:marLeft w:val="0"/>
              <w:marRight w:val="0"/>
              <w:marTop w:val="0"/>
              <w:marBottom w:val="0"/>
              <w:divBdr>
                <w:top w:val="none" w:sz="0" w:space="0" w:color="auto"/>
                <w:left w:val="none" w:sz="0" w:space="0" w:color="auto"/>
                <w:bottom w:val="none" w:sz="0" w:space="0" w:color="auto"/>
                <w:right w:val="none" w:sz="0" w:space="0" w:color="auto"/>
              </w:divBdr>
              <w:divsChild>
                <w:div w:id="1158153968">
                  <w:marLeft w:val="0"/>
                  <w:marRight w:val="0"/>
                  <w:marTop w:val="0"/>
                  <w:marBottom w:val="0"/>
                  <w:divBdr>
                    <w:top w:val="none" w:sz="0" w:space="0" w:color="auto"/>
                    <w:left w:val="none" w:sz="0" w:space="0" w:color="auto"/>
                    <w:bottom w:val="none" w:sz="0" w:space="0" w:color="auto"/>
                    <w:right w:val="none" w:sz="0" w:space="0" w:color="auto"/>
                  </w:divBdr>
                  <w:divsChild>
                    <w:div w:id="1088236439">
                      <w:marLeft w:val="0"/>
                      <w:marRight w:val="0"/>
                      <w:marTop w:val="168"/>
                      <w:marBottom w:val="0"/>
                      <w:divBdr>
                        <w:top w:val="none" w:sz="0" w:space="0" w:color="auto"/>
                        <w:left w:val="none" w:sz="0" w:space="0" w:color="auto"/>
                        <w:bottom w:val="none" w:sz="0" w:space="0" w:color="auto"/>
                        <w:right w:val="none" w:sz="0" w:space="0" w:color="auto"/>
                      </w:divBdr>
                      <w:divsChild>
                        <w:div w:id="5459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083227">
      <w:marLeft w:val="0"/>
      <w:marRight w:val="0"/>
      <w:marTop w:val="0"/>
      <w:marBottom w:val="0"/>
      <w:divBdr>
        <w:top w:val="none" w:sz="0" w:space="0" w:color="auto"/>
        <w:left w:val="none" w:sz="0" w:space="0" w:color="auto"/>
        <w:bottom w:val="none" w:sz="0" w:space="0" w:color="auto"/>
        <w:right w:val="none" w:sz="0" w:space="0" w:color="auto"/>
      </w:divBdr>
    </w:div>
    <w:div w:id="1573083228">
      <w:marLeft w:val="0"/>
      <w:marRight w:val="0"/>
      <w:marTop w:val="0"/>
      <w:marBottom w:val="0"/>
      <w:divBdr>
        <w:top w:val="none" w:sz="0" w:space="0" w:color="auto"/>
        <w:left w:val="none" w:sz="0" w:space="0" w:color="auto"/>
        <w:bottom w:val="none" w:sz="0" w:space="0" w:color="auto"/>
        <w:right w:val="none" w:sz="0" w:space="0" w:color="auto"/>
      </w:divBdr>
    </w:div>
    <w:div w:id="1573083229">
      <w:marLeft w:val="0"/>
      <w:marRight w:val="0"/>
      <w:marTop w:val="0"/>
      <w:marBottom w:val="0"/>
      <w:divBdr>
        <w:top w:val="none" w:sz="0" w:space="0" w:color="auto"/>
        <w:left w:val="none" w:sz="0" w:space="0" w:color="auto"/>
        <w:bottom w:val="none" w:sz="0" w:space="0" w:color="auto"/>
        <w:right w:val="none" w:sz="0" w:space="0" w:color="auto"/>
      </w:divBdr>
    </w:div>
    <w:div w:id="1573083230">
      <w:marLeft w:val="0"/>
      <w:marRight w:val="0"/>
      <w:marTop w:val="0"/>
      <w:marBottom w:val="0"/>
      <w:divBdr>
        <w:top w:val="none" w:sz="0" w:space="0" w:color="auto"/>
        <w:left w:val="none" w:sz="0" w:space="0" w:color="auto"/>
        <w:bottom w:val="none" w:sz="0" w:space="0" w:color="auto"/>
        <w:right w:val="none" w:sz="0" w:space="0" w:color="auto"/>
      </w:divBdr>
    </w:div>
    <w:div w:id="1573083231">
      <w:marLeft w:val="0"/>
      <w:marRight w:val="0"/>
      <w:marTop w:val="0"/>
      <w:marBottom w:val="0"/>
      <w:divBdr>
        <w:top w:val="none" w:sz="0" w:space="0" w:color="auto"/>
        <w:left w:val="none" w:sz="0" w:space="0" w:color="auto"/>
        <w:bottom w:val="none" w:sz="0" w:space="0" w:color="auto"/>
        <w:right w:val="none" w:sz="0" w:space="0" w:color="auto"/>
      </w:divBdr>
    </w:div>
    <w:div w:id="1573083232">
      <w:marLeft w:val="0"/>
      <w:marRight w:val="0"/>
      <w:marTop w:val="0"/>
      <w:marBottom w:val="0"/>
      <w:divBdr>
        <w:top w:val="none" w:sz="0" w:space="0" w:color="auto"/>
        <w:left w:val="none" w:sz="0" w:space="0" w:color="auto"/>
        <w:bottom w:val="none" w:sz="0" w:space="0" w:color="auto"/>
        <w:right w:val="none" w:sz="0" w:space="0" w:color="auto"/>
      </w:divBdr>
    </w:div>
    <w:div w:id="1573083233">
      <w:marLeft w:val="0"/>
      <w:marRight w:val="0"/>
      <w:marTop w:val="0"/>
      <w:marBottom w:val="0"/>
      <w:divBdr>
        <w:top w:val="none" w:sz="0" w:space="0" w:color="auto"/>
        <w:left w:val="none" w:sz="0" w:space="0" w:color="auto"/>
        <w:bottom w:val="none" w:sz="0" w:space="0" w:color="auto"/>
        <w:right w:val="none" w:sz="0" w:space="0" w:color="auto"/>
      </w:divBdr>
    </w:div>
    <w:div w:id="1573083234">
      <w:marLeft w:val="0"/>
      <w:marRight w:val="0"/>
      <w:marTop w:val="0"/>
      <w:marBottom w:val="0"/>
      <w:divBdr>
        <w:top w:val="none" w:sz="0" w:space="0" w:color="auto"/>
        <w:left w:val="none" w:sz="0" w:space="0" w:color="auto"/>
        <w:bottom w:val="none" w:sz="0" w:space="0" w:color="auto"/>
        <w:right w:val="none" w:sz="0" w:space="0" w:color="auto"/>
      </w:divBdr>
    </w:div>
    <w:div w:id="1573083235">
      <w:marLeft w:val="0"/>
      <w:marRight w:val="0"/>
      <w:marTop w:val="0"/>
      <w:marBottom w:val="0"/>
      <w:divBdr>
        <w:top w:val="none" w:sz="0" w:space="0" w:color="auto"/>
        <w:left w:val="none" w:sz="0" w:space="0" w:color="auto"/>
        <w:bottom w:val="none" w:sz="0" w:space="0" w:color="auto"/>
        <w:right w:val="none" w:sz="0" w:space="0" w:color="auto"/>
      </w:divBdr>
    </w:div>
    <w:div w:id="1573083236">
      <w:marLeft w:val="0"/>
      <w:marRight w:val="0"/>
      <w:marTop w:val="0"/>
      <w:marBottom w:val="0"/>
      <w:divBdr>
        <w:top w:val="none" w:sz="0" w:space="0" w:color="auto"/>
        <w:left w:val="none" w:sz="0" w:space="0" w:color="auto"/>
        <w:bottom w:val="none" w:sz="0" w:space="0" w:color="auto"/>
        <w:right w:val="none" w:sz="0" w:space="0" w:color="auto"/>
      </w:divBdr>
    </w:div>
    <w:div w:id="1573083237">
      <w:marLeft w:val="0"/>
      <w:marRight w:val="0"/>
      <w:marTop w:val="0"/>
      <w:marBottom w:val="0"/>
      <w:divBdr>
        <w:top w:val="none" w:sz="0" w:space="0" w:color="auto"/>
        <w:left w:val="none" w:sz="0" w:space="0" w:color="auto"/>
        <w:bottom w:val="none" w:sz="0" w:space="0" w:color="auto"/>
        <w:right w:val="none" w:sz="0" w:space="0" w:color="auto"/>
      </w:divBdr>
    </w:div>
    <w:div w:id="1573083238">
      <w:marLeft w:val="0"/>
      <w:marRight w:val="0"/>
      <w:marTop w:val="0"/>
      <w:marBottom w:val="0"/>
      <w:divBdr>
        <w:top w:val="none" w:sz="0" w:space="0" w:color="auto"/>
        <w:left w:val="none" w:sz="0" w:space="0" w:color="auto"/>
        <w:bottom w:val="none" w:sz="0" w:space="0" w:color="auto"/>
        <w:right w:val="none" w:sz="0" w:space="0" w:color="auto"/>
      </w:divBdr>
    </w:div>
    <w:div w:id="1573083239">
      <w:marLeft w:val="0"/>
      <w:marRight w:val="0"/>
      <w:marTop w:val="0"/>
      <w:marBottom w:val="0"/>
      <w:divBdr>
        <w:top w:val="none" w:sz="0" w:space="0" w:color="auto"/>
        <w:left w:val="none" w:sz="0" w:space="0" w:color="auto"/>
        <w:bottom w:val="none" w:sz="0" w:space="0" w:color="auto"/>
        <w:right w:val="none" w:sz="0" w:space="0" w:color="auto"/>
      </w:divBdr>
    </w:div>
    <w:div w:id="1573083240">
      <w:marLeft w:val="0"/>
      <w:marRight w:val="0"/>
      <w:marTop w:val="0"/>
      <w:marBottom w:val="0"/>
      <w:divBdr>
        <w:top w:val="none" w:sz="0" w:space="0" w:color="auto"/>
        <w:left w:val="none" w:sz="0" w:space="0" w:color="auto"/>
        <w:bottom w:val="none" w:sz="0" w:space="0" w:color="auto"/>
        <w:right w:val="none" w:sz="0" w:space="0" w:color="auto"/>
      </w:divBdr>
    </w:div>
    <w:div w:id="1573083241">
      <w:marLeft w:val="0"/>
      <w:marRight w:val="0"/>
      <w:marTop w:val="0"/>
      <w:marBottom w:val="0"/>
      <w:divBdr>
        <w:top w:val="none" w:sz="0" w:space="0" w:color="auto"/>
        <w:left w:val="none" w:sz="0" w:space="0" w:color="auto"/>
        <w:bottom w:val="none" w:sz="0" w:space="0" w:color="auto"/>
        <w:right w:val="none" w:sz="0" w:space="0" w:color="auto"/>
      </w:divBdr>
    </w:div>
    <w:div w:id="1573083242">
      <w:marLeft w:val="0"/>
      <w:marRight w:val="0"/>
      <w:marTop w:val="0"/>
      <w:marBottom w:val="0"/>
      <w:divBdr>
        <w:top w:val="none" w:sz="0" w:space="0" w:color="auto"/>
        <w:left w:val="none" w:sz="0" w:space="0" w:color="auto"/>
        <w:bottom w:val="none" w:sz="0" w:space="0" w:color="auto"/>
        <w:right w:val="none" w:sz="0" w:space="0" w:color="auto"/>
      </w:divBdr>
    </w:div>
    <w:div w:id="1573083243">
      <w:marLeft w:val="0"/>
      <w:marRight w:val="0"/>
      <w:marTop w:val="0"/>
      <w:marBottom w:val="0"/>
      <w:divBdr>
        <w:top w:val="none" w:sz="0" w:space="0" w:color="auto"/>
        <w:left w:val="none" w:sz="0" w:space="0" w:color="auto"/>
        <w:bottom w:val="none" w:sz="0" w:space="0" w:color="auto"/>
        <w:right w:val="none" w:sz="0" w:space="0" w:color="auto"/>
      </w:divBdr>
    </w:div>
    <w:div w:id="1573083244">
      <w:marLeft w:val="0"/>
      <w:marRight w:val="0"/>
      <w:marTop w:val="0"/>
      <w:marBottom w:val="0"/>
      <w:divBdr>
        <w:top w:val="none" w:sz="0" w:space="0" w:color="auto"/>
        <w:left w:val="none" w:sz="0" w:space="0" w:color="auto"/>
        <w:bottom w:val="none" w:sz="0" w:space="0" w:color="auto"/>
        <w:right w:val="none" w:sz="0" w:space="0" w:color="auto"/>
      </w:divBdr>
    </w:div>
    <w:div w:id="1573083245">
      <w:marLeft w:val="0"/>
      <w:marRight w:val="0"/>
      <w:marTop w:val="0"/>
      <w:marBottom w:val="0"/>
      <w:divBdr>
        <w:top w:val="none" w:sz="0" w:space="0" w:color="auto"/>
        <w:left w:val="none" w:sz="0" w:space="0" w:color="auto"/>
        <w:bottom w:val="none" w:sz="0" w:space="0" w:color="auto"/>
        <w:right w:val="none" w:sz="0" w:space="0" w:color="auto"/>
      </w:divBdr>
    </w:div>
    <w:div w:id="1573083246">
      <w:marLeft w:val="0"/>
      <w:marRight w:val="0"/>
      <w:marTop w:val="0"/>
      <w:marBottom w:val="0"/>
      <w:divBdr>
        <w:top w:val="none" w:sz="0" w:space="0" w:color="auto"/>
        <w:left w:val="none" w:sz="0" w:space="0" w:color="auto"/>
        <w:bottom w:val="none" w:sz="0" w:space="0" w:color="auto"/>
        <w:right w:val="none" w:sz="0" w:space="0" w:color="auto"/>
      </w:divBdr>
    </w:div>
    <w:div w:id="1573083247">
      <w:marLeft w:val="0"/>
      <w:marRight w:val="0"/>
      <w:marTop w:val="0"/>
      <w:marBottom w:val="0"/>
      <w:divBdr>
        <w:top w:val="none" w:sz="0" w:space="0" w:color="auto"/>
        <w:left w:val="none" w:sz="0" w:space="0" w:color="auto"/>
        <w:bottom w:val="none" w:sz="0" w:space="0" w:color="auto"/>
        <w:right w:val="none" w:sz="0" w:space="0" w:color="auto"/>
      </w:divBdr>
    </w:div>
    <w:div w:id="2042627689">
      <w:bodyDiv w:val="1"/>
      <w:marLeft w:val="0"/>
      <w:marRight w:val="0"/>
      <w:marTop w:val="0"/>
      <w:marBottom w:val="0"/>
      <w:divBdr>
        <w:top w:val="none" w:sz="0" w:space="0" w:color="auto"/>
        <w:left w:val="none" w:sz="0" w:space="0" w:color="auto"/>
        <w:bottom w:val="none" w:sz="0" w:space="0" w:color="auto"/>
        <w:right w:val="none" w:sz="0" w:space="0" w:color="auto"/>
      </w:divBdr>
    </w:div>
    <w:div w:id="2136636694">
      <w:bodyDiv w:val="1"/>
      <w:marLeft w:val="0"/>
      <w:marRight w:val="0"/>
      <w:marTop w:val="0"/>
      <w:marBottom w:val="0"/>
      <w:divBdr>
        <w:top w:val="none" w:sz="0" w:space="0" w:color="auto"/>
        <w:left w:val="none" w:sz="0" w:space="0" w:color="auto"/>
        <w:bottom w:val="none" w:sz="0" w:space="0" w:color="auto"/>
        <w:right w:val="none" w:sz="0" w:space="0" w:color="auto"/>
      </w:divBdr>
      <w:divsChild>
        <w:div w:id="1867209074">
          <w:marLeft w:val="0"/>
          <w:marRight w:val="0"/>
          <w:marTop w:val="0"/>
          <w:marBottom w:val="0"/>
          <w:divBdr>
            <w:top w:val="none" w:sz="0" w:space="0" w:color="auto"/>
            <w:left w:val="none" w:sz="0" w:space="0" w:color="auto"/>
            <w:bottom w:val="none" w:sz="0" w:space="0" w:color="auto"/>
            <w:right w:val="none" w:sz="0" w:space="0" w:color="auto"/>
          </w:divBdr>
          <w:divsChild>
            <w:div w:id="1204244845">
              <w:marLeft w:val="0"/>
              <w:marRight w:val="0"/>
              <w:marTop w:val="0"/>
              <w:marBottom w:val="0"/>
              <w:divBdr>
                <w:top w:val="none" w:sz="0" w:space="0" w:color="auto"/>
                <w:left w:val="none" w:sz="0" w:space="0" w:color="auto"/>
                <w:bottom w:val="none" w:sz="0" w:space="0" w:color="auto"/>
                <w:right w:val="none" w:sz="0" w:space="0" w:color="auto"/>
              </w:divBdr>
              <w:divsChild>
                <w:div w:id="250284571">
                  <w:marLeft w:val="0"/>
                  <w:marRight w:val="0"/>
                  <w:marTop w:val="0"/>
                  <w:marBottom w:val="0"/>
                  <w:divBdr>
                    <w:top w:val="none" w:sz="0" w:space="0" w:color="auto"/>
                    <w:left w:val="none" w:sz="0" w:space="0" w:color="auto"/>
                    <w:bottom w:val="none" w:sz="0" w:space="0" w:color="auto"/>
                    <w:right w:val="none" w:sz="0" w:space="0" w:color="auto"/>
                  </w:divBdr>
                  <w:divsChild>
                    <w:div w:id="1068916469">
                      <w:marLeft w:val="0"/>
                      <w:marRight w:val="0"/>
                      <w:marTop w:val="0"/>
                      <w:marBottom w:val="0"/>
                      <w:divBdr>
                        <w:top w:val="none" w:sz="0" w:space="0" w:color="auto"/>
                        <w:left w:val="none" w:sz="0" w:space="0" w:color="auto"/>
                        <w:bottom w:val="none" w:sz="0" w:space="0" w:color="auto"/>
                        <w:right w:val="none" w:sz="0" w:space="0" w:color="auto"/>
                      </w:divBdr>
                      <w:divsChild>
                        <w:div w:id="1881866482">
                          <w:marLeft w:val="0"/>
                          <w:marRight w:val="0"/>
                          <w:marTop w:val="0"/>
                          <w:marBottom w:val="0"/>
                          <w:divBdr>
                            <w:top w:val="none" w:sz="0" w:space="0" w:color="auto"/>
                            <w:left w:val="none" w:sz="0" w:space="0" w:color="auto"/>
                            <w:bottom w:val="none" w:sz="0" w:space="0" w:color="auto"/>
                            <w:right w:val="none" w:sz="0" w:space="0" w:color="auto"/>
                          </w:divBdr>
                          <w:divsChild>
                            <w:div w:id="4752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therine@researchsupportservice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lisu@researchsupportservices.com" TargetMode="External"/><Relationship Id="rId17" Type="http://schemas.openxmlformats.org/officeDocument/2006/relationships/hyperlink" Target="http://www.bls.gov/oes/current/oes_nat.htm%20" TargetMode="External"/><Relationship Id="rId2" Type="http://schemas.openxmlformats.org/officeDocument/2006/relationships/numbering" Target="numbering.xml"/><Relationship Id="rId16" Type="http://schemas.openxmlformats.org/officeDocument/2006/relationships/hyperlink" Target="mailto:sberkowitz@impaqin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egall@impaqint.com"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Gelaude@cdc.gov" TargetMode="External"/><Relationship Id="rId14" Type="http://schemas.openxmlformats.org/officeDocument/2006/relationships/hyperlink" Target="mailto:pfrew@emo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D04405-34D4-4267-A3AB-A17CB304C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6349</Words>
  <Characters>36190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SUPPORTING STATEMENT FOR PAPERWORK REDUCTION ACT 1995</vt:lpstr>
    </vt:vector>
  </TitlesOfParts>
  <Company>The Urban Institute</Company>
  <LinksUpToDate>false</LinksUpToDate>
  <CharactersWithSpaces>42455</CharactersWithSpaces>
  <SharedDoc>false</SharedDoc>
  <HLinks>
    <vt:vector size="156" baseType="variant">
      <vt:variant>
        <vt:i4>1966131</vt:i4>
      </vt:variant>
      <vt:variant>
        <vt:i4>140</vt:i4>
      </vt:variant>
      <vt:variant>
        <vt:i4>0</vt:i4>
      </vt:variant>
      <vt:variant>
        <vt:i4>5</vt:i4>
      </vt:variant>
      <vt:variant>
        <vt:lpwstr/>
      </vt:variant>
      <vt:variant>
        <vt:lpwstr>_Toc375239658</vt:lpwstr>
      </vt:variant>
      <vt:variant>
        <vt:i4>1966131</vt:i4>
      </vt:variant>
      <vt:variant>
        <vt:i4>134</vt:i4>
      </vt:variant>
      <vt:variant>
        <vt:i4>0</vt:i4>
      </vt:variant>
      <vt:variant>
        <vt:i4>5</vt:i4>
      </vt:variant>
      <vt:variant>
        <vt:lpwstr/>
      </vt:variant>
      <vt:variant>
        <vt:lpwstr>_Toc375239657</vt:lpwstr>
      </vt:variant>
      <vt:variant>
        <vt:i4>1966131</vt:i4>
      </vt:variant>
      <vt:variant>
        <vt:i4>128</vt:i4>
      </vt:variant>
      <vt:variant>
        <vt:i4>0</vt:i4>
      </vt:variant>
      <vt:variant>
        <vt:i4>5</vt:i4>
      </vt:variant>
      <vt:variant>
        <vt:lpwstr/>
      </vt:variant>
      <vt:variant>
        <vt:lpwstr>_Toc375239656</vt:lpwstr>
      </vt:variant>
      <vt:variant>
        <vt:i4>1966131</vt:i4>
      </vt:variant>
      <vt:variant>
        <vt:i4>122</vt:i4>
      </vt:variant>
      <vt:variant>
        <vt:i4>0</vt:i4>
      </vt:variant>
      <vt:variant>
        <vt:i4>5</vt:i4>
      </vt:variant>
      <vt:variant>
        <vt:lpwstr/>
      </vt:variant>
      <vt:variant>
        <vt:lpwstr>_Toc375239655</vt:lpwstr>
      </vt:variant>
      <vt:variant>
        <vt:i4>1966131</vt:i4>
      </vt:variant>
      <vt:variant>
        <vt:i4>116</vt:i4>
      </vt:variant>
      <vt:variant>
        <vt:i4>0</vt:i4>
      </vt:variant>
      <vt:variant>
        <vt:i4>5</vt:i4>
      </vt:variant>
      <vt:variant>
        <vt:lpwstr/>
      </vt:variant>
      <vt:variant>
        <vt:lpwstr>_Toc375239654</vt:lpwstr>
      </vt:variant>
      <vt:variant>
        <vt:i4>1966131</vt:i4>
      </vt:variant>
      <vt:variant>
        <vt:i4>110</vt:i4>
      </vt:variant>
      <vt:variant>
        <vt:i4>0</vt:i4>
      </vt:variant>
      <vt:variant>
        <vt:i4>5</vt:i4>
      </vt:variant>
      <vt:variant>
        <vt:lpwstr/>
      </vt:variant>
      <vt:variant>
        <vt:lpwstr>_Toc375239653</vt:lpwstr>
      </vt:variant>
      <vt:variant>
        <vt:i4>1966131</vt:i4>
      </vt:variant>
      <vt:variant>
        <vt:i4>104</vt:i4>
      </vt:variant>
      <vt:variant>
        <vt:i4>0</vt:i4>
      </vt:variant>
      <vt:variant>
        <vt:i4>5</vt:i4>
      </vt:variant>
      <vt:variant>
        <vt:lpwstr/>
      </vt:variant>
      <vt:variant>
        <vt:lpwstr>_Toc375239652</vt:lpwstr>
      </vt:variant>
      <vt:variant>
        <vt:i4>1966131</vt:i4>
      </vt:variant>
      <vt:variant>
        <vt:i4>98</vt:i4>
      </vt:variant>
      <vt:variant>
        <vt:i4>0</vt:i4>
      </vt:variant>
      <vt:variant>
        <vt:i4>5</vt:i4>
      </vt:variant>
      <vt:variant>
        <vt:lpwstr/>
      </vt:variant>
      <vt:variant>
        <vt:lpwstr>_Toc375239651</vt:lpwstr>
      </vt:variant>
      <vt:variant>
        <vt:i4>1966131</vt:i4>
      </vt:variant>
      <vt:variant>
        <vt:i4>92</vt:i4>
      </vt:variant>
      <vt:variant>
        <vt:i4>0</vt:i4>
      </vt:variant>
      <vt:variant>
        <vt:i4>5</vt:i4>
      </vt:variant>
      <vt:variant>
        <vt:lpwstr/>
      </vt:variant>
      <vt:variant>
        <vt:lpwstr>_Toc375239650</vt:lpwstr>
      </vt:variant>
      <vt:variant>
        <vt:i4>2031667</vt:i4>
      </vt:variant>
      <vt:variant>
        <vt:i4>86</vt:i4>
      </vt:variant>
      <vt:variant>
        <vt:i4>0</vt:i4>
      </vt:variant>
      <vt:variant>
        <vt:i4>5</vt:i4>
      </vt:variant>
      <vt:variant>
        <vt:lpwstr/>
      </vt:variant>
      <vt:variant>
        <vt:lpwstr>_Toc375239649</vt:lpwstr>
      </vt:variant>
      <vt:variant>
        <vt:i4>2031667</vt:i4>
      </vt:variant>
      <vt:variant>
        <vt:i4>80</vt:i4>
      </vt:variant>
      <vt:variant>
        <vt:i4>0</vt:i4>
      </vt:variant>
      <vt:variant>
        <vt:i4>5</vt:i4>
      </vt:variant>
      <vt:variant>
        <vt:lpwstr/>
      </vt:variant>
      <vt:variant>
        <vt:lpwstr>_Toc375239648</vt:lpwstr>
      </vt:variant>
      <vt:variant>
        <vt:i4>2031667</vt:i4>
      </vt:variant>
      <vt:variant>
        <vt:i4>74</vt:i4>
      </vt:variant>
      <vt:variant>
        <vt:i4>0</vt:i4>
      </vt:variant>
      <vt:variant>
        <vt:i4>5</vt:i4>
      </vt:variant>
      <vt:variant>
        <vt:lpwstr/>
      </vt:variant>
      <vt:variant>
        <vt:lpwstr>_Toc375239647</vt:lpwstr>
      </vt:variant>
      <vt:variant>
        <vt:i4>2031667</vt:i4>
      </vt:variant>
      <vt:variant>
        <vt:i4>68</vt:i4>
      </vt:variant>
      <vt:variant>
        <vt:i4>0</vt:i4>
      </vt:variant>
      <vt:variant>
        <vt:i4>5</vt:i4>
      </vt:variant>
      <vt:variant>
        <vt:lpwstr/>
      </vt:variant>
      <vt:variant>
        <vt:lpwstr>_Toc375239646</vt:lpwstr>
      </vt:variant>
      <vt:variant>
        <vt:i4>2031667</vt:i4>
      </vt:variant>
      <vt:variant>
        <vt:i4>62</vt:i4>
      </vt:variant>
      <vt:variant>
        <vt:i4>0</vt:i4>
      </vt:variant>
      <vt:variant>
        <vt:i4>5</vt:i4>
      </vt:variant>
      <vt:variant>
        <vt:lpwstr/>
      </vt:variant>
      <vt:variant>
        <vt:lpwstr>_Toc375239645</vt:lpwstr>
      </vt:variant>
      <vt:variant>
        <vt:i4>2031667</vt:i4>
      </vt:variant>
      <vt:variant>
        <vt:i4>56</vt:i4>
      </vt:variant>
      <vt:variant>
        <vt:i4>0</vt:i4>
      </vt:variant>
      <vt:variant>
        <vt:i4>5</vt:i4>
      </vt:variant>
      <vt:variant>
        <vt:lpwstr/>
      </vt:variant>
      <vt:variant>
        <vt:lpwstr>_Toc375239644</vt:lpwstr>
      </vt:variant>
      <vt:variant>
        <vt:i4>2031667</vt:i4>
      </vt:variant>
      <vt:variant>
        <vt:i4>50</vt:i4>
      </vt:variant>
      <vt:variant>
        <vt:i4>0</vt:i4>
      </vt:variant>
      <vt:variant>
        <vt:i4>5</vt:i4>
      </vt:variant>
      <vt:variant>
        <vt:lpwstr/>
      </vt:variant>
      <vt:variant>
        <vt:lpwstr>_Toc375239643</vt:lpwstr>
      </vt:variant>
      <vt:variant>
        <vt:i4>2031667</vt:i4>
      </vt:variant>
      <vt:variant>
        <vt:i4>44</vt:i4>
      </vt:variant>
      <vt:variant>
        <vt:i4>0</vt:i4>
      </vt:variant>
      <vt:variant>
        <vt:i4>5</vt:i4>
      </vt:variant>
      <vt:variant>
        <vt:lpwstr/>
      </vt:variant>
      <vt:variant>
        <vt:lpwstr>_Toc375239642</vt:lpwstr>
      </vt:variant>
      <vt:variant>
        <vt:i4>2031667</vt:i4>
      </vt:variant>
      <vt:variant>
        <vt:i4>38</vt:i4>
      </vt:variant>
      <vt:variant>
        <vt:i4>0</vt:i4>
      </vt:variant>
      <vt:variant>
        <vt:i4>5</vt:i4>
      </vt:variant>
      <vt:variant>
        <vt:lpwstr/>
      </vt:variant>
      <vt:variant>
        <vt:lpwstr>_Toc375239641</vt:lpwstr>
      </vt:variant>
      <vt:variant>
        <vt:i4>2031667</vt:i4>
      </vt:variant>
      <vt:variant>
        <vt:i4>32</vt:i4>
      </vt:variant>
      <vt:variant>
        <vt:i4>0</vt:i4>
      </vt:variant>
      <vt:variant>
        <vt:i4>5</vt:i4>
      </vt:variant>
      <vt:variant>
        <vt:lpwstr/>
      </vt:variant>
      <vt:variant>
        <vt:lpwstr>_Toc375239640</vt:lpwstr>
      </vt:variant>
      <vt:variant>
        <vt:i4>1572915</vt:i4>
      </vt:variant>
      <vt:variant>
        <vt:i4>26</vt:i4>
      </vt:variant>
      <vt:variant>
        <vt:i4>0</vt:i4>
      </vt:variant>
      <vt:variant>
        <vt:i4>5</vt:i4>
      </vt:variant>
      <vt:variant>
        <vt:lpwstr/>
      </vt:variant>
      <vt:variant>
        <vt:lpwstr>_Toc375239639</vt:lpwstr>
      </vt:variant>
      <vt:variant>
        <vt:i4>1572915</vt:i4>
      </vt:variant>
      <vt:variant>
        <vt:i4>20</vt:i4>
      </vt:variant>
      <vt:variant>
        <vt:i4>0</vt:i4>
      </vt:variant>
      <vt:variant>
        <vt:i4>5</vt:i4>
      </vt:variant>
      <vt:variant>
        <vt:lpwstr/>
      </vt:variant>
      <vt:variant>
        <vt:lpwstr>_Toc375239638</vt:lpwstr>
      </vt:variant>
      <vt:variant>
        <vt:i4>1572915</vt:i4>
      </vt:variant>
      <vt:variant>
        <vt:i4>14</vt:i4>
      </vt:variant>
      <vt:variant>
        <vt:i4>0</vt:i4>
      </vt:variant>
      <vt:variant>
        <vt:i4>5</vt:i4>
      </vt:variant>
      <vt:variant>
        <vt:lpwstr/>
      </vt:variant>
      <vt:variant>
        <vt:lpwstr>_Toc375239637</vt:lpwstr>
      </vt:variant>
      <vt:variant>
        <vt:i4>1572915</vt:i4>
      </vt:variant>
      <vt:variant>
        <vt:i4>8</vt:i4>
      </vt:variant>
      <vt:variant>
        <vt:i4>0</vt:i4>
      </vt:variant>
      <vt:variant>
        <vt:i4>5</vt:i4>
      </vt:variant>
      <vt:variant>
        <vt:lpwstr/>
      </vt:variant>
      <vt:variant>
        <vt:lpwstr>_Toc375239636</vt:lpwstr>
      </vt:variant>
      <vt:variant>
        <vt:i4>6881349</vt:i4>
      </vt:variant>
      <vt:variant>
        <vt:i4>3</vt:i4>
      </vt:variant>
      <vt:variant>
        <vt:i4>0</vt:i4>
      </vt:variant>
      <vt:variant>
        <vt:i4>5</vt:i4>
      </vt:variant>
      <vt:variant>
        <vt:lpwstr>mailto:jcarey@cdc.gov</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3866661</vt:i4>
      </vt:variant>
      <vt:variant>
        <vt:i4>0</vt:i4>
      </vt:variant>
      <vt:variant>
        <vt:i4>0</vt:i4>
      </vt:variant>
      <vt:variant>
        <vt:i4>5</vt:i4>
      </vt:variant>
      <vt:variant>
        <vt:lpwstr>http://www.bls.gov/news.release/wkyeng.toc.htm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dc:title>
  <dc:creator>Administrator</dc:creator>
  <cp:lastModifiedBy>SYSTEM</cp:lastModifiedBy>
  <cp:revision>2</cp:revision>
  <cp:lastPrinted>2017-08-04T17:25:00Z</cp:lastPrinted>
  <dcterms:created xsi:type="dcterms:W3CDTF">2018-09-07T18:54:00Z</dcterms:created>
  <dcterms:modified xsi:type="dcterms:W3CDTF">2018-09-07T18:54:00Z</dcterms:modified>
</cp:coreProperties>
</file>