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FBDC" w14:textId="069B0BAC" w:rsidR="00CA557D" w:rsidRDefault="00587D25" w:rsidP="00587D25">
      <w:pPr>
        <w:spacing w:before="100" w:beforeAutospacing="1" w:after="100" w:afterAutospacing="1"/>
      </w:pPr>
      <w:bookmarkStart w:id="0" w:name="_GoBack"/>
      <w:bookmarkEnd w:id="0"/>
      <w:r>
        <w:rPr>
          <w:b/>
        </w:rPr>
        <w:t xml:space="preserve">Part </w:t>
      </w:r>
      <w:r w:rsidR="00CA557D" w:rsidRPr="00E12BB2">
        <w:rPr>
          <w:b/>
        </w:rPr>
        <w:t>B.</w:t>
      </w:r>
      <w:r>
        <w:t xml:space="preserve">   </w:t>
      </w:r>
      <w:r w:rsidR="00CA557D" w:rsidRPr="000E36BA">
        <w:t>Statistical Methods (used for collection of information employing statistical methods)</w:t>
      </w:r>
    </w:p>
    <w:p w14:paraId="71484DB1" w14:textId="77777777" w:rsidR="003D351D" w:rsidRPr="003D351D" w:rsidRDefault="00CA557D" w:rsidP="00517186">
      <w:pPr>
        <w:widowControl w:val="0"/>
        <w:numPr>
          <w:ilvl w:val="0"/>
          <w:numId w:val="1"/>
        </w:numPr>
        <w:tabs>
          <w:tab w:val="clear" w:pos="630"/>
          <w:tab w:val="num" w:pos="360"/>
        </w:tabs>
        <w:autoSpaceDE w:val="0"/>
        <w:autoSpaceDN w:val="0"/>
        <w:adjustRightInd w:val="0"/>
        <w:spacing w:before="100" w:beforeAutospacing="1" w:after="100" w:afterAutospacing="1"/>
        <w:ind w:left="360"/>
      </w:pPr>
      <w:r w:rsidRPr="00307250">
        <w:rPr>
          <w:u w:val="single"/>
        </w:rPr>
        <w:t>Respondent Universe and Sampling Methods</w:t>
      </w:r>
    </w:p>
    <w:p w14:paraId="4BD161F5" w14:textId="77777777" w:rsidR="00F300EE" w:rsidRDefault="00F300EE" w:rsidP="00517186">
      <w:pPr>
        <w:ind w:left="360"/>
      </w:pPr>
      <w:r w:rsidRPr="00F300EE">
        <w:rPr>
          <w:rFonts w:eastAsia="Calibri"/>
        </w:rPr>
        <w:t xml:space="preserve">In order to obtain our sample of U.S. adults for the consumer study, we will use a nonprobability panel provided by Research Now. </w:t>
      </w:r>
      <w:r>
        <w:t>Research Now uses an “invitation-only” methodology to build panels, an approach that yields high panel quality and representativeness while guarding against duplication, fraudulent respondents, and professional survey takers. The sample of U.S. physicians for the health care provider study will be recruited from a panel maintained by SERMO. SERMO</w:t>
      </w:r>
      <w:r w:rsidRPr="00692D36">
        <w:t xml:space="preserve"> has a proprietary database of more than</w:t>
      </w:r>
      <w:r>
        <w:t xml:space="preserve"> 1.8 million doctors and allied health professionals </w:t>
      </w:r>
      <w:r w:rsidRPr="00692D36">
        <w:t>who have opted in to participate in research studies</w:t>
      </w:r>
      <w:r>
        <w:t>, including over 800,000 through their partnership with Doctor Directory</w:t>
      </w:r>
      <w:r w:rsidRPr="00692D36">
        <w:t xml:space="preserve">. Physicians are added to the </w:t>
      </w:r>
      <w:r>
        <w:t>database</w:t>
      </w:r>
      <w:r w:rsidRPr="00692D36">
        <w:t xml:space="preserve"> through a variety of means, including direct mail campaigns and doctors who opt</w:t>
      </w:r>
      <w:r>
        <w:t xml:space="preserve"> </w:t>
      </w:r>
      <w:r w:rsidRPr="00692D36">
        <w:t xml:space="preserve">in to research opportunities while registering to list their practice on Doctor Directory. The information in the </w:t>
      </w:r>
      <w:r>
        <w:t>database</w:t>
      </w:r>
      <w:r w:rsidRPr="00692D36">
        <w:t xml:space="preserve"> is rigorously verified on an ongoing basis using external sources, such as the AMA database, state licensing numbers, and quarterly updates from the U.S. Drug Enforcement Administration/National Provider Identifier</w:t>
      </w:r>
      <w:r w:rsidRPr="00642EBD">
        <w:t xml:space="preserve"> </w:t>
      </w:r>
      <w:r>
        <w:t>(</w:t>
      </w:r>
      <w:r w:rsidRPr="00692D36">
        <w:t>DEA/NPI).</w:t>
      </w:r>
    </w:p>
    <w:p w14:paraId="3AA7DA48" w14:textId="77777777" w:rsidR="00F300EE" w:rsidRDefault="00F300EE" w:rsidP="00517186">
      <w:pPr>
        <w:ind w:left="360"/>
      </w:pPr>
    </w:p>
    <w:p w14:paraId="546DD3AC" w14:textId="77777777" w:rsidR="00F300EE" w:rsidRPr="00F300EE" w:rsidRDefault="00F300EE" w:rsidP="00517186">
      <w:pPr>
        <w:ind w:left="360"/>
        <w:rPr>
          <w:rFonts w:eastAsia="Calibri"/>
        </w:rPr>
      </w:pPr>
      <w:r w:rsidRPr="00F300EE">
        <w:rPr>
          <w:rFonts w:eastAsia="Calibri"/>
        </w:rPr>
        <w:t>The focus of this survey is to assess the impact of disclosures on assessments of pharmaceutical efficacy claims using experimental methods rather than making population-based inferences. Therefore, a nonprobability panel is a reasonable choice. Nevertheless, we will ensure a demographically diverse sample with respect to gender, age, race/ethnicity, and education.</w:t>
      </w:r>
    </w:p>
    <w:p w14:paraId="145E4D52" w14:textId="77777777" w:rsidR="00F300EE" w:rsidRDefault="00F300EE" w:rsidP="00517186">
      <w:pPr>
        <w:ind w:left="360"/>
      </w:pPr>
    </w:p>
    <w:p w14:paraId="00C9027B" w14:textId="77777777" w:rsidR="00F300EE" w:rsidRPr="00E34BB8" w:rsidRDefault="00F300EE" w:rsidP="00517186">
      <w:pPr>
        <w:ind w:left="360"/>
      </w:pPr>
      <w:r>
        <w:t xml:space="preserve">Tables 1 and 2 provide a summary of the soft quotas that will help guide recruitment of participants in this study. </w:t>
      </w:r>
      <w:r w:rsidRPr="00DD0309">
        <w:t xml:space="preserve">Soft quotas </w:t>
      </w:r>
      <w:r>
        <w:t>will</w:t>
      </w:r>
      <w:r w:rsidRPr="00DD0309">
        <w:t xml:space="preserve"> not </w:t>
      </w:r>
      <w:r>
        <w:t xml:space="preserve">be </w:t>
      </w:r>
      <w:r w:rsidRPr="00DD0309">
        <w:t>used to strictly enforce a quota</w:t>
      </w:r>
      <w:r>
        <w:t xml:space="preserve"> or</w:t>
      </w:r>
      <w:r w:rsidRPr="00DD0309">
        <w:t xml:space="preserve"> limit for any category</w:t>
      </w:r>
      <w:r>
        <w:t xml:space="preserve"> and will not necessarily reflect population-representative sampling</w:t>
      </w:r>
      <w:r w:rsidRPr="00B6112F">
        <w:t xml:space="preserve">. Instead, they will help </w:t>
      </w:r>
      <w:r>
        <w:t xml:space="preserve">to guide recruiting a diverse sample </w:t>
      </w:r>
      <w:r w:rsidRPr="00B6112F">
        <w:t>during the course of the study.</w:t>
      </w:r>
      <w:r w:rsidRPr="00DD0309">
        <w:t xml:space="preserve"> </w:t>
      </w:r>
      <w:r>
        <w:t xml:space="preserve">Soft quotas will be assessed at the study level; throughout the recruitment process, the respondent pool will be </w:t>
      </w:r>
      <w:r w:rsidRPr="006B7012">
        <w:t>evaluated to adjust for any demographic over</w:t>
      </w:r>
      <w:r>
        <w:t xml:space="preserve"> or </w:t>
      </w:r>
      <w:r w:rsidRPr="006B7012">
        <w:t>under sampling.</w:t>
      </w:r>
      <w:r>
        <w:t xml:space="preserve"> These requirements will be communicated to recruiters who will then make the adjustments to reach the required target populations. </w:t>
      </w:r>
    </w:p>
    <w:p w14:paraId="3A70EB4C" w14:textId="77777777" w:rsidR="00F300EE" w:rsidRPr="00F300EE" w:rsidRDefault="00F300EE" w:rsidP="00F300EE">
      <w:pPr>
        <w:rPr>
          <w:b/>
        </w:rPr>
      </w:pPr>
    </w:p>
    <w:p w14:paraId="18FF8872" w14:textId="77777777" w:rsidR="00F300EE" w:rsidRPr="00F300EE" w:rsidRDefault="00F300EE" w:rsidP="00F300EE">
      <w:pPr>
        <w:rPr>
          <w:vertAlign w:val="superscript"/>
        </w:rPr>
      </w:pPr>
      <w:r w:rsidRPr="00F300EE">
        <w:rPr>
          <w:b/>
        </w:rPr>
        <w:t>Table 1:</w:t>
      </w:r>
      <w:r w:rsidRPr="00E34BB8">
        <w:t xml:space="preserve"> </w:t>
      </w:r>
      <w:r>
        <w:t>Summary of Screening Soft Quotas for Consumer Study</w:t>
      </w:r>
      <w:r w:rsidRPr="00F300EE">
        <w:rPr>
          <w:vertAlign w:val="superscript"/>
        </w:rPr>
        <w:t>1</w:t>
      </w:r>
    </w:p>
    <w:tbl>
      <w:tblPr>
        <w:tblStyle w:val="TableGrid"/>
        <w:tblW w:w="0" w:type="auto"/>
        <w:tblInd w:w="108" w:type="dxa"/>
        <w:tblLook w:val="04A0" w:firstRow="1" w:lastRow="0" w:firstColumn="1" w:lastColumn="0" w:noHBand="0" w:noVBand="1"/>
      </w:tblPr>
      <w:tblGrid>
        <w:gridCol w:w="2610"/>
        <w:gridCol w:w="3870"/>
        <w:gridCol w:w="1890"/>
      </w:tblGrid>
      <w:tr w:rsidR="00F300EE" w:rsidRPr="00E34BB8" w14:paraId="7FB09D15" w14:textId="77777777" w:rsidTr="002D462B">
        <w:trPr>
          <w:trHeight w:val="467"/>
        </w:trPr>
        <w:tc>
          <w:tcPr>
            <w:tcW w:w="2610" w:type="dxa"/>
            <w:tcBorders>
              <w:bottom w:val="single" w:sz="4" w:space="0" w:color="auto"/>
            </w:tcBorders>
            <w:shd w:val="clear" w:color="auto" w:fill="DD4814"/>
            <w:vAlign w:val="center"/>
          </w:tcPr>
          <w:p w14:paraId="1E224772" w14:textId="77777777" w:rsidR="00F300EE" w:rsidRPr="00D41774" w:rsidRDefault="00F300EE" w:rsidP="002D462B">
            <w:pPr>
              <w:rPr>
                <w:b/>
                <w:color w:val="FFFFFF" w:themeColor="background1"/>
              </w:rPr>
            </w:pPr>
            <w:r w:rsidRPr="00D41774">
              <w:rPr>
                <w:b/>
                <w:color w:val="FFFFFF" w:themeColor="background1"/>
              </w:rPr>
              <w:t>Category</w:t>
            </w:r>
          </w:p>
        </w:tc>
        <w:tc>
          <w:tcPr>
            <w:tcW w:w="3870" w:type="dxa"/>
            <w:tcBorders>
              <w:bottom w:val="single" w:sz="4" w:space="0" w:color="auto"/>
            </w:tcBorders>
            <w:shd w:val="clear" w:color="auto" w:fill="DD4814"/>
            <w:vAlign w:val="center"/>
          </w:tcPr>
          <w:p w14:paraId="241BA593" w14:textId="77777777" w:rsidR="00F300EE" w:rsidRPr="00D41774" w:rsidRDefault="00F300EE" w:rsidP="002D462B">
            <w:pPr>
              <w:rPr>
                <w:b/>
                <w:color w:val="FFFFFF" w:themeColor="background1"/>
              </w:rPr>
            </w:pPr>
            <w:r w:rsidRPr="00D41774">
              <w:rPr>
                <w:b/>
                <w:color w:val="FFFFFF" w:themeColor="background1"/>
              </w:rPr>
              <w:t>Classification</w:t>
            </w:r>
          </w:p>
        </w:tc>
        <w:tc>
          <w:tcPr>
            <w:tcW w:w="1890" w:type="dxa"/>
            <w:tcBorders>
              <w:bottom w:val="single" w:sz="4" w:space="0" w:color="auto"/>
            </w:tcBorders>
            <w:shd w:val="clear" w:color="auto" w:fill="DD4814"/>
            <w:vAlign w:val="center"/>
          </w:tcPr>
          <w:p w14:paraId="53ABC4FA" w14:textId="77777777" w:rsidR="00F300EE" w:rsidRPr="00D41774" w:rsidRDefault="00F300EE" w:rsidP="002D462B">
            <w:pPr>
              <w:jc w:val="center"/>
              <w:rPr>
                <w:b/>
                <w:color w:val="FFFFFF" w:themeColor="background1"/>
              </w:rPr>
            </w:pPr>
            <w:r>
              <w:rPr>
                <w:b/>
                <w:color w:val="FFFFFF" w:themeColor="background1"/>
              </w:rPr>
              <w:t>Soft Quotas</w:t>
            </w:r>
          </w:p>
        </w:tc>
      </w:tr>
      <w:tr w:rsidR="00F300EE" w:rsidRPr="00E34BB8" w14:paraId="1742DDF7" w14:textId="77777777" w:rsidTr="002D462B">
        <w:tc>
          <w:tcPr>
            <w:tcW w:w="2610" w:type="dxa"/>
            <w:vMerge w:val="restart"/>
            <w:shd w:val="clear" w:color="auto" w:fill="D9D9D9" w:themeFill="background1" w:themeFillShade="D9"/>
            <w:vAlign w:val="center"/>
          </w:tcPr>
          <w:p w14:paraId="35872EE8" w14:textId="77777777" w:rsidR="00F300EE" w:rsidRPr="005F00DD" w:rsidRDefault="00F300EE" w:rsidP="002D462B">
            <w:r w:rsidRPr="005F00DD">
              <w:t>Gender</w:t>
            </w:r>
          </w:p>
        </w:tc>
        <w:tc>
          <w:tcPr>
            <w:tcW w:w="3870" w:type="dxa"/>
            <w:shd w:val="clear" w:color="auto" w:fill="D9D9D9" w:themeFill="background1" w:themeFillShade="D9"/>
            <w:vAlign w:val="center"/>
          </w:tcPr>
          <w:p w14:paraId="1E1F52EC" w14:textId="77777777" w:rsidR="00F300EE" w:rsidRPr="005F00DD" w:rsidRDefault="00F300EE" w:rsidP="002D462B">
            <w:r w:rsidRPr="005F00DD">
              <w:t>Male</w:t>
            </w:r>
          </w:p>
        </w:tc>
        <w:tc>
          <w:tcPr>
            <w:tcW w:w="1890" w:type="dxa"/>
            <w:shd w:val="clear" w:color="auto" w:fill="D9D9D9" w:themeFill="background1" w:themeFillShade="D9"/>
            <w:vAlign w:val="center"/>
          </w:tcPr>
          <w:p w14:paraId="32BCFD01" w14:textId="77777777" w:rsidR="00F300EE" w:rsidRPr="005F00DD" w:rsidRDefault="00F300EE" w:rsidP="002D462B">
            <w:pPr>
              <w:jc w:val="center"/>
            </w:pPr>
            <w:r>
              <w:t>50%</w:t>
            </w:r>
          </w:p>
        </w:tc>
      </w:tr>
      <w:tr w:rsidR="00F300EE" w:rsidRPr="00E34BB8" w14:paraId="480D4CAC" w14:textId="77777777" w:rsidTr="002D462B">
        <w:tc>
          <w:tcPr>
            <w:tcW w:w="2610" w:type="dxa"/>
            <w:vMerge/>
            <w:tcBorders>
              <w:bottom w:val="single" w:sz="4" w:space="0" w:color="auto"/>
            </w:tcBorders>
            <w:shd w:val="clear" w:color="auto" w:fill="D9D9D9" w:themeFill="background1" w:themeFillShade="D9"/>
            <w:vAlign w:val="center"/>
          </w:tcPr>
          <w:p w14:paraId="7B4A14F5" w14:textId="77777777" w:rsidR="00F300EE" w:rsidRPr="005F00DD" w:rsidRDefault="00F300EE" w:rsidP="002D462B"/>
        </w:tc>
        <w:tc>
          <w:tcPr>
            <w:tcW w:w="3870" w:type="dxa"/>
            <w:tcBorders>
              <w:bottom w:val="single" w:sz="4" w:space="0" w:color="auto"/>
            </w:tcBorders>
            <w:shd w:val="clear" w:color="auto" w:fill="D9D9D9" w:themeFill="background1" w:themeFillShade="D9"/>
            <w:vAlign w:val="center"/>
          </w:tcPr>
          <w:p w14:paraId="6412FF1A" w14:textId="77777777" w:rsidR="00F300EE" w:rsidRPr="005F00DD" w:rsidRDefault="00F300EE" w:rsidP="002D462B">
            <w:r w:rsidRPr="005F00DD">
              <w:t>Female</w:t>
            </w:r>
          </w:p>
        </w:tc>
        <w:tc>
          <w:tcPr>
            <w:tcW w:w="1890" w:type="dxa"/>
            <w:tcBorders>
              <w:bottom w:val="single" w:sz="4" w:space="0" w:color="auto"/>
            </w:tcBorders>
            <w:shd w:val="clear" w:color="auto" w:fill="D9D9D9" w:themeFill="background1" w:themeFillShade="D9"/>
            <w:vAlign w:val="center"/>
          </w:tcPr>
          <w:p w14:paraId="47D16B47" w14:textId="77777777" w:rsidR="00F300EE" w:rsidRPr="005F00DD" w:rsidRDefault="00F300EE" w:rsidP="002D462B">
            <w:pPr>
              <w:jc w:val="center"/>
            </w:pPr>
            <w:r>
              <w:t>50%</w:t>
            </w:r>
          </w:p>
        </w:tc>
      </w:tr>
      <w:tr w:rsidR="00F300EE" w:rsidRPr="00E34BB8" w14:paraId="64EEEB5C" w14:textId="77777777" w:rsidTr="002D462B">
        <w:tc>
          <w:tcPr>
            <w:tcW w:w="2610" w:type="dxa"/>
            <w:vMerge w:val="restart"/>
            <w:shd w:val="clear" w:color="auto" w:fill="auto"/>
            <w:vAlign w:val="center"/>
          </w:tcPr>
          <w:p w14:paraId="41434012" w14:textId="77777777" w:rsidR="00F300EE" w:rsidRPr="0016569A" w:rsidRDefault="00F300EE" w:rsidP="002D462B">
            <w:pPr>
              <w:rPr>
                <w:vertAlign w:val="superscript"/>
              </w:rPr>
            </w:pPr>
            <w:r w:rsidRPr="005F00DD">
              <w:t>Race/Ethnicity</w:t>
            </w:r>
          </w:p>
        </w:tc>
        <w:tc>
          <w:tcPr>
            <w:tcW w:w="3870" w:type="dxa"/>
            <w:shd w:val="clear" w:color="auto" w:fill="auto"/>
            <w:vAlign w:val="center"/>
          </w:tcPr>
          <w:p w14:paraId="4BFDC75C" w14:textId="77777777" w:rsidR="00F300EE" w:rsidRPr="005F00DD" w:rsidRDefault="00F300EE" w:rsidP="002D462B">
            <w:r>
              <w:t>White, Non-Hispanic</w:t>
            </w:r>
          </w:p>
        </w:tc>
        <w:tc>
          <w:tcPr>
            <w:tcW w:w="1890" w:type="dxa"/>
            <w:shd w:val="clear" w:color="auto" w:fill="auto"/>
            <w:vAlign w:val="center"/>
          </w:tcPr>
          <w:p w14:paraId="61D5DF93" w14:textId="77777777" w:rsidR="00F300EE" w:rsidRPr="005F00DD" w:rsidRDefault="00F300EE" w:rsidP="002D462B">
            <w:pPr>
              <w:jc w:val="center"/>
            </w:pPr>
            <w:r>
              <w:t>72%</w:t>
            </w:r>
          </w:p>
        </w:tc>
      </w:tr>
      <w:tr w:rsidR="00F300EE" w:rsidRPr="00E34BB8" w14:paraId="11A1835F" w14:textId="77777777" w:rsidTr="002D462B">
        <w:tc>
          <w:tcPr>
            <w:tcW w:w="2610" w:type="dxa"/>
            <w:vMerge/>
            <w:shd w:val="clear" w:color="auto" w:fill="auto"/>
            <w:vAlign w:val="center"/>
          </w:tcPr>
          <w:p w14:paraId="3CC803E9" w14:textId="77777777" w:rsidR="00F300EE" w:rsidRPr="005F00DD" w:rsidRDefault="00F300EE" w:rsidP="002D462B"/>
        </w:tc>
        <w:tc>
          <w:tcPr>
            <w:tcW w:w="3870" w:type="dxa"/>
            <w:shd w:val="clear" w:color="auto" w:fill="auto"/>
            <w:vAlign w:val="center"/>
          </w:tcPr>
          <w:p w14:paraId="604AD32A" w14:textId="77777777" w:rsidR="00F300EE" w:rsidRPr="005F00DD" w:rsidRDefault="00F300EE" w:rsidP="002D462B">
            <w:r>
              <w:t>Black, Non-Hispanic</w:t>
            </w:r>
          </w:p>
        </w:tc>
        <w:tc>
          <w:tcPr>
            <w:tcW w:w="1890" w:type="dxa"/>
            <w:shd w:val="clear" w:color="auto" w:fill="auto"/>
            <w:vAlign w:val="center"/>
          </w:tcPr>
          <w:p w14:paraId="3193E413" w14:textId="77777777" w:rsidR="00F300EE" w:rsidRPr="005F00DD" w:rsidRDefault="00F300EE" w:rsidP="002D462B">
            <w:pPr>
              <w:jc w:val="center"/>
            </w:pPr>
            <w:r>
              <w:t>13%</w:t>
            </w:r>
          </w:p>
        </w:tc>
      </w:tr>
      <w:tr w:rsidR="00F300EE" w:rsidRPr="00E34BB8" w14:paraId="5EE3E635" w14:textId="77777777" w:rsidTr="002D462B">
        <w:tc>
          <w:tcPr>
            <w:tcW w:w="2610" w:type="dxa"/>
            <w:vMerge/>
            <w:shd w:val="clear" w:color="auto" w:fill="auto"/>
            <w:vAlign w:val="center"/>
          </w:tcPr>
          <w:p w14:paraId="7C399E83" w14:textId="77777777" w:rsidR="00F300EE" w:rsidRPr="005F00DD" w:rsidRDefault="00F300EE" w:rsidP="002D462B"/>
        </w:tc>
        <w:tc>
          <w:tcPr>
            <w:tcW w:w="3870" w:type="dxa"/>
            <w:shd w:val="clear" w:color="auto" w:fill="auto"/>
            <w:vAlign w:val="center"/>
          </w:tcPr>
          <w:p w14:paraId="498300F9" w14:textId="77777777" w:rsidR="00F300EE" w:rsidRPr="005F00DD" w:rsidRDefault="00F300EE" w:rsidP="002D462B">
            <w:r>
              <w:t>Asian, Non-Hispanic</w:t>
            </w:r>
          </w:p>
        </w:tc>
        <w:tc>
          <w:tcPr>
            <w:tcW w:w="1890" w:type="dxa"/>
            <w:shd w:val="clear" w:color="auto" w:fill="auto"/>
            <w:vAlign w:val="center"/>
          </w:tcPr>
          <w:p w14:paraId="41C93430" w14:textId="77777777" w:rsidR="00F300EE" w:rsidRPr="005F00DD" w:rsidRDefault="00F300EE" w:rsidP="002D462B">
            <w:pPr>
              <w:jc w:val="center"/>
            </w:pPr>
            <w:r>
              <w:t>5%</w:t>
            </w:r>
          </w:p>
        </w:tc>
      </w:tr>
      <w:tr w:rsidR="00F300EE" w:rsidRPr="00E34BB8" w14:paraId="0B04FE0F" w14:textId="77777777" w:rsidTr="002D462B">
        <w:tc>
          <w:tcPr>
            <w:tcW w:w="2610" w:type="dxa"/>
            <w:vMerge/>
            <w:shd w:val="clear" w:color="auto" w:fill="auto"/>
            <w:vAlign w:val="center"/>
          </w:tcPr>
          <w:p w14:paraId="6803781C" w14:textId="77777777" w:rsidR="00F300EE" w:rsidRPr="005F00DD" w:rsidRDefault="00F300EE" w:rsidP="002D462B"/>
        </w:tc>
        <w:tc>
          <w:tcPr>
            <w:tcW w:w="3870" w:type="dxa"/>
            <w:shd w:val="clear" w:color="auto" w:fill="auto"/>
            <w:vAlign w:val="center"/>
          </w:tcPr>
          <w:p w14:paraId="6823C9D9" w14:textId="77777777" w:rsidR="00F300EE" w:rsidRDefault="00F300EE" w:rsidP="002D462B">
            <w:r>
              <w:t xml:space="preserve">Other/Two or more races, </w:t>
            </w:r>
          </w:p>
          <w:p w14:paraId="40037774" w14:textId="77777777" w:rsidR="00F300EE" w:rsidRPr="005F00DD" w:rsidRDefault="00F300EE" w:rsidP="002D462B">
            <w:r>
              <w:t>Non-Hispanic</w:t>
            </w:r>
          </w:p>
        </w:tc>
        <w:tc>
          <w:tcPr>
            <w:tcW w:w="1890" w:type="dxa"/>
            <w:shd w:val="clear" w:color="auto" w:fill="auto"/>
            <w:vAlign w:val="center"/>
          </w:tcPr>
          <w:p w14:paraId="600A6D03" w14:textId="77777777" w:rsidR="00F300EE" w:rsidRPr="005F00DD" w:rsidRDefault="00F300EE" w:rsidP="002D462B">
            <w:pPr>
              <w:jc w:val="center"/>
            </w:pPr>
            <w:r>
              <w:t>10%</w:t>
            </w:r>
          </w:p>
        </w:tc>
      </w:tr>
      <w:tr w:rsidR="00F300EE" w:rsidRPr="00E34BB8" w14:paraId="72E5ACD1" w14:textId="77777777" w:rsidTr="002D462B">
        <w:tc>
          <w:tcPr>
            <w:tcW w:w="2610" w:type="dxa"/>
            <w:vMerge/>
            <w:tcBorders>
              <w:bottom w:val="single" w:sz="4" w:space="0" w:color="auto"/>
            </w:tcBorders>
            <w:shd w:val="clear" w:color="auto" w:fill="auto"/>
            <w:vAlign w:val="center"/>
          </w:tcPr>
          <w:p w14:paraId="5993437D" w14:textId="77777777" w:rsidR="00F300EE" w:rsidRPr="005F00DD" w:rsidRDefault="00F300EE" w:rsidP="002D462B"/>
        </w:tc>
        <w:tc>
          <w:tcPr>
            <w:tcW w:w="3870" w:type="dxa"/>
            <w:tcBorders>
              <w:bottom w:val="single" w:sz="4" w:space="0" w:color="auto"/>
            </w:tcBorders>
            <w:shd w:val="clear" w:color="auto" w:fill="auto"/>
            <w:vAlign w:val="center"/>
          </w:tcPr>
          <w:p w14:paraId="0190FB8A" w14:textId="77777777" w:rsidR="00F300EE" w:rsidRPr="005F00DD" w:rsidRDefault="00F300EE" w:rsidP="002D462B">
            <w:r>
              <w:t>Hispanic</w:t>
            </w:r>
          </w:p>
        </w:tc>
        <w:tc>
          <w:tcPr>
            <w:tcW w:w="1890" w:type="dxa"/>
            <w:tcBorders>
              <w:bottom w:val="single" w:sz="4" w:space="0" w:color="auto"/>
            </w:tcBorders>
            <w:shd w:val="clear" w:color="auto" w:fill="auto"/>
            <w:vAlign w:val="center"/>
          </w:tcPr>
          <w:p w14:paraId="320E8A8A" w14:textId="77777777" w:rsidR="00F300EE" w:rsidRPr="005F00DD" w:rsidRDefault="00F300EE" w:rsidP="002D462B">
            <w:pPr>
              <w:jc w:val="center"/>
            </w:pPr>
            <w:r>
              <w:t>16%</w:t>
            </w:r>
          </w:p>
        </w:tc>
      </w:tr>
      <w:tr w:rsidR="00F300EE" w:rsidRPr="00E34BB8" w14:paraId="561F65F2" w14:textId="77777777" w:rsidTr="002D462B">
        <w:tc>
          <w:tcPr>
            <w:tcW w:w="2610" w:type="dxa"/>
            <w:vMerge w:val="restart"/>
            <w:shd w:val="clear" w:color="auto" w:fill="D9D9D9" w:themeFill="background1" w:themeFillShade="D9"/>
            <w:vAlign w:val="center"/>
          </w:tcPr>
          <w:p w14:paraId="7023CDB7" w14:textId="77777777" w:rsidR="00F300EE" w:rsidRPr="00CB0886" w:rsidRDefault="00F300EE" w:rsidP="002D462B">
            <w:pPr>
              <w:rPr>
                <w:vertAlign w:val="superscript"/>
              </w:rPr>
            </w:pPr>
            <w:r w:rsidRPr="005F00DD">
              <w:t>Age</w:t>
            </w:r>
            <w:r>
              <w:rPr>
                <w:vertAlign w:val="superscript"/>
              </w:rPr>
              <w:t>2</w:t>
            </w:r>
          </w:p>
        </w:tc>
        <w:tc>
          <w:tcPr>
            <w:tcW w:w="3870" w:type="dxa"/>
            <w:shd w:val="clear" w:color="auto" w:fill="D9D9D9" w:themeFill="background1" w:themeFillShade="D9"/>
            <w:vAlign w:val="center"/>
          </w:tcPr>
          <w:p w14:paraId="2897CA69" w14:textId="77777777" w:rsidR="00F300EE" w:rsidRPr="005F00DD" w:rsidRDefault="00F300EE" w:rsidP="002D462B">
            <w:r>
              <w:t>18–24</w:t>
            </w:r>
          </w:p>
        </w:tc>
        <w:tc>
          <w:tcPr>
            <w:tcW w:w="1890" w:type="dxa"/>
            <w:shd w:val="clear" w:color="auto" w:fill="D9D9D9" w:themeFill="background1" w:themeFillShade="D9"/>
            <w:vAlign w:val="center"/>
          </w:tcPr>
          <w:p w14:paraId="623CEB65" w14:textId="77777777" w:rsidR="00F300EE" w:rsidRPr="005F00DD" w:rsidRDefault="00F300EE" w:rsidP="002D462B">
            <w:pPr>
              <w:jc w:val="center"/>
            </w:pPr>
            <w:r>
              <w:t>13%</w:t>
            </w:r>
          </w:p>
        </w:tc>
      </w:tr>
      <w:tr w:rsidR="00F300EE" w:rsidRPr="00E34BB8" w14:paraId="1C16B119" w14:textId="77777777" w:rsidTr="002D462B">
        <w:tc>
          <w:tcPr>
            <w:tcW w:w="2610" w:type="dxa"/>
            <w:vMerge/>
            <w:shd w:val="clear" w:color="auto" w:fill="D9D9D9" w:themeFill="background1" w:themeFillShade="D9"/>
            <w:vAlign w:val="center"/>
          </w:tcPr>
          <w:p w14:paraId="0D96D01B" w14:textId="77777777" w:rsidR="00F300EE" w:rsidRPr="005F00DD" w:rsidRDefault="00F300EE" w:rsidP="002D462B"/>
        </w:tc>
        <w:tc>
          <w:tcPr>
            <w:tcW w:w="3870" w:type="dxa"/>
            <w:shd w:val="clear" w:color="auto" w:fill="D9D9D9" w:themeFill="background1" w:themeFillShade="D9"/>
            <w:vAlign w:val="center"/>
          </w:tcPr>
          <w:p w14:paraId="6DBA5174" w14:textId="77777777" w:rsidR="00F300EE" w:rsidRDefault="00F300EE" w:rsidP="002D462B">
            <w:r>
              <w:t>25–44</w:t>
            </w:r>
          </w:p>
        </w:tc>
        <w:tc>
          <w:tcPr>
            <w:tcW w:w="1890" w:type="dxa"/>
            <w:shd w:val="clear" w:color="auto" w:fill="D9D9D9" w:themeFill="background1" w:themeFillShade="D9"/>
            <w:vAlign w:val="center"/>
          </w:tcPr>
          <w:p w14:paraId="1FD3D171" w14:textId="77777777" w:rsidR="00F300EE" w:rsidRPr="005F00DD" w:rsidRDefault="00F300EE" w:rsidP="002D462B">
            <w:pPr>
              <w:jc w:val="center"/>
            </w:pPr>
            <w:r>
              <w:t>34%</w:t>
            </w:r>
          </w:p>
        </w:tc>
      </w:tr>
      <w:tr w:rsidR="00F300EE" w:rsidRPr="00E34BB8" w14:paraId="1857B23A" w14:textId="77777777" w:rsidTr="002D462B">
        <w:tc>
          <w:tcPr>
            <w:tcW w:w="2610" w:type="dxa"/>
            <w:vMerge/>
            <w:shd w:val="clear" w:color="auto" w:fill="D9D9D9" w:themeFill="background1" w:themeFillShade="D9"/>
            <w:vAlign w:val="center"/>
          </w:tcPr>
          <w:p w14:paraId="2D94C5C7" w14:textId="77777777" w:rsidR="00F300EE" w:rsidRPr="005F00DD" w:rsidRDefault="00F300EE" w:rsidP="002D462B"/>
        </w:tc>
        <w:tc>
          <w:tcPr>
            <w:tcW w:w="3870" w:type="dxa"/>
            <w:shd w:val="clear" w:color="auto" w:fill="D9D9D9" w:themeFill="background1" w:themeFillShade="D9"/>
            <w:vAlign w:val="center"/>
          </w:tcPr>
          <w:p w14:paraId="3F7437E3" w14:textId="77777777" w:rsidR="00F300EE" w:rsidRPr="005F00DD" w:rsidRDefault="00F300EE" w:rsidP="002D462B">
            <w:r>
              <w:t>45–64</w:t>
            </w:r>
          </w:p>
        </w:tc>
        <w:tc>
          <w:tcPr>
            <w:tcW w:w="1890" w:type="dxa"/>
            <w:shd w:val="clear" w:color="auto" w:fill="D9D9D9" w:themeFill="background1" w:themeFillShade="D9"/>
            <w:vAlign w:val="center"/>
          </w:tcPr>
          <w:p w14:paraId="6890DC13" w14:textId="77777777" w:rsidR="00F300EE" w:rsidRPr="005F00DD" w:rsidRDefault="00F300EE" w:rsidP="002D462B">
            <w:pPr>
              <w:jc w:val="center"/>
            </w:pPr>
            <w:r>
              <w:t>34%</w:t>
            </w:r>
          </w:p>
        </w:tc>
      </w:tr>
      <w:tr w:rsidR="00F300EE" w:rsidRPr="00E34BB8" w14:paraId="02D8F5A1" w14:textId="77777777" w:rsidTr="002D462B">
        <w:tc>
          <w:tcPr>
            <w:tcW w:w="2610" w:type="dxa"/>
            <w:vMerge/>
            <w:shd w:val="clear" w:color="auto" w:fill="D9D9D9" w:themeFill="background1" w:themeFillShade="D9"/>
            <w:vAlign w:val="center"/>
          </w:tcPr>
          <w:p w14:paraId="775D0F11" w14:textId="77777777" w:rsidR="00F300EE" w:rsidRPr="005F00DD" w:rsidRDefault="00F300EE" w:rsidP="002D462B"/>
        </w:tc>
        <w:tc>
          <w:tcPr>
            <w:tcW w:w="3870" w:type="dxa"/>
            <w:shd w:val="clear" w:color="auto" w:fill="D9D9D9" w:themeFill="background1" w:themeFillShade="D9"/>
            <w:vAlign w:val="center"/>
          </w:tcPr>
          <w:p w14:paraId="481801A0" w14:textId="77777777" w:rsidR="00F300EE" w:rsidRPr="005F00DD" w:rsidRDefault="00F300EE" w:rsidP="002D462B">
            <w:r>
              <w:t>6</w:t>
            </w:r>
            <w:r w:rsidRPr="005F00DD">
              <w:t>5 or Older</w:t>
            </w:r>
          </w:p>
        </w:tc>
        <w:tc>
          <w:tcPr>
            <w:tcW w:w="1890" w:type="dxa"/>
            <w:shd w:val="clear" w:color="auto" w:fill="D9D9D9" w:themeFill="background1" w:themeFillShade="D9"/>
            <w:vAlign w:val="center"/>
          </w:tcPr>
          <w:p w14:paraId="5C033A1B" w14:textId="77777777" w:rsidR="00F300EE" w:rsidRPr="005F00DD" w:rsidRDefault="00F300EE" w:rsidP="002D462B">
            <w:pPr>
              <w:jc w:val="center"/>
            </w:pPr>
            <w:r>
              <w:t>20%</w:t>
            </w:r>
          </w:p>
        </w:tc>
      </w:tr>
      <w:tr w:rsidR="00F300EE" w:rsidRPr="00E34BB8" w14:paraId="6756088E" w14:textId="77777777" w:rsidTr="002D462B">
        <w:tc>
          <w:tcPr>
            <w:tcW w:w="2610" w:type="dxa"/>
            <w:vMerge w:val="restart"/>
            <w:shd w:val="clear" w:color="auto" w:fill="auto"/>
            <w:vAlign w:val="center"/>
          </w:tcPr>
          <w:p w14:paraId="5853D078" w14:textId="77777777" w:rsidR="00F300EE" w:rsidRPr="005F00DD" w:rsidRDefault="00F300EE" w:rsidP="002D462B">
            <w:r w:rsidRPr="00F13830">
              <w:t>Education</w:t>
            </w:r>
          </w:p>
        </w:tc>
        <w:tc>
          <w:tcPr>
            <w:tcW w:w="3870" w:type="dxa"/>
            <w:shd w:val="clear" w:color="auto" w:fill="auto"/>
            <w:vAlign w:val="center"/>
          </w:tcPr>
          <w:p w14:paraId="2271612B" w14:textId="77777777" w:rsidR="00F300EE" w:rsidRDefault="00F300EE" w:rsidP="002D462B">
            <w:r>
              <w:t>No college/some college</w:t>
            </w:r>
          </w:p>
        </w:tc>
        <w:tc>
          <w:tcPr>
            <w:tcW w:w="1890" w:type="dxa"/>
            <w:shd w:val="clear" w:color="auto" w:fill="auto"/>
            <w:vAlign w:val="center"/>
          </w:tcPr>
          <w:p w14:paraId="72A9635E" w14:textId="77777777" w:rsidR="00F300EE" w:rsidRDefault="00F300EE" w:rsidP="002D462B">
            <w:pPr>
              <w:jc w:val="center"/>
            </w:pPr>
            <w:r>
              <w:t>60%</w:t>
            </w:r>
          </w:p>
        </w:tc>
      </w:tr>
      <w:tr w:rsidR="00F300EE" w:rsidRPr="00E34BB8" w14:paraId="404AE3C3" w14:textId="77777777" w:rsidTr="002D462B">
        <w:tc>
          <w:tcPr>
            <w:tcW w:w="2610" w:type="dxa"/>
            <w:vMerge/>
            <w:tcBorders>
              <w:bottom w:val="single" w:sz="4" w:space="0" w:color="auto"/>
            </w:tcBorders>
            <w:shd w:val="clear" w:color="auto" w:fill="auto"/>
            <w:vAlign w:val="center"/>
          </w:tcPr>
          <w:p w14:paraId="6A930FB7" w14:textId="77777777" w:rsidR="00F300EE" w:rsidRPr="005F00DD" w:rsidRDefault="00F300EE" w:rsidP="002D462B"/>
        </w:tc>
        <w:tc>
          <w:tcPr>
            <w:tcW w:w="3870" w:type="dxa"/>
            <w:tcBorders>
              <w:bottom w:val="single" w:sz="4" w:space="0" w:color="auto"/>
            </w:tcBorders>
            <w:shd w:val="clear" w:color="auto" w:fill="auto"/>
            <w:vAlign w:val="center"/>
          </w:tcPr>
          <w:p w14:paraId="26CEE168" w14:textId="77777777" w:rsidR="00F300EE" w:rsidRDefault="00F300EE" w:rsidP="002D462B">
            <w:r>
              <w:t>College graduate</w:t>
            </w:r>
          </w:p>
        </w:tc>
        <w:tc>
          <w:tcPr>
            <w:tcW w:w="1890" w:type="dxa"/>
            <w:tcBorders>
              <w:bottom w:val="single" w:sz="4" w:space="0" w:color="auto"/>
            </w:tcBorders>
            <w:shd w:val="clear" w:color="auto" w:fill="auto"/>
            <w:vAlign w:val="center"/>
          </w:tcPr>
          <w:p w14:paraId="69AA2B45" w14:textId="77777777" w:rsidR="00F300EE" w:rsidRDefault="00F300EE" w:rsidP="002D462B">
            <w:pPr>
              <w:jc w:val="center"/>
            </w:pPr>
            <w:r>
              <w:t>40%</w:t>
            </w:r>
          </w:p>
        </w:tc>
      </w:tr>
    </w:tbl>
    <w:p w14:paraId="141086AF" w14:textId="77777777" w:rsidR="00F300EE" w:rsidRPr="00F300EE" w:rsidRDefault="00F300EE" w:rsidP="00F300EE">
      <w:pPr>
        <w:rPr>
          <w:rStyle w:val="Hyperlink"/>
          <w:sz w:val="20"/>
        </w:rPr>
      </w:pPr>
      <w:r w:rsidRPr="00D05331">
        <w:rPr>
          <w:rStyle w:val="FootnoteReference"/>
          <w:sz w:val="20"/>
        </w:rPr>
        <w:footnoteRef/>
      </w:r>
      <w:r w:rsidRPr="00F300EE">
        <w:rPr>
          <w:sz w:val="20"/>
        </w:rPr>
        <w:t xml:space="preserve"> U.S. Census. (2016). </w:t>
      </w:r>
      <w:r w:rsidRPr="00F300EE">
        <w:rPr>
          <w:i/>
          <w:sz w:val="20"/>
        </w:rPr>
        <w:t xml:space="preserve">American Fact Finder. </w:t>
      </w:r>
      <w:r w:rsidRPr="00F300EE">
        <w:rPr>
          <w:sz w:val="20"/>
        </w:rPr>
        <w:t xml:space="preserve">Retrieved from </w:t>
      </w:r>
      <w:hyperlink r:id="rId9" w:history="1">
        <w:r w:rsidRPr="00F300EE">
          <w:rPr>
            <w:rStyle w:val="Hyperlink"/>
            <w:sz w:val="20"/>
          </w:rPr>
          <w:t>http://factfinder.census.gov/faces/nav/jsf/pages/index.xhtml</w:t>
        </w:r>
      </w:hyperlink>
    </w:p>
    <w:p w14:paraId="590BAF0E" w14:textId="77777777" w:rsidR="00F300EE" w:rsidRPr="00F300EE" w:rsidRDefault="00F300EE" w:rsidP="00F300EE">
      <w:pPr>
        <w:rPr>
          <w:sz w:val="16"/>
        </w:rPr>
      </w:pPr>
    </w:p>
    <w:p w14:paraId="304790DE" w14:textId="77777777" w:rsidR="00F300EE" w:rsidRPr="00F300EE" w:rsidRDefault="00F300EE" w:rsidP="00F300EE">
      <w:pPr>
        <w:rPr>
          <w:sz w:val="16"/>
          <w:szCs w:val="20"/>
        </w:rPr>
      </w:pPr>
      <w:r w:rsidRPr="00F300EE">
        <w:rPr>
          <w:rStyle w:val="FootnoteReference"/>
          <w:sz w:val="20"/>
        </w:rPr>
        <w:t>2</w:t>
      </w:r>
      <w:r w:rsidRPr="00F300EE">
        <w:rPr>
          <w:sz w:val="20"/>
        </w:rPr>
        <w:t xml:space="preserve"> Note: Adjusted age to total 100%  </w:t>
      </w:r>
    </w:p>
    <w:p w14:paraId="448D53E3" w14:textId="77777777" w:rsidR="00F300EE" w:rsidRDefault="00F300EE" w:rsidP="00F300EE">
      <w:pPr>
        <w:rPr>
          <w:rStyle w:val="Heading2Char"/>
        </w:rPr>
      </w:pPr>
    </w:p>
    <w:p w14:paraId="0810BED6" w14:textId="77777777" w:rsidR="00F300EE" w:rsidRPr="00F300EE" w:rsidRDefault="00F300EE" w:rsidP="00E12BB2">
      <w:pPr>
        <w:ind w:left="270"/>
        <w:jc w:val="center"/>
        <w:rPr>
          <w:vertAlign w:val="superscript"/>
        </w:rPr>
      </w:pPr>
      <w:r w:rsidRPr="00F300EE">
        <w:rPr>
          <w:b/>
        </w:rPr>
        <w:t>Table 2:</w:t>
      </w:r>
      <w:r w:rsidRPr="00E34BB8">
        <w:t xml:space="preserve"> </w:t>
      </w:r>
      <w:r>
        <w:t>Summary of Screening Soft Quotas for Physician Study</w:t>
      </w:r>
      <w:r w:rsidRPr="00F300EE">
        <w:rPr>
          <w:vertAlign w:val="superscript"/>
        </w:rPr>
        <w:t>3</w:t>
      </w:r>
    </w:p>
    <w:tbl>
      <w:tblPr>
        <w:tblStyle w:val="TableGrid"/>
        <w:tblW w:w="0" w:type="auto"/>
        <w:tblInd w:w="108" w:type="dxa"/>
        <w:tblLook w:val="04A0" w:firstRow="1" w:lastRow="0" w:firstColumn="1" w:lastColumn="0" w:noHBand="0" w:noVBand="1"/>
      </w:tblPr>
      <w:tblGrid>
        <w:gridCol w:w="2610"/>
        <w:gridCol w:w="3870"/>
        <w:gridCol w:w="1890"/>
      </w:tblGrid>
      <w:tr w:rsidR="00F300EE" w:rsidRPr="00E34BB8" w14:paraId="1C92EB9F" w14:textId="77777777" w:rsidTr="002D462B">
        <w:trPr>
          <w:trHeight w:val="467"/>
        </w:trPr>
        <w:tc>
          <w:tcPr>
            <w:tcW w:w="2610" w:type="dxa"/>
            <w:tcBorders>
              <w:bottom w:val="single" w:sz="4" w:space="0" w:color="auto"/>
            </w:tcBorders>
            <w:shd w:val="clear" w:color="auto" w:fill="DD4814"/>
            <w:vAlign w:val="center"/>
          </w:tcPr>
          <w:p w14:paraId="0575D410" w14:textId="77777777" w:rsidR="00F300EE" w:rsidRPr="00D41774" w:rsidRDefault="00F300EE" w:rsidP="002D462B">
            <w:pPr>
              <w:rPr>
                <w:b/>
                <w:color w:val="FFFFFF" w:themeColor="background1"/>
              </w:rPr>
            </w:pPr>
            <w:r w:rsidRPr="00D41774">
              <w:rPr>
                <w:b/>
                <w:color w:val="FFFFFF" w:themeColor="background1"/>
              </w:rPr>
              <w:t>Category</w:t>
            </w:r>
          </w:p>
        </w:tc>
        <w:tc>
          <w:tcPr>
            <w:tcW w:w="3870" w:type="dxa"/>
            <w:tcBorders>
              <w:bottom w:val="single" w:sz="4" w:space="0" w:color="auto"/>
            </w:tcBorders>
            <w:shd w:val="clear" w:color="auto" w:fill="DD4814"/>
            <w:vAlign w:val="center"/>
          </w:tcPr>
          <w:p w14:paraId="145525C2" w14:textId="77777777" w:rsidR="00F300EE" w:rsidRPr="00D41774" w:rsidRDefault="00F300EE" w:rsidP="002D462B">
            <w:pPr>
              <w:rPr>
                <w:b/>
                <w:color w:val="FFFFFF" w:themeColor="background1"/>
              </w:rPr>
            </w:pPr>
            <w:r w:rsidRPr="00D41774">
              <w:rPr>
                <w:b/>
                <w:color w:val="FFFFFF" w:themeColor="background1"/>
              </w:rPr>
              <w:t>Classification</w:t>
            </w:r>
          </w:p>
        </w:tc>
        <w:tc>
          <w:tcPr>
            <w:tcW w:w="1890" w:type="dxa"/>
            <w:tcBorders>
              <w:bottom w:val="single" w:sz="4" w:space="0" w:color="auto"/>
            </w:tcBorders>
            <w:shd w:val="clear" w:color="auto" w:fill="DD4814"/>
            <w:vAlign w:val="center"/>
          </w:tcPr>
          <w:p w14:paraId="219642F1" w14:textId="77777777" w:rsidR="00F300EE" w:rsidRPr="00D41774" w:rsidRDefault="00F300EE" w:rsidP="002D462B">
            <w:pPr>
              <w:jc w:val="center"/>
              <w:rPr>
                <w:b/>
                <w:color w:val="FFFFFF" w:themeColor="background1"/>
              </w:rPr>
            </w:pPr>
            <w:r>
              <w:rPr>
                <w:b/>
                <w:color w:val="FFFFFF" w:themeColor="background1"/>
              </w:rPr>
              <w:t>Soft Quotas</w:t>
            </w:r>
          </w:p>
        </w:tc>
      </w:tr>
      <w:tr w:rsidR="00F300EE" w:rsidRPr="00E34BB8" w14:paraId="5389D5ED" w14:textId="77777777" w:rsidTr="002D462B">
        <w:tc>
          <w:tcPr>
            <w:tcW w:w="2610" w:type="dxa"/>
            <w:vMerge w:val="restart"/>
            <w:shd w:val="clear" w:color="auto" w:fill="D9D9D9" w:themeFill="background1" w:themeFillShade="D9"/>
            <w:vAlign w:val="center"/>
          </w:tcPr>
          <w:p w14:paraId="4B6604F5" w14:textId="77777777" w:rsidR="00F300EE" w:rsidRPr="005F00DD" w:rsidRDefault="00F300EE" w:rsidP="002D462B">
            <w:r w:rsidRPr="005F00DD">
              <w:t>Gender</w:t>
            </w:r>
            <w:r w:rsidRPr="006D210F">
              <w:rPr>
                <w:vertAlign w:val="superscript"/>
              </w:rPr>
              <w:t>3</w:t>
            </w:r>
          </w:p>
        </w:tc>
        <w:tc>
          <w:tcPr>
            <w:tcW w:w="3870" w:type="dxa"/>
            <w:shd w:val="clear" w:color="auto" w:fill="D9D9D9" w:themeFill="background1" w:themeFillShade="D9"/>
            <w:vAlign w:val="center"/>
          </w:tcPr>
          <w:p w14:paraId="23D90ECF" w14:textId="77777777" w:rsidR="00F300EE" w:rsidRPr="005F00DD" w:rsidRDefault="00F300EE" w:rsidP="002D462B">
            <w:r w:rsidRPr="005F00DD">
              <w:t>Male</w:t>
            </w:r>
          </w:p>
        </w:tc>
        <w:tc>
          <w:tcPr>
            <w:tcW w:w="1890" w:type="dxa"/>
            <w:shd w:val="clear" w:color="auto" w:fill="D9D9D9" w:themeFill="background1" w:themeFillShade="D9"/>
            <w:vAlign w:val="center"/>
          </w:tcPr>
          <w:p w14:paraId="5919F2F0" w14:textId="77777777" w:rsidR="00F300EE" w:rsidRPr="005F00DD" w:rsidRDefault="00F300EE" w:rsidP="002D462B">
            <w:pPr>
              <w:jc w:val="center"/>
            </w:pPr>
            <w:r>
              <w:t>67%</w:t>
            </w:r>
          </w:p>
        </w:tc>
      </w:tr>
      <w:tr w:rsidR="00F300EE" w:rsidRPr="00E34BB8" w14:paraId="15F3D5F6" w14:textId="77777777" w:rsidTr="002D462B">
        <w:tc>
          <w:tcPr>
            <w:tcW w:w="2610" w:type="dxa"/>
            <w:vMerge/>
            <w:tcBorders>
              <w:bottom w:val="single" w:sz="4" w:space="0" w:color="auto"/>
            </w:tcBorders>
            <w:shd w:val="clear" w:color="auto" w:fill="D9D9D9" w:themeFill="background1" w:themeFillShade="D9"/>
            <w:vAlign w:val="center"/>
          </w:tcPr>
          <w:p w14:paraId="69E0BEC9" w14:textId="77777777" w:rsidR="00F300EE" w:rsidRPr="005F00DD" w:rsidRDefault="00F300EE" w:rsidP="002D462B"/>
        </w:tc>
        <w:tc>
          <w:tcPr>
            <w:tcW w:w="3870" w:type="dxa"/>
            <w:tcBorders>
              <w:bottom w:val="single" w:sz="4" w:space="0" w:color="auto"/>
            </w:tcBorders>
            <w:shd w:val="clear" w:color="auto" w:fill="D9D9D9" w:themeFill="background1" w:themeFillShade="D9"/>
            <w:vAlign w:val="center"/>
          </w:tcPr>
          <w:p w14:paraId="6E040F1E" w14:textId="77777777" w:rsidR="00F300EE" w:rsidRPr="005F00DD" w:rsidRDefault="00F300EE" w:rsidP="002D462B">
            <w:r w:rsidRPr="005F00DD">
              <w:t>Female</w:t>
            </w:r>
          </w:p>
        </w:tc>
        <w:tc>
          <w:tcPr>
            <w:tcW w:w="1890" w:type="dxa"/>
            <w:tcBorders>
              <w:bottom w:val="single" w:sz="4" w:space="0" w:color="auto"/>
            </w:tcBorders>
            <w:shd w:val="clear" w:color="auto" w:fill="D9D9D9" w:themeFill="background1" w:themeFillShade="D9"/>
            <w:vAlign w:val="center"/>
          </w:tcPr>
          <w:p w14:paraId="2CC4D388" w14:textId="77777777" w:rsidR="00F300EE" w:rsidRPr="005F00DD" w:rsidRDefault="00F300EE" w:rsidP="002D462B">
            <w:pPr>
              <w:jc w:val="center"/>
            </w:pPr>
            <w:r>
              <w:t>33%</w:t>
            </w:r>
          </w:p>
        </w:tc>
      </w:tr>
      <w:tr w:rsidR="00F300EE" w:rsidRPr="00E34BB8" w14:paraId="3CCD649E" w14:textId="77777777" w:rsidTr="002D462B">
        <w:tc>
          <w:tcPr>
            <w:tcW w:w="2610" w:type="dxa"/>
            <w:vMerge w:val="restart"/>
            <w:shd w:val="clear" w:color="auto" w:fill="auto"/>
            <w:vAlign w:val="center"/>
          </w:tcPr>
          <w:p w14:paraId="4663F1C5" w14:textId="77777777" w:rsidR="00F300EE" w:rsidRPr="0016569A" w:rsidRDefault="00F300EE" w:rsidP="002D462B">
            <w:pPr>
              <w:rPr>
                <w:vertAlign w:val="superscript"/>
              </w:rPr>
            </w:pPr>
            <w:r w:rsidRPr="005F00DD">
              <w:t>Race/Ethnicity</w:t>
            </w:r>
            <w:r w:rsidRPr="006D210F">
              <w:rPr>
                <w:vertAlign w:val="superscript"/>
              </w:rPr>
              <w:t>4</w:t>
            </w:r>
          </w:p>
        </w:tc>
        <w:tc>
          <w:tcPr>
            <w:tcW w:w="3870" w:type="dxa"/>
            <w:shd w:val="clear" w:color="auto" w:fill="auto"/>
            <w:vAlign w:val="center"/>
          </w:tcPr>
          <w:p w14:paraId="033EDD46" w14:textId="77777777" w:rsidR="00F300EE" w:rsidRPr="005F00DD" w:rsidRDefault="00F300EE" w:rsidP="002D462B">
            <w:r>
              <w:t>White, Non-Hispanic</w:t>
            </w:r>
          </w:p>
        </w:tc>
        <w:tc>
          <w:tcPr>
            <w:tcW w:w="1890" w:type="dxa"/>
            <w:shd w:val="clear" w:color="auto" w:fill="auto"/>
            <w:vAlign w:val="center"/>
          </w:tcPr>
          <w:p w14:paraId="1DBB7D94" w14:textId="77777777" w:rsidR="00F300EE" w:rsidRPr="005F00DD" w:rsidRDefault="00F300EE" w:rsidP="002D462B">
            <w:pPr>
              <w:jc w:val="center"/>
            </w:pPr>
            <w:r>
              <w:t>49%</w:t>
            </w:r>
          </w:p>
        </w:tc>
      </w:tr>
      <w:tr w:rsidR="00F300EE" w:rsidRPr="00E34BB8" w14:paraId="25392D74" w14:textId="77777777" w:rsidTr="002D462B">
        <w:tc>
          <w:tcPr>
            <w:tcW w:w="2610" w:type="dxa"/>
            <w:vMerge/>
            <w:shd w:val="clear" w:color="auto" w:fill="auto"/>
            <w:vAlign w:val="center"/>
          </w:tcPr>
          <w:p w14:paraId="2E99E7AD" w14:textId="77777777" w:rsidR="00F300EE" w:rsidRPr="005F00DD" w:rsidRDefault="00F300EE" w:rsidP="002D462B"/>
        </w:tc>
        <w:tc>
          <w:tcPr>
            <w:tcW w:w="3870" w:type="dxa"/>
            <w:shd w:val="clear" w:color="auto" w:fill="auto"/>
            <w:vAlign w:val="center"/>
          </w:tcPr>
          <w:p w14:paraId="6159AF5D" w14:textId="77777777" w:rsidR="00F300EE" w:rsidRPr="005F00DD" w:rsidRDefault="00F300EE" w:rsidP="002D462B">
            <w:r>
              <w:t>Black, Non-Hispanic</w:t>
            </w:r>
          </w:p>
        </w:tc>
        <w:tc>
          <w:tcPr>
            <w:tcW w:w="1890" w:type="dxa"/>
            <w:shd w:val="clear" w:color="auto" w:fill="auto"/>
            <w:vAlign w:val="center"/>
          </w:tcPr>
          <w:p w14:paraId="48A9629E" w14:textId="77777777" w:rsidR="00F300EE" w:rsidRPr="005F00DD" w:rsidRDefault="00F300EE" w:rsidP="002D462B">
            <w:pPr>
              <w:jc w:val="center"/>
            </w:pPr>
            <w:r>
              <w:t>4%</w:t>
            </w:r>
          </w:p>
        </w:tc>
      </w:tr>
      <w:tr w:rsidR="00F300EE" w:rsidRPr="00E34BB8" w14:paraId="36E11DB8" w14:textId="77777777" w:rsidTr="002D462B">
        <w:tc>
          <w:tcPr>
            <w:tcW w:w="2610" w:type="dxa"/>
            <w:vMerge/>
            <w:shd w:val="clear" w:color="auto" w:fill="auto"/>
            <w:vAlign w:val="center"/>
          </w:tcPr>
          <w:p w14:paraId="1D917DC1" w14:textId="77777777" w:rsidR="00F300EE" w:rsidRPr="005F00DD" w:rsidRDefault="00F300EE" w:rsidP="002D462B"/>
        </w:tc>
        <w:tc>
          <w:tcPr>
            <w:tcW w:w="3870" w:type="dxa"/>
            <w:shd w:val="clear" w:color="auto" w:fill="auto"/>
            <w:vAlign w:val="center"/>
          </w:tcPr>
          <w:p w14:paraId="71921AF2" w14:textId="77777777" w:rsidR="00F300EE" w:rsidRPr="005F00DD" w:rsidRDefault="00F300EE" w:rsidP="002D462B">
            <w:r>
              <w:t>Asian, Non-Hispanic</w:t>
            </w:r>
          </w:p>
        </w:tc>
        <w:tc>
          <w:tcPr>
            <w:tcW w:w="1890" w:type="dxa"/>
            <w:shd w:val="clear" w:color="auto" w:fill="auto"/>
            <w:vAlign w:val="center"/>
          </w:tcPr>
          <w:p w14:paraId="0D209AD9" w14:textId="77777777" w:rsidR="00F300EE" w:rsidRPr="005F00DD" w:rsidRDefault="00F300EE" w:rsidP="002D462B">
            <w:pPr>
              <w:jc w:val="center"/>
            </w:pPr>
            <w:r>
              <w:t>12%</w:t>
            </w:r>
          </w:p>
        </w:tc>
      </w:tr>
      <w:tr w:rsidR="00F300EE" w:rsidRPr="00E34BB8" w14:paraId="06032C14" w14:textId="77777777" w:rsidTr="002D462B">
        <w:tc>
          <w:tcPr>
            <w:tcW w:w="2610" w:type="dxa"/>
            <w:vMerge/>
            <w:shd w:val="clear" w:color="auto" w:fill="auto"/>
            <w:vAlign w:val="center"/>
          </w:tcPr>
          <w:p w14:paraId="753E0018" w14:textId="77777777" w:rsidR="00F300EE" w:rsidRPr="005F00DD" w:rsidRDefault="00F300EE" w:rsidP="002D462B"/>
        </w:tc>
        <w:tc>
          <w:tcPr>
            <w:tcW w:w="3870" w:type="dxa"/>
            <w:shd w:val="clear" w:color="auto" w:fill="auto"/>
            <w:vAlign w:val="center"/>
          </w:tcPr>
          <w:p w14:paraId="66969A45" w14:textId="77777777" w:rsidR="00F300EE" w:rsidRPr="005F00DD" w:rsidRDefault="00F300EE" w:rsidP="002D462B">
            <w:r>
              <w:t>Hispanic</w:t>
            </w:r>
          </w:p>
        </w:tc>
        <w:tc>
          <w:tcPr>
            <w:tcW w:w="1890" w:type="dxa"/>
            <w:shd w:val="clear" w:color="auto" w:fill="auto"/>
            <w:vAlign w:val="center"/>
          </w:tcPr>
          <w:p w14:paraId="3AA92527" w14:textId="77777777" w:rsidR="00F300EE" w:rsidRPr="005F00DD" w:rsidRDefault="00F300EE" w:rsidP="002D462B">
            <w:pPr>
              <w:jc w:val="center"/>
            </w:pPr>
            <w:r>
              <w:t>4%</w:t>
            </w:r>
          </w:p>
        </w:tc>
      </w:tr>
      <w:tr w:rsidR="00F300EE" w:rsidRPr="00E34BB8" w14:paraId="7F3F7CFA" w14:textId="77777777" w:rsidTr="002D462B">
        <w:tc>
          <w:tcPr>
            <w:tcW w:w="2610" w:type="dxa"/>
            <w:vMerge/>
            <w:tcBorders>
              <w:bottom w:val="single" w:sz="4" w:space="0" w:color="auto"/>
            </w:tcBorders>
            <w:shd w:val="clear" w:color="auto" w:fill="auto"/>
            <w:vAlign w:val="center"/>
          </w:tcPr>
          <w:p w14:paraId="42BEA5C0" w14:textId="77777777" w:rsidR="00F300EE" w:rsidRPr="005F00DD" w:rsidRDefault="00F300EE" w:rsidP="002D462B"/>
        </w:tc>
        <w:tc>
          <w:tcPr>
            <w:tcW w:w="3870" w:type="dxa"/>
            <w:tcBorders>
              <w:bottom w:val="single" w:sz="4" w:space="0" w:color="auto"/>
            </w:tcBorders>
            <w:shd w:val="clear" w:color="auto" w:fill="auto"/>
            <w:vAlign w:val="center"/>
          </w:tcPr>
          <w:p w14:paraId="26E99037" w14:textId="77777777" w:rsidR="00F300EE" w:rsidRPr="005F00DD" w:rsidRDefault="00F300EE" w:rsidP="002D462B">
            <w:r>
              <w:t>Other/Unknown</w:t>
            </w:r>
            <w:r w:rsidRPr="00214731">
              <w:rPr>
                <w:vertAlign w:val="superscript"/>
              </w:rPr>
              <w:t>5</w:t>
            </w:r>
          </w:p>
        </w:tc>
        <w:tc>
          <w:tcPr>
            <w:tcW w:w="1890" w:type="dxa"/>
            <w:tcBorders>
              <w:bottom w:val="single" w:sz="4" w:space="0" w:color="auto"/>
            </w:tcBorders>
            <w:shd w:val="clear" w:color="auto" w:fill="auto"/>
            <w:vAlign w:val="center"/>
          </w:tcPr>
          <w:p w14:paraId="694E632C" w14:textId="77777777" w:rsidR="00F300EE" w:rsidRPr="005F00DD" w:rsidRDefault="00F300EE" w:rsidP="002D462B">
            <w:pPr>
              <w:jc w:val="center"/>
            </w:pPr>
            <w:r>
              <w:t>31%</w:t>
            </w:r>
          </w:p>
        </w:tc>
      </w:tr>
      <w:tr w:rsidR="00F300EE" w:rsidRPr="00E34BB8" w14:paraId="376E801C" w14:textId="77777777" w:rsidTr="002D462B">
        <w:tc>
          <w:tcPr>
            <w:tcW w:w="2610" w:type="dxa"/>
            <w:vMerge w:val="restart"/>
            <w:shd w:val="clear" w:color="auto" w:fill="D9D9D9" w:themeFill="background1" w:themeFillShade="D9"/>
            <w:vAlign w:val="center"/>
          </w:tcPr>
          <w:p w14:paraId="41AA7589" w14:textId="77777777" w:rsidR="00F300EE" w:rsidRPr="005F00DD" w:rsidRDefault="00F300EE" w:rsidP="002D462B">
            <w:r w:rsidRPr="005F00DD">
              <w:t>Age</w:t>
            </w:r>
            <w:r w:rsidRPr="006D210F">
              <w:rPr>
                <w:vertAlign w:val="superscript"/>
              </w:rPr>
              <w:t>3</w:t>
            </w:r>
          </w:p>
        </w:tc>
        <w:tc>
          <w:tcPr>
            <w:tcW w:w="3870" w:type="dxa"/>
            <w:shd w:val="clear" w:color="auto" w:fill="D9D9D9" w:themeFill="background1" w:themeFillShade="D9"/>
            <w:vAlign w:val="center"/>
          </w:tcPr>
          <w:p w14:paraId="436BE635" w14:textId="77777777" w:rsidR="00F300EE" w:rsidRPr="005F00DD" w:rsidRDefault="00F300EE" w:rsidP="002D462B">
            <w:r>
              <w:t>39 or under</w:t>
            </w:r>
          </w:p>
        </w:tc>
        <w:tc>
          <w:tcPr>
            <w:tcW w:w="1890" w:type="dxa"/>
            <w:shd w:val="clear" w:color="auto" w:fill="D9D9D9" w:themeFill="background1" w:themeFillShade="D9"/>
            <w:vAlign w:val="center"/>
          </w:tcPr>
          <w:p w14:paraId="1D6B4623" w14:textId="77777777" w:rsidR="00F300EE" w:rsidRPr="005F00DD" w:rsidRDefault="00F300EE" w:rsidP="002D462B">
            <w:pPr>
              <w:jc w:val="center"/>
            </w:pPr>
            <w:r>
              <w:t>21%</w:t>
            </w:r>
          </w:p>
        </w:tc>
      </w:tr>
      <w:tr w:rsidR="00F300EE" w:rsidRPr="00E34BB8" w14:paraId="086AF0E6" w14:textId="77777777" w:rsidTr="002D462B">
        <w:tc>
          <w:tcPr>
            <w:tcW w:w="2610" w:type="dxa"/>
            <w:vMerge/>
            <w:shd w:val="clear" w:color="auto" w:fill="D9D9D9" w:themeFill="background1" w:themeFillShade="D9"/>
            <w:vAlign w:val="center"/>
          </w:tcPr>
          <w:p w14:paraId="25359262" w14:textId="77777777" w:rsidR="00F300EE" w:rsidRPr="005F00DD" w:rsidRDefault="00F300EE" w:rsidP="002D462B"/>
        </w:tc>
        <w:tc>
          <w:tcPr>
            <w:tcW w:w="3870" w:type="dxa"/>
            <w:shd w:val="clear" w:color="auto" w:fill="D9D9D9" w:themeFill="background1" w:themeFillShade="D9"/>
            <w:vAlign w:val="center"/>
          </w:tcPr>
          <w:p w14:paraId="133D75C6" w14:textId="77777777" w:rsidR="00F300EE" w:rsidRDefault="00F300EE" w:rsidP="002D462B">
            <w:r>
              <w:t>40–49</w:t>
            </w:r>
          </w:p>
        </w:tc>
        <w:tc>
          <w:tcPr>
            <w:tcW w:w="1890" w:type="dxa"/>
            <w:shd w:val="clear" w:color="auto" w:fill="D9D9D9" w:themeFill="background1" w:themeFillShade="D9"/>
            <w:vAlign w:val="center"/>
          </w:tcPr>
          <w:p w14:paraId="37DBDAF0" w14:textId="77777777" w:rsidR="00F300EE" w:rsidRPr="005F00DD" w:rsidRDefault="00F300EE" w:rsidP="002D462B">
            <w:pPr>
              <w:jc w:val="center"/>
            </w:pPr>
            <w:r>
              <w:t>24%</w:t>
            </w:r>
          </w:p>
        </w:tc>
      </w:tr>
      <w:tr w:rsidR="00F300EE" w:rsidRPr="00E34BB8" w14:paraId="563E011D" w14:textId="77777777" w:rsidTr="002D462B">
        <w:tc>
          <w:tcPr>
            <w:tcW w:w="2610" w:type="dxa"/>
            <w:vMerge/>
            <w:shd w:val="clear" w:color="auto" w:fill="D9D9D9" w:themeFill="background1" w:themeFillShade="D9"/>
            <w:vAlign w:val="center"/>
          </w:tcPr>
          <w:p w14:paraId="09A85484" w14:textId="77777777" w:rsidR="00F300EE" w:rsidRPr="005F00DD" w:rsidRDefault="00F300EE" w:rsidP="002D462B"/>
        </w:tc>
        <w:tc>
          <w:tcPr>
            <w:tcW w:w="3870" w:type="dxa"/>
            <w:shd w:val="clear" w:color="auto" w:fill="D9D9D9" w:themeFill="background1" w:themeFillShade="D9"/>
            <w:vAlign w:val="center"/>
          </w:tcPr>
          <w:p w14:paraId="19BEFED5" w14:textId="77777777" w:rsidR="00F300EE" w:rsidRPr="005F00DD" w:rsidRDefault="00F300EE" w:rsidP="002D462B">
            <w:r>
              <w:t>50–59</w:t>
            </w:r>
          </w:p>
        </w:tc>
        <w:tc>
          <w:tcPr>
            <w:tcW w:w="1890" w:type="dxa"/>
            <w:shd w:val="clear" w:color="auto" w:fill="D9D9D9" w:themeFill="background1" w:themeFillShade="D9"/>
            <w:vAlign w:val="center"/>
          </w:tcPr>
          <w:p w14:paraId="4F42F1AB" w14:textId="77777777" w:rsidR="00F300EE" w:rsidRPr="005F00DD" w:rsidRDefault="00F300EE" w:rsidP="002D462B">
            <w:pPr>
              <w:jc w:val="center"/>
            </w:pPr>
            <w:r>
              <w:t>24%</w:t>
            </w:r>
          </w:p>
        </w:tc>
      </w:tr>
      <w:tr w:rsidR="00F300EE" w:rsidRPr="00E34BB8" w14:paraId="628358C0" w14:textId="77777777" w:rsidTr="002D462B">
        <w:tc>
          <w:tcPr>
            <w:tcW w:w="2610" w:type="dxa"/>
            <w:vMerge/>
            <w:shd w:val="clear" w:color="auto" w:fill="D9D9D9" w:themeFill="background1" w:themeFillShade="D9"/>
            <w:vAlign w:val="center"/>
          </w:tcPr>
          <w:p w14:paraId="23BDA721" w14:textId="77777777" w:rsidR="00F300EE" w:rsidRPr="005F00DD" w:rsidRDefault="00F300EE" w:rsidP="002D462B"/>
        </w:tc>
        <w:tc>
          <w:tcPr>
            <w:tcW w:w="3870" w:type="dxa"/>
            <w:shd w:val="clear" w:color="auto" w:fill="D9D9D9" w:themeFill="background1" w:themeFillShade="D9"/>
            <w:vAlign w:val="center"/>
          </w:tcPr>
          <w:p w14:paraId="3DC15E8D" w14:textId="77777777" w:rsidR="00F300EE" w:rsidRPr="005F00DD" w:rsidRDefault="00F300EE" w:rsidP="002D462B">
            <w:r>
              <w:t>60</w:t>
            </w:r>
            <w:r w:rsidRPr="005F00DD">
              <w:t xml:space="preserve"> or Older</w:t>
            </w:r>
          </w:p>
        </w:tc>
        <w:tc>
          <w:tcPr>
            <w:tcW w:w="1890" w:type="dxa"/>
            <w:shd w:val="clear" w:color="auto" w:fill="D9D9D9" w:themeFill="background1" w:themeFillShade="D9"/>
            <w:vAlign w:val="center"/>
          </w:tcPr>
          <w:p w14:paraId="3E551E97" w14:textId="77777777" w:rsidR="00F300EE" w:rsidRPr="005F00DD" w:rsidRDefault="00F300EE" w:rsidP="002D462B">
            <w:pPr>
              <w:jc w:val="center"/>
            </w:pPr>
            <w:r>
              <w:t>31%</w:t>
            </w:r>
          </w:p>
        </w:tc>
      </w:tr>
    </w:tbl>
    <w:p w14:paraId="63F0AC0B" w14:textId="77777777" w:rsidR="00F300EE" w:rsidRPr="00F300EE" w:rsidRDefault="00F300EE" w:rsidP="00F300EE">
      <w:pPr>
        <w:rPr>
          <w:sz w:val="20"/>
        </w:rPr>
      </w:pPr>
      <w:r w:rsidRPr="00F300EE">
        <w:rPr>
          <w:rStyle w:val="FootnoteReference"/>
          <w:sz w:val="20"/>
        </w:rPr>
        <w:t>3</w:t>
      </w:r>
      <w:r w:rsidRPr="00F300EE">
        <w:rPr>
          <w:sz w:val="20"/>
        </w:rPr>
        <w:t xml:space="preserve"> Young, A. et al. (2014). A Census of Actively Licensed Physicians in the United States. </w:t>
      </w:r>
      <w:r w:rsidRPr="00F300EE">
        <w:rPr>
          <w:i/>
          <w:sz w:val="20"/>
        </w:rPr>
        <w:t>Journal of Medical Regulation</w:t>
      </w:r>
      <w:r w:rsidRPr="00F300EE">
        <w:rPr>
          <w:sz w:val="20"/>
        </w:rPr>
        <w:t>, 101:2, 8–23</w:t>
      </w:r>
      <w:r w:rsidRPr="00F300EE">
        <w:rPr>
          <w:i/>
          <w:sz w:val="20"/>
        </w:rPr>
        <w:t xml:space="preserve">. </w:t>
      </w:r>
      <w:r w:rsidRPr="00F300EE">
        <w:rPr>
          <w:sz w:val="20"/>
        </w:rPr>
        <w:t xml:space="preserve">Retrieved from </w:t>
      </w:r>
      <w:hyperlink r:id="rId10" w:history="1">
        <w:r w:rsidRPr="00F300EE">
          <w:rPr>
            <w:rStyle w:val="Hyperlink"/>
            <w:sz w:val="20"/>
          </w:rPr>
          <w:t>http://www.fsmb.org/Media/Default/PDF/Census/2014census.pdf</w:t>
        </w:r>
      </w:hyperlink>
    </w:p>
    <w:p w14:paraId="23050A39" w14:textId="77777777" w:rsidR="00F300EE" w:rsidRPr="00F300EE" w:rsidRDefault="00F300EE" w:rsidP="00F300EE">
      <w:pPr>
        <w:rPr>
          <w:sz w:val="20"/>
        </w:rPr>
      </w:pPr>
    </w:p>
    <w:p w14:paraId="1365F996" w14:textId="77777777" w:rsidR="00F300EE" w:rsidRPr="00F300EE" w:rsidRDefault="00F300EE" w:rsidP="00F300EE">
      <w:pPr>
        <w:rPr>
          <w:sz w:val="20"/>
        </w:rPr>
      </w:pPr>
      <w:r w:rsidRPr="00F300EE">
        <w:rPr>
          <w:sz w:val="20"/>
          <w:vertAlign w:val="superscript"/>
        </w:rPr>
        <w:t>4</w:t>
      </w:r>
      <w:r w:rsidRPr="00F300EE">
        <w:rPr>
          <w:sz w:val="20"/>
        </w:rPr>
        <w:t xml:space="preserve"> Association of American Medical Colleges. Diversity in the Physician Workforce: Facts &amp; Figures 2014. Retrieved from </w:t>
      </w:r>
      <w:hyperlink r:id="rId11" w:history="1">
        <w:r w:rsidRPr="00F300EE">
          <w:rPr>
            <w:rStyle w:val="Hyperlink"/>
            <w:sz w:val="20"/>
          </w:rPr>
          <w:t>http://aamcdiversityfactsandfigures.org/section-ii-current-status-of-us-physician-workforce/</w:t>
        </w:r>
      </w:hyperlink>
      <w:r w:rsidRPr="00F300EE">
        <w:rPr>
          <w:sz w:val="20"/>
        </w:rPr>
        <w:t xml:space="preserve"> </w:t>
      </w:r>
    </w:p>
    <w:p w14:paraId="4A24B0E7" w14:textId="77777777" w:rsidR="00F300EE" w:rsidRPr="00F300EE" w:rsidRDefault="00F300EE" w:rsidP="00F300EE">
      <w:pPr>
        <w:rPr>
          <w:sz w:val="16"/>
        </w:rPr>
      </w:pPr>
    </w:p>
    <w:p w14:paraId="7CA37DB5" w14:textId="77777777" w:rsidR="00F300EE" w:rsidRPr="00F300EE" w:rsidRDefault="00F300EE" w:rsidP="00F300EE">
      <w:pPr>
        <w:rPr>
          <w:sz w:val="20"/>
        </w:rPr>
      </w:pPr>
      <w:r w:rsidRPr="00F300EE">
        <w:rPr>
          <w:sz w:val="20"/>
          <w:vertAlign w:val="superscript"/>
        </w:rPr>
        <w:t>5</w:t>
      </w:r>
      <w:r w:rsidRPr="00F300EE">
        <w:rPr>
          <w:sz w:val="20"/>
        </w:rPr>
        <w:t xml:space="preserve"> Flexible for quota purposes</w:t>
      </w:r>
    </w:p>
    <w:p w14:paraId="5AE1ADF5" w14:textId="1D789D96" w:rsidR="00CA557D" w:rsidRPr="00E00EA0" w:rsidRDefault="00F300EE" w:rsidP="00517186">
      <w:pPr>
        <w:spacing w:before="100" w:beforeAutospacing="1" w:after="100" w:afterAutospacing="1"/>
        <w:ind w:left="360" w:hanging="360"/>
        <w:rPr>
          <w:u w:val="single"/>
        </w:rPr>
      </w:pPr>
      <w:r w:rsidRPr="00E12BB2">
        <w:t xml:space="preserve">2. </w:t>
      </w:r>
      <w:r w:rsidR="00CA557D" w:rsidRPr="00E00EA0">
        <w:rPr>
          <w:u w:val="single"/>
        </w:rPr>
        <w:t>Procedures for the Collection of Information</w:t>
      </w:r>
    </w:p>
    <w:p w14:paraId="7A28953A" w14:textId="15013788" w:rsidR="00A750F4" w:rsidRPr="0011729B" w:rsidRDefault="006D7E73" w:rsidP="007E168D">
      <w:pPr>
        <w:ind w:left="288"/>
        <w:contextualSpacing/>
      </w:pPr>
      <w:r>
        <w:t xml:space="preserve">Part A of the supporting statement described the rationale for conducting the study. </w:t>
      </w:r>
      <w:r w:rsidR="00A750F4" w:rsidRPr="00A750F4">
        <w:rPr>
          <w:color w:val="000000"/>
        </w:rPr>
        <w:t xml:space="preserve">The proposed study seeks to address </w:t>
      </w:r>
      <w:r w:rsidR="00702383">
        <w:rPr>
          <w:color w:val="000000"/>
        </w:rPr>
        <w:t xml:space="preserve">the following </w:t>
      </w:r>
      <w:r w:rsidR="0011729B">
        <w:rPr>
          <w:color w:val="000000"/>
        </w:rPr>
        <w:t xml:space="preserve">general </w:t>
      </w:r>
      <w:r w:rsidR="00702383">
        <w:rPr>
          <w:color w:val="000000"/>
        </w:rPr>
        <w:t>research question</w:t>
      </w:r>
      <w:r w:rsidR="00A750F4" w:rsidRPr="00A750F4">
        <w:rPr>
          <w:color w:val="000000"/>
        </w:rPr>
        <w:t>:</w:t>
      </w:r>
      <w:r w:rsidR="00702383">
        <w:rPr>
          <w:color w:val="000000"/>
        </w:rPr>
        <w:t xml:space="preserve"> </w:t>
      </w:r>
      <w:r w:rsidR="00702383">
        <w:t>a</w:t>
      </w:r>
      <w:r w:rsidR="00702383" w:rsidRPr="009B68CD">
        <w:t xml:space="preserve">re </w:t>
      </w:r>
      <w:r w:rsidR="00702383">
        <w:t>healthcare professionals (</w:t>
      </w:r>
      <w:r w:rsidR="00702383" w:rsidRPr="009B68CD">
        <w:t>HCPs</w:t>
      </w:r>
      <w:r w:rsidR="00702383">
        <w:t>)</w:t>
      </w:r>
      <w:r w:rsidR="00702383" w:rsidRPr="009B68CD">
        <w:t xml:space="preserve"> and consumers able to use disclosures to appropriately frame information in efficacy claims in prescription drug promotion?</w:t>
      </w:r>
      <w:r w:rsidR="00A750F4" w:rsidRPr="00A750F4">
        <w:rPr>
          <w:color w:val="000000"/>
        </w:rPr>
        <w:t xml:space="preserve"> </w:t>
      </w:r>
    </w:p>
    <w:p w14:paraId="0B2DC811" w14:textId="77777777" w:rsidR="0011729B" w:rsidRDefault="0011729B" w:rsidP="007E168D">
      <w:pPr>
        <w:ind w:left="634" w:firstLine="720"/>
        <w:rPr>
          <w:color w:val="000000"/>
        </w:rPr>
      </w:pPr>
    </w:p>
    <w:p w14:paraId="7660E986" w14:textId="1BBD9D46" w:rsidR="0011729B" w:rsidRDefault="0011729B" w:rsidP="007E168D">
      <w:pPr>
        <w:ind w:left="634" w:firstLine="720"/>
        <w:rPr>
          <w:color w:val="000000"/>
        </w:rPr>
      </w:pPr>
      <w:r>
        <w:rPr>
          <w:color w:val="000000"/>
        </w:rPr>
        <w:t xml:space="preserve">Our specific research questions are as follows: </w:t>
      </w:r>
      <w:r w:rsidR="00587D25">
        <w:rPr>
          <w:color w:val="000000"/>
        </w:rPr>
        <w:t xml:space="preserve">  </w:t>
      </w:r>
    </w:p>
    <w:p w14:paraId="6F45C418" w14:textId="77777777" w:rsidR="0011729B" w:rsidRDefault="0011729B" w:rsidP="00E12BB2">
      <w:pPr>
        <w:ind w:left="634"/>
        <w:rPr>
          <w:rFonts w:ascii="Franklin Gothic Book" w:hAnsi="Franklin Gothic Book"/>
          <w:b/>
          <w:sz w:val="22"/>
          <w:szCs w:val="22"/>
        </w:rPr>
      </w:pPr>
    </w:p>
    <w:p w14:paraId="6280B9AA" w14:textId="6ABC12CD" w:rsidR="0011729B" w:rsidRPr="0011729B" w:rsidRDefault="0011729B" w:rsidP="0011729B">
      <w:pPr>
        <w:numPr>
          <w:ilvl w:val="0"/>
          <w:numId w:val="14"/>
        </w:numPr>
        <w:spacing w:after="120"/>
      </w:pPr>
      <w:r w:rsidRPr="0011729B">
        <w:t xml:space="preserve">Do HCPs and consumers remember and comprehend the three </w:t>
      </w:r>
      <w:r>
        <w:t xml:space="preserve">promotional </w:t>
      </w:r>
      <w:r w:rsidRPr="0011729B">
        <w:t>claims differently depending on the presence or absence of a disclosure and which disclosure it is?</w:t>
      </w:r>
    </w:p>
    <w:p w14:paraId="7F5F8CA4" w14:textId="77777777" w:rsidR="0011729B" w:rsidRPr="0011729B" w:rsidRDefault="0011729B" w:rsidP="0011729B">
      <w:pPr>
        <w:numPr>
          <w:ilvl w:val="0"/>
          <w:numId w:val="14"/>
        </w:numPr>
        <w:spacing w:after="120"/>
      </w:pPr>
      <w:r w:rsidRPr="0011729B">
        <w:t xml:space="preserve">Do HCPs and consumers perceive the benefits of the products differently depending on the presence or absence of a disclosure and which disclosure it is? </w:t>
      </w:r>
    </w:p>
    <w:p w14:paraId="3275E101" w14:textId="557073BF" w:rsidR="0011729B" w:rsidRPr="0011729B" w:rsidRDefault="0011729B" w:rsidP="0011729B">
      <w:pPr>
        <w:numPr>
          <w:ilvl w:val="0"/>
          <w:numId w:val="14"/>
        </w:numPr>
        <w:spacing w:after="120"/>
      </w:pPr>
      <w:r w:rsidRPr="0011729B">
        <w:lastRenderedPageBreak/>
        <w:t>How well do HCPs and consumers notice, remember, and comprehend the disclosures in the different conditions</w:t>
      </w:r>
      <w:r>
        <w:t>?</w:t>
      </w:r>
    </w:p>
    <w:p w14:paraId="052B53F2" w14:textId="77777777" w:rsidR="00A750F4" w:rsidRPr="00A750F4" w:rsidRDefault="00A750F4" w:rsidP="00A750F4">
      <w:pPr>
        <w:ind w:firstLine="720"/>
        <w:rPr>
          <w:color w:val="000000"/>
        </w:rPr>
      </w:pPr>
    </w:p>
    <w:p w14:paraId="2A1E2455" w14:textId="1E7FEAE2" w:rsidR="0011729B" w:rsidRPr="0011729B" w:rsidRDefault="0011729B" w:rsidP="00E12BB2">
      <w:pPr>
        <w:ind w:left="720"/>
      </w:pPr>
      <w:r w:rsidRPr="0011729B">
        <w:t>To address these questions,</w:t>
      </w:r>
      <w:r>
        <w:t xml:space="preserve"> we have designed two studies, one with HCPs and one with consumers. </w:t>
      </w:r>
      <w:r w:rsidRPr="0011729B">
        <w:t>Both studies have three 1x3 designs, with level of disclosure as a between-subjects factor. Double lines in the tables below delineate each 1x3 sub-study. Participants will view one promotional piece for each type of claim in random order, with the level of disclosure also randomized for each claim type.</w:t>
      </w:r>
    </w:p>
    <w:p w14:paraId="61649849" w14:textId="77777777" w:rsidR="0011729B" w:rsidRPr="0011729B" w:rsidRDefault="0011729B" w:rsidP="0011729B"/>
    <w:p w14:paraId="6B330654" w14:textId="77777777" w:rsidR="0011729B" w:rsidRPr="0011729B" w:rsidRDefault="0011729B" w:rsidP="0011729B"/>
    <w:p w14:paraId="1F86AE3E" w14:textId="77777777" w:rsidR="0011729B" w:rsidRPr="0011729B" w:rsidRDefault="0011729B" w:rsidP="0011729B">
      <w:pPr>
        <w:rPr>
          <w:b/>
        </w:rPr>
      </w:pPr>
      <w:r w:rsidRPr="0011729B">
        <w:rPr>
          <w:b/>
        </w:rPr>
        <w:t>Study A: HCPs</w:t>
      </w:r>
    </w:p>
    <w:p w14:paraId="0CD73F64" w14:textId="77777777" w:rsidR="0011729B" w:rsidRPr="0011729B" w:rsidRDefault="0011729B" w:rsidP="001172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394"/>
        <w:gridCol w:w="2394"/>
        <w:gridCol w:w="2394"/>
        <w:gridCol w:w="2394"/>
      </w:tblGrid>
      <w:tr w:rsidR="0011729B" w:rsidRPr="0011729B" w14:paraId="0850DE6D" w14:textId="77777777" w:rsidTr="002D462B">
        <w:trPr>
          <w:trHeight w:val="645"/>
        </w:trPr>
        <w:tc>
          <w:tcPr>
            <w:tcW w:w="2394" w:type="dxa"/>
            <w:vMerge w:val="restart"/>
            <w:shd w:val="clear" w:color="auto" w:fill="D5D6D2"/>
            <w:vAlign w:val="center"/>
          </w:tcPr>
          <w:p w14:paraId="38A7A204" w14:textId="77777777" w:rsidR="0011729B" w:rsidRPr="0011729B" w:rsidRDefault="0011729B" w:rsidP="002D462B">
            <w:pPr>
              <w:jc w:val="center"/>
              <w:rPr>
                <w:b/>
                <w:color w:val="DF6113"/>
              </w:rPr>
            </w:pPr>
            <w:r w:rsidRPr="0011729B">
              <w:rPr>
                <w:b/>
                <w:color w:val="DF6113"/>
              </w:rPr>
              <w:t>Type of Claim</w:t>
            </w:r>
          </w:p>
        </w:tc>
        <w:tc>
          <w:tcPr>
            <w:tcW w:w="7182" w:type="dxa"/>
            <w:gridSpan w:val="3"/>
            <w:tcBorders>
              <w:bottom w:val="single" w:sz="4" w:space="0" w:color="auto"/>
            </w:tcBorders>
            <w:shd w:val="clear" w:color="auto" w:fill="D5D6D2"/>
            <w:vAlign w:val="center"/>
          </w:tcPr>
          <w:p w14:paraId="11FF4042" w14:textId="77777777" w:rsidR="0011729B" w:rsidRPr="0011729B" w:rsidRDefault="0011729B" w:rsidP="002D462B">
            <w:pPr>
              <w:jc w:val="center"/>
              <w:rPr>
                <w:b/>
                <w:color w:val="DF6113"/>
              </w:rPr>
            </w:pPr>
            <w:r w:rsidRPr="0011729B">
              <w:rPr>
                <w:b/>
                <w:color w:val="DF6113"/>
              </w:rPr>
              <w:t>Level of Disclosure</w:t>
            </w:r>
          </w:p>
        </w:tc>
      </w:tr>
      <w:tr w:rsidR="0011729B" w:rsidRPr="0011729B" w14:paraId="206AE9B2" w14:textId="77777777" w:rsidTr="002D462B">
        <w:tc>
          <w:tcPr>
            <w:tcW w:w="2394" w:type="dxa"/>
            <w:vMerge/>
            <w:tcBorders>
              <w:bottom w:val="single" w:sz="4" w:space="0" w:color="auto"/>
            </w:tcBorders>
            <w:shd w:val="clear" w:color="auto" w:fill="D9D9D9"/>
            <w:vAlign w:val="center"/>
          </w:tcPr>
          <w:p w14:paraId="2171A2CA" w14:textId="77777777" w:rsidR="0011729B" w:rsidRPr="0011729B" w:rsidRDefault="0011729B" w:rsidP="002D462B">
            <w:pPr>
              <w:jc w:val="center"/>
              <w:rPr>
                <w:b/>
              </w:rPr>
            </w:pPr>
          </w:p>
        </w:tc>
        <w:tc>
          <w:tcPr>
            <w:tcW w:w="2394" w:type="dxa"/>
            <w:tcBorders>
              <w:bottom w:val="single" w:sz="4" w:space="0" w:color="auto"/>
            </w:tcBorders>
            <w:shd w:val="clear" w:color="auto" w:fill="D9D9D9"/>
            <w:vAlign w:val="center"/>
          </w:tcPr>
          <w:p w14:paraId="1F7ED2C9" w14:textId="77777777" w:rsidR="0011729B" w:rsidRPr="0011729B" w:rsidRDefault="0011729B" w:rsidP="002D462B">
            <w:pPr>
              <w:jc w:val="center"/>
            </w:pPr>
            <w:r w:rsidRPr="0011729B">
              <w:t>Weak</w:t>
            </w:r>
          </w:p>
        </w:tc>
        <w:tc>
          <w:tcPr>
            <w:tcW w:w="2394" w:type="dxa"/>
            <w:tcBorders>
              <w:bottom w:val="single" w:sz="4" w:space="0" w:color="auto"/>
            </w:tcBorders>
            <w:shd w:val="clear" w:color="auto" w:fill="D9D9D9"/>
            <w:vAlign w:val="center"/>
          </w:tcPr>
          <w:p w14:paraId="5F6933B9" w14:textId="77777777" w:rsidR="0011729B" w:rsidRPr="0011729B" w:rsidRDefault="0011729B" w:rsidP="002D462B">
            <w:pPr>
              <w:jc w:val="center"/>
            </w:pPr>
            <w:r w:rsidRPr="0011729B">
              <w:t>Strong</w:t>
            </w:r>
          </w:p>
        </w:tc>
        <w:tc>
          <w:tcPr>
            <w:tcW w:w="2394" w:type="dxa"/>
            <w:tcBorders>
              <w:bottom w:val="single" w:sz="4" w:space="0" w:color="auto"/>
            </w:tcBorders>
            <w:shd w:val="clear" w:color="auto" w:fill="D9D9D9"/>
            <w:vAlign w:val="center"/>
          </w:tcPr>
          <w:p w14:paraId="61F21DB7" w14:textId="77777777" w:rsidR="0011729B" w:rsidRPr="0011729B" w:rsidRDefault="0011729B" w:rsidP="002D462B">
            <w:pPr>
              <w:jc w:val="center"/>
            </w:pPr>
            <w:r w:rsidRPr="0011729B">
              <w:t>Control</w:t>
            </w:r>
          </w:p>
        </w:tc>
      </w:tr>
      <w:tr w:rsidR="0011729B" w:rsidRPr="0011729B" w14:paraId="793B4210" w14:textId="77777777" w:rsidTr="002D462B">
        <w:tc>
          <w:tcPr>
            <w:tcW w:w="2394" w:type="dxa"/>
            <w:tcBorders>
              <w:top w:val="single" w:sz="4" w:space="0" w:color="auto"/>
              <w:bottom w:val="double" w:sz="4" w:space="0" w:color="auto"/>
            </w:tcBorders>
            <w:shd w:val="clear" w:color="auto" w:fill="auto"/>
            <w:vAlign w:val="center"/>
          </w:tcPr>
          <w:p w14:paraId="409420F0" w14:textId="77777777" w:rsidR="0011729B" w:rsidRPr="0011729B" w:rsidRDefault="0011729B" w:rsidP="002D462B">
            <w:pPr>
              <w:jc w:val="center"/>
              <w:rPr>
                <w:b/>
              </w:rPr>
            </w:pPr>
            <w:r w:rsidRPr="0011729B">
              <w:rPr>
                <w:b/>
              </w:rPr>
              <w:t>Scope of Treatment</w:t>
            </w:r>
          </w:p>
        </w:tc>
        <w:tc>
          <w:tcPr>
            <w:tcW w:w="2394" w:type="dxa"/>
            <w:tcBorders>
              <w:top w:val="single" w:sz="4" w:space="0" w:color="auto"/>
              <w:bottom w:val="double" w:sz="4" w:space="0" w:color="auto"/>
            </w:tcBorders>
            <w:shd w:val="clear" w:color="auto" w:fill="auto"/>
            <w:vAlign w:val="center"/>
          </w:tcPr>
          <w:p w14:paraId="0DC077C6" w14:textId="77777777" w:rsidR="0011729B" w:rsidRPr="0011729B" w:rsidRDefault="0011729B" w:rsidP="002D462B">
            <w:pPr>
              <w:jc w:val="center"/>
            </w:pPr>
            <w:r w:rsidRPr="0011729B">
              <w:t>Evidence Only</w:t>
            </w:r>
          </w:p>
        </w:tc>
        <w:tc>
          <w:tcPr>
            <w:tcW w:w="2394" w:type="dxa"/>
            <w:tcBorders>
              <w:top w:val="single" w:sz="4" w:space="0" w:color="auto"/>
              <w:bottom w:val="double" w:sz="4" w:space="0" w:color="auto"/>
            </w:tcBorders>
            <w:shd w:val="clear" w:color="auto" w:fill="auto"/>
            <w:vAlign w:val="center"/>
          </w:tcPr>
          <w:p w14:paraId="2BBF9F94" w14:textId="77777777" w:rsidR="0011729B" w:rsidRPr="0011729B" w:rsidRDefault="0011729B" w:rsidP="002D462B">
            <w:pPr>
              <w:jc w:val="center"/>
            </w:pPr>
            <w:r w:rsidRPr="0011729B">
              <w:t>Evidence + Conclusion</w:t>
            </w:r>
          </w:p>
        </w:tc>
        <w:tc>
          <w:tcPr>
            <w:tcW w:w="2394" w:type="dxa"/>
            <w:tcBorders>
              <w:top w:val="single" w:sz="4" w:space="0" w:color="auto"/>
              <w:bottom w:val="double" w:sz="4" w:space="0" w:color="auto"/>
            </w:tcBorders>
            <w:shd w:val="clear" w:color="auto" w:fill="auto"/>
            <w:vAlign w:val="center"/>
          </w:tcPr>
          <w:p w14:paraId="7159B087" w14:textId="77777777" w:rsidR="0011729B" w:rsidRPr="0011729B" w:rsidRDefault="0011729B" w:rsidP="002D462B">
            <w:pPr>
              <w:jc w:val="center"/>
            </w:pPr>
          </w:p>
          <w:p w14:paraId="18D61AFD" w14:textId="77777777" w:rsidR="0011729B" w:rsidRPr="0011729B" w:rsidRDefault="0011729B" w:rsidP="002D462B">
            <w:pPr>
              <w:jc w:val="center"/>
            </w:pPr>
            <w:r w:rsidRPr="0011729B">
              <w:t>None</w:t>
            </w:r>
          </w:p>
          <w:p w14:paraId="68D61D9F" w14:textId="77777777" w:rsidR="0011729B" w:rsidRPr="0011729B" w:rsidRDefault="0011729B" w:rsidP="002D462B">
            <w:pPr>
              <w:jc w:val="center"/>
            </w:pPr>
          </w:p>
        </w:tc>
      </w:tr>
      <w:tr w:rsidR="0011729B" w:rsidRPr="0011729B" w14:paraId="340AA18D" w14:textId="77777777" w:rsidTr="002D462B">
        <w:tc>
          <w:tcPr>
            <w:tcW w:w="2394" w:type="dxa"/>
            <w:tcBorders>
              <w:top w:val="double" w:sz="4" w:space="0" w:color="auto"/>
              <w:bottom w:val="double" w:sz="4" w:space="0" w:color="auto"/>
            </w:tcBorders>
            <w:shd w:val="clear" w:color="auto" w:fill="auto"/>
            <w:vAlign w:val="center"/>
          </w:tcPr>
          <w:p w14:paraId="71624FD4" w14:textId="77777777" w:rsidR="0011729B" w:rsidRPr="0011729B" w:rsidRDefault="0011729B" w:rsidP="002D462B">
            <w:pPr>
              <w:jc w:val="center"/>
              <w:rPr>
                <w:b/>
              </w:rPr>
            </w:pPr>
            <w:r w:rsidRPr="0011729B">
              <w:rPr>
                <w:b/>
              </w:rPr>
              <w:t>Ease of Use</w:t>
            </w:r>
          </w:p>
        </w:tc>
        <w:tc>
          <w:tcPr>
            <w:tcW w:w="2394" w:type="dxa"/>
            <w:tcBorders>
              <w:top w:val="double" w:sz="4" w:space="0" w:color="auto"/>
              <w:bottom w:val="double" w:sz="4" w:space="0" w:color="auto"/>
            </w:tcBorders>
            <w:shd w:val="clear" w:color="auto" w:fill="auto"/>
            <w:vAlign w:val="center"/>
          </w:tcPr>
          <w:p w14:paraId="639D6722" w14:textId="2E612F10" w:rsidR="0011729B" w:rsidRPr="0011729B" w:rsidRDefault="004D5F7E" w:rsidP="002D462B">
            <w:pPr>
              <w:jc w:val="center"/>
            </w:pPr>
            <w:r>
              <w:t>Example</w:t>
            </w:r>
          </w:p>
        </w:tc>
        <w:tc>
          <w:tcPr>
            <w:tcW w:w="2394" w:type="dxa"/>
            <w:tcBorders>
              <w:top w:val="double" w:sz="4" w:space="0" w:color="auto"/>
              <w:bottom w:val="double" w:sz="4" w:space="0" w:color="auto"/>
            </w:tcBorders>
            <w:shd w:val="clear" w:color="auto" w:fill="auto"/>
            <w:vAlign w:val="center"/>
          </w:tcPr>
          <w:p w14:paraId="288A6B94" w14:textId="0DC6B292" w:rsidR="0011729B" w:rsidRPr="0011729B" w:rsidRDefault="004D5F7E" w:rsidP="002D462B">
            <w:pPr>
              <w:jc w:val="center"/>
            </w:pPr>
            <w:r>
              <w:t>Specific Requirements</w:t>
            </w:r>
          </w:p>
        </w:tc>
        <w:tc>
          <w:tcPr>
            <w:tcW w:w="2394" w:type="dxa"/>
            <w:tcBorders>
              <w:top w:val="double" w:sz="4" w:space="0" w:color="auto"/>
              <w:bottom w:val="double" w:sz="4" w:space="0" w:color="auto"/>
            </w:tcBorders>
            <w:shd w:val="clear" w:color="auto" w:fill="auto"/>
            <w:vAlign w:val="center"/>
          </w:tcPr>
          <w:p w14:paraId="614DD9A4" w14:textId="77777777" w:rsidR="0011729B" w:rsidRPr="0011729B" w:rsidRDefault="0011729B" w:rsidP="002D462B">
            <w:pPr>
              <w:jc w:val="center"/>
            </w:pPr>
          </w:p>
          <w:p w14:paraId="02A3505C" w14:textId="77777777" w:rsidR="0011729B" w:rsidRPr="0011729B" w:rsidRDefault="0011729B" w:rsidP="002D462B">
            <w:pPr>
              <w:jc w:val="center"/>
            </w:pPr>
            <w:r w:rsidRPr="0011729B">
              <w:t>None</w:t>
            </w:r>
          </w:p>
          <w:p w14:paraId="4E4E7C7D" w14:textId="77777777" w:rsidR="0011729B" w:rsidRPr="0011729B" w:rsidRDefault="0011729B" w:rsidP="002D462B">
            <w:pPr>
              <w:jc w:val="center"/>
            </w:pPr>
          </w:p>
        </w:tc>
      </w:tr>
      <w:tr w:rsidR="0011729B" w:rsidRPr="0011729B" w14:paraId="0CB34AC5" w14:textId="77777777" w:rsidTr="002D462B">
        <w:tc>
          <w:tcPr>
            <w:tcW w:w="2394" w:type="dxa"/>
            <w:tcBorders>
              <w:top w:val="double" w:sz="4" w:space="0" w:color="auto"/>
            </w:tcBorders>
            <w:shd w:val="clear" w:color="auto" w:fill="auto"/>
            <w:vAlign w:val="center"/>
          </w:tcPr>
          <w:p w14:paraId="16E47C69" w14:textId="77777777" w:rsidR="0011729B" w:rsidRPr="0011729B" w:rsidRDefault="0011729B" w:rsidP="002D462B">
            <w:pPr>
              <w:jc w:val="center"/>
              <w:rPr>
                <w:b/>
              </w:rPr>
            </w:pPr>
            <w:r w:rsidRPr="0011729B">
              <w:rPr>
                <w:b/>
              </w:rPr>
              <w:t>Statistical Significance</w:t>
            </w:r>
          </w:p>
        </w:tc>
        <w:tc>
          <w:tcPr>
            <w:tcW w:w="2394" w:type="dxa"/>
            <w:tcBorders>
              <w:top w:val="double" w:sz="4" w:space="0" w:color="auto"/>
            </w:tcBorders>
            <w:shd w:val="clear" w:color="auto" w:fill="auto"/>
            <w:vAlign w:val="center"/>
          </w:tcPr>
          <w:p w14:paraId="568587FB" w14:textId="77777777" w:rsidR="0011729B" w:rsidRPr="0011729B" w:rsidRDefault="0011729B" w:rsidP="002D462B">
            <w:pPr>
              <w:jc w:val="center"/>
            </w:pPr>
            <w:r w:rsidRPr="0011729B">
              <w:t>Evidence Only</w:t>
            </w:r>
          </w:p>
        </w:tc>
        <w:tc>
          <w:tcPr>
            <w:tcW w:w="2394" w:type="dxa"/>
            <w:tcBorders>
              <w:top w:val="double" w:sz="4" w:space="0" w:color="auto"/>
            </w:tcBorders>
            <w:shd w:val="clear" w:color="auto" w:fill="auto"/>
            <w:vAlign w:val="center"/>
          </w:tcPr>
          <w:p w14:paraId="5BBE9F18" w14:textId="77777777" w:rsidR="0011729B" w:rsidRPr="0011729B" w:rsidRDefault="0011729B" w:rsidP="002D462B">
            <w:pPr>
              <w:jc w:val="center"/>
            </w:pPr>
            <w:r w:rsidRPr="0011729B">
              <w:t>Evidence + Conclusion</w:t>
            </w:r>
          </w:p>
        </w:tc>
        <w:tc>
          <w:tcPr>
            <w:tcW w:w="2394" w:type="dxa"/>
            <w:tcBorders>
              <w:top w:val="double" w:sz="4" w:space="0" w:color="auto"/>
            </w:tcBorders>
            <w:shd w:val="clear" w:color="auto" w:fill="auto"/>
            <w:vAlign w:val="center"/>
          </w:tcPr>
          <w:p w14:paraId="3AEA3FAC" w14:textId="77777777" w:rsidR="0011729B" w:rsidRPr="0011729B" w:rsidRDefault="0011729B" w:rsidP="002D462B">
            <w:pPr>
              <w:jc w:val="center"/>
            </w:pPr>
          </w:p>
          <w:p w14:paraId="47998F29" w14:textId="77777777" w:rsidR="0011729B" w:rsidRPr="0011729B" w:rsidRDefault="0011729B" w:rsidP="002D462B">
            <w:pPr>
              <w:jc w:val="center"/>
            </w:pPr>
            <w:r w:rsidRPr="0011729B">
              <w:t>None</w:t>
            </w:r>
          </w:p>
          <w:p w14:paraId="69160463" w14:textId="77777777" w:rsidR="0011729B" w:rsidRPr="0011729B" w:rsidRDefault="0011729B" w:rsidP="002D462B">
            <w:pPr>
              <w:jc w:val="center"/>
            </w:pPr>
          </w:p>
        </w:tc>
      </w:tr>
    </w:tbl>
    <w:p w14:paraId="55482442" w14:textId="77777777" w:rsidR="0011729B" w:rsidRPr="0011729B" w:rsidRDefault="0011729B" w:rsidP="0011729B"/>
    <w:p w14:paraId="4BA3D6C3" w14:textId="77777777" w:rsidR="0011729B" w:rsidRPr="0011729B" w:rsidRDefault="0011729B" w:rsidP="0011729B"/>
    <w:p w14:paraId="6772C80F" w14:textId="77777777" w:rsidR="0011729B" w:rsidRPr="0011729B" w:rsidRDefault="0011729B" w:rsidP="0011729B">
      <w:pPr>
        <w:rPr>
          <w:b/>
        </w:rPr>
      </w:pPr>
      <w:r w:rsidRPr="0011729B">
        <w:rPr>
          <w:b/>
        </w:rPr>
        <w:t>Study B: Consumers</w:t>
      </w:r>
    </w:p>
    <w:p w14:paraId="3971E3C2" w14:textId="77777777" w:rsidR="0011729B" w:rsidRPr="0011729B" w:rsidRDefault="0011729B" w:rsidP="001172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394"/>
        <w:gridCol w:w="2394"/>
        <w:gridCol w:w="2394"/>
        <w:gridCol w:w="2394"/>
      </w:tblGrid>
      <w:tr w:rsidR="0011729B" w:rsidRPr="0011729B" w14:paraId="0985EF52" w14:textId="77777777" w:rsidTr="002D462B">
        <w:trPr>
          <w:trHeight w:val="645"/>
        </w:trPr>
        <w:tc>
          <w:tcPr>
            <w:tcW w:w="2394" w:type="dxa"/>
            <w:vMerge w:val="restart"/>
            <w:shd w:val="clear" w:color="auto" w:fill="D5D6D2"/>
            <w:vAlign w:val="center"/>
          </w:tcPr>
          <w:p w14:paraId="613B4A10" w14:textId="77777777" w:rsidR="0011729B" w:rsidRPr="0011729B" w:rsidRDefault="0011729B" w:rsidP="002D462B">
            <w:pPr>
              <w:jc w:val="center"/>
              <w:rPr>
                <w:b/>
                <w:color w:val="DF6113"/>
              </w:rPr>
            </w:pPr>
            <w:r w:rsidRPr="0011729B">
              <w:rPr>
                <w:b/>
                <w:color w:val="DF6113"/>
              </w:rPr>
              <w:t>Type of Claim</w:t>
            </w:r>
          </w:p>
        </w:tc>
        <w:tc>
          <w:tcPr>
            <w:tcW w:w="7182" w:type="dxa"/>
            <w:gridSpan w:val="3"/>
            <w:tcBorders>
              <w:bottom w:val="single" w:sz="4" w:space="0" w:color="auto"/>
            </w:tcBorders>
            <w:shd w:val="clear" w:color="auto" w:fill="D5D6D2"/>
            <w:vAlign w:val="center"/>
          </w:tcPr>
          <w:p w14:paraId="3A9537AE" w14:textId="77777777" w:rsidR="0011729B" w:rsidRPr="0011729B" w:rsidRDefault="0011729B" w:rsidP="002D462B">
            <w:pPr>
              <w:jc w:val="center"/>
              <w:rPr>
                <w:b/>
                <w:color w:val="DF6113"/>
              </w:rPr>
            </w:pPr>
            <w:r w:rsidRPr="0011729B">
              <w:rPr>
                <w:b/>
                <w:color w:val="DF6113"/>
              </w:rPr>
              <w:t>Level of Disclosure</w:t>
            </w:r>
          </w:p>
        </w:tc>
      </w:tr>
      <w:tr w:rsidR="0011729B" w:rsidRPr="0011729B" w14:paraId="7952AEF6" w14:textId="77777777" w:rsidTr="002D462B">
        <w:tc>
          <w:tcPr>
            <w:tcW w:w="2394" w:type="dxa"/>
            <w:vMerge/>
            <w:tcBorders>
              <w:bottom w:val="single" w:sz="4" w:space="0" w:color="auto"/>
            </w:tcBorders>
            <w:shd w:val="clear" w:color="auto" w:fill="D9D9D9"/>
            <w:vAlign w:val="center"/>
          </w:tcPr>
          <w:p w14:paraId="723ADFD9" w14:textId="77777777" w:rsidR="0011729B" w:rsidRPr="0011729B" w:rsidRDefault="0011729B" w:rsidP="002D462B">
            <w:pPr>
              <w:jc w:val="center"/>
              <w:rPr>
                <w:b/>
              </w:rPr>
            </w:pPr>
          </w:p>
        </w:tc>
        <w:tc>
          <w:tcPr>
            <w:tcW w:w="2394" w:type="dxa"/>
            <w:tcBorders>
              <w:bottom w:val="single" w:sz="4" w:space="0" w:color="auto"/>
            </w:tcBorders>
            <w:shd w:val="clear" w:color="auto" w:fill="D9D9D9"/>
            <w:vAlign w:val="center"/>
          </w:tcPr>
          <w:p w14:paraId="57AA7779" w14:textId="77777777" w:rsidR="0011729B" w:rsidRPr="0011729B" w:rsidRDefault="0011729B" w:rsidP="002D462B">
            <w:pPr>
              <w:jc w:val="center"/>
            </w:pPr>
            <w:r w:rsidRPr="0011729B">
              <w:t>Weak</w:t>
            </w:r>
          </w:p>
        </w:tc>
        <w:tc>
          <w:tcPr>
            <w:tcW w:w="2394" w:type="dxa"/>
            <w:tcBorders>
              <w:bottom w:val="single" w:sz="4" w:space="0" w:color="auto"/>
            </w:tcBorders>
            <w:shd w:val="clear" w:color="auto" w:fill="D9D9D9"/>
            <w:vAlign w:val="center"/>
          </w:tcPr>
          <w:p w14:paraId="41B64F86" w14:textId="77777777" w:rsidR="0011729B" w:rsidRPr="0011729B" w:rsidRDefault="0011729B" w:rsidP="002D462B">
            <w:pPr>
              <w:jc w:val="center"/>
            </w:pPr>
            <w:r w:rsidRPr="0011729B">
              <w:t>Strong</w:t>
            </w:r>
          </w:p>
        </w:tc>
        <w:tc>
          <w:tcPr>
            <w:tcW w:w="2394" w:type="dxa"/>
            <w:tcBorders>
              <w:bottom w:val="single" w:sz="4" w:space="0" w:color="auto"/>
            </w:tcBorders>
            <w:shd w:val="clear" w:color="auto" w:fill="D9D9D9"/>
            <w:vAlign w:val="center"/>
          </w:tcPr>
          <w:p w14:paraId="0A15971B" w14:textId="77777777" w:rsidR="0011729B" w:rsidRPr="0011729B" w:rsidRDefault="0011729B" w:rsidP="002D462B">
            <w:pPr>
              <w:jc w:val="center"/>
            </w:pPr>
            <w:r w:rsidRPr="0011729B">
              <w:t>Control</w:t>
            </w:r>
          </w:p>
        </w:tc>
      </w:tr>
      <w:tr w:rsidR="0011729B" w:rsidRPr="0011729B" w14:paraId="7C6FEBCF" w14:textId="77777777" w:rsidTr="002D462B">
        <w:tc>
          <w:tcPr>
            <w:tcW w:w="2394" w:type="dxa"/>
            <w:tcBorders>
              <w:top w:val="single" w:sz="4" w:space="0" w:color="auto"/>
              <w:bottom w:val="double" w:sz="4" w:space="0" w:color="auto"/>
            </w:tcBorders>
            <w:shd w:val="clear" w:color="auto" w:fill="auto"/>
            <w:vAlign w:val="center"/>
          </w:tcPr>
          <w:p w14:paraId="740F107F" w14:textId="77777777" w:rsidR="0011729B" w:rsidRPr="0011729B" w:rsidRDefault="0011729B" w:rsidP="002D462B">
            <w:pPr>
              <w:jc w:val="center"/>
              <w:rPr>
                <w:b/>
              </w:rPr>
            </w:pPr>
            <w:r w:rsidRPr="0011729B">
              <w:rPr>
                <w:b/>
              </w:rPr>
              <w:t>Scope of Treatment</w:t>
            </w:r>
          </w:p>
        </w:tc>
        <w:tc>
          <w:tcPr>
            <w:tcW w:w="2394" w:type="dxa"/>
            <w:tcBorders>
              <w:top w:val="single" w:sz="4" w:space="0" w:color="auto"/>
              <w:bottom w:val="double" w:sz="4" w:space="0" w:color="auto"/>
            </w:tcBorders>
            <w:shd w:val="clear" w:color="auto" w:fill="auto"/>
            <w:vAlign w:val="center"/>
          </w:tcPr>
          <w:p w14:paraId="00F8BF04" w14:textId="77777777" w:rsidR="0011729B" w:rsidRPr="0011729B" w:rsidRDefault="0011729B" w:rsidP="002D462B">
            <w:pPr>
              <w:jc w:val="center"/>
            </w:pPr>
            <w:r w:rsidRPr="0011729B">
              <w:t>Evidence Only</w:t>
            </w:r>
          </w:p>
        </w:tc>
        <w:tc>
          <w:tcPr>
            <w:tcW w:w="2394" w:type="dxa"/>
            <w:tcBorders>
              <w:top w:val="single" w:sz="4" w:space="0" w:color="auto"/>
              <w:bottom w:val="double" w:sz="4" w:space="0" w:color="auto"/>
            </w:tcBorders>
            <w:shd w:val="clear" w:color="auto" w:fill="auto"/>
            <w:vAlign w:val="center"/>
          </w:tcPr>
          <w:p w14:paraId="61C4BF10" w14:textId="77777777" w:rsidR="0011729B" w:rsidRPr="0011729B" w:rsidRDefault="0011729B" w:rsidP="002D462B">
            <w:pPr>
              <w:jc w:val="center"/>
            </w:pPr>
            <w:r w:rsidRPr="0011729B">
              <w:t>Evidence + Conclusion</w:t>
            </w:r>
          </w:p>
        </w:tc>
        <w:tc>
          <w:tcPr>
            <w:tcW w:w="2394" w:type="dxa"/>
            <w:tcBorders>
              <w:top w:val="single" w:sz="4" w:space="0" w:color="auto"/>
              <w:bottom w:val="double" w:sz="4" w:space="0" w:color="auto"/>
            </w:tcBorders>
            <w:shd w:val="clear" w:color="auto" w:fill="auto"/>
            <w:vAlign w:val="center"/>
          </w:tcPr>
          <w:p w14:paraId="53E2B502" w14:textId="77777777" w:rsidR="0011729B" w:rsidRPr="0011729B" w:rsidRDefault="0011729B" w:rsidP="002D462B">
            <w:pPr>
              <w:jc w:val="center"/>
            </w:pPr>
          </w:p>
          <w:p w14:paraId="3B46FE1F" w14:textId="77777777" w:rsidR="0011729B" w:rsidRPr="0011729B" w:rsidRDefault="0011729B" w:rsidP="002D462B">
            <w:pPr>
              <w:jc w:val="center"/>
            </w:pPr>
            <w:r w:rsidRPr="0011729B">
              <w:t>None</w:t>
            </w:r>
          </w:p>
          <w:p w14:paraId="2D8FB06C" w14:textId="77777777" w:rsidR="0011729B" w:rsidRPr="0011729B" w:rsidRDefault="0011729B" w:rsidP="002D462B">
            <w:pPr>
              <w:jc w:val="center"/>
            </w:pPr>
          </w:p>
        </w:tc>
      </w:tr>
      <w:tr w:rsidR="0011729B" w:rsidRPr="0011729B" w14:paraId="1AAD03DA" w14:textId="77777777" w:rsidTr="002D462B">
        <w:tc>
          <w:tcPr>
            <w:tcW w:w="2394" w:type="dxa"/>
            <w:tcBorders>
              <w:top w:val="double" w:sz="4" w:space="0" w:color="auto"/>
              <w:bottom w:val="double" w:sz="4" w:space="0" w:color="auto"/>
            </w:tcBorders>
            <w:shd w:val="clear" w:color="auto" w:fill="auto"/>
            <w:vAlign w:val="center"/>
          </w:tcPr>
          <w:p w14:paraId="6CB65676" w14:textId="77777777" w:rsidR="0011729B" w:rsidRPr="0011729B" w:rsidRDefault="0011729B" w:rsidP="002D462B">
            <w:pPr>
              <w:jc w:val="center"/>
              <w:rPr>
                <w:b/>
              </w:rPr>
            </w:pPr>
            <w:r w:rsidRPr="0011729B">
              <w:rPr>
                <w:b/>
              </w:rPr>
              <w:t>Ease of Use</w:t>
            </w:r>
          </w:p>
        </w:tc>
        <w:tc>
          <w:tcPr>
            <w:tcW w:w="2394" w:type="dxa"/>
            <w:tcBorders>
              <w:top w:val="double" w:sz="4" w:space="0" w:color="auto"/>
              <w:bottom w:val="double" w:sz="4" w:space="0" w:color="auto"/>
            </w:tcBorders>
            <w:shd w:val="clear" w:color="auto" w:fill="auto"/>
            <w:vAlign w:val="center"/>
          </w:tcPr>
          <w:p w14:paraId="2A1FED39" w14:textId="10E7555C" w:rsidR="0011729B" w:rsidRPr="0011729B" w:rsidRDefault="004D5F7E" w:rsidP="002D462B">
            <w:pPr>
              <w:jc w:val="center"/>
            </w:pPr>
            <w:r>
              <w:t>Example</w:t>
            </w:r>
          </w:p>
        </w:tc>
        <w:tc>
          <w:tcPr>
            <w:tcW w:w="2394" w:type="dxa"/>
            <w:tcBorders>
              <w:top w:val="double" w:sz="4" w:space="0" w:color="auto"/>
              <w:bottom w:val="double" w:sz="4" w:space="0" w:color="auto"/>
            </w:tcBorders>
            <w:shd w:val="clear" w:color="auto" w:fill="auto"/>
            <w:vAlign w:val="center"/>
          </w:tcPr>
          <w:p w14:paraId="25DC5D07" w14:textId="3FCCF9A4" w:rsidR="0011729B" w:rsidRPr="0011729B" w:rsidRDefault="004D5F7E" w:rsidP="002D462B">
            <w:pPr>
              <w:jc w:val="center"/>
            </w:pPr>
            <w:r>
              <w:t>Specific Requirements</w:t>
            </w:r>
          </w:p>
        </w:tc>
        <w:tc>
          <w:tcPr>
            <w:tcW w:w="2394" w:type="dxa"/>
            <w:tcBorders>
              <w:top w:val="double" w:sz="4" w:space="0" w:color="auto"/>
              <w:bottom w:val="double" w:sz="4" w:space="0" w:color="auto"/>
            </w:tcBorders>
            <w:shd w:val="clear" w:color="auto" w:fill="auto"/>
            <w:vAlign w:val="center"/>
          </w:tcPr>
          <w:p w14:paraId="11E9ADA9" w14:textId="77777777" w:rsidR="0011729B" w:rsidRPr="0011729B" w:rsidRDefault="0011729B" w:rsidP="002D462B">
            <w:pPr>
              <w:jc w:val="center"/>
            </w:pPr>
          </w:p>
          <w:p w14:paraId="4CB7F73F" w14:textId="77777777" w:rsidR="0011729B" w:rsidRPr="0011729B" w:rsidRDefault="0011729B" w:rsidP="002D462B">
            <w:pPr>
              <w:jc w:val="center"/>
            </w:pPr>
            <w:r w:rsidRPr="0011729B">
              <w:t>None</w:t>
            </w:r>
          </w:p>
          <w:p w14:paraId="48951755" w14:textId="77777777" w:rsidR="0011729B" w:rsidRPr="0011729B" w:rsidRDefault="0011729B" w:rsidP="002D462B">
            <w:pPr>
              <w:jc w:val="center"/>
            </w:pPr>
          </w:p>
        </w:tc>
      </w:tr>
      <w:tr w:rsidR="0011729B" w:rsidRPr="0011729B" w14:paraId="382A1843" w14:textId="77777777" w:rsidTr="002D462B">
        <w:tc>
          <w:tcPr>
            <w:tcW w:w="2394" w:type="dxa"/>
            <w:tcBorders>
              <w:top w:val="double" w:sz="4" w:space="0" w:color="auto"/>
            </w:tcBorders>
            <w:shd w:val="clear" w:color="auto" w:fill="auto"/>
            <w:vAlign w:val="center"/>
          </w:tcPr>
          <w:p w14:paraId="7A799237" w14:textId="77777777" w:rsidR="0011729B" w:rsidRPr="0011729B" w:rsidRDefault="0011729B" w:rsidP="002D462B">
            <w:pPr>
              <w:jc w:val="center"/>
              <w:rPr>
                <w:b/>
              </w:rPr>
            </w:pPr>
            <w:r w:rsidRPr="0011729B">
              <w:rPr>
                <w:b/>
              </w:rPr>
              <w:t>Statistical Significance</w:t>
            </w:r>
          </w:p>
        </w:tc>
        <w:tc>
          <w:tcPr>
            <w:tcW w:w="2394" w:type="dxa"/>
            <w:tcBorders>
              <w:top w:val="double" w:sz="4" w:space="0" w:color="auto"/>
            </w:tcBorders>
            <w:shd w:val="clear" w:color="auto" w:fill="auto"/>
            <w:vAlign w:val="center"/>
          </w:tcPr>
          <w:p w14:paraId="24EB47E3" w14:textId="77777777" w:rsidR="0011729B" w:rsidRPr="0011729B" w:rsidRDefault="0011729B" w:rsidP="002D462B">
            <w:pPr>
              <w:jc w:val="center"/>
            </w:pPr>
            <w:r w:rsidRPr="0011729B">
              <w:t>Evidence Only</w:t>
            </w:r>
          </w:p>
        </w:tc>
        <w:tc>
          <w:tcPr>
            <w:tcW w:w="2394" w:type="dxa"/>
            <w:tcBorders>
              <w:top w:val="double" w:sz="4" w:space="0" w:color="auto"/>
            </w:tcBorders>
            <w:shd w:val="clear" w:color="auto" w:fill="auto"/>
            <w:vAlign w:val="center"/>
          </w:tcPr>
          <w:p w14:paraId="71318556" w14:textId="77777777" w:rsidR="0011729B" w:rsidRPr="0011729B" w:rsidRDefault="0011729B" w:rsidP="002D462B">
            <w:pPr>
              <w:jc w:val="center"/>
            </w:pPr>
            <w:r w:rsidRPr="0011729B">
              <w:t>Evidence + Conclusion</w:t>
            </w:r>
          </w:p>
        </w:tc>
        <w:tc>
          <w:tcPr>
            <w:tcW w:w="2394" w:type="dxa"/>
            <w:tcBorders>
              <w:top w:val="double" w:sz="4" w:space="0" w:color="auto"/>
            </w:tcBorders>
            <w:shd w:val="clear" w:color="auto" w:fill="auto"/>
            <w:vAlign w:val="center"/>
          </w:tcPr>
          <w:p w14:paraId="13D52516" w14:textId="77777777" w:rsidR="0011729B" w:rsidRPr="0011729B" w:rsidRDefault="0011729B" w:rsidP="002D462B">
            <w:pPr>
              <w:jc w:val="center"/>
            </w:pPr>
          </w:p>
          <w:p w14:paraId="72FC8598" w14:textId="77777777" w:rsidR="0011729B" w:rsidRPr="0011729B" w:rsidRDefault="0011729B" w:rsidP="002D462B">
            <w:pPr>
              <w:jc w:val="center"/>
            </w:pPr>
            <w:r w:rsidRPr="0011729B">
              <w:t>None</w:t>
            </w:r>
          </w:p>
          <w:p w14:paraId="5C9E18CB" w14:textId="77777777" w:rsidR="0011729B" w:rsidRPr="0011729B" w:rsidRDefault="0011729B" w:rsidP="002D462B">
            <w:pPr>
              <w:jc w:val="center"/>
            </w:pPr>
          </w:p>
        </w:tc>
      </w:tr>
    </w:tbl>
    <w:p w14:paraId="41F18720" w14:textId="77777777" w:rsidR="0011729B" w:rsidRPr="0011729B" w:rsidRDefault="0011729B" w:rsidP="0011729B"/>
    <w:p w14:paraId="69D9A6B9" w14:textId="42345B20" w:rsidR="0011729B" w:rsidRPr="0011729B" w:rsidRDefault="00517186" w:rsidP="004550DA">
      <w:pPr>
        <w:ind w:firstLine="360"/>
        <w:rPr>
          <w:b/>
          <w:color w:val="DF6113"/>
        </w:rPr>
      </w:pPr>
      <w:r>
        <w:rPr>
          <w:b/>
        </w:rPr>
        <w:t xml:space="preserve"> </w:t>
      </w:r>
      <w:r w:rsidR="0011729B" w:rsidRPr="0011729B">
        <w:rPr>
          <w:b/>
          <w:color w:val="DF6113"/>
        </w:rPr>
        <w:t>Claim and Disclosure Manipulations</w:t>
      </w:r>
    </w:p>
    <w:p w14:paraId="5DDDE7B7" w14:textId="77777777" w:rsidR="0011729B" w:rsidRPr="0011729B" w:rsidRDefault="0011729B" w:rsidP="00E12BB2">
      <w:pPr>
        <w:ind w:left="634"/>
      </w:pPr>
    </w:p>
    <w:p w14:paraId="250F2F86" w14:textId="77777777" w:rsidR="0011729B" w:rsidRPr="0011729B" w:rsidRDefault="0011729B" w:rsidP="00517186">
      <w:pPr>
        <w:ind w:left="450"/>
      </w:pPr>
      <w:r w:rsidRPr="0011729B">
        <w:t>All promotional pieces for the two studies will be based on actual materials that OPDP reviewers have identified. Drug names and identifying details will be changed, and the drugs will be positioned as treatments for common conditions that participants are likely to be familiar with, such as hypertension, diabetes, and COPD. Disclosures for each type of claim will be similarly formatted and placed (e.g., as footnotes) and will be of similar length and level of specificity. Each promotional piece will consist of two pages: the first will provide context and will remain consistent across disclosure conditions, and the second will include the claim (also held constant across disclosure conditions) and the disclosure being tested. The drug name and branding elements will vary between claim types.</w:t>
      </w:r>
    </w:p>
    <w:p w14:paraId="529EEB90" w14:textId="77777777" w:rsidR="0011729B" w:rsidRPr="0011729B" w:rsidRDefault="0011729B" w:rsidP="0011729B">
      <w:pPr>
        <w:rPr>
          <w:b/>
        </w:rPr>
      </w:pPr>
    </w:p>
    <w:p w14:paraId="1D6FBD56" w14:textId="277B34DB" w:rsidR="0011729B" w:rsidRPr="00D463DD" w:rsidRDefault="0011729B" w:rsidP="00517186">
      <w:pPr>
        <w:spacing w:after="120"/>
        <w:ind w:left="360"/>
        <w:rPr>
          <w:b/>
        </w:rPr>
      </w:pPr>
      <w:r w:rsidRPr="0011729B">
        <w:rPr>
          <w:b/>
        </w:rPr>
        <w:t>Type of Claim: Scope of Treatment</w:t>
      </w:r>
    </w:p>
    <w:p w14:paraId="62BF5FC9" w14:textId="3CA774B9" w:rsidR="0011729B" w:rsidRPr="0011729B" w:rsidRDefault="0011729B" w:rsidP="00C916D3">
      <w:pPr>
        <w:numPr>
          <w:ilvl w:val="0"/>
          <w:numId w:val="15"/>
        </w:numPr>
        <w:spacing w:after="120"/>
      </w:pPr>
      <w:r w:rsidRPr="0011729B">
        <w:t xml:space="preserve">Claim example: “Medicines that lower your blood pressure also lower your risk for heart attack and stroke,” suggesting some effect on cardiovascular events not studied by clinical trials </w:t>
      </w:r>
    </w:p>
    <w:p w14:paraId="62CA902A" w14:textId="77777777" w:rsidR="0011729B" w:rsidRPr="0011729B" w:rsidRDefault="0011729B" w:rsidP="00517186">
      <w:pPr>
        <w:numPr>
          <w:ilvl w:val="0"/>
          <w:numId w:val="15"/>
        </w:numPr>
        <w:spacing w:after="120"/>
        <w:ind w:left="360" w:firstLine="0"/>
      </w:pPr>
      <w:r w:rsidRPr="0011729B">
        <w:t>Disclosure examples:</w:t>
      </w:r>
    </w:p>
    <w:p w14:paraId="1009758D" w14:textId="77777777" w:rsidR="0011729B" w:rsidRPr="0011729B" w:rsidRDefault="0011729B" w:rsidP="00C916D3">
      <w:pPr>
        <w:numPr>
          <w:ilvl w:val="1"/>
          <w:numId w:val="15"/>
        </w:numPr>
        <w:spacing w:after="120"/>
        <w:ind w:left="720"/>
      </w:pPr>
      <w:r w:rsidRPr="0011729B">
        <w:t>Evidence Only: “Drug X has not been tested as treatment or prevention for cardiovascular events, including heart attack and stroke.”</w:t>
      </w:r>
    </w:p>
    <w:p w14:paraId="55EF50FA" w14:textId="77777777" w:rsidR="0011729B" w:rsidRPr="0011729B" w:rsidRDefault="0011729B" w:rsidP="00C916D3">
      <w:pPr>
        <w:numPr>
          <w:ilvl w:val="1"/>
          <w:numId w:val="15"/>
        </w:numPr>
        <w:spacing w:after="120"/>
        <w:ind w:left="720"/>
      </w:pPr>
      <w:r w:rsidRPr="0011729B">
        <w:t>Evidence + Conclusion: “Because Drug X has not been tested as treatment or prevention for cardiovascular events, including heart attack and stroke, it is only approved as a treatment for high blood pressure.”</w:t>
      </w:r>
    </w:p>
    <w:p w14:paraId="59026DD8" w14:textId="77777777" w:rsidR="0011729B" w:rsidRPr="0011729B" w:rsidRDefault="0011729B" w:rsidP="00517186">
      <w:pPr>
        <w:numPr>
          <w:ilvl w:val="1"/>
          <w:numId w:val="15"/>
        </w:numPr>
        <w:spacing w:after="120"/>
        <w:ind w:left="360" w:firstLine="0"/>
      </w:pPr>
      <w:r w:rsidRPr="0011729B">
        <w:t>Control: no disclosure</w:t>
      </w:r>
    </w:p>
    <w:p w14:paraId="4D3CEE4E" w14:textId="77777777" w:rsidR="0011729B" w:rsidRPr="0011729B" w:rsidRDefault="0011729B" w:rsidP="00517186">
      <w:pPr>
        <w:spacing w:after="120"/>
        <w:ind w:left="360"/>
        <w:rPr>
          <w:b/>
        </w:rPr>
      </w:pPr>
    </w:p>
    <w:p w14:paraId="358F0353" w14:textId="77777777" w:rsidR="0011729B" w:rsidRPr="0011729B" w:rsidRDefault="0011729B" w:rsidP="00517186">
      <w:pPr>
        <w:spacing w:after="120"/>
        <w:ind w:left="360"/>
        <w:rPr>
          <w:b/>
        </w:rPr>
      </w:pPr>
      <w:r w:rsidRPr="0011729B">
        <w:rPr>
          <w:b/>
        </w:rPr>
        <w:t>Type of Claim: Ease of Use</w:t>
      </w:r>
    </w:p>
    <w:p w14:paraId="105D489E" w14:textId="506D307B" w:rsidR="0011729B" w:rsidRPr="0011729B" w:rsidRDefault="0011729B" w:rsidP="00B83D4D">
      <w:pPr>
        <w:numPr>
          <w:ilvl w:val="0"/>
          <w:numId w:val="15"/>
        </w:numPr>
        <w:spacing w:after="120"/>
      </w:pPr>
      <w:r w:rsidRPr="0011729B">
        <w:t xml:space="preserve">Claim example: “Drug Y is a simple-to-take, once daily tablet that you can take anytime, anywhere.” </w:t>
      </w:r>
    </w:p>
    <w:p w14:paraId="65B78CFE" w14:textId="77777777" w:rsidR="0011729B" w:rsidRPr="0011729B" w:rsidRDefault="0011729B" w:rsidP="00090BC1">
      <w:pPr>
        <w:numPr>
          <w:ilvl w:val="0"/>
          <w:numId w:val="15"/>
        </w:numPr>
        <w:spacing w:after="120"/>
        <w:ind w:left="360" w:firstLine="0"/>
      </w:pPr>
      <w:r w:rsidRPr="0011729B">
        <w:t>Disclosure examples:</w:t>
      </w:r>
    </w:p>
    <w:p w14:paraId="4DA8E3EF" w14:textId="77777777" w:rsidR="0011729B" w:rsidRPr="0011729B" w:rsidRDefault="0011729B" w:rsidP="00C916D3">
      <w:pPr>
        <w:numPr>
          <w:ilvl w:val="1"/>
          <w:numId w:val="15"/>
        </w:numPr>
        <w:spacing w:after="120"/>
        <w:ind w:left="720"/>
      </w:pPr>
      <w:r w:rsidRPr="0011729B">
        <w:t>Evidence Only: “Take Drug Y with 8 oz. of water and choice of food, containing less than 7% fat and approximately 250 calories.”</w:t>
      </w:r>
    </w:p>
    <w:p w14:paraId="633D24BC" w14:textId="77777777" w:rsidR="0011729B" w:rsidRPr="0011729B" w:rsidRDefault="0011729B" w:rsidP="00C916D3">
      <w:pPr>
        <w:numPr>
          <w:ilvl w:val="1"/>
          <w:numId w:val="15"/>
        </w:numPr>
        <w:spacing w:after="120"/>
        <w:ind w:left="720"/>
      </w:pPr>
      <w:r w:rsidRPr="0011729B">
        <w:t>Evidence + Conclusion: “Efficacy is dependent on proper metabolization; Drug Y must be taken with 8 oz. of water and choice of food, containing less than 7% fat and approximately 250 calories.”</w:t>
      </w:r>
    </w:p>
    <w:p w14:paraId="3BB72321" w14:textId="77777777" w:rsidR="0011729B" w:rsidRPr="0011729B" w:rsidRDefault="0011729B" w:rsidP="00517186">
      <w:pPr>
        <w:numPr>
          <w:ilvl w:val="1"/>
          <w:numId w:val="15"/>
        </w:numPr>
        <w:spacing w:after="120"/>
        <w:ind w:left="360" w:firstLine="0"/>
      </w:pPr>
      <w:r w:rsidRPr="0011729B">
        <w:t>Control: no disclosure</w:t>
      </w:r>
    </w:p>
    <w:p w14:paraId="7BCB72DD" w14:textId="77777777" w:rsidR="0011729B" w:rsidRPr="0011729B" w:rsidRDefault="0011729B" w:rsidP="0011729B">
      <w:pPr>
        <w:spacing w:after="120"/>
      </w:pPr>
    </w:p>
    <w:p w14:paraId="47028C3C" w14:textId="77777777" w:rsidR="0011729B" w:rsidRPr="0011729B" w:rsidRDefault="0011729B" w:rsidP="00090BC1">
      <w:pPr>
        <w:spacing w:after="120"/>
        <w:ind w:left="360"/>
        <w:rPr>
          <w:b/>
        </w:rPr>
      </w:pPr>
      <w:r w:rsidRPr="0011729B">
        <w:rPr>
          <w:b/>
        </w:rPr>
        <w:br w:type="page"/>
        <w:t xml:space="preserve">Type of Claim: Statistical Significance </w:t>
      </w:r>
    </w:p>
    <w:p w14:paraId="459C8E6C" w14:textId="07E9CB7C" w:rsidR="0011729B" w:rsidRPr="0011729B" w:rsidRDefault="0011729B" w:rsidP="00090BC1">
      <w:pPr>
        <w:numPr>
          <w:ilvl w:val="0"/>
          <w:numId w:val="15"/>
        </w:numPr>
        <w:spacing w:after="120"/>
      </w:pPr>
      <w:r w:rsidRPr="0011729B">
        <w:t xml:space="preserve">Claim example: “In a clinical trial, people taking Drug Z had 30% less chance of having an acute COPD exacerbation. Patients treated with Drug Z had an average of 0.8 incidents between weeks 8 and 16 of the study, compared to 1.0 incidents for patients treated with Drug Q and 1.4 incidents for patients taking a placebo.” </w:t>
      </w:r>
    </w:p>
    <w:p w14:paraId="2210A213" w14:textId="77777777" w:rsidR="0011729B" w:rsidRPr="0011729B" w:rsidRDefault="0011729B" w:rsidP="00090BC1">
      <w:pPr>
        <w:numPr>
          <w:ilvl w:val="0"/>
          <w:numId w:val="15"/>
        </w:numPr>
        <w:spacing w:after="120"/>
      </w:pPr>
      <w:r w:rsidRPr="0011729B">
        <w:t>Disclosure examples:</w:t>
      </w:r>
    </w:p>
    <w:p w14:paraId="73266866" w14:textId="77777777" w:rsidR="0011729B" w:rsidRPr="0011729B" w:rsidRDefault="0011729B" w:rsidP="00090BC1">
      <w:pPr>
        <w:numPr>
          <w:ilvl w:val="1"/>
          <w:numId w:val="15"/>
        </w:numPr>
        <w:spacing w:after="120"/>
        <w:ind w:left="720"/>
      </w:pPr>
      <w:r w:rsidRPr="0011729B">
        <w:t>Evidence Only: “Data showed consistent trends in this direction. Results were not statistically significant.”</w:t>
      </w:r>
    </w:p>
    <w:p w14:paraId="2380056C" w14:textId="77777777" w:rsidR="0011729B" w:rsidRPr="0011729B" w:rsidRDefault="0011729B" w:rsidP="00090BC1">
      <w:pPr>
        <w:numPr>
          <w:ilvl w:val="1"/>
          <w:numId w:val="15"/>
        </w:numPr>
        <w:spacing w:after="120"/>
        <w:ind w:left="720"/>
      </w:pPr>
      <w:r w:rsidRPr="0011729B">
        <w:t>Evidence + Conclusion: “Data showed consistent trends in this direction. Results were not statistically significant; the observed decrease in acute COPD events might not represent a real effect of treatment with Drug Z.”</w:t>
      </w:r>
    </w:p>
    <w:p w14:paraId="015CB729" w14:textId="77777777" w:rsidR="0011729B" w:rsidRPr="0011729B" w:rsidRDefault="0011729B" w:rsidP="00090BC1">
      <w:pPr>
        <w:numPr>
          <w:ilvl w:val="1"/>
          <w:numId w:val="15"/>
        </w:numPr>
        <w:spacing w:after="120"/>
        <w:ind w:left="720"/>
      </w:pPr>
      <w:r w:rsidRPr="0011729B">
        <w:t>Control: no disclosure</w:t>
      </w:r>
    </w:p>
    <w:p w14:paraId="5A2720B2" w14:textId="77777777" w:rsidR="0011729B" w:rsidRPr="00C31016" w:rsidRDefault="0011729B" w:rsidP="0011729B"/>
    <w:p w14:paraId="0E651DD4" w14:textId="261B32BC" w:rsidR="00C31016" w:rsidRPr="00C31016" w:rsidRDefault="00C31016" w:rsidP="00090BC1">
      <w:pPr>
        <w:ind w:left="360"/>
        <w:rPr>
          <w:b/>
        </w:rPr>
      </w:pPr>
      <w:r w:rsidRPr="00C31016">
        <w:rPr>
          <w:b/>
        </w:rPr>
        <w:t>Specific Hypotheses</w:t>
      </w:r>
    </w:p>
    <w:p w14:paraId="1465F2AA" w14:textId="77777777" w:rsidR="00C31016" w:rsidRPr="00C31016" w:rsidRDefault="00C31016" w:rsidP="00C31016"/>
    <w:p w14:paraId="583610B3" w14:textId="77777777" w:rsidR="00C31016" w:rsidRPr="00C31016" w:rsidRDefault="00C31016" w:rsidP="00090BC1">
      <w:pPr>
        <w:numPr>
          <w:ilvl w:val="0"/>
          <w:numId w:val="16"/>
        </w:numPr>
        <w:spacing w:after="120"/>
        <w:ind w:left="810" w:hanging="360"/>
        <w:rPr>
          <w:b/>
        </w:rPr>
      </w:pPr>
      <w:r w:rsidRPr="00C31016">
        <w:rPr>
          <w:b/>
        </w:rPr>
        <w:t>Main Effects of Disclosure Level</w:t>
      </w:r>
    </w:p>
    <w:p w14:paraId="2D2B9632" w14:textId="77777777" w:rsidR="00C31016" w:rsidRPr="00C31016" w:rsidRDefault="00C31016" w:rsidP="00D404D5">
      <w:pPr>
        <w:numPr>
          <w:ilvl w:val="1"/>
          <w:numId w:val="16"/>
        </w:numPr>
        <w:spacing w:after="120"/>
        <w:ind w:left="810" w:firstLine="0"/>
      </w:pPr>
      <w:r w:rsidRPr="00C31016">
        <w:rPr>
          <w:b/>
        </w:rPr>
        <w:t>Attention</w:t>
      </w:r>
      <w:r w:rsidRPr="00C31016">
        <w:t xml:space="preserve">: Participants in the disclosure conditions will be more likely to say they noticed a disclosure than participants in the control condition. </w:t>
      </w:r>
    </w:p>
    <w:p w14:paraId="7C2DB69B" w14:textId="77777777" w:rsidR="00C31016" w:rsidRPr="00C31016" w:rsidRDefault="00C31016" w:rsidP="00D404D5">
      <w:pPr>
        <w:numPr>
          <w:ilvl w:val="1"/>
          <w:numId w:val="16"/>
        </w:numPr>
        <w:spacing w:after="120"/>
        <w:ind w:left="810" w:firstLine="0"/>
      </w:pPr>
      <w:r w:rsidRPr="00C31016">
        <w:rPr>
          <w:b/>
        </w:rPr>
        <w:t>Recall</w:t>
      </w:r>
      <w:r w:rsidRPr="00C31016">
        <w:t>: Participants in the evidence + conclusion disclosure condition will be more likely to remember the information in the disclosure than those in the evidence only condition. Participants in both disclosure conditions will be more likely to recall information in the disclosures than participants in the control condition.</w:t>
      </w:r>
    </w:p>
    <w:p w14:paraId="00C34C3A" w14:textId="77777777" w:rsidR="00C31016" w:rsidRPr="00C31016" w:rsidRDefault="00C31016" w:rsidP="00D404D5">
      <w:pPr>
        <w:numPr>
          <w:ilvl w:val="1"/>
          <w:numId w:val="16"/>
        </w:numPr>
        <w:spacing w:after="120"/>
        <w:ind w:left="810" w:firstLine="0"/>
      </w:pPr>
      <w:r w:rsidRPr="00C31016">
        <w:rPr>
          <w:b/>
        </w:rPr>
        <w:t>Comprehension</w:t>
      </w:r>
      <w:r w:rsidRPr="00C31016">
        <w:t>: Participants will show the greatest accuracy in comprehension of the claims in the evidence + conclusion disclosure condition, and the least accuracy in the control condition.</w:t>
      </w:r>
    </w:p>
    <w:p w14:paraId="5F50008B" w14:textId="77777777" w:rsidR="00C31016" w:rsidRPr="00C31016" w:rsidRDefault="00C31016" w:rsidP="00D404D5">
      <w:pPr>
        <w:numPr>
          <w:ilvl w:val="1"/>
          <w:numId w:val="16"/>
        </w:numPr>
        <w:spacing w:after="120"/>
        <w:ind w:left="810" w:firstLine="0"/>
      </w:pPr>
      <w:r w:rsidRPr="00C31016">
        <w:rPr>
          <w:b/>
        </w:rPr>
        <w:t>Valence</w:t>
      </w:r>
      <w:r w:rsidRPr="00C31016">
        <w:t>: Participants in the control condition will be the most positive about the drug. Participants in the evidence + conclusion disclosure condition will be the least positive about the drug.</w:t>
      </w:r>
    </w:p>
    <w:p w14:paraId="1B31CC89" w14:textId="77777777" w:rsidR="00C31016" w:rsidRPr="00C31016" w:rsidRDefault="00C31016" w:rsidP="00D404D5">
      <w:pPr>
        <w:numPr>
          <w:ilvl w:val="1"/>
          <w:numId w:val="16"/>
        </w:numPr>
        <w:spacing w:after="120"/>
        <w:ind w:left="810" w:firstLine="0"/>
      </w:pPr>
      <w:r w:rsidRPr="00C31016">
        <w:rPr>
          <w:b/>
        </w:rPr>
        <w:t>Interest</w:t>
      </w:r>
      <w:r w:rsidRPr="00C31016">
        <w:t xml:space="preserve">: Participants in the control condition will have the greatest intention to seek additional information about the drug. Participants in the evidence + conclusion disclosure condition will have the least intention to seek additional information. </w:t>
      </w:r>
    </w:p>
    <w:p w14:paraId="151FB6E3" w14:textId="0731A24B" w:rsidR="009F0E61" w:rsidRPr="00C31016" w:rsidRDefault="00C31016" w:rsidP="00D404D5">
      <w:pPr>
        <w:numPr>
          <w:ilvl w:val="1"/>
          <w:numId w:val="16"/>
        </w:numPr>
        <w:spacing w:after="240"/>
        <w:ind w:left="810" w:firstLine="0"/>
      </w:pPr>
      <w:r w:rsidRPr="009F0E61">
        <w:rPr>
          <w:b/>
        </w:rPr>
        <w:t>Behavioral intention</w:t>
      </w:r>
      <w:r w:rsidRPr="00C31016">
        <w:t xml:space="preserve">: Participants in the control condition will be most likely to say they would request the drug if they or a loved one were diagnosed with the disease it is intended to treat (consumers) or that they would prescribe the drug to patients with the disease (HCPs). Participants in the evidence + conclusion disclosure condition will be least likely to request or prescribe the drug. </w:t>
      </w:r>
    </w:p>
    <w:p w14:paraId="38466A8C" w14:textId="5D8EE8EB" w:rsidR="00C31016" w:rsidRPr="00C31016" w:rsidRDefault="00D404D5" w:rsidP="00090BC1">
      <w:pPr>
        <w:numPr>
          <w:ilvl w:val="0"/>
          <w:numId w:val="16"/>
        </w:numPr>
        <w:spacing w:after="120"/>
        <w:ind w:hanging="270"/>
        <w:rPr>
          <w:b/>
        </w:rPr>
      </w:pPr>
      <w:r>
        <w:rPr>
          <w:b/>
        </w:rPr>
        <w:t xml:space="preserve">    </w:t>
      </w:r>
      <w:r w:rsidR="00C31016" w:rsidRPr="00C31016">
        <w:rPr>
          <w:b/>
        </w:rPr>
        <w:t>Disclosure Effects by Type of Claim</w:t>
      </w:r>
    </w:p>
    <w:p w14:paraId="00725E45" w14:textId="77777777" w:rsidR="00C31016" w:rsidRPr="00C31016" w:rsidRDefault="00C31016" w:rsidP="00C31016">
      <w:pPr>
        <w:numPr>
          <w:ilvl w:val="1"/>
          <w:numId w:val="16"/>
        </w:numPr>
        <w:spacing w:after="120"/>
        <w:rPr>
          <w:b/>
        </w:rPr>
      </w:pPr>
      <w:r w:rsidRPr="00C31016">
        <w:rPr>
          <w:b/>
        </w:rPr>
        <w:t>Scope of Treatment Claim</w:t>
      </w:r>
    </w:p>
    <w:p w14:paraId="3E9735A3" w14:textId="77777777" w:rsidR="00C31016" w:rsidRPr="00C31016" w:rsidRDefault="00C31016" w:rsidP="00C31016">
      <w:pPr>
        <w:numPr>
          <w:ilvl w:val="2"/>
          <w:numId w:val="16"/>
        </w:numPr>
        <w:spacing w:after="120"/>
      </w:pPr>
      <w:r w:rsidRPr="00C31016">
        <w:rPr>
          <w:b/>
        </w:rPr>
        <w:t>Efficacy belief</w:t>
      </w:r>
      <w:r w:rsidRPr="00C31016">
        <w:t>: Participants in the control condition are most likely to think that the drug is successful at treating cardiovascular events beyond those that were studied by clinical trials; participants in the evidence + conclusion disclosure condition are least likely to think this.</w:t>
      </w:r>
    </w:p>
    <w:p w14:paraId="49F18D60" w14:textId="77777777" w:rsidR="00C31016" w:rsidRPr="00C31016" w:rsidRDefault="00C31016" w:rsidP="00C31016">
      <w:pPr>
        <w:numPr>
          <w:ilvl w:val="1"/>
          <w:numId w:val="16"/>
        </w:numPr>
        <w:spacing w:after="120"/>
        <w:rPr>
          <w:b/>
        </w:rPr>
      </w:pPr>
      <w:r w:rsidRPr="00C31016">
        <w:rPr>
          <w:b/>
        </w:rPr>
        <w:t>Ease of Use Claim</w:t>
      </w:r>
    </w:p>
    <w:p w14:paraId="52C9750A" w14:textId="77777777" w:rsidR="00C31016" w:rsidRPr="00C31016" w:rsidRDefault="00C31016" w:rsidP="00C31016">
      <w:pPr>
        <w:numPr>
          <w:ilvl w:val="2"/>
          <w:numId w:val="16"/>
        </w:numPr>
        <w:spacing w:after="120"/>
      </w:pPr>
      <w:r w:rsidRPr="00C31016">
        <w:rPr>
          <w:b/>
        </w:rPr>
        <w:t>Ease of use belief</w:t>
      </w:r>
      <w:r w:rsidRPr="00C31016">
        <w:t>: Participants in the control condition are most likely to believe the drug is easy to take; participants in the evidence + conclusion disclosure condition are least likely to believe the drug is easy to take.</w:t>
      </w:r>
    </w:p>
    <w:p w14:paraId="159BE052" w14:textId="77777777" w:rsidR="00C31016" w:rsidRPr="00C31016" w:rsidRDefault="00C31016" w:rsidP="00C31016">
      <w:pPr>
        <w:numPr>
          <w:ilvl w:val="1"/>
          <w:numId w:val="16"/>
        </w:numPr>
        <w:spacing w:after="120"/>
        <w:rPr>
          <w:b/>
        </w:rPr>
      </w:pPr>
      <w:r w:rsidRPr="00C31016">
        <w:rPr>
          <w:b/>
        </w:rPr>
        <w:t>Statistical Significance Claim</w:t>
      </w:r>
    </w:p>
    <w:p w14:paraId="17F95B8B" w14:textId="77777777" w:rsidR="00C31016" w:rsidRPr="00C31016" w:rsidRDefault="00C31016" w:rsidP="00C31016">
      <w:pPr>
        <w:numPr>
          <w:ilvl w:val="2"/>
          <w:numId w:val="16"/>
        </w:numPr>
        <w:spacing w:after="120"/>
      </w:pPr>
      <w:r w:rsidRPr="00C31016">
        <w:rPr>
          <w:b/>
        </w:rPr>
        <w:t>Efficacy belief</w:t>
      </w:r>
      <w:r w:rsidRPr="00C31016">
        <w:t>: Participants in the control condition will judge the scientific evidence of the drug’s efficacy as strongest; participants in the evidence + conclusion condition will judge it as weakest.</w:t>
      </w:r>
    </w:p>
    <w:p w14:paraId="5439AE59" w14:textId="33945DF4" w:rsidR="00C31016" w:rsidRPr="00C31016" w:rsidRDefault="00C31016" w:rsidP="00C31016">
      <w:pPr>
        <w:numPr>
          <w:ilvl w:val="0"/>
          <w:numId w:val="16"/>
        </w:numPr>
        <w:spacing w:after="120"/>
        <w:rPr>
          <w:b/>
        </w:rPr>
      </w:pPr>
      <w:r w:rsidRPr="00C31016">
        <w:rPr>
          <w:b/>
        </w:rPr>
        <w:t>Moderators for Consideration</w:t>
      </w:r>
    </w:p>
    <w:p w14:paraId="43E277C7" w14:textId="77777777" w:rsidR="00C31016" w:rsidRPr="00C31016" w:rsidRDefault="00C31016" w:rsidP="00C31016">
      <w:pPr>
        <w:numPr>
          <w:ilvl w:val="1"/>
          <w:numId w:val="16"/>
        </w:numPr>
        <w:spacing w:after="120"/>
        <w:rPr>
          <w:b/>
        </w:rPr>
      </w:pPr>
      <w:r w:rsidRPr="00C31016">
        <w:rPr>
          <w:b/>
        </w:rPr>
        <w:t>Education/Training</w:t>
      </w:r>
    </w:p>
    <w:p w14:paraId="6219F943" w14:textId="77777777" w:rsidR="00C31016" w:rsidRPr="00C31016" w:rsidRDefault="00C31016" w:rsidP="00C31016">
      <w:pPr>
        <w:numPr>
          <w:ilvl w:val="2"/>
          <w:numId w:val="16"/>
        </w:numPr>
        <w:spacing w:after="120"/>
      </w:pPr>
      <w:r w:rsidRPr="00C31016">
        <w:t>For consumers, years of education will be related to memory and comprehension measures, such that those with higher levels of education will remember and comprehend more claim and disclosure information.</w:t>
      </w:r>
    </w:p>
    <w:p w14:paraId="197C75BB" w14:textId="77777777" w:rsidR="00C31016" w:rsidRPr="00C31016" w:rsidRDefault="00C31016" w:rsidP="00C31016">
      <w:pPr>
        <w:numPr>
          <w:ilvl w:val="2"/>
          <w:numId w:val="16"/>
        </w:numPr>
        <w:spacing w:after="120"/>
      </w:pPr>
      <w:r w:rsidRPr="00C31016">
        <w:t>For HCPs, additional education—such as earning a PhD in addition to an MD, or having training or experience with clinical trials—will be associated with higher attention to and comprehension of claims and disclosures.</w:t>
      </w:r>
    </w:p>
    <w:p w14:paraId="346B2056" w14:textId="01CA52E5" w:rsidR="00C31016" w:rsidRPr="00E728AA" w:rsidRDefault="00C31016" w:rsidP="00E728AA">
      <w:pPr>
        <w:numPr>
          <w:ilvl w:val="1"/>
          <w:numId w:val="16"/>
        </w:numPr>
        <w:spacing w:after="120"/>
        <w:rPr>
          <w:b/>
        </w:rPr>
      </w:pPr>
      <w:r w:rsidRPr="00C31016">
        <w:rPr>
          <w:b/>
        </w:rPr>
        <w:t xml:space="preserve">Cognitive </w:t>
      </w:r>
      <w:r w:rsidRPr="00E728AA">
        <w:rPr>
          <w:b/>
        </w:rPr>
        <w:t>load</w:t>
      </w:r>
      <w:r w:rsidRPr="00C31016">
        <w:t>: For both HCPs and consumers, awareness, recall, and comprehension of disclosures will decrease as cognitive load increases.</w:t>
      </w:r>
    </w:p>
    <w:p w14:paraId="49DABF62" w14:textId="77777777" w:rsidR="00E728AA" w:rsidRDefault="00E728AA" w:rsidP="00C31016">
      <w:pPr>
        <w:spacing w:after="120"/>
        <w:rPr>
          <w:u w:val="single"/>
        </w:rPr>
      </w:pPr>
    </w:p>
    <w:p w14:paraId="5C351896" w14:textId="77777777" w:rsidR="00C31016" w:rsidRPr="00C31016" w:rsidRDefault="00C31016" w:rsidP="00001A1B">
      <w:pPr>
        <w:spacing w:after="120"/>
        <w:ind w:left="360"/>
      </w:pPr>
      <w:r w:rsidRPr="00C31016">
        <w:rPr>
          <w:u w:val="single"/>
        </w:rPr>
        <w:t>Note:</w:t>
      </w:r>
      <w:r w:rsidRPr="00C31016">
        <w:t xml:space="preserve"> Given the revisions to the disclosure conditions herein, some proposed moderators may not be necessary. Others, such as education and training differences for HCPs, will depend on obtaining sufficient variation within the sample.</w:t>
      </w:r>
    </w:p>
    <w:p w14:paraId="1ED13F7A" w14:textId="77777777" w:rsidR="00C82FAA" w:rsidRPr="00792203" w:rsidRDefault="00C82FAA" w:rsidP="00001A1B">
      <w:pPr>
        <w:spacing w:line="276" w:lineRule="auto"/>
        <w:ind w:left="360"/>
        <w:contextualSpacing/>
      </w:pPr>
    </w:p>
    <w:p w14:paraId="3F030260" w14:textId="77777777" w:rsidR="00CA557D" w:rsidRDefault="00CA557D" w:rsidP="00001A1B">
      <w:pPr>
        <w:spacing w:line="276" w:lineRule="auto"/>
        <w:ind w:left="360"/>
        <w:rPr>
          <w:b/>
        </w:rPr>
      </w:pPr>
      <w:r w:rsidRPr="008B019A">
        <w:rPr>
          <w:b/>
        </w:rPr>
        <w:t>Analysis Plan</w:t>
      </w:r>
    </w:p>
    <w:p w14:paraId="717EE1E2" w14:textId="77777777" w:rsidR="00282179" w:rsidRPr="002A6AB0" w:rsidRDefault="00282179" w:rsidP="00001A1B">
      <w:pPr>
        <w:spacing w:line="276" w:lineRule="auto"/>
        <w:ind w:left="360"/>
        <w:rPr>
          <w:b/>
        </w:rPr>
      </w:pPr>
    </w:p>
    <w:p w14:paraId="55D279D0" w14:textId="77777777" w:rsidR="002A1D6D" w:rsidRDefault="002A1D6D" w:rsidP="00001A1B">
      <w:pPr>
        <w:spacing w:after="240"/>
        <w:ind w:left="360"/>
        <w:contextualSpacing/>
      </w:pPr>
      <w:r w:rsidRPr="002A1D6D">
        <w:t>During descriptive analysis, we will calculate frequency distributions and check the apparent validity of the data (i.e., range checks, frequency of missing responses, or response distribution). For continuous/ordinal variables, statistical output will include means, medians, standard deviations, ranges, and counts. For categorical variables, output will include counts and percentages.</w:t>
      </w:r>
    </w:p>
    <w:p w14:paraId="44946E2D" w14:textId="77777777" w:rsidR="0097740B" w:rsidRPr="002A1D6D" w:rsidRDefault="0097740B" w:rsidP="00001A1B">
      <w:pPr>
        <w:spacing w:after="240"/>
        <w:ind w:left="360" w:firstLine="720"/>
        <w:contextualSpacing/>
        <w:rPr>
          <w:highlight w:val="yellow"/>
        </w:rPr>
      </w:pPr>
    </w:p>
    <w:p w14:paraId="069816BA" w14:textId="77777777" w:rsidR="002A1D6D" w:rsidRDefault="002A1D6D" w:rsidP="00001A1B">
      <w:pPr>
        <w:spacing w:after="240"/>
        <w:ind w:left="360"/>
        <w:contextualSpacing/>
      </w:pPr>
      <w:r w:rsidRPr="002A1D6D">
        <w:t>In addition to frequency distributions, we will conduct three other types of analyses during this step. First, we will calculate reliability of composite variables and multi-item scales to determine if the individual items hang together as composite measures. Specifically, we will calculate Cronbach’s alpha for each composite variable. If alpha for a composite measure or scale does not meet our pre-established threshold of 0.75, we will discuss whether to use single-item measures rather than the composite or to consider such composites as indices (because of a theoretical reason to consider an aggregate measure regardless of item correspondence) in hypothesis testing.</w:t>
      </w:r>
    </w:p>
    <w:p w14:paraId="29D2F99F" w14:textId="77777777" w:rsidR="0097740B" w:rsidRPr="002A1D6D" w:rsidRDefault="0097740B" w:rsidP="00001A1B">
      <w:pPr>
        <w:spacing w:after="240"/>
        <w:ind w:left="360"/>
        <w:contextualSpacing/>
        <w:rPr>
          <w:highlight w:val="yellow"/>
        </w:rPr>
      </w:pPr>
    </w:p>
    <w:p w14:paraId="60D78D6A" w14:textId="0E2B9ED9" w:rsidR="002A1D6D" w:rsidRDefault="002A1D6D" w:rsidP="00001A1B">
      <w:pPr>
        <w:spacing w:after="240"/>
        <w:ind w:left="360"/>
        <w:contextualSpacing/>
      </w:pPr>
      <w:r w:rsidRPr="002A1D6D">
        <w:t xml:space="preserve">Finally, we will conduct a non-response analysis to </w:t>
      </w:r>
      <w:r w:rsidR="0052445F" w:rsidRPr="0052445F">
        <w:t>compare the distribution patterns of responders with known population distributions. These comparisons will be limited to those variables for which we have population information (e.g., sex, age, race/ethnicity)</w:t>
      </w:r>
      <w:r w:rsidR="0052445F">
        <w:t xml:space="preserve">. </w:t>
      </w:r>
    </w:p>
    <w:p w14:paraId="3D1D769D" w14:textId="77777777" w:rsidR="00067D63" w:rsidRDefault="00067D63" w:rsidP="00001A1B">
      <w:pPr>
        <w:spacing w:after="240"/>
        <w:ind w:left="360" w:firstLine="720"/>
        <w:contextualSpacing/>
      </w:pPr>
    </w:p>
    <w:p w14:paraId="3F73B2DF" w14:textId="44B70F39" w:rsidR="00402FA5" w:rsidRDefault="00067D63" w:rsidP="00001A1B">
      <w:pPr>
        <w:spacing w:after="240"/>
        <w:ind w:left="360"/>
        <w:contextualSpacing/>
      </w:pPr>
      <w:r>
        <w:t>After descriptive analyses, w</w:t>
      </w:r>
      <w:r w:rsidR="00BD66AF" w:rsidRPr="002A1D6D">
        <w:t xml:space="preserve">e will test hypothesized relationships by conducting </w:t>
      </w:r>
      <w:r w:rsidR="00402FA5" w:rsidRPr="00402FA5">
        <w:t xml:space="preserve">chi-square tests for categorical outcomes and t-tests </w:t>
      </w:r>
      <w:r>
        <w:t xml:space="preserve">and ANOVAs </w:t>
      </w:r>
      <w:r w:rsidR="00402FA5" w:rsidRPr="00402FA5">
        <w:t xml:space="preserve">for continuous outcomes to control within subsequent models for such characteristics with notable differences across groups. </w:t>
      </w:r>
    </w:p>
    <w:p w14:paraId="3A79B4A3" w14:textId="77777777" w:rsidR="00D2339E" w:rsidRPr="00402FA5" w:rsidRDefault="00D2339E" w:rsidP="00001A1B">
      <w:pPr>
        <w:spacing w:after="240"/>
        <w:ind w:left="360" w:firstLine="720"/>
        <w:contextualSpacing/>
      </w:pPr>
    </w:p>
    <w:p w14:paraId="54A1DE11" w14:textId="41F58116" w:rsidR="00402FA5" w:rsidRDefault="00D2339E" w:rsidP="00001A1B">
      <w:pPr>
        <w:spacing w:after="240"/>
        <w:ind w:left="360"/>
        <w:contextualSpacing/>
      </w:pPr>
      <w:r>
        <w:t>We</w:t>
      </w:r>
      <w:r w:rsidR="00402FA5" w:rsidRPr="00402FA5">
        <w:t xml:space="preserve"> will define a set of planned contrasts to address specific research questions and hypotheses</w:t>
      </w:r>
      <w:r>
        <w:t>, conducting these</w:t>
      </w:r>
      <w:r w:rsidR="000933B1" w:rsidRPr="002A1D6D">
        <w:t xml:space="preserve"> planned comparisons based on hypothesized relationships </w:t>
      </w:r>
      <w:r w:rsidR="000933B1">
        <w:t xml:space="preserve">or post-hoc comparisons </w:t>
      </w:r>
      <w:r w:rsidR="000933B1" w:rsidRPr="002A1D6D">
        <w:t>to identify significant differences between specific experimental groups.</w:t>
      </w:r>
      <w:r w:rsidR="00B92C62">
        <w:t xml:space="preserve"> </w:t>
      </w:r>
      <w:r w:rsidR="00402FA5" w:rsidRPr="00402FA5">
        <w:t xml:space="preserve">To adjust for multiple comparisons, we will apply a post-hoc family-wise error-rate adjustment, such as a Bonferroni correction. If assumptions are violated for the ANOVA or categorical models mentioned above, nonparametric tests will be employed, such as the Kruskal-Wallis for independent samples or Welch’s ANOVA. Both alternatives help detect statistical differences should assumptions such as normality or equal variances not </w:t>
      </w:r>
      <w:r w:rsidR="00662759">
        <w:t xml:space="preserve">be </w:t>
      </w:r>
      <w:r w:rsidR="00402FA5" w:rsidRPr="00402FA5">
        <w:t xml:space="preserve">met. </w:t>
      </w:r>
    </w:p>
    <w:p w14:paraId="2B865BFD" w14:textId="77777777" w:rsidR="00D2339E" w:rsidRPr="00402FA5" w:rsidRDefault="00D2339E" w:rsidP="00001A1B">
      <w:pPr>
        <w:spacing w:after="240"/>
        <w:ind w:left="360" w:firstLine="720"/>
        <w:contextualSpacing/>
      </w:pPr>
    </w:p>
    <w:p w14:paraId="32C20C37" w14:textId="7D21C85F" w:rsidR="00A052F4" w:rsidRDefault="006E688A" w:rsidP="00001A1B">
      <w:pPr>
        <w:spacing w:after="240"/>
        <w:ind w:left="360"/>
        <w:contextualSpacing/>
      </w:pPr>
      <w:r>
        <w:t>In the main test, s</w:t>
      </w:r>
      <w:r w:rsidR="00A052F4" w:rsidRPr="002A1D6D">
        <w:t>tatistical ou</w:t>
      </w:r>
      <w:r w:rsidR="00AA03A0">
        <w:t>tput will include, as appropriate,</w:t>
      </w:r>
      <w:r w:rsidR="00C61410">
        <w:t xml:space="preserve"> F or chi-square</w:t>
      </w:r>
      <w:r w:rsidR="00AA03A0">
        <w:t xml:space="preserve"> statistics, test </w:t>
      </w:r>
      <w:r w:rsidR="00A052F4" w:rsidRPr="002A1D6D">
        <w:t>degrees of freedom, p values, mean</w:t>
      </w:r>
      <w:r w:rsidR="00AA03A0">
        <w:t xml:space="preserve"> or proportional</w:t>
      </w:r>
      <w:r w:rsidR="00A052F4" w:rsidRPr="002A1D6D">
        <w:t xml:space="preserve"> differences, and standardized effect sizes. </w:t>
      </w:r>
    </w:p>
    <w:p w14:paraId="7F376230" w14:textId="77777777" w:rsidR="0097740B" w:rsidRDefault="0097740B" w:rsidP="00001A1B">
      <w:pPr>
        <w:spacing w:after="240"/>
        <w:ind w:left="360" w:firstLine="720"/>
        <w:contextualSpacing/>
        <w:rPr>
          <w:highlight w:val="green"/>
        </w:rPr>
      </w:pPr>
    </w:p>
    <w:p w14:paraId="7EF71ACB" w14:textId="77777777" w:rsidR="00CA557D" w:rsidRPr="006E688A" w:rsidRDefault="00CA557D" w:rsidP="00001A1B">
      <w:pPr>
        <w:ind w:left="360"/>
        <w:rPr>
          <w:b/>
        </w:rPr>
      </w:pPr>
      <w:r w:rsidRPr="00821AA1">
        <w:rPr>
          <w:b/>
        </w:rPr>
        <w:t>Power</w:t>
      </w:r>
    </w:p>
    <w:p w14:paraId="2A4858ED" w14:textId="71EC5C30" w:rsidR="00F46038" w:rsidRPr="006E688A" w:rsidRDefault="00F46038" w:rsidP="00001A1B">
      <w:pPr>
        <w:ind w:left="360"/>
      </w:pPr>
    </w:p>
    <w:p w14:paraId="1EAC3334" w14:textId="6D27B81D" w:rsidR="00E95555" w:rsidRDefault="00E95555" w:rsidP="00001A1B">
      <w:pPr>
        <w:ind w:left="360"/>
      </w:pPr>
      <w:r w:rsidRPr="004440CC">
        <w:t xml:space="preserve">We conducted </w:t>
      </w:r>
      <w:r w:rsidRPr="00E95555">
        <w:rPr>
          <w:i/>
        </w:rPr>
        <w:t>a priori</w:t>
      </w:r>
      <w:r w:rsidRPr="004440CC">
        <w:t xml:space="preserve"> power analyses to ensure </w:t>
      </w:r>
      <w:r>
        <w:t xml:space="preserve">we obtained </w:t>
      </w:r>
      <w:r w:rsidRPr="004440CC">
        <w:t xml:space="preserve">a sufficient sample to detect </w:t>
      </w:r>
      <w:r w:rsidRPr="00E95555">
        <w:rPr>
          <w:rFonts w:eastAsia="Calibri"/>
        </w:rPr>
        <w:t>statistically significant differences in the outcome measures of interest across the different experimental conditions</w:t>
      </w:r>
      <w:r w:rsidRPr="004440CC">
        <w:t xml:space="preserve">. </w:t>
      </w:r>
      <w:r w:rsidRPr="00E95555">
        <w:rPr>
          <w:rFonts w:eastAsia="Calibri"/>
        </w:rPr>
        <w:t>The pretests, assuming the need for power of .80, alpha probability of .05, and a small effect size (</w:t>
      </w:r>
      <w:r w:rsidRPr="00E95555">
        <w:rPr>
          <w:rFonts w:eastAsia="Calibri"/>
          <w:i/>
        </w:rPr>
        <w:t>f</w:t>
      </w:r>
      <w:r w:rsidRPr="004440CC">
        <w:t xml:space="preserve"> = .1</w:t>
      </w:r>
      <w:r>
        <w:t>0</w:t>
      </w:r>
      <w:r w:rsidRPr="004440CC">
        <w:t>)</w:t>
      </w:r>
      <w:r w:rsidRPr="00E95555">
        <w:rPr>
          <w:rFonts w:eastAsia="Calibri"/>
        </w:rPr>
        <w:t xml:space="preserve">, </w:t>
      </w:r>
      <w:r w:rsidR="00AD735D">
        <w:rPr>
          <w:rFonts w:eastAsia="Calibri"/>
        </w:rPr>
        <w:t>will</w:t>
      </w:r>
      <w:r w:rsidRPr="00E95555">
        <w:rPr>
          <w:rFonts w:eastAsia="Calibri"/>
        </w:rPr>
        <w:t xml:space="preserve"> require a sample of 500 participants for each of the two pretest experiments (total </w:t>
      </w:r>
      <w:r w:rsidRPr="00E95555">
        <w:rPr>
          <w:rFonts w:eastAsia="Calibri"/>
          <w:i/>
        </w:rPr>
        <w:t>N</w:t>
      </w:r>
      <w:r w:rsidRPr="004440CC">
        <w:t xml:space="preserve"> = </w:t>
      </w:r>
      <w:r w:rsidRPr="00E95555">
        <w:rPr>
          <w:rFonts w:eastAsia="Calibri"/>
        </w:rPr>
        <w:t>1,000). For the main studies, given the experimental design and assuming a power of .90, alpha of .05, and small effect size (</w:t>
      </w:r>
      <w:r w:rsidRPr="00E95555">
        <w:rPr>
          <w:rFonts w:eastAsia="Calibri"/>
          <w:i/>
        </w:rPr>
        <w:t>f</w:t>
      </w:r>
      <w:r w:rsidRPr="00E95555">
        <w:rPr>
          <w:rFonts w:eastAsia="Calibri"/>
        </w:rPr>
        <w:t xml:space="preserve"> = .10), we </w:t>
      </w:r>
      <w:r w:rsidR="00AD735D">
        <w:rPr>
          <w:rFonts w:eastAsia="Calibri"/>
        </w:rPr>
        <w:t>propose</w:t>
      </w:r>
      <w:r w:rsidRPr="00E95555">
        <w:rPr>
          <w:rFonts w:eastAsia="Calibri"/>
        </w:rPr>
        <w:t xml:space="preserve"> obtaining a sample of 1,500 participants for each study (total </w:t>
      </w:r>
      <w:r w:rsidRPr="00E95555">
        <w:rPr>
          <w:rFonts w:eastAsia="Calibri"/>
          <w:i/>
        </w:rPr>
        <w:t>N</w:t>
      </w:r>
      <w:r w:rsidRPr="004440CC">
        <w:t xml:space="preserve"> = </w:t>
      </w:r>
      <w:r>
        <w:t>3,000</w:t>
      </w:r>
      <w:r w:rsidRPr="004440CC">
        <w:t>).</w:t>
      </w:r>
    </w:p>
    <w:p w14:paraId="60BC827B" w14:textId="77777777" w:rsidR="00E95555" w:rsidRDefault="00E95555" w:rsidP="00E95555">
      <w:pPr>
        <w:pStyle w:val="ListParagraph"/>
        <w:ind w:left="630"/>
      </w:pPr>
    </w:p>
    <w:p w14:paraId="29CE690F" w14:textId="56D5673E" w:rsidR="00CA557D" w:rsidRDefault="00CA557D" w:rsidP="00001A1B">
      <w:pPr>
        <w:numPr>
          <w:ilvl w:val="0"/>
          <w:numId w:val="1"/>
        </w:numPr>
        <w:tabs>
          <w:tab w:val="clear" w:pos="630"/>
          <w:tab w:val="num" w:pos="360"/>
        </w:tabs>
        <w:spacing w:before="100" w:beforeAutospacing="1" w:after="100" w:afterAutospacing="1"/>
        <w:ind w:hanging="630"/>
        <w:contextualSpacing/>
        <w:rPr>
          <w:u w:val="single"/>
        </w:rPr>
      </w:pPr>
      <w:r w:rsidRPr="00E00EA0">
        <w:rPr>
          <w:u w:val="single"/>
        </w:rPr>
        <w:t>Methods to Maximize Response Rates and Deal with Non</w:t>
      </w:r>
      <w:r>
        <w:rPr>
          <w:u w:val="single"/>
        </w:rPr>
        <w:t>-</w:t>
      </w:r>
      <w:r w:rsidR="00C61410">
        <w:rPr>
          <w:u w:val="single"/>
        </w:rPr>
        <w:t>R</w:t>
      </w:r>
      <w:r w:rsidRPr="00E00EA0">
        <w:rPr>
          <w:u w:val="single"/>
        </w:rPr>
        <w:t>esponse</w:t>
      </w:r>
    </w:p>
    <w:p w14:paraId="507BE5E4" w14:textId="77777777" w:rsidR="0097740B" w:rsidRPr="00E00EA0" w:rsidRDefault="0097740B" w:rsidP="00C749AB">
      <w:pPr>
        <w:spacing w:before="100" w:beforeAutospacing="1" w:after="100" w:afterAutospacing="1"/>
        <w:ind w:left="630"/>
        <w:contextualSpacing/>
        <w:rPr>
          <w:u w:val="single"/>
        </w:rPr>
      </w:pPr>
    </w:p>
    <w:p w14:paraId="33442FF1" w14:textId="44BED2FA" w:rsidR="00742CBC" w:rsidRDefault="006F1D35" w:rsidP="00001A1B">
      <w:pPr>
        <w:ind w:left="360"/>
        <w:contextualSpacing/>
      </w:pPr>
      <w:r>
        <w:rPr>
          <w:color w:val="000000"/>
        </w:rPr>
        <w:t>Both the pretest</w:t>
      </w:r>
      <w:r w:rsidR="00742CBC">
        <w:rPr>
          <w:color w:val="000000"/>
        </w:rPr>
        <w:t xml:space="preserve"> and main </w:t>
      </w:r>
      <w:r w:rsidR="009C5007">
        <w:rPr>
          <w:color w:val="000000"/>
        </w:rPr>
        <w:t>s</w:t>
      </w:r>
      <w:r>
        <w:rPr>
          <w:color w:val="000000"/>
        </w:rPr>
        <w:t>tudies</w:t>
      </w:r>
      <w:r w:rsidR="00A14827">
        <w:rPr>
          <w:color w:val="000000"/>
        </w:rPr>
        <w:t xml:space="preserve"> will be administered </w:t>
      </w:r>
      <w:r>
        <w:rPr>
          <w:color w:val="000000"/>
        </w:rPr>
        <w:t>via Internet</w:t>
      </w:r>
      <w:r w:rsidR="00742CBC">
        <w:rPr>
          <w:color w:val="000000"/>
        </w:rPr>
        <w:t>. To help ensure that the participation rate is as high as possible</w:t>
      </w:r>
      <w:r w:rsidR="00742CBC">
        <w:t>, FDA and the contractor will</w:t>
      </w:r>
      <w:r w:rsidR="00742CBC" w:rsidRPr="005C7016">
        <w:t>:</w:t>
      </w:r>
    </w:p>
    <w:p w14:paraId="1C0BE85B" w14:textId="77777777" w:rsidR="00074EED" w:rsidRDefault="00074EED" w:rsidP="00C749AB">
      <w:pPr>
        <w:ind w:firstLine="630"/>
        <w:contextualSpacing/>
      </w:pPr>
    </w:p>
    <w:p w14:paraId="59F0042B" w14:textId="32228DD8" w:rsidR="00742CBC" w:rsidRDefault="00742CBC" w:rsidP="00C749AB">
      <w:pPr>
        <w:pStyle w:val="ListParagraph"/>
        <w:numPr>
          <w:ilvl w:val="0"/>
          <w:numId w:val="3"/>
        </w:numPr>
        <w:tabs>
          <w:tab w:val="left" w:pos="1080"/>
        </w:tabs>
        <w:ind w:left="1080" w:hanging="360"/>
      </w:pPr>
      <w:r w:rsidRPr="005C7016">
        <w:t>Design a</w:t>
      </w:r>
      <w:r>
        <w:t xml:space="preserve"> </w:t>
      </w:r>
      <w:r w:rsidRPr="005C7016">
        <w:t>protocol that minimizes burden (</w:t>
      </w:r>
      <w:r w:rsidR="00E728AA">
        <w:t>reasonable</w:t>
      </w:r>
      <w:r w:rsidRPr="005C7016">
        <w:t xml:space="preserve"> in length, clearly written, and with appealing graphics)</w:t>
      </w:r>
      <w:r w:rsidR="00E85022">
        <w:t>.</w:t>
      </w:r>
      <w:r w:rsidRPr="005C7016">
        <w:t xml:space="preserve"> </w:t>
      </w:r>
    </w:p>
    <w:p w14:paraId="015B87C7" w14:textId="77777777" w:rsidR="00074EED" w:rsidRDefault="00074EED" w:rsidP="006F1D35">
      <w:pPr>
        <w:tabs>
          <w:tab w:val="left" w:pos="1080"/>
        </w:tabs>
      </w:pPr>
    </w:p>
    <w:p w14:paraId="24DF8709" w14:textId="193E2C6B" w:rsidR="00863625" w:rsidRDefault="00863625" w:rsidP="00C749AB">
      <w:pPr>
        <w:pStyle w:val="ListParagraph"/>
        <w:numPr>
          <w:ilvl w:val="0"/>
          <w:numId w:val="3"/>
        </w:numPr>
        <w:tabs>
          <w:tab w:val="left" w:pos="1080"/>
        </w:tabs>
        <w:ind w:left="1080" w:hanging="360"/>
      </w:pPr>
      <w:r>
        <w:t>Use incentive rates that meet industry standards.</w:t>
      </w:r>
      <w:r w:rsidRPr="00863625">
        <w:t xml:space="preserve"> </w:t>
      </w:r>
      <w:r>
        <w:t>In addition to offsetting respondent burden, u</w:t>
      </w:r>
      <w:r w:rsidRPr="007D4D0E">
        <w:t xml:space="preserve">sing market-rate incentives </w:t>
      </w:r>
      <w:r>
        <w:t xml:space="preserve">tends to increase response rates, reduce sampling bias, and reduce nonresponse bias. </w:t>
      </w:r>
    </w:p>
    <w:p w14:paraId="6BEAC035" w14:textId="77777777" w:rsidR="000933B1" w:rsidRDefault="000933B1" w:rsidP="00D2339E">
      <w:pPr>
        <w:pStyle w:val="ListParagraph"/>
      </w:pPr>
    </w:p>
    <w:p w14:paraId="013AB9D9" w14:textId="4B870C09" w:rsidR="000933B1" w:rsidRDefault="000933B1" w:rsidP="00C749AB">
      <w:pPr>
        <w:pStyle w:val="ListParagraph"/>
        <w:numPr>
          <w:ilvl w:val="0"/>
          <w:numId w:val="3"/>
        </w:numPr>
        <w:tabs>
          <w:tab w:val="left" w:pos="1080"/>
        </w:tabs>
        <w:ind w:left="1080" w:hanging="360"/>
      </w:pPr>
      <w:r>
        <w:t xml:space="preserve">Use government sponsorship on the survey invite to increase response rate. </w:t>
      </w:r>
      <w:r w:rsidR="00852366" w:rsidRPr="00852366">
        <w:t>An experiment conducted by FDA and RTI</w:t>
      </w:r>
      <w:r w:rsidR="004C6BFB">
        <w:rPr>
          <w:rStyle w:val="FootnoteReference"/>
        </w:rPr>
        <w:footnoteReference w:id="1"/>
      </w:r>
      <w:r w:rsidR="00852366" w:rsidRPr="00852366">
        <w:t xml:space="preserve"> found that among endocrinologists, response rates were 6 percentage points higher when FDA was disclosed as the sponsor in the survey invitation than when no sponsor was listed.</w:t>
      </w:r>
      <w:r w:rsidR="004C6BFB">
        <w:t xml:space="preserve"> </w:t>
      </w:r>
      <w:r w:rsidR="00B92C62">
        <w:t xml:space="preserve">However, due to concerns raised in the public comments that mentioning FDA could </w:t>
      </w:r>
      <w:r w:rsidR="00B92C62" w:rsidRPr="00B651B5">
        <w:t>potentially influence subjects’ responses to study questions</w:t>
      </w:r>
      <w:r w:rsidR="00B92C62">
        <w:t xml:space="preserve">, we will </w:t>
      </w:r>
      <w:r w:rsidR="00B92C62" w:rsidRPr="00B651B5">
        <w:t>ensure that all materials reference the U.S. Department of Health and Human Services rather than FDA</w:t>
      </w:r>
      <w:r w:rsidR="00B92C62">
        <w:t>.</w:t>
      </w:r>
    </w:p>
    <w:p w14:paraId="18C32004" w14:textId="77777777" w:rsidR="00742CBC" w:rsidRDefault="00742CBC" w:rsidP="00C749AB">
      <w:pPr>
        <w:autoSpaceDE w:val="0"/>
        <w:autoSpaceDN w:val="0"/>
        <w:adjustRightInd w:val="0"/>
        <w:ind w:firstLine="720"/>
        <w:contextualSpacing/>
        <w:rPr>
          <w:color w:val="000000"/>
        </w:rPr>
      </w:pPr>
    </w:p>
    <w:p w14:paraId="59D532B6" w14:textId="5E0EC98D" w:rsidR="00742CBC" w:rsidRPr="0075483A" w:rsidRDefault="00A14827" w:rsidP="00001A1B">
      <w:pPr>
        <w:autoSpaceDE w:val="0"/>
        <w:autoSpaceDN w:val="0"/>
        <w:adjustRightInd w:val="0"/>
        <w:ind w:left="360"/>
        <w:contextualSpacing/>
        <w:rPr>
          <w:color w:val="000000"/>
        </w:rPr>
      </w:pPr>
      <w:r w:rsidRPr="000A2639">
        <w:t xml:space="preserve">Participants in the pretest and main studies will be convenience samples, rather than probability-based samples of U.S. adults. Rather, the strength of the experimental </w:t>
      </w:r>
      <w:r>
        <w:t>design used in</w:t>
      </w:r>
      <w:r w:rsidRPr="000A2639">
        <w:t xml:space="preserve"> this study lies in its internal validity, on which meaningful estimates of differences across </w:t>
      </w:r>
      <w:r w:rsidR="005B5FC4">
        <w:t xml:space="preserve">manipulated </w:t>
      </w:r>
      <w:r w:rsidRPr="000A2639">
        <w:t xml:space="preserve">conditions can be produced and </w:t>
      </w:r>
      <w:r w:rsidRPr="00CA0D91">
        <w:t>generalized.</w:t>
      </w:r>
      <w:r w:rsidR="00863625">
        <w:t xml:space="preserve"> </w:t>
      </w:r>
      <w:r w:rsidR="005B5FC4">
        <w:t xml:space="preserve">This is a counterpoint to observational survey methodologies where estimating population parameters is the primary focus of statistical analysis. The </w:t>
      </w:r>
      <w:r w:rsidR="00085C29">
        <w:t>recruitment procedures</w:t>
      </w:r>
      <w:r w:rsidR="005B5FC4">
        <w:t xml:space="preserve"> in this study</w:t>
      </w:r>
      <w:r w:rsidR="00085C29">
        <w:t xml:space="preserve"> are not </w:t>
      </w:r>
      <w:r w:rsidR="00AA0B66">
        <w:t xml:space="preserve">intended to fit the criteria for </w:t>
      </w:r>
      <w:r w:rsidR="00085C29">
        <w:t>survey sampling</w:t>
      </w:r>
      <w:r w:rsidR="00AA0B66">
        <w:t>, where each unit in the sampling frame has an</w:t>
      </w:r>
      <w:r w:rsidR="00085C29">
        <w:t xml:space="preserve"> </w:t>
      </w:r>
      <w:r w:rsidR="00AA0B66">
        <w:t xml:space="preserve">equal probability of being selected to participate. </w:t>
      </w:r>
      <w:r w:rsidR="00E94724">
        <w:rPr>
          <w:color w:val="000000"/>
        </w:rPr>
        <w:t>In an observational survey study, r</w:t>
      </w:r>
      <w:r w:rsidR="00742CBC" w:rsidRPr="0075483A">
        <w:rPr>
          <w:color w:val="000000"/>
        </w:rPr>
        <w:t>esponse rates are ofte</w:t>
      </w:r>
      <w:r w:rsidR="00742CBC">
        <w:rPr>
          <w:color w:val="000000"/>
        </w:rPr>
        <w:t xml:space="preserve">n used as a proxy measure </w:t>
      </w:r>
      <w:r w:rsidR="00742CBC" w:rsidRPr="0075483A">
        <w:rPr>
          <w:color w:val="000000"/>
        </w:rPr>
        <w:t>for survey quality, with lower response rates indicating poorer q</w:t>
      </w:r>
      <w:r w:rsidR="00742CBC">
        <w:rPr>
          <w:color w:val="000000"/>
        </w:rPr>
        <w:t xml:space="preserve">uality. </w:t>
      </w:r>
      <w:r w:rsidR="005B5FC4">
        <w:rPr>
          <w:color w:val="000000"/>
        </w:rPr>
        <w:t xml:space="preserve">Nonresponse bias analysis is also commonly </w:t>
      </w:r>
      <w:r w:rsidR="005B5FC4" w:rsidRPr="0075483A">
        <w:rPr>
          <w:color w:val="000000"/>
        </w:rPr>
        <w:t>used</w:t>
      </w:r>
      <w:r w:rsidR="005B5FC4">
        <w:rPr>
          <w:color w:val="000000"/>
        </w:rPr>
        <w:t xml:space="preserve"> to determine the potential for </w:t>
      </w:r>
      <w:r w:rsidR="005B5FC4" w:rsidRPr="0075483A">
        <w:rPr>
          <w:color w:val="000000"/>
        </w:rPr>
        <w:t xml:space="preserve">nonresponse </w:t>
      </w:r>
      <w:r w:rsidR="005B5FC4">
        <w:rPr>
          <w:color w:val="000000"/>
        </w:rPr>
        <w:t xml:space="preserve">sampling error in </w:t>
      </w:r>
      <w:r w:rsidR="005B5FC4" w:rsidRPr="0075483A">
        <w:rPr>
          <w:color w:val="000000"/>
        </w:rPr>
        <w:t>survey estimates</w:t>
      </w:r>
      <w:r w:rsidR="005B5FC4">
        <w:rPr>
          <w:color w:val="000000"/>
        </w:rPr>
        <w:t xml:space="preserve">. </w:t>
      </w:r>
      <w:r w:rsidR="00742CBC">
        <w:rPr>
          <w:color w:val="000000"/>
        </w:rPr>
        <w:t xml:space="preserve">However, </w:t>
      </w:r>
      <w:r w:rsidR="00E94724">
        <w:rPr>
          <w:color w:val="000000"/>
        </w:rPr>
        <w:t xml:space="preserve">concerns about </w:t>
      </w:r>
      <w:r w:rsidR="005B5FC4">
        <w:rPr>
          <w:color w:val="000000"/>
        </w:rPr>
        <w:t>sampling error</w:t>
      </w:r>
      <w:r w:rsidR="00E94724">
        <w:rPr>
          <w:color w:val="000000"/>
        </w:rPr>
        <w:t xml:space="preserve"> do not generally apply to</w:t>
      </w:r>
      <w:r w:rsidR="005B5FC4">
        <w:rPr>
          <w:color w:val="000000"/>
        </w:rPr>
        <w:t xml:space="preserve"> experimental designs</w:t>
      </w:r>
      <w:r w:rsidR="00E94724">
        <w:rPr>
          <w:color w:val="000000"/>
        </w:rPr>
        <w:t>, where the parameters of interest are under the control of the researcher—rather than being pre-established characteristics of the participants—and each participant has an equal probability of being assigned to any of the experimental conditions</w:t>
      </w:r>
      <w:r w:rsidR="005B5FC4">
        <w:rPr>
          <w:color w:val="000000"/>
        </w:rPr>
        <w:t xml:space="preserve">.  </w:t>
      </w:r>
    </w:p>
    <w:p w14:paraId="10AFF64C" w14:textId="77777777" w:rsidR="00742CBC" w:rsidRDefault="00742CBC" w:rsidP="00001A1B">
      <w:pPr>
        <w:autoSpaceDE w:val="0"/>
        <w:autoSpaceDN w:val="0"/>
        <w:adjustRightInd w:val="0"/>
        <w:ind w:left="360" w:firstLine="720"/>
        <w:contextualSpacing/>
        <w:rPr>
          <w:color w:val="000000"/>
        </w:rPr>
      </w:pPr>
    </w:p>
    <w:p w14:paraId="2DC0D2FE" w14:textId="03F1EA8C" w:rsidR="00742CBC" w:rsidRDefault="00A817B8" w:rsidP="004550DA">
      <w:pPr>
        <w:autoSpaceDE w:val="0"/>
        <w:autoSpaceDN w:val="0"/>
        <w:adjustRightInd w:val="0"/>
        <w:ind w:left="360"/>
        <w:contextualSpacing/>
        <w:rPr>
          <w:color w:val="000000"/>
        </w:rPr>
      </w:pPr>
      <w:r>
        <w:rPr>
          <w:color w:val="000000"/>
        </w:rPr>
        <w:t>Generally, t</w:t>
      </w:r>
      <w:r w:rsidR="00742CBC" w:rsidRPr="0075483A">
        <w:rPr>
          <w:color w:val="000000"/>
        </w:rPr>
        <w:t xml:space="preserve">here are several approaches to </w:t>
      </w:r>
      <w:r>
        <w:rPr>
          <w:color w:val="000000"/>
        </w:rPr>
        <w:t xml:space="preserve">conducting a </w:t>
      </w:r>
      <w:r w:rsidR="00742CBC" w:rsidRPr="0075483A">
        <w:rPr>
          <w:color w:val="000000"/>
        </w:rPr>
        <w:t>nonrespon</w:t>
      </w:r>
      <w:r w:rsidR="00742CBC">
        <w:rPr>
          <w:color w:val="000000"/>
        </w:rPr>
        <w:t xml:space="preserve">se bias analysis, </w:t>
      </w:r>
      <w:r w:rsidR="00742CBC" w:rsidRPr="0075483A">
        <w:rPr>
          <w:color w:val="000000"/>
        </w:rPr>
        <w:t>such as comparing response rates by subgroups, comparing re</w:t>
      </w:r>
      <w:r w:rsidR="00742CBC">
        <w:rPr>
          <w:color w:val="000000"/>
        </w:rPr>
        <w:t xml:space="preserve">spondents and nonrespondents on </w:t>
      </w:r>
      <w:r w:rsidR="00742CBC" w:rsidRPr="0075483A">
        <w:rPr>
          <w:color w:val="000000"/>
        </w:rPr>
        <w:t>frame</w:t>
      </w:r>
      <w:r w:rsidR="00742CBC">
        <w:rPr>
          <w:color w:val="000000"/>
        </w:rPr>
        <w:t xml:space="preserve"> </w:t>
      </w:r>
      <w:r w:rsidR="00742CBC" w:rsidRPr="0075483A">
        <w:rPr>
          <w:color w:val="000000"/>
        </w:rPr>
        <w:t>variables, and conducting a nonresponse follow-up study</w:t>
      </w:r>
      <w:r w:rsidR="00742CBC">
        <w:rPr>
          <w:rStyle w:val="FootnoteReference"/>
          <w:color w:val="000000"/>
        </w:rPr>
        <w:footnoteReference w:id="2"/>
      </w:r>
      <w:r w:rsidR="0097740B">
        <w:rPr>
          <w:color w:val="000000"/>
        </w:rPr>
        <w:t>.</w:t>
      </w:r>
      <w:r w:rsidR="00742CBC" w:rsidRPr="0075483A">
        <w:rPr>
          <w:color w:val="000000"/>
        </w:rPr>
        <w:t xml:space="preserve"> For the proposed project, we</w:t>
      </w:r>
      <w:r w:rsidR="00742CBC">
        <w:rPr>
          <w:color w:val="000000"/>
        </w:rPr>
        <w:t xml:space="preserve"> will </w:t>
      </w:r>
      <w:r>
        <w:rPr>
          <w:color w:val="000000"/>
        </w:rPr>
        <w:t xml:space="preserve">examine nonresponse for its descriptive value by </w:t>
      </w:r>
      <w:r w:rsidR="00852366" w:rsidRPr="0052445F">
        <w:rPr>
          <w:color w:val="000000"/>
        </w:rPr>
        <w:t>comparing our full sample with population estimates for age, race, gender</w:t>
      </w:r>
      <w:r w:rsidR="0052445F">
        <w:rPr>
          <w:color w:val="000000"/>
        </w:rPr>
        <w:t>.</w:t>
      </w:r>
    </w:p>
    <w:p w14:paraId="533A0DCA" w14:textId="77777777" w:rsidR="0097740B" w:rsidRDefault="0097740B" w:rsidP="00C749AB">
      <w:pPr>
        <w:autoSpaceDE w:val="0"/>
        <w:autoSpaceDN w:val="0"/>
        <w:adjustRightInd w:val="0"/>
        <w:ind w:firstLine="720"/>
        <w:contextualSpacing/>
        <w:rPr>
          <w:color w:val="000000"/>
        </w:rPr>
      </w:pPr>
    </w:p>
    <w:p w14:paraId="11F504D2" w14:textId="77777777" w:rsidR="00CA557D" w:rsidRDefault="00CA557D" w:rsidP="00090BC1">
      <w:pPr>
        <w:numPr>
          <w:ilvl w:val="0"/>
          <w:numId w:val="1"/>
        </w:numPr>
        <w:tabs>
          <w:tab w:val="clear" w:pos="630"/>
          <w:tab w:val="num" w:pos="360"/>
        </w:tabs>
        <w:spacing w:before="100" w:beforeAutospacing="1" w:after="100" w:afterAutospacing="1"/>
        <w:ind w:left="360"/>
        <w:contextualSpacing/>
        <w:rPr>
          <w:u w:val="single"/>
        </w:rPr>
      </w:pPr>
      <w:r w:rsidRPr="00E00EA0">
        <w:rPr>
          <w:u w:val="single"/>
        </w:rPr>
        <w:t>Test of Procedures or Methods to be Undertaken</w:t>
      </w:r>
    </w:p>
    <w:p w14:paraId="41E5C18B" w14:textId="77777777" w:rsidR="0097740B" w:rsidRPr="00E00EA0" w:rsidRDefault="0097740B" w:rsidP="00C749AB">
      <w:pPr>
        <w:spacing w:before="100" w:beforeAutospacing="1" w:after="100" w:afterAutospacing="1"/>
        <w:ind w:left="630"/>
        <w:contextualSpacing/>
        <w:rPr>
          <w:u w:val="single"/>
        </w:rPr>
      </w:pPr>
    </w:p>
    <w:p w14:paraId="0AC4914A" w14:textId="72CA6413" w:rsidR="00185D40" w:rsidRDefault="00E728AA" w:rsidP="004550DA">
      <w:pPr>
        <w:spacing w:before="240"/>
        <w:ind w:left="360"/>
        <w:contextualSpacing/>
      </w:pPr>
      <w:r>
        <w:t>Nine c</w:t>
      </w:r>
      <w:r w:rsidR="00444633">
        <w:t xml:space="preserve">ognitive interviews </w:t>
      </w:r>
      <w:r w:rsidR="003B212C">
        <w:t>were</w:t>
      </w:r>
      <w:r w:rsidR="00444633">
        <w:t xml:space="preserve"> conducted </w:t>
      </w:r>
      <w:r>
        <w:t xml:space="preserve">per questionnaire </w:t>
      </w:r>
      <w:r w:rsidR="00FF72A6">
        <w:t>to assess questionnaire flow</w:t>
      </w:r>
      <w:r w:rsidR="0063543A">
        <w:t xml:space="preserve"> and wording</w:t>
      </w:r>
      <w:r w:rsidR="00444633">
        <w:t xml:space="preserve">.  </w:t>
      </w:r>
      <w:r w:rsidR="003B212C">
        <w:t>We</w:t>
      </w:r>
      <w:r w:rsidR="00444633">
        <w:t xml:space="preserve"> plan to co</w:t>
      </w:r>
      <w:r w:rsidR="00985276">
        <w:t>nduct two</w:t>
      </w:r>
      <w:r w:rsidR="00787D62">
        <w:t xml:space="preserve"> pretest</w:t>
      </w:r>
      <w:r w:rsidR="00985276">
        <w:t>s</w:t>
      </w:r>
      <w:r w:rsidR="00444633">
        <w:t xml:space="preserve"> on a large</w:t>
      </w:r>
      <w:r w:rsidR="00787D62">
        <w:t>r scale to ensure the main studies</w:t>
      </w:r>
      <w:r w:rsidR="00444633">
        <w:t xml:space="preserve"> will run s</w:t>
      </w:r>
      <w:r w:rsidR="00181F3B">
        <w:t xml:space="preserve">moothly.  We propose to test </w:t>
      </w:r>
      <w:r w:rsidR="00985276">
        <w:t>500</w:t>
      </w:r>
      <w:r w:rsidR="00444633">
        <w:t xml:space="preserve"> individuals in </w:t>
      </w:r>
      <w:r w:rsidR="00985276">
        <w:t xml:space="preserve">each </w:t>
      </w:r>
      <w:r w:rsidR="00444633">
        <w:t xml:space="preserve">pretest.  </w:t>
      </w:r>
    </w:p>
    <w:p w14:paraId="55CAB50C" w14:textId="77777777" w:rsidR="00185D40" w:rsidRPr="00FC728D" w:rsidRDefault="00185D40" w:rsidP="00C749AB">
      <w:pPr>
        <w:ind w:firstLine="630"/>
        <w:contextualSpacing/>
      </w:pPr>
    </w:p>
    <w:p w14:paraId="0264AE73" w14:textId="77777777" w:rsidR="00CA557D" w:rsidRPr="00C749AB" w:rsidRDefault="00CA557D" w:rsidP="00090BC1">
      <w:pPr>
        <w:numPr>
          <w:ilvl w:val="0"/>
          <w:numId w:val="1"/>
        </w:numPr>
        <w:tabs>
          <w:tab w:val="clear" w:pos="630"/>
          <w:tab w:val="num" w:pos="360"/>
        </w:tabs>
        <w:spacing w:before="100" w:beforeAutospacing="1" w:after="100" w:afterAutospacing="1"/>
        <w:ind w:left="360"/>
        <w:contextualSpacing/>
      </w:pPr>
      <w:r w:rsidRPr="00E00EA0">
        <w:rPr>
          <w:u w:val="single"/>
        </w:rPr>
        <w:t>Individuals Consulted on Statistical Aspects and Individuals Collecting and/or Analyzing Data</w:t>
      </w:r>
    </w:p>
    <w:p w14:paraId="263EC0EC" w14:textId="77777777" w:rsidR="0097740B" w:rsidRPr="00901043" w:rsidRDefault="0097740B" w:rsidP="00C749AB">
      <w:pPr>
        <w:spacing w:before="100" w:beforeAutospacing="1" w:after="100" w:afterAutospacing="1"/>
        <w:ind w:left="630"/>
        <w:contextualSpacing/>
      </w:pPr>
    </w:p>
    <w:p w14:paraId="6AF0A2F2" w14:textId="6C878FB2" w:rsidR="003E7CB2" w:rsidRDefault="00CA557D" w:rsidP="00090BC1">
      <w:pPr>
        <w:spacing w:before="100" w:beforeAutospacing="1" w:after="100" w:afterAutospacing="1"/>
        <w:ind w:left="360"/>
        <w:contextualSpacing/>
      </w:pPr>
      <w:r w:rsidRPr="000F1691">
        <w:t xml:space="preserve">The contractor, </w:t>
      </w:r>
      <w:r w:rsidR="00976C58">
        <w:t>Fors Marsh Group</w:t>
      </w:r>
      <w:r w:rsidRPr="000F1691">
        <w:t>,</w:t>
      </w:r>
      <w:r>
        <w:t xml:space="preserve"> will collect and analyze</w:t>
      </w:r>
      <w:r w:rsidRPr="000F1691">
        <w:t xml:space="preserve"> </w:t>
      </w:r>
      <w:r>
        <w:t xml:space="preserve">the data </w:t>
      </w:r>
      <w:r w:rsidRPr="000F1691">
        <w:t>on behalf of FDA as a task order under Contract HHSF223</w:t>
      </w:r>
      <w:r w:rsidR="000F73D3">
        <w:t>201</w:t>
      </w:r>
      <w:r w:rsidR="0063543A">
        <w:t>510002B</w:t>
      </w:r>
      <w:r w:rsidRPr="000F1691">
        <w:t xml:space="preserve">. </w:t>
      </w:r>
      <w:r w:rsidR="00985276">
        <w:t>Shane Mannis</w:t>
      </w:r>
      <w:r>
        <w:t>, Ph.D</w:t>
      </w:r>
      <w:r w:rsidRPr="00423C0D">
        <w:t>.</w:t>
      </w:r>
      <w:r w:rsidR="00C816ED">
        <w:t>,</w:t>
      </w:r>
      <w:r w:rsidRPr="00423C0D">
        <w:t xml:space="preserve"> </w:t>
      </w:r>
      <w:r w:rsidR="00976C58">
        <w:t>571-444-1109</w:t>
      </w:r>
      <w:r w:rsidRPr="00423C0D">
        <w:rPr>
          <w:noProof/>
        </w:rPr>
        <w:t xml:space="preserve">, </w:t>
      </w:r>
      <w:r w:rsidRPr="00423C0D">
        <w:t>is the Project Director for this project</w:t>
      </w:r>
      <w:r w:rsidRPr="00423C0D">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 CDER, FDA, and coordinated by </w:t>
      </w:r>
      <w:r w:rsidR="00D05FD9">
        <w:t>Amie C. O’Donoghue</w:t>
      </w:r>
      <w:r w:rsidR="00C816ED">
        <w:t>, Ph.D., 301-79</w:t>
      </w:r>
      <w:r w:rsidR="00D05FD9">
        <w:t>6-0574</w:t>
      </w:r>
      <w:r w:rsidR="00FC728D">
        <w:t>,</w:t>
      </w:r>
      <w:r w:rsidR="00C816ED">
        <w:t xml:space="preserve"> and </w:t>
      </w:r>
      <w:r w:rsidR="00985276">
        <w:t>Kevin R. Betts</w:t>
      </w:r>
      <w:r>
        <w:t>, Ph.D</w:t>
      </w:r>
      <w:r w:rsidRPr="00976C58">
        <w:t xml:space="preserve">., </w:t>
      </w:r>
      <w:r w:rsidR="00976C58">
        <w:t>240-402-5090</w:t>
      </w:r>
      <w:r>
        <w:t>.</w:t>
      </w:r>
    </w:p>
    <w:sectPr w:rsidR="003E7CB2" w:rsidSect="00852CDF">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F951C" w14:textId="77777777" w:rsidR="007B603D" w:rsidRDefault="007B603D" w:rsidP="00CA557D">
      <w:r>
        <w:separator/>
      </w:r>
    </w:p>
  </w:endnote>
  <w:endnote w:type="continuationSeparator" w:id="0">
    <w:p w14:paraId="108D5117" w14:textId="77777777" w:rsidR="007B603D" w:rsidRDefault="007B603D" w:rsidP="00CA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DBFB" w14:textId="77777777"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10BD" w14:textId="77777777" w:rsidR="008A538B" w:rsidRDefault="008A5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9BB1" w14:textId="5EC9D2C3"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F48">
      <w:rPr>
        <w:rStyle w:val="PageNumber"/>
        <w:noProof/>
      </w:rPr>
      <w:t>1</w:t>
    </w:r>
    <w:r>
      <w:rPr>
        <w:rStyle w:val="PageNumber"/>
      </w:rPr>
      <w:fldChar w:fldCharType="end"/>
    </w:r>
  </w:p>
  <w:p w14:paraId="70F8AA7E" w14:textId="77777777" w:rsidR="008A538B" w:rsidRDefault="008A5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A0879" w14:textId="77777777" w:rsidR="007B603D" w:rsidRDefault="007B603D" w:rsidP="00CA557D">
      <w:r>
        <w:separator/>
      </w:r>
    </w:p>
  </w:footnote>
  <w:footnote w:type="continuationSeparator" w:id="0">
    <w:p w14:paraId="5E290235" w14:textId="77777777" w:rsidR="007B603D" w:rsidRDefault="007B603D" w:rsidP="00CA557D">
      <w:r>
        <w:continuationSeparator/>
      </w:r>
    </w:p>
  </w:footnote>
  <w:footnote w:id="1">
    <w:p w14:paraId="1DDEA3D5" w14:textId="6008C3B6" w:rsidR="004C6BFB" w:rsidRDefault="004C6BFB">
      <w:pPr>
        <w:pStyle w:val="FootnoteText"/>
      </w:pPr>
      <w:r>
        <w:rPr>
          <w:rStyle w:val="FootnoteReference"/>
        </w:rPr>
        <w:footnoteRef/>
      </w:r>
      <w:r>
        <w:t xml:space="preserve"> Aikin, KJ; Betts, K; Boudewyns, V; Stine, A; &amp; Southwell, B. (2016). Physician responsiveness to survey incentives and sponsorship in prescription drug advertising research. </w:t>
      </w:r>
      <w:r>
        <w:rPr>
          <w:i/>
        </w:rPr>
        <w:t>Annals of Behavioral Medicine, 50</w:t>
      </w:r>
      <w:r>
        <w:t xml:space="preserve">(Suppl.), s251. </w:t>
      </w:r>
    </w:p>
  </w:footnote>
  <w:footnote w:id="2">
    <w:p w14:paraId="0BAE9E59" w14:textId="77777777" w:rsidR="008A538B" w:rsidRPr="00385D1F" w:rsidRDefault="008A538B" w:rsidP="00742CBC">
      <w:pPr>
        <w:pStyle w:val="FootnoteText"/>
      </w:pPr>
      <w:r>
        <w:rPr>
          <w:rStyle w:val="FootnoteReference"/>
        </w:rPr>
        <w:footnoteRef/>
      </w:r>
      <w:r>
        <w:t xml:space="preserve"> Office of Management and Budget, </w:t>
      </w:r>
      <w:r w:rsidRPr="00385D1F">
        <w:rPr>
          <w:i/>
        </w:rPr>
        <w:t>Standards and Guidelines for Statistical Surveys</w:t>
      </w:r>
      <w:r>
        <w:t xml:space="preserve">, September, 2006.  </w:t>
      </w:r>
      <w:hyperlink r:id="rId1" w:history="1">
        <w:r w:rsidRPr="000764CC">
          <w:rPr>
            <w:rStyle w:val="Hyperlink"/>
          </w:rPr>
          <w:t>www.whitehouse.gov/sites/default/files/omb/inforeg/statpc</w:t>
        </w:r>
      </w:hyperlink>
      <w:r>
        <w:t>.  Last accessed April 18,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02856"/>
    <w:multiLevelType w:val="hybridMultilevel"/>
    <w:tmpl w:val="2B1EA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2E06039"/>
    <w:multiLevelType w:val="multilevel"/>
    <w:tmpl w:val="154ED458"/>
    <w:numStyleLink w:val="Format4"/>
  </w:abstractNum>
  <w:abstractNum w:abstractNumId="4">
    <w:nsid w:val="199B0AED"/>
    <w:multiLevelType w:val="multilevel"/>
    <w:tmpl w:val="154ED458"/>
    <w:styleLink w:val="Format4"/>
    <w:lvl w:ilvl="0">
      <w:start w:val="1"/>
      <w:numFmt w:val="decimal"/>
      <w:pStyle w:val="Heading1"/>
      <w:lvlText w:val="%1."/>
      <w:lvlJc w:val="left"/>
      <w:pPr>
        <w:ind w:left="324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D17AD4EA"/>
    <w:lvl w:ilvl="0" w:tplc="6A383CCC">
      <w:start w:val="1"/>
      <w:numFmt w:val="upperRoman"/>
      <w:lvlText w:val="%1."/>
      <w:lvlJc w:val="left"/>
      <w:pPr>
        <w:ind w:left="720" w:hanging="720"/>
      </w:pPr>
      <w:rPr>
        <w:rFonts w:hint="default"/>
      </w:rPr>
    </w:lvl>
    <w:lvl w:ilvl="1" w:tplc="D5AA67A4">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0F">
      <w:start w:val="1"/>
      <w:numFmt w:val="decimal"/>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C45EFC"/>
    <w:multiLevelType w:val="hybridMultilevel"/>
    <w:tmpl w:val="FD2C1BE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C2616C"/>
    <w:multiLevelType w:val="hybridMultilevel"/>
    <w:tmpl w:val="522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183FF5"/>
    <w:multiLevelType w:val="hybridMultilevel"/>
    <w:tmpl w:val="D3E2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665988"/>
    <w:multiLevelType w:val="hybridMultilevel"/>
    <w:tmpl w:val="F7D07226"/>
    <w:lvl w:ilvl="0" w:tplc="91723930">
      <w:start w:val="1"/>
      <w:numFmt w:val="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6E67CF"/>
    <w:multiLevelType w:val="hybridMultilevel"/>
    <w:tmpl w:val="7CAE7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12"/>
  </w:num>
  <w:num w:numId="6">
    <w:abstractNumId w:val="4"/>
  </w:num>
  <w:num w:numId="7">
    <w:abstractNumId w:val="3"/>
  </w:num>
  <w:num w:numId="8">
    <w:abstractNumId w:val="13"/>
  </w:num>
  <w:num w:numId="9">
    <w:abstractNumId w:val="15"/>
  </w:num>
  <w:num w:numId="10">
    <w:abstractNumId w:val="8"/>
  </w:num>
  <w:num w:numId="11">
    <w:abstractNumId w:val="11"/>
  </w:num>
  <w:num w:numId="12">
    <w:abstractNumId w:val="7"/>
  </w:num>
  <w:num w:numId="13">
    <w:abstractNumId w:val="14"/>
  </w:num>
  <w:num w:numId="14">
    <w:abstractNumId w:val="5"/>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7D"/>
    <w:rsid w:val="00001A1B"/>
    <w:rsid w:val="0000253E"/>
    <w:rsid w:val="0000755C"/>
    <w:rsid w:val="00035D92"/>
    <w:rsid w:val="00067D63"/>
    <w:rsid w:val="00074EED"/>
    <w:rsid w:val="000753E5"/>
    <w:rsid w:val="0007565D"/>
    <w:rsid w:val="00085C29"/>
    <w:rsid w:val="00085F3B"/>
    <w:rsid w:val="00087C35"/>
    <w:rsid w:val="000900F4"/>
    <w:rsid w:val="00090BC1"/>
    <w:rsid w:val="000933B1"/>
    <w:rsid w:val="00097FAF"/>
    <w:rsid w:val="000C6DC7"/>
    <w:rsid w:val="000E1F63"/>
    <w:rsid w:val="000E33F2"/>
    <w:rsid w:val="000F73D3"/>
    <w:rsid w:val="000F7AA6"/>
    <w:rsid w:val="0011249A"/>
    <w:rsid w:val="0011729B"/>
    <w:rsid w:val="00124C6E"/>
    <w:rsid w:val="00134422"/>
    <w:rsid w:val="00135951"/>
    <w:rsid w:val="00173EA6"/>
    <w:rsid w:val="00181F3B"/>
    <w:rsid w:val="00185D40"/>
    <w:rsid w:val="00187029"/>
    <w:rsid w:val="001B01BF"/>
    <w:rsid w:val="001B43A6"/>
    <w:rsid w:val="001C6B82"/>
    <w:rsid w:val="001D028C"/>
    <w:rsid w:val="001D62F3"/>
    <w:rsid w:val="00211DFB"/>
    <w:rsid w:val="00265EB4"/>
    <w:rsid w:val="00282179"/>
    <w:rsid w:val="00284F48"/>
    <w:rsid w:val="002A1D6D"/>
    <w:rsid w:val="002A5BC3"/>
    <w:rsid w:val="002B576B"/>
    <w:rsid w:val="002C5730"/>
    <w:rsid w:val="002D046B"/>
    <w:rsid w:val="002E0B97"/>
    <w:rsid w:val="002F6CE9"/>
    <w:rsid w:val="0030047C"/>
    <w:rsid w:val="00302C84"/>
    <w:rsid w:val="00307250"/>
    <w:rsid w:val="00307531"/>
    <w:rsid w:val="00310D5F"/>
    <w:rsid w:val="0031211F"/>
    <w:rsid w:val="003235A2"/>
    <w:rsid w:val="0034036A"/>
    <w:rsid w:val="003439D6"/>
    <w:rsid w:val="00357349"/>
    <w:rsid w:val="00363CF7"/>
    <w:rsid w:val="0036408D"/>
    <w:rsid w:val="00382B87"/>
    <w:rsid w:val="003B212C"/>
    <w:rsid w:val="003B6518"/>
    <w:rsid w:val="003C2B5D"/>
    <w:rsid w:val="003D351D"/>
    <w:rsid w:val="003E58D6"/>
    <w:rsid w:val="003E7CB2"/>
    <w:rsid w:val="003F1AB6"/>
    <w:rsid w:val="003F6667"/>
    <w:rsid w:val="00402B85"/>
    <w:rsid w:val="00402FA5"/>
    <w:rsid w:val="00403E48"/>
    <w:rsid w:val="00411439"/>
    <w:rsid w:val="00416282"/>
    <w:rsid w:val="00423F6C"/>
    <w:rsid w:val="00444633"/>
    <w:rsid w:val="004466A5"/>
    <w:rsid w:val="00446A2C"/>
    <w:rsid w:val="00451DF1"/>
    <w:rsid w:val="004526D6"/>
    <w:rsid w:val="004550B9"/>
    <w:rsid w:val="004550DA"/>
    <w:rsid w:val="00457ED6"/>
    <w:rsid w:val="00473190"/>
    <w:rsid w:val="00484958"/>
    <w:rsid w:val="00486D95"/>
    <w:rsid w:val="004C1045"/>
    <w:rsid w:val="004C6BFB"/>
    <w:rsid w:val="004D06F2"/>
    <w:rsid w:val="004D1804"/>
    <w:rsid w:val="004D5F7E"/>
    <w:rsid w:val="004E3F66"/>
    <w:rsid w:val="004F1B82"/>
    <w:rsid w:val="005026ED"/>
    <w:rsid w:val="00515BD8"/>
    <w:rsid w:val="005160EC"/>
    <w:rsid w:val="00517186"/>
    <w:rsid w:val="00523A0D"/>
    <w:rsid w:val="0052413A"/>
    <w:rsid w:val="0052445F"/>
    <w:rsid w:val="005300DD"/>
    <w:rsid w:val="00532C9F"/>
    <w:rsid w:val="00533AA8"/>
    <w:rsid w:val="00552406"/>
    <w:rsid w:val="00552D02"/>
    <w:rsid w:val="005872B9"/>
    <w:rsid w:val="00587D25"/>
    <w:rsid w:val="005B5FC4"/>
    <w:rsid w:val="005D4E16"/>
    <w:rsid w:val="005E6C6A"/>
    <w:rsid w:val="005E7E7C"/>
    <w:rsid w:val="005F1773"/>
    <w:rsid w:val="005F75B5"/>
    <w:rsid w:val="00604567"/>
    <w:rsid w:val="00620AEC"/>
    <w:rsid w:val="0063475B"/>
    <w:rsid w:val="0063543A"/>
    <w:rsid w:val="00640380"/>
    <w:rsid w:val="00651DC8"/>
    <w:rsid w:val="00655947"/>
    <w:rsid w:val="00662759"/>
    <w:rsid w:val="00672A09"/>
    <w:rsid w:val="006814CC"/>
    <w:rsid w:val="00696B2E"/>
    <w:rsid w:val="006A3A1C"/>
    <w:rsid w:val="006B4F7F"/>
    <w:rsid w:val="006B7681"/>
    <w:rsid w:val="006D3FDB"/>
    <w:rsid w:val="006D5D5A"/>
    <w:rsid w:val="006D7E73"/>
    <w:rsid w:val="006E688A"/>
    <w:rsid w:val="006F1D35"/>
    <w:rsid w:val="00702383"/>
    <w:rsid w:val="00723D1C"/>
    <w:rsid w:val="00732BFC"/>
    <w:rsid w:val="00742CBC"/>
    <w:rsid w:val="00746C39"/>
    <w:rsid w:val="007539B3"/>
    <w:rsid w:val="0075408F"/>
    <w:rsid w:val="00760C09"/>
    <w:rsid w:val="00787D62"/>
    <w:rsid w:val="00790AD0"/>
    <w:rsid w:val="00795FCC"/>
    <w:rsid w:val="007B5B5C"/>
    <w:rsid w:val="007B603D"/>
    <w:rsid w:val="007E168D"/>
    <w:rsid w:val="007F3092"/>
    <w:rsid w:val="00816B4B"/>
    <w:rsid w:val="00827736"/>
    <w:rsid w:val="008331F1"/>
    <w:rsid w:val="008335C0"/>
    <w:rsid w:val="00835A14"/>
    <w:rsid w:val="00841C8C"/>
    <w:rsid w:val="008433D4"/>
    <w:rsid w:val="00843A7C"/>
    <w:rsid w:val="00852366"/>
    <w:rsid w:val="00852CDF"/>
    <w:rsid w:val="00856C02"/>
    <w:rsid w:val="008605DD"/>
    <w:rsid w:val="00863625"/>
    <w:rsid w:val="00867E7D"/>
    <w:rsid w:val="00870AD5"/>
    <w:rsid w:val="008A2674"/>
    <w:rsid w:val="008A538B"/>
    <w:rsid w:val="008C7DBD"/>
    <w:rsid w:val="008D428B"/>
    <w:rsid w:val="008D614C"/>
    <w:rsid w:val="008E2E04"/>
    <w:rsid w:val="008E7392"/>
    <w:rsid w:val="008F30B8"/>
    <w:rsid w:val="009028C9"/>
    <w:rsid w:val="009032BE"/>
    <w:rsid w:val="00914563"/>
    <w:rsid w:val="009443DB"/>
    <w:rsid w:val="00976C58"/>
    <w:rsid w:val="0097740B"/>
    <w:rsid w:val="009779AE"/>
    <w:rsid w:val="00985276"/>
    <w:rsid w:val="009C5007"/>
    <w:rsid w:val="009C74F7"/>
    <w:rsid w:val="009D34E6"/>
    <w:rsid w:val="009D7512"/>
    <w:rsid w:val="009E28FF"/>
    <w:rsid w:val="009E6E41"/>
    <w:rsid w:val="009F0E61"/>
    <w:rsid w:val="009F6B4E"/>
    <w:rsid w:val="009F7857"/>
    <w:rsid w:val="00A03DB5"/>
    <w:rsid w:val="00A052F4"/>
    <w:rsid w:val="00A14827"/>
    <w:rsid w:val="00A175A1"/>
    <w:rsid w:val="00A37368"/>
    <w:rsid w:val="00A46214"/>
    <w:rsid w:val="00A528A4"/>
    <w:rsid w:val="00A56ECB"/>
    <w:rsid w:val="00A61F79"/>
    <w:rsid w:val="00A750F4"/>
    <w:rsid w:val="00A817B8"/>
    <w:rsid w:val="00A81BF5"/>
    <w:rsid w:val="00A8790A"/>
    <w:rsid w:val="00A945CC"/>
    <w:rsid w:val="00A95D36"/>
    <w:rsid w:val="00AA03A0"/>
    <w:rsid w:val="00AA0B66"/>
    <w:rsid w:val="00AB64CE"/>
    <w:rsid w:val="00AD6959"/>
    <w:rsid w:val="00AD735D"/>
    <w:rsid w:val="00AE6821"/>
    <w:rsid w:val="00B0212F"/>
    <w:rsid w:val="00B078EC"/>
    <w:rsid w:val="00B16F03"/>
    <w:rsid w:val="00B239CB"/>
    <w:rsid w:val="00B27E63"/>
    <w:rsid w:val="00B364B7"/>
    <w:rsid w:val="00B41BC9"/>
    <w:rsid w:val="00B42CD6"/>
    <w:rsid w:val="00B4529A"/>
    <w:rsid w:val="00B548DF"/>
    <w:rsid w:val="00B61CF4"/>
    <w:rsid w:val="00B83D4D"/>
    <w:rsid w:val="00B843F4"/>
    <w:rsid w:val="00B92C62"/>
    <w:rsid w:val="00BA5940"/>
    <w:rsid w:val="00BB034A"/>
    <w:rsid w:val="00BB56FF"/>
    <w:rsid w:val="00BD3067"/>
    <w:rsid w:val="00BD66AF"/>
    <w:rsid w:val="00BD6840"/>
    <w:rsid w:val="00BE0592"/>
    <w:rsid w:val="00BF4B94"/>
    <w:rsid w:val="00C06B96"/>
    <w:rsid w:val="00C31016"/>
    <w:rsid w:val="00C61410"/>
    <w:rsid w:val="00C749AB"/>
    <w:rsid w:val="00C816ED"/>
    <w:rsid w:val="00C82FAA"/>
    <w:rsid w:val="00C916D3"/>
    <w:rsid w:val="00C92E1A"/>
    <w:rsid w:val="00C95513"/>
    <w:rsid w:val="00CA465E"/>
    <w:rsid w:val="00CA557D"/>
    <w:rsid w:val="00CB0A88"/>
    <w:rsid w:val="00CB4414"/>
    <w:rsid w:val="00CB5084"/>
    <w:rsid w:val="00CB6A7E"/>
    <w:rsid w:val="00CC623A"/>
    <w:rsid w:val="00CD0271"/>
    <w:rsid w:val="00CD42EA"/>
    <w:rsid w:val="00CF3B12"/>
    <w:rsid w:val="00CF7713"/>
    <w:rsid w:val="00D05FD9"/>
    <w:rsid w:val="00D150EB"/>
    <w:rsid w:val="00D15EFA"/>
    <w:rsid w:val="00D22E7B"/>
    <w:rsid w:val="00D2339E"/>
    <w:rsid w:val="00D27AB9"/>
    <w:rsid w:val="00D402C8"/>
    <w:rsid w:val="00D404D5"/>
    <w:rsid w:val="00D454A6"/>
    <w:rsid w:val="00D463DD"/>
    <w:rsid w:val="00D550F2"/>
    <w:rsid w:val="00D56E09"/>
    <w:rsid w:val="00D631DF"/>
    <w:rsid w:val="00D6580D"/>
    <w:rsid w:val="00D73460"/>
    <w:rsid w:val="00D86E4E"/>
    <w:rsid w:val="00DA51EF"/>
    <w:rsid w:val="00DC050F"/>
    <w:rsid w:val="00DC3BE2"/>
    <w:rsid w:val="00DC422C"/>
    <w:rsid w:val="00E04A08"/>
    <w:rsid w:val="00E12BB2"/>
    <w:rsid w:val="00E13C7B"/>
    <w:rsid w:val="00E150E1"/>
    <w:rsid w:val="00E16C73"/>
    <w:rsid w:val="00E17DBA"/>
    <w:rsid w:val="00E728AA"/>
    <w:rsid w:val="00E85022"/>
    <w:rsid w:val="00E85613"/>
    <w:rsid w:val="00E94724"/>
    <w:rsid w:val="00E95555"/>
    <w:rsid w:val="00E9716A"/>
    <w:rsid w:val="00E97D7B"/>
    <w:rsid w:val="00EA2299"/>
    <w:rsid w:val="00EB59F5"/>
    <w:rsid w:val="00EB6226"/>
    <w:rsid w:val="00EC4F24"/>
    <w:rsid w:val="00ED7D9B"/>
    <w:rsid w:val="00EF24E2"/>
    <w:rsid w:val="00EF4E38"/>
    <w:rsid w:val="00F228B4"/>
    <w:rsid w:val="00F300EE"/>
    <w:rsid w:val="00F35222"/>
    <w:rsid w:val="00F44E4B"/>
    <w:rsid w:val="00F46038"/>
    <w:rsid w:val="00F47AB2"/>
    <w:rsid w:val="00F6699A"/>
    <w:rsid w:val="00F73507"/>
    <w:rsid w:val="00F87C75"/>
    <w:rsid w:val="00F934C9"/>
    <w:rsid w:val="00F94131"/>
    <w:rsid w:val="00FA130E"/>
    <w:rsid w:val="00FA2BB2"/>
    <w:rsid w:val="00FA6774"/>
    <w:rsid w:val="00FB3BE0"/>
    <w:rsid w:val="00FB3E4E"/>
    <w:rsid w:val="00FB7DAE"/>
    <w:rsid w:val="00FC3DA7"/>
    <w:rsid w:val="00FC728D"/>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uiPriority w:val="99"/>
    <w:rsid w:val="00CA557D"/>
    <w:rPr>
      <w:sz w:val="20"/>
      <w:szCs w:val="20"/>
    </w:rPr>
  </w:style>
  <w:style w:type="character" w:customStyle="1" w:styleId="CommentTextChar">
    <w:name w:val="Comment Text Char"/>
    <w:basedOn w:val="DefaultParagraphFont"/>
    <w:link w:val="CommentText"/>
    <w:uiPriority w:val="99"/>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uiPriority w:val="9"/>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5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uiPriority w:val="99"/>
    <w:rsid w:val="00CA557D"/>
    <w:rPr>
      <w:sz w:val="20"/>
      <w:szCs w:val="20"/>
    </w:rPr>
  </w:style>
  <w:style w:type="character" w:customStyle="1" w:styleId="CommentTextChar">
    <w:name w:val="Comment Text Char"/>
    <w:basedOn w:val="DefaultParagraphFont"/>
    <w:link w:val="CommentText"/>
    <w:uiPriority w:val="99"/>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uiPriority w:val="9"/>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5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325">
      <w:bodyDiv w:val="1"/>
      <w:marLeft w:val="0"/>
      <w:marRight w:val="0"/>
      <w:marTop w:val="0"/>
      <w:marBottom w:val="0"/>
      <w:divBdr>
        <w:top w:val="none" w:sz="0" w:space="0" w:color="auto"/>
        <w:left w:val="none" w:sz="0" w:space="0" w:color="auto"/>
        <w:bottom w:val="none" w:sz="0" w:space="0" w:color="auto"/>
        <w:right w:val="none" w:sz="0" w:space="0" w:color="auto"/>
      </w:divBdr>
    </w:div>
    <w:div w:id="375592585">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226719673">
      <w:bodyDiv w:val="1"/>
      <w:marLeft w:val="0"/>
      <w:marRight w:val="0"/>
      <w:marTop w:val="0"/>
      <w:marBottom w:val="0"/>
      <w:divBdr>
        <w:top w:val="none" w:sz="0" w:space="0" w:color="auto"/>
        <w:left w:val="none" w:sz="0" w:space="0" w:color="auto"/>
        <w:bottom w:val="none" w:sz="0" w:space="0" w:color="auto"/>
        <w:right w:val="none" w:sz="0" w:space="0" w:color="auto"/>
      </w:divBdr>
    </w:div>
    <w:div w:id="1282305498">
      <w:bodyDiv w:val="1"/>
      <w:marLeft w:val="0"/>
      <w:marRight w:val="0"/>
      <w:marTop w:val="0"/>
      <w:marBottom w:val="0"/>
      <w:divBdr>
        <w:top w:val="none" w:sz="0" w:space="0" w:color="auto"/>
        <w:left w:val="none" w:sz="0" w:space="0" w:color="auto"/>
        <w:bottom w:val="none" w:sz="0" w:space="0" w:color="auto"/>
        <w:right w:val="none" w:sz="0" w:space="0" w:color="auto"/>
      </w:divBdr>
    </w:div>
    <w:div w:id="1523350929">
      <w:bodyDiv w:val="1"/>
      <w:marLeft w:val="0"/>
      <w:marRight w:val="0"/>
      <w:marTop w:val="0"/>
      <w:marBottom w:val="0"/>
      <w:divBdr>
        <w:top w:val="none" w:sz="0" w:space="0" w:color="auto"/>
        <w:left w:val="none" w:sz="0" w:space="0" w:color="auto"/>
        <w:bottom w:val="none" w:sz="0" w:space="0" w:color="auto"/>
        <w:right w:val="none" w:sz="0" w:space="0" w:color="auto"/>
      </w:divBdr>
    </w:div>
    <w:div w:id="1899435913">
      <w:bodyDiv w:val="1"/>
      <w:marLeft w:val="0"/>
      <w:marRight w:val="0"/>
      <w:marTop w:val="0"/>
      <w:marBottom w:val="0"/>
      <w:divBdr>
        <w:top w:val="none" w:sz="0" w:space="0" w:color="auto"/>
        <w:left w:val="none" w:sz="0" w:space="0" w:color="auto"/>
        <w:bottom w:val="none" w:sz="0" w:space="0" w:color="auto"/>
        <w:right w:val="none" w:sz="0" w:space="0" w:color="auto"/>
      </w:divBdr>
    </w:div>
    <w:div w:id="2064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mcdiversityfactsandfigures.org/section-ii-current-status-of-us-physician-workfor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smb.org/Media/Default/PDF/Census/2014census.pdf" TargetMode="External"/><Relationship Id="rId4" Type="http://schemas.microsoft.com/office/2007/relationships/stylesWithEffects" Target="stylesWithEffects.xml"/><Relationship Id="rId9" Type="http://schemas.openxmlformats.org/officeDocument/2006/relationships/hyperlink" Target="http://factfinder.census.gov/faces/nav/jsf/pages/index.x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stat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41C1-88BA-4428-A4A6-409D964B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18435</CharactersWithSpaces>
  <SharedDoc>false</SharedDoc>
  <HLinks>
    <vt:vector size="12" baseType="variant">
      <vt:variant>
        <vt:i4>983134</vt:i4>
      </vt:variant>
      <vt:variant>
        <vt:i4>3</vt:i4>
      </vt:variant>
      <vt:variant>
        <vt:i4>0</vt:i4>
      </vt:variant>
      <vt:variant>
        <vt:i4>5</vt:i4>
      </vt:variant>
      <vt:variant>
        <vt:lpwstr>http://www.whitehouse.gov/sites/default/files/omb/inforeg/statpc</vt:lpwstr>
      </vt:variant>
      <vt:variant>
        <vt:lpwstr/>
      </vt:variant>
      <vt:variant>
        <vt:i4>5767246</vt:i4>
      </vt:variant>
      <vt:variant>
        <vt:i4>0</vt:i4>
      </vt:variant>
      <vt:variant>
        <vt:i4>0</vt:i4>
      </vt:variant>
      <vt:variant>
        <vt:i4>5</vt:i4>
      </vt:variant>
      <vt:variant>
        <vt:lpwstr>http://www.ncss.com/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Aikin, Kathryn J</dc:creator>
  <cp:lastModifiedBy>SYSTEM</cp:lastModifiedBy>
  <cp:revision>2</cp:revision>
  <dcterms:created xsi:type="dcterms:W3CDTF">2018-08-08T15:20:00Z</dcterms:created>
  <dcterms:modified xsi:type="dcterms:W3CDTF">2018-08-08T15:20:00Z</dcterms:modified>
</cp:coreProperties>
</file>