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A2186" w14:textId="73630227" w:rsidR="004C7516" w:rsidRDefault="00F92ACC" w:rsidP="005E0A0F">
      <w:pPr>
        <w:pStyle w:val="NormalWeb"/>
        <w:spacing w:line="288" w:lineRule="atLeast"/>
        <w:ind w:firstLine="480"/>
        <w:jc w:val="center"/>
        <w:rPr>
          <w:u w:val="single"/>
        </w:rPr>
      </w:pPr>
      <w:bookmarkStart w:id="0" w:name="cs31d"/>
      <w:bookmarkStart w:id="1" w:name="_GoBack"/>
      <w:bookmarkEnd w:id="1"/>
      <w:r>
        <w:rPr>
          <w:u w:val="single"/>
        </w:rPr>
        <w:t>SUPPORTING STATEMENT</w:t>
      </w:r>
      <w:r w:rsidR="000A2459">
        <w:rPr>
          <w:u w:val="single"/>
        </w:rPr>
        <w:t xml:space="preserve"> – PART A</w:t>
      </w:r>
    </w:p>
    <w:p w14:paraId="0B651F13" w14:textId="0EF61511" w:rsidR="00445581" w:rsidRPr="005809DD" w:rsidRDefault="00783278" w:rsidP="005E0A0F">
      <w:pPr>
        <w:pStyle w:val="NormalWeb"/>
        <w:spacing w:line="288" w:lineRule="atLeast"/>
        <w:ind w:firstLine="480"/>
        <w:jc w:val="center"/>
      </w:pPr>
      <w:r w:rsidRPr="007F0EEE">
        <w:t>Marketing Army Civilian Employment Survey</w:t>
      </w:r>
      <w:r w:rsidR="008236DF" w:rsidRPr="005809DD">
        <w:t xml:space="preserve"> – OMB Control Number 0702-XX</w:t>
      </w:r>
      <w:r w:rsidR="00471909" w:rsidRPr="005809DD">
        <w:t>X</w:t>
      </w:r>
      <w:r w:rsidR="008236DF" w:rsidRPr="005809DD">
        <w:t>X</w:t>
      </w:r>
    </w:p>
    <w:p w14:paraId="786D1DF2" w14:textId="77777777" w:rsidR="005E0A0F" w:rsidRDefault="005E0A0F" w:rsidP="007F0EEE">
      <w:pPr>
        <w:pStyle w:val="NormalWeb"/>
        <w:spacing w:line="288" w:lineRule="atLeast"/>
        <w:rPr>
          <w:u w:val="single"/>
        </w:rPr>
      </w:pPr>
      <w:bookmarkStart w:id="2" w:name="cp432"/>
      <w:bookmarkEnd w:id="0"/>
      <w:r>
        <w:t xml:space="preserve">1.  </w:t>
      </w:r>
      <w:r>
        <w:rPr>
          <w:u w:val="single"/>
        </w:rPr>
        <w:t>Need for the Information Collection</w:t>
      </w:r>
    </w:p>
    <w:p w14:paraId="0D22B298" w14:textId="4508484E" w:rsidR="0030448B" w:rsidRDefault="007F0EEE" w:rsidP="007F0EEE">
      <w:pPr>
        <w:tabs>
          <w:tab w:val="left" w:pos="360"/>
        </w:tabs>
      </w:pPr>
      <w:r>
        <w:t>T</w:t>
      </w:r>
      <w:r w:rsidR="0034388B" w:rsidRPr="0034388B">
        <w:t xml:space="preserve">he goal of the study is to inform how the Army can more effectively market to </w:t>
      </w:r>
      <w:r w:rsidR="005B665A">
        <w:t xml:space="preserve">support the </w:t>
      </w:r>
      <w:r w:rsidR="0034388B" w:rsidRPr="0034388B">
        <w:t>recruit</w:t>
      </w:r>
      <w:r w:rsidR="005B665A">
        <w:t>ing</w:t>
      </w:r>
      <w:r w:rsidR="0034388B" w:rsidRPr="0034388B">
        <w:t xml:space="preserve"> </w:t>
      </w:r>
      <w:r w:rsidR="005B665A">
        <w:t xml:space="preserve">of </w:t>
      </w:r>
      <w:r w:rsidR="003B50B2">
        <w:t>Department of the Army (</w:t>
      </w:r>
      <w:r w:rsidR="0034388B" w:rsidRPr="0034388B">
        <w:t>DA</w:t>
      </w:r>
      <w:r w:rsidR="003B50B2">
        <w:t>)</w:t>
      </w:r>
      <w:r w:rsidR="0034388B" w:rsidRPr="0034388B">
        <w:t xml:space="preserve"> </w:t>
      </w:r>
      <w:r w:rsidR="003B50B2">
        <w:t>c</w:t>
      </w:r>
      <w:r w:rsidR="0034388B" w:rsidRPr="0034388B">
        <w:t xml:space="preserve">ivilian critical occupations.  This </w:t>
      </w:r>
      <w:r w:rsidR="00783278">
        <w:t>survey</w:t>
      </w:r>
      <w:r w:rsidR="00783278" w:rsidRPr="0034388B">
        <w:t xml:space="preserve"> </w:t>
      </w:r>
      <w:r w:rsidR="0034388B" w:rsidRPr="0034388B">
        <w:t xml:space="preserve">is important to the Army </w:t>
      </w:r>
      <w:r w:rsidR="000E0280">
        <w:t>because</w:t>
      </w:r>
      <w:r w:rsidR="0034388B" w:rsidRPr="0034388B">
        <w:t xml:space="preserve"> attracting a high-quality talent pool in mission-critical occupations </w:t>
      </w:r>
      <w:r w:rsidR="0034388B">
        <w:t xml:space="preserve">such as </w:t>
      </w:r>
      <w:r w:rsidR="0034388B" w:rsidRPr="0034388B">
        <w:t>Engineering, Information Technology</w:t>
      </w:r>
      <w:r w:rsidR="005B665A" w:rsidRPr="005B665A">
        <w:t xml:space="preserve"> </w:t>
      </w:r>
      <w:r w:rsidR="005B665A">
        <w:t xml:space="preserve">and </w:t>
      </w:r>
      <w:r w:rsidR="005B665A" w:rsidRPr="0034388B">
        <w:t>Cyber Security</w:t>
      </w:r>
      <w:r w:rsidR="0034388B" w:rsidRPr="0034388B">
        <w:t xml:space="preserve"> </w:t>
      </w:r>
      <w:r w:rsidR="0034388B">
        <w:t>i</w:t>
      </w:r>
      <w:r w:rsidR="0034388B" w:rsidRPr="0034388B">
        <w:t>s vital to the Army’s ability to prevail in complex environments and remain adaptable in a difficult recruiting environment.</w:t>
      </w:r>
      <w:r w:rsidR="003B50B2">
        <w:t xml:space="preserve">  </w:t>
      </w:r>
      <w:r w:rsidR="0030448B">
        <w:t>T</w:t>
      </w:r>
      <w:r w:rsidR="003276AB">
        <w:t>hough t</w:t>
      </w:r>
      <w:r w:rsidR="0030448B">
        <w:t xml:space="preserve">his </w:t>
      </w:r>
      <w:r w:rsidR="00783278">
        <w:t xml:space="preserve">survey </w:t>
      </w:r>
      <w:r w:rsidR="0030448B">
        <w:t>focuses on high profile, difficult to fill</w:t>
      </w:r>
      <w:r w:rsidR="00792C2C">
        <w:t>,</w:t>
      </w:r>
      <w:r w:rsidR="0030448B">
        <w:t xml:space="preserve"> DA civilian fields, where appropriate</w:t>
      </w:r>
      <w:r w:rsidR="003276AB">
        <w:t>,</w:t>
      </w:r>
      <w:r w:rsidR="0030448B">
        <w:t xml:space="preserve"> the results will be used </w:t>
      </w:r>
      <w:r w:rsidR="005B665A">
        <w:t xml:space="preserve">in marketing </w:t>
      </w:r>
      <w:r w:rsidR="0030448B">
        <w:t xml:space="preserve">for all DA civilian occupations.  </w:t>
      </w:r>
    </w:p>
    <w:p w14:paraId="072A376E" w14:textId="77777777" w:rsidR="001140D4" w:rsidRDefault="001140D4" w:rsidP="00CE55CC">
      <w:pPr>
        <w:ind w:firstLine="360"/>
      </w:pPr>
    </w:p>
    <w:p w14:paraId="799D3200" w14:textId="1D567A39" w:rsidR="001140D4" w:rsidRDefault="00792C2C" w:rsidP="007F0EEE">
      <w:r>
        <w:t>The i</w:t>
      </w:r>
      <w:r w:rsidR="001140D4" w:rsidRPr="001F0241">
        <w:t xml:space="preserve">nformation collection for this study </w:t>
      </w:r>
      <w:r w:rsidR="001140D4">
        <w:t xml:space="preserve">consists of </w:t>
      </w:r>
      <w:r w:rsidR="001140D4" w:rsidRPr="001F0241">
        <w:t>two phases. Phase I</w:t>
      </w:r>
      <w:r w:rsidR="001140D4">
        <w:t xml:space="preserve"> (focus group</w:t>
      </w:r>
      <w:r w:rsidR="001140D4" w:rsidRPr="001F0241">
        <w:t>s</w:t>
      </w:r>
      <w:r w:rsidR="001140D4">
        <w:t>) was approved in October 2017 (OMB Control Number 0702-0142)</w:t>
      </w:r>
      <w:r w:rsidR="001140D4" w:rsidRPr="001F0241">
        <w:t xml:space="preserve">.  </w:t>
      </w:r>
      <w:r w:rsidR="001140D4">
        <w:t xml:space="preserve">This submission covers </w:t>
      </w:r>
      <w:r w:rsidR="001140D4" w:rsidRPr="001F0241">
        <w:t xml:space="preserve">Phase II </w:t>
      </w:r>
      <w:r w:rsidR="001140D4">
        <w:t xml:space="preserve">and </w:t>
      </w:r>
      <w:r w:rsidR="001140D4" w:rsidRPr="001F0241">
        <w:t>will be a survey</w:t>
      </w:r>
      <w:r w:rsidR="001140D4">
        <w:t>.</w:t>
      </w:r>
      <w:r w:rsidR="001140D4" w:rsidRPr="001F0241">
        <w:t xml:space="preserve">  </w:t>
      </w:r>
      <w:r w:rsidR="001140D4">
        <w:t>Information from t</w:t>
      </w:r>
      <w:r w:rsidR="001140D4" w:rsidRPr="001F0241">
        <w:t xml:space="preserve">he focus groups </w:t>
      </w:r>
      <w:r>
        <w:t>has</w:t>
      </w:r>
      <w:r w:rsidR="001140D4">
        <w:t xml:space="preserve"> been used to</w:t>
      </w:r>
      <w:r w:rsidR="001140D4" w:rsidRPr="001F0241">
        <w:t xml:space="preserve"> inform the content of the Phase II survey.</w:t>
      </w:r>
      <w:r w:rsidR="001140D4" w:rsidRPr="002B0593">
        <w:t xml:space="preserve"> </w:t>
      </w:r>
      <w:r w:rsidR="001140D4">
        <w:t xml:space="preserve"> The entire study (both phases) will </w:t>
      </w:r>
      <w:r w:rsidR="001140D4" w:rsidRPr="0034388B">
        <w:t xml:space="preserve">inform how the Army can more effectively market to </w:t>
      </w:r>
      <w:r w:rsidR="001140D4">
        <w:t xml:space="preserve">support the </w:t>
      </w:r>
      <w:r w:rsidR="001140D4" w:rsidRPr="0034388B">
        <w:t>recruit</w:t>
      </w:r>
      <w:r w:rsidR="001140D4">
        <w:t>ing</w:t>
      </w:r>
      <w:r w:rsidR="001140D4" w:rsidRPr="0034388B">
        <w:t xml:space="preserve"> </w:t>
      </w:r>
      <w:r w:rsidR="001140D4">
        <w:t xml:space="preserve">of </w:t>
      </w:r>
      <w:r w:rsidR="001140D4" w:rsidRPr="0034388B">
        <w:t xml:space="preserve">DA </w:t>
      </w:r>
      <w:r w:rsidR="001140D4">
        <w:t>c</w:t>
      </w:r>
      <w:r w:rsidR="001140D4" w:rsidRPr="0034388B">
        <w:t xml:space="preserve">ivilian critical occupations.  </w:t>
      </w:r>
      <w:r w:rsidR="001140D4">
        <w:t>The results will be used in marketing for all DA civilian occupations.</w:t>
      </w:r>
    </w:p>
    <w:p w14:paraId="1E942F4D" w14:textId="77777777" w:rsidR="001455DF" w:rsidRDefault="001455DF" w:rsidP="00CE55CC">
      <w:pPr>
        <w:ind w:firstLine="360"/>
      </w:pPr>
    </w:p>
    <w:p w14:paraId="35E755D8" w14:textId="77777777" w:rsidR="00C67AAD" w:rsidRDefault="000E0280" w:rsidP="007F0EEE">
      <w:r>
        <w:t xml:space="preserve">DA </w:t>
      </w:r>
      <w:r w:rsidR="00CD1193">
        <w:t>civilian</w:t>
      </w:r>
      <w:r>
        <w:t xml:space="preserve"> senior personnel officials have identified</w:t>
      </w:r>
      <w:r w:rsidR="00CD1193">
        <w:t>-</w:t>
      </w:r>
      <w:r w:rsidR="00C67AAD" w:rsidRPr="005B665A">
        <w:t>entry level and mid-</w:t>
      </w:r>
      <w:r w:rsidR="00CD1193">
        <w:t xml:space="preserve">level </w:t>
      </w:r>
      <w:r w:rsidR="00C67AAD" w:rsidRPr="005B665A">
        <w:t xml:space="preserve">career </w:t>
      </w:r>
      <w:r>
        <w:t xml:space="preserve">positions that are critical to the Army’s mission and also </w:t>
      </w:r>
      <w:r w:rsidR="00C67AAD">
        <w:t>difficult</w:t>
      </w:r>
      <w:r w:rsidR="0030032A">
        <w:t>-</w:t>
      </w:r>
      <w:r w:rsidR="00C67AAD">
        <w:t>to</w:t>
      </w:r>
      <w:r w:rsidR="0030032A">
        <w:t>-</w:t>
      </w:r>
      <w:r w:rsidR="00C67AAD">
        <w:t>fill</w:t>
      </w:r>
      <w:r w:rsidR="00C67AAD" w:rsidRPr="005B665A">
        <w:t xml:space="preserve">. </w:t>
      </w:r>
      <w:r w:rsidR="0030032A">
        <w:t xml:space="preserve"> </w:t>
      </w:r>
      <w:r>
        <w:t>M</w:t>
      </w:r>
      <w:r w:rsidR="00C67AAD" w:rsidRPr="005B665A">
        <w:t xml:space="preserve">arketing and advertising </w:t>
      </w:r>
      <w:r>
        <w:t xml:space="preserve">can </w:t>
      </w:r>
      <w:r w:rsidR="003276AB">
        <w:t xml:space="preserve">help set favorable market conditions to </w:t>
      </w:r>
      <w:r w:rsidRPr="005B665A">
        <w:t>significantly</w:t>
      </w:r>
      <w:r>
        <w:t xml:space="preserve"> </w:t>
      </w:r>
      <w:r w:rsidR="003276AB">
        <w:t>impact the</w:t>
      </w:r>
      <w:r>
        <w:t xml:space="preserve"> recruiting</w:t>
      </w:r>
      <w:r w:rsidR="00C67AAD" w:rsidRPr="005B665A">
        <w:t xml:space="preserve"> </w:t>
      </w:r>
      <w:r w:rsidR="003276AB">
        <w:t xml:space="preserve">force’s ability </w:t>
      </w:r>
      <w:r>
        <w:t xml:space="preserve">to </w:t>
      </w:r>
      <w:r w:rsidR="00C67AAD" w:rsidRPr="005B665A">
        <w:t xml:space="preserve">fill these critical positions. </w:t>
      </w:r>
      <w:r w:rsidR="0030032A">
        <w:t xml:space="preserve"> </w:t>
      </w:r>
      <w:r w:rsidR="00C67AAD" w:rsidRPr="005B665A">
        <w:t xml:space="preserve">The information collection requirement is necessary to understand these experts’ awareness of and willingness to consider an Army civilian career.  The information will </w:t>
      </w:r>
      <w:r w:rsidR="003276AB">
        <w:t xml:space="preserve">inform a civilian marketing campaign for the FY 2019 Annual Marketing Plan (AMP) and </w:t>
      </w:r>
      <w:r w:rsidR="00C67AAD" w:rsidRPr="005B665A">
        <w:t xml:space="preserve">lead us to the best strategies </w:t>
      </w:r>
      <w:r w:rsidR="003276AB">
        <w:t>t</w:t>
      </w:r>
      <w:r w:rsidR="00C67AAD" w:rsidRPr="005B665A">
        <w:t>o build awareness</w:t>
      </w:r>
      <w:r w:rsidR="003276AB">
        <w:t>, disrupt misperceptions</w:t>
      </w:r>
      <w:r w:rsidR="00C67AAD" w:rsidRPr="005B665A">
        <w:t xml:space="preserve"> and spark interest in Army civilian opportunities and </w:t>
      </w:r>
      <w:r w:rsidR="003276AB">
        <w:t xml:space="preserve">recruit top-tiered talent to </w:t>
      </w:r>
      <w:r w:rsidR="00C67AAD" w:rsidRPr="005B665A">
        <w:t>fill critical occupations.</w:t>
      </w:r>
    </w:p>
    <w:p w14:paraId="06D51424" w14:textId="77777777" w:rsidR="00C67AAD" w:rsidRDefault="00C67AAD" w:rsidP="007F0EEE"/>
    <w:p w14:paraId="3772664C" w14:textId="5A872FB8" w:rsidR="001455DF" w:rsidRDefault="00256B44" w:rsidP="007F0EEE">
      <w:r w:rsidRPr="002B0593">
        <w:t>10 Un</w:t>
      </w:r>
      <w:r>
        <w:t xml:space="preserve">ited States Code, Section 2358, </w:t>
      </w:r>
      <w:r w:rsidRPr="002B0593">
        <w:t>Res</w:t>
      </w:r>
      <w:r>
        <w:t xml:space="preserve">earch and Development Projects, allows for DoD research projects that are of potential interest. </w:t>
      </w:r>
      <w:r w:rsidR="001455DF">
        <w:t xml:space="preserve">Army Regulation </w:t>
      </w:r>
      <w:r w:rsidR="001455DF" w:rsidRPr="002B0593">
        <w:t xml:space="preserve">601-208, </w:t>
      </w:r>
      <w:r w:rsidR="001455DF">
        <w:t>dated 16 July 2013, gives the</w:t>
      </w:r>
      <w:r w:rsidR="001455DF" w:rsidRPr="002B0593">
        <w:t xml:space="preserve"> </w:t>
      </w:r>
      <w:r w:rsidR="001455DF">
        <w:t xml:space="preserve">Army Marketing and Research Group (AMRG) the responsibility for marketing support for Department of the Army </w:t>
      </w:r>
      <w:r w:rsidR="00CD1193">
        <w:t>c</w:t>
      </w:r>
      <w:r w:rsidR="001455DF">
        <w:t xml:space="preserve">ivilian recruiting.  </w:t>
      </w:r>
      <w:r w:rsidR="00884A53">
        <w:t>Because t</w:t>
      </w:r>
      <w:r w:rsidR="001455DF">
        <w:t>here is no existing research</w:t>
      </w:r>
      <w:r w:rsidR="00152AEA">
        <w:t xml:space="preserve"> on the DA civilian recruiting market, the </w:t>
      </w:r>
      <w:r w:rsidR="001455DF">
        <w:t xml:space="preserve">Army </w:t>
      </w:r>
      <w:r w:rsidR="00884A53">
        <w:t>requires</w:t>
      </w:r>
      <w:r w:rsidR="00152AEA">
        <w:t xml:space="preserve"> research </w:t>
      </w:r>
      <w:r w:rsidR="00884A53">
        <w:t xml:space="preserve">in order </w:t>
      </w:r>
      <w:r w:rsidR="00152AEA">
        <w:t xml:space="preserve">to provide marketing support to DA civilian recruiting. </w:t>
      </w:r>
    </w:p>
    <w:p w14:paraId="3ACB3472" w14:textId="77777777" w:rsidR="00C50360" w:rsidRDefault="00C50360" w:rsidP="007F0EEE"/>
    <w:p w14:paraId="20A7D428" w14:textId="77777777" w:rsidR="0034388B" w:rsidRDefault="0030448B" w:rsidP="007F0EEE">
      <w:r>
        <w:t>Previously, t</w:t>
      </w:r>
      <w:r w:rsidR="003B50B2">
        <w:t xml:space="preserve">he Army has conducted extensive research for military recruiting. </w:t>
      </w:r>
      <w:r w:rsidR="00135FE8">
        <w:t xml:space="preserve"> While military recruiting focuses on a very different portion of the population, we can glean some very basic insights.  </w:t>
      </w:r>
      <w:r w:rsidR="003B50B2">
        <w:t>Results from military recruit</w:t>
      </w:r>
      <w:r w:rsidR="007F2BB2">
        <w:t>ing</w:t>
      </w:r>
      <w:r w:rsidR="003B50B2">
        <w:t xml:space="preserve"> research indicates that most Americans do not understand their military</w:t>
      </w:r>
      <w:r w:rsidR="003276AB">
        <w:t>, nor their Army in particular</w:t>
      </w:r>
      <w:r w:rsidR="003B50B2">
        <w:t>.</w:t>
      </w:r>
      <w:r>
        <w:t xml:space="preserve">  </w:t>
      </w:r>
      <w:r w:rsidR="001455DF">
        <w:t>The DoD Advertising Tracking S</w:t>
      </w:r>
      <w:r>
        <w:t>tudy ind</w:t>
      </w:r>
      <w:r w:rsidR="001455DF">
        <w:t>i</w:t>
      </w:r>
      <w:r>
        <w:t xml:space="preserve">cates that </w:t>
      </w:r>
      <w:r w:rsidR="001455DF">
        <w:t>h</w:t>
      </w:r>
      <w:r w:rsidRPr="0030448B">
        <w:t xml:space="preserve">alf of </w:t>
      </w:r>
      <w:r w:rsidR="007F2BB2">
        <w:t>Americans</w:t>
      </w:r>
      <w:r w:rsidRPr="0030448B">
        <w:t xml:space="preserve"> ages 17-35 say they have little or no knowledge about Active Duty military service</w:t>
      </w:r>
      <w:r w:rsidR="00135FE8">
        <w:t xml:space="preserve"> and</w:t>
      </w:r>
      <w:r w:rsidRPr="0030448B">
        <w:t xml:space="preserve"> only 12% say they are highly knowledgeable</w:t>
      </w:r>
      <w:r w:rsidR="001455DF">
        <w:t>.</w:t>
      </w:r>
      <w:r w:rsidR="003B50B2">
        <w:t xml:space="preserve">  This lack of understanding </w:t>
      </w:r>
      <w:r w:rsidR="00135FE8">
        <w:t xml:space="preserve">of the Army as an institution, and its corresponding mission, leads to disinterest in serving on both the uniformed and the civilian sides.  Understanding how to best bridge the gap between misperception and reality within the talent pools and career fields we seek is essential.  </w:t>
      </w:r>
      <w:r w:rsidR="00135FE8">
        <w:lastRenderedPageBreak/>
        <w:t>We need to understand this to create effective marketing, and thereby positively affect recruiting the quality civilian force the Army needs to succeed at its mission of protecting and preserving our nation.</w:t>
      </w:r>
      <w:r w:rsidR="003B50B2">
        <w:t xml:space="preserve">  </w:t>
      </w:r>
    </w:p>
    <w:p w14:paraId="6182B4BB" w14:textId="77777777" w:rsidR="0034388B" w:rsidRDefault="0034388B" w:rsidP="007F0EEE"/>
    <w:p w14:paraId="6E5C5E98" w14:textId="5C4F7846" w:rsidR="007F2BB2" w:rsidRDefault="007F2BB2" w:rsidP="007F0EEE">
      <w:r>
        <w:t xml:space="preserve">The information collection consists of </w:t>
      </w:r>
      <w:r w:rsidR="00783278">
        <w:t>a survey</w:t>
      </w:r>
      <w:r>
        <w:t xml:space="preserve"> to gather </w:t>
      </w:r>
      <w:r w:rsidR="000844EB">
        <w:t>information</w:t>
      </w:r>
      <w:r w:rsidR="00783278" w:rsidRPr="002B0593">
        <w:t xml:space="preserve"> </w:t>
      </w:r>
      <w:r w:rsidRPr="002B0593">
        <w:t xml:space="preserve">on the awareness </w:t>
      </w:r>
      <w:r>
        <w:t>among</w:t>
      </w:r>
      <w:r w:rsidRPr="002B0593">
        <w:t xml:space="preserve"> non-federal employees of </w:t>
      </w:r>
      <w:r w:rsidR="008E37C1">
        <w:t xml:space="preserve">DA civilian </w:t>
      </w:r>
      <w:r w:rsidRPr="002B0593">
        <w:t xml:space="preserve">career opportunities and attitudes toward </w:t>
      </w:r>
      <w:r w:rsidR="008E37C1">
        <w:t>these opportunities</w:t>
      </w:r>
      <w:r w:rsidRPr="002B0593">
        <w:t xml:space="preserve">. </w:t>
      </w:r>
      <w:r>
        <w:t xml:space="preserve">The information gathered in </w:t>
      </w:r>
      <w:r w:rsidR="00783278">
        <w:t>this survey</w:t>
      </w:r>
      <w:r>
        <w:t xml:space="preserve"> will be used to develop marketing messaging and strategies</w:t>
      </w:r>
      <w:r w:rsidR="008E37C1">
        <w:t xml:space="preserve"> to support DA civilian recruiting</w:t>
      </w:r>
      <w:r>
        <w:t xml:space="preserve">.  </w:t>
      </w:r>
      <w:r w:rsidR="008E37C1">
        <w:t xml:space="preserve">This </w:t>
      </w:r>
      <w:r w:rsidR="00783278">
        <w:t xml:space="preserve">survey </w:t>
      </w:r>
      <w:r w:rsidR="008E37C1">
        <w:t>will also allow the Army to</w:t>
      </w:r>
      <w:r w:rsidR="008E37C1" w:rsidRPr="002B0593">
        <w:t xml:space="preserve"> set specific marketing objectives, strategies and tactics to recruit</w:t>
      </w:r>
      <w:r w:rsidR="008E37C1">
        <w:t xml:space="preserve"> DA </w:t>
      </w:r>
      <w:r w:rsidR="00CD1193">
        <w:t>c</w:t>
      </w:r>
      <w:r w:rsidR="008E37C1">
        <w:t>ivilians</w:t>
      </w:r>
      <w:r w:rsidR="008E37C1" w:rsidRPr="002B0593">
        <w:t>.</w:t>
      </w:r>
      <w:r w:rsidR="008E37C1">
        <w:t xml:space="preserve">  </w:t>
      </w:r>
      <w:r>
        <w:t xml:space="preserve">  </w:t>
      </w:r>
    </w:p>
    <w:p w14:paraId="68A5E64D" w14:textId="77777777" w:rsidR="007F2BB2" w:rsidRDefault="007F2BB2" w:rsidP="007F0EEE"/>
    <w:p w14:paraId="53D7670F" w14:textId="235DC4DF" w:rsidR="007B25E0" w:rsidRDefault="00D009F5" w:rsidP="007F0EEE">
      <w:r>
        <w:t>Th</w:t>
      </w:r>
      <w:r w:rsidR="000E0280">
        <w:t>e</w:t>
      </w:r>
      <w:r>
        <w:t xml:space="preserve"> co</w:t>
      </w:r>
      <w:r w:rsidR="00CE55CC">
        <w:t xml:space="preserve">llection of </w:t>
      </w:r>
      <w:r w:rsidR="000E0280">
        <w:t xml:space="preserve">this </w:t>
      </w:r>
      <w:r w:rsidR="00CE55CC">
        <w:t xml:space="preserve">information is required in response to the following regulations to support the tracking and accountability of personnel: Army Regulation </w:t>
      </w:r>
      <w:r w:rsidR="00CE55CC" w:rsidRPr="002B0593">
        <w:t xml:space="preserve">601-208, </w:t>
      </w:r>
      <w:r w:rsidR="00CE55CC">
        <w:t>dated 16 July</w:t>
      </w:r>
      <w:r w:rsidR="00DD2D78">
        <w:t xml:space="preserve"> 2013, which gives the</w:t>
      </w:r>
      <w:r w:rsidR="00CE55CC" w:rsidRPr="002B0593">
        <w:t xml:space="preserve"> </w:t>
      </w:r>
      <w:r w:rsidR="00DD2D78">
        <w:t>Army Marketing and Re</w:t>
      </w:r>
      <w:r w:rsidR="00254E8F">
        <w:t>search G</w:t>
      </w:r>
      <w:r w:rsidR="00DD2D78">
        <w:t>roup</w:t>
      </w:r>
      <w:r w:rsidR="00254E8F">
        <w:t xml:space="preserve"> (AMRG)</w:t>
      </w:r>
      <w:r w:rsidR="00DD2D78">
        <w:t xml:space="preserve"> the responsibility </w:t>
      </w:r>
      <w:r w:rsidR="00CE55CC">
        <w:t>for marketing support for Department o</w:t>
      </w:r>
      <w:r w:rsidR="00DD2D78">
        <w:t xml:space="preserve">f the Army </w:t>
      </w:r>
      <w:r w:rsidR="00CD1193">
        <w:t>civilian</w:t>
      </w:r>
      <w:r w:rsidR="00DD2D78">
        <w:t xml:space="preserve"> recruiting</w:t>
      </w:r>
      <w:r w:rsidR="00395BC3">
        <w:t xml:space="preserve">.  </w:t>
      </w:r>
      <w:r w:rsidR="009F0DE5" w:rsidRPr="001B187E">
        <w:rPr>
          <w:color w:val="000000"/>
        </w:rPr>
        <w:t xml:space="preserve">This regulation grants authority to AMRG for marketing in support of Army uniformed and </w:t>
      </w:r>
      <w:r w:rsidR="00CD1193">
        <w:rPr>
          <w:color w:val="000000"/>
        </w:rPr>
        <w:t>civilian</w:t>
      </w:r>
      <w:r w:rsidR="009F0DE5" w:rsidRPr="001B187E">
        <w:rPr>
          <w:color w:val="000000"/>
        </w:rPr>
        <w:t xml:space="preserve"> recruiting efforts and therefore to conduct research to that end</w:t>
      </w:r>
      <w:r w:rsidR="002356EF" w:rsidRPr="001B187E">
        <w:rPr>
          <w:color w:val="000000"/>
        </w:rPr>
        <w:t>.</w:t>
      </w:r>
      <w:r w:rsidR="002356EF">
        <w:t xml:space="preserve"> </w:t>
      </w:r>
      <w:r w:rsidR="00CE55CC">
        <w:t>Department of the Army General Order 201</w:t>
      </w:r>
      <w:r w:rsidR="00443C67">
        <w:t>7</w:t>
      </w:r>
      <w:r w:rsidR="00DD2D78">
        <w:t>-</w:t>
      </w:r>
      <w:r w:rsidR="00443C67">
        <w:t>05</w:t>
      </w:r>
      <w:r w:rsidR="00395BC3">
        <w:t xml:space="preserve"> </w:t>
      </w:r>
      <w:r w:rsidR="00DD2D78">
        <w:t xml:space="preserve">dated </w:t>
      </w:r>
      <w:r w:rsidR="00443C67">
        <w:t>6 January 2017</w:t>
      </w:r>
      <w:r w:rsidR="00DD2D78">
        <w:t xml:space="preserve"> </w:t>
      </w:r>
      <w:r w:rsidR="009F0DE5" w:rsidRPr="001B187E">
        <w:rPr>
          <w:color w:val="000000"/>
        </w:rPr>
        <w:t xml:space="preserve">affirms the </w:t>
      </w:r>
      <w:r w:rsidR="00443C67">
        <w:rPr>
          <w:color w:val="000000"/>
        </w:rPr>
        <w:t>consolidation of</w:t>
      </w:r>
      <w:r w:rsidR="009F0DE5" w:rsidRPr="001B187E">
        <w:rPr>
          <w:color w:val="000000"/>
        </w:rPr>
        <w:t xml:space="preserve"> marketing in support of </w:t>
      </w:r>
      <w:r w:rsidR="00443C67">
        <w:rPr>
          <w:color w:val="000000"/>
        </w:rPr>
        <w:t xml:space="preserve">Army </w:t>
      </w:r>
      <w:r w:rsidR="009F0DE5" w:rsidRPr="001B187E">
        <w:rPr>
          <w:color w:val="000000"/>
        </w:rPr>
        <w:t xml:space="preserve">uniformed and </w:t>
      </w:r>
      <w:r w:rsidR="002356EF" w:rsidRPr="001B187E">
        <w:rPr>
          <w:color w:val="000000"/>
        </w:rPr>
        <w:t>civilian</w:t>
      </w:r>
      <w:r w:rsidR="009F0DE5" w:rsidRPr="001B187E">
        <w:rPr>
          <w:color w:val="000000"/>
        </w:rPr>
        <w:t xml:space="preserve"> recruiting</w:t>
      </w:r>
      <w:r w:rsidR="00443C67">
        <w:rPr>
          <w:color w:val="000000"/>
        </w:rPr>
        <w:t xml:space="preserve"> under the AMRG</w:t>
      </w:r>
      <w:r w:rsidR="002356EF" w:rsidRPr="001B187E">
        <w:rPr>
          <w:color w:val="000000"/>
        </w:rPr>
        <w:t>.</w:t>
      </w:r>
      <w:r w:rsidR="002356EF">
        <w:rPr>
          <w:color w:val="000000"/>
        </w:rPr>
        <w:t xml:space="preserve"> </w:t>
      </w:r>
      <w:r w:rsidR="00254E8F">
        <w:rPr>
          <w:color w:val="000000"/>
        </w:rPr>
        <w:t>D</w:t>
      </w:r>
      <w:r w:rsidR="00CE55CC">
        <w:t>epartment of the Army General Or</w:t>
      </w:r>
      <w:r>
        <w:t>der 2012-01, dated 11 June 2012,</w:t>
      </w:r>
      <w:r w:rsidR="00CE55CC">
        <w:t xml:space="preserve"> Assignment of Functions and Responsibilities within Headquarters, Department of the Army</w:t>
      </w:r>
      <w:r w:rsidR="0030032A">
        <w:t xml:space="preserve">, </w:t>
      </w:r>
      <w:r w:rsidR="009F0DE5" w:rsidRPr="001B187E">
        <w:rPr>
          <w:color w:val="000000"/>
        </w:rPr>
        <w:t>assigns marketing functions and responsibilities in support of total Army recruiting to AMRG. In order to assume these functions and responsibilities</w:t>
      </w:r>
      <w:r w:rsidR="000E0280">
        <w:rPr>
          <w:color w:val="000000"/>
        </w:rPr>
        <w:t>,</w:t>
      </w:r>
      <w:r w:rsidR="009F0DE5" w:rsidRPr="001B187E">
        <w:rPr>
          <w:color w:val="000000"/>
        </w:rPr>
        <w:t xml:space="preserve"> research must be conducted to inform all efforts</w:t>
      </w:r>
      <w:r w:rsidR="002356EF" w:rsidRPr="001B187E">
        <w:rPr>
          <w:color w:val="000000"/>
        </w:rPr>
        <w:t>.</w:t>
      </w:r>
      <w:r w:rsidR="002356EF">
        <w:rPr>
          <w:color w:val="000000"/>
        </w:rPr>
        <w:t xml:space="preserve"> </w:t>
      </w:r>
    </w:p>
    <w:bookmarkEnd w:id="2"/>
    <w:p w14:paraId="09997B73" w14:textId="77777777" w:rsidR="005E0A0F" w:rsidRDefault="005E0A0F" w:rsidP="007F0EEE">
      <w:pPr>
        <w:pStyle w:val="NormalWeb"/>
        <w:spacing w:line="288" w:lineRule="atLeast"/>
        <w:rPr>
          <w:u w:val="single"/>
        </w:rPr>
      </w:pPr>
      <w:r>
        <w:t xml:space="preserve">2.  </w:t>
      </w:r>
      <w:r>
        <w:rPr>
          <w:u w:val="single"/>
        </w:rPr>
        <w:t>Use of the Information</w:t>
      </w:r>
    </w:p>
    <w:p w14:paraId="57679271" w14:textId="61CEFA24" w:rsidR="004627BD" w:rsidRPr="00A157A5" w:rsidRDefault="001140D4" w:rsidP="007F0EEE">
      <w:pPr>
        <w:pStyle w:val="NormalWeb"/>
        <w:spacing w:before="0" w:beforeAutospacing="0" w:after="0" w:afterAutospacing="0"/>
      </w:pPr>
      <w:r w:rsidRPr="00A157A5">
        <w:t>Survey</w:t>
      </w:r>
      <w:r w:rsidR="004627BD" w:rsidRPr="00A157A5">
        <w:t xml:space="preserve"> participants will be prospective candidates for DA </w:t>
      </w:r>
      <w:r w:rsidR="00CD1193" w:rsidRPr="00A157A5">
        <w:t>civilian</w:t>
      </w:r>
      <w:r w:rsidR="004627BD" w:rsidRPr="00A157A5">
        <w:t xml:space="preserve"> employment </w:t>
      </w:r>
      <w:r w:rsidR="00AC5914" w:rsidRPr="00A157A5">
        <w:t>in one of the following mission-critical careers: Civil Engineering, Electronics Engineering, Contracting, or Information Technology Management.  Participants will be divided into two groups: students (</w:t>
      </w:r>
      <w:r w:rsidR="005150BB" w:rsidRPr="00A157A5">
        <w:t>c</w:t>
      </w:r>
      <w:r w:rsidR="004627BD" w:rsidRPr="00A157A5">
        <w:t xml:space="preserve">ollege juniors, </w:t>
      </w:r>
      <w:r w:rsidR="00F951F8" w:rsidRPr="00A157A5">
        <w:t xml:space="preserve">college </w:t>
      </w:r>
      <w:r w:rsidR="004627BD" w:rsidRPr="00A157A5">
        <w:t>seniors or graduate students</w:t>
      </w:r>
      <w:r w:rsidR="00AC5914" w:rsidRPr="00A157A5">
        <w:t xml:space="preserve">) who express an interest in pursuing one of the careers or professionals currently </w:t>
      </w:r>
      <w:r w:rsidR="004627BD" w:rsidRPr="00A157A5">
        <w:t>employed</w:t>
      </w:r>
      <w:r w:rsidR="00AC5914" w:rsidRPr="00A157A5">
        <w:t xml:space="preserve"> in one of the four fields (at various stages of their careers). </w:t>
      </w:r>
    </w:p>
    <w:p w14:paraId="3B69CB06" w14:textId="77777777" w:rsidR="001140D4" w:rsidRPr="00A157A5" w:rsidRDefault="001140D4" w:rsidP="007F0EEE">
      <w:pPr>
        <w:pStyle w:val="NormalWeb"/>
        <w:spacing w:before="0" w:beforeAutospacing="0" w:after="0" w:afterAutospacing="0"/>
      </w:pPr>
    </w:p>
    <w:p w14:paraId="648958FD" w14:textId="4AE721B1" w:rsidR="00AC5914" w:rsidRPr="00A157A5" w:rsidRDefault="00AC5914" w:rsidP="007F0EEE">
      <w:pPr>
        <w:shd w:val="clear" w:color="auto" w:fill="FFFFFF"/>
      </w:pPr>
      <w:r w:rsidRPr="00A157A5">
        <w:t xml:space="preserve">Survey participants will be recruited from an online consumer panel, Panel members are sourced in a variety of ways in order to ensure the panel is as is as representative of the population as possible.  Sources from panel members include 500+ publishers, as well as bloggers (influencers) who promote the panels, major retailers and service providers, </w:t>
      </w:r>
      <w:r w:rsidR="00680D26">
        <w:t>search engine marketing</w:t>
      </w:r>
      <w:r w:rsidRPr="00A157A5">
        <w:t xml:space="preserve"> and advertising.</w:t>
      </w:r>
    </w:p>
    <w:p w14:paraId="0427DDFF" w14:textId="77777777" w:rsidR="00AC5914" w:rsidRPr="00A157A5" w:rsidRDefault="00AC5914" w:rsidP="007F0EEE">
      <w:pPr>
        <w:shd w:val="clear" w:color="auto" w:fill="FFFFFF"/>
      </w:pPr>
      <w:r w:rsidRPr="00A157A5">
        <w:t> </w:t>
      </w:r>
    </w:p>
    <w:p w14:paraId="150DD187" w14:textId="0DD7B728" w:rsidR="00AC5914" w:rsidRDefault="00AC5914" w:rsidP="005809DD">
      <w:pPr>
        <w:shd w:val="clear" w:color="auto" w:fill="FFFFFF"/>
      </w:pPr>
      <w:r w:rsidRPr="00A157A5">
        <w:t>All members are double-opted into the panel.  They provide an email address, following which they receive an email asking them to confirm they wish to join the panel by clicking a link which takes them to the registration page.</w:t>
      </w:r>
      <w:r w:rsidR="00894D6D">
        <w:t xml:space="preserve">  P</w:t>
      </w:r>
      <w:r w:rsidRPr="00A157A5">
        <w:t>anel members must go through our double opt-in registration process.  At the time of registering, in addition to confirming via email, we conduct the following to ensure all new members are valid:</w:t>
      </w:r>
      <w:r w:rsidR="007F0EEE">
        <w:t xml:space="preserve"> </w:t>
      </w:r>
      <w:r w:rsidRPr="00A157A5">
        <w:t>Digital Fingerprinting</w:t>
      </w:r>
      <w:r w:rsidR="007F0EEE">
        <w:t xml:space="preserve">; </w:t>
      </w:r>
      <w:r w:rsidRPr="00A157A5">
        <w:t>Physical Address Verification</w:t>
      </w:r>
      <w:r w:rsidR="007F0EEE">
        <w:t>;</w:t>
      </w:r>
      <w:r w:rsidR="005809DD">
        <w:t xml:space="preserve"> Completely Automated Public T</w:t>
      </w:r>
      <w:r w:rsidR="00256B44">
        <w:t>urning</w:t>
      </w:r>
      <w:r w:rsidR="005809DD">
        <w:t xml:space="preserve"> tes</w:t>
      </w:r>
      <w:r w:rsidR="00256B44">
        <w:t>t</w:t>
      </w:r>
      <w:r w:rsidR="005809DD">
        <w:t xml:space="preserve"> to tell Computers and Humans Apart</w:t>
      </w:r>
      <w:r w:rsidR="007F0EEE">
        <w:t xml:space="preserve"> </w:t>
      </w:r>
      <w:r w:rsidR="00256B44">
        <w:t>(</w:t>
      </w:r>
      <w:r w:rsidRPr="00A157A5">
        <w:t>CAPTCHA</w:t>
      </w:r>
      <w:r w:rsidR="00256B44">
        <w:t>)</w:t>
      </w:r>
      <w:r w:rsidR="007F0EEE">
        <w:t xml:space="preserve">; </w:t>
      </w:r>
      <w:r w:rsidRPr="00A157A5">
        <w:t>Mobile Verification (provide us their phone number and we text them a code to enter)</w:t>
      </w:r>
      <w:r w:rsidR="007F0EEE">
        <w:t xml:space="preserve">; </w:t>
      </w:r>
      <w:r w:rsidRPr="00A157A5">
        <w:t>Third Party Validation via Verity by Imperium</w:t>
      </w:r>
      <w:r w:rsidRPr="00A157A5">
        <w:br/>
      </w:r>
      <w:hyperlink r:id="rId13" w:tgtFrame="_blank" w:history="1">
        <w:r w:rsidRPr="00A157A5">
          <w:t>http://www.imperium.com/services/verity/</w:t>
        </w:r>
      </w:hyperlink>
    </w:p>
    <w:p w14:paraId="27D3D668" w14:textId="77777777" w:rsidR="00870A75" w:rsidRPr="00A157A5" w:rsidRDefault="00870A75" w:rsidP="005809DD">
      <w:pPr>
        <w:shd w:val="clear" w:color="auto" w:fill="FFFFFF"/>
      </w:pPr>
    </w:p>
    <w:p w14:paraId="188DEDAB" w14:textId="513493AE" w:rsidR="00C641EA" w:rsidRPr="00A157A5" w:rsidRDefault="00AC5914" w:rsidP="007F0EEE">
      <w:pPr>
        <w:shd w:val="clear" w:color="auto" w:fill="FFFFFF"/>
      </w:pPr>
      <w:r w:rsidRPr="00A157A5">
        <w:t> </w:t>
      </w:r>
      <w:r w:rsidR="00C641EA" w:rsidRPr="00A157A5">
        <w:t>After joining the panel, members get their own “Member Page” where they find a list of surveys on their dashboard (only surveys for which they would likely qualify are included).  The surveys are listed in random order and include the survey length (e.g. 20 minutes) and the number of points they’d receive should they qualify.  There is no information about the survey topic or qualifying criteria as this would create bias. </w:t>
      </w:r>
      <w:r w:rsidR="00894D6D">
        <w:t xml:space="preserve"> </w:t>
      </w:r>
      <w:r w:rsidR="00C641EA" w:rsidRPr="00A157A5">
        <w:t xml:space="preserve">After clicking on the link to the survey, potential respondents go to a page where they read the “Review and Consent” document and then answer several questions confirm they qualify for the survey. </w:t>
      </w:r>
    </w:p>
    <w:p w14:paraId="0F9DD610" w14:textId="77777777" w:rsidR="00E23621" w:rsidRPr="000844EB" w:rsidRDefault="00E23621" w:rsidP="004717FA">
      <w:pPr>
        <w:pStyle w:val="NoSpacing"/>
        <w:rPr>
          <w:b/>
          <w:sz w:val="24"/>
        </w:rPr>
      </w:pPr>
    </w:p>
    <w:p w14:paraId="3529CB9A" w14:textId="55BC6B02" w:rsidR="00E23621" w:rsidRPr="00A157A5" w:rsidRDefault="00E23621" w:rsidP="007F0EEE">
      <w:pPr>
        <w:pStyle w:val="NoSpacing"/>
        <w:rPr>
          <w:rFonts w:ascii="Times New Roman" w:eastAsia="Times New Roman" w:hAnsi="Times New Roman"/>
          <w:sz w:val="24"/>
          <w:szCs w:val="24"/>
        </w:rPr>
      </w:pPr>
      <w:r w:rsidRPr="00A157A5">
        <w:rPr>
          <w:rFonts w:ascii="Times New Roman" w:eastAsia="Times New Roman" w:hAnsi="Times New Roman"/>
          <w:sz w:val="24"/>
          <w:szCs w:val="24"/>
        </w:rPr>
        <w:t xml:space="preserve">Results from the </w:t>
      </w:r>
      <w:r w:rsidR="00263BC7" w:rsidRPr="00A157A5">
        <w:rPr>
          <w:rFonts w:ascii="Times New Roman" w:eastAsia="Times New Roman" w:hAnsi="Times New Roman"/>
          <w:sz w:val="24"/>
          <w:szCs w:val="24"/>
        </w:rPr>
        <w:t>survey</w:t>
      </w:r>
      <w:r w:rsidRPr="00A157A5">
        <w:rPr>
          <w:rFonts w:ascii="Times New Roman" w:eastAsia="Times New Roman" w:hAnsi="Times New Roman"/>
          <w:sz w:val="24"/>
          <w:szCs w:val="24"/>
        </w:rPr>
        <w:t xml:space="preserve"> will be docum</w:t>
      </w:r>
      <w:r w:rsidR="00752B34" w:rsidRPr="00A157A5">
        <w:rPr>
          <w:rFonts w:ascii="Times New Roman" w:eastAsia="Times New Roman" w:hAnsi="Times New Roman"/>
          <w:sz w:val="24"/>
          <w:szCs w:val="24"/>
        </w:rPr>
        <w:t xml:space="preserve">ented in a Report of Findings. </w:t>
      </w:r>
      <w:r w:rsidRPr="00A157A5">
        <w:rPr>
          <w:rFonts w:ascii="Times New Roman" w:eastAsia="Times New Roman" w:hAnsi="Times New Roman"/>
          <w:sz w:val="24"/>
          <w:szCs w:val="24"/>
        </w:rPr>
        <w:t>The report will consist of the following sections:</w:t>
      </w:r>
      <w:r w:rsidR="00752B34" w:rsidRPr="00A157A5">
        <w:rPr>
          <w:rFonts w:ascii="Times New Roman" w:eastAsia="Times New Roman" w:hAnsi="Times New Roman"/>
          <w:sz w:val="24"/>
          <w:szCs w:val="24"/>
        </w:rPr>
        <w:t xml:space="preserve"> </w:t>
      </w:r>
      <w:r w:rsidRPr="00A157A5">
        <w:rPr>
          <w:rFonts w:ascii="Times New Roman" w:eastAsia="Times New Roman" w:hAnsi="Times New Roman"/>
          <w:sz w:val="24"/>
          <w:szCs w:val="24"/>
        </w:rPr>
        <w:t>Background</w:t>
      </w:r>
      <w:r w:rsidR="00752B34" w:rsidRPr="00A157A5">
        <w:rPr>
          <w:b/>
          <w:sz w:val="24"/>
          <w:szCs w:val="24"/>
        </w:rPr>
        <w:t xml:space="preserve"> </w:t>
      </w:r>
      <w:r w:rsidR="00752B34" w:rsidRPr="00A157A5">
        <w:rPr>
          <w:sz w:val="24"/>
          <w:szCs w:val="24"/>
        </w:rPr>
        <w:t>(</w:t>
      </w:r>
      <w:r w:rsidR="00046397" w:rsidRPr="00A157A5">
        <w:rPr>
          <w:sz w:val="24"/>
          <w:szCs w:val="24"/>
        </w:rPr>
        <w:t>p</w:t>
      </w:r>
      <w:r w:rsidRPr="00A157A5">
        <w:rPr>
          <w:rFonts w:ascii="Times New Roman" w:eastAsia="Times New Roman" w:hAnsi="Times New Roman"/>
          <w:sz w:val="24"/>
          <w:szCs w:val="24"/>
        </w:rPr>
        <w:t xml:space="preserve">roject </w:t>
      </w:r>
      <w:r w:rsidR="00046397" w:rsidRPr="00A157A5">
        <w:rPr>
          <w:rFonts w:ascii="Times New Roman" w:eastAsia="Times New Roman" w:hAnsi="Times New Roman"/>
          <w:sz w:val="24"/>
          <w:szCs w:val="24"/>
        </w:rPr>
        <w:t>o</w:t>
      </w:r>
      <w:r w:rsidRPr="00A157A5">
        <w:rPr>
          <w:rFonts w:ascii="Times New Roman" w:eastAsia="Times New Roman" w:hAnsi="Times New Roman"/>
          <w:sz w:val="24"/>
          <w:szCs w:val="24"/>
        </w:rPr>
        <w:t>bjective</w:t>
      </w:r>
      <w:r w:rsidR="00752B34" w:rsidRPr="00A157A5">
        <w:rPr>
          <w:rFonts w:ascii="Times New Roman" w:eastAsia="Times New Roman" w:hAnsi="Times New Roman"/>
          <w:sz w:val="24"/>
          <w:szCs w:val="24"/>
        </w:rPr>
        <w:t xml:space="preserve">, </w:t>
      </w:r>
      <w:r w:rsidR="00046397" w:rsidRPr="00A157A5">
        <w:rPr>
          <w:rFonts w:ascii="Times New Roman" w:eastAsia="Times New Roman" w:hAnsi="Times New Roman"/>
          <w:sz w:val="24"/>
          <w:szCs w:val="24"/>
        </w:rPr>
        <w:t>r</w:t>
      </w:r>
      <w:r w:rsidRPr="00A157A5">
        <w:rPr>
          <w:rFonts w:ascii="Times New Roman" w:eastAsia="Times New Roman" w:hAnsi="Times New Roman"/>
          <w:sz w:val="24"/>
          <w:szCs w:val="24"/>
        </w:rPr>
        <w:t xml:space="preserve">esearch </w:t>
      </w:r>
      <w:r w:rsidR="00046397" w:rsidRPr="00A157A5">
        <w:rPr>
          <w:rFonts w:ascii="Times New Roman" w:eastAsia="Times New Roman" w:hAnsi="Times New Roman"/>
          <w:sz w:val="24"/>
          <w:szCs w:val="24"/>
        </w:rPr>
        <w:t>o</w:t>
      </w:r>
      <w:r w:rsidRPr="00A157A5">
        <w:rPr>
          <w:rFonts w:ascii="Times New Roman" w:eastAsia="Times New Roman" w:hAnsi="Times New Roman"/>
          <w:sz w:val="24"/>
          <w:szCs w:val="24"/>
        </w:rPr>
        <w:t>bjective</w:t>
      </w:r>
      <w:r w:rsidR="00752B34" w:rsidRPr="00A157A5">
        <w:rPr>
          <w:rFonts w:ascii="Times New Roman" w:eastAsia="Times New Roman" w:hAnsi="Times New Roman"/>
          <w:sz w:val="24"/>
          <w:szCs w:val="24"/>
        </w:rPr>
        <w:t xml:space="preserve">); </w:t>
      </w:r>
      <w:r w:rsidRPr="00A157A5">
        <w:rPr>
          <w:rFonts w:ascii="Times New Roman" w:eastAsia="Times New Roman" w:hAnsi="Times New Roman"/>
          <w:sz w:val="24"/>
          <w:szCs w:val="24"/>
        </w:rPr>
        <w:t>Research Methodology</w:t>
      </w:r>
      <w:r w:rsidR="00752B34" w:rsidRPr="00A157A5">
        <w:rPr>
          <w:rFonts w:ascii="Times New Roman" w:eastAsia="Times New Roman" w:hAnsi="Times New Roman"/>
          <w:sz w:val="24"/>
          <w:szCs w:val="24"/>
        </w:rPr>
        <w:t xml:space="preserve">; </w:t>
      </w:r>
      <w:r w:rsidRPr="00A157A5">
        <w:rPr>
          <w:rFonts w:ascii="Times New Roman" w:eastAsia="Times New Roman" w:hAnsi="Times New Roman"/>
          <w:sz w:val="24"/>
          <w:szCs w:val="24"/>
        </w:rPr>
        <w:t>Executive Summary</w:t>
      </w:r>
      <w:r w:rsidR="00752B34" w:rsidRPr="00A157A5">
        <w:rPr>
          <w:rFonts w:ascii="Times New Roman" w:eastAsia="Times New Roman" w:hAnsi="Times New Roman"/>
          <w:sz w:val="24"/>
          <w:szCs w:val="24"/>
        </w:rPr>
        <w:t xml:space="preserve"> (</w:t>
      </w:r>
      <w:r w:rsidR="00046397" w:rsidRPr="00A157A5">
        <w:rPr>
          <w:rFonts w:ascii="Times New Roman" w:eastAsia="Times New Roman" w:hAnsi="Times New Roman"/>
          <w:sz w:val="24"/>
          <w:szCs w:val="24"/>
        </w:rPr>
        <w:t>c</w:t>
      </w:r>
      <w:r w:rsidRPr="00A157A5">
        <w:rPr>
          <w:rFonts w:ascii="Times New Roman" w:eastAsia="Times New Roman" w:hAnsi="Times New Roman"/>
          <w:sz w:val="24"/>
          <w:szCs w:val="24"/>
        </w:rPr>
        <w:t xml:space="preserve">onclusions and </w:t>
      </w:r>
      <w:r w:rsidR="00046397" w:rsidRPr="00A157A5">
        <w:rPr>
          <w:rFonts w:ascii="Times New Roman" w:eastAsia="Times New Roman" w:hAnsi="Times New Roman"/>
          <w:sz w:val="24"/>
          <w:szCs w:val="24"/>
        </w:rPr>
        <w:t>k</w:t>
      </w:r>
      <w:r w:rsidRPr="00A157A5">
        <w:rPr>
          <w:rFonts w:ascii="Times New Roman" w:eastAsia="Times New Roman" w:hAnsi="Times New Roman"/>
          <w:sz w:val="24"/>
          <w:szCs w:val="24"/>
        </w:rPr>
        <w:t xml:space="preserve">ey </w:t>
      </w:r>
      <w:r w:rsidR="00046397" w:rsidRPr="00A157A5">
        <w:rPr>
          <w:rFonts w:ascii="Times New Roman" w:eastAsia="Times New Roman" w:hAnsi="Times New Roman"/>
          <w:sz w:val="24"/>
          <w:szCs w:val="24"/>
        </w:rPr>
        <w:t>i</w:t>
      </w:r>
      <w:r w:rsidRPr="00A157A5">
        <w:rPr>
          <w:rFonts w:ascii="Times New Roman" w:eastAsia="Times New Roman" w:hAnsi="Times New Roman"/>
          <w:sz w:val="24"/>
          <w:szCs w:val="24"/>
        </w:rPr>
        <w:t>nsights</w:t>
      </w:r>
      <w:r w:rsidR="00752B34" w:rsidRPr="00A157A5">
        <w:rPr>
          <w:rFonts w:ascii="Times New Roman" w:eastAsia="Times New Roman" w:hAnsi="Times New Roman"/>
          <w:sz w:val="24"/>
          <w:szCs w:val="24"/>
        </w:rPr>
        <w:t>,</w:t>
      </w:r>
      <w:r w:rsidRPr="00A157A5">
        <w:rPr>
          <w:rFonts w:ascii="Times New Roman" w:eastAsia="Times New Roman" w:hAnsi="Times New Roman"/>
          <w:sz w:val="24"/>
          <w:szCs w:val="24"/>
        </w:rPr>
        <w:t xml:space="preserve"> </w:t>
      </w:r>
      <w:r w:rsidR="00046397" w:rsidRPr="00A157A5">
        <w:rPr>
          <w:rFonts w:ascii="Times New Roman" w:eastAsia="Times New Roman" w:hAnsi="Times New Roman"/>
          <w:sz w:val="24"/>
          <w:szCs w:val="24"/>
        </w:rPr>
        <w:t>r</w:t>
      </w:r>
      <w:r w:rsidRPr="00A157A5">
        <w:rPr>
          <w:rFonts w:ascii="Times New Roman" w:eastAsia="Times New Roman" w:hAnsi="Times New Roman"/>
          <w:sz w:val="24"/>
          <w:szCs w:val="24"/>
        </w:rPr>
        <w:t>ecommendations</w:t>
      </w:r>
      <w:r w:rsidR="00752B34" w:rsidRPr="00A157A5">
        <w:rPr>
          <w:rFonts w:ascii="Times New Roman" w:eastAsia="Times New Roman" w:hAnsi="Times New Roman"/>
          <w:sz w:val="24"/>
          <w:szCs w:val="24"/>
        </w:rPr>
        <w:t xml:space="preserve">); </w:t>
      </w:r>
      <w:r w:rsidRPr="00A157A5">
        <w:rPr>
          <w:rFonts w:ascii="Times New Roman" w:eastAsia="Times New Roman" w:hAnsi="Times New Roman"/>
          <w:sz w:val="24"/>
          <w:szCs w:val="24"/>
        </w:rPr>
        <w:t>Detailed Findings</w:t>
      </w:r>
      <w:r w:rsidR="00752B34" w:rsidRPr="00A157A5">
        <w:rPr>
          <w:rFonts w:ascii="Times New Roman" w:eastAsia="Times New Roman" w:hAnsi="Times New Roman"/>
          <w:sz w:val="24"/>
          <w:szCs w:val="24"/>
        </w:rPr>
        <w:t xml:space="preserve"> (</w:t>
      </w:r>
      <w:r w:rsidR="00046397" w:rsidRPr="00A157A5">
        <w:rPr>
          <w:rFonts w:ascii="Times New Roman" w:eastAsia="Times New Roman" w:hAnsi="Times New Roman"/>
          <w:sz w:val="24"/>
          <w:szCs w:val="24"/>
        </w:rPr>
        <w:t>e</w:t>
      </w:r>
      <w:r w:rsidRPr="00A157A5">
        <w:rPr>
          <w:rFonts w:ascii="Times New Roman" w:eastAsia="Times New Roman" w:hAnsi="Times New Roman"/>
          <w:sz w:val="24"/>
          <w:szCs w:val="24"/>
        </w:rPr>
        <w:t>mployment goals and expectations</w:t>
      </w:r>
      <w:r w:rsidR="00752B34" w:rsidRPr="00A157A5">
        <w:rPr>
          <w:rFonts w:ascii="Times New Roman" w:eastAsia="Times New Roman" w:hAnsi="Times New Roman"/>
          <w:sz w:val="24"/>
          <w:szCs w:val="24"/>
        </w:rPr>
        <w:t xml:space="preserve">; </w:t>
      </w:r>
      <w:r w:rsidR="00046397" w:rsidRPr="00A157A5">
        <w:rPr>
          <w:rFonts w:ascii="Times New Roman" w:eastAsia="Times New Roman" w:hAnsi="Times New Roman"/>
          <w:sz w:val="24"/>
          <w:szCs w:val="24"/>
        </w:rPr>
        <w:t>d</w:t>
      </w:r>
      <w:r w:rsidRPr="00A157A5">
        <w:rPr>
          <w:rFonts w:ascii="Times New Roman" w:eastAsia="Times New Roman" w:hAnsi="Times New Roman"/>
          <w:sz w:val="24"/>
          <w:szCs w:val="24"/>
        </w:rPr>
        <w:t>esired tangible and intangible benefits</w:t>
      </w:r>
      <w:r w:rsidR="00752B34" w:rsidRPr="00A157A5">
        <w:rPr>
          <w:rFonts w:ascii="Times New Roman" w:eastAsia="Times New Roman" w:hAnsi="Times New Roman"/>
          <w:sz w:val="24"/>
          <w:szCs w:val="24"/>
        </w:rPr>
        <w:t xml:space="preserve">; </w:t>
      </w:r>
      <w:r w:rsidR="00046397" w:rsidRPr="00A157A5">
        <w:rPr>
          <w:rFonts w:ascii="Times New Roman" w:eastAsia="Times New Roman" w:hAnsi="Times New Roman"/>
          <w:sz w:val="24"/>
          <w:szCs w:val="24"/>
        </w:rPr>
        <w:t>a</w:t>
      </w:r>
      <w:r w:rsidRPr="00A157A5">
        <w:rPr>
          <w:rFonts w:ascii="Times New Roman" w:eastAsia="Times New Roman" w:hAnsi="Times New Roman"/>
          <w:sz w:val="24"/>
          <w:szCs w:val="24"/>
        </w:rPr>
        <w:t>wareness and perceptions of different e</w:t>
      </w:r>
      <w:r w:rsidR="00752B34" w:rsidRPr="00A157A5">
        <w:rPr>
          <w:rFonts w:ascii="Times New Roman" w:eastAsia="Times New Roman" w:hAnsi="Times New Roman"/>
          <w:sz w:val="24"/>
          <w:szCs w:val="24"/>
        </w:rPr>
        <w:t>mployer types: private company,</w:t>
      </w:r>
      <w:r w:rsidRPr="00A157A5">
        <w:rPr>
          <w:rFonts w:ascii="Times New Roman" w:eastAsia="Times New Roman" w:hAnsi="Times New Roman"/>
          <w:sz w:val="24"/>
          <w:szCs w:val="24"/>
        </w:rPr>
        <w:t xml:space="preserve"> </w:t>
      </w:r>
      <w:r w:rsidR="00752B34" w:rsidRPr="00A157A5">
        <w:rPr>
          <w:rFonts w:ascii="Times New Roman" w:eastAsia="Times New Roman" w:hAnsi="Times New Roman"/>
          <w:sz w:val="24"/>
          <w:szCs w:val="24"/>
        </w:rPr>
        <w:t xml:space="preserve">government agency, own business; </w:t>
      </w:r>
      <w:r w:rsidRPr="00A157A5">
        <w:rPr>
          <w:rFonts w:ascii="Times New Roman" w:eastAsia="Times New Roman" w:hAnsi="Times New Roman"/>
          <w:sz w:val="24"/>
          <w:szCs w:val="24"/>
        </w:rPr>
        <w:t xml:space="preserve">Perceptions of </w:t>
      </w:r>
      <w:r w:rsidR="00A302B7" w:rsidRPr="00A157A5">
        <w:rPr>
          <w:rFonts w:ascii="Times New Roman" w:eastAsia="Times New Roman" w:hAnsi="Times New Roman"/>
          <w:sz w:val="24"/>
          <w:szCs w:val="24"/>
        </w:rPr>
        <w:t xml:space="preserve">the </w:t>
      </w:r>
      <w:r w:rsidRPr="00A157A5">
        <w:rPr>
          <w:rFonts w:ascii="Times New Roman" w:eastAsia="Times New Roman" w:hAnsi="Times New Roman"/>
          <w:sz w:val="24"/>
          <w:szCs w:val="24"/>
        </w:rPr>
        <w:t>U</w:t>
      </w:r>
      <w:r w:rsidR="00A302B7" w:rsidRPr="00A157A5">
        <w:rPr>
          <w:rFonts w:ascii="Times New Roman" w:eastAsia="Times New Roman" w:hAnsi="Times New Roman"/>
          <w:sz w:val="24"/>
          <w:szCs w:val="24"/>
        </w:rPr>
        <w:t>.</w:t>
      </w:r>
      <w:r w:rsidRPr="00A157A5">
        <w:rPr>
          <w:rFonts w:ascii="Times New Roman" w:eastAsia="Times New Roman" w:hAnsi="Times New Roman"/>
          <w:sz w:val="24"/>
          <w:szCs w:val="24"/>
        </w:rPr>
        <w:t>S</w:t>
      </w:r>
      <w:r w:rsidR="00A302B7" w:rsidRPr="00A157A5">
        <w:rPr>
          <w:rFonts w:ascii="Times New Roman" w:eastAsia="Times New Roman" w:hAnsi="Times New Roman"/>
          <w:sz w:val="24"/>
          <w:szCs w:val="24"/>
        </w:rPr>
        <w:t>.</w:t>
      </w:r>
      <w:r w:rsidRPr="00A157A5">
        <w:rPr>
          <w:rFonts w:ascii="Times New Roman" w:eastAsia="Times New Roman" w:hAnsi="Times New Roman"/>
          <w:sz w:val="24"/>
          <w:szCs w:val="24"/>
        </w:rPr>
        <w:t xml:space="preserve"> Army as American institution</w:t>
      </w:r>
      <w:r w:rsidR="00752B34" w:rsidRPr="00A157A5">
        <w:rPr>
          <w:rFonts w:ascii="Times New Roman" w:eastAsia="Times New Roman" w:hAnsi="Times New Roman"/>
          <w:sz w:val="24"/>
          <w:szCs w:val="24"/>
        </w:rPr>
        <w:t>; A</w:t>
      </w:r>
      <w:r w:rsidRPr="00A157A5">
        <w:rPr>
          <w:rFonts w:ascii="Times New Roman" w:eastAsia="Times New Roman" w:hAnsi="Times New Roman"/>
          <w:sz w:val="24"/>
          <w:szCs w:val="24"/>
        </w:rPr>
        <w:t xml:space="preserve">wareness and knowledge of civilian employment in </w:t>
      </w:r>
      <w:r w:rsidR="00A302B7" w:rsidRPr="00A157A5">
        <w:rPr>
          <w:rFonts w:ascii="Times New Roman" w:eastAsia="Times New Roman" w:hAnsi="Times New Roman"/>
          <w:sz w:val="24"/>
          <w:szCs w:val="24"/>
        </w:rPr>
        <w:t xml:space="preserve">the </w:t>
      </w:r>
      <w:r w:rsidRPr="00A157A5">
        <w:rPr>
          <w:rFonts w:ascii="Times New Roman" w:eastAsia="Times New Roman" w:hAnsi="Times New Roman"/>
          <w:sz w:val="24"/>
          <w:szCs w:val="24"/>
        </w:rPr>
        <w:t>U</w:t>
      </w:r>
      <w:r w:rsidR="00A302B7" w:rsidRPr="00A157A5">
        <w:rPr>
          <w:rFonts w:ascii="Times New Roman" w:eastAsia="Times New Roman" w:hAnsi="Times New Roman"/>
          <w:sz w:val="24"/>
          <w:szCs w:val="24"/>
        </w:rPr>
        <w:t>.</w:t>
      </w:r>
      <w:r w:rsidRPr="00A157A5">
        <w:rPr>
          <w:rFonts w:ascii="Times New Roman" w:eastAsia="Times New Roman" w:hAnsi="Times New Roman"/>
          <w:sz w:val="24"/>
          <w:szCs w:val="24"/>
        </w:rPr>
        <w:t>S</w:t>
      </w:r>
      <w:r w:rsidR="00A302B7" w:rsidRPr="00A157A5">
        <w:rPr>
          <w:rFonts w:ascii="Times New Roman" w:eastAsia="Times New Roman" w:hAnsi="Times New Roman"/>
          <w:sz w:val="24"/>
          <w:szCs w:val="24"/>
        </w:rPr>
        <w:t>.</w:t>
      </w:r>
      <w:r w:rsidRPr="00A157A5">
        <w:rPr>
          <w:rFonts w:ascii="Times New Roman" w:eastAsia="Times New Roman" w:hAnsi="Times New Roman"/>
          <w:sz w:val="24"/>
          <w:szCs w:val="24"/>
        </w:rPr>
        <w:t xml:space="preserve"> Military/Army</w:t>
      </w:r>
      <w:r w:rsidR="00752B34" w:rsidRPr="00A157A5">
        <w:rPr>
          <w:rFonts w:ascii="Times New Roman" w:eastAsia="Times New Roman" w:hAnsi="Times New Roman"/>
          <w:sz w:val="24"/>
          <w:szCs w:val="24"/>
        </w:rPr>
        <w:t xml:space="preserve">, </w:t>
      </w:r>
      <w:r w:rsidRPr="00A157A5">
        <w:rPr>
          <w:rFonts w:ascii="Times New Roman" w:eastAsia="Times New Roman" w:hAnsi="Times New Roman"/>
          <w:sz w:val="24"/>
          <w:szCs w:val="24"/>
        </w:rPr>
        <w:t>Reactions to Army civilian employment positioning concepts and messages</w:t>
      </w:r>
      <w:r w:rsidR="00752B34" w:rsidRPr="00A157A5">
        <w:rPr>
          <w:rFonts w:ascii="Times New Roman" w:eastAsia="Times New Roman" w:hAnsi="Times New Roman"/>
          <w:sz w:val="24"/>
          <w:szCs w:val="24"/>
        </w:rPr>
        <w:t>).</w:t>
      </w:r>
      <w:r w:rsidR="008B1166" w:rsidRPr="00A157A5">
        <w:rPr>
          <w:rFonts w:ascii="Times New Roman" w:eastAsia="Times New Roman" w:hAnsi="Times New Roman"/>
          <w:sz w:val="24"/>
          <w:szCs w:val="24"/>
        </w:rPr>
        <w:t xml:space="preserve"> </w:t>
      </w:r>
    </w:p>
    <w:p w14:paraId="1F7497BB" w14:textId="77777777" w:rsidR="00B21D47" w:rsidRPr="00A157A5" w:rsidRDefault="00B21D47" w:rsidP="002E3A1E">
      <w:pPr>
        <w:pStyle w:val="NoSpacing"/>
        <w:ind w:firstLine="360"/>
        <w:rPr>
          <w:rFonts w:ascii="Times New Roman" w:eastAsia="Times New Roman" w:hAnsi="Times New Roman"/>
          <w:sz w:val="24"/>
          <w:szCs w:val="24"/>
        </w:rPr>
      </w:pPr>
    </w:p>
    <w:p w14:paraId="56EDB108" w14:textId="393F57FD" w:rsidR="00B21D47" w:rsidRPr="00E23621" w:rsidRDefault="00EC789F" w:rsidP="007F0EEE">
      <w:pPr>
        <w:pStyle w:val="NoSpacing"/>
        <w:rPr>
          <w:rFonts w:ascii="Times New Roman" w:eastAsia="Times New Roman" w:hAnsi="Times New Roman"/>
          <w:sz w:val="24"/>
          <w:szCs w:val="24"/>
        </w:rPr>
      </w:pPr>
      <w:r w:rsidRPr="00A157A5">
        <w:rPr>
          <w:rFonts w:ascii="Times New Roman" w:eastAsia="Times New Roman" w:hAnsi="Times New Roman"/>
          <w:sz w:val="24"/>
          <w:szCs w:val="24"/>
        </w:rPr>
        <w:t>The results from Phase I and Phase II will be used to develop a marketing campaign to support civilian recruiting</w:t>
      </w:r>
      <w:r w:rsidR="00406879" w:rsidRPr="00A157A5">
        <w:rPr>
          <w:rFonts w:ascii="Times New Roman" w:eastAsia="Times New Roman" w:hAnsi="Times New Roman"/>
          <w:sz w:val="24"/>
          <w:szCs w:val="24"/>
        </w:rPr>
        <w:t xml:space="preserve"> in FY2019</w:t>
      </w:r>
      <w:r w:rsidRPr="00A157A5">
        <w:rPr>
          <w:rFonts w:ascii="Times New Roman" w:eastAsia="Times New Roman" w:hAnsi="Times New Roman"/>
          <w:sz w:val="24"/>
          <w:szCs w:val="24"/>
        </w:rPr>
        <w:t xml:space="preserve">.  </w:t>
      </w:r>
    </w:p>
    <w:p w14:paraId="77AD6069" w14:textId="77777777" w:rsidR="00D56A50" w:rsidRDefault="00E23621" w:rsidP="002E3A1E">
      <w:pPr>
        <w:pStyle w:val="NoSpacing"/>
        <w:ind w:firstLine="360"/>
      </w:pPr>
      <w:r>
        <w:rPr>
          <w:sz w:val="24"/>
          <w:szCs w:val="24"/>
          <w:u w:val="single"/>
        </w:rPr>
        <w:t xml:space="preserve"> </w:t>
      </w:r>
    </w:p>
    <w:p w14:paraId="51589A8C" w14:textId="421A3B43" w:rsidR="00D56A50" w:rsidRPr="007601A9" w:rsidRDefault="00D56A50" w:rsidP="007F0EEE">
      <w:pPr>
        <w:pStyle w:val="NormalWeb"/>
        <w:spacing w:before="0" w:beforeAutospacing="0" w:after="0" w:afterAutospacing="0"/>
      </w:pPr>
      <w:r>
        <w:t>T</w:t>
      </w:r>
      <w:r w:rsidR="00357252">
        <w:t xml:space="preserve">he </w:t>
      </w:r>
      <w:r w:rsidR="00263BC7">
        <w:t xml:space="preserve">survey </w:t>
      </w:r>
      <w:r w:rsidR="00357252">
        <w:t>information collected will be used</w:t>
      </w:r>
      <w:r>
        <w:t xml:space="preserve"> by the </w:t>
      </w:r>
      <w:r w:rsidRPr="002B0593">
        <w:t xml:space="preserve">Department of the Army </w:t>
      </w:r>
      <w:r w:rsidR="00046397">
        <w:t>(</w:t>
      </w:r>
      <w:r w:rsidRPr="002B0593">
        <w:t>specifically the A</w:t>
      </w:r>
      <w:r w:rsidR="00046397">
        <w:t>MRG)</w:t>
      </w:r>
      <w:r w:rsidRPr="002B0593">
        <w:t xml:space="preserve"> </w:t>
      </w:r>
      <w:r w:rsidR="00357252">
        <w:t xml:space="preserve">to understand the </w:t>
      </w:r>
      <w:r w:rsidRPr="002B0593">
        <w:t xml:space="preserve">awareness of critical skills of career opportunities within </w:t>
      </w:r>
      <w:r w:rsidR="00C50360">
        <w:t>the Army</w:t>
      </w:r>
      <w:r w:rsidRPr="002B0593">
        <w:t xml:space="preserve"> and attitudes toward such employment. </w:t>
      </w:r>
      <w:r w:rsidR="003E1127" w:rsidRPr="003E1127">
        <w:t xml:space="preserve">The AMRG and ultimately the DA own the collection of the </w:t>
      </w:r>
      <w:r w:rsidR="00C73B08">
        <w:t>information</w:t>
      </w:r>
      <w:r w:rsidR="002356EF" w:rsidRPr="003E1127">
        <w:t xml:space="preserve">. </w:t>
      </w:r>
      <w:r w:rsidR="003E1127" w:rsidRPr="003E1127">
        <w:t>RAND/</w:t>
      </w:r>
      <w:r w:rsidR="00263BC7">
        <w:t>Echo Cove Research</w:t>
      </w:r>
      <w:r w:rsidR="00263BC7" w:rsidRPr="003E1127">
        <w:t xml:space="preserve"> </w:t>
      </w:r>
      <w:r w:rsidR="003E1127" w:rsidRPr="003E1127">
        <w:t xml:space="preserve">as contractors on this project </w:t>
      </w:r>
      <w:r w:rsidR="00266974">
        <w:t xml:space="preserve">will execute the </w:t>
      </w:r>
      <w:r w:rsidR="003E1127" w:rsidRPr="003E1127">
        <w:t xml:space="preserve">collection of </w:t>
      </w:r>
      <w:r w:rsidR="008B1166">
        <w:t>information</w:t>
      </w:r>
      <w:r w:rsidR="00266974">
        <w:t>, but not own the information once the contract is complete</w:t>
      </w:r>
      <w:r w:rsidR="002356EF" w:rsidRPr="003E1127">
        <w:t>.</w:t>
      </w:r>
      <w:r w:rsidR="002356EF">
        <w:t xml:space="preserve"> </w:t>
      </w:r>
      <w:r w:rsidRPr="002B0593">
        <w:t xml:space="preserve">This information will be used to assess DA </w:t>
      </w:r>
      <w:r w:rsidR="008A676C">
        <w:t xml:space="preserve">civilian </w:t>
      </w:r>
      <w:r w:rsidRPr="002B0593">
        <w:t>employment marketing campaigns (recruiting for government service (GS) positions)</w:t>
      </w:r>
      <w:r w:rsidR="00263BC7">
        <w:t xml:space="preserve"> and</w:t>
      </w:r>
      <w:r w:rsidR="00C50360">
        <w:t xml:space="preserve"> </w:t>
      </w:r>
      <w:r w:rsidRPr="002B0593">
        <w:t xml:space="preserve">address current and projected shortfalls in DA </w:t>
      </w:r>
      <w:r w:rsidR="00CD1193">
        <w:t>civilian</w:t>
      </w:r>
      <w:r w:rsidRPr="002B0593">
        <w:t xml:space="preserve"> critical occupations and to set specific marketing objectives, strategies and tactics to recruit.</w:t>
      </w:r>
    </w:p>
    <w:p w14:paraId="4F2DD72F" w14:textId="77777777" w:rsidR="005E0A0F" w:rsidRDefault="005E0A0F" w:rsidP="007F0EEE">
      <w:pPr>
        <w:pStyle w:val="NormalWeb"/>
        <w:spacing w:line="288" w:lineRule="atLeast"/>
        <w:rPr>
          <w:u w:val="single"/>
        </w:rPr>
      </w:pPr>
      <w:r>
        <w:t xml:space="preserve">3.  </w:t>
      </w:r>
      <w:r>
        <w:rPr>
          <w:u w:val="single"/>
        </w:rPr>
        <w:t>Use of Information Technology</w:t>
      </w:r>
    </w:p>
    <w:p w14:paraId="2CA4F640" w14:textId="3849F06C" w:rsidR="00CE55CC" w:rsidRDefault="005C4E3E" w:rsidP="007F0EEE">
      <w:pPr>
        <w:pStyle w:val="NormalWeb"/>
        <w:spacing w:before="0" w:beforeAutospacing="0" w:after="0" w:afterAutospacing="0"/>
      </w:pPr>
      <w:r>
        <w:t>D</w:t>
      </w:r>
      <w:r w:rsidR="00CE55CC">
        <w:t xml:space="preserve">issemination of information about the study </w:t>
      </w:r>
      <w:r>
        <w:t>will be</w:t>
      </w:r>
      <w:r w:rsidR="00CE55CC">
        <w:t xml:space="preserve"> provided electronically</w:t>
      </w:r>
      <w:r w:rsidR="002356EF">
        <w:t xml:space="preserve">. </w:t>
      </w:r>
      <w:r w:rsidR="00CE55CC">
        <w:t xml:space="preserve">The </w:t>
      </w:r>
      <w:r w:rsidR="00263BC7">
        <w:t>survey will be conducted online/</w:t>
      </w:r>
      <w:r w:rsidR="00CE55CC">
        <w:t>electronically</w:t>
      </w:r>
      <w:r w:rsidR="002356EF">
        <w:t xml:space="preserve">. </w:t>
      </w:r>
      <w:r w:rsidR="003E1127">
        <w:t xml:space="preserve">We estimate that </w:t>
      </w:r>
      <w:r w:rsidR="00A157A5">
        <w:t>100</w:t>
      </w:r>
      <w:r w:rsidR="003E1127">
        <w:t xml:space="preserve">% </w:t>
      </w:r>
      <w:r w:rsidR="005030EF">
        <w:t xml:space="preserve">of the information collected </w:t>
      </w:r>
      <w:r w:rsidR="00CE55CC">
        <w:t>will be electronic</w:t>
      </w:r>
      <w:r w:rsidR="003E1127">
        <w:t>ally captured</w:t>
      </w:r>
      <w:r w:rsidR="002356EF">
        <w:t xml:space="preserve">. </w:t>
      </w:r>
      <w:r w:rsidR="003B48AA">
        <w:t xml:space="preserve">The final Report on Findings will be provided to the Army electronically. </w:t>
      </w:r>
      <w:r w:rsidR="00D56A50">
        <w:t>We have planned the study this way to increase the use of information technology</w:t>
      </w:r>
      <w:r w:rsidR="002356EF">
        <w:t>.</w:t>
      </w:r>
      <w:r w:rsidR="00A439C0">
        <w:t xml:space="preserve">  </w:t>
      </w:r>
    </w:p>
    <w:p w14:paraId="4F87B65D" w14:textId="77777777" w:rsidR="00BF1B29" w:rsidRDefault="005E0A0F" w:rsidP="007F0EEE">
      <w:pPr>
        <w:pStyle w:val="NormalWeb"/>
        <w:spacing w:line="288" w:lineRule="atLeast"/>
        <w:rPr>
          <w:u w:val="single"/>
        </w:rPr>
      </w:pPr>
      <w:r>
        <w:t xml:space="preserve">4.  </w:t>
      </w:r>
      <w:r>
        <w:rPr>
          <w:u w:val="single"/>
        </w:rPr>
        <w:t>Non-duplication</w:t>
      </w:r>
    </w:p>
    <w:p w14:paraId="246BE1B5" w14:textId="07992140" w:rsidR="00404E22" w:rsidRPr="00B4505D" w:rsidRDefault="00404E22" w:rsidP="007F0EEE">
      <w:r w:rsidRPr="00B4505D">
        <w:t xml:space="preserve">There is no </w:t>
      </w:r>
      <w:r w:rsidR="00A439C0">
        <w:t xml:space="preserve">known </w:t>
      </w:r>
      <w:r w:rsidRPr="00B4505D">
        <w:t xml:space="preserve">duplication of </w:t>
      </w:r>
      <w:r>
        <w:t xml:space="preserve">this </w:t>
      </w:r>
      <w:r w:rsidRPr="00B4505D">
        <w:t xml:space="preserve">effort for the </w:t>
      </w:r>
      <w:r w:rsidR="00071744">
        <w:t xml:space="preserve">Marketing Army </w:t>
      </w:r>
      <w:r w:rsidR="00071744" w:rsidRPr="00F903F4">
        <w:t xml:space="preserve">Civilian </w:t>
      </w:r>
      <w:r w:rsidR="00071744">
        <w:t>Employment Survey</w:t>
      </w:r>
      <w:r w:rsidRPr="00B4505D">
        <w:t xml:space="preserve">; </w:t>
      </w:r>
      <w:r w:rsidR="008C5102">
        <w:t xml:space="preserve">the AMRG has conducted background research and determined that </w:t>
      </w:r>
      <w:r w:rsidRPr="00B4505D">
        <w:t xml:space="preserve">there is no other similar </w:t>
      </w:r>
      <w:r w:rsidR="008C5102">
        <w:t xml:space="preserve">research or </w:t>
      </w:r>
      <w:r w:rsidRPr="00B4505D">
        <w:t>information currently available tha</w:t>
      </w:r>
      <w:r w:rsidR="00A70395">
        <w:t xml:space="preserve">t can be used </w:t>
      </w:r>
      <w:r w:rsidR="00250188" w:rsidRPr="0034388B">
        <w:t>to inform how the A</w:t>
      </w:r>
      <w:r w:rsidR="008C5102">
        <w:t>rmy can more effectively market</w:t>
      </w:r>
      <w:r w:rsidR="008A676C">
        <w:t xml:space="preserve"> to assist in </w:t>
      </w:r>
      <w:r w:rsidR="00250188" w:rsidRPr="0034388B">
        <w:t>recruit</w:t>
      </w:r>
      <w:r w:rsidR="008A676C">
        <w:t>ing</w:t>
      </w:r>
      <w:r w:rsidR="00250188" w:rsidRPr="0034388B">
        <w:t xml:space="preserve"> and fill</w:t>
      </w:r>
      <w:r w:rsidR="008A676C">
        <w:t>ing</w:t>
      </w:r>
      <w:r w:rsidR="00250188" w:rsidRPr="0034388B">
        <w:t xml:space="preserve"> DA </w:t>
      </w:r>
      <w:r w:rsidR="00CD1193">
        <w:t>civilian</w:t>
      </w:r>
      <w:r w:rsidR="00250188" w:rsidRPr="0034388B">
        <w:t xml:space="preserve"> critical occupations.  </w:t>
      </w:r>
      <w:r w:rsidR="00266974">
        <w:t xml:space="preserve">DA civilian personnel senior officials have identified shortfalls </w:t>
      </w:r>
      <w:r w:rsidR="008C5102" w:rsidRPr="008C5102">
        <w:t>of entry</w:t>
      </w:r>
      <w:r w:rsidR="00C50360">
        <w:t>-</w:t>
      </w:r>
      <w:r w:rsidR="008C5102" w:rsidRPr="008C5102">
        <w:t>level and mid-</w:t>
      </w:r>
      <w:r w:rsidR="008A676C">
        <w:t xml:space="preserve">level </w:t>
      </w:r>
      <w:r w:rsidR="008C5102" w:rsidRPr="008C5102">
        <w:t>career technical experts</w:t>
      </w:r>
      <w:r w:rsidR="008C5102">
        <w:t xml:space="preserve"> in mission-critical DA </w:t>
      </w:r>
      <w:r w:rsidR="00CD1193">
        <w:t>civilian</w:t>
      </w:r>
      <w:r w:rsidR="008C5102">
        <w:t xml:space="preserve"> occupations, but there is no information on </w:t>
      </w:r>
      <w:r w:rsidR="00A15255">
        <w:t xml:space="preserve">the best ways to find and </w:t>
      </w:r>
      <w:r w:rsidR="008C5102">
        <w:t xml:space="preserve">reach these </w:t>
      </w:r>
      <w:r w:rsidR="004C68E4">
        <w:t xml:space="preserve">technical </w:t>
      </w:r>
      <w:r w:rsidR="008C5102">
        <w:t xml:space="preserve">experts or how best to provide awareness of DA </w:t>
      </w:r>
      <w:r w:rsidR="00CD1193">
        <w:t>civilian</w:t>
      </w:r>
      <w:r w:rsidR="008C5102">
        <w:t xml:space="preserve"> opportunities</w:t>
      </w:r>
      <w:r w:rsidR="00C50360">
        <w:t xml:space="preserve"> (marketing and messaging)</w:t>
      </w:r>
      <w:r w:rsidR="008C5102" w:rsidRPr="008C5102">
        <w:t>.</w:t>
      </w:r>
    </w:p>
    <w:p w14:paraId="59BEA103" w14:textId="77777777" w:rsidR="005E0A0F" w:rsidRDefault="005E0A0F" w:rsidP="007F0EEE">
      <w:pPr>
        <w:pStyle w:val="NormalWeb"/>
        <w:spacing w:line="288" w:lineRule="atLeast"/>
        <w:rPr>
          <w:u w:val="single"/>
        </w:rPr>
      </w:pPr>
      <w:bookmarkStart w:id="3" w:name="cp440"/>
      <w:r>
        <w:t xml:space="preserve">5.  </w:t>
      </w:r>
      <w:r>
        <w:rPr>
          <w:u w:val="single"/>
        </w:rPr>
        <w:t>Burden on Small Business</w:t>
      </w:r>
    </w:p>
    <w:p w14:paraId="0133DC24" w14:textId="189D48B4" w:rsidR="00404E22" w:rsidRDefault="00AA18D9" w:rsidP="007F0EEE">
      <w:pPr>
        <w:autoSpaceDE w:val="0"/>
        <w:autoSpaceDN w:val="0"/>
        <w:adjustRightInd w:val="0"/>
      </w:pPr>
      <w:r>
        <w:t xml:space="preserve">This information collection does not impose a significant economic impact on a substantial number of small businesses or entities. </w:t>
      </w:r>
    </w:p>
    <w:bookmarkEnd w:id="3"/>
    <w:p w14:paraId="3D9101B5" w14:textId="77777777" w:rsidR="005E0A0F" w:rsidRDefault="005E0A0F" w:rsidP="007F0EEE">
      <w:pPr>
        <w:pStyle w:val="NormalWeb"/>
        <w:spacing w:line="288" w:lineRule="atLeast"/>
        <w:rPr>
          <w:u w:val="single"/>
        </w:rPr>
      </w:pPr>
      <w:r>
        <w:t xml:space="preserve">6.  </w:t>
      </w:r>
      <w:r>
        <w:rPr>
          <w:u w:val="single"/>
        </w:rPr>
        <w:t>Less Frequent Collection</w:t>
      </w:r>
    </w:p>
    <w:p w14:paraId="7EFB522B" w14:textId="77777777" w:rsidR="00A70395" w:rsidRDefault="00A70395" w:rsidP="007F0EEE">
      <w:pPr>
        <w:pStyle w:val="NormalWeb"/>
        <w:spacing w:line="288" w:lineRule="atLeast"/>
      </w:pPr>
      <w:r>
        <w:t xml:space="preserve">This is a one-time information collection, so if it were conducted less frequently there would be no information collection.  </w:t>
      </w:r>
    </w:p>
    <w:p w14:paraId="0A8C49FD" w14:textId="77777777" w:rsidR="00404E22" w:rsidRDefault="00404E22" w:rsidP="007F0EEE">
      <w:pPr>
        <w:pStyle w:val="NormalWeb"/>
        <w:spacing w:line="288" w:lineRule="atLeast"/>
        <w:rPr>
          <w:u w:val="single"/>
        </w:rPr>
      </w:pPr>
      <w:r w:rsidRPr="00B4505D">
        <w:t xml:space="preserve">If the information is not collected, </w:t>
      </w:r>
      <w:r w:rsidR="00B21D47">
        <w:t xml:space="preserve">the </w:t>
      </w:r>
      <w:r w:rsidRPr="00B4505D">
        <w:t>A</w:t>
      </w:r>
      <w:r w:rsidR="008A676C">
        <w:t>MRG</w:t>
      </w:r>
      <w:r w:rsidR="00B21D47">
        <w:t xml:space="preserve"> </w:t>
      </w:r>
      <w:r w:rsidRPr="00B4505D">
        <w:t xml:space="preserve">DA </w:t>
      </w:r>
      <w:r w:rsidR="00CD1193">
        <w:t>civilian</w:t>
      </w:r>
      <w:r w:rsidRPr="00B4505D">
        <w:t xml:space="preserve"> Brand mission will</w:t>
      </w:r>
      <w:r>
        <w:t xml:space="preserve"> </w:t>
      </w:r>
      <w:r w:rsidR="008C5102">
        <w:t>not be able</w:t>
      </w:r>
      <w:r w:rsidRPr="00B4505D">
        <w:t xml:space="preserve"> to design marketing and advertising efforts dedicated to </w:t>
      </w:r>
      <w:r w:rsidR="008C5102">
        <w:t>recruiting mission-critical DA civilians</w:t>
      </w:r>
      <w:r w:rsidRPr="00B4505D">
        <w:t xml:space="preserve">. </w:t>
      </w:r>
      <w:r w:rsidR="00B21D47">
        <w:t xml:space="preserve"> T</w:t>
      </w:r>
      <w:r w:rsidRPr="00B4505D">
        <w:t>here is a lack of entry</w:t>
      </w:r>
      <w:r w:rsidR="008A676C">
        <w:t>-</w:t>
      </w:r>
      <w:r w:rsidRPr="00B4505D">
        <w:t xml:space="preserve">level and mid-career </w:t>
      </w:r>
      <w:r w:rsidR="00B21D47">
        <w:t xml:space="preserve">civilian </w:t>
      </w:r>
      <w:r w:rsidRPr="00B4505D">
        <w:t>technical experts</w:t>
      </w:r>
      <w:r w:rsidR="00B21D47">
        <w:t xml:space="preserve"> in </w:t>
      </w:r>
      <w:r w:rsidR="004C68E4">
        <w:t xml:space="preserve">mission critical occupations in </w:t>
      </w:r>
      <w:r w:rsidR="00B21D47">
        <w:t>the Army</w:t>
      </w:r>
      <w:r w:rsidRPr="00B4505D">
        <w:t>. Lack of appropriate marketing and advertising mechanisms will</w:t>
      </w:r>
      <w:r w:rsidR="00A15255">
        <w:t xml:space="preserve"> significantly</w:t>
      </w:r>
      <w:r w:rsidRPr="00B4505D">
        <w:t xml:space="preserve"> delay the potential fill of these critical positions. </w:t>
      </w:r>
      <w:r w:rsidR="00B21D47">
        <w:t xml:space="preserve"> </w:t>
      </w:r>
      <w:r w:rsidRPr="00B4505D">
        <w:t xml:space="preserve">The information collection requirement is necessary to provide the </w:t>
      </w:r>
      <w:r w:rsidR="005C731C">
        <w:t>insights</w:t>
      </w:r>
      <w:r w:rsidRPr="00B4505D">
        <w:t xml:space="preserve"> needed to understand the best strategies and implementation tactics to build awareness and spark interest in Army civilian opportunities and fill critical occupations.</w:t>
      </w:r>
      <w:r>
        <w:t xml:space="preserve"> </w:t>
      </w:r>
      <w:r w:rsidR="00B21D47">
        <w:t xml:space="preserve"> </w:t>
      </w:r>
      <w:r>
        <w:t>As this is a one-time collection, it could not be conducted less frequently</w:t>
      </w:r>
      <w:r w:rsidR="00A15255">
        <w:t>.</w:t>
      </w:r>
    </w:p>
    <w:p w14:paraId="42FF26E2" w14:textId="77777777" w:rsidR="005E0A0F" w:rsidRDefault="005E0A0F" w:rsidP="007F0EEE">
      <w:pPr>
        <w:pStyle w:val="NormalWeb"/>
        <w:spacing w:line="288" w:lineRule="atLeast"/>
        <w:rPr>
          <w:u w:val="single"/>
        </w:rPr>
      </w:pPr>
      <w:bookmarkStart w:id="4" w:name="cp444"/>
      <w:r>
        <w:t xml:space="preserve">7.  </w:t>
      </w:r>
      <w:r>
        <w:rPr>
          <w:u w:val="single"/>
        </w:rPr>
        <w:t>Paperwork Reduction Act Guidelines</w:t>
      </w:r>
    </w:p>
    <w:p w14:paraId="518379E0" w14:textId="327704DF" w:rsidR="00EA00D6" w:rsidRPr="00850773" w:rsidRDefault="00404E22" w:rsidP="007F0EEE">
      <w:pPr>
        <w:pStyle w:val="NormalWeb"/>
        <w:spacing w:before="0" w:beforeAutospacing="0" w:after="0" w:afterAutospacing="0"/>
      </w:pPr>
      <w:r>
        <w:t>There are no such special requirements</w:t>
      </w:r>
      <w:r w:rsidR="00D56A50">
        <w:t xml:space="preserve"> as delineated in 5 CFR 1320.5(d)(2). Collection will be conducted in a manner consistent with these guidelines</w:t>
      </w:r>
      <w:r>
        <w:t xml:space="preserve">. </w:t>
      </w:r>
      <w:bookmarkStart w:id="5" w:name="cp445"/>
      <w:bookmarkEnd w:id="4"/>
    </w:p>
    <w:p w14:paraId="3BE7750B" w14:textId="77777777" w:rsidR="005E0A0F" w:rsidRDefault="005E0A0F" w:rsidP="007F0EEE">
      <w:pPr>
        <w:pStyle w:val="NormalWeb"/>
        <w:spacing w:line="288" w:lineRule="atLeast"/>
        <w:rPr>
          <w:u w:val="single"/>
        </w:rPr>
      </w:pPr>
      <w:bookmarkStart w:id="6" w:name="cp446"/>
      <w:bookmarkEnd w:id="5"/>
      <w:r>
        <w:t xml:space="preserve">8.  </w:t>
      </w:r>
      <w:r>
        <w:rPr>
          <w:u w:val="single"/>
        </w:rPr>
        <w:t>Consultation and Public Comments</w:t>
      </w:r>
    </w:p>
    <w:p w14:paraId="39820BB3" w14:textId="69124ECE" w:rsidR="00B403D6" w:rsidRDefault="00B403D6" w:rsidP="007F0EEE">
      <w:pPr>
        <w:pStyle w:val="NormalWeb"/>
        <w:spacing w:line="288" w:lineRule="atLeast"/>
      </w:pPr>
      <w:r>
        <w:t>Part A</w:t>
      </w:r>
      <w:r w:rsidR="00DD13E8">
        <w:t xml:space="preserve">: </w:t>
      </w:r>
      <w:r>
        <w:t>PUBLIC NOTICE</w:t>
      </w:r>
    </w:p>
    <w:p w14:paraId="436A6BF7" w14:textId="77777777" w:rsidR="00244E14" w:rsidRDefault="00244E14" w:rsidP="00244E14">
      <w:pPr>
        <w:pStyle w:val="NormalWeb"/>
        <w:spacing w:line="288" w:lineRule="atLeast"/>
        <w:rPr>
          <w:rFonts w:eastAsiaTheme="minorHAnsi"/>
          <w:szCs w:val="22"/>
        </w:rPr>
      </w:pPr>
      <w:r w:rsidRPr="00244E14">
        <w:rPr>
          <w:rFonts w:eastAsiaTheme="minorHAnsi"/>
          <w:szCs w:val="22"/>
        </w:rPr>
        <w:t xml:space="preserve">A 60-Day Federal Register Notice (FRN) for the collection published on Thursday, March 22, 2018.  The 60-Day FRN citation is 83 FRN 12569. </w:t>
      </w:r>
    </w:p>
    <w:p w14:paraId="42654229" w14:textId="41A805EC" w:rsidR="00244E14" w:rsidRPr="00244E14" w:rsidRDefault="00244E14" w:rsidP="00244E14">
      <w:pPr>
        <w:pStyle w:val="NormalWeb"/>
        <w:spacing w:line="288" w:lineRule="atLeast"/>
        <w:rPr>
          <w:rFonts w:eastAsiaTheme="minorHAnsi"/>
          <w:szCs w:val="22"/>
        </w:rPr>
      </w:pPr>
      <w:r w:rsidRPr="00244E14">
        <w:rPr>
          <w:rFonts w:eastAsiaTheme="minorHAnsi"/>
          <w:szCs w:val="22"/>
        </w:rPr>
        <w:t>No comments were received during the 60-Day Comment Period.</w:t>
      </w:r>
    </w:p>
    <w:p w14:paraId="42F023B8" w14:textId="736F6061" w:rsidR="00244E14" w:rsidRPr="005809DD" w:rsidRDefault="00244E14" w:rsidP="00244E14">
      <w:pPr>
        <w:pStyle w:val="NormalWeb"/>
        <w:spacing w:line="288" w:lineRule="atLeast"/>
        <w:rPr>
          <w:rFonts w:eastAsiaTheme="minorHAnsi"/>
          <w:szCs w:val="22"/>
        </w:rPr>
      </w:pPr>
      <w:r w:rsidRPr="005809DD">
        <w:rPr>
          <w:rFonts w:eastAsiaTheme="minorHAnsi"/>
          <w:szCs w:val="22"/>
        </w:rPr>
        <w:t xml:space="preserve">A 30-Day </w:t>
      </w:r>
      <w:r w:rsidRPr="00D87BC2">
        <w:rPr>
          <w:rFonts w:eastAsiaTheme="minorHAnsi"/>
          <w:szCs w:val="22"/>
        </w:rPr>
        <w:t xml:space="preserve">Federal Register Notice for the collection published on </w:t>
      </w:r>
      <w:r w:rsidR="00D87BC2" w:rsidRPr="00D87BC2">
        <w:rPr>
          <w:rFonts w:eastAsiaTheme="minorHAnsi"/>
          <w:szCs w:val="22"/>
        </w:rPr>
        <w:t>Friday</w:t>
      </w:r>
      <w:r w:rsidRPr="00D87BC2">
        <w:rPr>
          <w:rFonts w:eastAsiaTheme="minorHAnsi"/>
          <w:szCs w:val="22"/>
        </w:rPr>
        <w:t xml:space="preserve">, </w:t>
      </w:r>
      <w:r w:rsidR="00D87BC2" w:rsidRPr="00D87BC2">
        <w:rPr>
          <w:rFonts w:eastAsiaTheme="minorHAnsi"/>
          <w:szCs w:val="22"/>
        </w:rPr>
        <w:t>August 24</w:t>
      </w:r>
      <w:r w:rsidRPr="00D87BC2">
        <w:rPr>
          <w:rFonts w:eastAsiaTheme="minorHAnsi"/>
          <w:szCs w:val="22"/>
        </w:rPr>
        <w:t xml:space="preserve">, </w:t>
      </w:r>
      <w:r w:rsidR="00D87BC2" w:rsidRPr="00D87BC2">
        <w:rPr>
          <w:rFonts w:eastAsiaTheme="minorHAnsi"/>
          <w:szCs w:val="22"/>
        </w:rPr>
        <w:t>2018</w:t>
      </w:r>
      <w:r w:rsidRPr="00D87BC2">
        <w:rPr>
          <w:rFonts w:eastAsiaTheme="minorHAnsi"/>
          <w:szCs w:val="22"/>
        </w:rPr>
        <w:t xml:space="preserve">.  The 30-Day FRN citation is </w:t>
      </w:r>
      <w:r w:rsidR="00D87BC2" w:rsidRPr="00D87BC2">
        <w:rPr>
          <w:rFonts w:eastAsiaTheme="minorHAnsi"/>
          <w:szCs w:val="22"/>
        </w:rPr>
        <w:t>83</w:t>
      </w:r>
      <w:r w:rsidRPr="00D87BC2">
        <w:rPr>
          <w:rFonts w:eastAsiaTheme="minorHAnsi"/>
          <w:szCs w:val="22"/>
        </w:rPr>
        <w:t xml:space="preserve"> FRN </w:t>
      </w:r>
      <w:r w:rsidR="00D87BC2" w:rsidRPr="00D87BC2">
        <w:rPr>
          <w:rFonts w:eastAsiaTheme="minorHAnsi"/>
          <w:szCs w:val="22"/>
        </w:rPr>
        <w:t>42883</w:t>
      </w:r>
      <w:r w:rsidRPr="00D87BC2">
        <w:rPr>
          <w:rFonts w:eastAsiaTheme="minorHAnsi"/>
          <w:szCs w:val="22"/>
        </w:rPr>
        <w:t>.</w:t>
      </w:r>
    </w:p>
    <w:p w14:paraId="5ACD1AAE" w14:textId="77777777" w:rsidR="00F43EB1" w:rsidRDefault="00F43EB1" w:rsidP="00404E22">
      <w:pPr>
        <w:pStyle w:val="NormalWeb"/>
        <w:spacing w:line="288" w:lineRule="atLeast"/>
      </w:pPr>
    </w:p>
    <w:p w14:paraId="1CF9DD2F" w14:textId="7E661172" w:rsidR="00B403D6" w:rsidRDefault="00B403D6" w:rsidP="00404E22">
      <w:pPr>
        <w:pStyle w:val="NormalWeb"/>
        <w:spacing w:line="288" w:lineRule="atLeast"/>
      </w:pPr>
      <w:r>
        <w:t>Part B: CONSULTATION</w:t>
      </w:r>
    </w:p>
    <w:p w14:paraId="38A713EA" w14:textId="3C27DCCE" w:rsidR="00404E22" w:rsidRDefault="00404E22" w:rsidP="007F0EEE">
      <w:pPr>
        <w:pStyle w:val="NormalWeb"/>
        <w:spacing w:line="288" w:lineRule="atLeast"/>
      </w:pPr>
      <w:r w:rsidRPr="00A7533B">
        <w:t>The sponsoring agency consulted with Army Civilian Human Resources Agency, Army G1</w:t>
      </w:r>
      <w:r>
        <w:t xml:space="preserve"> Civilian Personnel, and Deputy Assistant Secretary of the Army for Civilian Personnel office</w:t>
      </w:r>
      <w:r w:rsidR="00DD13E8">
        <w:t>s</w:t>
      </w:r>
      <w:r>
        <w:t xml:space="preserve"> along with subject matter experts in mission critical occupation hiring</w:t>
      </w:r>
      <w:r w:rsidR="002356EF">
        <w:t xml:space="preserve">. </w:t>
      </w:r>
      <w:r>
        <w:t>The information is not available elsewhere</w:t>
      </w:r>
      <w:r w:rsidR="002356EF">
        <w:t xml:space="preserve">. </w:t>
      </w:r>
      <w:r w:rsidR="005526AA">
        <w:t xml:space="preserve">A workshop including Army </w:t>
      </w:r>
      <w:r w:rsidR="00CD1193">
        <w:t>civilian</w:t>
      </w:r>
      <w:r w:rsidR="005526AA">
        <w:t xml:space="preserve"> subject matter experts </w:t>
      </w:r>
      <w:r w:rsidR="00B21D47">
        <w:t>was</w:t>
      </w:r>
      <w:r w:rsidR="005526AA">
        <w:t xml:space="preserve"> conducted to inform </w:t>
      </w:r>
      <w:r w:rsidR="00B21D47">
        <w:t xml:space="preserve">development of </w:t>
      </w:r>
      <w:r w:rsidR="005526AA">
        <w:t xml:space="preserve">the focus groups. </w:t>
      </w:r>
      <w:r w:rsidR="00B21D47">
        <w:t xml:space="preserve">A </w:t>
      </w:r>
      <w:r w:rsidR="00263BC7">
        <w:t>final</w:t>
      </w:r>
      <w:r w:rsidR="005526AA">
        <w:t xml:space="preserve"> workshop will review the recommendations based on survey outcome</w:t>
      </w:r>
      <w:r w:rsidR="00B21D47">
        <w:t xml:space="preserve"> and develop a plan for marketing to DA civilians</w:t>
      </w:r>
      <w:r w:rsidR="005526AA">
        <w:t xml:space="preserve">.  </w:t>
      </w:r>
    </w:p>
    <w:p w14:paraId="7CB3C88D" w14:textId="2CB82FBC" w:rsidR="00DD13E8" w:rsidRPr="00A557A3" w:rsidRDefault="005E0A0F" w:rsidP="007F0EEE">
      <w:pPr>
        <w:pStyle w:val="NormalWeb"/>
        <w:spacing w:before="0" w:beforeAutospacing="0" w:after="0" w:afterAutospacing="0"/>
      </w:pPr>
      <w:bookmarkStart w:id="7" w:name="cp449"/>
      <w:bookmarkEnd w:id="6"/>
      <w:r w:rsidRPr="00A557A3">
        <w:t xml:space="preserve">9.  </w:t>
      </w:r>
      <w:r w:rsidRPr="00A557A3">
        <w:rPr>
          <w:u w:val="single"/>
        </w:rPr>
        <w:t>Gifts or Payment</w:t>
      </w:r>
      <w:bookmarkStart w:id="8" w:name="cp450"/>
      <w:bookmarkEnd w:id="7"/>
      <w:r w:rsidR="00404E22" w:rsidRPr="00A557A3">
        <w:tab/>
      </w:r>
    </w:p>
    <w:p w14:paraId="1821D38B" w14:textId="77777777" w:rsidR="00DD13E8" w:rsidRPr="00A557A3" w:rsidRDefault="00DD13E8" w:rsidP="007F0EEE">
      <w:pPr>
        <w:pStyle w:val="NormalWeb"/>
        <w:spacing w:before="0" w:beforeAutospacing="0" w:after="0" w:afterAutospacing="0"/>
        <w:ind w:left="900"/>
      </w:pPr>
    </w:p>
    <w:p w14:paraId="60813D66" w14:textId="5E22605F" w:rsidR="00852CF9" w:rsidRPr="00A157A5" w:rsidRDefault="00852CF9" w:rsidP="007F0EEE">
      <w:pPr>
        <w:pStyle w:val="NormalWeb"/>
        <w:spacing w:before="0" w:beforeAutospacing="0" w:after="0" w:afterAutospacing="0"/>
      </w:pPr>
      <w:r w:rsidRPr="00A157A5">
        <w:t>Panel members receive reward points for each completed survey.  They are awarded a standard number of points based on the length of survey (time commitment).   The points a member earns can be redeemed for gift cards from major retailers (e.g.</w:t>
      </w:r>
      <w:r w:rsidR="000844EB">
        <w:t>,</w:t>
      </w:r>
      <w:r w:rsidRPr="00A157A5">
        <w:t xml:space="preserve"> Applebee’s, Best Buy, CVS, Target, Whole Foods, etc.), redeemed for Cash (via PayPal) or donated to a charity of their choice.  </w:t>
      </w:r>
      <w:r w:rsidR="003660E6" w:rsidRPr="003660E6">
        <w:t>While the number of points awarded varies based on the length and complexity of the questionnaire, the cash value of points for completing a single questionnaire typically ranges from $5 to $10.</w:t>
      </w:r>
    </w:p>
    <w:p w14:paraId="33BCA221" w14:textId="640105A8" w:rsidR="00A157A5" w:rsidRDefault="007170F6" w:rsidP="007F0EEE">
      <w:pPr>
        <w:pStyle w:val="NormalWeb"/>
      </w:pPr>
      <w:r>
        <w:t>The a</w:t>
      </w:r>
      <w:r w:rsidR="00F62D7B">
        <w:t xml:space="preserve">uthority to provide </w:t>
      </w:r>
      <w:r w:rsidR="000B7904">
        <w:t xml:space="preserve">monetary incentives </w:t>
      </w:r>
      <w:r w:rsidR="00F62D7B">
        <w:t>p</w:t>
      </w:r>
      <w:r w:rsidR="007B25E0">
        <w:t>ayments for general research participation is permitted per DoD Instruction 3216.02</w:t>
      </w:r>
      <w:r w:rsidR="003E5BAA">
        <w:t xml:space="preserve">, para 11a(3).  Link to this instruction: </w:t>
      </w:r>
      <w:bookmarkEnd w:id="8"/>
      <w:r w:rsidR="00FE311D" w:rsidRPr="00FE311D">
        <w:t>http://www.esd.whs.mil/Portals/54/Documents/DD/issuances/dodi/321602p.pdf</w:t>
      </w:r>
    </w:p>
    <w:p w14:paraId="75271E8D" w14:textId="541B06A1" w:rsidR="003D7C1D" w:rsidRPr="00A157A5" w:rsidRDefault="005E0A0F" w:rsidP="007F0EEE">
      <w:pPr>
        <w:pStyle w:val="NormalWeb"/>
        <w:spacing w:line="288" w:lineRule="atLeast"/>
        <w:rPr>
          <w:u w:val="single"/>
        </w:rPr>
      </w:pPr>
      <w:r>
        <w:t xml:space="preserve">10.  </w:t>
      </w:r>
      <w:r>
        <w:rPr>
          <w:u w:val="single"/>
        </w:rPr>
        <w:t>Confidentiality</w:t>
      </w:r>
    </w:p>
    <w:p w14:paraId="78CC0746" w14:textId="36382ECE" w:rsidR="00AD48B0" w:rsidRPr="00A157A5" w:rsidRDefault="003D7C1D" w:rsidP="007F0EEE">
      <w:pPr>
        <w:pStyle w:val="NormalWeb"/>
        <w:spacing w:before="0" w:beforeAutospacing="0" w:after="0" w:afterAutospacing="0"/>
      </w:pPr>
      <w:r w:rsidRPr="00A157A5">
        <w:t>The Privacy Act Statement is not required because</w:t>
      </w:r>
      <w:r w:rsidR="00A37C74" w:rsidRPr="00A157A5">
        <w:t xml:space="preserve"> there are no data elements being stored as a system of records</w:t>
      </w:r>
      <w:r w:rsidR="002356EF" w:rsidRPr="00A157A5">
        <w:t>.</w:t>
      </w:r>
      <w:r w:rsidRPr="00A157A5">
        <w:t xml:space="preserve"> </w:t>
      </w:r>
      <w:r w:rsidR="002356EF" w:rsidRPr="00A157A5">
        <w:t xml:space="preserve"> </w:t>
      </w:r>
      <w:r w:rsidR="00AD48B0" w:rsidRPr="00A157A5">
        <w:t>Information collected from respondents will be primarily attitudinal. Respondents will be asked what is important to people in their careers and their attitudes towards different types of employers</w:t>
      </w:r>
      <w:r w:rsidR="002356EF" w:rsidRPr="00A157A5">
        <w:t xml:space="preserve">. </w:t>
      </w:r>
      <w:r w:rsidR="00AD48B0" w:rsidRPr="00A157A5">
        <w:t>Respondents will not be asked to submit proprietary information, trade secrets or confidential information</w:t>
      </w:r>
      <w:r w:rsidR="002356EF" w:rsidRPr="00A157A5">
        <w:t xml:space="preserve">. </w:t>
      </w:r>
      <w:r w:rsidR="00AD48B0" w:rsidRPr="00A157A5">
        <w:t>Respondents will be assur</w:t>
      </w:r>
      <w:r w:rsidR="005F3BC2" w:rsidRPr="00A157A5">
        <w:t>ed that their comments will</w:t>
      </w:r>
      <w:r w:rsidR="00AD48B0" w:rsidRPr="00A157A5">
        <w:t xml:space="preserve"> be used for research purposes only and that any quotations or other </w:t>
      </w:r>
      <w:r w:rsidR="00B21D47" w:rsidRPr="00A157A5">
        <w:t>information</w:t>
      </w:r>
      <w:r w:rsidR="00AD48B0" w:rsidRPr="00A157A5">
        <w:t xml:space="preserve"> included in the final report will be identified only by generic</w:t>
      </w:r>
      <w:r w:rsidR="005F3BC2" w:rsidRPr="00A157A5">
        <w:t>, non</w:t>
      </w:r>
      <w:r w:rsidR="00F17CB7" w:rsidRPr="00A157A5">
        <w:t>-</w:t>
      </w:r>
      <w:r w:rsidR="005F3BC2" w:rsidRPr="00A157A5">
        <w:t>personally-identifiable</w:t>
      </w:r>
      <w:r w:rsidR="00AD48B0" w:rsidRPr="00A157A5">
        <w:t xml:space="preserve"> descriptors.  </w:t>
      </w:r>
    </w:p>
    <w:p w14:paraId="463FF29A" w14:textId="77777777" w:rsidR="00AD48B0" w:rsidRPr="00A157A5" w:rsidRDefault="00AD48B0" w:rsidP="007F0EEE">
      <w:pPr>
        <w:pStyle w:val="NormalWeb"/>
        <w:spacing w:before="0" w:beforeAutospacing="0" w:after="0" w:afterAutospacing="0"/>
      </w:pPr>
    </w:p>
    <w:p w14:paraId="23987C60" w14:textId="77777777" w:rsidR="002F65FA" w:rsidRDefault="00AD48B0" w:rsidP="002F65FA">
      <w:pPr>
        <w:pStyle w:val="NormalWeb"/>
      </w:pPr>
      <w:r w:rsidRPr="00A157A5">
        <w:t xml:space="preserve">Respondents for the </w:t>
      </w:r>
      <w:r w:rsidR="008F0ED2" w:rsidRPr="00A157A5">
        <w:t>survey</w:t>
      </w:r>
      <w:r w:rsidRPr="00A157A5">
        <w:t xml:space="preserve"> will be assured that their answers </w:t>
      </w:r>
      <w:r w:rsidR="00A24D44" w:rsidRPr="00A157A5">
        <w:t>are</w:t>
      </w:r>
      <w:r w:rsidRPr="00A157A5">
        <w:t xml:space="preserve"> confidential</w:t>
      </w:r>
      <w:r w:rsidR="002356EF" w:rsidRPr="00A157A5">
        <w:t xml:space="preserve">. </w:t>
      </w:r>
      <w:r w:rsidRPr="00A157A5">
        <w:t xml:space="preserve">Any personally identifying information </w:t>
      </w:r>
      <w:r w:rsidR="00BD5A36" w:rsidRPr="00A157A5">
        <w:t xml:space="preserve">that panel members have provided when joining the panel will not be connected to their </w:t>
      </w:r>
      <w:r w:rsidR="00A24D44" w:rsidRPr="00A157A5">
        <w:t xml:space="preserve">survey </w:t>
      </w:r>
      <w:r w:rsidR="00BD5A36" w:rsidRPr="00A157A5">
        <w:t>responses.</w:t>
      </w:r>
      <w:r w:rsidR="00A24D44" w:rsidRPr="00A157A5">
        <w:t xml:space="preserve">  Therefore, n</w:t>
      </w:r>
      <w:r w:rsidRPr="00A157A5">
        <w:t>o personally identifying information will be stored or included in the report</w:t>
      </w:r>
      <w:r w:rsidR="00EB3D98" w:rsidRPr="00A157A5">
        <w:t xml:space="preserve"> that summarizes the </w:t>
      </w:r>
      <w:r w:rsidR="008F0ED2" w:rsidRPr="00A157A5">
        <w:t>survey information</w:t>
      </w:r>
      <w:r w:rsidR="002356EF" w:rsidRPr="00A157A5">
        <w:t xml:space="preserve">. </w:t>
      </w:r>
      <w:r w:rsidR="00A37C74" w:rsidRPr="00A157A5">
        <w:t>A System of Records Notice (SORN) is not required because records are not being stored and therefore are not retrievable by PII</w:t>
      </w:r>
    </w:p>
    <w:p w14:paraId="2BE8219A" w14:textId="7D65647C" w:rsidR="002F65FA" w:rsidRDefault="002F65FA" w:rsidP="002F65FA">
      <w:pPr>
        <w:pStyle w:val="NormalWeb"/>
      </w:pPr>
      <w:r>
        <w:t>Records Retention and Disposition Schedule.  The records are only retained electronically, ARIMS: 1200 A: Quality Assurance and Quality Control Disposition: Keep in current file area until no longer needed for conducting business, but not longer than 6 years, then destroy. Disposition Authority: N1-AU-07-13</w:t>
      </w:r>
    </w:p>
    <w:p w14:paraId="44D9D4A2" w14:textId="77777777" w:rsidR="002F65FA" w:rsidRDefault="002F65FA" w:rsidP="002F65FA">
      <w:pPr>
        <w:pStyle w:val="NormalWeb"/>
        <w:spacing w:before="0" w:beforeAutospacing="0" w:after="0" w:afterAutospacing="0"/>
      </w:pPr>
    </w:p>
    <w:p w14:paraId="3A7E3216" w14:textId="77777777" w:rsidR="005E0A0F" w:rsidRDefault="005E0A0F" w:rsidP="002F65FA">
      <w:pPr>
        <w:pStyle w:val="NormalWeb"/>
        <w:spacing w:before="0" w:beforeAutospacing="0" w:after="0" w:afterAutospacing="0"/>
        <w:rPr>
          <w:u w:val="single"/>
        </w:rPr>
      </w:pPr>
      <w:r w:rsidRPr="00A157A5">
        <w:t xml:space="preserve">11.  </w:t>
      </w:r>
      <w:r w:rsidRPr="00A157A5">
        <w:rPr>
          <w:u w:val="single"/>
        </w:rPr>
        <w:t>Sensitive Questions</w:t>
      </w:r>
    </w:p>
    <w:p w14:paraId="1654450B" w14:textId="52263A27" w:rsidR="00840CD9" w:rsidRDefault="00AD48B0" w:rsidP="007F0EEE">
      <w:pPr>
        <w:pStyle w:val="NormalWeb"/>
        <w:spacing w:before="0" w:beforeAutospacing="0" w:after="0" w:afterAutospacing="0"/>
      </w:pPr>
      <w:r w:rsidRPr="003108E8">
        <w:t>Respondents will be asked what is important to people in their careers and their attitudes towards different types of employers</w:t>
      </w:r>
      <w:r w:rsidR="002356EF" w:rsidRPr="003108E8">
        <w:t>.</w:t>
      </w:r>
      <w:r w:rsidR="002356EF">
        <w:t xml:space="preserve"> </w:t>
      </w:r>
      <w:r w:rsidR="00697F02">
        <w:t>The</w:t>
      </w:r>
      <w:r w:rsidR="00B403D6">
        <w:t>y will be asked questions regarding their gender, race, and ethnicity</w:t>
      </w:r>
      <w:r w:rsidR="00DE55FB">
        <w:t xml:space="preserve"> (race and ethnicity will be asked in accordance with OMB</w:t>
      </w:r>
      <w:r w:rsidR="00DE55FB" w:rsidRPr="00412B93">
        <w:t xml:space="preserve"> standards</w:t>
      </w:r>
      <w:r w:rsidR="00DE55FB">
        <w:t xml:space="preserve">) </w:t>
      </w:r>
      <w:r w:rsidR="00B012EC">
        <w:t xml:space="preserve">during the </w:t>
      </w:r>
      <w:r w:rsidR="008F0ED2">
        <w:t>survey screening</w:t>
      </w:r>
      <w:r w:rsidR="00B012EC">
        <w:t xml:space="preserve"> process </w:t>
      </w:r>
      <w:r w:rsidR="005F3BC2">
        <w:t xml:space="preserve">to ensure we receive views from </w:t>
      </w:r>
      <w:r w:rsidR="00581FBB">
        <w:t xml:space="preserve">a </w:t>
      </w:r>
      <w:r w:rsidR="005F3BC2">
        <w:t>variety of</w:t>
      </w:r>
      <w:r w:rsidR="008F0ED2">
        <w:t xml:space="preserve"> people</w:t>
      </w:r>
      <w:r w:rsidR="005F3BC2">
        <w:t xml:space="preserve">.  This information will not be included at an individual level in any reports. </w:t>
      </w:r>
      <w:r w:rsidR="00B012EC">
        <w:t xml:space="preserve"> </w:t>
      </w:r>
      <w:r w:rsidR="00B012EC" w:rsidRPr="005F3BC2">
        <w:t>None of the information used by the researchers will be able to be combined to identify an individual.</w:t>
      </w:r>
      <w:r w:rsidR="005F3BC2">
        <w:t xml:space="preserve"> </w:t>
      </w:r>
      <w:r w:rsidR="00B012EC">
        <w:t xml:space="preserve"> </w:t>
      </w:r>
      <w:r w:rsidR="005F3BC2">
        <w:t>N</w:t>
      </w:r>
      <w:r w:rsidR="00B403D6">
        <w:t>o other PII will be requested and</w:t>
      </w:r>
      <w:r w:rsidR="00840CD9">
        <w:t xml:space="preserve"> </w:t>
      </w:r>
      <w:r w:rsidR="000A2106">
        <w:t>SSN will not be asked.</w:t>
      </w:r>
    </w:p>
    <w:p w14:paraId="7C87E545" w14:textId="77777777" w:rsidR="00D805FB" w:rsidRDefault="00D805FB" w:rsidP="00D805FB">
      <w:bookmarkStart w:id="9" w:name="cp456"/>
    </w:p>
    <w:p w14:paraId="4E46EBDB" w14:textId="453AD19A" w:rsidR="005E0A0F" w:rsidRDefault="005E0A0F" w:rsidP="00D805FB">
      <w:r>
        <w:t xml:space="preserve">12.  </w:t>
      </w:r>
      <w:r>
        <w:rPr>
          <w:u w:val="single"/>
        </w:rPr>
        <w:t>Respondent Burden, and its Labor Costs</w:t>
      </w:r>
    </w:p>
    <w:p w14:paraId="11D31591" w14:textId="77777777" w:rsidR="00697F02" w:rsidRDefault="005E0A0F" w:rsidP="007F0EEE">
      <w:pPr>
        <w:pStyle w:val="NormalWeb"/>
        <w:spacing w:line="288" w:lineRule="atLeast"/>
        <w:rPr>
          <w:u w:val="single"/>
        </w:rPr>
      </w:pPr>
      <w:bookmarkStart w:id="10" w:name="cp457"/>
      <w:bookmarkEnd w:id="9"/>
      <w:r>
        <w:t>a.</w:t>
      </w:r>
      <w:r w:rsidR="002356EF">
        <w:t> </w:t>
      </w:r>
      <w:r w:rsidR="002356EF" w:rsidRPr="005809DD">
        <w:rPr>
          <w:u w:val="single"/>
        </w:rPr>
        <w:t>Estimation</w:t>
      </w:r>
      <w:r w:rsidRPr="007F0EEE">
        <w:rPr>
          <w:u w:val="single"/>
        </w:rPr>
        <w:t xml:space="preserve"> of Respondent Burden</w:t>
      </w:r>
      <w:r w:rsidR="00697F02" w:rsidRPr="00942953">
        <w:t xml:space="preserve"> </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800"/>
        <w:gridCol w:w="1710"/>
        <w:gridCol w:w="1350"/>
        <w:gridCol w:w="1710"/>
      </w:tblGrid>
      <w:tr w:rsidR="00652E45" w14:paraId="124AA6AC" w14:textId="77777777" w:rsidTr="005809DD">
        <w:tc>
          <w:tcPr>
            <w:tcW w:w="9630" w:type="dxa"/>
            <w:gridSpan w:val="6"/>
            <w:shd w:val="clear" w:color="auto" w:fill="auto"/>
          </w:tcPr>
          <w:p w14:paraId="69EF0974" w14:textId="77777777" w:rsidR="00652E45" w:rsidRDefault="00652E45" w:rsidP="007A7148">
            <w:pPr>
              <w:pStyle w:val="NormalWeb"/>
              <w:spacing w:line="288" w:lineRule="atLeast"/>
              <w:jc w:val="center"/>
            </w:pPr>
            <w:r>
              <w:t>Estimation of Respondent Burden Hours</w:t>
            </w:r>
          </w:p>
        </w:tc>
      </w:tr>
      <w:tr w:rsidR="00652E45" w14:paraId="30DE61A4" w14:textId="77777777" w:rsidTr="005809DD">
        <w:trPr>
          <w:trHeight w:val="1457"/>
        </w:trPr>
        <w:tc>
          <w:tcPr>
            <w:tcW w:w="1710" w:type="dxa"/>
            <w:shd w:val="clear" w:color="auto" w:fill="auto"/>
          </w:tcPr>
          <w:p w14:paraId="54E8CDCE" w14:textId="77777777" w:rsidR="00652E45" w:rsidRDefault="00652E45" w:rsidP="007A7148">
            <w:pPr>
              <w:pStyle w:val="NormalWeb"/>
              <w:spacing w:line="288" w:lineRule="atLeast"/>
            </w:pPr>
          </w:p>
        </w:tc>
        <w:tc>
          <w:tcPr>
            <w:tcW w:w="1350" w:type="dxa"/>
            <w:shd w:val="clear" w:color="auto" w:fill="auto"/>
            <w:vAlign w:val="center"/>
          </w:tcPr>
          <w:p w14:paraId="022C2FF5" w14:textId="77777777" w:rsidR="00652E45" w:rsidRDefault="00652E45" w:rsidP="005809DD">
            <w:pPr>
              <w:pStyle w:val="NormalWeb"/>
              <w:spacing w:line="288" w:lineRule="atLeast"/>
              <w:jc w:val="center"/>
            </w:pPr>
            <w:r>
              <w:t>Number of Respondents</w:t>
            </w:r>
          </w:p>
        </w:tc>
        <w:tc>
          <w:tcPr>
            <w:tcW w:w="1800" w:type="dxa"/>
            <w:shd w:val="clear" w:color="auto" w:fill="auto"/>
            <w:vAlign w:val="center"/>
          </w:tcPr>
          <w:p w14:paraId="74386E7E" w14:textId="77777777" w:rsidR="00652E45" w:rsidRDefault="00652E45" w:rsidP="005809DD">
            <w:pPr>
              <w:pStyle w:val="NormalWeb"/>
              <w:spacing w:line="288" w:lineRule="atLeast"/>
              <w:jc w:val="center"/>
            </w:pPr>
            <w:r>
              <w:t>Number of Responses per Respondent</w:t>
            </w:r>
          </w:p>
        </w:tc>
        <w:tc>
          <w:tcPr>
            <w:tcW w:w="1710" w:type="dxa"/>
            <w:shd w:val="clear" w:color="auto" w:fill="auto"/>
            <w:vAlign w:val="center"/>
          </w:tcPr>
          <w:p w14:paraId="33F3C339" w14:textId="77777777" w:rsidR="00652E45" w:rsidRDefault="00652E45" w:rsidP="005809DD">
            <w:pPr>
              <w:pStyle w:val="NormalWeb"/>
              <w:spacing w:line="288" w:lineRule="atLeast"/>
              <w:jc w:val="center"/>
            </w:pPr>
            <w:r>
              <w:t>Number of Total Annual Responses</w:t>
            </w:r>
          </w:p>
        </w:tc>
        <w:tc>
          <w:tcPr>
            <w:tcW w:w="1350" w:type="dxa"/>
            <w:shd w:val="clear" w:color="auto" w:fill="auto"/>
            <w:vAlign w:val="center"/>
          </w:tcPr>
          <w:p w14:paraId="29953E65" w14:textId="2892C692" w:rsidR="00652E45" w:rsidRDefault="00652E45" w:rsidP="005809DD">
            <w:pPr>
              <w:pStyle w:val="NormalWeb"/>
              <w:spacing w:line="288" w:lineRule="atLeast"/>
              <w:jc w:val="center"/>
            </w:pPr>
            <w:r>
              <w:t>Response Time</w:t>
            </w:r>
          </w:p>
        </w:tc>
        <w:tc>
          <w:tcPr>
            <w:tcW w:w="1710" w:type="dxa"/>
            <w:shd w:val="clear" w:color="auto" w:fill="auto"/>
            <w:vAlign w:val="center"/>
          </w:tcPr>
          <w:p w14:paraId="5D87769E" w14:textId="5C6EFA6F" w:rsidR="00652E45" w:rsidRDefault="00652E45" w:rsidP="005809DD">
            <w:pPr>
              <w:pStyle w:val="NormalWeb"/>
              <w:spacing w:line="288" w:lineRule="atLeast"/>
              <w:jc w:val="center"/>
            </w:pPr>
            <w:r>
              <w:t>Respondent Burden Hours</w:t>
            </w:r>
          </w:p>
        </w:tc>
      </w:tr>
      <w:tr w:rsidR="00652E45" w14:paraId="4DFBE21A" w14:textId="77777777" w:rsidTr="005809DD">
        <w:tc>
          <w:tcPr>
            <w:tcW w:w="1710" w:type="dxa"/>
            <w:shd w:val="clear" w:color="auto" w:fill="auto"/>
            <w:vAlign w:val="center"/>
          </w:tcPr>
          <w:p w14:paraId="5E54AD0A" w14:textId="44A85026" w:rsidR="00652E45" w:rsidRDefault="00263BC7">
            <w:pPr>
              <w:pStyle w:val="NormalWeb"/>
              <w:spacing w:line="288" w:lineRule="atLeast"/>
            </w:pPr>
            <w:r w:rsidRPr="00263BC7">
              <w:t>Marketing Army Civilian Employment Survey</w:t>
            </w:r>
          </w:p>
        </w:tc>
        <w:tc>
          <w:tcPr>
            <w:tcW w:w="1350" w:type="dxa"/>
            <w:shd w:val="clear" w:color="auto" w:fill="auto"/>
          </w:tcPr>
          <w:p w14:paraId="717F3804" w14:textId="08179A13" w:rsidR="00652E45" w:rsidRPr="00261835" w:rsidRDefault="00071744" w:rsidP="005809DD">
            <w:pPr>
              <w:pStyle w:val="NormalWeb"/>
              <w:spacing w:line="288" w:lineRule="atLeast"/>
              <w:jc w:val="center"/>
            </w:pPr>
            <w:r w:rsidRPr="00261835">
              <w:t>5000</w:t>
            </w:r>
          </w:p>
        </w:tc>
        <w:tc>
          <w:tcPr>
            <w:tcW w:w="1800" w:type="dxa"/>
            <w:shd w:val="clear" w:color="auto" w:fill="auto"/>
          </w:tcPr>
          <w:p w14:paraId="3894D40F" w14:textId="77777777" w:rsidR="00652E45" w:rsidRPr="00261835" w:rsidRDefault="00697F02" w:rsidP="005809DD">
            <w:pPr>
              <w:pStyle w:val="NormalWeb"/>
              <w:spacing w:line="288" w:lineRule="atLeast"/>
              <w:jc w:val="center"/>
            </w:pPr>
            <w:r w:rsidRPr="00261835">
              <w:t>1</w:t>
            </w:r>
          </w:p>
        </w:tc>
        <w:tc>
          <w:tcPr>
            <w:tcW w:w="1710" w:type="dxa"/>
            <w:shd w:val="clear" w:color="auto" w:fill="auto"/>
          </w:tcPr>
          <w:p w14:paraId="40981EC9" w14:textId="0C7E7D55" w:rsidR="00652E45" w:rsidRPr="00261835" w:rsidRDefault="00071744" w:rsidP="005809DD">
            <w:pPr>
              <w:pStyle w:val="NormalWeb"/>
              <w:spacing w:line="288" w:lineRule="atLeast"/>
              <w:jc w:val="center"/>
            </w:pPr>
            <w:r w:rsidRPr="00261835">
              <w:t>5000</w:t>
            </w:r>
          </w:p>
        </w:tc>
        <w:tc>
          <w:tcPr>
            <w:tcW w:w="1350" w:type="dxa"/>
            <w:shd w:val="clear" w:color="auto" w:fill="auto"/>
          </w:tcPr>
          <w:p w14:paraId="26E1EEF8" w14:textId="6B9AE2B8" w:rsidR="00652E45" w:rsidRPr="00261835" w:rsidRDefault="00071744" w:rsidP="005809DD">
            <w:pPr>
              <w:pStyle w:val="NormalWeb"/>
              <w:spacing w:line="288" w:lineRule="atLeast"/>
              <w:jc w:val="center"/>
            </w:pPr>
            <w:r w:rsidRPr="00261835">
              <w:t>20 minutes</w:t>
            </w:r>
          </w:p>
        </w:tc>
        <w:tc>
          <w:tcPr>
            <w:tcW w:w="1710" w:type="dxa"/>
            <w:shd w:val="clear" w:color="auto" w:fill="auto"/>
          </w:tcPr>
          <w:p w14:paraId="449973CA" w14:textId="2FF89991" w:rsidR="00652E45" w:rsidRPr="00261835" w:rsidRDefault="00071744" w:rsidP="005809DD">
            <w:pPr>
              <w:pStyle w:val="NormalWeb"/>
              <w:spacing w:line="288" w:lineRule="atLeast"/>
              <w:jc w:val="center"/>
            </w:pPr>
            <w:r w:rsidRPr="00261835">
              <w:t xml:space="preserve">1667 </w:t>
            </w:r>
            <w:r w:rsidR="00697F02" w:rsidRPr="00261835">
              <w:t>hours</w:t>
            </w:r>
          </w:p>
        </w:tc>
      </w:tr>
      <w:tr w:rsidR="00652E45" w14:paraId="18CA6042" w14:textId="77777777" w:rsidTr="005809DD">
        <w:trPr>
          <w:trHeight w:val="134"/>
        </w:trPr>
        <w:tc>
          <w:tcPr>
            <w:tcW w:w="1710" w:type="dxa"/>
            <w:shd w:val="clear" w:color="auto" w:fill="auto"/>
            <w:vAlign w:val="center"/>
          </w:tcPr>
          <w:p w14:paraId="531DD17E" w14:textId="77777777" w:rsidR="00652E45" w:rsidRDefault="00652E45">
            <w:pPr>
              <w:pStyle w:val="NormalWeb"/>
              <w:spacing w:line="288" w:lineRule="atLeast"/>
            </w:pPr>
            <w:r>
              <w:t>Total</w:t>
            </w:r>
            <w:r w:rsidR="004A60CA">
              <w:t xml:space="preserve"> </w:t>
            </w:r>
          </w:p>
        </w:tc>
        <w:tc>
          <w:tcPr>
            <w:tcW w:w="1350" w:type="dxa"/>
            <w:shd w:val="clear" w:color="auto" w:fill="auto"/>
          </w:tcPr>
          <w:p w14:paraId="39FAA4A4" w14:textId="6F2818BA" w:rsidR="00652E45" w:rsidRPr="00261835" w:rsidRDefault="00071744" w:rsidP="005809DD">
            <w:pPr>
              <w:pStyle w:val="NormalWeb"/>
              <w:spacing w:line="288" w:lineRule="atLeast"/>
              <w:jc w:val="center"/>
            </w:pPr>
            <w:r w:rsidRPr="00261835">
              <w:t>5000</w:t>
            </w:r>
          </w:p>
        </w:tc>
        <w:tc>
          <w:tcPr>
            <w:tcW w:w="1800" w:type="dxa"/>
            <w:shd w:val="clear" w:color="auto" w:fill="auto"/>
          </w:tcPr>
          <w:p w14:paraId="5F8B078F" w14:textId="77777777" w:rsidR="00652E45" w:rsidRPr="00261835" w:rsidRDefault="00697F02" w:rsidP="005809DD">
            <w:pPr>
              <w:pStyle w:val="NormalWeb"/>
              <w:spacing w:line="288" w:lineRule="atLeast"/>
              <w:jc w:val="center"/>
            </w:pPr>
            <w:r w:rsidRPr="00261835">
              <w:t>1</w:t>
            </w:r>
          </w:p>
        </w:tc>
        <w:tc>
          <w:tcPr>
            <w:tcW w:w="1710" w:type="dxa"/>
            <w:shd w:val="clear" w:color="auto" w:fill="auto"/>
          </w:tcPr>
          <w:p w14:paraId="73ADECEF" w14:textId="70499B97" w:rsidR="00652E45" w:rsidRPr="00261835" w:rsidRDefault="00071744" w:rsidP="005809DD">
            <w:pPr>
              <w:pStyle w:val="NormalWeb"/>
              <w:spacing w:line="288" w:lineRule="atLeast"/>
              <w:jc w:val="center"/>
            </w:pPr>
            <w:r w:rsidRPr="00261835">
              <w:t>5000</w:t>
            </w:r>
          </w:p>
        </w:tc>
        <w:tc>
          <w:tcPr>
            <w:tcW w:w="1350" w:type="dxa"/>
            <w:shd w:val="clear" w:color="auto" w:fill="auto"/>
          </w:tcPr>
          <w:p w14:paraId="726793EB" w14:textId="52E2F228" w:rsidR="00652E45" w:rsidRPr="00261835" w:rsidRDefault="00071744" w:rsidP="005809DD">
            <w:pPr>
              <w:pStyle w:val="NormalWeb"/>
              <w:spacing w:line="288" w:lineRule="atLeast"/>
              <w:jc w:val="center"/>
            </w:pPr>
            <w:r w:rsidRPr="00261835">
              <w:t>20 minutes</w:t>
            </w:r>
          </w:p>
        </w:tc>
        <w:tc>
          <w:tcPr>
            <w:tcW w:w="1710" w:type="dxa"/>
            <w:shd w:val="clear" w:color="auto" w:fill="auto"/>
          </w:tcPr>
          <w:p w14:paraId="0AA28B65" w14:textId="6770BD93" w:rsidR="00652E45" w:rsidRPr="00261835" w:rsidRDefault="00071744" w:rsidP="005809DD">
            <w:pPr>
              <w:pStyle w:val="NormalWeb"/>
              <w:spacing w:line="288" w:lineRule="atLeast"/>
              <w:jc w:val="center"/>
            </w:pPr>
            <w:r w:rsidRPr="00261835">
              <w:t xml:space="preserve">1667 </w:t>
            </w:r>
            <w:r w:rsidR="00697F02" w:rsidRPr="00261835">
              <w:t>hours</w:t>
            </w:r>
          </w:p>
        </w:tc>
      </w:tr>
    </w:tbl>
    <w:p w14:paraId="26DB9128" w14:textId="77777777" w:rsidR="00652E45" w:rsidRDefault="005E0A0F" w:rsidP="007F0EEE">
      <w:pPr>
        <w:pStyle w:val="NormalWeb"/>
        <w:spacing w:line="288" w:lineRule="atLeast"/>
        <w:rPr>
          <w:u w:val="single"/>
        </w:rPr>
      </w:pPr>
      <w:bookmarkStart w:id="11" w:name="cp460"/>
      <w:bookmarkEnd w:id="10"/>
      <w:r>
        <w:t>b.</w:t>
      </w:r>
      <w:r w:rsidR="002356EF">
        <w:t> </w:t>
      </w:r>
      <w:r w:rsidR="002356EF" w:rsidRPr="005809DD">
        <w:rPr>
          <w:u w:val="single"/>
        </w:rPr>
        <w:t>Labor</w:t>
      </w:r>
      <w:r w:rsidRPr="007F0EEE">
        <w:rPr>
          <w:u w:val="single"/>
        </w:rPr>
        <w:t xml:space="preserve"> Cost of Respondent Burden</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60"/>
        <w:gridCol w:w="1620"/>
        <w:gridCol w:w="1710"/>
        <w:gridCol w:w="1350"/>
        <w:gridCol w:w="1800"/>
      </w:tblGrid>
      <w:tr w:rsidR="00564656" w14:paraId="0339DB74" w14:textId="77777777" w:rsidTr="005809DD">
        <w:tc>
          <w:tcPr>
            <w:tcW w:w="9720" w:type="dxa"/>
            <w:gridSpan w:val="6"/>
            <w:shd w:val="clear" w:color="auto" w:fill="auto"/>
          </w:tcPr>
          <w:p w14:paraId="505C6274" w14:textId="77777777" w:rsidR="00564656" w:rsidRDefault="00697F02" w:rsidP="007A7148">
            <w:pPr>
              <w:pStyle w:val="NormalWeb"/>
              <w:spacing w:line="288" w:lineRule="atLeast"/>
              <w:jc w:val="center"/>
            </w:pPr>
            <w:r>
              <w:tab/>
            </w:r>
            <w:r w:rsidR="00564656">
              <w:t>Labor Cost of Respondent Burden</w:t>
            </w:r>
          </w:p>
        </w:tc>
      </w:tr>
      <w:tr w:rsidR="00564656" w14:paraId="0191C5AB" w14:textId="77777777" w:rsidTr="005809DD">
        <w:trPr>
          <w:trHeight w:val="1691"/>
        </w:trPr>
        <w:tc>
          <w:tcPr>
            <w:tcW w:w="1980" w:type="dxa"/>
            <w:shd w:val="clear" w:color="auto" w:fill="auto"/>
          </w:tcPr>
          <w:p w14:paraId="5DA4A66A" w14:textId="77777777" w:rsidR="00564656" w:rsidRDefault="00564656" w:rsidP="007A7148">
            <w:pPr>
              <w:pStyle w:val="NormalWeb"/>
              <w:spacing w:line="288" w:lineRule="atLeast"/>
            </w:pPr>
          </w:p>
        </w:tc>
        <w:tc>
          <w:tcPr>
            <w:tcW w:w="1260" w:type="dxa"/>
            <w:shd w:val="clear" w:color="auto" w:fill="auto"/>
            <w:vAlign w:val="center"/>
          </w:tcPr>
          <w:p w14:paraId="10910FF9" w14:textId="77777777" w:rsidR="00564656" w:rsidRDefault="0096762B">
            <w:pPr>
              <w:pStyle w:val="NormalWeb"/>
              <w:spacing w:line="288" w:lineRule="atLeast"/>
              <w:jc w:val="center"/>
            </w:pPr>
            <w:r>
              <w:t>Number of Responses</w:t>
            </w:r>
          </w:p>
        </w:tc>
        <w:tc>
          <w:tcPr>
            <w:tcW w:w="1620" w:type="dxa"/>
            <w:shd w:val="clear" w:color="auto" w:fill="auto"/>
            <w:vAlign w:val="center"/>
          </w:tcPr>
          <w:p w14:paraId="281E774F" w14:textId="77777777" w:rsidR="00564656" w:rsidRDefault="00564656">
            <w:pPr>
              <w:pStyle w:val="NormalWeb"/>
              <w:spacing w:line="288" w:lineRule="atLeast"/>
              <w:jc w:val="center"/>
            </w:pPr>
            <w:r>
              <w:t xml:space="preserve">Response Time </w:t>
            </w:r>
            <w:r w:rsidR="0096762B">
              <w:t>per Response</w:t>
            </w:r>
          </w:p>
        </w:tc>
        <w:tc>
          <w:tcPr>
            <w:tcW w:w="1710" w:type="dxa"/>
            <w:shd w:val="clear" w:color="auto" w:fill="auto"/>
            <w:vAlign w:val="center"/>
          </w:tcPr>
          <w:p w14:paraId="33D3DFDA" w14:textId="77777777" w:rsidR="00564656" w:rsidRDefault="00564656">
            <w:pPr>
              <w:pStyle w:val="NormalWeb"/>
              <w:spacing w:line="288" w:lineRule="atLeast"/>
              <w:jc w:val="center"/>
            </w:pPr>
            <w:r>
              <w:t>Respondent Hourly Wage</w:t>
            </w:r>
          </w:p>
        </w:tc>
        <w:tc>
          <w:tcPr>
            <w:tcW w:w="1350" w:type="dxa"/>
            <w:shd w:val="clear" w:color="auto" w:fill="auto"/>
            <w:vAlign w:val="center"/>
          </w:tcPr>
          <w:p w14:paraId="623F72FA" w14:textId="0B56BA1C" w:rsidR="00564656" w:rsidRDefault="00564656">
            <w:pPr>
              <w:pStyle w:val="NormalWeb"/>
              <w:spacing w:line="288" w:lineRule="atLeast"/>
              <w:jc w:val="center"/>
            </w:pPr>
            <w:r>
              <w:t xml:space="preserve">Labor Burden per </w:t>
            </w:r>
            <w:r w:rsidR="0096762B">
              <w:t xml:space="preserve">Response </w:t>
            </w:r>
          </w:p>
        </w:tc>
        <w:tc>
          <w:tcPr>
            <w:tcW w:w="1800" w:type="dxa"/>
            <w:shd w:val="clear" w:color="auto" w:fill="auto"/>
            <w:vAlign w:val="center"/>
          </w:tcPr>
          <w:p w14:paraId="372AD748" w14:textId="402FF855" w:rsidR="00564656" w:rsidRDefault="00564656">
            <w:pPr>
              <w:pStyle w:val="NormalWeb"/>
              <w:spacing w:line="288" w:lineRule="atLeast"/>
              <w:jc w:val="center"/>
            </w:pPr>
            <w:r>
              <w:t xml:space="preserve">Total Labor Burden </w:t>
            </w:r>
          </w:p>
        </w:tc>
      </w:tr>
      <w:tr w:rsidR="00564656" w14:paraId="6081FF6A" w14:textId="77777777" w:rsidTr="005809DD">
        <w:trPr>
          <w:trHeight w:val="710"/>
        </w:trPr>
        <w:tc>
          <w:tcPr>
            <w:tcW w:w="1980" w:type="dxa"/>
            <w:shd w:val="clear" w:color="auto" w:fill="auto"/>
          </w:tcPr>
          <w:p w14:paraId="5058E2CC" w14:textId="1B23D377" w:rsidR="00564656" w:rsidRDefault="00263BC7" w:rsidP="000377B6">
            <w:pPr>
              <w:pStyle w:val="NormalWeb"/>
              <w:spacing w:line="288" w:lineRule="atLeast"/>
            </w:pPr>
            <w:r w:rsidRPr="00263BC7">
              <w:t>Marketing Army Civilian Employment Survey</w:t>
            </w:r>
          </w:p>
        </w:tc>
        <w:tc>
          <w:tcPr>
            <w:tcW w:w="1260" w:type="dxa"/>
            <w:shd w:val="clear" w:color="auto" w:fill="auto"/>
            <w:vAlign w:val="center"/>
          </w:tcPr>
          <w:p w14:paraId="7D01965B" w14:textId="4874328E" w:rsidR="00564656" w:rsidRPr="00261835" w:rsidRDefault="00071744" w:rsidP="005809DD">
            <w:pPr>
              <w:pStyle w:val="NormalWeb"/>
              <w:spacing w:line="288" w:lineRule="atLeast"/>
              <w:jc w:val="center"/>
            </w:pPr>
            <w:r w:rsidRPr="00261835">
              <w:t>5000</w:t>
            </w:r>
          </w:p>
        </w:tc>
        <w:tc>
          <w:tcPr>
            <w:tcW w:w="1620" w:type="dxa"/>
            <w:shd w:val="clear" w:color="auto" w:fill="auto"/>
            <w:vAlign w:val="center"/>
          </w:tcPr>
          <w:p w14:paraId="40F21C17" w14:textId="2CC43F83" w:rsidR="00564656" w:rsidRPr="00261835" w:rsidRDefault="00071744" w:rsidP="005809DD">
            <w:pPr>
              <w:pStyle w:val="NormalWeb"/>
              <w:spacing w:line="288" w:lineRule="atLeast"/>
              <w:jc w:val="center"/>
            </w:pPr>
            <w:r w:rsidRPr="00261835">
              <w:t>20 minutes</w:t>
            </w:r>
          </w:p>
        </w:tc>
        <w:tc>
          <w:tcPr>
            <w:tcW w:w="1710" w:type="dxa"/>
            <w:shd w:val="clear" w:color="auto" w:fill="auto"/>
            <w:vAlign w:val="center"/>
          </w:tcPr>
          <w:p w14:paraId="232C8216" w14:textId="77777777" w:rsidR="00564656" w:rsidRPr="00261835" w:rsidRDefault="006A16EC" w:rsidP="005809DD">
            <w:pPr>
              <w:pStyle w:val="NormalWeb"/>
              <w:spacing w:line="288" w:lineRule="atLeast"/>
              <w:jc w:val="center"/>
            </w:pPr>
            <w:r w:rsidRPr="00261835">
              <w:t>$</w:t>
            </w:r>
            <w:r w:rsidR="00962018" w:rsidRPr="00261835">
              <w:t>3</w:t>
            </w:r>
            <w:r w:rsidR="000B7717" w:rsidRPr="00261835">
              <w:t>0</w:t>
            </w:r>
          </w:p>
        </w:tc>
        <w:tc>
          <w:tcPr>
            <w:tcW w:w="1350" w:type="dxa"/>
            <w:shd w:val="clear" w:color="auto" w:fill="auto"/>
            <w:vAlign w:val="center"/>
          </w:tcPr>
          <w:p w14:paraId="7D8756C3" w14:textId="7FC55AD4" w:rsidR="00564656" w:rsidRPr="00261835" w:rsidRDefault="006A16EC" w:rsidP="005809DD">
            <w:pPr>
              <w:pStyle w:val="NormalWeb"/>
              <w:spacing w:line="288" w:lineRule="atLeast"/>
              <w:jc w:val="center"/>
            </w:pPr>
            <w:r w:rsidRPr="00261835">
              <w:t>$</w:t>
            </w:r>
            <w:r w:rsidR="000C7DF9" w:rsidRPr="00261835">
              <w:t>10</w:t>
            </w:r>
          </w:p>
        </w:tc>
        <w:tc>
          <w:tcPr>
            <w:tcW w:w="1800" w:type="dxa"/>
            <w:shd w:val="clear" w:color="auto" w:fill="auto"/>
            <w:vAlign w:val="center"/>
          </w:tcPr>
          <w:p w14:paraId="4C186FB3" w14:textId="513A79D7" w:rsidR="00564656" w:rsidRPr="00261835" w:rsidRDefault="006A16EC" w:rsidP="005809DD">
            <w:pPr>
              <w:pStyle w:val="NormalWeb"/>
              <w:spacing w:line="288" w:lineRule="atLeast"/>
              <w:jc w:val="center"/>
            </w:pPr>
            <w:r w:rsidRPr="00261835">
              <w:t>$</w:t>
            </w:r>
            <w:r w:rsidR="00962018" w:rsidRPr="00261835">
              <w:t>5</w:t>
            </w:r>
            <w:r w:rsidR="000C7DF9" w:rsidRPr="00261835">
              <w:t>0</w:t>
            </w:r>
            <w:r w:rsidR="00962018" w:rsidRPr="00261835">
              <w:t>,</w:t>
            </w:r>
            <w:r w:rsidR="000C7DF9" w:rsidRPr="00261835">
              <w:t>000</w:t>
            </w:r>
          </w:p>
        </w:tc>
      </w:tr>
      <w:tr w:rsidR="00564656" w14:paraId="258A42AA" w14:textId="77777777" w:rsidTr="005809DD">
        <w:tc>
          <w:tcPr>
            <w:tcW w:w="1980" w:type="dxa"/>
            <w:shd w:val="clear" w:color="auto" w:fill="auto"/>
            <w:vAlign w:val="center"/>
          </w:tcPr>
          <w:p w14:paraId="76307A18" w14:textId="002B3E47" w:rsidR="00564656" w:rsidRDefault="00564656">
            <w:pPr>
              <w:pStyle w:val="NormalWeb"/>
              <w:spacing w:line="288" w:lineRule="atLeast"/>
            </w:pPr>
            <w:r>
              <w:t>Total</w:t>
            </w:r>
          </w:p>
        </w:tc>
        <w:tc>
          <w:tcPr>
            <w:tcW w:w="1260" w:type="dxa"/>
            <w:shd w:val="clear" w:color="auto" w:fill="auto"/>
            <w:vAlign w:val="center"/>
          </w:tcPr>
          <w:p w14:paraId="3CC8DCD6" w14:textId="4B610CA3" w:rsidR="00564656" w:rsidRPr="00261835" w:rsidRDefault="00071744" w:rsidP="005809DD">
            <w:pPr>
              <w:pStyle w:val="NormalWeb"/>
              <w:spacing w:line="288" w:lineRule="atLeast"/>
              <w:jc w:val="center"/>
            </w:pPr>
            <w:r w:rsidRPr="00261835">
              <w:t>5000</w:t>
            </w:r>
          </w:p>
        </w:tc>
        <w:tc>
          <w:tcPr>
            <w:tcW w:w="1620" w:type="dxa"/>
            <w:shd w:val="clear" w:color="auto" w:fill="auto"/>
            <w:vAlign w:val="center"/>
          </w:tcPr>
          <w:p w14:paraId="00CCC9CC" w14:textId="652EB9C1" w:rsidR="00564656" w:rsidRPr="00261835" w:rsidRDefault="00071744" w:rsidP="005809DD">
            <w:pPr>
              <w:pStyle w:val="NormalWeb"/>
              <w:spacing w:line="288" w:lineRule="atLeast"/>
              <w:jc w:val="center"/>
            </w:pPr>
            <w:r w:rsidRPr="00261835">
              <w:t>20 minutes</w:t>
            </w:r>
          </w:p>
        </w:tc>
        <w:tc>
          <w:tcPr>
            <w:tcW w:w="1710" w:type="dxa"/>
            <w:shd w:val="clear" w:color="auto" w:fill="auto"/>
            <w:vAlign w:val="center"/>
          </w:tcPr>
          <w:p w14:paraId="4B665899" w14:textId="77777777" w:rsidR="00564656" w:rsidRPr="00261835" w:rsidRDefault="006A16EC" w:rsidP="005809DD">
            <w:pPr>
              <w:pStyle w:val="NormalWeb"/>
              <w:spacing w:line="288" w:lineRule="atLeast"/>
              <w:jc w:val="center"/>
            </w:pPr>
            <w:r w:rsidRPr="00261835">
              <w:t>$</w:t>
            </w:r>
            <w:r w:rsidR="00962018" w:rsidRPr="00261835">
              <w:t>3</w:t>
            </w:r>
            <w:r w:rsidR="000B7717" w:rsidRPr="00261835">
              <w:t>0</w:t>
            </w:r>
          </w:p>
        </w:tc>
        <w:tc>
          <w:tcPr>
            <w:tcW w:w="1350" w:type="dxa"/>
            <w:shd w:val="clear" w:color="auto" w:fill="auto"/>
            <w:vAlign w:val="center"/>
          </w:tcPr>
          <w:p w14:paraId="3061B5FC" w14:textId="4C991A92" w:rsidR="00564656" w:rsidRPr="00261835" w:rsidRDefault="006A16EC" w:rsidP="005809DD">
            <w:pPr>
              <w:pStyle w:val="NormalWeb"/>
              <w:spacing w:line="288" w:lineRule="atLeast"/>
              <w:jc w:val="center"/>
            </w:pPr>
            <w:r w:rsidRPr="00261835">
              <w:t>$</w:t>
            </w:r>
            <w:r w:rsidR="000C7DF9" w:rsidRPr="00261835">
              <w:t>10</w:t>
            </w:r>
          </w:p>
        </w:tc>
        <w:tc>
          <w:tcPr>
            <w:tcW w:w="1800" w:type="dxa"/>
            <w:shd w:val="clear" w:color="auto" w:fill="auto"/>
            <w:vAlign w:val="center"/>
          </w:tcPr>
          <w:p w14:paraId="2F8F3FAB" w14:textId="289D3DBD" w:rsidR="00564656" w:rsidRPr="00261835" w:rsidRDefault="006A16EC" w:rsidP="005809DD">
            <w:pPr>
              <w:pStyle w:val="NormalWeb"/>
              <w:spacing w:line="288" w:lineRule="atLeast"/>
              <w:jc w:val="center"/>
            </w:pPr>
            <w:r w:rsidRPr="00261835">
              <w:t>$</w:t>
            </w:r>
            <w:r w:rsidR="00962018" w:rsidRPr="00261835">
              <w:t>5</w:t>
            </w:r>
            <w:r w:rsidR="000C7DF9" w:rsidRPr="00261835">
              <w:t>0</w:t>
            </w:r>
            <w:r w:rsidR="00962018" w:rsidRPr="00261835">
              <w:t>,</w:t>
            </w:r>
            <w:r w:rsidR="000C7DF9" w:rsidRPr="00261835">
              <w:t>000</w:t>
            </w:r>
          </w:p>
        </w:tc>
      </w:tr>
    </w:tbl>
    <w:p w14:paraId="442C286F" w14:textId="77777777" w:rsidR="00AD48B0" w:rsidRDefault="00AD48B0" w:rsidP="00AD48B0">
      <w:pPr>
        <w:pStyle w:val="NormalWeb"/>
        <w:spacing w:before="0" w:beforeAutospacing="0" w:after="0" w:afterAutospacing="0"/>
        <w:ind w:left="810" w:hanging="180"/>
      </w:pPr>
    </w:p>
    <w:p w14:paraId="6D17F866" w14:textId="77777777" w:rsidR="00B00A5D" w:rsidRDefault="00B00A5D" w:rsidP="00AD48B0">
      <w:pPr>
        <w:pStyle w:val="NormalWeb"/>
        <w:spacing w:before="0" w:beforeAutospacing="0" w:after="0" w:afterAutospacing="0"/>
        <w:ind w:left="810" w:hanging="180"/>
      </w:pPr>
    </w:p>
    <w:p w14:paraId="4BA1453C" w14:textId="35530AD3" w:rsidR="0056420B" w:rsidRDefault="00B00A5D" w:rsidP="007F0EEE">
      <w:pPr>
        <w:pStyle w:val="NormalWeb"/>
        <w:spacing w:before="0" w:beforeAutospacing="0" w:after="0" w:afterAutospacing="0"/>
      </w:pPr>
      <w:r>
        <w:t xml:space="preserve">Hourly wages from </w:t>
      </w:r>
      <w:r w:rsidR="002356EF">
        <w:t>Dept.</w:t>
      </w:r>
      <w:r>
        <w:t xml:space="preserve"> of Labor (</w:t>
      </w:r>
      <w:hyperlink r:id="rId14" w:history="1">
        <w:r w:rsidR="003A050E" w:rsidRPr="007F0EEE">
          <w:rPr>
            <w:rStyle w:val="Hyperlink"/>
          </w:rPr>
          <w:t>http://www.careeronestop.org/toolkit/wages/find-salary</w:t>
        </w:r>
      </w:hyperlink>
      <w:r>
        <w:t>)</w:t>
      </w:r>
      <w:r w:rsidR="002419BE">
        <w:t xml:space="preserve"> as of </w:t>
      </w:r>
      <w:r w:rsidR="00F67B26">
        <w:t xml:space="preserve">February </w:t>
      </w:r>
      <w:r w:rsidR="002419BE">
        <w:t>201</w:t>
      </w:r>
      <w:r w:rsidR="00F67B26">
        <w:t>8</w:t>
      </w:r>
      <w:r w:rsidR="003A050E">
        <w:t xml:space="preserve"> for the careers field perspectives we are looking for with regard to this study are as follows: </w:t>
      </w:r>
      <w:r w:rsidR="00D93ACD">
        <w:t>Colle</w:t>
      </w:r>
      <w:r w:rsidR="00D93ACD" w:rsidRPr="00962018">
        <w:t>ge s</w:t>
      </w:r>
      <w:r w:rsidR="003A050E" w:rsidRPr="00962018">
        <w:t>tudent with a part-time job (</w:t>
      </w:r>
      <w:r w:rsidR="00D93ACD" w:rsidRPr="00962018">
        <w:t xml:space="preserve">likely above the </w:t>
      </w:r>
      <w:r w:rsidR="0009616B" w:rsidRPr="00962018">
        <w:t xml:space="preserve">federal </w:t>
      </w:r>
      <w:r w:rsidR="00B012EC" w:rsidRPr="00962018">
        <w:t>minimum wage</w:t>
      </w:r>
      <w:r w:rsidR="00D36475" w:rsidRPr="00962018">
        <w:t xml:space="preserve"> of</w:t>
      </w:r>
      <w:r w:rsidR="00B012EC" w:rsidRPr="00962018">
        <w:t xml:space="preserve"> $7.25</w:t>
      </w:r>
      <w:r w:rsidR="003A050E" w:rsidRPr="00962018">
        <w:t xml:space="preserve">); </w:t>
      </w:r>
      <w:r w:rsidR="00AD48B0" w:rsidRPr="00962018">
        <w:t>Civil Eng</w:t>
      </w:r>
      <w:r w:rsidR="00AD48B0">
        <w:t>ineer</w:t>
      </w:r>
      <w:r>
        <w:t xml:space="preserve">  (beginning/low $25.</w:t>
      </w:r>
      <w:r w:rsidR="000C7DF9">
        <w:t>71</w:t>
      </w:r>
      <w:r>
        <w:t>, mid-level/median $</w:t>
      </w:r>
      <w:r w:rsidR="00C80BD0">
        <w:t>40.16</w:t>
      </w:r>
      <w:r>
        <w:t>)</w:t>
      </w:r>
      <w:r w:rsidR="003A050E">
        <w:t xml:space="preserve">; </w:t>
      </w:r>
      <w:r w:rsidR="00AD48B0">
        <w:t>Electronics Engineer</w:t>
      </w:r>
      <w:r>
        <w:t xml:space="preserve"> (beginning/low $</w:t>
      </w:r>
      <w:r w:rsidR="00C80BD0">
        <w:t>30.65</w:t>
      </w:r>
      <w:r>
        <w:t>, mid-level/median $</w:t>
      </w:r>
      <w:r w:rsidR="00C80BD0">
        <w:t>47.70</w:t>
      </w:r>
      <w:r>
        <w:t>)</w:t>
      </w:r>
      <w:r w:rsidR="003A050E">
        <w:t xml:space="preserve">; </w:t>
      </w:r>
      <w:r w:rsidR="00AD48B0">
        <w:t xml:space="preserve">Contracting </w:t>
      </w:r>
      <w:r>
        <w:t>(</w:t>
      </w:r>
      <w:r w:rsidR="0056420B">
        <w:t xml:space="preserve">Managers, </w:t>
      </w:r>
      <w:r>
        <w:t>beginning/low $</w:t>
      </w:r>
      <w:r w:rsidR="0056420B">
        <w:t>25.</w:t>
      </w:r>
      <w:r w:rsidR="00C80BD0">
        <w:t>41</w:t>
      </w:r>
      <w:r>
        <w:t>, mid-level/median $</w:t>
      </w:r>
      <w:r w:rsidR="0056420B">
        <w:t>50.</w:t>
      </w:r>
      <w:r w:rsidR="00C80BD0">
        <w:t>47</w:t>
      </w:r>
      <w:r>
        <w:t>)</w:t>
      </w:r>
      <w:r w:rsidR="003A050E">
        <w:t xml:space="preserve">; </w:t>
      </w:r>
      <w:r w:rsidR="00AD48B0">
        <w:t xml:space="preserve">Information Technology Management </w:t>
      </w:r>
      <w:r>
        <w:t>(</w:t>
      </w:r>
      <w:r w:rsidR="0056420B">
        <w:t xml:space="preserve">Computer and Info Systems Managers, </w:t>
      </w:r>
      <w:r>
        <w:t>beginning/low $</w:t>
      </w:r>
      <w:r w:rsidR="00C80BD0">
        <w:t>39.60</w:t>
      </w:r>
      <w:r>
        <w:t>, mid-level/median $</w:t>
      </w:r>
      <w:r w:rsidR="00C80BD0">
        <w:t>65.29</w:t>
      </w:r>
      <w:r>
        <w:t>)</w:t>
      </w:r>
      <w:r w:rsidR="003A050E">
        <w:t>; Average of these (</w:t>
      </w:r>
      <w:r w:rsidR="0009616B">
        <w:t xml:space="preserve">Minimum wage: $7.25, </w:t>
      </w:r>
      <w:r w:rsidR="0056420B">
        <w:t>Beginning/low: $</w:t>
      </w:r>
      <w:r w:rsidR="00C80BD0">
        <w:t>30.34</w:t>
      </w:r>
      <w:r w:rsidR="0056420B">
        <w:t>, Mid-level/median: $</w:t>
      </w:r>
      <w:r w:rsidR="00C80BD0">
        <w:t>50.91</w:t>
      </w:r>
      <w:r w:rsidR="003A050E">
        <w:t xml:space="preserve">) is </w:t>
      </w:r>
      <w:r w:rsidR="0009616B">
        <w:t xml:space="preserve">approximately </w:t>
      </w:r>
      <w:r w:rsidR="003A050E">
        <w:t>$</w:t>
      </w:r>
      <w:r w:rsidR="00962018">
        <w:t>3</w:t>
      </w:r>
      <w:r w:rsidR="003A050E">
        <w:t>0 per hour</w:t>
      </w:r>
      <w:r w:rsidR="000B7717">
        <w:t>.</w:t>
      </w:r>
    </w:p>
    <w:p w14:paraId="427EEFF2" w14:textId="77777777" w:rsidR="005E0A0F" w:rsidRDefault="005E0A0F" w:rsidP="007F0EEE">
      <w:pPr>
        <w:pStyle w:val="NormalWeb"/>
        <w:spacing w:line="288" w:lineRule="atLeast"/>
        <w:rPr>
          <w:u w:val="single"/>
        </w:rPr>
      </w:pPr>
      <w:bookmarkStart w:id="12" w:name="cp462"/>
      <w:bookmarkEnd w:id="11"/>
      <w:r>
        <w:t xml:space="preserve">13.  </w:t>
      </w:r>
      <w:r>
        <w:rPr>
          <w:u w:val="single"/>
        </w:rPr>
        <w:t>Respondent Costs Other Than Burden Hour Costs</w:t>
      </w:r>
    </w:p>
    <w:p w14:paraId="1AC7EFC8" w14:textId="77777777" w:rsidR="005B3598" w:rsidRPr="00E125D7" w:rsidRDefault="005B3598" w:rsidP="007F0EEE">
      <w:pPr>
        <w:pStyle w:val="NormalWeb"/>
        <w:spacing w:line="288" w:lineRule="atLeast"/>
      </w:pPr>
      <w:r w:rsidRPr="00E125D7">
        <w:t>There are no capital or start</w:t>
      </w:r>
      <w:r w:rsidR="00962018">
        <w:t>-</w:t>
      </w:r>
      <w:r w:rsidRPr="00E125D7">
        <w:t>up costs</w:t>
      </w:r>
      <w:r w:rsidR="00E125D7">
        <w:t xml:space="preserve"> to respondents</w:t>
      </w:r>
      <w:r w:rsidR="002356EF">
        <w:t xml:space="preserve">. </w:t>
      </w:r>
      <w:r w:rsidR="00E125D7">
        <w:t xml:space="preserve">There are no </w:t>
      </w:r>
      <w:r w:rsidRPr="00E125D7">
        <w:t>O&amp;M cost</w:t>
      </w:r>
      <w:r w:rsidR="00E125D7">
        <w:t>s to respondents</w:t>
      </w:r>
      <w:r w:rsidRPr="00E125D7">
        <w:t>.</w:t>
      </w:r>
    </w:p>
    <w:p w14:paraId="03468F78" w14:textId="7543D1A3" w:rsidR="005E0A0F" w:rsidRDefault="005E0A0F" w:rsidP="007F0EEE">
      <w:pPr>
        <w:pStyle w:val="NormalWeb"/>
        <w:spacing w:line="288" w:lineRule="atLeast"/>
        <w:rPr>
          <w:u w:val="single"/>
        </w:rPr>
      </w:pPr>
      <w:bookmarkStart w:id="13" w:name="cp466"/>
      <w:bookmarkEnd w:id="12"/>
      <w:r>
        <w:t xml:space="preserve">14.  </w:t>
      </w:r>
      <w:r>
        <w:rPr>
          <w:u w:val="single"/>
        </w:rPr>
        <w:t>Cost to the Federal Government</w:t>
      </w:r>
    </w:p>
    <w:p w14:paraId="44FAB0D5" w14:textId="28F872BA" w:rsidR="00523924" w:rsidRDefault="00845771" w:rsidP="007F0EEE">
      <w:pPr>
        <w:pStyle w:val="PlainText"/>
        <w:rPr>
          <w:rFonts w:ascii="Times New Roman" w:hAnsi="Times New Roman"/>
          <w:sz w:val="24"/>
          <w:szCs w:val="24"/>
          <w:lang w:val="en-US"/>
        </w:rPr>
      </w:pPr>
      <w:r w:rsidRPr="003D7010">
        <w:rPr>
          <w:rFonts w:ascii="Times New Roman" w:hAnsi="Times New Roman"/>
          <w:sz w:val="24"/>
          <w:szCs w:val="24"/>
        </w:rPr>
        <w:t>The DA Civilian Marketing study uses</w:t>
      </w:r>
      <w:r w:rsidRPr="003D7010">
        <w:rPr>
          <w:rFonts w:ascii="Times New Roman" w:hAnsi="Times New Roman"/>
          <w:sz w:val="24"/>
          <w:szCs w:val="24"/>
          <w:lang w:val="en-US"/>
        </w:rPr>
        <w:t xml:space="preserve"> </w:t>
      </w:r>
      <w:r w:rsidR="00065E7C">
        <w:rPr>
          <w:rFonts w:ascii="Times New Roman" w:hAnsi="Times New Roman"/>
          <w:sz w:val="24"/>
          <w:szCs w:val="24"/>
          <w:lang w:val="en-US"/>
        </w:rPr>
        <w:t>Rand, a</w:t>
      </w:r>
      <w:r w:rsidRPr="003D7010">
        <w:rPr>
          <w:rFonts w:ascii="Times New Roman" w:hAnsi="Times New Roman"/>
          <w:sz w:val="24"/>
          <w:szCs w:val="24"/>
        </w:rPr>
        <w:t xml:space="preserve"> Federally Funded Research and Development Center (FFRDC)</w:t>
      </w:r>
      <w:r w:rsidRPr="003D7010">
        <w:rPr>
          <w:rFonts w:ascii="Times New Roman" w:hAnsi="Times New Roman"/>
          <w:sz w:val="24"/>
          <w:szCs w:val="24"/>
          <w:lang w:val="en-US"/>
        </w:rPr>
        <w:t xml:space="preserve"> for studies and analysis to</w:t>
      </w:r>
      <w:r w:rsidRPr="003D7010">
        <w:rPr>
          <w:rFonts w:ascii="Times New Roman" w:hAnsi="Times New Roman"/>
          <w:sz w:val="24"/>
          <w:szCs w:val="24"/>
        </w:rPr>
        <w:t xml:space="preserve"> </w:t>
      </w:r>
      <w:r w:rsidRPr="003D7010">
        <w:rPr>
          <w:rFonts w:ascii="Times New Roman" w:hAnsi="Times New Roman"/>
          <w:sz w:val="24"/>
          <w:szCs w:val="24"/>
          <w:lang w:val="en-US"/>
        </w:rPr>
        <w:t>execute</w:t>
      </w:r>
      <w:r w:rsidRPr="003D7010">
        <w:rPr>
          <w:rFonts w:ascii="Times New Roman" w:hAnsi="Times New Roman"/>
          <w:sz w:val="24"/>
          <w:szCs w:val="24"/>
        </w:rPr>
        <w:t xml:space="preserve"> </w:t>
      </w:r>
      <w:r w:rsidRPr="003D7010">
        <w:rPr>
          <w:rFonts w:ascii="Times New Roman" w:hAnsi="Times New Roman"/>
          <w:sz w:val="24"/>
          <w:szCs w:val="24"/>
          <w:lang w:val="en-US"/>
        </w:rPr>
        <w:t xml:space="preserve">and </w:t>
      </w:r>
      <w:r w:rsidRPr="003D7010">
        <w:rPr>
          <w:rFonts w:ascii="Times New Roman" w:hAnsi="Times New Roman"/>
          <w:sz w:val="24"/>
          <w:szCs w:val="24"/>
        </w:rPr>
        <w:t>administer the project</w:t>
      </w:r>
      <w:r w:rsidR="00D412BB">
        <w:rPr>
          <w:rFonts w:ascii="Times New Roman" w:hAnsi="Times New Roman"/>
          <w:sz w:val="24"/>
          <w:szCs w:val="24"/>
          <w:lang w:val="en-US"/>
        </w:rPr>
        <w:t xml:space="preserve"> (</w:t>
      </w:r>
      <w:hyperlink r:id="rId15" w:history="1">
        <w:r w:rsidR="007F0EEE" w:rsidRPr="007F0EEE">
          <w:rPr>
            <w:rStyle w:val="Hyperlink"/>
            <w:rFonts w:ascii="Times New Roman" w:hAnsi="Times New Roman"/>
            <w:sz w:val="24"/>
            <w:szCs w:val="24"/>
            <w:lang w:val="en-US"/>
          </w:rPr>
          <w:t>https://www.dau.mil/acquipedia/Pages/ArticleDetails.aspx?aid=5e3079b8-44f2-43df-a0e7-9f379e8c48ed</w:t>
        </w:r>
      </w:hyperlink>
      <w:r w:rsidR="00D412BB">
        <w:rPr>
          <w:rFonts w:ascii="Times New Roman" w:hAnsi="Times New Roman"/>
          <w:sz w:val="24"/>
          <w:szCs w:val="24"/>
          <w:lang w:val="en-US"/>
        </w:rPr>
        <w:t>)</w:t>
      </w:r>
      <w:r w:rsidRPr="003D7010">
        <w:rPr>
          <w:rFonts w:ascii="Times New Roman" w:hAnsi="Times New Roman"/>
          <w:sz w:val="24"/>
          <w:szCs w:val="24"/>
        </w:rPr>
        <w:t>. The FFRDC was contracted to develop</w:t>
      </w:r>
      <w:r w:rsidRPr="000C16D0">
        <w:rPr>
          <w:rFonts w:ascii="Times New Roman" w:hAnsi="Times New Roman"/>
          <w:sz w:val="24"/>
          <w:szCs w:val="24"/>
          <w:lang w:val="en-US"/>
        </w:rPr>
        <w:t xml:space="preserve"> </w:t>
      </w:r>
      <w:r w:rsidRPr="003D7010">
        <w:rPr>
          <w:rFonts w:ascii="Times New Roman" w:hAnsi="Times New Roman"/>
          <w:sz w:val="24"/>
          <w:szCs w:val="24"/>
          <w:lang w:val="en-US"/>
        </w:rPr>
        <w:t>the</w:t>
      </w:r>
      <w:r w:rsidRPr="003D7010">
        <w:rPr>
          <w:rFonts w:ascii="Times New Roman" w:hAnsi="Times New Roman"/>
          <w:sz w:val="24"/>
          <w:szCs w:val="24"/>
        </w:rPr>
        <w:t xml:space="preserve"> research p</w:t>
      </w:r>
      <w:r w:rsidRPr="003D7010">
        <w:rPr>
          <w:rFonts w:ascii="Times New Roman" w:hAnsi="Times New Roman"/>
          <w:sz w:val="24"/>
          <w:szCs w:val="24"/>
          <w:lang w:val="en-US"/>
        </w:rPr>
        <w:t>lan</w:t>
      </w:r>
      <w:r>
        <w:rPr>
          <w:rFonts w:ascii="Times New Roman" w:hAnsi="Times New Roman"/>
          <w:sz w:val="24"/>
          <w:szCs w:val="24"/>
          <w:lang w:val="en-US"/>
        </w:rPr>
        <w:t>, execute the work, and to manage</w:t>
      </w:r>
      <w:r w:rsidRPr="003D7010">
        <w:rPr>
          <w:rFonts w:ascii="Times New Roman" w:hAnsi="Times New Roman"/>
          <w:sz w:val="24"/>
          <w:szCs w:val="24"/>
        </w:rPr>
        <w:t xml:space="preserve"> </w:t>
      </w:r>
      <w:r>
        <w:rPr>
          <w:rFonts w:ascii="Times New Roman" w:hAnsi="Times New Roman"/>
          <w:sz w:val="24"/>
          <w:szCs w:val="24"/>
          <w:lang w:val="en-US"/>
        </w:rPr>
        <w:t xml:space="preserve">and integrate the results from the study’s components. </w:t>
      </w:r>
    </w:p>
    <w:p w14:paraId="605EA4BC" w14:textId="77777777" w:rsidR="00523924" w:rsidRDefault="00523924" w:rsidP="00845771">
      <w:pPr>
        <w:pStyle w:val="PlainText"/>
        <w:rPr>
          <w:rFonts w:ascii="Times New Roman" w:hAnsi="Times New Roman"/>
          <w:sz w:val="24"/>
          <w:szCs w:val="24"/>
          <w:lang w:val="en-US"/>
        </w:rPr>
      </w:pPr>
    </w:p>
    <w:p w14:paraId="29E2AA79" w14:textId="5E560403" w:rsidR="00845771" w:rsidRDefault="00523924" w:rsidP="00176394">
      <w:pPr>
        <w:pStyle w:val="PlainText"/>
        <w:rPr>
          <w:rFonts w:ascii="Times New Roman" w:hAnsi="Times New Roman"/>
          <w:sz w:val="24"/>
          <w:szCs w:val="24"/>
          <w:lang w:val="en-US"/>
        </w:rPr>
      </w:pPr>
      <w:r>
        <w:rPr>
          <w:rFonts w:ascii="Times New Roman" w:hAnsi="Times New Roman"/>
          <w:sz w:val="24"/>
          <w:szCs w:val="24"/>
          <w:lang w:val="en-US"/>
        </w:rPr>
        <w:t xml:space="preserve">The </w:t>
      </w:r>
      <w:r w:rsidR="005C731C">
        <w:rPr>
          <w:rFonts w:ascii="Times New Roman" w:hAnsi="Times New Roman"/>
          <w:sz w:val="24"/>
          <w:szCs w:val="24"/>
          <w:lang w:val="en-US"/>
        </w:rPr>
        <w:t>information</w:t>
      </w:r>
      <w:r w:rsidR="00176394">
        <w:rPr>
          <w:rFonts w:ascii="Times New Roman" w:hAnsi="Times New Roman"/>
          <w:sz w:val="24"/>
          <w:szCs w:val="24"/>
          <w:lang w:val="en-US"/>
        </w:rPr>
        <w:t xml:space="preserve"> collection</w:t>
      </w:r>
      <w:r>
        <w:rPr>
          <w:rFonts w:ascii="Times New Roman" w:hAnsi="Times New Roman"/>
          <w:sz w:val="24"/>
          <w:szCs w:val="24"/>
          <w:lang w:val="en-US"/>
        </w:rPr>
        <w:t xml:space="preserve"> cost for Phase I</w:t>
      </w:r>
      <w:r w:rsidR="004A6990">
        <w:rPr>
          <w:rFonts w:ascii="Times New Roman" w:hAnsi="Times New Roman"/>
          <w:sz w:val="24"/>
          <w:szCs w:val="24"/>
          <w:lang w:val="en-US"/>
        </w:rPr>
        <w:t>I</w:t>
      </w:r>
      <w:r>
        <w:rPr>
          <w:rFonts w:ascii="Times New Roman" w:hAnsi="Times New Roman"/>
          <w:sz w:val="24"/>
          <w:szCs w:val="24"/>
          <w:lang w:val="en-US"/>
        </w:rPr>
        <w:t xml:space="preserve"> (</w:t>
      </w:r>
      <w:r w:rsidR="004A6990">
        <w:rPr>
          <w:rFonts w:ascii="Times New Roman" w:hAnsi="Times New Roman"/>
          <w:sz w:val="24"/>
          <w:szCs w:val="24"/>
          <w:lang w:val="en-US"/>
        </w:rPr>
        <w:t>survey</w:t>
      </w:r>
      <w:r>
        <w:rPr>
          <w:rFonts w:ascii="Times New Roman" w:hAnsi="Times New Roman"/>
          <w:sz w:val="24"/>
          <w:szCs w:val="24"/>
          <w:lang w:val="en-US"/>
        </w:rPr>
        <w:t xml:space="preserve">) </w:t>
      </w:r>
      <w:r w:rsidRPr="00176394">
        <w:rPr>
          <w:rFonts w:ascii="Times New Roman" w:hAnsi="Times New Roman"/>
          <w:sz w:val="24"/>
          <w:szCs w:val="24"/>
          <w:lang w:val="en-US"/>
        </w:rPr>
        <w:t>is $</w:t>
      </w:r>
      <w:r w:rsidR="00A157A5">
        <w:rPr>
          <w:rFonts w:ascii="Times New Roman" w:hAnsi="Times New Roman"/>
          <w:sz w:val="24"/>
          <w:szCs w:val="24"/>
          <w:lang w:val="en-US"/>
        </w:rPr>
        <w:t>103,500</w:t>
      </w:r>
    </w:p>
    <w:p w14:paraId="77B2A631" w14:textId="77777777" w:rsidR="003A050E" w:rsidRDefault="003A050E" w:rsidP="00176394">
      <w:pPr>
        <w:pStyle w:val="PlainText"/>
        <w:rPr>
          <w:rFonts w:ascii="Times New Roman" w:hAnsi="Times New Roman"/>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7"/>
        <w:gridCol w:w="2394"/>
      </w:tblGrid>
      <w:tr w:rsidR="00893B0B" w:rsidRPr="00A157A5" w14:paraId="41328096" w14:textId="77777777" w:rsidTr="005809DD">
        <w:tc>
          <w:tcPr>
            <w:tcW w:w="6017" w:type="dxa"/>
            <w:shd w:val="clear" w:color="auto" w:fill="auto"/>
          </w:tcPr>
          <w:p w14:paraId="1B9E9585" w14:textId="77777777" w:rsidR="00893B0B" w:rsidRDefault="00893B0B" w:rsidP="00C80DBB">
            <w:pPr>
              <w:pStyle w:val="NormalWeb"/>
              <w:spacing w:line="288" w:lineRule="atLeast"/>
            </w:pPr>
          </w:p>
        </w:tc>
        <w:tc>
          <w:tcPr>
            <w:tcW w:w="2394" w:type="dxa"/>
            <w:shd w:val="clear" w:color="auto" w:fill="auto"/>
          </w:tcPr>
          <w:p w14:paraId="2DDAE290" w14:textId="5D4DDDCD" w:rsidR="00893B0B" w:rsidRPr="00A157A5" w:rsidRDefault="00893B0B" w:rsidP="00C80DBB">
            <w:pPr>
              <w:pStyle w:val="NormalWeb"/>
              <w:spacing w:line="288" w:lineRule="atLeast"/>
              <w:jc w:val="center"/>
            </w:pPr>
            <w:r>
              <w:t xml:space="preserve"> </w:t>
            </w:r>
            <w:r w:rsidR="004A6990" w:rsidRPr="00A157A5">
              <w:t>Marketing Army Civilian Employment Survey</w:t>
            </w:r>
          </w:p>
        </w:tc>
      </w:tr>
      <w:tr w:rsidR="00893B0B" w:rsidRPr="00A157A5" w14:paraId="5591B7E2" w14:textId="77777777" w:rsidTr="005809DD">
        <w:tc>
          <w:tcPr>
            <w:tcW w:w="6017" w:type="dxa"/>
            <w:shd w:val="clear" w:color="auto" w:fill="auto"/>
            <w:vAlign w:val="center"/>
          </w:tcPr>
          <w:p w14:paraId="497BBEE7" w14:textId="77777777" w:rsidR="00893B0B" w:rsidRPr="00A157A5" w:rsidRDefault="00893B0B" w:rsidP="005809DD">
            <w:pPr>
              <w:pStyle w:val="NormalWeb"/>
              <w:spacing w:line="288" w:lineRule="atLeast"/>
            </w:pPr>
            <w:r w:rsidRPr="00A157A5">
              <w:t>Number of Responses</w:t>
            </w:r>
          </w:p>
        </w:tc>
        <w:tc>
          <w:tcPr>
            <w:tcW w:w="2394" w:type="dxa"/>
            <w:shd w:val="clear" w:color="auto" w:fill="auto"/>
          </w:tcPr>
          <w:p w14:paraId="2B57778A" w14:textId="0F42D71E" w:rsidR="00893B0B" w:rsidRPr="000844EB" w:rsidRDefault="000C7DF9" w:rsidP="00C80DBB">
            <w:pPr>
              <w:pStyle w:val="NormalWeb"/>
              <w:spacing w:line="288" w:lineRule="atLeast"/>
            </w:pPr>
            <w:r w:rsidRPr="00A157A5">
              <w:t>5000</w:t>
            </w:r>
          </w:p>
        </w:tc>
      </w:tr>
      <w:tr w:rsidR="00893B0B" w:rsidRPr="00A157A5" w14:paraId="59753474" w14:textId="77777777" w:rsidTr="005809DD">
        <w:tc>
          <w:tcPr>
            <w:tcW w:w="6017" w:type="dxa"/>
            <w:shd w:val="clear" w:color="auto" w:fill="auto"/>
            <w:vAlign w:val="center"/>
          </w:tcPr>
          <w:p w14:paraId="52482F45" w14:textId="77777777" w:rsidR="00893B0B" w:rsidRPr="00A157A5" w:rsidRDefault="00893B0B" w:rsidP="005809DD">
            <w:pPr>
              <w:pStyle w:val="NormalWeb"/>
              <w:spacing w:line="288" w:lineRule="atLeast"/>
            </w:pPr>
            <w:r w:rsidRPr="00A157A5">
              <w:t>Processing Time Per Response (in hours)</w:t>
            </w:r>
          </w:p>
        </w:tc>
        <w:tc>
          <w:tcPr>
            <w:tcW w:w="2394" w:type="dxa"/>
            <w:shd w:val="clear" w:color="auto" w:fill="auto"/>
          </w:tcPr>
          <w:p w14:paraId="364A3F8F" w14:textId="2D32C001" w:rsidR="00893B0B" w:rsidRPr="000844EB" w:rsidRDefault="00893B0B" w:rsidP="00C80DBB">
            <w:pPr>
              <w:pStyle w:val="NormalWeb"/>
              <w:spacing w:line="288" w:lineRule="atLeast"/>
            </w:pPr>
            <w:r w:rsidRPr="00A157A5">
              <w:t>.</w:t>
            </w:r>
            <w:r w:rsidR="00B07FFA" w:rsidRPr="00A157A5">
              <w:t>012</w:t>
            </w:r>
          </w:p>
        </w:tc>
      </w:tr>
      <w:tr w:rsidR="00893B0B" w:rsidRPr="00A157A5" w14:paraId="04D74BB5" w14:textId="77777777" w:rsidTr="005809DD">
        <w:tc>
          <w:tcPr>
            <w:tcW w:w="6017" w:type="dxa"/>
            <w:shd w:val="clear" w:color="auto" w:fill="auto"/>
            <w:vAlign w:val="center"/>
          </w:tcPr>
          <w:p w14:paraId="006A2860" w14:textId="77777777" w:rsidR="00893B0B" w:rsidRPr="00A157A5" w:rsidRDefault="00893B0B" w:rsidP="005809DD">
            <w:pPr>
              <w:pStyle w:val="NormalWeb"/>
              <w:spacing w:line="288" w:lineRule="atLeast"/>
            </w:pPr>
            <w:r w:rsidRPr="00A157A5">
              <w:t>Hourly Wage of Worker(s) Processing Responses</w:t>
            </w:r>
          </w:p>
        </w:tc>
        <w:tc>
          <w:tcPr>
            <w:tcW w:w="2394" w:type="dxa"/>
            <w:shd w:val="clear" w:color="auto" w:fill="auto"/>
          </w:tcPr>
          <w:p w14:paraId="039BA360" w14:textId="0EFCB005" w:rsidR="00893B0B" w:rsidRPr="000844EB" w:rsidRDefault="00893B0B" w:rsidP="00C80DBB">
            <w:pPr>
              <w:pStyle w:val="NormalWeb"/>
              <w:spacing w:line="288" w:lineRule="atLeast"/>
            </w:pPr>
            <w:r w:rsidRPr="000844EB">
              <w:t>$</w:t>
            </w:r>
            <w:r w:rsidR="00B07FFA" w:rsidRPr="00A157A5">
              <w:t>75</w:t>
            </w:r>
          </w:p>
        </w:tc>
      </w:tr>
      <w:tr w:rsidR="00893B0B" w:rsidRPr="00A157A5" w14:paraId="6BC34180" w14:textId="77777777" w:rsidTr="005809DD">
        <w:tc>
          <w:tcPr>
            <w:tcW w:w="6017" w:type="dxa"/>
            <w:shd w:val="clear" w:color="auto" w:fill="auto"/>
            <w:vAlign w:val="center"/>
          </w:tcPr>
          <w:p w14:paraId="528015B5" w14:textId="7AB28F20" w:rsidR="00893B0B" w:rsidRPr="00A157A5" w:rsidRDefault="00893B0B" w:rsidP="005809DD">
            <w:pPr>
              <w:pStyle w:val="NormalWeb"/>
              <w:spacing w:line="288" w:lineRule="atLeast"/>
            </w:pPr>
            <w:r w:rsidRPr="00A157A5">
              <w:t xml:space="preserve">Cost to Process Each Response </w:t>
            </w:r>
          </w:p>
        </w:tc>
        <w:tc>
          <w:tcPr>
            <w:tcW w:w="2394" w:type="dxa"/>
            <w:shd w:val="clear" w:color="auto" w:fill="auto"/>
          </w:tcPr>
          <w:p w14:paraId="16CDAF1A" w14:textId="0EF97880" w:rsidR="00893B0B" w:rsidRPr="000844EB" w:rsidRDefault="00893B0B" w:rsidP="00C80DBB">
            <w:pPr>
              <w:pStyle w:val="NormalWeb"/>
              <w:spacing w:line="288" w:lineRule="atLeast"/>
            </w:pPr>
            <w:r w:rsidRPr="000844EB">
              <w:t>$</w:t>
            </w:r>
            <w:r w:rsidR="00B07FFA" w:rsidRPr="00A157A5">
              <w:t>0.90</w:t>
            </w:r>
          </w:p>
        </w:tc>
      </w:tr>
      <w:tr w:rsidR="00893B0B" w:rsidRPr="00A157A5" w14:paraId="64B17158" w14:textId="77777777" w:rsidTr="005809DD">
        <w:tc>
          <w:tcPr>
            <w:tcW w:w="6017" w:type="dxa"/>
            <w:shd w:val="clear" w:color="auto" w:fill="auto"/>
            <w:vAlign w:val="center"/>
          </w:tcPr>
          <w:p w14:paraId="3CB4A929" w14:textId="2F29AFB1" w:rsidR="00893B0B" w:rsidRPr="00A157A5" w:rsidRDefault="00893B0B" w:rsidP="005809DD">
            <w:pPr>
              <w:pStyle w:val="NormalWeb"/>
              <w:spacing w:line="288" w:lineRule="atLeast"/>
            </w:pPr>
            <w:r w:rsidRPr="00A157A5">
              <w:t xml:space="preserve">Total Cost to Process Responses </w:t>
            </w:r>
          </w:p>
        </w:tc>
        <w:tc>
          <w:tcPr>
            <w:tcW w:w="2394" w:type="dxa"/>
            <w:shd w:val="clear" w:color="auto" w:fill="auto"/>
          </w:tcPr>
          <w:p w14:paraId="79CA65D4" w14:textId="76CC6D72" w:rsidR="00893B0B" w:rsidRPr="000844EB" w:rsidRDefault="00893B0B" w:rsidP="00C80DBB">
            <w:pPr>
              <w:pStyle w:val="NormalWeb"/>
              <w:spacing w:line="288" w:lineRule="atLeast"/>
            </w:pPr>
            <w:r w:rsidRPr="000844EB">
              <w:t>$</w:t>
            </w:r>
            <w:r w:rsidR="00B07FFA" w:rsidRPr="00A157A5">
              <w:t>4,500</w:t>
            </w:r>
          </w:p>
        </w:tc>
      </w:tr>
    </w:tbl>
    <w:p w14:paraId="25D238AB" w14:textId="6D45F6E2" w:rsidR="008867A8" w:rsidRDefault="00FE77DE" w:rsidP="005809DD">
      <w:pPr>
        <w:pStyle w:val="NormalWeb"/>
        <w:spacing w:line="288" w:lineRule="atLeast"/>
      </w:pPr>
      <w:r w:rsidRPr="000844EB">
        <w:t xml:space="preserve">O&amp;M costs </w:t>
      </w:r>
      <w:r w:rsidR="00A157A5" w:rsidRPr="000844EB">
        <w:t>include a fixed set</w:t>
      </w:r>
      <w:r w:rsidR="00A157A5" w:rsidRPr="00A157A5">
        <w:t xml:space="preserve"> </w:t>
      </w:r>
      <w:r w:rsidR="00A157A5" w:rsidRPr="000844EB">
        <w:t>up cost of $</w:t>
      </w:r>
      <w:r w:rsidR="00A157A5" w:rsidRPr="00A157A5">
        <w:t>5,000 plus</w:t>
      </w:r>
      <w:r w:rsidRPr="00A157A5">
        <w:t xml:space="preserve"> $94,000 which cover</w:t>
      </w:r>
      <w:r w:rsidR="00A157A5" w:rsidRPr="00A157A5">
        <w:t>s</w:t>
      </w:r>
      <w:r w:rsidRPr="00A157A5">
        <w:t xml:space="preserve"> </w:t>
      </w:r>
      <w:r w:rsidR="00A157A5" w:rsidRPr="00A157A5">
        <w:t xml:space="preserve">the </w:t>
      </w:r>
      <w:r w:rsidRPr="00A157A5">
        <w:t>use of facilities</w:t>
      </w:r>
      <w:r w:rsidRPr="000844EB">
        <w:t xml:space="preserve"> and </w:t>
      </w:r>
      <w:r w:rsidRPr="00A157A5">
        <w:t>computer equipment</w:t>
      </w:r>
      <w:r w:rsidR="00A157A5" w:rsidRPr="00A157A5">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90"/>
        <w:gridCol w:w="989"/>
        <w:gridCol w:w="1256"/>
        <w:gridCol w:w="1170"/>
        <w:gridCol w:w="2614"/>
        <w:gridCol w:w="1179"/>
      </w:tblGrid>
      <w:tr w:rsidR="003A050E" w:rsidRPr="00A157A5" w14:paraId="5B28C04E" w14:textId="77777777" w:rsidTr="005809DD">
        <w:tc>
          <w:tcPr>
            <w:tcW w:w="9468" w:type="dxa"/>
            <w:gridSpan w:val="7"/>
            <w:shd w:val="clear" w:color="auto" w:fill="auto"/>
          </w:tcPr>
          <w:p w14:paraId="0CD4CF7E" w14:textId="77777777" w:rsidR="003A050E" w:rsidRPr="00A157A5" w:rsidRDefault="003A050E" w:rsidP="00C80DBB">
            <w:pPr>
              <w:pStyle w:val="NormalWeb"/>
              <w:spacing w:line="288" w:lineRule="atLeast"/>
              <w:jc w:val="center"/>
            </w:pPr>
            <w:r w:rsidRPr="00A157A5">
              <w:t>Operational and Maintenance Costs</w:t>
            </w:r>
          </w:p>
        </w:tc>
      </w:tr>
      <w:tr w:rsidR="003A050E" w:rsidRPr="00A157A5" w14:paraId="67F3BC5A" w14:textId="77777777" w:rsidTr="005809DD">
        <w:tc>
          <w:tcPr>
            <w:tcW w:w="1170" w:type="dxa"/>
            <w:shd w:val="clear" w:color="auto" w:fill="auto"/>
          </w:tcPr>
          <w:p w14:paraId="45665EA1" w14:textId="77777777" w:rsidR="003A050E" w:rsidRPr="00A157A5" w:rsidRDefault="003A050E" w:rsidP="00C80DBB">
            <w:pPr>
              <w:pStyle w:val="NormalWeb"/>
              <w:spacing w:line="288" w:lineRule="atLeast"/>
              <w:jc w:val="center"/>
            </w:pPr>
            <w:r w:rsidRPr="00A157A5">
              <w:t>Equipment</w:t>
            </w:r>
          </w:p>
        </w:tc>
        <w:tc>
          <w:tcPr>
            <w:tcW w:w="990" w:type="dxa"/>
            <w:shd w:val="clear" w:color="auto" w:fill="auto"/>
          </w:tcPr>
          <w:p w14:paraId="03492EB8" w14:textId="77777777" w:rsidR="003A050E" w:rsidRPr="00A157A5" w:rsidRDefault="003A050E" w:rsidP="00C80DBB">
            <w:pPr>
              <w:pStyle w:val="NormalWeb"/>
              <w:spacing w:line="288" w:lineRule="atLeast"/>
              <w:jc w:val="center"/>
            </w:pPr>
            <w:r w:rsidRPr="00A157A5">
              <w:t>Printing</w:t>
            </w:r>
          </w:p>
        </w:tc>
        <w:tc>
          <w:tcPr>
            <w:tcW w:w="990" w:type="dxa"/>
            <w:shd w:val="clear" w:color="auto" w:fill="auto"/>
          </w:tcPr>
          <w:p w14:paraId="2991EF5C" w14:textId="77777777" w:rsidR="003A050E" w:rsidRPr="00A157A5" w:rsidRDefault="003A050E" w:rsidP="00C80DBB">
            <w:pPr>
              <w:pStyle w:val="NormalWeb"/>
              <w:spacing w:line="288" w:lineRule="atLeast"/>
              <w:jc w:val="center"/>
            </w:pPr>
            <w:r w:rsidRPr="00A157A5">
              <w:t>Postage</w:t>
            </w:r>
          </w:p>
        </w:tc>
        <w:tc>
          <w:tcPr>
            <w:tcW w:w="1260" w:type="dxa"/>
            <w:shd w:val="clear" w:color="auto" w:fill="auto"/>
          </w:tcPr>
          <w:p w14:paraId="5E985DD6" w14:textId="77777777" w:rsidR="003A050E" w:rsidRPr="00A157A5" w:rsidRDefault="003A050E" w:rsidP="00C80DBB">
            <w:pPr>
              <w:pStyle w:val="NormalWeb"/>
              <w:spacing w:line="288" w:lineRule="atLeast"/>
              <w:jc w:val="center"/>
            </w:pPr>
            <w:r w:rsidRPr="00A157A5">
              <w:t>Software Purchases</w:t>
            </w:r>
          </w:p>
        </w:tc>
        <w:tc>
          <w:tcPr>
            <w:tcW w:w="1170" w:type="dxa"/>
            <w:shd w:val="clear" w:color="auto" w:fill="auto"/>
          </w:tcPr>
          <w:p w14:paraId="1654BB2E" w14:textId="77777777" w:rsidR="003A050E" w:rsidRPr="00A157A5" w:rsidRDefault="003A050E" w:rsidP="00C80DBB">
            <w:pPr>
              <w:pStyle w:val="NormalWeb"/>
              <w:spacing w:line="288" w:lineRule="atLeast"/>
              <w:jc w:val="center"/>
            </w:pPr>
            <w:r w:rsidRPr="00A157A5">
              <w:t>Licensing Costs</w:t>
            </w:r>
          </w:p>
        </w:tc>
        <w:tc>
          <w:tcPr>
            <w:tcW w:w="2700" w:type="dxa"/>
            <w:shd w:val="clear" w:color="auto" w:fill="auto"/>
          </w:tcPr>
          <w:p w14:paraId="4B9D7E6B" w14:textId="6C3A000C" w:rsidR="003A050E" w:rsidRPr="00A157A5" w:rsidRDefault="003A050E" w:rsidP="00C80DBB">
            <w:pPr>
              <w:pStyle w:val="NormalWeb"/>
              <w:spacing w:line="288" w:lineRule="atLeast"/>
              <w:jc w:val="center"/>
            </w:pPr>
            <w:r w:rsidRPr="00A157A5">
              <w:t>Other</w:t>
            </w:r>
            <w:r w:rsidR="00FA673E" w:rsidRPr="00A157A5">
              <w:t xml:space="preserve"> – </w:t>
            </w:r>
            <w:r w:rsidR="00A157A5" w:rsidRPr="00A157A5">
              <w:t>Setup Costs</w:t>
            </w:r>
          </w:p>
        </w:tc>
        <w:tc>
          <w:tcPr>
            <w:tcW w:w="1188" w:type="dxa"/>
            <w:shd w:val="clear" w:color="auto" w:fill="auto"/>
          </w:tcPr>
          <w:p w14:paraId="7407BD3D" w14:textId="77777777" w:rsidR="003A050E" w:rsidRPr="00A157A5" w:rsidRDefault="003A050E" w:rsidP="00C80DBB">
            <w:pPr>
              <w:pStyle w:val="NormalWeb"/>
              <w:spacing w:line="288" w:lineRule="atLeast"/>
              <w:jc w:val="center"/>
            </w:pPr>
            <w:r w:rsidRPr="00A157A5">
              <w:t>Total</w:t>
            </w:r>
          </w:p>
        </w:tc>
      </w:tr>
      <w:tr w:rsidR="003A050E" w:rsidRPr="00A157A5" w14:paraId="119A9FCF" w14:textId="77777777" w:rsidTr="005809DD">
        <w:trPr>
          <w:trHeight w:val="260"/>
        </w:trPr>
        <w:tc>
          <w:tcPr>
            <w:tcW w:w="1170" w:type="dxa"/>
            <w:shd w:val="clear" w:color="auto" w:fill="auto"/>
          </w:tcPr>
          <w:p w14:paraId="0C8DB7D1" w14:textId="41F4A00A" w:rsidR="003A050E" w:rsidRPr="00A157A5" w:rsidRDefault="00A157A5" w:rsidP="00C80DBB">
            <w:pPr>
              <w:pStyle w:val="NormalWeb"/>
              <w:spacing w:line="288" w:lineRule="atLeast"/>
            </w:pPr>
            <w:r w:rsidRPr="00A157A5">
              <w:t>$94,000</w:t>
            </w:r>
          </w:p>
        </w:tc>
        <w:tc>
          <w:tcPr>
            <w:tcW w:w="990" w:type="dxa"/>
            <w:shd w:val="clear" w:color="auto" w:fill="auto"/>
          </w:tcPr>
          <w:p w14:paraId="33D18EB7" w14:textId="77777777" w:rsidR="003A050E" w:rsidRPr="00A157A5" w:rsidRDefault="003A050E" w:rsidP="00C80DBB">
            <w:pPr>
              <w:pStyle w:val="NormalWeb"/>
              <w:spacing w:line="288" w:lineRule="atLeast"/>
            </w:pPr>
          </w:p>
        </w:tc>
        <w:tc>
          <w:tcPr>
            <w:tcW w:w="990" w:type="dxa"/>
            <w:shd w:val="clear" w:color="auto" w:fill="auto"/>
          </w:tcPr>
          <w:p w14:paraId="095CC864" w14:textId="77777777" w:rsidR="003A050E" w:rsidRPr="00A157A5" w:rsidRDefault="003A050E" w:rsidP="00C80DBB">
            <w:pPr>
              <w:pStyle w:val="NormalWeb"/>
              <w:spacing w:line="288" w:lineRule="atLeast"/>
            </w:pPr>
          </w:p>
        </w:tc>
        <w:tc>
          <w:tcPr>
            <w:tcW w:w="1260" w:type="dxa"/>
            <w:shd w:val="clear" w:color="auto" w:fill="auto"/>
          </w:tcPr>
          <w:p w14:paraId="478069DD" w14:textId="77777777" w:rsidR="003A050E" w:rsidRPr="00A157A5" w:rsidRDefault="003A050E" w:rsidP="00C80DBB">
            <w:pPr>
              <w:pStyle w:val="NormalWeb"/>
              <w:spacing w:line="288" w:lineRule="atLeast"/>
            </w:pPr>
          </w:p>
        </w:tc>
        <w:tc>
          <w:tcPr>
            <w:tcW w:w="1170" w:type="dxa"/>
            <w:shd w:val="clear" w:color="auto" w:fill="auto"/>
          </w:tcPr>
          <w:p w14:paraId="246A0C58" w14:textId="77777777" w:rsidR="003A050E" w:rsidRPr="00A157A5" w:rsidRDefault="003A050E" w:rsidP="00C80DBB">
            <w:pPr>
              <w:pStyle w:val="NormalWeb"/>
              <w:spacing w:line="288" w:lineRule="atLeast"/>
            </w:pPr>
          </w:p>
        </w:tc>
        <w:tc>
          <w:tcPr>
            <w:tcW w:w="2700" w:type="dxa"/>
            <w:shd w:val="clear" w:color="auto" w:fill="auto"/>
          </w:tcPr>
          <w:p w14:paraId="13684345" w14:textId="0BE0A5F8" w:rsidR="003A050E" w:rsidRPr="000844EB" w:rsidRDefault="00FE77DE" w:rsidP="000939A1">
            <w:pPr>
              <w:pStyle w:val="NormalWeb"/>
              <w:spacing w:line="288" w:lineRule="atLeast"/>
              <w:jc w:val="center"/>
            </w:pPr>
            <w:r w:rsidRPr="000844EB">
              <w:t>$</w:t>
            </w:r>
            <w:r w:rsidR="00A157A5" w:rsidRPr="00A157A5">
              <w:t>5000</w:t>
            </w:r>
          </w:p>
        </w:tc>
        <w:tc>
          <w:tcPr>
            <w:tcW w:w="1188" w:type="dxa"/>
            <w:shd w:val="clear" w:color="auto" w:fill="auto"/>
          </w:tcPr>
          <w:p w14:paraId="21E9637E" w14:textId="4A6E5FF9" w:rsidR="003A050E" w:rsidRPr="000844EB" w:rsidRDefault="00FA673E" w:rsidP="000939A1">
            <w:pPr>
              <w:pStyle w:val="NormalWeb"/>
              <w:spacing w:line="288" w:lineRule="atLeast"/>
            </w:pPr>
            <w:r w:rsidRPr="000844EB">
              <w:t>$</w:t>
            </w:r>
            <w:r w:rsidR="00FE77DE" w:rsidRPr="00A157A5">
              <w:t>9</w:t>
            </w:r>
            <w:r w:rsidR="00A157A5" w:rsidRPr="00A157A5">
              <w:t>9</w:t>
            </w:r>
            <w:r w:rsidR="00FE77DE" w:rsidRPr="00A157A5">
              <w:t>,000</w:t>
            </w:r>
          </w:p>
        </w:tc>
      </w:tr>
    </w:tbl>
    <w:p w14:paraId="73F1832A" w14:textId="77777777" w:rsidR="003A050E" w:rsidRPr="00A157A5" w:rsidRDefault="003A050E" w:rsidP="00176394">
      <w:pPr>
        <w:pStyle w:val="PlainText"/>
        <w:rPr>
          <w:rFonts w:ascii="Times New Roman" w:hAnsi="Times New Roman"/>
          <w:sz w:val="24"/>
          <w:szCs w:val="24"/>
          <w:lang w:val="en-US"/>
        </w:rPr>
      </w:pPr>
    </w:p>
    <w:p w14:paraId="1341E097" w14:textId="77777777" w:rsidR="00176394" w:rsidRPr="00A157A5" w:rsidRDefault="00176394" w:rsidP="00176394">
      <w:pPr>
        <w:pStyle w:val="PlainText"/>
        <w:rPr>
          <w:rFonts w:ascii="Times New Roman" w:hAnsi="Times New Roman"/>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7543E" w:rsidRPr="00A157A5" w14:paraId="17EFE200" w14:textId="77777777" w:rsidTr="0007543E">
        <w:trPr>
          <w:jc w:val="center"/>
        </w:trPr>
        <w:tc>
          <w:tcPr>
            <w:tcW w:w="9576" w:type="dxa"/>
            <w:gridSpan w:val="3"/>
            <w:shd w:val="clear" w:color="auto" w:fill="auto"/>
          </w:tcPr>
          <w:p w14:paraId="6151BDEC" w14:textId="77777777" w:rsidR="00E74719" w:rsidRPr="00A157A5" w:rsidRDefault="00E74719" w:rsidP="000F22FE">
            <w:pPr>
              <w:pStyle w:val="NormalWeb"/>
              <w:spacing w:line="288" w:lineRule="atLeast"/>
              <w:jc w:val="center"/>
            </w:pPr>
            <w:bookmarkStart w:id="14" w:name="cp467"/>
            <w:bookmarkEnd w:id="13"/>
            <w:r w:rsidRPr="00A157A5">
              <w:t>Total Cost to the Federal Government</w:t>
            </w:r>
          </w:p>
        </w:tc>
      </w:tr>
      <w:tr w:rsidR="00176394" w:rsidRPr="00A157A5" w14:paraId="5055C7B8" w14:textId="77777777" w:rsidTr="000844EB">
        <w:trPr>
          <w:jc w:val="center"/>
        </w:trPr>
        <w:tc>
          <w:tcPr>
            <w:tcW w:w="3192" w:type="dxa"/>
            <w:shd w:val="clear" w:color="auto" w:fill="auto"/>
          </w:tcPr>
          <w:p w14:paraId="68BDD69D" w14:textId="77777777" w:rsidR="00E74719" w:rsidRPr="00A157A5" w:rsidRDefault="00E74719" w:rsidP="000F22FE">
            <w:pPr>
              <w:pStyle w:val="NormalWeb"/>
              <w:spacing w:line="288" w:lineRule="atLeast"/>
              <w:jc w:val="center"/>
            </w:pPr>
            <w:r w:rsidRPr="00A157A5">
              <w:t xml:space="preserve">Operational and </w:t>
            </w:r>
            <w:r w:rsidR="00176394" w:rsidRPr="00A157A5">
              <w:br/>
            </w:r>
            <w:r w:rsidRPr="00A157A5">
              <w:t>Maintenance Costs</w:t>
            </w:r>
          </w:p>
        </w:tc>
        <w:tc>
          <w:tcPr>
            <w:tcW w:w="3192" w:type="dxa"/>
            <w:shd w:val="clear" w:color="auto" w:fill="auto"/>
          </w:tcPr>
          <w:p w14:paraId="55DF4337" w14:textId="77777777" w:rsidR="00E74719" w:rsidRPr="00A157A5" w:rsidRDefault="00E74719" w:rsidP="000F22FE">
            <w:pPr>
              <w:pStyle w:val="NormalWeb"/>
              <w:spacing w:line="288" w:lineRule="atLeast"/>
              <w:jc w:val="center"/>
            </w:pPr>
            <w:r w:rsidRPr="00A157A5">
              <w:t>Labor Cost to the Federal Government</w:t>
            </w:r>
          </w:p>
        </w:tc>
        <w:tc>
          <w:tcPr>
            <w:tcW w:w="3192" w:type="dxa"/>
            <w:shd w:val="clear" w:color="auto" w:fill="auto"/>
            <w:vAlign w:val="bottom"/>
          </w:tcPr>
          <w:p w14:paraId="71226A52" w14:textId="77777777" w:rsidR="00E74719" w:rsidRPr="00A157A5" w:rsidRDefault="00E74719" w:rsidP="00176394">
            <w:pPr>
              <w:pStyle w:val="NormalWeb"/>
              <w:spacing w:line="288" w:lineRule="atLeast"/>
              <w:jc w:val="center"/>
            </w:pPr>
            <w:r w:rsidRPr="00A157A5">
              <w:t>Total Cost (O&amp;M Costs + Labor Cost)</w:t>
            </w:r>
          </w:p>
        </w:tc>
      </w:tr>
      <w:tr w:rsidR="00176394" w:rsidRPr="00A157A5" w14:paraId="16FBB771" w14:textId="77777777" w:rsidTr="0007543E">
        <w:trPr>
          <w:jc w:val="center"/>
        </w:trPr>
        <w:tc>
          <w:tcPr>
            <w:tcW w:w="3192" w:type="dxa"/>
            <w:shd w:val="clear" w:color="auto" w:fill="auto"/>
            <w:vAlign w:val="center"/>
          </w:tcPr>
          <w:p w14:paraId="05DBC878" w14:textId="67EE484B" w:rsidR="00E74719" w:rsidRPr="000844EB" w:rsidRDefault="00176394" w:rsidP="000939A1">
            <w:pPr>
              <w:pStyle w:val="NormalWeb"/>
              <w:spacing w:line="288" w:lineRule="atLeast"/>
              <w:jc w:val="center"/>
            </w:pPr>
            <w:r w:rsidRPr="000844EB">
              <w:t>$</w:t>
            </w:r>
            <w:r w:rsidR="00FE77DE" w:rsidRPr="00A157A5">
              <w:t>9</w:t>
            </w:r>
            <w:r w:rsidR="00A157A5" w:rsidRPr="00A157A5">
              <w:t>9,</w:t>
            </w:r>
            <w:r w:rsidR="00FE77DE" w:rsidRPr="00A157A5">
              <w:t>000</w:t>
            </w:r>
          </w:p>
        </w:tc>
        <w:tc>
          <w:tcPr>
            <w:tcW w:w="3192" w:type="dxa"/>
            <w:shd w:val="clear" w:color="auto" w:fill="auto"/>
            <w:vAlign w:val="center"/>
          </w:tcPr>
          <w:p w14:paraId="5BA66947" w14:textId="0F358510" w:rsidR="00E74719" w:rsidRPr="000844EB" w:rsidRDefault="00176394" w:rsidP="00176394">
            <w:pPr>
              <w:pStyle w:val="NormalWeb"/>
              <w:spacing w:line="288" w:lineRule="atLeast"/>
              <w:jc w:val="center"/>
            </w:pPr>
            <w:r w:rsidRPr="000844EB">
              <w:t>$</w:t>
            </w:r>
            <w:r w:rsidR="00FE77DE" w:rsidRPr="00A157A5">
              <w:t>4,500</w:t>
            </w:r>
          </w:p>
        </w:tc>
        <w:tc>
          <w:tcPr>
            <w:tcW w:w="3192" w:type="dxa"/>
            <w:shd w:val="clear" w:color="auto" w:fill="auto"/>
            <w:vAlign w:val="center"/>
          </w:tcPr>
          <w:p w14:paraId="1A219FCA" w14:textId="28429761" w:rsidR="00E74719" w:rsidRPr="000844EB" w:rsidRDefault="00176394" w:rsidP="000939A1">
            <w:pPr>
              <w:pStyle w:val="NormalWeb"/>
              <w:spacing w:line="288" w:lineRule="atLeast"/>
              <w:jc w:val="center"/>
            </w:pPr>
            <w:r w:rsidRPr="000844EB">
              <w:t>$</w:t>
            </w:r>
            <w:r w:rsidR="00A157A5" w:rsidRPr="00A157A5">
              <w:t>103</w:t>
            </w:r>
            <w:r w:rsidR="00FE77DE" w:rsidRPr="00A157A5">
              <w:t>,500</w:t>
            </w:r>
          </w:p>
        </w:tc>
      </w:tr>
    </w:tbl>
    <w:p w14:paraId="51B92039" w14:textId="77777777" w:rsidR="00845771" w:rsidRPr="00A157A5" w:rsidRDefault="005E0A0F" w:rsidP="007F0EEE">
      <w:pPr>
        <w:pStyle w:val="NormalWeb"/>
        <w:spacing w:line="288" w:lineRule="atLeast"/>
        <w:rPr>
          <w:u w:val="single"/>
        </w:rPr>
      </w:pPr>
      <w:bookmarkStart w:id="15" w:name="cp468"/>
      <w:bookmarkEnd w:id="14"/>
      <w:r w:rsidRPr="00A157A5">
        <w:t xml:space="preserve">15.  </w:t>
      </w:r>
      <w:r w:rsidRPr="00A157A5">
        <w:rPr>
          <w:u w:val="single"/>
        </w:rPr>
        <w:t>Reasons for Change in Burden</w:t>
      </w:r>
    </w:p>
    <w:p w14:paraId="4616110F" w14:textId="77777777" w:rsidR="004B43B6" w:rsidRPr="00A157A5" w:rsidRDefault="0070060D" w:rsidP="007F0EEE">
      <w:pPr>
        <w:pStyle w:val="NormalWeb"/>
        <w:spacing w:line="288" w:lineRule="atLeast"/>
      </w:pPr>
      <w:r w:rsidRPr="00A157A5">
        <w:t xml:space="preserve">This </w:t>
      </w:r>
      <w:r w:rsidR="002419BE" w:rsidRPr="00A157A5">
        <w:t xml:space="preserve">is a </w:t>
      </w:r>
      <w:r w:rsidRPr="00A157A5">
        <w:t>new information collection</w:t>
      </w:r>
      <w:r w:rsidR="00AA18D9" w:rsidRPr="00A157A5">
        <w:t xml:space="preserve"> with a new associated burden. </w:t>
      </w:r>
      <w:bookmarkEnd w:id="15"/>
    </w:p>
    <w:p w14:paraId="09855A7C" w14:textId="77777777" w:rsidR="00F43EB1" w:rsidRDefault="00F43EB1" w:rsidP="007F0EEE">
      <w:pPr>
        <w:pStyle w:val="NormalWeb"/>
        <w:spacing w:line="288" w:lineRule="atLeast"/>
      </w:pPr>
    </w:p>
    <w:p w14:paraId="57994AEF" w14:textId="77777777" w:rsidR="005E0A0F" w:rsidRDefault="005E0A0F" w:rsidP="007F0EEE">
      <w:pPr>
        <w:pStyle w:val="NormalWeb"/>
        <w:spacing w:line="288" w:lineRule="atLeast"/>
        <w:rPr>
          <w:u w:val="single"/>
        </w:rPr>
      </w:pPr>
      <w:r w:rsidRPr="00A157A5">
        <w:t xml:space="preserve">16.  </w:t>
      </w:r>
      <w:r w:rsidRPr="00A157A5">
        <w:rPr>
          <w:u w:val="single"/>
        </w:rPr>
        <w:t>Publication of Results</w:t>
      </w:r>
    </w:p>
    <w:p w14:paraId="2EDC8E8A" w14:textId="7C28A8CD" w:rsidR="00845771" w:rsidRDefault="0070060D" w:rsidP="007F0EEE">
      <w:pPr>
        <w:pStyle w:val="NormalWeb"/>
        <w:spacing w:before="0" w:beforeAutospacing="0" w:after="0" w:afterAutospacing="0"/>
      </w:pPr>
      <w:r>
        <w:t>The results of the coll</w:t>
      </w:r>
      <w:r w:rsidR="004240EA">
        <w:t>ection of this information will</w:t>
      </w:r>
      <w:r>
        <w:t xml:space="preserve"> be published</w:t>
      </w:r>
      <w:r w:rsidR="004240EA">
        <w:t xml:space="preserve"> in the form of a report of </w:t>
      </w:r>
      <w:r w:rsidR="008F0ED2">
        <w:t>survey results</w:t>
      </w:r>
      <w:r w:rsidR="004240EA">
        <w:t xml:space="preserve"> that will be kept internal to the </w:t>
      </w:r>
      <w:r w:rsidR="008F0ED2">
        <w:t>Department of Defense</w:t>
      </w:r>
      <w:r>
        <w:t>.</w:t>
      </w:r>
      <w:r w:rsidR="004240EA">
        <w:t xml:space="preserve">  This will not be published externally.</w:t>
      </w:r>
      <w:r w:rsidR="00845771">
        <w:t xml:space="preserve"> </w:t>
      </w:r>
    </w:p>
    <w:p w14:paraId="5E550432" w14:textId="77777777" w:rsidR="005E0A0F" w:rsidRDefault="005E0A0F" w:rsidP="007F0EEE">
      <w:pPr>
        <w:pStyle w:val="NormalWeb"/>
        <w:spacing w:line="288" w:lineRule="atLeast"/>
        <w:rPr>
          <w:u w:val="single"/>
        </w:rPr>
      </w:pPr>
      <w:bookmarkStart w:id="16" w:name="cp471"/>
      <w:r>
        <w:t xml:space="preserve">17.  </w:t>
      </w:r>
      <w:r>
        <w:rPr>
          <w:u w:val="single"/>
        </w:rPr>
        <w:t>Non-Display of OMB Expiration Date</w:t>
      </w:r>
    </w:p>
    <w:p w14:paraId="7E8ED79D" w14:textId="3EE0BA02" w:rsidR="006B68CF" w:rsidRDefault="004B43B6" w:rsidP="007F0EEE">
      <w:pPr>
        <w:pStyle w:val="NormalWeb"/>
        <w:spacing w:before="0" w:beforeAutospacing="0" w:after="0" w:afterAutospacing="0"/>
      </w:pPr>
      <w:r>
        <w:t>The Army is n</w:t>
      </w:r>
      <w:r w:rsidR="006B68CF" w:rsidRPr="00C564CF">
        <w:t xml:space="preserve">ot seeking </w:t>
      </w:r>
      <w:r w:rsidR="0070060D">
        <w:t>exemption</w:t>
      </w:r>
      <w:r w:rsidR="0052160D">
        <w:t xml:space="preserve"> from display of the OMB expiration date.</w:t>
      </w:r>
      <w:r w:rsidR="0070060D">
        <w:t xml:space="preserve"> </w:t>
      </w:r>
    </w:p>
    <w:p w14:paraId="665AF6A6" w14:textId="4E4CAA2E" w:rsidR="004717FA" w:rsidRDefault="005E0A0F" w:rsidP="007F0EEE">
      <w:pPr>
        <w:pStyle w:val="NormalWeb"/>
        <w:spacing w:line="288" w:lineRule="atLeast"/>
        <w:rPr>
          <w:u w:val="single"/>
        </w:rPr>
      </w:pPr>
      <w:bookmarkStart w:id="17" w:name="cp473"/>
      <w:bookmarkEnd w:id="16"/>
      <w:r>
        <w:t xml:space="preserve">18.  </w:t>
      </w:r>
      <w:r>
        <w:rPr>
          <w:u w:val="single"/>
        </w:rPr>
        <w:t>Exceptions to "Certification for Paperwork Reduction Submissions"</w:t>
      </w:r>
    </w:p>
    <w:p w14:paraId="1EF093CA" w14:textId="6E297D2D" w:rsidR="00405C7B" w:rsidRDefault="006B68CF" w:rsidP="007F0EEE">
      <w:pPr>
        <w:pStyle w:val="NormalWeb"/>
        <w:spacing w:line="288" w:lineRule="atLeast"/>
      </w:pPr>
      <w:r w:rsidRPr="00C564CF">
        <w:t>The</w:t>
      </w:r>
      <w:r w:rsidR="004B43B6">
        <w:t xml:space="preserve"> Army is not asking for </w:t>
      </w:r>
      <w:r w:rsidRPr="00C564CF">
        <w:t>exceptions to the Paperwork Reduction Act Submission.</w:t>
      </w:r>
      <w:bookmarkEnd w:id="17"/>
    </w:p>
    <w:sectPr w:rsidR="00405C7B" w:rsidSect="00F1447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8D8B4" w14:textId="77777777" w:rsidR="00F92B53" w:rsidRDefault="00F92B53" w:rsidP="00D74D55">
      <w:r>
        <w:separator/>
      </w:r>
    </w:p>
  </w:endnote>
  <w:endnote w:type="continuationSeparator" w:id="0">
    <w:p w14:paraId="25EB2127" w14:textId="77777777" w:rsidR="00F92B53" w:rsidRDefault="00F92B53" w:rsidP="00D74D55">
      <w:r>
        <w:continuationSeparator/>
      </w:r>
    </w:p>
  </w:endnote>
  <w:endnote w:type="continuationNotice" w:id="1">
    <w:p w14:paraId="2DD42FBC" w14:textId="77777777" w:rsidR="00F92B53" w:rsidRDefault="00F92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C62AA" w14:textId="4C0FE941" w:rsidR="00263BC7" w:rsidRDefault="00263BC7">
    <w:pPr>
      <w:pStyle w:val="Footer"/>
      <w:jc w:val="center"/>
    </w:pPr>
    <w:r>
      <w:fldChar w:fldCharType="begin"/>
    </w:r>
    <w:r>
      <w:instrText xml:space="preserve"> PAGE   \* MERGEFORMAT </w:instrText>
    </w:r>
    <w:r>
      <w:fldChar w:fldCharType="separate"/>
    </w:r>
    <w:r w:rsidR="004B2740">
      <w:rPr>
        <w:noProof/>
      </w:rPr>
      <w:t>1</w:t>
    </w:r>
    <w:r>
      <w:fldChar w:fldCharType="end"/>
    </w:r>
  </w:p>
  <w:p w14:paraId="67E1E700" w14:textId="77777777" w:rsidR="00263BC7" w:rsidRDefault="00263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EF978" w14:textId="77777777" w:rsidR="00F92B53" w:rsidRDefault="00F92B53" w:rsidP="00D74D55">
      <w:r>
        <w:separator/>
      </w:r>
    </w:p>
  </w:footnote>
  <w:footnote w:type="continuationSeparator" w:id="0">
    <w:p w14:paraId="19C61EFF" w14:textId="77777777" w:rsidR="00F92B53" w:rsidRDefault="00F92B53" w:rsidP="00D74D55">
      <w:r>
        <w:continuationSeparator/>
      </w:r>
    </w:p>
  </w:footnote>
  <w:footnote w:type="continuationNotice" w:id="1">
    <w:p w14:paraId="6E3EF75C" w14:textId="77777777" w:rsidR="00F92B53" w:rsidRDefault="00F92B5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4D16D3A"/>
    <w:multiLevelType w:val="hybridMultilevel"/>
    <w:tmpl w:val="4DF2B0AC"/>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B7070A2"/>
    <w:multiLevelType w:val="hybridMultilevel"/>
    <w:tmpl w:val="A732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nsid w:val="10147870"/>
    <w:multiLevelType w:val="hybridMultilevel"/>
    <w:tmpl w:val="860E617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13D21176"/>
    <w:multiLevelType w:val="hybridMultilevel"/>
    <w:tmpl w:val="0D36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66047"/>
    <w:multiLevelType w:val="hybridMultilevel"/>
    <w:tmpl w:val="8212628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1D7D75E6"/>
    <w:multiLevelType w:val="hybridMultilevel"/>
    <w:tmpl w:val="9AD6AE6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1DF444A4"/>
    <w:multiLevelType w:val="hybridMultilevel"/>
    <w:tmpl w:val="F9B2B3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266518FF"/>
    <w:multiLevelType w:val="hybridMultilevel"/>
    <w:tmpl w:val="4514A1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2B6D29EE"/>
    <w:multiLevelType w:val="hybridMultilevel"/>
    <w:tmpl w:val="9F06284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4">
    <w:nsid w:val="2E8A190B"/>
    <w:multiLevelType w:val="hybridMultilevel"/>
    <w:tmpl w:val="7EF297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5814927"/>
    <w:multiLevelType w:val="hybridMultilevel"/>
    <w:tmpl w:val="47DC1852"/>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38D631EF"/>
    <w:multiLevelType w:val="hybridMultilevel"/>
    <w:tmpl w:val="D7AC88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3F671697"/>
    <w:multiLevelType w:val="hybridMultilevel"/>
    <w:tmpl w:val="A5B20DC0"/>
    <w:lvl w:ilvl="0" w:tplc="06121AA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3F7A691D"/>
    <w:multiLevelType w:val="hybridMultilevel"/>
    <w:tmpl w:val="DEC82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C10644"/>
    <w:multiLevelType w:val="hybridMultilevel"/>
    <w:tmpl w:val="F75414E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405532FB"/>
    <w:multiLevelType w:val="hybridMultilevel"/>
    <w:tmpl w:val="F5AEA47E"/>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40F956A0"/>
    <w:multiLevelType w:val="hybridMultilevel"/>
    <w:tmpl w:val="0AAA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7612DB"/>
    <w:multiLevelType w:val="hybridMultilevel"/>
    <w:tmpl w:val="40D6BF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5A1526CA"/>
    <w:multiLevelType w:val="hybridMultilevel"/>
    <w:tmpl w:val="63E2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5EFA77E1"/>
    <w:multiLevelType w:val="hybridMultilevel"/>
    <w:tmpl w:val="BFBE8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6B061B08"/>
    <w:multiLevelType w:val="hybridMultilevel"/>
    <w:tmpl w:val="95741A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nsid w:val="6B5D188F"/>
    <w:multiLevelType w:val="hybridMultilevel"/>
    <w:tmpl w:val="949C8FB0"/>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nsid w:val="788E2564"/>
    <w:multiLevelType w:val="hybridMultilevel"/>
    <w:tmpl w:val="412A6B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2">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2"/>
  </w:num>
  <w:num w:numId="2">
    <w:abstractNumId w:val="32"/>
  </w:num>
  <w:num w:numId="3">
    <w:abstractNumId w:val="20"/>
  </w:num>
  <w:num w:numId="4">
    <w:abstractNumId w:val="16"/>
  </w:num>
  <w:num w:numId="5">
    <w:abstractNumId w:val="27"/>
  </w:num>
  <w:num w:numId="6">
    <w:abstractNumId w:val="35"/>
  </w:num>
  <w:num w:numId="7">
    <w:abstractNumId w:val="34"/>
  </w:num>
  <w:num w:numId="8">
    <w:abstractNumId w:val="11"/>
  </w:num>
  <w:num w:numId="9">
    <w:abstractNumId w:val="38"/>
  </w:num>
  <w:num w:numId="10">
    <w:abstractNumId w:val="4"/>
  </w:num>
  <w:num w:numId="11">
    <w:abstractNumId w:val="6"/>
  </w:num>
  <w:num w:numId="12">
    <w:abstractNumId w:val="29"/>
  </w:num>
  <w:num w:numId="13">
    <w:abstractNumId w:val="25"/>
  </w:num>
  <w:num w:numId="14">
    <w:abstractNumId w:val="37"/>
  </w:num>
  <w:num w:numId="15">
    <w:abstractNumId w:val="41"/>
  </w:num>
  <w:num w:numId="16">
    <w:abstractNumId w:val="28"/>
  </w:num>
  <w:num w:numId="17">
    <w:abstractNumId w:val="18"/>
  </w:num>
  <w:num w:numId="18">
    <w:abstractNumId w:val="5"/>
  </w:num>
  <w:num w:numId="19">
    <w:abstractNumId w:val="9"/>
  </w:num>
  <w:num w:numId="20">
    <w:abstractNumId w:val="1"/>
  </w:num>
  <w:num w:numId="21">
    <w:abstractNumId w:val="7"/>
  </w:num>
  <w:num w:numId="22">
    <w:abstractNumId w:val="0"/>
  </w:num>
  <w:num w:numId="23">
    <w:abstractNumId w:val="36"/>
  </w:num>
  <w:num w:numId="24">
    <w:abstractNumId w:val="19"/>
  </w:num>
  <w:num w:numId="25">
    <w:abstractNumId w:val="42"/>
  </w:num>
  <w:num w:numId="26">
    <w:abstractNumId w:val="24"/>
  </w:num>
  <w:num w:numId="27">
    <w:abstractNumId w:val="10"/>
  </w:num>
  <w:num w:numId="28">
    <w:abstractNumId w:val="2"/>
  </w:num>
  <w:num w:numId="29">
    <w:abstractNumId w:val="39"/>
  </w:num>
  <w:num w:numId="30">
    <w:abstractNumId w:val="33"/>
  </w:num>
  <w:num w:numId="31">
    <w:abstractNumId w:val="17"/>
  </w:num>
  <w:num w:numId="32">
    <w:abstractNumId w:val="15"/>
  </w:num>
  <w:num w:numId="33">
    <w:abstractNumId w:val="40"/>
  </w:num>
  <w:num w:numId="34">
    <w:abstractNumId w:val="21"/>
  </w:num>
  <w:num w:numId="35">
    <w:abstractNumId w:val="22"/>
  </w:num>
  <w:num w:numId="36">
    <w:abstractNumId w:val="31"/>
  </w:num>
  <w:num w:numId="37">
    <w:abstractNumId w:val="14"/>
  </w:num>
  <w:num w:numId="38">
    <w:abstractNumId w:val="13"/>
  </w:num>
  <w:num w:numId="39">
    <w:abstractNumId w:val="8"/>
  </w:num>
  <w:num w:numId="40">
    <w:abstractNumId w:val="30"/>
  </w:num>
  <w:num w:numId="41">
    <w:abstractNumId w:val="3"/>
  </w:num>
  <w:num w:numId="42">
    <w:abstractNumId w:val="26"/>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NjUyMLU0NTQwNzdT0lEKTi0uzszPAykwqgUAAdMvCSwAAAA="/>
  </w:docVars>
  <w:rsids>
    <w:rsidRoot w:val="005E0A0F"/>
    <w:rsid w:val="000005A7"/>
    <w:rsid w:val="00005740"/>
    <w:rsid w:val="0001036E"/>
    <w:rsid w:val="0001307E"/>
    <w:rsid w:val="000237AF"/>
    <w:rsid w:val="0003366D"/>
    <w:rsid w:val="00033DE8"/>
    <w:rsid w:val="000349E0"/>
    <w:rsid w:val="00036CE9"/>
    <w:rsid w:val="000377B6"/>
    <w:rsid w:val="00046397"/>
    <w:rsid w:val="0005327B"/>
    <w:rsid w:val="00065E7C"/>
    <w:rsid w:val="00071744"/>
    <w:rsid w:val="00071BD2"/>
    <w:rsid w:val="0007543E"/>
    <w:rsid w:val="000844EB"/>
    <w:rsid w:val="000865C5"/>
    <w:rsid w:val="00091072"/>
    <w:rsid w:val="0009193C"/>
    <w:rsid w:val="0009195B"/>
    <w:rsid w:val="00092F82"/>
    <w:rsid w:val="000939A1"/>
    <w:rsid w:val="0009616B"/>
    <w:rsid w:val="000A2106"/>
    <w:rsid w:val="000A21B6"/>
    <w:rsid w:val="000A2459"/>
    <w:rsid w:val="000A6487"/>
    <w:rsid w:val="000B3667"/>
    <w:rsid w:val="000B7717"/>
    <w:rsid w:val="000B7904"/>
    <w:rsid w:val="000C7DF9"/>
    <w:rsid w:val="000D171E"/>
    <w:rsid w:val="000D4FFA"/>
    <w:rsid w:val="000D7D41"/>
    <w:rsid w:val="000E0280"/>
    <w:rsid w:val="000E7303"/>
    <w:rsid w:val="000E7A5B"/>
    <w:rsid w:val="000F22FE"/>
    <w:rsid w:val="00101631"/>
    <w:rsid w:val="00105786"/>
    <w:rsid w:val="001101CD"/>
    <w:rsid w:val="001140D4"/>
    <w:rsid w:val="0013433A"/>
    <w:rsid w:val="00135C0E"/>
    <w:rsid w:val="00135FE8"/>
    <w:rsid w:val="00143A69"/>
    <w:rsid w:val="001450CD"/>
    <w:rsid w:val="001455DF"/>
    <w:rsid w:val="00152AEA"/>
    <w:rsid w:val="001650D5"/>
    <w:rsid w:val="00171C23"/>
    <w:rsid w:val="0017565F"/>
    <w:rsid w:val="00176394"/>
    <w:rsid w:val="00176CEA"/>
    <w:rsid w:val="00177136"/>
    <w:rsid w:val="00183238"/>
    <w:rsid w:val="00186534"/>
    <w:rsid w:val="00187EAD"/>
    <w:rsid w:val="0019017B"/>
    <w:rsid w:val="00190FCA"/>
    <w:rsid w:val="001969AF"/>
    <w:rsid w:val="001A236B"/>
    <w:rsid w:val="001B187E"/>
    <w:rsid w:val="001B3700"/>
    <w:rsid w:val="001B43CD"/>
    <w:rsid w:val="001B6B4D"/>
    <w:rsid w:val="001C76D3"/>
    <w:rsid w:val="001D3B14"/>
    <w:rsid w:val="001F0241"/>
    <w:rsid w:val="002356EF"/>
    <w:rsid w:val="00235E69"/>
    <w:rsid w:val="00236842"/>
    <w:rsid w:val="002419BE"/>
    <w:rsid w:val="00244E14"/>
    <w:rsid w:val="00247716"/>
    <w:rsid w:val="00250188"/>
    <w:rsid w:val="00252103"/>
    <w:rsid w:val="002540BA"/>
    <w:rsid w:val="00254E8F"/>
    <w:rsid w:val="00256B44"/>
    <w:rsid w:val="00261835"/>
    <w:rsid w:val="002618C3"/>
    <w:rsid w:val="00263BC7"/>
    <w:rsid w:val="00266974"/>
    <w:rsid w:val="00272C4B"/>
    <w:rsid w:val="00273C50"/>
    <w:rsid w:val="00276B2D"/>
    <w:rsid w:val="00283B8F"/>
    <w:rsid w:val="002878AD"/>
    <w:rsid w:val="0029411B"/>
    <w:rsid w:val="00294FE9"/>
    <w:rsid w:val="002A700D"/>
    <w:rsid w:val="002B5CE0"/>
    <w:rsid w:val="002C43DB"/>
    <w:rsid w:val="002D2D94"/>
    <w:rsid w:val="002E3A1E"/>
    <w:rsid w:val="002F65FA"/>
    <w:rsid w:val="0030008B"/>
    <w:rsid w:val="0030032A"/>
    <w:rsid w:val="00302D4D"/>
    <w:rsid w:val="0030448B"/>
    <w:rsid w:val="00316CD5"/>
    <w:rsid w:val="003209F1"/>
    <w:rsid w:val="0032295F"/>
    <w:rsid w:val="00323359"/>
    <w:rsid w:val="0032610F"/>
    <w:rsid w:val="003276AB"/>
    <w:rsid w:val="00332B57"/>
    <w:rsid w:val="0034388B"/>
    <w:rsid w:val="00353591"/>
    <w:rsid w:val="003566EF"/>
    <w:rsid w:val="00357252"/>
    <w:rsid w:val="003652DE"/>
    <w:rsid w:val="003660E6"/>
    <w:rsid w:val="00370534"/>
    <w:rsid w:val="003744FE"/>
    <w:rsid w:val="00390063"/>
    <w:rsid w:val="00395BC3"/>
    <w:rsid w:val="003A050E"/>
    <w:rsid w:val="003A543A"/>
    <w:rsid w:val="003B0417"/>
    <w:rsid w:val="003B2EFB"/>
    <w:rsid w:val="003B489C"/>
    <w:rsid w:val="003B48AA"/>
    <w:rsid w:val="003B50B2"/>
    <w:rsid w:val="003C6463"/>
    <w:rsid w:val="003C7384"/>
    <w:rsid w:val="003D03C6"/>
    <w:rsid w:val="003D5D07"/>
    <w:rsid w:val="003D7C1D"/>
    <w:rsid w:val="003E1127"/>
    <w:rsid w:val="003E5BAA"/>
    <w:rsid w:val="003F1A0D"/>
    <w:rsid w:val="00404E22"/>
    <w:rsid w:val="00405C7B"/>
    <w:rsid w:val="00406879"/>
    <w:rsid w:val="00412B93"/>
    <w:rsid w:val="00423751"/>
    <w:rsid w:val="00423F0A"/>
    <w:rsid w:val="004240EA"/>
    <w:rsid w:val="00430B53"/>
    <w:rsid w:val="00443C67"/>
    <w:rsid w:val="00445581"/>
    <w:rsid w:val="004502CE"/>
    <w:rsid w:val="00455717"/>
    <w:rsid w:val="004621E7"/>
    <w:rsid w:val="004627BD"/>
    <w:rsid w:val="004644C4"/>
    <w:rsid w:val="004717FA"/>
    <w:rsid w:val="00471909"/>
    <w:rsid w:val="00471929"/>
    <w:rsid w:val="00471DD3"/>
    <w:rsid w:val="0047366B"/>
    <w:rsid w:val="00483D6F"/>
    <w:rsid w:val="00490756"/>
    <w:rsid w:val="004A5282"/>
    <w:rsid w:val="004A60CA"/>
    <w:rsid w:val="004A6990"/>
    <w:rsid w:val="004B2740"/>
    <w:rsid w:val="004B2960"/>
    <w:rsid w:val="004B43B6"/>
    <w:rsid w:val="004B50D3"/>
    <w:rsid w:val="004C03AB"/>
    <w:rsid w:val="004C68E4"/>
    <w:rsid w:val="004C7516"/>
    <w:rsid w:val="004D47DD"/>
    <w:rsid w:val="004F03FE"/>
    <w:rsid w:val="005030EF"/>
    <w:rsid w:val="00512746"/>
    <w:rsid w:val="005150BB"/>
    <w:rsid w:val="0052160D"/>
    <w:rsid w:val="00523924"/>
    <w:rsid w:val="00536328"/>
    <w:rsid w:val="00540DD4"/>
    <w:rsid w:val="005449CC"/>
    <w:rsid w:val="00546BF0"/>
    <w:rsid w:val="005526AA"/>
    <w:rsid w:val="0056420B"/>
    <w:rsid w:val="00564656"/>
    <w:rsid w:val="005809DD"/>
    <w:rsid w:val="00581FBB"/>
    <w:rsid w:val="005824A0"/>
    <w:rsid w:val="005A414A"/>
    <w:rsid w:val="005A734E"/>
    <w:rsid w:val="005B3598"/>
    <w:rsid w:val="005B665A"/>
    <w:rsid w:val="005C4E3E"/>
    <w:rsid w:val="005C731C"/>
    <w:rsid w:val="005E0A0F"/>
    <w:rsid w:val="005E2B30"/>
    <w:rsid w:val="005F2FE5"/>
    <w:rsid w:val="005F3BC2"/>
    <w:rsid w:val="0060388A"/>
    <w:rsid w:val="00607CB4"/>
    <w:rsid w:val="00617F69"/>
    <w:rsid w:val="00621D49"/>
    <w:rsid w:val="00624D23"/>
    <w:rsid w:val="00633DD3"/>
    <w:rsid w:val="00652E45"/>
    <w:rsid w:val="00654C94"/>
    <w:rsid w:val="0067685F"/>
    <w:rsid w:val="00680D26"/>
    <w:rsid w:val="00696E77"/>
    <w:rsid w:val="00697F02"/>
    <w:rsid w:val="006A16EC"/>
    <w:rsid w:val="006A728C"/>
    <w:rsid w:val="006B12AE"/>
    <w:rsid w:val="006B2B17"/>
    <w:rsid w:val="006B68CF"/>
    <w:rsid w:val="006D1079"/>
    <w:rsid w:val="006D635A"/>
    <w:rsid w:val="006E0F2B"/>
    <w:rsid w:val="006E3571"/>
    <w:rsid w:val="006F0372"/>
    <w:rsid w:val="006F07E0"/>
    <w:rsid w:val="006F233D"/>
    <w:rsid w:val="0070060D"/>
    <w:rsid w:val="00715020"/>
    <w:rsid w:val="00716E14"/>
    <w:rsid w:val="007170F6"/>
    <w:rsid w:val="00734FF8"/>
    <w:rsid w:val="0073778A"/>
    <w:rsid w:val="00740193"/>
    <w:rsid w:val="00743072"/>
    <w:rsid w:val="00747C25"/>
    <w:rsid w:val="00752B34"/>
    <w:rsid w:val="00764F84"/>
    <w:rsid w:val="00773371"/>
    <w:rsid w:val="00775FAA"/>
    <w:rsid w:val="00783278"/>
    <w:rsid w:val="00792C2C"/>
    <w:rsid w:val="007953CA"/>
    <w:rsid w:val="00795C32"/>
    <w:rsid w:val="007A7148"/>
    <w:rsid w:val="007B24F8"/>
    <w:rsid w:val="007B25E0"/>
    <w:rsid w:val="007C3390"/>
    <w:rsid w:val="007D4063"/>
    <w:rsid w:val="007D7AFE"/>
    <w:rsid w:val="007F0EEE"/>
    <w:rsid w:val="007F2BB2"/>
    <w:rsid w:val="007F3E1F"/>
    <w:rsid w:val="008064F1"/>
    <w:rsid w:val="0082237E"/>
    <w:rsid w:val="008236DF"/>
    <w:rsid w:val="00823D9D"/>
    <w:rsid w:val="00840CD9"/>
    <w:rsid w:val="00845771"/>
    <w:rsid w:val="00850773"/>
    <w:rsid w:val="00852CF9"/>
    <w:rsid w:val="008572DD"/>
    <w:rsid w:val="008628D5"/>
    <w:rsid w:val="0086481C"/>
    <w:rsid w:val="00865ABE"/>
    <w:rsid w:val="00870A75"/>
    <w:rsid w:val="00876B1B"/>
    <w:rsid w:val="00882611"/>
    <w:rsid w:val="00884A53"/>
    <w:rsid w:val="008867A8"/>
    <w:rsid w:val="00893B0B"/>
    <w:rsid w:val="00894D6D"/>
    <w:rsid w:val="00894EAA"/>
    <w:rsid w:val="008A1896"/>
    <w:rsid w:val="008A676C"/>
    <w:rsid w:val="008B1166"/>
    <w:rsid w:val="008B44FD"/>
    <w:rsid w:val="008C5102"/>
    <w:rsid w:val="008D724C"/>
    <w:rsid w:val="008E16B1"/>
    <w:rsid w:val="008E1F1E"/>
    <w:rsid w:val="008E37C1"/>
    <w:rsid w:val="008F0ED2"/>
    <w:rsid w:val="00911B41"/>
    <w:rsid w:val="0092260B"/>
    <w:rsid w:val="00923027"/>
    <w:rsid w:val="00930973"/>
    <w:rsid w:val="00931338"/>
    <w:rsid w:val="00932507"/>
    <w:rsid w:val="00944B13"/>
    <w:rsid w:val="00944BBC"/>
    <w:rsid w:val="00962018"/>
    <w:rsid w:val="0096762B"/>
    <w:rsid w:val="009874C9"/>
    <w:rsid w:val="00990339"/>
    <w:rsid w:val="00995EB7"/>
    <w:rsid w:val="00996142"/>
    <w:rsid w:val="009A2850"/>
    <w:rsid w:val="009C646B"/>
    <w:rsid w:val="009F0DE5"/>
    <w:rsid w:val="009F3977"/>
    <w:rsid w:val="00A0052F"/>
    <w:rsid w:val="00A022CC"/>
    <w:rsid w:val="00A0351C"/>
    <w:rsid w:val="00A15255"/>
    <w:rsid w:val="00A157A5"/>
    <w:rsid w:val="00A23CD1"/>
    <w:rsid w:val="00A24D44"/>
    <w:rsid w:val="00A27879"/>
    <w:rsid w:val="00A302B7"/>
    <w:rsid w:val="00A317CF"/>
    <w:rsid w:val="00A37C74"/>
    <w:rsid w:val="00A439C0"/>
    <w:rsid w:val="00A5081D"/>
    <w:rsid w:val="00A557A3"/>
    <w:rsid w:val="00A55A11"/>
    <w:rsid w:val="00A64D35"/>
    <w:rsid w:val="00A70395"/>
    <w:rsid w:val="00A7199C"/>
    <w:rsid w:val="00A92037"/>
    <w:rsid w:val="00A93CBF"/>
    <w:rsid w:val="00AA1004"/>
    <w:rsid w:val="00AA18D9"/>
    <w:rsid w:val="00AA4AFB"/>
    <w:rsid w:val="00AB0141"/>
    <w:rsid w:val="00AB09FD"/>
    <w:rsid w:val="00AC5914"/>
    <w:rsid w:val="00AD48B0"/>
    <w:rsid w:val="00AE5079"/>
    <w:rsid w:val="00AF66E0"/>
    <w:rsid w:val="00B00A5D"/>
    <w:rsid w:val="00B012EC"/>
    <w:rsid w:val="00B04729"/>
    <w:rsid w:val="00B07FFA"/>
    <w:rsid w:val="00B12850"/>
    <w:rsid w:val="00B12B8E"/>
    <w:rsid w:val="00B13F6F"/>
    <w:rsid w:val="00B1530F"/>
    <w:rsid w:val="00B17516"/>
    <w:rsid w:val="00B2055C"/>
    <w:rsid w:val="00B21D47"/>
    <w:rsid w:val="00B403D6"/>
    <w:rsid w:val="00B5025B"/>
    <w:rsid w:val="00B529DE"/>
    <w:rsid w:val="00B5359E"/>
    <w:rsid w:val="00B61396"/>
    <w:rsid w:val="00B72985"/>
    <w:rsid w:val="00B735AD"/>
    <w:rsid w:val="00B8495C"/>
    <w:rsid w:val="00BA40BE"/>
    <w:rsid w:val="00BD053D"/>
    <w:rsid w:val="00BD5A36"/>
    <w:rsid w:val="00BF1B29"/>
    <w:rsid w:val="00C019A0"/>
    <w:rsid w:val="00C02661"/>
    <w:rsid w:val="00C07FD7"/>
    <w:rsid w:val="00C1222B"/>
    <w:rsid w:val="00C12C0D"/>
    <w:rsid w:val="00C1420F"/>
    <w:rsid w:val="00C34D08"/>
    <w:rsid w:val="00C41063"/>
    <w:rsid w:val="00C459BE"/>
    <w:rsid w:val="00C50360"/>
    <w:rsid w:val="00C62894"/>
    <w:rsid w:val="00C641EA"/>
    <w:rsid w:val="00C66D8C"/>
    <w:rsid w:val="00C67AAD"/>
    <w:rsid w:val="00C73B08"/>
    <w:rsid w:val="00C768A1"/>
    <w:rsid w:val="00C80BD0"/>
    <w:rsid w:val="00C80DBB"/>
    <w:rsid w:val="00C84D6C"/>
    <w:rsid w:val="00C94E57"/>
    <w:rsid w:val="00C97C36"/>
    <w:rsid w:val="00CA0949"/>
    <w:rsid w:val="00CC747D"/>
    <w:rsid w:val="00CC79A4"/>
    <w:rsid w:val="00CD1193"/>
    <w:rsid w:val="00CD11B5"/>
    <w:rsid w:val="00CD44F7"/>
    <w:rsid w:val="00CE00CE"/>
    <w:rsid w:val="00CE0A07"/>
    <w:rsid w:val="00CE3CB0"/>
    <w:rsid w:val="00CE55CC"/>
    <w:rsid w:val="00CF33CA"/>
    <w:rsid w:val="00CF7D9B"/>
    <w:rsid w:val="00D009F5"/>
    <w:rsid w:val="00D12894"/>
    <w:rsid w:val="00D14C79"/>
    <w:rsid w:val="00D15DAE"/>
    <w:rsid w:val="00D201AD"/>
    <w:rsid w:val="00D227A3"/>
    <w:rsid w:val="00D36475"/>
    <w:rsid w:val="00D37A50"/>
    <w:rsid w:val="00D412BB"/>
    <w:rsid w:val="00D46148"/>
    <w:rsid w:val="00D557DC"/>
    <w:rsid w:val="00D56A50"/>
    <w:rsid w:val="00D631C4"/>
    <w:rsid w:val="00D65B17"/>
    <w:rsid w:val="00D72C60"/>
    <w:rsid w:val="00D74D55"/>
    <w:rsid w:val="00D7553A"/>
    <w:rsid w:val="00D805FB"/>
    <w:rsid w:val="00D83B6F"/>
    <w:rsid w:val="00D87BC2"/>
    <w:rsid w:val="00D93ACD"/>
    <w:rsid w:val="00DA2AA0"/>
    <w:rsid w:val="00DA3AE7"/>
    <w:rsid w:val="00DA4162"/>
    <w:rsid w:val="00DB1400"/>
    <w:rsid w:val="00DD13E8"/>
    <w:rsid w:val="00DD17F4"/>
    <w:rsid w:val="00DD2D78"/>
    <w:rsid w:val="00DE55FB"/>
    <w:rsid w:val="00E05911"/>
    <w:rsid w:val="00E125D7"/>
    <w:rsid w:val="00E16B5B"/>
    <w:rsid w:val="00E23621"/>
    <w:rsid w:val="00E3341F"/>
    <w:rsid w:val="00E34439"/>
    <w:rsid w:val="00E34BF3"/>
    <w:rsid w:val="00E40CCC"/>
    <w:rsid w:val="00E41CA7"/>
    <w:rsid w:val="00E53C2C"/>
    <w:rsid w:val="00E56072"/>
    <w:rsid w:val="00E57EEE"/>
    <w:rsid w:val="00E74719"/>
    <w:rsid w:val="00E77AD0"/>
    <w:rsid w:val="00E902B4"/>
    <w:rsid w:val="00E90C0F"/>
    <w:rsid w:val="00EA00D6"/>
    <w:rsid w:val="00EB07B0"/>
    <w:rsid w:val="00EB274B"/>
    <w:rsid w:val="00EB3D98"/>
    <w:rsid w:val="00EC4D68"/>
    <w:rsid w:val="00EC63D8"/>
    <w:rsid w:val="00EC789F"/>
    <w:rsid w:val="00EC7B49"/>
    <w:rsid w:val="00ED4101"/>
    <w:rsid w:val="00ED5DE5"/>
    <w:rsid w:val="00EF0159"/>
    <w:rsid w:val="00EF0757"/>
    <w:rsid w:val="00EF09F9"/>
    <w:rsid w:val="00F0169A"/>
    <w:rsid w:val="00F041D2"/>
    <w:rsid w:val="00F1447C"/>
    <w:rsid w:val="00F17CB7"/>
    <w:rsid w:val="00F22088"/>
    <w:rsid w:val="00F31D24"/>
    <w:rsid w:val="00F3408B"/>
    <w:rsid w:val="00F40C48"/>
    <w:rsid w:val="00F43EB1"/>
    <w:rsid w:val="00F508E6"/>
    <w:rsid w:val="00F51572"/>
    <w:rsid w:val="00F53536"/>
    <w:rsid w:val="00F62D7B"/>
    <w:rsid w:val="00F67072"/>
    <w:rsid w:val="00F67B26"/>
    <w:rsid w:val="00F92085"/>
    <w:rsid w:val="00F92ACC"/>
    <w:rsid w:val="00F92B53"/>
    <w:rsid w:val="00F951F8"/>
    <w:rsid w:val="00F9625B"/>
    <w:rsid w:val="00F97008"/>
    <w:rsid w:val="00FA06E7"/>
    <w:rsid w:val="00FA673E"/>
    <w:rsid w:val="00FD5883"/>
    <w:rsid w:val="00FE311D"/>
    <w:rsid w:val="00FE4895"/>
    <w:rsid w:val="00FE77DE"/>
    <w:rsid w:val="00FF616F"/>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paragraph" w:styleId="ListParagraph">
    <w:name w:val="List Paragraph"/>
    <w:basedOn w:val="Normal"/>
    <w:uiPriority w:val="34"/>
    <w:qFormat/>
    <w:rsid w:val="00CE55CC"/>
    <w:pPr>
      <w:ind w:left="720"/>
    </w:pPr>
  </w:style>
  <w:style w:type="paragraph" w:styleId="PlainText">
    <w:name w:val="Plain Text"/>
    <w:basedOn w:val="Normal"/>
    <w:link w:val="PlainTextChar"/>
    <w:uiPriority w:val="99"/>
    <w:unhideWhenUsed/>
    <w:rsid w:val="00845771"/>
    <w:rPr>
      <w:rFonts w:ascii="Consolas" w:eastAsia="Calibri" w:hAnsi="Consolas"/>
      <w:sz w:val="21"/>
      <w:szCs w:val="21"/>
      <w:lang w:val="x-none" w:eastAsia="x-none"/>
    </w:rPr>
  </w:style>
  <w:style w:type="character" w:customStyle="1" w:styleId="PlainTextChar">
    <w:name w:val="Plain Text Char"/>
    <w:link w:val="PlainText"/>
    <w:uiPriority w:val="99"/>
    <w:rsid w:val="00845771"/>
    <w:rPr>
      <w:rFonts w:ascii="Consolas" w:hAnsi="Consolas"/>
      <w:sz w:val="21"/>
      <w:szCs w:val="21"/>
      <w:lang w:val="x-none" w:eastAsia="x-none"/>
    </w:rPr>
  </w:style>
  <w:style w:type="character" w:styleId="Hyperlink">
    <w:name w:val="Hyperlink"/>
    <w:uiPriority w:val="99"/>
    <w:unhideWhenUsed/>
    <w:rsid w:val="002419BE"/>
    <w:rPr>
      <w:color w:val="0563C1"/>
      <w:u w:val="single"/>
    </w:rPr>
  </w:style>
  <w:style w:type="paragraph" w:styleId="NoSpacing">
    <w:name w:val="No Spacing"/>
    <w:uiPriority w:val="1"/>
    <w:qFormat/>
    <w:rsid w:val="00E23621"/>
    <w:rPr>
      <w:sz w:val="22"/>
      <w:szCs w:val="22"/>
    </w:rPr>
  </w:style>
  <w:style w:type="paragraph" w:customStyle="1" w:styleId="gmail-m-94961899176363995msolistparagraph">
    <w:name w:val="gmail-m_-94961899176363995msolistparagraph"/>
    <w:basedOn w:val="Normal"/>
    <w:rsid w:val="00AC5914"/>
    <w:pPr>
      <w:spacing w:before="100" w:beforeAutospacing="1" w:after="100" w:afterAutospacing="1"/>
    </w:pPr>
    <w:rPr>
      <w:rFonts w:eastAsiaTheme="minorHAnsi"/>
    </w:rPr>
  </w:style>
  <w:style w:type="paragraph" w:styleId="Revision">
    <w:name w:val="Revision"/>
    <w:hidden/>
    <w:uiPriority w:val="99"/>
    <w:semiHidden/>
    <w:rsid w:val="000844E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paragraph" w:styleId="ListParagraph">
    <w:name w:val="List Paragraph"/>
    <w:basedOn w:val="Normal"/>
    <w:uiPriority w:val="34"/>
    <w:qFormat/>
    <w:rsid w:val="00CE55CC"/>
    <w:pPr>
      <w:ind w:left="720"/>
    </w:pPr>
  </w:style>
  <w:style w:type="paragraph" w:styleId="PlainText">
    <w:name w:val="Plain Text"/>
    <w:basedOn w:val="Normal"/>
    <w:link w:val="PlainTextChar"/>
    <w:uiPriority w:val="99"/>
    <w:unhideWhenUsed/>
    <w:rsid w:val="00845771"/>
    <w:rPr>
      <w:rFonts w:ascii="Consolas" w:eastAsia="Calibri" w:hAnsi="Consolas"/>
      <w:sz w:val="21"/>
      <w:szCs w:val="21"/>
      <w:lang w:val="x-none" w:eastAsia="x-none"/>
    </w:rPr>
  </w:style>
  <w:style w:type="character" w:customStyle="1" w:styleId="PlainTextChar">
    <w:name w:val="Plain Text Char"/>
    <w:link w:val="PlainText"/>
    <w:uiPriority w:val="99"/>
    <w:rsid w:val="00845771"/>
    <w:rPr>
      <w:rFonts w:ascii="Consolas" w:hAnsi="Consolas"/>
      <w:sz w:val="21"/>
      <w:szCs w:val="21"/>
      <w:lang w:val="x-none" w:eastAsia="x-none"/>
    </w:rPr>
  </w:style>
  <w:style w:type="character" w:styleId="Hyperlink">
    <w:name w:val="Hyperlink"/>
    <w:uiPriority w:val="99"/>
    <w:unhideWhenUsed/>
    <w:rsid w:val="002419BE"/>
    <w:rPr>
      <w:color w:val="0563C1"/>
      <w:u w:val="single"/>
    </w:rPr>
  </w:style>
  <w:style w:type="paragraph" w:styleId="NoSpacing">
    <w:name w:val="No Spacing"/>
    <w:uiPriority w:val="1"/>
    <w:qFormat/>
    <w:rsid w:val="00E23621"/>
    <w:rPr>
      <w:sz w:val="22"/>
      <w:szCs w:val="22"/>
    </w:rPr>
  </w:style>
  <w:style w:type="paragraph" w:customStyle="1" w:styleId="gmail-m-94961899176363995msolistparagraph">
    <w:name w:val="gmail-m_-94961899176363995msolistparagraph"/>
    <w:basedOn w:val="Normal"/>
    <w:rsid w:val="00AC5914"/>
    <w:pPr>
      <w:spacing w:before="100" w:beforeAutospacing="1" w:after="100" w:afterAutospacing="1"/>
    </w:pPr>
    <w:rPr>
      <w:rFonts w:eastAsiaTheme="minorHAnsi"/>
    </w:rPr>
  </w:style>
  <w:style w:type="paragraph" w:styleId="Revision">
    <w:name w:val="Revision"/>
    <w:hidden/>
    <w:uiPriority w:val="99"/>
    <w:semiHidden/>
    <w:rsid w:val="000844E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05821">
      <w:bodyDiv w:val="1"/>
      <w:marLeft w:val="0"/>
      <w:marRight w:val="0"/>
      <w:marTop w:val="0"/>
      <w:marBottom w:val="0"/>
      <w:divBdr>
        <w:top w:val="none" w:sz="0" w:space="0" w:color="auto"/>
        <w:left w:val="none" w:sz="0" w:space="0" w:color="auto"/>
        <w:bottom w:val="none" w:sz="0" w:space="0" w:color="auto"/>
        <w:right w:val="none" w:sz="0" w:space="0" w:color="auto"/>
      </w:divBdr>
    </w:div>
    <w:div w:id="1509632316">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202193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imperium.com/services/ver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dau.mil/acquipedia/Pages/ArticleDetails.aspx?aid=5e3079b8-44f2-43df-a0e7-9f379e8c48ed"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areeronestop.org/toolkit/wages/find-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TH3QXZ4CCXAT-18-3267</_dlc_DocId>
    <_dlc_DocIdUrl xmlns="4f06cbb4-5319-44a1-b73c-03442379dfaa">
      <Url>https://apps.sp.pentagon.mil/sites/dodiic/_layouts/DocIdRedir.aspx?ID=TH3QXZ4CCXAT-18-3267</Url>
      <Description>TH3QXZ4CCXAT-18-3267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1099-4240-4F89-A274-9C17454A66E1}">
  <ds:schemaRefs>
    <ds:schemaRef ds:uri="http://schemas.microsoft.com/sharepoint/events"/>
  </ds:schemaRefs>
</ds:datastoreItem>
</file>

<file path=customXml/itemProps2.xml><?xml version="1.0" encoding="utf-8"?>
<ds:datastoreItem xmlns:ds="http://schemas.openxmlformats.org/officeDocument/2006/customXml" ds:itemID="{7853D27E-FE7E-408A-915F-C6CD88655579}">
  <ds:schemaRefs>
    <ds:schemaRef ds:uri="http://schemas.microsoft.com/office/2006/metadata/longProperties"/>
  </ds:schemaRefs>
</ds:datastoreItem>
</file>

<file path=customXml/itemProps3.xml><?xml version="1.0" encoding="utf-8"?>
<ds:datastoreItem xmlns:ds="http://schemas.openxmlformats.org/officeDocument/2006/customXml" ds:itemID="{CDAC2446-6EB4-468A-8BE2-9B9572C8732C}">
  <ds:schemaRefs>
    <ds:schemaRef ds:uri="4f06cbb4-5319-44a1-b73c-03442379dfaa"/>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456AF0B4-47B6-441D-9D5F-F64341D14F8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88D66DC-1CF1-4BDD-AC20-0F8C5AB08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008FAD-0A8B-4C59-86A2-2AAE35A1B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Staement A 0702-AAHR Army Civilian Brand Quantitative</vt:lpstr>
    </vt:vector>
  </TitlesOfParts>
  <Company>WHS</Company>
  <LinksUpToDate>false</LinksUpToDate>
  <CharactersWithSpaces>18809</CharactersWithSpaces>
  <SharedDoc>false</SharedDoc>
  <HLinks>
    <vt:vector size="12" baseType="variant">
      <vt:variant>
        <vt:i4>5439498</vt:i4>
      </vt:variant>
      <vt:variant>
        <vt:i4>3</vt:i4>
      </vt:variant>
      <vt:variant>
        <vt:i4>0</vt:i4>
      </vt:variant>
      <vt:variant>
        <vt:i4>5</vt:i4>
      </vt:variant>
      <vt:variant>
        <vt:lpwstr>https://dap.dau.mil/acquipedia/Pages/ArticleDetails.aspx?aid=5e3079b8-44f2-43df-a0e7-9f379e8c48ed</vt:lpwstr>
      </vt:variant>
      <vt:variant>
        <vt:lpwstr/>
      </vt:variant>
      <vt:variant>
        <vt:i4>6422569</vt:i4>
      </vt:variant>
      <vt:variant>
        <vt:i4>0</vt:i4>
      </vt:variant>
      <vt:variant>
        <vt:i4>0</vt:i4>
      </vt:variant>
      <vt:variant>
        <vt:i4>5</vt:i4>
      </vt:variant>
      <vt:variant>
        <vt:lpwstr>http://www.careeronestop.org/toolkit/wages/find-salary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Staement A 0702-AAHR Army Civilian Brand Quantitative</dc:title>
  <dc:subject/>
  <dc:creator>Patricia Toppings</dc:creator>
  <cp:keywords/>
  <cp:lastModifiedBy>SYSTEM</cp:lastModifiedBy>
  <cp:revision>2</cp:revision>
  <cp:lastPrinted>2017-10-16T20:47:00Z</cp:lastPrinted>
  <dcterms:created xsi:type="dcterms:W3CDTF">2018-08-24T19:08:00Z</dcterms:created>
  <dcterms:modified xsi:type="dcterms:W3CDTF">2018-08-24T19:08:00Z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TH3QXZ4CCXAT-18-492</vt:lpwstr>
  </property>
  <property fmtid="{D5CDD505-2E9C-101B-9397-08002B2CF9AE}" pid="3" name="_dlc_DocIdItemGuid">
    <vt:lpwstr>d1e1cb34-f2cc-4665-bf06-8cf0b1f6587e</vt:lpwstr>
  </property>
  <property fmtid="{D5CDD505-2E9C-101B-9397-08002B2CF9AE}" pid="4" name="_dlc_DocIdUrl">
    <vt:lpwstr>https://eitsdext.osd.mil/sites/dodiic/_layouts/DocIdRedir.aspx?ID=TH3QXZ4CCXAT-18-492, TH3QXZ4CCXAT-18-492</vt:lpwstr>
  </property>
  <property fmtid="{D5CDD505-2E9C-101B-9397-08002B2CF9AE}" pid="5" name="ContentTypeId">
    <vt:lpwstr>0x01010059DA7296EEFF0B44B6E9065A57269559</vt:lpwstr>
  </property>
</Properties>
</file>