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0B5" w:rsidRPr="00976079" w:rsidRDefault="009520B5" w:rsidP="00C27207">
      <w:pPr>
        <w:pStyle w:val="Title"/>
        <w:spacing w:line="240" w:lineRule="auto"/>
        <w:rPr>
          <w:rFonts w:ascii="Times New Roman" w:hAnsi="Times New Roman" w:cs="Times New Roman"/>
        </w:rPr>
      </w:pPr>
      <w:bookmarkStart w:id="0" w:name="_GoBack"/>
      <w:bookmarkEnd w:id="0"/>
      <w:r w:rsidRPr="00976079">
        <w:rPr>
          <w:rFonts w:ascii="Times New Roman" w:hAnsi="Times New Roman" w:cs="Times New Roman"/>
        </w:rPr>
        <w:t>Supporting Statement</w:t>
      </w:r>
    </w:p>
    <w:p w:rsidR="009520B5" w:rsidRDefault="00C27207" w:rsidP="00C27207">
      <w:pPr>
        <w:pStyle w:val="Subtitle"/>
        <w:spacing w:after="0" w:line="240" w:lineRule="auto"/>
        <w:rPr>
          <w:sz w:val="23"/>
          <w:szCs w:val="23"/>
        </w:rPr>
      </w:pPr>
      <w:r w:rsidRPr="001B378E">
        <w:rPr>
          <w:rFonts w:ascii="Times New Roman" w:hAnsi="Times New Roman" w:cs="Times New Roman"/>
          <w:spacing w:val="-1"/>
        </w:rPr>
        <w:t>For</w:t>
      </w:r>
      <w:r w:rsidRPr="001B378E">
        <w:rPr>
          <w:rFonts w:ascii="Times New Roman" w:hAnsi="Times New Roman" w:cs="Times New Roman"/>
          <w:spacing w:val="1"/>
        </w:rPr>
        <w:t xml:space="preserve"> </w:t>
      </w:r>
      <w:r w:rsidRPr="001B378E">
        <w:rPr>
          <w:rFonts w:ascii="Times New Roman" w:hAnsi="Times New Roman" w:cs="Times New Roman"/>
          <w:spacing w:val="-1"/>
        </w:rPr>
        <w:t>the</w:t>
      </w:r>
      <w:r w:rsidRPr="001B378E">
        <w:rPr>
          <w:rFonts w:ascii="Times New Roman" w:hAnsi="Times New Roman" w:cs="Times New Roman"/>
          <w:spacing w:val="1"/>
        </w:rPr>
        <w:t xml:space="preserve"> </w:t>
      </w:r>
      <w:r w:rsidRPr="001B378E">
        <w:rPr>
          <w:rFonts w:ascii="Times New Roman" w:hAnsi="Times New Roman" w:cs="Times New Roman"/>
          <w:spacing w:val="-1"/>
        </w:rPr>
        <w:t>Paperwork</w:t>
      </w:r>
      <w:r w:rsidRPr="001B378E">
        <w:rPr>
          <w:rFonts w:ascii="Times New Roman" w:hAnsi="Times New Roman" w:cs="Times New Roman"/>
        </w:rPr>
        <w:t xml:space="preserve"> </w:t>
      </w:r>
      <w:r w:rsidRPr="001B378E">
        <w:rPr>
          <w:rFonts w:ascii="Times New Roman" w:hAnsi="Times New Roman" w:cs="Times New Roman"/>
          <w:spacing w:val="-1"/>
        </w:rPr>
        <w:t>Reduction</w:t>
      </w:r>
      <w:r w:rsidRPr="001B378E">
        <w:rPr>
          <w:rFonts w:ascii="Times New Roman" w:hAnsi="Times New Roman" w:cs="Times New Roman"/>
        </w:rPr>
        <w:t xml:space="preserve"> </w:t>
      </w:r>
      <w:r w:rsidRPr="001B378E">
        <w:rPr>
          <w:rFonts w:ascii="Times New Roman" w:hAnsi="Times New Roman" w:cs="Times New Roman"/>
          <w:spacing w:val="-1"/>
        </w:rPr>
        <w:t>Act Information</w:t>
      </w:r>
      <w:r w:rsidRPr="001B378E">
        <w:rPr>
          <w:rFonts w:ascii="Times New Roman" w:hAnsi="Times New Roman" w:cs="Times New Roman"/>
          <w:spacing w:val="3"/>
        </w:rPr>
        <w:t xml:space="preserve"> </w:t>
      </w:r>
      <w:r w:rsidRPr="001B378E">
        <w:rPr>
          <w:rFonts w:ascii="Times New Roman" w:hAnsi="Times New Roman" w:cs="Times New Roman"/>
          <w:spacing w:val="-1"/>
        </w:rPr>
        <w:t>Collection</w:t>
      </w:r>
      <w:r w:rsidRPr="001B378E">
        <w:rPr>
          <w:rFonts w:ascii="Times New Roman" w:hAnsi="Times New Roman" w:cs="Times New Roman"/>
        </w:rPr>
        <w:t xml:space="preserve"> </w:t>
      </w:r>
      <w:r w:rsidRPr="001B378E">
        <w:rPr>
          <w:rFonts w:ascii="Times New Roman" w:hAnsi="Times New Roman" w:cs="Times New Roman"/>
          <w:spacing w:val="-1"/>
        </w:rPr>
        <w:t>Submission</w:t>
      </w:r>
      <w:r w:rsidRPr="001B378E">
        <w:rPr>
          <w:rFonts w:ascii="Times New Roman" w:hAnsi="Times New Roman" w:cs="Times New Roman"/>
        </w:rPr>
        <w:t xml:space="preserve"> </w:t>
      </w:r>
      <w:r w:rsidRPr="001B378E">
        <w:rPr>
          <w:rFonts w:ascii="Times New Roman" w:hAnsi="Times New Roman" w:cs="Times New Roman"/>
          <w:spacing w:val="-1"/>
        </w:rPr>
        <w:t>for</w:t>
      </w:r>
      <w:r w:rsidRPr="001B378E">
        <w:rPr>
          <w:rFonts w:ascii="Times New Roman" w:hAnsi="Times New Roman" w:cs="Times New Roman"/>
          <w:spacing w:val="71"/>
        </w:rPr>
        <w:t xml:space="preserve"> </w:t>
      </w:r>
      <w:r w:rsidR="009520B5" w:rsidRPr="00976079">
        <w:rPr>
          <w:rFonts w:ascii="Times New Roman" w:hAnsi="Times New Roman" w:cs="Times New Roman"/>
        </w:rPr>
        <w:t xml:space="preserve">Proposed Rule </w:t>
      </w:r>
      <w:r w:rsidR="00DF7863">
        <w:rPr>
          <w:sz w:val="23"/>
          <w:szCs w:val="23"/>
        </w:rPr>
        <w:t>6c-11</w:t>
      </w:r>
    </w:p>
    <w:p w:rsidR="00C27207" w:rsidRPr="00C27207" w:rsidRDefault="00C27207" w:rsidP="00C27207"/>
    <w:p w:rsidR="009520B5" w:rsidRPr="00976079" w:rsidRDefault="009520B5" w:rsidP="00CC026A">
      <w:pPr>
        <w:pStyle w:val="Heading1"/>
        <w:spacing w:before="0" w:after="0" w:line="480" w:lineRule="auto"/>
        <w:rPr>
          <w:rFonts w:ascii="Times New Roman" w:hAnsi="Times New Roman" w:cs="Times New Roman"/>
        </w:rPr>
      </w:pPr>
      <w:r w:rsidRPr="00976079">
        <w:rPr>
          <w:rFonts w:ascii="Times New Roman" w:hAnsi="Times New Roman" w:cs="Times New Roman"/>
        </w:rPr>
        <w:t>Justification</w:t>
      </w:r>
    </w:p>
    <w:p w:rsidR="009520B5" w:rsidRPr="00976079" w:rsidRDefault="009520B5" w:rsidP="00CC026A">
      <w:pPr>
        <w:pStyle w:val="Heading2"/>
        <w:tabs>
          <w:tab w:val="clear" w:pos="1080"/>
        </w:tabs>
        <w:spacing w:before="0" w:after="0" w:line="480" w:lineRule="auto"/>
        <w:ind w:left="1440"/>
        <w:rPr>
          <w:rFonts w:ascii="Times New Roman" w:hAnsi="Times New Roman" w:cs="Times New Roman"/>
        </w:rPr>
      </w:pPr>
      <w:r w:rsidRPr="00976079">
        <w:rPr>
          <w:rFonts w:ascii="Times New Roman" w:hAnsi="Times New Roman" w:cs="Times New Roman"/>
        </w:rPr>
        <w:t>Necessity for the Information Collection</w:t>
      </w:r>
    </w:p>
    <w:p w:rsidR="009520B5" w:rsidRPr="00DA0480" w:rsidRDefault="00BB3CB0" w:rsidP="00CC026A">
      <w:pPr>
        <w:pStyle w:val="BodyText"/>
        <w:spacing w:before="0" w:after="0" w:line="480" w:lineRule="auto"/>
        <w:ind w:firstLine="720"/>
        <w:rPr>
          <w:rFonts w:ascii="Times New Roman" w:hAnsi="Times New Roman" w:cs="Times New Roman"/>
        </w:rPr>
      </w:pPr>
      <w:r>
        <w:rPr>
          <w:rFonts w:ascii="Times New Roman" w:hAnsi="Times New Roman" w:cs="Times New Roman"/>
        </w:rPr>
        <w:t xml:space="preserve">Proposed </w:t>
      </w:r>
      <w:r w:rsidR="00DA7D68">
        <w:rPr>
          <w:rFonts w:ascii="Times New Roman" w:hAnsi="Times New Roman" w:cs="Times New Roman"/>
        </w:rPr>
        <w:t xml:space="preserve">new </w:t>
      </w:r>
      <w:r>
        <w:rPr>
          <w:rFonts w:ascii="Times New Roman" w:hAnsi="Times New Roman" w:cs="Times New Roman"/>
        </w:rPr>
        <w:t xml:space="preserve">rule </w:t>
      </w:r>
      <w:r w:rsidR="00DF7863">
        <w:rPr>
          <w:rFonts w:ascii="Times New Roman" w:hAnsi="Times New Roman" w:cs="Times New Roman"/>
        </w:rPr>
        <w:t>6c-11</w:t>
      </w:r>
      <w:r w:rsidR="00DA7D68">
        <w:rPr>
          <w:sz w:val="23"/>
          <w:szCs w:val="23"/>
        </w:rPr>
        <w:t xml:space="preserve"> </w:t>
      </w:r>
      <w:r w:rsidR="00DA7D68">
        <w:rPr>
          <w:rFonts w:ascii="Times New Roman" w:hAnsi="Times New Roman" w:cs="Times New Roman"/>
        </w:rPr>
        <w:t xml:space="preserve">under the Investment </w:t>
      </w:r>
      <w:r w:rsidR="00DF7863">
        <w:rPr>
          <w:rFonts w:ascii="Times New Roman" w:hAnsi="Times New Roman" w:cs="Times New Roman"/>
        </w:rPr>
        <w:t>Company</w:t>
      </w:r>
      <w:r w:rsidR="00FA3F97">
        <w:rPr>
          <w:rFonts w:ascii="Times New Roman" w:hAnsi="Times New Roman" w:cs="Times New Roman"/>
        </w:rPr>
        <w:t xml:space="preserve"> </w:t>
      </w:r>
      <w:r w:rsidR="00DA7D68">
        <w:rPr>
          <w:rFonts w:ascii="Times New Roman" w:hAnsi="Times New Roman" w:cs="Times New Roman"/>
        </w:rPr>
        <w:t xml:space="preserve">Act of 1940 </w:t>
      </w:r>
      <w:r w:rsidR="00B439B7">
        <w:rPr>
          <w:rFonts w:ascii="Times New Roman" w:hAnsi="Times New Roman" w:cs="Times New Roman"/>
        </w:rPr>
        <w:t>(</w:t>
      </w:r>
      <w:r w:rsidR="00DF7863" w:rsidRPr="00DF7863">
        <w:rPr>
          <w:rFonts w:ascii="Times New Roman" w:hAnsi="Times New Roman" w:cs="Times New Roman"/>
        </w:rPr>
        <w:t>17 CFR 270.6c-11</w:t>
      </w:r>
      <w:r w:rsidR="00B439B7">
        <w:rPr>
          <w:rFonts w:ascii="Times New Roman" w:hAnsi="Times New Roman" w:cs="Times New Roman"/>
        </w:rPr>
        <w:t xml:space="preserve">) </w:t>
      </w:r>
      <w:r w:rsidR="00DF7863">
        <w:rPr>
          <w:rFonts w:ascii="Times New Roman" w:hAnsi="Times New Roman" w:cs="Times New Roman"/>
        </w:rPr>
        <w:t>(the “</w:t>
      </w:r>
      <w:r w:rsidR="00DA7D68">
        <w:rPr>
          <w:rFonts w:ascii="Times New Roman" w:hAnsi="Times New Roman" w:cs="Times New Roman"/>
        </w:rPr>
        <w:t>Act”)</w:t>
      </w:r>
      <w:r w:rsidR="00DF7863">
        <w:rPr>
          <w:rFonts w:ascii="Times New Roman" w:hAnsi="Times New Roman" w:cs="Times New Roman"/>
        </w:rPr>
        <w:t xml:space="preserve"> </w:t>
      </w:r>
      <w:r w:rsidR="00B439B7" w:rsidRPr="00B439B7">
        <w:rPr>
          <w:rFonts w:ascii="Times New Roman" w:hAnsi="Times New Roman" w:cs="Times New Roman"/>
        </w:rPr>
        <w:t xml:space="preserve">would </w:t>
      </w:r>
      <w:r w:rsidR="00DF7863" w:rsidRPr="00BA531F">
        <w:rPr>
          <w:rFonts w:asciiTheme="majorBidi" w:eastAsia="Times New Roman" w:hAnsiTheme="majorBidi"/>
          <w:color w:val="000000" w:themeColor="text1"/>
        </w:rPr>
        <w:t xml:space="preserve">permit ETFs that satisfy certain conditions to operate without first obtaining an exemptive order from the Commission.  The rule is designed to create a consistent, transparent, and efficient regulatory framework for such ETFs and facilitate greater competition and innovation among ETFs.  The proposal attempts to eliminate historical distinctions and conditions that </w:t>
      </w:r>
      <w:r w:rsidR="00AC2CEF" w:rsidRPr="00BA531F">
        <w:rPr>
          <w:rFonts w:asciiTheme="majorBidi" w:eastAsia="Times New Roman" w:hAnsiTheme="majorBidi"/>
          <w:color w:val="000000" w:themeColor="text1"/>
        </w:rPr>
        <w:t>the Commission</w:t>
      </w:r>
      <w:r w:rsidR="00DF7863" w:rsidRPr="00BA531F">
        <w:rPr>
          <w:rFonts w:asciiTheme="majorBidi" w:eastAsia="Times New Roman" w:hAnsiTheme="majorBidi"/>
          <w:color w:val="000000" w:themeColor="text1"/>
        </w:rPr>
        <w:t xml:space="preserve"> no longer believe</w:t>
      </w:r>
      <w:r w:rsidR="00AC2CEF">
        <w:rPr>
          <w:rFonts w:asciiTheme="majorBidi" w:eastAsia="Times New Roman" w:hAnsiTheme="majorBidi"/>
          <w:color w:val="000000" w:themeColor="text1"/>
        </w:rPr>
        <w:t>s</w:t>
      </w:r>
      <w:r w:rsidR="00DF7863" w:rsidRPr="00BA531F">
        <w:rPr>
          <w:rFonts w:asciiTheme="majorBidi" w:eastAsia="Times New Roman" w:hAnsiTheme="majorBidi"/>
          <w:color w:val="000000" w:themeColor="text1"/>
        </w:rPr>
        <w:t xml:space="preserve"> are necessary and thus appropriately level the playing field for such ETFs that pursue the same o</w:t>
      </w:r>
      <w:r w:rsidR="00DF7863">
        <w:rPr>
          <w:rFonts w:asciiTheme="majorBidi" w:eastAsia="Times New Roman" w:hAnsiTheme="majorBidi"/>
          <w:color w:val="000000" w:themeColor="text1"/>
        </w:rPr>
        <w:t>r similar investment strategies</w:t>
      </w:r>
      <w:r w:rsidR="00F55E46" w:rsidRPr="00D50AC4">
        <w:rPr>
          <w:rFonts w:ascii="Times New Roman" w:hAnsi="Times New Roman" w:cs="Times New Roman"/>
        </w:rPr>
        <w:t>.</w:t>
      </w:r>
      <w:r w:rsidR="00DF7863">
        <w:rPr>
          <w:rFonts w:ascii="Times New Roman" w:hAnsi="Times New Roman" w:cs="Times New Roman"/>
        </w:rPr>
        <w:t xml:space="preserve">  </w:t>
      </w:r>
      <w:r w:rsidR="00DF7863" w:rsidRPr="00BA531F">
        <w:rPr>
          <w:rFonts w:asciiTheme="majorBidi" w:eastAsia="Times New Roman" w:hAnsiTheme="majorBidi"/>
          <w:color w:val="000000" w:themeColor="text1"/>
        </w:rPr>
        <w:t xml:space="preserve">Proposed rule 6c-11 would require an ETF to disclose certain information on its website, to </w:t>
      </w:r>
      <w:r w:rsidR="00DF7863">
        <w:rPr>
          <w:rFonts w:asciiTheme="majorBidi" w:eastAsia="Times New Roman" w:hAnsiTheme="majorBidi"/>
          <w:color w:val="000000" w:themeColor="text1"/>
        </w:rPr>
        <w:t>maintain</w:t>
      </w:r>
      <w:r w:rsidR="00DF7863" w:rsidRPr="00BA531F">
        <w:rPr>
          <w:rFonts w:asciiTheme="majorBidi" w:eastAsia="Times New Roman" w:hAnsiTheme="majorBidi"/>
          <w:color w:val="000000" w:themeColor="text1"/>
        </w:rPr>
        <w:t xml:space="preserve"> certain records, and to adopt and implement written policies and procedures governing their constructions of baskets, as well as written policies and procedures that set forth detailed parameters for the construction and acceptance of custom baskets that are in the best interest</w:t>
      </w:r>
      <w:r w:rsidR="00DF7863">
        <w:rPr>
          <w:rFonts w:asciiTheme="majorBidi" w:eastAsia="Times New Roman" w:hAnsiTheme="majorBidi"/>
          <w:color w:val="000000" w:themeColor="text1"/>
        </w:rPr>
        <w:t>s</w:t>
      </w:r>
      <w:r w:rsidR="00DF7863" w:rsidRPr="00BA531F">
        <w:rPr>
          <w:rFonts w:asciiTheme="majorBidi" w:eastAsia="Times New Roman" w:hAnsiTheme="majorBidi"/>
          <w:color w:val="000000" w:themeColor="text1"/>
        </w:rPr>
        <w:t xml:space="preserve"> of the ETF</w:t>
      </w:r>
      <w:r w:rsidR="00DF7863">
        <w:rPr>
          <w:rFonts w:asciiTheme="majorBidi" w:eastAsia="Times New Roman" w:hAnsiTheme="majorBidi"/>
          <w:color w:val="000000" w:themeColor="text1"/>
        </w:rPr>
        <w:t xml:space="preserve"> and its shareholders</w:t>
      </w:r>
      <w:r w:rsidR="00DF7863" w:rsidRPr="00BA531F">
        <w:rPr>
          <w:rFonts w:asciiTheme="majorBidi" w:eastAsia="Times New Roman" w:hAnsiTheme="majorBidi"/>
          <w:color w:val="000000" w:themeColor="text1"/>
        </w:rPr>
        <w:t>.</w:t>
      </w:r>
      <w:r w:rsidR="00DF7863">
        <w:rPr>
          <w:rFonts w:ascii="Times New Roman" w:hAnsi="Times New Roman" w:cs="Times New Roman"/>
        </w:rPr>
        <w:t xml:space="preserve">  </w:t>
      </w:r>
      <w:r w:rsidR="00B5259F">
        <w:rPr>
          <w:rFonts w:ascii="Times New Roman" w:hAnsi="Times New Roman" w:cs="Times New Roman"/>
        </w:rPr>
        <w:t>The proposed rule contains a “collection</w:t>
      </w:r>
      <w:r w:rsidR="00B5259F" w:rsidRPr="00B5259F">
        <w:rPr>
          <w:rFonts w:ascii="Times New Roman" w:hAnsi="Times New Roman" w:cs="Times New Roman"/>
        </w:rPr>
        <w:t xml:space="preserve"> of information” within the meaning of the Paperwork Reduction Act of 1995 (“PRA”).</w:t>
      </w:r>
      <w:r w:rsidR="00B5259F">
        <w:rPr>
          <w:rStyle w:val="FootnoteReference"/>
          <w:rFonts w:ascii="Times New Roman" w:hAnsi="Times New Roman" w:cs="Times New Roman"/>
        </w:rPr>
        <w:footnoteReference w:id="1"/>
      </w:r>
      <w:r w:rsidR="00324157">
        <w:rPr>
          <w:rFonts w:ascii="Times New Roman" w:hAnsi="Times New Roman" w:cs="Times New Roman"/>
        </w:rPr>
        <w:t xml:space="preserve">  </w:t>
      </w:r>
      <w:r w:rsidR="0090757A">
        <w:rPr>
          <w:rFonts w:ascii="Times New Roman" w:hAnsi="Times New Roman" w:cs="Times New Roman"/>
        </w:rPr>
        <w:t xml:space="preserve">The information </w:t>
      </w:r>
      <w:r w:rsidR="00324157">
        <w:rPr>
          <w:rFonts w:ascii="Times New Roman" w:hAnsi="Times New Roman" w:cs="Times New Roman"/>
        </w:rPr>
        <w:t xml:space="preserve">collection is integral to the framework of proposed rule </w:t>
      </w:r>
      <w:r w:rsidR="00DF7863">
        <w:rPr>
          <w:rFonts w:ascii="Times New Roman" w:hAnsi="Times New Roman" w:cs="Times New Roman"/>
        </w:rPr>
        <w:t>6c-11</w:t>
      </w:r>
      <w:r w:rsidR="00324157">
        <w:rPr>
          <w:rFonts w:ascii="Times New Roman" w:hAnsi="Times New Roman" w:cs="Times New Roman"/>
        </w:rPr>
        <w:t xml:space="preserve"> and therefore </w:t>
      </w:r>
      <w:r w:rsidR="00324157">
        <w:t>necessary to help further the proposed rule’s aforementioned goals.</w:t>
      </w:r>
      <w:r w:rsidR="00FA3F97">
        <w:t xml:space="preserve">  </w:t>
      </w:r>
      <w:r w:rsidR="00FA3F97">
        <w:rPr>
          <w:rFonts w:ascii="Times New Roman" w:hAnsi="Times New Roman" w:cs="Times New Roman"/>
        </w:rPr>
        <w:t xml:space="preserve">The information collection would </w:t>
      </w:r>
      <w:r w:rsidR="00FA3F97" w:rsidRPr="00976079">
        <w:rPr>
          <w:rFonts w:ascii="Times New Roman" w:hAnsi="Times New Roman" w:cs="Times New Roman"/>
        </w:rPr>
        <w:t>also assist the Commission’s examination staff in a</w:t>
      </w:r>
      <w:r w:rsidR="00FA3F97">
        <w:rPr>
          <w:rFonts w:ascii="Times New Roman" w:hAnsi="Times New Roman" w:cs="Times New Roman"/>
        </w:rPr>
        <w:t>ssessing ETFs’</w:t>
      </w:r>
      <w:r w:rsidR="00FA3F97" w:rsidRPr="00976079">
        <w:rPr>
          <w:rFonts w:ascii="Times New Roman" w:hAnsi="Times New Roman" w:cs="Times New Roman"/>
        </w:rPr>
        <w:t xml:space="preserve"> </w:t>
      </w:r>
      <w:r w:rsidR="00FA3F97">
        <w:rPr>
          <w:rFonts w:ascii="Times New Roman" w:hAnsi="Times New Roman" w:cs="Times New Roman"/>
        </w:rPr>
        <w:t>compliance with the conditions of proposed rule 6c-11.</w:t>
      </w:r>
    </w:p>
    <w:p w:rsidR="009520B5" w:rsidRPr="00976079" w:rsidRDefault="009520B5" w:rsidP="00CC026A">
      <w:pPr>
        <w:pStyle w:val="Heading2"/>
        <w:tabs>
          <w:tab w:val="clear" w:pos="1080"/>
          <w:tab w:val="num" w:pos="1440"/>
        </w:tabs>
        <w:spacing w:before="0" w:after="0" w:line="480" w:lineRule="auto"/>
        <w:ind w:left="1440"/>
        <w:rPr>
          <w:rFonts w:ascii="Times New Roman" w:hAnsi="Times New Roman" w:cs="Times New Roman"/>
        </w:rPr>
      </w:pPr>
      <w:r w:rsidRPr="00976079">
        <w:rPr>
          <w:rFonts w:ascii="Times New Roman" w:hAnsi="Times New Roman" w:cs="Times New Roman"/>
        </w:rPr>
        <w:lastRenderedPageBreak/>
        <w:t>Purpose and Use of the Information Collection</w:t>
      </w:r>
    </w:p>
    <w:p w:rsidR="009520B5" w:rsidRPr="00976079" w:rsidRDefault="008214AD" w:rsidP="00E931C5">
      <w:pPr>
        <w:pStyle w:val="BodyText"/>
        <w:spacing w:before="0" w:after="0" w:line="480" w:lineRule="auto"/>
        <w:ind w:firstLine="720"/>
        <w:rPr>
          <w:rFonts w:ascii="Times New Roman" w:hAnsi="Times New Roman" w:cs="Times New Roman"/>
        </w:rPr>
      </w:pPr>
      <w:r w:rsidRPr="008214AD">
        <w:rPr>
          <w:rFonts w:ascii="Times New Roman" w:hAnsi="Times New Roman" w:cs="Times New Roman"/>
        </w:rPr>
        <w:t xml:space="preserve">The collection of information under </w:t>
      </w:r>
      <w:r w:rsidR="00FA3F97">
        <w:rPr>
          <w:rFonts w:ascii="Times New Roman" w:hAnsi="Times New Roman" w:cs="Times New Roman"/>
        </w:rPr>
        <w:t xml:space="preserve">proposed </w:t>
      </w:r>
      <w:r w:rsidRPr="008214AD">
        <w:rPr>
          <w:rFonts w:ascii="Times New Roman" w:hAnsi="Times New Roman" w:cs="Times New Roman"/>
        </w:rPr>
        <w:t xml:space="preserve">rule </w:t>
      </w:r>
      <w:r w:rsidR="00FA3F97">
        <w:rPr>
          <w:rFonts w:ascii="Times New Roman" w:hAnsi="Times New Roman" w:cs="Times New Roman"/>
        </w:rPr>
        <w:t>6c-11</w:t>
      </w:r>
      <w:r w:rsidRPr="008214AD">
        <w:rPr>
          <w:rFonts w:ascii="Times New Roman" w:hAnsi="Times New Roman" w:cs="Times New Roman"/>
        </w:rPr>
        <w:t xml:space="preserve"> </w:t>
      </w:r>
      <w:r w:rsidR="00FA3F97">
        <w:rPr>
          <w:rFonts w:ascii="Times New Roman" w:hAnsi="Times New Roman" w:cs="Times New Roman"/>
        </w:rPr>
        <w:t xml:space="preserve">is integral to the framework of proposed rule 6c-11 and therefore </w:t>
      </w:r>
      <w:r w:rsidR="00FA3F97">
        <w:t xml:space="preserve">necessary to help further the proposed rule’s goals of creating </w:t>
      </w:r>
      <w:r w:rsidR="00FA3F97" w:rsidRPr="00BA531F">
        <w:rPr>
          <w:rFonts w:asciiTheme="majorBidi" w:eastAsia="Times New Roman" w:hAnsiTheme="majorBidi"/>
          <w:color w:val="000000" w:themeColor="text1"/>
        </w:rPr>
        <w:t xml:space="preserve">a consistent, transparent, and efficient regulatory framework for such </w:t>
      </w:r>
      <w:r w:rsidR="00FA3F97">
        <w:rPr>
          <w:rFonts w:asciiTheme="majorBidi" w:eastAsia="Times New Roman" w:hAnsiTheme="majorBidi"/>
          <w:color w:val="000000" w:themeColor="text1"/>
        </w:rPr>
        <w:t>ETFs and facilitating</w:t>
      </w:r>
      <w:r w:rsidR="00FA3F97" w:rsidRPr="00BA531F">
        <w:rPr>
          <w:rFonts w:asciiTheme="majorBidi" w:eastAsia="Times New Roman" w:hAnsiTheme="majorBidi"/>
          <w:color w:val="000000" w:themeColor="text1"/>
        </w:rPr>
        <w:t xml:space="preserve"> greater competition and innovation among ETFs.</w:t>
      </w:r>
      <w:r w:rsidR="0090757A">
        <w:rPr>
          <w:rFonts w:ascii="Times New Roman" w:hAnsi="Times New Roman" w:cs="Times New Roman"/>
        </w:rPr>
        <w:t xml:space="preserve">  </w:t>
      </w:r>
      <w:r w:rsidR="00FA3F97">
        <w:rPr>
          <w:rFonts w:ascii="Times New Roman" w:hAnsi="Times New Roman" w:cs="Times New Roman"/>
        </w:rPr>
        <w:t xml:space="preserve">The information collection would </w:t>
      </w:r>
      <w:r w:rsidR="00FA3F97" w:rsidRPr="00976079">
        <w:rPr>
          <w:rFonts w:ascii="Times New Roman" w:hAnsi="Times New Roman" w:cs="Times New Roman"/>
        </w:rPr>
        <w:t>also assist the Commission’s examination staff in a</w:t>
      </w:r>
      <w:r w:rsidR="00FA3F97">
        <w:rPr>
          <w:rFonts w:ascii="Times New Roman" w:hAnsi="Times New Roman" w:cs="Times New Roman"/>
        </w:rPr>
        <w:t>ssessing ETFs’</w:t>
      </w:r>
      <w:r w:rsidR="00FA3F97" w:rsidRPr="00976079">
        <w:rPr>
          <w:rFonts w:ascii="Times New Roman" w:hAnsi="Times New Roman" w:cs="Times New Roman"/>
        </w:rPr>
        <w:t xml:space="preserve"> </w:t>
      </w:r>
      <w:r w:rsidR="00FA3F97">
        <w:rPr>
          <w:rFonts w:ascii="Times New Roman" w:hAnsi="Times New Roman" w:cs="Times New Roman"/>
        </w:rPr>
        <w:t xml:space="preserve">compliance with the conditions of proposed rule 6c-11.  </w:t>
      </w:r>
      <w:r w:rsidR="00FA3F97" w:rsidRPr="00FA3F97">
        <w:rPr>
          <w:rFonts w:ascii="Times New Roman" w:hAnsi="Times New Roman" w:cs="Times New Roman"/>
        </w:rPr>
        <w:t>The respondents to proposed rule 6c-11 would be ETFs registered as open-end management investment companies other than ETFs within multiple-class funds or leveraged ETFs</w:t>
      </w:r>
      <w:r w:rsidR="00FA3F97">
        <w:rPr>
          <w:rFonts w:ascii="Times New Roman" w:hAnsi="Times New Roman" w:cs="Times New Roman"/>
        </w:rPr>
        <w:t>.</w:t>
      </w:r>
    </w:p>
    <w:p w:rsidR="009520B5" w:rsidRPr="00976079" w:rsidRDefault="009520B5" w:rsidP="00CC026A">
      <w:pPr>
        <w:pStyle w:val="Heading2"/>
        <w:tabs>
          <w:tab w:val="clear" w:pos="1080"/>
          <w:tab w:val="num" w:pos="1440"/>
        </w:tabs>
        <w:spacing w:before="0" w:after="0" w:line="480" w:lineRule="auto"/>
        <w:ind w:left="1440"/>
        <w:rPr>
          <w:rFonts w:ascii="Times New Roman" w:hAnsi="Times New Roman" w:cs="Times New Roman"/>
        </w:rPr>
      </w:pPr>
      <w:r w:rsidRPr="00976079">
        <w:rPr>
          <w:rFonts w:ascii="Times New Roman" w:hAnsi="Times New Roman" w:cs="Times New Roman"/>
        </w:rPr>
        <w:t>Consideration Given to Information Technology</w:t>
      </w:r>
    </w:p>
    <w:p w:rsidR="002E45D1" w:rsidRPr="00976079" w:rsidRDefault="00C03D6A" w:rsidP="00E931C5">
      <w:pPr>
        <w:pStyle w:val="BodyText"/>
        <w:spacing w:before="0" w:after="0" w:line="480" w:lineRule="auto"/>
        <w:ind w:firstLine="720"/>
        <w:rPr>
          <w:rFonts w:ascii="Times New Roman" w:hAnsi="Times New Roman" w:cs="Times New Roman"/>
        </w:rPr>
      </w:pPr>
      <w:r w:rsidRPr="00976079">
        <w:rPr>
          <w:rFonts w:ascii="Times New Roman" w:hAnsi="Times New Roman" w:cs="Times New Roman"/>
        </w:rPr>
        <w:t xml:space="preserve">Proposed rule </w:t>
      </w:r>
      <w:r w:rsidR="00FA3F97">
        <w:rPr>
          <w:rFonts w:ascii="Times New Roman" w:hAnsi="Times New Roman" w:cs="Times New Roman"/>
        </w:rPr>
        <w:t>6c-11</w:t>
      </w:r>
      <w:r w:rsidRPr="00976079">
        <w:rPr>
          <w:rFonts w:ascii="Times New Roman" w:hAnsi="Times New Roman" w:cs="Times New Roman"/>
        </w:rPr>
        <w:t xml:space="preserve"> </w:t>
      </w:r>
      <w:r w:rsidR="0090757A" w:rsidRPr="0090757A">
        <w:rPr>
          <w:rFonts w:ascii="Times New Roman" w:hAnsi="Times New Roman" w:cs="Times New Roman"/>
        </w:rPr>
        <w:t>does not require the reporting of any information or the filing of any documents with the Commission.  The Electronic Signatures in Gl</w:t>
      </w:r>
      <w:r w:rsidR="0090757A">
        <w:rPr>
          <w:rFonts w:ascii="Times New Roman" w:hAnsi="Times New Roman" w:cs="Times New Roman"/>
        </w:rPr>
        <w:t>obal and National Commerce Act</w:t>
      </w:r>
      <w:r w:rsidR="008F1FBA">
        <w:rPr>
          <w:rStyle w:val="FootnoteReference"/>
          <w:rFonts w:ascii="Times New Roman" w:hAnsi="Times New Roman" w:cs="Times New Roman"/>
        </w:rPr>
        <w:footnoteReference w:id="2"/>
      </w:r>
      <w:r w:rsidR="0090757A">
        <w:rPr>
          <w:rFonts w:ascii="Times New Roman" w:hAnsi="Times New Roman" w:cs="Times New Roman"/>
        </w:rPr>
        <w:t xml:space="preserve"> </w:t>
      </w:r>
      <w:r w:rsidR="008F1FBA">
        <w:rPr>
          <w:rFonts w:ascii="Times New Roman" w:hAnsi="Times New Roman" w:cs="Times New Roman"/>
        </w:rPr>
        <w:t xml:space="preserve">and </w:t>
      </w:r>
      <w:r w:rsidR="0090757A" w:rsidRPr="0090757A">
        <w:rPr>
          <w:rFonts w:ascii="Times New Roman" w:hAnsi="Times New Roman" w:cs="Times New Roman"/>
        </w:rPr>
        <w:t xml:space="preserve">conforming amendments to rules under the </w:t>
      </w:r>
      <w:r w:rsidR="00FA3F97">
        <w:rPr>
          <w:rFonts w:ascii="Times New Roman" w:hAnsi="Times New Roman" w:cs="Times New Roman"/>
        </w:rPr>
        <w:t xml:space="preserve">Investment </w:t>
      </w:r>
      <w:r w:rsidR="008F1FBA">
        <w:rPr>
          <w:rFonts w:ascii="Times New Roman" w:hAnsi="Times New Roman" w:cs="Times New Roman"/>
        </w:rPr>
        <w:t>Advisers Act</w:t>
      </w:r>
      <w:r w:rsidR="0090757A" w:rsidRPr="0090757A">
        <w:rPr>
          <w:rFonts w:ascii="Times New Roman" w:hAnsi="Times New Roman" w:cs="Times New Roman"/>
        </w:rPr>
        <w:t xml:space="preserve"> </w:t>
      </w:r>
      <w:r w:rsidR="00FA3F97">
        <w:rPr>
          <w:rFonts w:ascii="Times New Roman" w:hAnsi="Times New Roman" w:cs="Times New Roman"/>
        </w:rPr>
        <w:t xml:space="preserve">of 1940 </w:t>
      </w:r>
      <w:r w:rsidR="008F1FBA">
        <w:rPr>
          <w:rFonts w:ascii="Times New Roman" w:hAnsi="Times New Roman" w:cs="Times New Roman"/>
        </w:rPr>
        <w:t xml:space="preserve">permit </w:t>
      </w:r>
      <w:r w:rsidR="00FA3F97">
        <w:rPr>
          <w:rFonts w:ascii="Times New Roman" w:hAnsi="Times New Roman" w:cs="Times New Roman"/>
        </w:rPr>
        <w:t xml:space="preserve">ETF </w:t>
      </w:r>
      <w:r w:rsidR="008F1FBA">
        <w:rPr>
          <w:rFonts w:ascii="Times New Roman" w:hAnsi="Times New Roman" w:cs="Times New Roman"/>
        </w:rPr>
        <w:t>advisers</w:t>
      </w:r>
      <w:r w:rsidR="0090757A" w:rsidRPr="0090757A">
        <w:rPr>
          <w:rFonts w:ascii="Times New Roman" w:hAnsi="Times New Roman" w:cs="Times New Roman"/>
        </w:rPr>
        <w:t xml:space="preserve"> to maintain records electronically.</w:t>
      </w:r>
      <w:r w:rsidRPr="00976079">
        <w:rPr>
          <w:rFonts w:ascii="Times New Roman" w:hAnsi="Times New Roman" w:cs="Times New Roman"/>
        </w:rPr>
        <w:t xml:space="preserve">  </w:t>
      </w:r>
    </w:p>
    <w:p w:rsidR="009520B5" w:rsidRPr="00976079" w:rsidRDefault="009520B5" w:rsidP="00CC026A">
      <w:pPr>
        <w:pStyle w:val="Heading2"/>
        <w:tabs>
          <w:tab w:val="clear" w:pos="1080"/>
          <w:tab w:val="num" w:pos="1440"/>
        </w:tabs>
        <w:spacing w:before="0" w:after="0" w:line="480" w:lineRule="auto"/>
        <w:ind w:left="1440"/>
        <w:rPr>
          <w:rFonts w:ascii="Times New Roman" w:hAnsi="Times New Roman" w:cs="Times New Roman"/>
        </w:rPr>
      </w:pPr>
      <w:r w:rsidRPr="00976079">
        <w:rPr>
          <w:rFonts w:ascii="Times New Roman" w:hAnsi="Times New Roman" w:cs="Times New Roman"/>
        </w:rPr>
        <w:t>Duplication</w:t>
      </w:r>
    </w:p>
    <w:p w:rsidR="009520B5" w:rsidRPr="00E418D1" w:rsidRDefault="008F1FBA" w:rsidP="00E931C5">
      <w:pPr>
        <w:pStyle w:val="BodyText"/>
        <w:spacing w:before="0" w:after="0" w:line="480" w:lineRule="auto"/>
        <w:ind w:firstLine="720"/>
        <w:rPr>
          <w:rFonts w:ascii="Times New Roman" w:hAnsi="Times New Roman" w:cs="Times New Roman"/>
        </w:rPr>
      </w:pPr>
      <w:r w:rsidRPr="00E418D1">
        <w:rPr>
          <w:rFonts w:ascii="Times New Roman" w:hAnsi="Times New Roman" w:cs="Times New Roman"/>
        </w:rPr>
        <w:t xml:space="preserve">The Commission periodically evaluates rule-based reporting and recordkeeping requirements for duplication and reevaluates them whenever it proposes a rule or a change in a rule.  The information collection that would be required by rule proposed rule </w:t>
      </w:r>
      <w:r w:rsidR="00FA3F97">
        <w:rPr>
          <w:rFonts w:ascii="Times New Roman" w:hAnsi="Times New Roman" w:cs="Times New Roman"/>
        </w:rPr>
        <w:t>6c-11</w:t>
      </w:r>
      <w:r w:rsidRPr="00E418D1">
        <w:rPr>
          <w:rFonts w:ascii="Times New Roman" w:hAnsi="Times New Roman" w:cs="Times New Roman"/>
        </w:rPr>
        <w:t xml:space="preserve"> is not duplicated elsewhere.</w:t>
      </w:r>
    </w:p>
    <w:p w:rsidR="009520B5" w:rsidRPr="00976079" w:rsidRDefault="009520B5" w:rsidP="00CC026A">
      <w:pPr>
        <w:pStyle w:val="Heading2"/>
        <w:tabs>
          <w:tab w:val="clear" w:pos="1080"/>
          <w:tab w:val="num" w:pos="1440"/>
        </w:tabs>
        <w:spacing w:before="0" w:after="0" w:line="480" w:lineRule="auto"/>
        <w:ind w:left="1440"/>
        <w:rPr>
          <w:rFonts w:ascii="Times New Roman" w:hAnsi="Times New Roman" w:cs="Times New Roman"/>
        </w:rPr>
      </w:pPr>
      <w:r w:rsidRPr="00976079">
        <w:rPr>
          <w:rFonts w:ascii="Times New Roman" w:hAnsi="Times New Roman" w:cs="Times New Roman"/>
        </w:rPr>
        <w:t>Effect on Small Entities</w:t>
      </w:r>
    </w:p>
    <w:p w:rsidR="00AE484F" w:rsidRDefault="00AC2CEF" w:rsidP="00AE484F">
      <w:pPr>
        <w:spacing w:line="480" w:lineRule="auto"/>
        <w:rPr>
          <w:rFonts w:asciiTheme="majorBidi" w:hAnsiTheme="majorBidi"/>
          <w:color w:val="000000" w:themeColor="text1"/>
        </w:rPr>
      </w:pPr>
      <w:r>
        <w:rPr>
          <w:rFonts w:ascii="Times New Roman" w:hAnsi="Times New Roman" w:cs="Times New Roman"/>
        </w:rPr>
        <w:tab/>
      </w:r>
      <w:r w:rsidR="009520B5" w:rsidRPr="00976079">
        <w:rPr>
          <w:rFonts w:ascii="Times New Roman" w:hAnsi="Times New Roman" w:cs="Times New Roman"/>
        </w:rPr>
        <w:t xml:space="preserve">The information collection requirements of </w:t>
      </w:r>
      <w:r w:rsidR="00C03D6A" w:rsidRPr="00976079">
        <w:rPr>
          <w:rFonts w:ascii="Times New Roman" w:hAnsi="Times New Roman" w:cs="Times New Roman"/>
        </w:rPr>
        <w:t xml:space="preserve">proposed </w:t>
      </w:r>
      <w:r w:rsidR="009520B5" w:rsidRPr="00976079">
        <w:rPr>
          <w:rFonts w:ascii="Times New Roman" w:hAnsi="Times New Roman" w:cs="Times New Roman"/>
        </w:rPr>
        <w:t xml:space="preserve">rule </w:t>
      </w:r>
      <w:r w:rsidR="00FA3F97">
        <w:rPr>
          <w:rFonts w:ascii="Times New Roman" w:hAnsi="Times New Roman" w:cs="Times New Roman"/>
        </w:rPr>
        <w:t>6c-11</w:t>
      </w:r>
      <w:r w:rsidR="009520B5" w:rsidRPr="00976079">
        <w:rPr>
          <w:rFonts w:ascii="Times New Roman" w:hAnsi="Times New Roman" w:cs="Times New Roman"/>
        </w:rPr>
        <w:t xml:space="preserve"> do not distinguish between small entities and other </w:t>
      </w:r>
      <w:r>
        <w:rPr>
          <w:rFonts w:ascii="Times New Roman" w:hAnsi="Times New Roman" w:cs="Times New Roman"/>
        </w:rPr>
        <w:t>entities</w:t>
      </w:r>
      <w:r w:rsidR="00AE484F">
        <w:rPr>
          <w:rFonts w:ascii="Times New Roman" w:hAnsi="Times New Roman" w:cs="Times New Roman"/>
        </w:rPr>
        <w:t xml:space="preserve">.  </w:t>
      </w:r>
      <w:r w:rsidR="00AE484F" w:rsidRPr="00BA531F">
        <w:rPr>
          <w:rFonts w:asciiTheme="majorBidi" w:hAnsiTheme="majorBidi"/>
          <w:color w:val="000000" w:themeColor="text1"/>
        </w:rPr>
        <w:t xml:space="preserve">We do not believe that exempting any subset of </w:t>
      </w:r>
      <w:r w:rsidR="00AE484F" w:rsidRPr="00BA531F">
        <w:rPr>
          <w:rFonts w:asciiTheme="majorBidi" w:hAnsiTheme="majorBidi"/>
          <w:color w:val="000000" w:themeColor="text1"/>
        </w:rPr>
        <w:lastRenderedPageBreak/>
        <w:t xml:space="preserve">ETFs, including small entities, from proposed rule 6c-11 would permit </w:t>
      </w:r>
      <w:r w:rsidRPr="00BA531F">
        <w:rPr>
          <w:rFonts w:asciiTheme="majorBidi" w:eastAsia="Times New Roman" w:hAnsiTheme="majorBidi"/>
          <w:color w:val="000000" w:themeColor="text1"/>
        </w:rPr>
        <w:t>the Commission</w:t>
      </w:r>
      <w:r w:rsidR="00AE484F" w:rsidRPr="00BA531F">
        <w:rPr>
          <w:rFonts w:asciiTheme="majorBidi" w:hAnsiTheme="majorBidi"/>
          <w:color w:val="000000" w:themeColor="text1"/>
        </w:rPr>
        <w:t xml:space="preserve"> to achieve </w:t>
      </w:r>
      <w:r>
        <w:rPr>
          <w:rFonts w:asciiTheme="majorBidi" w:hAnsiTheme="majorBidi"/>
          <w:color w:val="000000" w:themeColor="text1"/>
        </w:rPr>
        <w:t xml:space="preserve">its stated objectives.  </w:t>
      </w:r>
      <w:r w:rsidR="00AE484F">
        <w:rPr>
          <w:rFonts w:asciiTheme="majorBidi" w:hAnsiTheme="majorBidi"/>
          <w:color w:val="000000" w:themeColor="text1"/>
        </w:rPr>
        <w:t xml:space="preserve">Similarly, </w:t>
      </w:r>
      <w:r w:rsidRPr="00BA531F">
        <w:rPr>
          <w:rFonts w:asciiTheme="majorBidi" w:eastAsia="Times New Roman" w:hAnsiTheme="majorBidi"/>
          <w:color w:val="000000" w:themeColor="text1"/>
        </w:rPr>
        <w:t>the Commission</w:t>
      </w:r>
      <w:r>
        <w:rPr>
          <w:rFonts w:asciiTheme="majorBidi" w:eastAsia="Times New Roman" w:hAnsiTheme="majorBidi"/>
          <w:color w:val="000000" w:themeColor="text1"/>
        </w:rPr>
        <w:t xml:space="preserve"> does</w:t>
      </w:r>
      <w:r w:rsidR="00AE484F">
        <w:rPr>
          <w:rFonts w:asciiTheme="majorBidi" w:hAnsiTheme="majorBidi"/>
          <w:color w:val="000000" w:themeColor="text1"/>
        </w:rPr>
        <w:t xml:space="preserve"> not believe that </w:t>
      </w:r>
      <w:r>
        <w:rPr>
          <w:rFonts w:asciiTheme="majorBidi" w:hAnsiTheme="majorBidi"/>
          <w:color w:val="000000" w:themeColor="text1"/>
        </w:rPr>
        <w:t>it</w:t>
      </w:r>
      <w:r w:rsidR="00AE484F">
        <w:rPr>
          <w:rFonts w:asciiTheme="majorBidi" w:hAnsiTheme="majorBidi"/>
          <w:color w:val="000000" w:themeColor="text1"/>
        </w:rPr>
        <w:t xml:space="preserve"> can establish simplified or consolidated compliance requirements for small entities under the proposed rule without compromising </w:t>
      </w:r>
      <w:r>
        <w:rPr>
          <w:rFonts w:asciiTheme="majorBidi" w:hAnsiTheme="majorBidi"/>
          <w:color w:val="000000" w:themeColor="text1"/>
        </w:rPr>
        <w:t>its</w:t>
      </w:r>
      <w:r w:rsidR="00AE484F">
        <w:rPr>
          <w:rFonts w:asciiTheme="majorBidi" w:hAnsiTheme="majorBidi"/>
          <w:color w:val="000000" w:themeColor="text1"/>
        </w:rPr>
        <w:t xml:space="preserve"> objectives.  </w:t>
      </w:r>
      <w:r>
        <w:rPr>
          <w:rFonts w:asciiTheme="majorBidi" w:hAnsiTheme="majorBidi"/>
          <w:color w:val="000000" w:themeColor="text1"/>
        </w:rPr>
        <w:t>T</w:t>
      </w:r>
      <w:r w:rsidR="00AE484F" w:rsidRPr="00BA531F">
        <w:rPr>
          <w:rFonts w:asciiTheme="majorBidi" w:hAnsiTheme="majorBidi"/>
          <w:color w:val="000000" w:themeColor="text1"/>
        </w:rPr>
        <w:t>he conditions necessary to rely on proposed rule 6c-11 are designed to provide investor protection benefits.  These benefits should apply to investors in smaller funds as well as investors in larger funds.</w:t>
      </w:r>
      <w:r>
        <w:rPr>
          <w:rFonts w:asciiTheme="majorBidi" w:hAnsiTheme="majorBidi"/>
          <w:color w:val="000000" w:themeColor="text1"/>
        </w:rPr>
        <w:t xml:space="preserve"> </w:t>
      </w:r>
    </w:p>
    <w:p w:rsidR="009520B5" w:rsidRPr="00976079" w:rsidRDefault="00AE484F" w:rsidP="00AE484F">
      <w:pPr>
        <w:pStyle w:val="BodyText"/>
        <w:spacing w:before="0" w:after="0" w:line="480" w:lineRule="auto"/>
        <w:ind w:firstLine="720"/>
        <w:rPr>
          <w:rFonts w:ascii="Times New Roman" w:hAnsi="Times New Roman" w:cs="Times New Roman"/>
        </w:rPr>
      </w:pPr>
      <w:r w:rsidRPr="00BA531F">
        <w:rPr>
          <w:rFonts w:asciiTheme="majorBidi" w:hAnsiTheme="majorBidi"/>
          <w:color w:val="000000" w:themeColor="text1"/>
        </w:rPr>
        <w:t xml:space="preserve">Finally, </w:t>
      </w:r>
      <w:r w:rsidR="00F331AE" w:rsidRPr="00BA531F">
        <w:rPr>
          <w:rFonts w:asciiTheme="majorBidi" w:eastAsia="Times New Roman" w:hAnsiTheme="majorBidi"/>
          <w:color w:val="000000" w:themeColor="text1"/>
        </w:rPr>
        <w:t>the Commission</w:t>
      </w:r>
      <w:r w:rsidRPr="00BA531F">
        <w:rPr>
          <w:rFonts w:asciiTheme="majorBidi" w:hAnsiTheme="majorBidi"/>
          <w:color w:val="000000" w:themeColor="text1"/>
        </w:rPr>
        <w:t xml:space="preserve"> believe</w:t>
      </w:r>
      <w:r w:rsidR="00F331AE">
        <w:rPr>
          <w:rFonts w:asciiTheme="majorBidi" w:hAnsiTheme="majorBidi"/>
          <w:color w:val="000000" w:themeColor="text1"/>
        </w:rPr>
        <w:t>s</w:t>
      </w:r>
      <w:r w:rsidRPr="00BA531F">
        <w:rPr>
          <w:rFonts w:asciiTheme="majorBidi" w:hAnsiTheme="majorBidi"/>
          <w:color w:val="000000" w:themeColor="text1"/>
        </w:rPr>
        <w:t xml:space="preserve"> that proposed rule 6c-11 appropriately use</w:t>
      </w:r>
      <w:r w:rsidR="00F331AE">
        <w:rPr>
          <w:rFonts w:asciiTheme="majorBidi" w:hAnsiTheme="majorBidi"/>
          <w:color w:val="000000" w:themeColor="text1"/>
        </w:rPr>
        <w:t>s</w:t>
      </w:r>
      <w:r w:rsidRPr="00BA531F">
        <w:rPr>
          <w:rFonts w:asciiTheme="majorBidi" w:hAnsiTheme="majorBidi"/>
          <w:color w:val="000000" w:themeColor="text1"/>
        </w:rPr>
        <w:t xml:space="preserve"> a combination of performance and design standards.  Proposed rule 6c-11 provides ETFs that satisfy the requirements of the rule with exemptions from certain provisions of the Act necessary for ETFs to operate.  Because the provisions of the Act from which ETFs would be exempt provide important investor and market protections, the conditions of the proposed rule must be specifically designed to ensure that these investor and market protections are maintained.  However, where </w:t>
      </w:r>
      <w:r w:rsidR="00F331AE" w:rsidRPr="00BA531F">
        <w:rPr>
          <w:rFonts w:asciiTheme="majorBidi" w:eastAsia="Times New Roman" w:hAnsiTheme="majorBidi"/>
          <w:color w:val="000000" w:themeColor="text1"/>
        </w:rPr>
        <w:t>the Commission</w:t>
      </w:r>
      <w:r w:rsidRPr="00BA531F">
        <w:rPr>
          <w:rFonts w:asciiTheme="majorBidi" w:hAnsiTheme="majorBidi"/>
          <w:color w:val="000000" w:themeColor="text1"/>
        </w:rPr>
        <w:t xml:space="preserve"> believe</w:t>
      </w:r>
      <w:r w:rsidR="00F331AE">
        <w:rPr>
          <w:rFonts w:asciiTheme="majorBidi" w:hAnsiTheme="majorBidi"/>
          <w:color w:val="000000" w:themeColor="text1"/>
        </w:rPr>
        <w:t>s</w:t>
      </w:r>
      <w:r w:rsidRPr="00BA531F">
        <w:rPr>
          <w:rFonts w:asciiTheme="majorBidi" w:hAnsiTheme="majorBidi"/>
          <w:color w:val="000000" w:themeColor="text1"/>
        </w:rPr>
        <w:t xml:space="preserve"> that flexibility is beneficial, </w:t>
      </w:r>
      <w:r w:rsidR="00F331AE">
        <w:rPr>
          <w:rFonts w:asciiTheme="majorBidi" w:hAnsiTheme="majorBidi"/>
          <w:color w:val="000000" w:themeColor="text1"/>
        </w:rPr>
        <w:t>it</w:t>
      </w:r>
      <w:r w:rsidRPr="00BA531F">
        <w:rPr>
          <w:rFonts w:asciiTheme="majorBidi" w:hAnsiTheme="majorBidi"/>
          <w:color w:val="000000" w:themeColor="text1"/>
        </w:rPr>
        <w:t xml:space="preserve"> proposed performance-based standards that provide a regulatory framework, rather than prescriptive requirements, to give funds the opportunity to adopt policies and procedures tailored to their specific needs without raising investor or market protection concerns.</w:t>
      </w:r>
    </w:p>
    <w:p w:rsidR="009520B5" w:rsidRPr="00976079" w:rsidRDefault="009520B5" w:rsidP="00E931C5">
      <w:pPr>
        <w:pStyle w:val="Heading2"/>
        <w:tabs>
          <w:tab w:val="clear" w:pos="1080"/>
          <w:tab w:val="num" w:pos="1440"/>
        </w:tabs>
        <w:spacing w:before="0" w:after="0" w:line="480" w:lineRule="auto"/>
        <w:ind w:left="1440"/>
        <w:rPr>
          <w:rFonts w:ascii="Times New Roman" w:hAnsi="Times New Roman" w:cs="Times New Roman"/>
        </w:rPr>
      </w:pPr>
      <w:r w:rsidRPr="00976079">
        <w:rPr>
          <w:rFonts w:ascii="Times New Roman" w:hAnsi="Times New Roman" w:cs="Times New Roman"/>
        </w:rPr>
        <w:t>Consequences of Not Conducting Collection</w:t>
      </w:r>
    </w:p>
    <w:p w:rsidR="0047379F" w:rsidRPr="00976079" w:rsidRDefault="00521071" w:rsidP="00E931C5">
      <w:pPr>
        <w:pStyle w:val="BodyText"/>
        <w:spacing w:before="0" w:after="0" w:line="480" w:lineRule="auto"/>
        <w:ind w:firstLine="720"/>
        <w:rPr>
          <w:rFonts w:ascii="Times New Roman" w:hAnsi="Times New Roman" w:cs="Times New Roman"/>
        </w:rPr>
      </w:pPr>
      <w:r w:rsidRPr="008214AD">
        <w:rPr>
          <w:rFonts w:ascii="Times New Roman" w:hAnsi="Times New Roman" w:cs="Times New Roman"/>
        </w:rPr>
        <w:t xml:space="preserve">The collection of information under </w:t>
      </w:r>
      <w:r>
        <w:rPr>
          <w:rFonts w:ascii="Times New Roman" w:hAnsi="Times New Roman" w:cs="Times New Roman"/>
        </w:rPr>
        <w:t xml:space="preserve">proposed </w:t>
      </w:r>
      <w:r w:rsidRPr="008214AD">
        <w:rPr>
          <w:rFonts w:ascii="Times New Roman" w:hAnsi="Times New Roman" w:cs="Times New Roman"/>
        </w:rPr>
        <w:t xml:space="preserve">rule </w:t>
      </w:r>
      <w:r>
        <w:rPr>
          <w:rFonts w:ascii="Times New Roman" w:hAnsi="Times New Roman" w:cs="Times New Roman"/>
        </w:rPr>
        <w:t>6c-11</w:t>
      </w:r>
      <w:r w:rsidRPr="008214AD">
        <w:rPr>
          <w:rFonts w:ascii="Times New Roman" w:hAnsi="Times New Roman" w:cs="Times New Roman"/>
        </w:rPr>
        <w:t xml:space="preserve"> </w:t>
      </w:r>
      <w:r>
        <w:rPr>
          <w:rFonts w:ascii="Times New Roman" w:hAnsi="Times New Roman" w:cs="Times New Roman"/>
        </w:rPr>
        <w:t xml:space="preserve">is integral to the framework of proposed rule 6c-11 and therefore </w:t>
      </w:r>
      <w:r>
        <w:t xml:space="preserve">necessary to help further the proposed rule’s goals of creating </w:t>
      </w:r>
      <w:r w:rsidRPr="00BA531F">
        <w:rPr>
          <w:rFonts w:asciiTheme="majorBidi" w:eastAsia="Times New Roman" w:hAnsiTheme="majorBidi"/>
          <w:color w:val="000000" w:themeColor="text1"/>
        </w:rPr>
        <w:t xml:space="preserve">a consistent, transparent, and efficient regulatory framework for such </w:t>
      </w:r>
      <w:r>
        <w:rPr>
          <w:rFonts w:asciiTheme="majorBidi" w:eastAsia="Times New Roman" w:hAnsiTheme="majorBidi"/>
          <w:color w:val="000000" w:themeColor="text1"/>
        </w:rPr>
        <w:t>ETFs and facilitating</w:t>
      </w:r>
      <w:r w:rsidRPr="00BA531F">
        <w:rPr>
          <w:rFonts w:asciiTheme="majorBidi" w:eastAsia="Times New Roman" w:hAnsiTheme="majorBidi"/>
          <w:color w:val="000000" w:themeColor="text1"/>
        </w:rPr>
        <w:t xml:space="preserve"> greater competition and innovation among ETFs.</w:t>
      </w:r>
      <w:r w:rsidR="0071191F">
        <w:rPr>
          <w:rFonts w:ascii="Times New Roman" w:hAnsi="Times New Roman" w:cs="Times New Roman"/>
        </w:rPr>
        <w:t xml:space="preserve"> </w:t>
      </w:r>
      <w:r w:rsidR="0071191F" w:rsidRPr="0071191F">
        <w:rPr>
          <w:rFonts w:ascii="Times New Roman" w:hAnsi="Times New Roman" w:cs="Times New Roman"/>
        </w:rPr>
        <w:t xml:space="preserve">  Thus, not requiring </w:t>
      </w:r>
      <w:r w:rsidR="0071191F">
        <w:rPr>
          <w:rFonts w:ascii="Times New Roman" w:hAnsi="Times New Roman" w:cs="Times New Roman"/>
        </w:rPr>
        <w:t>this collection of information</w:t>
      </w:r>
      <w:r>
        <w:rPr>
          <w:rFonts w:ascii="Times New Roman" w:hAnsi="Times New Roman" w:cs="Times New Roman"/>
        </w:rPr>
        <w:t xml:space="preserve"> would be incompatible with the </w:t>
      </w:r>
      <w:r w:rsidR="0071191F" w:rsidRPr="0071191F">
        <w:rPr>
          <w:rFonts w:ascii="Times New Roman" w:hAnsi="Times New Roman" w:cs="Times New Roman"/>
        </w:rPr>
        <w:t xml:space="preserve">goals of proposed rule </w:t>
      </w:r>
      <w:r>
        <w:rPr>
          <w:rFonts w:ascii="Times New Roman" w:hAnsi="Times New Roman" w:cs="Times New Roman"/>
        </w:rPr>
        <w:t>6c-11</w:t>
      </w:r>
      <w:r w:rsidR="0071191F" w:rsidRPr="0071191F">
        <w:rPr>
          <w:rFonts w:ascii="Times New Roman" w:hAnsi="Times New Roman" w:cs="Times New Roman"/>
        </w:rPr>
        <w:t>.</w:t>
      </w:r>
    </w:p>
    <w:p w:rsidR="009520B5" w:rsidRPr="00976079" w:rsidRDefault="00F92540" w:rsidP="00E931C5">
      <w:pPr>
        <w:pStyle w:val="Heading2"/>
        <w:tabs>
          <w:tab w:val="clear" w:pos="1080"/>
          <w:tab w:val="num" w:pos="1440"/>
        </w:tabs>
        <w:spacing w:before="0" w:after="0" w:line="480" w:lineRule="auto"/>
        <w:ind w:left="1440"/>
        <w:rPr>
          <w:rFonts w:ascii="Times New Roman" w:hAnsi="Times New Roman" w:cs="Times New Roman"/>
        </w:rPr>
      </w:pPr>
      <w:r w:rsidRPr="00976079">
        <w:rPr>
          <w:rFonts w:ascii="Times New Roman" w:hAnsi="Times New Roman" w:cs="Times New Roman"/>
        </w:rPr>
        <w:t>Inconsistencies w</w:t>
      </w:r>
      <w:r w:rsidR="009520B5" w:rsidRPr="00976079">
        <w:rPr>
          <w:rFonts w:ascii="Times New Roman" w:hAnsi="Times New Roman" w:cs="Times New Roman"/>
        </w:rPr>
        <w:t>ith Guidelines in 5 CFR 1320.5(d)(2)</w:t>
      </w:r>
    </w:p>
    <w:p w:rsidR="0047379F" w:rsidRPr="00976079" w:rsidRDefault="004D2A85" w:rsidP="006B4B05">
      <w:pPr>
        <w:spacing w:line="480" w:lineRule="auto"/>
        <w:ind w:firstLine="720"/>
        <w:rPr>
          <w:rFonts w:ascii="Times New Roman" w:hAnsi="Times New Roman" w:cs="Times New Roman"/>
        </w:rPr>
      </w:pPr>
      <w:r>
        <w:rPr>
          <w:rFonts w:asciiTheme="majorBidi" w:hAnsiTheme="majorBidi"/>
          <w:color w:val="000000" w:themeColor="text1"/>
        </w:rPr>
        <w:t xml:space="preserve">Proposed rule 6c-11 </w:t>
      </w:r>
      <w:r w:rsidRPr="00BA531F">
        <w:rPr>
          <w:rFonts w:asciiTheme="majorBidi" w:eastAsia="Times New Roman" w:hAnsiTheme="majorBidi"/>
          <w:color w:val="000000" w:themeColor="text1"/>
        </w:rPr>
        <w:t xml:space="preserve">requires </w:t>
      </w:r>
      <w:r w:rsidRPr="00BA531F">
        <w:rPr>
          <w:rFonts w:asciiTheme="majorBidi" w:hAnsiTheme="majorBidi"/>
          <w:color w:val="000000" w:themeColor="text1"/>
        </w:rPr>
        <w:t xml:space="preserve">ETFs to preserve and maintain copies of all written authorized participant agreements </w:t>
      </w:r>
      <w:r>
        <w:rPr>
          <w:rFonts w:asciiTheme="majorBidi" w:hAnsiTheme="majorBidi"/>
          <w:color w:val="000000" w:themeColor="text1"/>
        </w:rPr>
        <w:t xml:space="preserve">ETFs.  </w:t>
      </w:r>
      <w:r w:rsidRPr="00BA531F">
        <w:rPr>
          <w:rFonts w:asciiTheme="majorBidi" w:hAnsiTheme="majorBidi"/>
          <w:color w:val="000000" w:themeColor="text1"/>
        </w:rPr>
        <w:t xml:space="preserve">Additionally, </w:t>
      </w:r>
      <w:r>
        <w:rPr>
          <w:rFonts w:asciiTheme="majorBidi" w:hAnsiTheme="majorBidi"/>
          <w:color w:val="000000" w:themeColor="text1"/>
        </w:rPr>
        <w:t>6c-11 requires</w:t>
      </w:r>
      <w:r w:rsidRPr="00BA531F">
        <w:rPr>
          <w:rFonts w:asciiTheme="majorBidi" w:hAnsiTheme="majorBidi"/>
          <w:color w:val="000000" w:themeColor="text1"/>
        </w:rPr>
        <w:t xml:space="preserve"> ETFs to maintain records setting forth the following information for each basket exchanged with an authorized participant:  (i) the names and quantities of the positions </w:t>
      </w:r>
      <w:r>
        <w:rPr>
          <w:rFonts w:asciiTheme="majorBidi" w:hAnsiTheme="majorBidi"/>
          <w:color w:val="000000" w:themeColor="text1"/>
        </w:rPr>
        <w:t>composing</w:t>
      </w:r>
      <w:r w:rsidRPr="00BA531F">
        <w:rPr>
          <w:rFonts w:asciiTheme="majorBidi" w:hAnsiTheme="majorBidi"/>
          <w:color w:val="000000" w:themeColor="text1"/>
        </w:rPr>
        <w:t xml:space="preserve"> the basket; (ii) identification of the basket as a “custom basket” and a record stating that the custom basket complies with the ETF’s custom basket policies and procedures (if applicable); (iii) cash balancing amounts (if any); and (iv) the identity of the authorized participant conducting the transaction.</w:t>
      </w:r>
      <w:r>
        <w:rPr>
          <w:rFonts w:asciiTheme="majorBidi" w:hAnsiTheme="majorBidi"/>
          <w:color w:val="000000" w:themeColor="text1"/>
        </w:rPr>
        <w:t xml:space="preserve">  </w:t>
      </w:r>
      <w:r w:rsidRPr="00BA531F">
        <w:rPr>
          <w:rFonts w:asciiTheme="majorBidi" w:hAnsiTheme="majorBidi"/>
          <w:color w:val="000000" w:themeColor="text1"/>
        </w:rPr>
        <w:t>ETFs would have to maintain these records for at least five years</w:t>
      </w:r>
      <w:r w:rsidRPr="00AC71CD">
        <w:rPr>
          <w:rFonts w:asciiTheme="majorBidi" w:hAnsiTheme="majorBidi"/>
          <w:color w:val="000000" w:themeColor="text1"/>
        </w:rPr>
        <w:t>, the first two years in an easily accessible place</w:t>
      </w:r>
      <w:r w:rsidRPr="00BA531F">
        <w:rPr>
          <w:rFonts w:asciiTheme="majorBidi" w:hAnsiTheme="majorBidi"/>
          <w:color w:val="000000" w:themeColor="text1"/>
        </w:rPr>
        <w:t>.</w:t>
      </w:r>
      <w:r w:rsidR="006B4B05">
        <w:rPr>
          <w:rFonts w:ascii="Times New Roman" w:hAnsi="Times New Roman" w:cs="Times New Roman"/>
        </w:rPr>
        <w:t xml:space="preserve">  </w:t>
      </w:r>
      <w:r w:rsidR="0047379F" w:rsidRPr="00976079">
        <w:rPr>
          <w:rFonts w:ascii="Times New Roman" w:hAnsi="Times New Roman" w:cs="Times New Roman"/>
        </w:rPr>
        <w:t xml:space="preserve">Although this </w:t>
      </w:r>
      <w:r w:rsidR="00372DE9" w:rsidRPr="00976079">
        <w:rPr>
          <w:rFonts w:ascii="Times New Roman" w:hAnsi="Times New Roman" w:cs="Times New Roman"/>
        </w:rPr>
        <w:t xml:space="preserve">five-year </w:t>
      </w:r>
      <w:r w:rsidR="0047379F" w:rsidRPr="00976079">
        <w:rPr>
          <w:rFonts w:ascii="Times New Roman" w:hAnsi="Times New Roman" w:cs="Times New Roman"/>
        </w:rPr>
        <w:t xml:space="preserve">period exceeds the three-year guideline for most kinds of records under 5 CFR 1320.5(d)(2), the </w:t>
      </w:r>
      <w:r>
        <w:rPr>
          <w:rFonts w:ascii="Times New Roman" w:hAnsi="Times New Roman" w:cs="Times New Roman"/>
        </w:rPr>
        <w:t>Commission</w:t>
      </w:r>
      <w:r w:rsidR="0047379F" w:rsidRPr="00976079">
        <w:rPr>
          <w:rFonts w:ascii="Times New Roman" w:hAnsi="Times New Roman" w:cs="Times New Roman"/>
        </w:rPr>
        <w:t xml:space="preserve"> believes that this is warranted because the rule contributes to the effectiveness of the Commission’s examination and inspection program.  Because the period between examinations may be as long as five years, it is important that the Commission have access to records that cover the entire period between examinations.</w:t>
      </w:r>
      <w:r w:rsidR="00DC0283" w:rsidRPr="00976079">
        <w:rPr>
          <w:rFonts w:ascii="Times New Roman" w:hAnsi="Times New Roman" w:cs="Times New Roman"/>
        </w:rPr>
        <w:t xml:space="preserve">  </w:t>
      </w:r>
    </w:p>
    <w:p w:rsidR="009520B5" w:rsidRPr="00976079" w:rsidRDefault="009520B5" w:rsidP="00E931C5">
      <w:pPr>
        <w:pStyle w:val="Heading2"/>
        <w:tabs>
          <w:tab w:val="clear" w:pos="1080"/>
          <w:tab w:val="num" w:pos="1440"/>
        </w:tabs>
        <w:spacing w:before="0" w:after="0" w:line="480" w:lineRule="auto"/>
        <w:ind w:left="1440"/>
        <w:rPr>
          <w:rFonts w:ascii="Times New Roman" w:hAnsi="Times New Roman" w:cs="Times New Roman"/>
        </w:rPr>
      </w:pPr>
      <w:r w:rsidRPr="00976079">
        <w:rPr>
          <w:rFonts w:ascii="Times New Roman" w:hAnsi="Times New Roman" w:cs="Times New Roman"/>
        </w:rPr>
        <w:t>Consultation Outside the Agency</w:t>
      </w:r>
    </w:p>
    <w:p w:rsidR="009520B5" w:rsidRPr="00976079" w:rsidRDefault="009520B5" w:rsidP="00E931C5">
      <w:pPr>
        <w:pStyle w:val="BodyText"/>
        <w:spacing w:before="0" w:after="0" w:line="480" w:lineRule="auto"/>
        <w:ind w:firstLine="720"/>
        <w:rPr>
          <w:rFonts w:ascii="Times New Roman" w:hAnsi="Times New Roman" w:cs="Times New Roman"/>
        </w:rPr>
      </w:pPr>
      <w:r w:rsidRPr="00976079">
        <w:rPr>
          <w:rFonts w:ascii="Times New Roman" w:hAnsi="Times New Roman" w:cs="Times New Roman"/>
        </w:rPr>
        <w:t xml:space="preserve">Before adopting proposed rule </w:t>
      </w:r>
      <w:r w:rsidR="00575492">
        <w:rPr>
          <w:rFonts w:ascii="Times New Roman" w:hAnsi="Times New Roman" w:cs="Times New Roman"/>
        </w:rPr>
        <w:t>6c-11</w:t>
      </w:r>
      <w:r w:rsidRPr="00976079">
        <w:rPr>
          <w:rFonts w:ascii="Times New Roman" w:hAnsi="Times New Roman" w:cs="Times New Roman"/>
        </w:rPr>
        <w:t>, the Commission will receive and evaluate public comments on the proposal and its collection of information requirements.</w:t>
      </w:r>
      <w:r w:rsidR="0047379F" w:rsidRPr="00976079">
        <w:rPr>
          <w:rFonts w:ascii="Times New Roman" w:hAnsi="Times New Roman" w:cs="Times New Roman"/>
        </w:rPr>
        <w:t xml:space="preserve">  </w:t>
      </w:r>
      <w:r w:rsidRPr="00976079">
        <w:rPr>
          <w:rFonts w:ascii="Times New Roman" w:hAnsi="Times New Roman" w:cs="Times New Roman"/>
        </w:rPr>
        <w:t>Moreover, the Commission and the staff of the Division of Investment Management participate in an ongoing dialogue with representatives of the investment company industry through public conferences, meetings, and information exchanges.</w:t>
      </w:r>
      <w:r w:rsidR="0047379F" w:rsidRPr="00976079">
        <w:rPr>
          <w:rFonts w:ascii="Times New Roman" w:hAnsi="Times New Roman" w:cs="Times New Roman"/>
        </w:rPr>
        <w:t xml:space="preserve">  </w:t>
      </w:r>
      <w:r w:rsidRPr="00976079">
        <w:rPr>
          <w:rFonts w:ascii="Times New Roman" w:hAnsi="Times New Roman" w:cs="Times New Roman"/>
        </w:rPr>
        <w:t>These various forums provide the Commission and staff with a means of ascertaining and acting upon the paperwork burdens confronting the industry.</w:t>
      </w:r>
    </w:p>
    <w:p w:rsidR="009520B5" w:rsidRPr="00976079" w:rsidRDefault="009520B5" w:rsidP="00E931C5">
      <w:pPr>
        <w:pStyle w:val="Heading2"/>
        <w:tabs>
          <w:tab w:val="clear" w:pos="1080"/>
          <w:tab w:val="num" w:pos="1440"/>
        </w:tabs>
        <w:spacing w:before="0" w:after="0" w:line="480" w:lineRule="auto"/>
        <w:ind w:left="1440"/>
        <w:rPr>
          <w:rFonts w:ascii="Times New Roman" w:hAnsi="Times New Roman" w:cs="Times New Roman"/>
        </w:rPr>
      </w:pPr>
      <w:r w:rsidRPr="00976079">
        <w:rPr>
          <w:rFonts w:ascii="Times New Roman" w:hAnsi="Times New Roman" w:cs="Times New Roman"/>
        </w:rPr>
        <w:t>Payment or Gift</w:t>
      </w:r>
    </w:p>
    <w:p w:rsidR="009520B5" w:rsidRPr="00976079" w:rsidRDefault="009520B5" w:rsidP="00E931C5">
      <w:pPr>
        <w:pStyle w:val="BodyText"/>
        <w:spacing w:before="0" w:after="0" w:line="480" w:lineRule="auto"/>
        <w:ind w:firstLine="720"/>
        <w:rPr>
          <w:rFonts w:ascii="Times New Roman" w:hAnsi="Times New Roman" w:cs="Times New Roman"/>
        </w:rPr>
      </w:pPr>
      <w:r w:rsidRPr="00976079">
        <w:rPr>
          <w:rFonts w:ascii="Times New Roman" w:hAnsi="Times New Roman" w:cs="Times New Roman"/>
        </w:rPr>
        <w:t>No payment or gift to respondents was provided.</w:t>
      </w:r>
    </w:p>
    <w:p w:rsidR="009520B5" w:rsidRPr="00976079" w:rsidRDefault="009520B5" w:rsidP="00E931C5">
      <w:pPr>
        <w:pStyle w:val="Heading2"/>
        <w:tabs>
          <w:tab w:val="clear" w:pos="1080"/>
          <w:tab w:val="num" w:pos="1440"/>
        </w:tabs>
        <w:spacing w:before="0" w:after="0" w:line="480" w:lineRule="auto"/>
        <w:ind w:left="1440"/>
        <w:rPr>
          <w:rFonts w:ascii="Times New Roman" w:hAnsi="Times New Roman" w:cs="Times New Roman"/>
        </w:rPr>
      </w:pPr>
      <w:r w:rsidRPr="00976079">
        <w:rPr>
          <w:rFonts w:ascii="Times New Roman" w:hAnsi="Times New Roman" w:cs="Times New Roman"/>
        </w:rPr>
        <w:t>Confidentiality</w:t>
      </w:r>
    </w:p>
    <w:p w:rsidR="009520B5" w:rsidRPr="00C21D51" w:rsidRDefault="00C21D51" w:rsidP="005544D0">
      <w:pPr>
        <w:pStyle w:val="BodyText"/>
        <w:spacing w:line="480" w:lineRule="auto"/>
        <w:ind w:firstLine="720"/>
        <w:rPr>
          <w:rFonts w:ascii="Times New Roman" w:hAnsi="Times New Roman" w:cs="Times New Roman"/>
          <w:b/>
        </w:rPr>
      </w:pPr>
      <w:r w:rsidRPr="00C21D51">
        <w:rPr>
          <w:rFonts w:ascii="Times New Roman" w:hAnsi="Times New Roman" w:cs="Times New Roman"/>
        </w:rPr>
        <w:t xml:space="preserve">Responses provided to the Commission in connection with staff examinations or investigations would be kept confidential subject to the provisions of applicable law.  If information collected pursuant to proposed rule </w:t>
      </w:r>
      <w:r w:rsidR="004435B9">
        <w:rPr>
          <w:rFonts w:ascii="Times New Roman" w:hAnsi="Times New Roman" w:cs="Times New Roman"/>
        </w:rPr>
        <w:t xml:space="preserve">6c-11 </w:t>
      </w:r>
      <w:r w:rsidRPr="00C21D51">
        <w:rPr>
          <w:rFonts w:ascii="Times New Roman" w:hAnsi="Times New Roman" w:cs="Times New Roman"/>
        </w:rPr>
        <w:t>is reviewed by the Commission’s examination staff, it will be accorded the same level of confidentiality accorded to other responses provided to the Commission in the context of its examination and oversight program.</w:t>
      </w:r>
    </w:p>
    <w:p w:rsidR="009520B5" w:rsidRPr="00976079" w:rsidRDefault="009520B5" w:rsidP="00E931C5">
      <w:pPr>
        <w:pStyle w:val="Heading2"/>
        <w:tabs>
          <w:tab w:val="clear" w:pos="1080"/>
          <w:tab w:val="num" w:pos="1440"/>
        </w:tabs>
        <w:spacing w:before="0" w:after="0" w:line="480" w:lineRule="auto"/>
        <w:ind w:left="1440"/>
        <w:rPr>
          <w:rFonts w:ascii="Times New Roman" w:hAnsi="Times New Roman" w:cs="Times New Roman"/>
        </w:rPr>
      </w:pPr>
      <w:r w:rsidRPr="00976079">
        <w:rPr>
          <w:rFonts w:ascii="Times New Roman" w:hAnsi="Times New Roman" w:cs="Times New Roman"/>
        </w:rPr>
        <w:t>Sensitive Questions</w:t>
      </w:r>
    </w:p>
    <w:p w:rsidR="009520B5" w:rsidRPr="00C21D51" w:rsidRDefault="004435B9" w:rsidP="00E931C5">
      <w:pPr>
        <w:pStyle w:val="BodyText"/>
        <w:spacing w:before="0" w:after="0" w:line="480" w:lineRule="auto"/>
        <w:ind w:firstLine="720"/>
        <w:rPr>
          <w:rFonts w:ascii="Times New Roman" w:hAnsi="Times New Roman" w:cs="Times New Roman"/>
          <w:b/>
        </w:rPr>
      </w:pPr>
      <w:r w:rsidRPr="004435B9">
        <w:rPr>
          <w:rFonts w:ascii="Times New Roman" w:hAnsi="Times New Roman" w:cs="Times New Roman"/>
        </w:rPr>
        <w:t>No in</w:t>
      </w:r>
      <w:r>
        <w:rPr>
          <w:rFonts w:ascii="Times New Roman" w:hAnsi="Times New Roman" w:cs="Times New Roman"/>
        </w:rPr>
        <w:t>formation of a sensitive nature</w:t>
      </w:r>
      <w:r w:rsidRPr="004435B9">
        <w:rPr>
          <w:rFonts w:ascii="Times New Roman" w:hAnsi="Times New Roman" w:cs="Times New Roman"/>
        </w:rPr>
        <w:t>, incl</w:t>
      </w:r>
      <w:r>
        <w:rPr>
          <w:rFonts w:ascii="Times New Roman" w:hAnsi="Times New Roman" w:cs="Times New Roman"/>
        </w:rPr>
        <w:t xml:space="preserve">uding social security numbers, </w:t>
      </w:r>
      <w:r w:rsidRPr="004435B9">
        <w:rPr>
          <w:rFonts w:ascii="Times New Roman" w:hAnsi="Times New Roman" w:cs="Times New Roman"/>
        </w:rPr>
        <w:t>will be required under this collection of information.</w:t>
      </w:r>
      <w:r>
        <w:rPr>
          <w:rFonts w:ascii="Times New Roman" w:hAnsi="Times New Roman" w:cs="Times New Roman"/>
        </w:rPr>
        <w:t xml:space="preserve">  </w:t>
      </w:r>
      <w:r w:rsidRPr="004435B9">
        <w:rPr>
          <w:rFonts w:ascii="Times New Roman" w:hAnsi="Times New Roman" w:cs="Times New Roman"/>
        </w:rPr>
        <w:t>The information collection does not collect personally identifiable information (PII).</w:t>
      </w:r>
      <w:r>
        <w:rPr>
          <w:rFonts w:ascii="Times New Roman" w:hAnsi="Times New Roman" w:cs="Times New Roman"/>
        </w:rPr>
        <w:t xml:space="preserve">  T</w:t>
      </w:r>
      <w:r w:rsidRPr="004435B9">
        <w:rPr>
          <w:rFonts w:ascii="Times New Roman" w:hAnsi="Times New Roman" w:cs="Times New Roman"/>
        </w:rPr>
        <w:t>he agency has determined that a system of records notice (SORN) and privacy impact assessment (PIA) are not required in connection with the collection of information.</w:t>
      </w:r>
    </w:p>
    <w:p w:rsidR="009520B5" w:rsidRPr="00976079" w:rsidRDefault="00BC0BA0" w:rsidP="00E931C5">
      <w:pPr>
        <w:pStyle w:val="Heading2"/>
        <w:tabs>
          <w:tab w:val="clear" w:pos="1080"/>
          <w:tab w:val="num" w:pos="1440"/>
        </w:tabs>
        <w:spacing w:before="0" w:after="0" w:line="480" w:lineRule="auto"/>
        <w:ind w:left="1440"/>
        <w:rPr>
          <w:rFonts w:ascii="Times New Roman" w:hAnsi="Times New Roman" w:cs="Times New Roman"/>
        </w:rPr>
      </w:pPr>
      <w:r w:rsidRPr="00976079">
        <w:rPr>
          <w:rFonts w:ascii="Times New Roman" w:hAnsi="Times New Roman" w:cs="Times New Roman"/>
        </w:rPr>
        <w:t>Estimate of Hour Burden</w:t>
      </w:r>
    </w:p>
    <w:p w:rsidR="00D13492" w:rsidRDefault="009520B5" w:rsidP="00D13492">
      <w:pPr>
        <w:pStyle w:val="BodyText"/>
        <w:spacing w:before="0" w:after="0" w:line="480" w:lineRule="auto"/>
        <w:ind w:firstLine="720"/>
        <w:rPr>
          <w:rFonts w:ascii="Times New Roman" w:hAnsi="Times New Roman" w:cs="Times New Roman"/>
        </w:rPr>
      </w:pPr>
      <w:r w:rsidRPr="00976079">
        <w:rPr>
          <w:rFonts w:ascii="Times New Roman" w:hAnsi="Times New Roman" w:cs="Times New Roman"/>
        </w:rPr>
        <w:t xml:space="preserve">The following estimates of average burden hours and costs are made solely for purposes of the Paperwork Reduction Act and are not derived from a comprehensive or even representative survey or study of the cost of Commission rules and forms. </w:t>
      </w:r>
    </w:p>
    <w:p w:rsidR="00E46C89" w:rsidRPr="00BA531F" w:rsidRDefault="00E46C89" w:rsidP="00E46C89">
      <w:pPr>
        <w:spacing w:line="480" w:lineRule="auto"/>
        <w:ind w:firstLine="720"/>
        <w:rPr>
          <w:rFonts w:asciiTheme="majorBidi" w:hAnsiTheme="majorBidi"/>
          <w:color w:val="000000" w:themeColor="text1"/>
        </w:rPr>
      </w:pPr>
      <w:r w:rsidRPr="00BA531F">
        <w:rPr>
          <w:rFonts w:asciiTheme="majorBidi" w:eastAsia="Times New Roman" w:hAnsiTheme="majorBidi"/>
          <w:color w:val="000000" w:themeColor="text1"/>
        </w:rPr>
        <w:t xml:space="preserve">Proposed rule 6c-11 would require an ETF to disclose certain information on its website, to </w:t>
      </w:r>
      <w:r>
        <w:rPr>
          <w:rFonts w:asciiTheme="majorBidi" w:eastAsia="Times New Roman" w:hAnsiTheme="majorBidi"/>
          <w:color w:val="000000" w:themeColor="text1"/>
        </w:rPr>
        <w:t>maintain</w:t>
      </w:r>
      <w:r w:rsidRPr="00BA531F">
        <w:rPr>
          <w:rFonts w:asciiTheme="majorBidi" w:eastAsia="Times New Roman" w:hAnsiTheme="majorBidi"/>
          <w:color w:val="000000" w:themeColor="text1"/>
        </w:rPr>
        <w:t xml:space="preserve"> certain records, and to adopt and implement written policies and procedures governing their constructions of baskets, as well as written policies and procedures that set forth detailed parameters for the construction and acceptance of custom baskets that are in the best interest</w:t>
      </w:r>
      <w:r>
        <w:rPr>
          <w:rFonts w:asciiTheme="majorBidi" w:eastAsia="Times New Roman" w:hAnsiTheme="majorBidi"/>
          <w:color w:val="000000" w:themeColor="text1"/>
        </w:rPr>
        <w:t>s</w:t>
      </w:r>
      <w:r w:rsidRPr="00BA531F">
        <w:rPr>
          <w:rFonts w:asciiTheme="majorBidi" w:eastAsia="Times New Roman" w:hAnsiTheme="majorBidi"/>
          <w:color w:val="000000" w:themeColor="text1"/>
        </w:rPr>
        <w:t xml:space="preserve"> of the ETF</w:t>
      </w:r>
      <w:r>
        <w:rPr>
          <w:rFonts w:asciiTheme="majorBidi" w:eastAsia="Times New Roman" w:hAnsiTheme="majorBidi"/>
          <w:color w:val="000000" w:themeColor="text1"/>
        </w:rPr>
        <w:t xml:space="preserve"> and its shareholders</w:t>
      </w:r>
      <w:r w:rsidRPr="00BA531F">
        <w:rPr>
          <w:rFonts w:asciiTheme="majorBidi" w:eastAsia="Times New Roman" w:hAnsiTheme="majorBidi"/>
          <w:color w:val="000000" w:themeColor="text1"/>
        </w:rPr>
        <w:t>.  These requirements are collections of information under the PRA.</w:t>
      </w:r>
    </w:p>
    <w:p w:rsidR="00E46C89" w:rsidRPr="00BA531F" w:rsidRDefault="00E46C89" w:rsidP="00E46C89">
      <w:pPr>
        <w:spacing w:line="480" w:lineRule="auto"/>
        <w:ind w:firstLine="720"/>
        <w:rPr>
          <w:rFonts w:asciiTheme="majorBidi" w:hAnsiTheme="majorBidi"/>
          <w:color w:val="000000" w:themeColor="text1"/>
        </w:rPr>
      </w:pPr>
      <w:r w:rsidRPr="00BA531F">
        <w:rPr>
          <w:rFonts w:asciiTheme="majorBidi" w:hAnsiTheme="majorBidi"/>
          <w:color w:val="000000" w:themeColor="text1"/>
        </w:rPr>
        <w:t xml:space="preserve">The respondents to proposed rule 6c-11 would be ETFs registered as open-end management investment companies other than ETFs within multiple-class funds or leveraged ETFs.  </w:t>
      </w:r>
      <w:r>
        <w:rPr>
          <w:rFonts w:asciiTheme="majorBidi" w:eastAsia="Times New Roman" w:hAnsiTheme="majorBidi"/>
          <w:color w:val="000000" w:themeColor="text1"/>
        </w:rPr>
        <w:t>This</w:t>
      </w:r>
      <w:r w:rsidRPr="00BA531F">
        <w:rPr>
          <w:rFonts w:asciiTheme="majorBidi" w:eastAsia="Times New Roman" w:hAnsiTheme="majorBidi"/>
          <w:color w:val="000000" w:themeColor="text1"/>
        </w:rPr>
        <w:t xml:space="preserve"> collection would not be mandatory, but would be necessary for those ETFs seeking to operate without individual exemptive orders.  </w:t>
      </w:r>
      <w:r w:rsidRPr="00BA531F">
        <w:rPr>
          <w:rFonts w:asciiTheme="majorBidi" w:hAnsiTheme="majorBidi"/>
          <w:color w:val="000000" w:themeColor="text1"/>
        </w:rPr>
        <w:t>We estimate that 1,635 ETFs would likely rely on rule 6c-11.</w:t>
      </w:r>
      <w:r>
        <w:rPr>
          <w:rFonts w:asciiTheme="majorBidi" w:eastAsia="Times New Roman" w:hAnsiTheme="majorBidi"/>
          <w:color w:val="000000" w:themeColor="text1"/>
          <w:vertAlign w:val="superscript"/>
        </w:rPr>
        <w:t xml:space="preserve"> </w:t>
      </w:r>
      <w:r>
        <w:rPr>
          <w:rFonts w:asciiTheme="majorBidi" w:eastAsia="Times New Roman" w:hAnsiTheme="majorBidi"/>
          <w:color w:val="000000" w:themeColor="text1"/>
        </w:rPr>
        <w:t xml:space="preserve"> </w:t>
      </w:r>
      <w:r w:rsidRPr="00BA531F">
        <w:rPr>
          <w:rFonts w:asciiTheme="majorBidi" w:eastAsia="Times New Roman" w:hAnsiTheme="majorBidi"/>
          <w:color w:val="000000" w:themeColor="text1"/>
        </w:rPr>
        <w:t>Information provided to the Commission in connection with staff examinations or investigations would be kept confidential subject to the provisions of applicable law.</w:t>
      </w:r>
    </w:p>
    <w:p w:rsidR="00E46C89" w:rsidRPr="00B923DB" w:rsidRDefault="00E46C89" w:rsidP="00E46C89">
      <w:pPr>
        <w:pStyle w:val="Heading3"/>
        <w:numPr>
          <w:ilvl w:val="0"/>
          <w:numId w:val="0"/>
        </w:numPr>
        <w:ind w:left="2160" w:hanging="2160"/>
        <w:rPr>
          <w:b w:val="0"/>
          <w:i/>
        </w:rPr>
      </w:pPr>
      <w:bookmarkStart w:id="1" w:name="_Toc512516886"/>
      <w:bookmarkStart w:id="2" w:name="_Toc512519809"/>
      <w:bookmarkStart w:id="3" w:name="_Toc512524352"/>
      <w:bookmarkStart w:id="4" w:name="_Toc512524493"/>
      <w:bookmarkStart w:id="5" w:name="_Toc513458708"/>
      <w:bookmarkStart w:id="6" w:name="_Toc513460560"/>
      <w:bookmarkStart w:id="7" w:name="_Toc513468350"/>
      <w:bookmarkStart w:id="8" w:name="_Toc513472704"/>
      <w:bookmarkStart w:id="9" w:name="_Toc513473297"/>
      <w:bookmarkStart w:id="10" w:name="_Ref516735365"/>
      <w:bookmarkStart w:id="11" w:name="_Ref516735410"/>
      <w:bookmarkStart w:id="12" w:name="_Toc517103711"/>
      <w:bookmarkStart w:id="13" w:name="_Toc517119767"/>
      <w:bookmarkStart w:id="14" w:name="_Toc517703183"/>
      <w:r w:rsidRPr="00B923DB">
        <w:rPr>
          <w:b w:val="0"/>
          <w:i/>
        </w:rPr>
        <w:t>Website Disclosures</w:t>
      </w:r>
      <w:bookmarkEnd w:id="1"/>
      <w:bookmarkEnd w:id="2"/>
      <w:bookmarkEnd w:id="3"/>
      <w:bookmarkEnd w:id="4"/>
      <w:bookmarkEnd w:id="5"/>
      <w:bookmarkEnd w:id="6"/>
      <w:bookmarkEnd w:id="7"/>
      <w:bookmarkEnd w:id="8"/>
      <w:bookmarkEnd w:id="9"/>
      <w:bookmarkEnd w:id="10"/>
      <w:bookmarkEnd w:id="11"/>
      <w:bookmarkEnd w:id="12"/>
      <w:bookmarkEnd w:id="13"/>
      <w:bookmarkEnd w:id="14"/>
    </w:p>
    <w:p w:rsidR="00E46C89" w:rsidRPr="00BA531F" w:rsidRDefault="00E46C89" w:rsidP="00E46C89">
      <w:pPr>
        <w:widowControl w:val="0"/>
        <w:spacing w:line="480" w:lineRule="auto"/>
        <w:ind w:firstLine="720"/>
        <w:rPr>
          <w:rFonts w:asciiTheme="majorBidi" w:eastAsia="Times New Roman" w:hAnsiTheme="majorBidi"/>
          <w:color w:val="000000" w:themeColor="text1"/>
        </w:rPr>
      </w:pPr>
      <w:r w:rsidRPr="00BA531F">
        <w:rPr>
          <w:rFonts w:asciiTheme="majorBidi" w:eastAsia="Times New Roman" w:hAnsiTheme="majorBidi"/>
          <w:color w:val="000000" w:themeColor="text1"/>
        </w:rPr>
        <w:t xml:space="preserve">Under the proposal, ETFs would be required to post on their websites: (i) the ETF’s NAV per share, market price, and premium or discount; </w:t>
      </w:r>
      <w:r>
        <w:rPr>
          <w:rFonts w:asciiTheme="majorBidi" w:eastAsia="Times New Roman" w:hAnsiTheme="majorBidi"/>
          <w:color w:val="000000" w:themeColor="text1"/>
        </w:rPr>
        <w:t xml:space="preserve">and </w:t>
      </w:r>
      <w:r w:rsidRPr="00BA531F">
        <w:rPr>
          <w:rFonts w:asciiTheme="majorBidi" w:eastAsia="Times New Roman" w:hAnsiTheme="majorBidi"/>
          <w:color w:val="000000" w:themeColor="text1"/>
        </w:rPr>
        <w:t xml:space="preserve">(ii) historical information regarding premiums and discounts.  In addition, proposed rule 6c-11 would require an ETF to disclose on its website, each business day, the portfolio holdings that will form the basis for each calculation of NAV per share, and information regarding </w:t>
      </w:r>
      <w:r w:rsidRPr="00BA531F">
        <w:rPr>
          <w:rFonts w:asciiTheme="majorBidi" w:hAnsiTheme="majorBidi"/>
          <w:color w:val="000000" w:themeColor="text1"/>
        </w:rPr>
        <w:t xml:space="preserve">a published </w:t>
      </w:r>
      <w:r w:rsidRPr="00BA531F">
        <w:rPr>
          <w:rFonts w:asciiTheme="majorBidi" w:eastAsia="Times New Roman" w:hAnsiTheme="majorBidi"/>
          <w:color w:val="000000" w:themeColor="text1"/>
        </w:rPr>
        <w:t>basket that will apply to orders for the purchase or redemption of creation units each business day.  As proposed, the rule would require that portfolio holdings and basket information be presented and contain information regarding description, amount, value and/or unrealized gain/loss (if applicable) in the manner prescribed within Article 12 of Regulation S-X.  Additionally, the proposed rule would require an ETF to disclose on its website a tabular chart and line graph showing the ETF’s premiums and discounts for the most recently completed calendar year and the most recently completed calendar quarters of the current year.  For new ETFs that do not yet have this information, the proposed rule would require the ETF to post this information f</w:t>
      </w:r>
      <w:r>
        <w:rPr>
          <w:rFonts w:asciiTheme="majorBidi" w:eastAsia="Times New Roman" w:hAnsiTheme="majorBidi"/>
          <w:color w:val="000000" w:themeColor="text1"/>
        </w:rPr>
        <w:t>or the life of the fund.</w:t>
      </w:r>
      <w:r w:rsidRPr="00BA531F">
        <w:rPr>
          <w:rFonts w:asciiTheme="majorBidi" w:eastAsia="Times New Roman" w:hAnsiTheme="majorBidi"/>
          <w:color w:val="000000" w:themeColor="text1"/>
        </w:rPr>
        <w:t xml:space="preserve">  </w:t>
      </w:r>
    </w:p>
    <w:p w:rsidR="00E46C89" w:rsidRPr="00BA531F" w:rsidRDefault="00E46C89" w:rsidP="00E46C89">
      <w:pPr>
        <w:widowControl w:val="0"/>
        <w:spacing w:line="480" w:lineRule="auto"/>
        <w:ind w:firstLine="720"/>
        <w:rPr>
          <w:rFonts w:asciiTheme="majorBidi" w:eastAsia="Times New Roman" w:hAnsiTheme="majorBidi"/>
          <w:color w:val="000000" w:themeColor="text1"/>
        </w:rPr>
      </w:pPr>
      <w:r w:rsidRPr="00BA531F">
        <w:rPr>
          <w:rFonts w:asciiTheme="majorBidi" w:eastAsia="Times New Roman" w:hAnsiTheme="majorBidi"/>
          <w:color w:val="000000" w:themeColor="text1"/>
        </w:rPr>
        <w:t xml:space="preserve">Proposed rule 6c-11(c)(1)(v) also would require any ETF whose premium or discount was greater than </w:t>
      </w:r>
      <w:r>
        <w:rPr>
          <w:rFonts w:asciiTheme="majorBidi" w:eastAsia="Times New Roman" w:hAnsiTheme="majorBidi"/>
          <w:color w:val="000000" w:themeColor="text1"/>
        </w:rPr>
        <w:t>2%</w:t>
      </w:r>
      <w:r w:rsidRPr="00BA531F">
        <w:rPr>
          <w:rFonts w:asciiTheme="majorBidi" w:eastAsia="Times New Roman" w:hAnsiTheme="majorBidi"/>
          <w:color w:val="000000" w:themeColor="text1"/>
        </w:rPr>
        <w:t xml:space="preserve"> for more than seven consecutive </w:t>
      </w:r>
      <w:r>
        <w:rPr>
          <w:rFonts w:asciiTheme="majorBidi" w:eastAsia="Times New Roman" w:hAnsiTheme="majorBidi"/>
          <w:color w:val="000000" w:themeColor="text1"/>
        </w:rPr>
        <w:t>trading</w:t>
      </w:r>
      <w:r w:rsidRPr="00BA531F">
        <w:rPr>
          <w:rFonts w:asciiTheme="majorBidi" w:eastAsia="Times New Roman" w:hAnsiTheme="majorBidi"/>
          <w:color w:val="000000" w:themeColor="text1"/>
        </w:rPr>
        <w:t xml:space="preserve"> days to post that information on its website, along with a discussion of the factors that </w:t>
      </w:r>
      <w:r w:rsidRPr="00BA531F">
        <w:rPr>
          <w:rFonts w:asciiTheme="majorBidi" w:hAnsiTheme="majorBidi"/>
          <w:color w:val="000000" w:themeColor="text1"/>
        </w:rPr>
        <w:t>are reasonably believed to have materially contributed to the premium or discount.</w:t>
      </w:r>
      <w:r w:rsidRPr="00BA531F">
        <w:rPr>
          <w:rFonts w:asciiTheme="majorBidi" w:eastAsia="Times New Roman" w:hAnsiTheme="majorBidi"/>
          <w:color w:val="000000" w:themeColor="text1"/>
        </w:rPr>
        <w:t xml:space="preserve">  Given the proposed threshold, we do not believe that many ETFs would be required to disclose this information on a routine basis.  For purposes of this PRA, we assume that all ETFs will be required to make this disclosure only once in their lifetime.  Therefore, we believe that this requirement will impose only initial costs and that there will be no ongoing costs associated with it.</w:t>
      </w:r>
      <w:bookmarkStart w:id="15" w:name="_Ref511980957"/>
      <w:r w:rsidRPr="00BA531F">
        <w:rPr>
          <w:rStyle w:val="FootnoteReference"/>
          <w:rFonts w:asciiTheme="majorBidi" w:hAnsiTheme="majorBidi"/>
          <w:color w:val="000000" w:themeColor="text1"/>
        </w:rPr>
        <w:footnoteReference w:id="3"/>
      </w:r>
      <w:bookmarkEnd w:id="15"/>
      <w:r w:rsidRPr="00BA531F">
        <w:rPr>
          <w:rFonts w:asciiTheme="majorBidi" w:eastAsia="Times New Roman" w:hAnsiTheme="majorBidi"/>
          <w:color w:val="000000" w:themeColor="text1"/>
        </w:rPr>
        <w:t xml:space="preserve">  </w:t>
      </w:r>
    </w:p>
    <w:p w:rsidR="00E46C89" w:rsidRDefault="00E46C89" w:rsidP="00E46C89">
      <w:pPr>
        <w:widowControl w:val="0"/>
        <w:spacing w:line="480" w:lineRule="auto"/>
        <w:ind w:firstLine="720"/>
        <w:rPr>
          <w:rFonts w:asciiTheme="majorBidi" w:eastAsia="Times New Roman" w:hAnsiTheme="majorBidi"/>
          <w:color w:val="000000" w:themeColor="text1"/>
        </w:rPr>
      </w:pPr>
      <w:r w:rsidRPr="00BA531F">
        <w:rPr>
          <w:rFonts w:asciiTheme="majorBidi" w:eastAsia="Times New Roman" w:hAnsiTheme="majorBidi"/>
          <w:color w:val="000000" w:themeColor="text1"/>
        </w:rPr>
        <w:t xml:space="preserve">For purposes of the PRA analysis, we estimate that an ETF would incur a one-time average burden of 25 hours associated with updating the relevant website disclosures, at a time cost of </w:t>
      </w:r>
      <w:r w:rsidRPr="00BA531F">
        <w:rPr>
          <w:rFonts w:asciiTheme="majorBidi" w:hAnsiTheme="majorBidi"/>
          <w:color w:val="000000" w:themeColor="text1"/>
        </w:rPr>
        <w:t>$7,697.50</w:t>
      </w:r>
      <w:r w:rsidRPr="00BA531F">
        <w:rPr>
          <w:rFonts w:asciiTheme="majorBidi" w:eastAsia="Times New Roman" w:hAnsiTheme="majorBidi"/>
          <w:color w:val="000000" w:themeColor="text1"/>
        </w:rPr>
        <w:t>.</w:t>
      </w:r>
      <w:bookmarkStart w:id="16" w:name="_Ref514658936"/>
      <w:r w:rsidRPr="00BA531F">
        <w:rPr>
          <w:rStyle w:val="FootnoteReference"/>
          <w:rFonts w:asciiTheme="majorBidi" w:hAnsiTheme="majorBidi"/>
          <w:color w:val="000000" w:themeColor="text1"/>
        </w:rPr>
        <w:footnoteReference w:id="4"/>
      </w:r>
      <w:bookmarkEnd w:id="16"/>
      <w:r w:rsidRPr="00BA531F">
        <w:rPr>
          <w:rFonts w:asciiTheme="majorBidi" w:eastAsia="Times New Roman" w:hAnsiTheme="majorBidi"/>
          <w:color w:val="000000" w:themeColor="text1"/>
        </w:rPr>
        <w:t xml:space="preserve">  </w:t>
      </w:r>
      <w:r w:rsidR="003940B7" w:rsidRPr="00BA531F">
        <w:rPr>
          <w:rFonts w:asciiTheme="majorBidi" w:hAnsiTheme="majorBidi"/>
          <w:color w:val="000000" w:themeColor="text1"/>
        </w:rPr>
        <w:t>Amortized over a 3-year period, the hour burden per ETF would be approximately 8.3 hours, at a time cost of $2,565.8</w:t>
      </w:r>
      <w:r w:rsidR="003940B7">
        <w:rPr>
          <w:rFonts w:asciiTheme="majorBidi" w:hAnsiTheme="majorBidi"/>
          <w:color w:val="000000" w:themeColor="text1"/>
        </w:rPr>
        <w:t xml:space="preserve">0. </w:t>
      </w:r>
      <w:r w:rsidRPr="00BA531F">
        <w:rPr>
          <w:rFonts w:asciiTheme="majorBidi" w:hAnsiTheme="majorBidi"/>
          <w:color w:val="000000" w:themeColor="text1"/>
        </w:rPr>
        <w:t xml:space="preserve">Additionally, </w:t>
      </w:r>
      <w:r w:rsidRPr="00BA531F">
        <w:rPr>
          <w:rFonts w:asciiTheme="majorBidi" w:eastAsia="Times New Roman" w:hAnsiTheme="majorBidi"/>
          <w:color w:val="000000" w:themeColor="text1"/>
        </w:rPr>
        <w:t>Commission</w:t>
      </w:r>
      <w:r w:rsidRPr="00BA531F">
        <w:rPr>
          <w:rFonts w:asciiTheme="majorBidi" w:hAnsiTheme="majorBidi"/>
          <w:color w:val="000000" w:themeColor="text1"/>
        </w:rPr>
        <w:t xml:space="preserve"> staff estimates that an ETF each year would spend approximately </w:t>
      </w:r>
      <w:r>
        <w:rPr>
          <w:rFonts w:asciiTheme="majorBidi" w:hAnsiTheme="majorBidi"/>
          <w:color w:val="000000" w:themeColor="text1"/>
        </w:rPr>
        <w:t>5</w:t>
      </w:r>
      <w:r w:rsidRPr="00BA531F">
        <w:rPr>
          <w:rFonts w:asciiTheme="majorBidi" w:hAnsiTheme="majorBidi"/>
          <w:color w:val="000000" w:themeColor="text1"/>
        </w:rPr>
        <w:t xml:space="preserve"> hours of professional time to update the relevant webpage daily with this information, at a time cost of </w:t>
      </w:r>
      <w:bookmarkStart w:id="17" w:name="_Ref190247138"/>
      <w:r w:rsidRPr="00BA531F">
        <w:rPr>
          <w:rFonts w:asciiTheme="majorBidi" w:hAnsiTheme="majorBidi"/>
          <w:color w:val="000000" w:themeColor="text1"/>
        </w:rPr>
        <w:t>$1,405.50.</w:t>
      </w:r>
      <w:bookmarkStart w:id="18" w:name="_Ref514658547"/>
      <w:r w:rsidRPr="00BA531F">
        <w:rPr>
          <w:rStyle w:val="FootnoteReference"/>
          <w:rFonts w:asciiTheme="majorBidi" w:hAnsiTheme="majorBidi"/>
          <w:color w:val="000000" w:themeColor="text1"/>
        </w:rPr>
        <w:footnoteReference w:id="5"/>
      </w:r>
      <w:bookmarkEnd w:id="17"/>
      <w:bookmarkEnd w:id="18"/>
      <w:r w:rsidRPr="00BA531F">
        <w:rPr>
          <w:rFonts w:asciiTheme="majorBidi" w:hAnsiTheme="majorBidi"/>
          <w:color w:val="000000" w:themeColor="text1"/>
        </w:rPr>
        <w:t xml:space="preserve">  </w:t>
      </w:r>
      <w:r w:rsidRPr="00BA531F">
        <w:rPr>
          <w:rFonts w:asciiTheme="majorBidi" w:eastAsia="Times New Roman" w:hAnsiTheme="majorBidi"/>
          <w:color w:val="000000" w:themeColor="text1"/>
        </w:rPr>
        <w:t xml:space="preserve">Accordingly, we estimate that the total burden for drafting, reviewing and uploading the website disclosures would be </w:t>
      </w:r>
      <w:r w:rsidRPr="00BA531F">
        <w:rPr>
          <w:rFonts w:asciiTheme="majorBidi" w:hAnsiTheme="majorBidi"/>
          <w:color w:val="000000" w:themeColor="text1"/>
        </w:rPr>
        <w:t>21,745.50</w:t>
      </w:r>
      <w:r w:rsidRPr="00BA531F">
        <w:rPr>
          <w:rFonts w:asciiTheme="majorBidi" w:eastAsia="Times New Roman" w:hAnsiTheme="majorBidi"/>
          <w:color w:val="000000" w:themeColor="text1"/>
        </w:rPr>
        <w:t xml:space="preserve"> hours,</w:t>
      </w:r>
      <w:r w:rsidRPr="00BA531F">
        <w:rPr>
          <w:rStyle w:val="FootnoteReference"/>
          <w:rFonts w:asciiTheme="majorBidi" w:hAnsiTheme="majorBidi"/>
          <w:color w:val="000000" w:themeColor="text1"/>
        </w:rPr>
        <w:footnoteReference w:id="6"/>
      </w:r>
      <w:r w:rsidRPr="00BA531F">
        <w:rPr>
          <w:rFonts w:asciiTheme="majorBidi" w:eastAsia="Times New Roman" w:hAnsiTheme="majorBidi"/>
          <w:color w:val="000000" w:themeColor="text1"/>
        </w:rPr>
        <w:t xml:space="preserve"> at a time cost of approximately $6,</w:t>
      </w:r>
      <w:r w:rsidRPr="00BA531F">
        <w:rPr>
          <w:rFonts w:asciiTheme="majorBidi" w:hAnsiTheme="majorBidi"/>
          <w:color w:val="000000" w:themeColor="text1"/>
        </w:rPr>
        <w:t>493,075.50</w:t>
      </w:r>
      <w:r w:rsidR="000B536C">
        <w:rPr>
          <w:rFonts w:asciiTheme="majorBidi" w:eastAsia="Times New Roman" w:hAnsiTheme="majorBidi"/>
          <w:color w:val="000000" w:themeColor="text1"/>
        </w:rPr>
        <w:t>.</w:t>
      </w:r>
      <w:r w:rsidRPr="00BA531F">
        <w:rPr>
          <w:rStyle w:val="FootnoteReference"/>
          <w:rFonts w:asciiTheme="majorBidi" w:hAnsiTheme="majorBidi"/>
          <w:color w:val="000000" w:themeColor="text1"/>
        </w:rPr>
        <w:footnoteReference w:id="7"/>
      </w:r>
      <w:r w:rsidRPr="00BA531F">
        <w:rPr>
          <w:rFonts w:asciiTheme="majorBidi" w:eastAsia="Times New Roman" w:hAnsiTheme="majorBidi"/>
          <w:color w:val="000000" w:themeColor="text1"/>
        </w:rPr>
        <w:t xml:space="preserve">  </w:t>
      </w:r>
      <w:bookmarkStart w:id="19" w:name="_Toc512516887"/>
      <w:bookmarkStart w:id="20" w:name="_Toc512519810"/>
      <w:bookmarkStart w:id="21" w:name="_Toc512524353"/>
      <w:bookmarkStart w:id="22" w:name="_Toc512524494"/>
      <w:bookmarkStart w:id="23" w:name="_Toc513458709"/>
      <w:bookmarkStart w:id="24" w:name="_Toc513460561"/>
      <w:bookmarkStart w:id="25" w:name="_Toc513468351"/>
      <w:bookmarkStart w:id="26" w:name="_Toc513472705"/>
      <w:bookmarkStart w:id="27" w:name="_Toc513473298"/>
      <w:bookmarkStart w:id="28" w:name="_Ref516734194"/>
      <w:bookmarkStart w:id="29" w:name="_Toc517103712"/>
      <w:bookmarkStart w:id="30" w:name="_Toc517119768"/>
      <w:bookmarkStart w:id="31" w:name="_Toc517703184"/>
    </w:p>
    <w:p w:rsidR="00E46C89" w:rsidRPr="00B923DB" w:rsidRDefault="00E46C89" w:rsidP="000A67CB">
      <w:pPr>
        <w:widowControl w:val="0"/>
        <w:spacing w:before="240" w:line="480" w:lineRule="auto"/>
        <w:rPr>
          <w:rFonts w:asciiTheme="majorBidi" w:eastAsia="Times New Roman" w:hAnsiTheme="majorBidi"/>
          <w:i/>
          <w:color w:val="000000" w:themeColor="text1"/>
        </w:rPr>
      </w:pPr>
      <w:r w:rsidRPr="00B923DB">
        <w:rPr>
          <w:i/>
        </w:rPr>
        <w:t>Recordkeeping</w:t>
      </w:r>
      <w:bookmarkEnd w:id="19"/>
      <w:bookmarkEnd w:id="20"/>
      <w:bookmarkEnd w:id="21"/>
      <w:bookmarkEnd w:id="22"/>
      <w:bookmarkEnd w:id="23"/>
      <w:bookmarkEnd w:id="24"/>
      <w:bookmarkEnd w:id="25"/>
      <w:bookmarkEnd w:id="26"/>
      <w:bookmarkEnd w:id="27"/>
      <w:bookmarkEnd w:id="28"/>
      <w:bookmarkEnd w:id="29"/>
      <w:bookmarkEnd w:id="30"/>
      <w:bookmarkEnd w:id="31"/>
    </w:p>
    <w:p w:rsidR="00E46C89" w:rsidRPr="00BA531F" w:rsidRDefault="00E46C89" w:rsidP="00E46C89">
      <w:pPr>
        <w:widowControl w:val="0"/>
        <w:spacing w:line="480" w:lineRule="auto"/>
        <w:ind w:firstLine="720"/>
        <w:rPr>
          <w:rFonts w:asciiTheme="majorBidi" w:hAnsiTheme="majorBidi"/>
          <w:color w:val="000000" w:themeColor="text1"/>
        </w:rPr>
      </w:pPr>
      <w:r w:rsidRPr="00BA531F">
        <w:rPr>
          <w:rFonts w:asciiTheme="majorBidi" w:eastAsia="Times New Roman" w:hAnsiTheme="majorBidi"/>
          <w:color w:val="000000" w:themeColor="text1"/>
        </w:rPr>
        <w:t xml:space="preserve">The proposed rule requires that </w:t>
      </w:r>
      <w:r w:rsidRPr="00BA531F">
        <w:rPr>
          <w:rFonts w:asciiTheme="majorBidi" w:hAnsiTheme="majorBidi"/>
          <w:color w:val="000000" w:themeColor="text1"/>
        </w:rPr>
        <w:t xml:space="preserve">ETFs to preserve and maintain copies of all written authorized participant agreements.  Additionally, we are proposing to require ETFs to maintain records setting forth the following information for each basket exchanged with an authorized participant:  (i) the names and quantities of the positions </w:t>
      </w:r>
      <w:r>
        <w:rPr>
          <w:rFonts w:asciiTheme="majorBidi" w:hAnsiTheme="majorBidi"/>
          <w:color w:val="000000" w:themeColor="text1"/>
        </w:rPr>
        <w:t>composing</w:t>
      </w:r>
      <w:r w:rsidRPr="00BA531F">
        <w:rPr>
          <w:rFonts w:asciiTheme="majorBidi" w:hAnsiTheme="majorBidi"/>
          <w:color w:val="000000" w:themeColor="text1"/>
        </w:rPr>
        <w:t xml:space="preserve"> the basket; (ii) identification of the basket as a “custom basket” and a record stating that the custom basket complies with the ETF’s custom basket policies and procedures (if applicable); (iii) cash balancing amounts (if any); and (iv) the identity of the authorized participant conducting the transaction.</w:t>
      </w:r>
    </w:p>
    <w:p w:rsidR="00E46C89" w:rsidRDefault="00E46C89" w:rsidP="00E46C89">
      <w:pPr>
        <w:widowControl w:val="0"/>
        <w:spacing w:line="480" w:lineRule="auto"/>
        <w:ind w:firstLine="720"/>
        <w:rPr>
          <w:rFonts w:asciiTheme="majorBidi" w:hAnsiTheme="majorBidi"/>
          <w:color w:val="000000" w:themeColor="text1"/>
        </w:rPr>
      </w:pPr>
      <w:r w:rsidRPr="00BA531F">
        <w:rPr>
          <w:rFonts w:asciiTheme="majorBidi" w:hAnsiTheme="majorBidi"/>
          <w:color w:val="000000" w:themeColor="text1"/>
        </w:rPr>
        <w:t>ETFs would have to maintain these records for at least five years</w:t>
      </w:r>
      <w:r w:rsidRPr="00AC71CD">
        <w:rPr>
          <w:rFonts w:asciiTheme="majorBidi" w:hAnsiTheme="majorBidi"/>
          <w:color w:val="000000" w:themeColor="text1"/>
        </w:rPr>
        <w:t>, the first two years in an easily accessible place</w:t>
      </w:r>
      <w:r w:rsidRPr="00BA531F">
        <w:rPr>
          <w:rFonts w:asciiTheme="majorBidi" w:hAnsiTheme="majorBidi"/>
          <w:color w:val="000000" w:themeColor="text1"/>
        </w:rPr>
        <w:t>.  We estimate that the burden would be 5 hours per ETF to retain these records, with 2.5 hours spent by a general clerk and 2.5 hours spent by a senior computer operator.  We estimate a time cost per ETF of $380.</w:t>
      </w:r>
      <w:bookmarkStart w:id="32" w:name="_Ref513454611"/>
      <w:r w:rsidRPr="00BA531F">
        <w:rPr>
          <w:rStyle w:val="FootnoteReference"/>
          <w:rFonts w:asciiTheme="majorBidi" w:hAnsiTheme="majorBidi"/>
          <w:color w:val="000000" w:themeColor="text1"/>
        </w:rPr>
        <w:footnoteReference w:id="8"/>
      </w:r>
      <w:bookmarkEnd w:id="32"/>
      <w:r w:rsidRPr="00BA531F">
        <w:rPr>
          <w:rFonts w:asciiTheme="majorBidi" w:hAnsiTheme="majorBidi"/>
          <w:color w:val="000000" w:themeColor="text1"/>
        </w:rPr>
        <w:t xml:space="preserve">  We estimate the total recordkeeping burden related to rule 6c-11 would be 8,175 hours, at an aggregate cost of $621,300.</w:t>
      </w:r>
      <w:r w:rsidRPr="00BA531F">
        <w:rPr>
          <w:rStyle w:val="FootnoteReference"/>
          <w:rFonts w:asciiTheme="majorBidi" w:hAnsiTheme="majorBidi"/>
          <w:color w:val="000000" w:themeColor="text1"/>
        </w:rPr>
        <w:footnoteReference w:id="9"/>
      </w:r>
      <w:bookmarkStart w:id="33" w:name="_Toc512516888"/>
      <w:bookmarkStart w:id="34" w:name="_Toc512519811"/>
      <w:bookmarkStart w:id="35" w:name="_Toc512524354"/>
      <w:bookmarkStart w:id="36" w:name="_Toc512524495"/>
      <w:bookmarkStart w:id="37" w:name="_Toc513458710"/>
      <w:bookmarkStart w:id="38" w:name="_Toc513460562"/>
      <w:bookmarkStart w:id="39" w:name="_Toc513468352"/>
      <w:bookmarkStart w:id="40" w:name="_Toc513472706"/>
      <w:bookmarkStart w:id="41" w:name="_Toc513473299"/>
      <w:bookmarkStart w:id="42" w:name="_Toc517103713"/>
      <w:bookmarkStart w:id="43" w:name="_Toc517119769"/>
      <w:bookmarkStart w:id="44" w:name="_Toc517703185"/>
    </w:p>
    <w:p w:rsidR="00E46C89" w:rsidRPr="00B923DB" w:rsidRDefault="00E46C89" w:rsidP="000A67CB">
      <w:pPr>
        <w:widowControl w:val="0"/>
        <w:spacing w:before="240" w:line="480" w:lineRule="auto"/>
        <w:rPr>
          <w:rFonts w:asciiTheme="majorBidi" w:hAnsiTheme="majorBidi"/>
          <w:i/>
          <w:color w:val="000000" w:themeColor="text1"/>
        </w:rPr>
      </w:pPr>
      <w:r w:rsidRPr="00B923DB">
        <w:rPr>
          <w:i/>
        </w:rPr>
        <w:t>Policies and Procedures</w:t>
      </w:r>
      <w:bookmarkEnd w:id="33"/>
      <w:bookmarkEnd w:id="34"/>
      <w:bookmarkEnd w:id="35"/>
      <w:bookmarkEnd w:id="36"/>
      <w:bookmarkEnd w:id="37"/>
      <w:bookmarkEnd w:id="38"/>
      <w:bookmarkEnd w:id="39"/>
      <w:bookmarkEnd w:id="40"/>
      <w:bookmarkEnd w:id="41"/>
      <w:bookmarkEnd w:id="42"/>
      <w:bookmarkEnd w:id="43"/>
      <w:bookmarkEnd w:id="44"/>
    </w:p>
    <w:p w:rsidR="00E46C89" w:rsidRPr="00BA531F" w:rsidRDefault="00E46C89" w:rsidP="00E46C89">
      <w:pPr>
        <w:widowControl w:val="0"/>
        <w:spacing w:line="480" w:lineRule="auto"/>
        <w:ind w:firstLine="720"/>
        <w:rPr>
          <w:rFonts w:asciiTheme="majorBidi" w:hAnsiTheme="majorBidi"/>
          <w:color w:val="000000" w:themeColor="text1"/>
        </w:rPr>
      </w:pPr>
      <w:r w:rsidRPr="00BA531F">
        <w:rPr>
          <w:rFonts w:asciiTheme="majorBidi" w:hAnsiTheme="majorBidi"/>
          <w:color w:val="000000" w:themeColor="text1"/>
        </w:rPr>
        <w:t xml:space="preserve">As proposed, rule 6c-11 would require ETFs relying on the proposed rule to adopt and implement written policies and procedures that govern the construction of baskets and the process that will be used for the acceptance of basket assets.  Additionally, to use custom baskets, an ETF would be required to adopt and implement written policies and procedures setting forth detailed </w:t>
      </w:r>
      <w:r>
        <w:rPr>
          <w:rFonts w:asciiTheme="majorBidi" w:hAnsiTheme="majorBidi"/>
          <w:color w:val="000000" w:themeColor="text1"/>
        </w:rPr>
        <w:t xml:space="preserve">parameters </w:t>
      </w:r>
      <w:r w:rsidRPr="00BA531F">
        <w:rPr>
          <w:rFonts w:asciiTheme="majorBidi" w:hAnsiTheme="majorBidi"/>
          <w:color w:val="000000" w:themeColor="text1"/>
        </w:rPr>
        <w:t>for the construction and acceptance of custom baskets that are in the best interests of the ETF</w:t>
      </w:r>
      <w:r w:rsidRPr="007B2A5C">
        <w:t xml:space="preserve"> </w:t>
      </w:r>
      <w:r w:rsidRPr="007B2A5C">
        <w:rPr>
          <w:rFonts w:asciiTheme="majorBidi" w:hAnsiTheme="majorBidi"/>
          <w:color w:val="000000" w:themeColor="text1"/>
        </w:rPr>
        <w:t>and its shareholders</w:t>
      </w:r>
      <w:r w:rsidRPr="00BA531F">
        <w:rPr>
          <w:rFonts w:asciiTheme="majorBidi" w:hAnsiTheme="majorBidi"/>
          <w:color w:val="000000" w:themeColor="text1"/>
        </w:rPr>
        <w:t xml:space="preserve">.  These policies and procedures also may include a periodic review requirement in order to ensure that the ETF’s custom basket procedures are being consistently followed. </w:t>
      </w:r>
      <w:r>
        <w:rPr>
          <w:rFonts w:asciiTheme="majorBidi" w:hAnsiTheme="majorBidi"/>
          <w:color w:val="000000" w:themeColor="text1"/>
        </w:rPr>
        <w:t xml:space="preserve"> Finally, </w:t>
      </w:r>
      <w:r w:rsidRPr="00BA531F">
        <w:rPr>
          <w:rFonts w:asciiTheme="majorBidi" w:hAnsiTheme="majorBidi"/>
          <w:color w:val="000000" w:themeColor="text1"/>
        </w:rPr>
        <w:t xml:space="preserve">such an ETF would be required to maintain records detailing the composition of each custom basket.  </w:t>
      </w:r>
    </w:p>
    <w:p w:rsidR="00E46C89" w:rsidRPr="00BA531F" w:rsidRDefault="00E46C89" w:rsidP="00E46C89">
      <w:pPr>
        <w:widowControl w:val="0"/>
        <w:spacing w:line="480" w:lineRule="auto"/>
        <w:ind w:firstLine="720"/>
        <w:rPr>
          <w:rFonts w:asciiTheme="majorBidi" w:hAnsiTheme="majorBidi"/>
          <w:color w:val="000000" w:themeColor="text1"/>
        </w:rPr>
      </w:pPr>
      <w:r w:rsidRPr="00BA531F">
        <w:rPr>
          <w:rFonts w:asciiTheme="majorBidi" w:hAnsiTheme="majorBidi"/>
          <w:color w:val="000000" w:themeColor="text1"/>
        </w:rPr>
        <w:t>For purposes of this PRA analysis, we estimate that an ETF would incur a one-time average burden of</w:t>
      </w:r>
      <w:r>
        <w:rPr>
          <w:rFonts w:asciiTheme="majorBidi" w:hAnsiTheme="majorBidi"/>
          <w:color w:val="000000" w:themeColor="text1"/>
        </w:rPr>
        <w:t xml:space="preserve"> 6 </w:t>
      </w:r>
      <w:r w:rsidRPr="00BA531F">
        <w:rPr>
          <w:rFonts w:asciiTheme="majorBidi" w:hAnsiTheme="majorBidi"/>
          <w:color w:val="000000" w:themeColor="text1"/>
        </w:rPr>
        <w:t xml:space="preserve">hours associated with setting up the process for documenting the construction and acceptance of baskets.  </w:t>
      </w:r>
      <w:r w:rsidR="005D515A">
        <w:rPr>
          <w:rFonts w:asciiTheme="majorBidi" w:hAnsiTheme="majorBidi"/>
          <w:color w:val="000000" w:themeColor="text1"/>
        </w:rPr>
        <w:t>Additionally</w:t>
      </w:r>
      <w:r w:rsidRPr="00BA531F">
        <w:rPr>
          <w:rFonts w:asciiTheme="majorBidi" w:hAnsiTheme="majorBidi"/>
          <w:color w:val="000000" w:themeColor="text1"/>
        </w:rPr>
        <w:t>,</w:t>
      </w:r>
      <w:r w:rsidR="004E7F15">
        <w:rPr>
          <w:rFonts w:asciiTheme="majorBidi" w:hAnsiTheme="majorBidi"/>
          <w:color w:val="000000" w:themeColor="text1"/>
        </w:rPr>
        <w:t xml:space="preserve"> </w:t>
      </w:r>
      <w:r w:rsidR="005D515A">
        <w:rPr>
          <w:rFonts w:asciiTheme="majorBidi" w:hAnsiTheme="majorBidi"/>
          <w:color w:val="000000" w:themeColor="text1"/>
        </w:rPr>
        <w:t xml:space="preserve">we </w:t>
      </w:r>
      <w:r w:rsidR="005D515A" w:rsidRPr="005D515A">
        <w:rPr>
          <w:rFonts w:asciiTheme="majorBidi" w:hAnsiTheme="majorBidi"/>
          <w:color w:val="000000" w:themeColor="text1"/>
        </w:rPr>
        <w:t>estimate that all ETFs relying on the rule will use custom baskets to some extent.</w:t>
      </w:r>
      <w:r w:rsidRPr="00BA531F">
        <w:rPr>
          <w:rFonts w:asciiTheme="majorBidi" w:hAnsiTheme="majorBidi"/>
          <w:color w:val="000000" w:themeColor="text1"/>
        </w:rPr>
        <w:t xml:space="preserve">  An ETF utilizing custom baskets would also incur a one-time average burden of 20 hours associated with documenting and adopting the custom basket policies and procedures.  Amortized over a 3</w:t>
      </w:r>
      <w:r>
        <w:rPr>
          <w:rFonts w:asciiTheme="majorBidi" w:hAnsiTheme="majorBidi"/>
          <w:color w:val="000000" w:themeColor="text1"/>
        </w:rPr>
        <w:t>-</w:t>
      </w:r>
      <w:r w:rsidRPr="00BA531F">
        <w:rPr>
          <w:rFonts w:asciiTheme="majorBidi" w:hAnsiTheme="majorBidi"/>
          <w:color w:val="000000" w:themeColor="text1"/>
        </w:rPr>
        <w:t>year period, this would be an annual burden per ETF of about 2 hours for documenting the construction and acceptance of baskets and an annual burden per ETF of about 6.7 hours for the custom basket policies and procedures.  Accordingly, we estimate that a total burden for initial documentation and review of both the process for documenting the construction and acceptance of baskets as well as an ETF’s custom basket policies and procedures would be 42,510 hours,</w:t>
      </w:r>
      <w:r w:rsidRPr="00BA531F">
        <w:rPr>
          <w:rStyle w:val="FootnoteReference"/>
          <w:rFonts w:asciiTheme="majorBidi" w:hAnsiTheme="majorBidi"/>
          <w:color w:val="000000" w:themeColor="text1"/>
        </w:rPr>
        <w:footnoteReference w:id="10"/>
      </w:r>
      <w:r w:rsidRPr="00BA531F">
        <w:rPr>
          <w:rFonts w:asciiTheme="majorBidi" w:hAnsiTheme="majorBidi"/>
          <w:color w:val="000000" w:themeColor="text1"/>
        </w:rPr>
        <w:t xml:space="preserve"> at a time cost of $16,788,180.</w:t>
      </w:r>
      <w:bookmarkStart w:id="45" w:name="_Ref512252134"/>
      <w:r w:rsidRPr="00BA531F">
        <w:rPr>
          <w:rStyle w:val="FootnoteReference"/>
          <w:rFonts w:asciiTheme="majorBidi" w:hAnsiTheme="majorBidi"/>
          <w:color w:val="000000" w:themeColor="text1"/>
        </w:rPr>
        <w:footnoteReference w:id="11"/>
      </w:r>
      <w:bookmarkEnd w:id="45"/>
      <w:r w:rsidRPr="00BA531F">
        <w:rPr>
          <w:rFonts w:asciiTheme="majorBidi" w:hAnsiTheme="majorBidi"/>
          <w:color w:val="000000" w:themeColor="text1"/>
        </w:rPr>
        <w:t xml:space="preserve">  Amortizing these costs over three years, the annual burden of complying with these requirements would be 14,170 hours, at a time cost of $5,596,060.  We also estimate that there would be no external cost for an ETF associated with these requirements.  </w:t>
      </w:r>
    </w:p>
    <w:p w:rsidR="00E46C89" w:rsidRPr="00BA531F" w:rsidRDefault="00E46C89" w:rsidP="00E46C89">
      <w:pPr>
        <w:widowControl w:val="0"/>
        <w:spacing w:line="480" w:lineRule="auto"/>
        <w:ind w:firstLine="720"/>
        <w:rPr>
          <w:rFonts w:asciiTheme="majorBidi" w:hAnsiTheme="majorBidi"/>
          <w:color w:val="000000" w:themeColor="text1"/>
        </w:rPr>
      </w:pPr>
      <w:r w:rsidRPr="00BA531F">
        <w:rPr>
          <w:rFonts w:asciiTheme="majorBidi" w:eastAsia="Times New Roman" w:hAnsiTheme="majorBidi"/>
          <w:color w:val="000000" w:themeColor="text1"/>
        </w:rPr>
        <w:t xml:space="preserve">We estimate that each ETF would incur an ongoing burden of an additional 10 hours, at a time cost of an additional </w:t>
      </w:r>
      <w:r w:rsidRPr="00BA531F">
        <w:rPr>
          <w:rFonts w:asciiTheme="majorBidi" w:hAnsiTheme="majorBidi"/>
          <w:color w:val="000000" w:themeColor="text1"/>
        </w:rPr>
        <w:t>$3,985</w:t>
      </w:r>
      <w:bookmarkStart w:id="46" w:name="_Ref512246846"/>
      <w:r w:rsidRPr="00BA531F">
        <w:rPr>
          <w:rStyle w:val="FootnoteReference"/>
          <w:rFonts w:asciiTheme="majorBidi" w:hAnsiTheme="majorBidi"/>
          <w:color w:val="000000" w:themeColor="text1"/>
        </w:rPr>
        <w:footnoteReference w:id="12"/>
      </w:r>
      <w:bookmarkEnd w:id="46"/>
      <w:r w:rsidRPr="00BA531F">
        <w:rPr>
          <w:rFonts w:asciiTheme="majorBidi" w:eastAsia="Times New Roman" w:hAnsiTheme="majorBidi"/>
          <w:color w:val="000000" w:themeColor="text1"/>
        </w:rPr>
        <w:t xml:space="preserve"> each year to review and update its custom basket policies and procedures as well as its process for </w:t>
      </w:r>
      <w:r w:rsidRPr="00BA531F">
        <w:rPr>
          <w:rFonts w:asciiTheme="majorBidi" w:hAnsiTheme="majorBidi"/>
          <w:color w:val="000000" w:themeColor="text1"/>
        </w:rPr>
        <w:t>documenting the construction and acceptance of baskets</w:t>
      </w:r>
      <w:r w:rsidRPr="00BA531F">
        <w:rPr>
          <w:rFonts w:asciiTheme="majorBidi" w:eastAsia="Times New Roman" w:hAnsiTheme="majorBidi"/>
          <w:color w:val="000000" w:themeColor="text1"/>
        </w:rPr>
        <w:t>.  In aggregate, we estimate that the total ongoing costs associated with these requirements are 16,350 hours, at a time cost of $6,515,475.</w:t>
      </w:r>
      <w:r w:rsidRPr="00BA531F">
        <w:rPr>
          <w:rStyle w:val="FootnoteReference"/>
          <w:rFonts w:asciiTheme="majorBidi" w:hAnsiTheme="majorBidi"/>
          <w:color w:val="000000" w:themeColor="text1"/>
        </w:rPr>
        <w:footnoteReference w:id="13"/>
      </w:r>
      <w:r w:rsidRPr="00BA531F">
        <w:rPr>
          <w:rFonts w:asciiTheme="majorBidi" w:eastAsia="Times New Roman" w:hAnsiTheme="majorBidi"/>
          <w:color w:val="000000" w:themeColor="text1"/>
        </w:rPr>
        <w:t xml:space="preserve">  We do not estimate that there will be any ongoing external costs associated with these requirements.  </w:t>
      </w:r>
      <w:r w:rsidRPr="00BA531F">
        <w:rPr>
          <w:rFonts w:asciiTheme="majorBidi" w:hAnsiTheme="majorBidi"/>
          <w:color w:val="000000" w:themeColor="text1"/>
        </w:rPr>
        <w:t>Therefore, we estimate that the total initial and ongoing costs associated with complying with the policies and procedures requirements of proposed rule 6c-11 would be 30,520</w:t>
      </w:r>
      <w:r w:rsidRPr="00BA531F">
        <w:rPr>
          <w:rStyle w:val="FootnoteReference"/>
          <w:rFonts w:asciiTheme="majorBidi" w:hAnsiTheme="majorBidi"/>
          <w:color w:val="000000" w:themeColor="text1"/>
        </w:rPr>
        <w:footnoteReference w:id="14"/>
      </w:r>
      <w:r w:rsidRPr="00BA531F">
        <w:rPr>
          <w:rFonts w:asciiTheme="majorBidi" w:hAnsiTheme="majorBidi"/>
          <w:color w:val="000000" w:themeColor="text1"/>
        </w:rPr>
        <w:t xml:space="preserve"> hours at a time cost of $12,111,535.</w:t>
      </w:r>
      <w:r w:rsidRPr="00BA531F">
        <w:rPr>
          <w:rStyle w:val="FootnoteReference"/>
          <w:rFonts w:asciiTheme="majorBidi" w:hAnsiTheme="majorBidi"/>
          <w:color w:val="000000" w:themeColor="text1"/>
        </w:rPr>
        <w:footnoteReference w:id="15"/>
      </w:r>
    </w:p>
    <w:p w:rsidR="00E46C89" w:rsidRPr="00BA531F" w:rsidRDefault="00E46C89" w:rsidP="00E46C89">
      <w:pPr>
        <w:pStyle w:val="Heading3"/>
        <w:numPr>
          <w:ilvl w:val="0"/>
          <w:numId w:val="0"/>
        </w:numPr>
        <w:ind w:left="2160" w:hanging="2160"/>
      </w:pPr>
      <w:bookmarkStart w:id="47" w:name="_Toc512516889"/>
      <w:bookmarkStart w:id="48" w:name="_Toc512519812"/>
      <w:bookmarkStart w:id="49" w:name="_Toc512524355"/>
      <w:bookmarkStart w:id="50" w:name="_Toc512524496"/>
      <w:bookmarkStart w:id="51" w:name="_Toc513458711"/>
      <w:bookmarkStart w:id="52" w:name="_Toc513460563"/>
      <w:bookmarkStart w:id="53" w:name="_Toc513468353"/>
      <w:bookmarkStart w:id="54" w:name="_Toc513472707"/>
      <w:bookmarkStart w:id="55" w:name="_Toc513473300"/>
      <w:bookmarkStart w:id="56" w:name="_Toc517103714"/>
      <w:bookmarkStart w:id="57" w:name="_Toc517119770"/>
      <w:bookmarkStart w:id="58" w:name="_Toc517703186"/>
      <w:r w:rsidRPr="00E46C89">
        <w:rPr>
          <w:b w:val="0"/>
          <w:i/>
        </w:rPr>
        <w:t>Estimated Total Burden</w:t>
      </w:r>
      <w:bookmarkEnd w:id="47"/>
      <w:bookmarkEnd w:id="48"/>
      <w:bookmarkEnd w:id="49"/>
      <w:bookmarkEnd w:id="50"/>
      <w:bookmarkEnd w:id="51"/>
      <w:bookmarkEnd w:id="52"/>
      <w:bookmarkEnd w:id="53"/>
      <w:bookmarkEnd w:id="54"/>
      <w:bookmarkEnd w:id="55"/>
      <w:bookmarkEnd w:id="56"/>
      <w:bookmarkEnd w:id="57"/>
      <w:bookmarkEnd w:id="58"/>
    </w:p>
    <w:p w:rsidR="00C71749" w:rsidRDefault="00E46C89" w:rsidP="00E46C89">
      <w:pPr>
        <w:spacing w:line="480" w:lineRule="auto"/>
        <w:contextualSpacing/>
        <w:rPr>
          <w:rFonts w:asciiTheme="majorBidi" w:hAnsiTheme="majorBidi"/>
          <w:color w:val="000000" w:themeColor="text1"/>
        </w:rPr>
      </w:pPr>
      <w:r w:rsidRPr="00BA531F">
        <w:rPr>
          <w:rFonts w:asciiTheme="majorBidi" w:hAnsiTheme="majorBidi"/>
          <w:color w:val="000000" w:themeColor="text1"/>
        </w:rPr>
        <w:t>We estimate that the total hour burdens and time costs associated with proposed rule 6c-11, including the burden associated with: (i) website disclosure; (ii) recordkeeping; and (iii) developing policies and procedures, would result in an average aggregate annual burden of 60,440.5 hours</w:t>
      </w:r>
      <w:r w:rsidRPr="00BA531F">
        <w:rPr>
          <w:rFonts w:asciiTheme="majorBidi" w:hAnsiTheme="majorBidi"/>
          <w:color w:val="000000" w:themeColor="text1"/>
          <w:vertAlign w:val="superscript"/>
        </w:rPr>
        <w:footnoteReference w:id="16"/>
      </w:r>
      <w:r w:rsidRPr="00BA531F">
        <w:rPr>
          <w:rFonts w:asciiTheme="majorBidi" w:hAnsiTheme="majorBidi"/>
          <w:color w:val="000000" w:themeColor="text1"/>
        </w:rPr>
        <w:t xml:space="preserve"> and an average aggregate time cost of $19,225,910.50.</w:t>
      </w:r>
      <w:r w:rsidRPr="00BA531F">
        <w:rPr>
          <w:rFonts w:asciiTheme="majorBidi" w:hAnsiTheme="majorBidi"/>
          <w:color w:val="000000" w:themeColor="text1"/>
          <w:vertAlign w:val="superscript"/>
        </w:rPr>
        <w:footnoteReference w:id="17"/>
      </w:r>
      <w:r w:rsidRPr="00BA531F">
        <w:rPr>
          <w:rFonts w:asciiTheme="majorBidi" w:hAnsiTheme="majorBidi"/>
          <w:color w:val="000000" w:themeColor="text1"/>
        </w:rPr>
        <w:t xml:space="preserve">  Therefore, to comply with rule 6c-11 each ETF would incur an annual burden of approximately 36.</w:t>
      </w:r>
      <w:bookmarkStart w:id="59" w:name="_Ref512001498"/>
      <w:r w:rsidRPr="00BA531F">
        <w:rPr>
          <w:rFonts w:asciiTheme="majorBidi" w:hAnsiTheme="majorBidi"/>
          <w:color w:val="000000" w:themeColor="text1"/>
        </w:rPr>
        <w:t>97</w:t>
      </w:r>
      <w:r w:rsidRPr="00BA531F">
        <w:rPr>
          <w:rStyle w:val="FootnoteReference"/>
          <w:rFonts w:asciiTheme="majorBidi" w:hAnsiTheme="majorBidi"/>
          <w:color w:val="000000" w:themeColor="text1"/>
        </w:rPr>
        <w:footnoteReference w:id="18"/>
      </w:r>
      <w:bookmarkEnd w:id="59"/>
      <w:r w:rsidRPr="00BA531F">
        <w:rPr>
          <w:rFonts w:asciiTheme="majorBidi" w:hAnsiTheme="majorBidi"/>
          <w:color w:val="000000" w:themeColor="text1"/>
        </w:rPr>
        <w:t xml:space="preserve"> hours, at an average time cost of approximately $11,758.97</w:t>
      </w:r>
      <w:r w:rsidR="00D17044">
        <w:rPr>
          <w:rFonts w:asciiTheme="majorBidi" w:hAnsiTheme="majorBidi"/>
          <w:color w:val="000000" w:themeColor="text1"/>
        </w:rPr>
        <w:t>.</w:t>
      </w:r>
      <w:r w:rsidRPr="00BA531F">
        <w:rPr>
          <w:rStyle w:val="FootnoteReference"/>
          <w:rFonts w:asciiTheme="majorBidi" w:hAnsiTheme="majorBidi"/>
          <w:color w:val="000000" w:themeColor="text1"/>
        </w:rPr>
        <w:footnoteReference w:id="19"/>
      </w:r>
    </w:p>
    <w:p w:rsidR="00E82C12" w:rsidRPr="00E82C12" w:rsidRDefault="00E82C12" w:rsidP="00E82C12">
      <w:pPr>
        <w:spacing w:before="100" w:beforeAutospacing="1" w:after="100" w:afterAutospacing="1" w:line="240" w:lineRule="auto"/>
        <w:jc w:val="center"/>
        <w:rPr>
          <w:rFonts w:ascii="Times New Roman" w:eastAsia="Times New Roman" w:hAnsi="Times New Roman" w:cs="Times New Roman"/>
          <w:lang w:eastAsia="en-US"/>
        </w:rPr>
      </w:pPr>
      <w:r w:rsidRPr="00E82C12">
        <w:rPr>
          <w:rFonts w:ascii="Times New Roman" w:eastAsia="Times New Roman" w:hAnsi="Times New Roman" w:cs="Times New Roman"/>
          <w:b/>
          <w:bCs/>
          <w:lang w:eastAsia="en-US"/>
        </w:rPr>
        <w:t>Table 1: Summary of Bur</w:t>
      </w:r>
      <w:r w:rsidR="002F55A3">
        <w:rPr>
          <w:rFonts w:ascii="Times New Roman" w:eastAsia="Times New Roman" w:hAnsi="Times New Roman" w:cs="Times New Roman"/>
          <w:b/>
          <w:bCs/>
          <w:lang w:eastAsia="en-US"/>
        </w:rPr>
        <w:t>den Hours</w:t>
      </w:r>
      <w:r>
        <w:rPr>
          <w:rFonts w:ascii="Times New Roman" w:eastAsia="Times New Roman" w:hAnsi="Times New Roman" w:cs="Times New Roman"/>
          <w:b/>
          <w:bCs/>
          <w:lang w:eastAsia="en-US"/>
        </w:rPr>
        <w:t xml:space="preserve"> and Burden Hour Cost Estimates for Each Information Collection Component</w:t>
      </w:r>
    </w:p>
    <w:tbl>
      <w:tblPr>
        <w:tblW w:w="8015" w:type="dxa"/>
        <w:tblCellSpacing w:w="0" w:type="dxa"/>
        <w:tblInd w:w="33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470"/>
        <w:gridCol w:w="3602"/>
        <w:gridCol w:w="1685"/>
        <w:gridCol w:w="2258"/>
      </w:tblGrid>
      <w:tr w:rsidR="002F55A3" w:rsidRPr="00E82C12" w:rsidTr="002F55A3">
        <w:trPr>
          <w:trHeight w:val="420"/>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2F55A3" w:rsidRPr="00E82C12" w:rsidRDefault="002F55A3" w:rsidP="00E82C12">
            <w:pPr>
              <w:spacing w:line="240" w:lineRule="auto"/>
              <w:rPr>
                <w:rFonts w:ascii="Times New Roman" w:eastAsia="Times New Roman" w:hAnsi="Times New Roman" w:cs="Times New Roman"/>
                <w:lang w:eastAsia="en-US"/>
              </w:rPr>
            </w:pPr>
            <w:bookmarkStart w:id="60" w:name="table01"/>
            <w:bookmarkEnd w:id="60"/>
            <w:r w:rsidRPr="00E82C12">
              <w:rPr>
                <w:rFonts w:ascii="Times New Roman" w:eastAsia="Times New Roman" w:hAnsi="Times New Roman" w:cs="Times New Roman"/>
                <w:b/>
                <w:bCs/>
                <w:sz w:val="20"/>
                <w:szCs w:val="20"/>
                <w:lang w:eastAsia="en-US"/>
              </w:rPr>
              <w:t>IC</w:t>
            </w:r>
          </w:p>
        </w:tc>
        <w:tc>
          <w:tcPr>
            <w:tcW w:w="0" w:type="auto"/>
            <w:tcBorders>
              <w:top w:val="outset" w:sz="6" w:space="0" w:color="auto"/>
              <w:left w:val="outset" w:sz="6" w:space="0" w:color="auto"/>
              <w:bottom w:val="outset" w:sz="6" w:space="0" w:color="auto"/>
              <w:right w:val="outset" w:sz="6" w:space="0" w:color="auto"/>
            </w:tcBorders>
            <w:hideMark/>
          </w:tcPr>
          <w:p w:rsidR="002F55A3" w:rsidRPr="00E82C12" w:rsidRDefault="002F55A3" w:rsidP="00E82C12">
            <w:pPr>
              <w:spacing w:line="240" w:lineRule="auto"/>
              <w:rPr>
                <w:rFonts w:ascii="Times New Roman" w:eastAsia="Times New Roman" w:hAnsi="Times New Roman" w:cs="Times New Roman"/>
                <w:lang w:eastAsia="en-US"/>
              </w:rPr>
            </w:pPr>
            <w:r w:rsidRPr="00E82C12">
              <w:rPr>
                <w:rFonts w:ascii="Times New Roman" w:eastAsia="Times New Roman" w:hAnsi="Times New Roman" w:cs="Times New Roman"/>
                <w:b/>
                <w:bCs/>
                <w:sz w:val="20"/>
                <w:szCs w:val="20"/>
                <w:lang w:eastAsia="en-US"/>
              </w:rPr>
              <w:t>IC Title</w:t>
            </w:r>
          </w:p>
        </w:tc>
        <w:tc>
          <w:tcPr>
            <w:tcW w:w="0" w:type="auto"/>
            <w:tcBorders>
              <w:top w:val="outset" w:sz="6" w:space="0" w:color="auto"/>
              <w:left w:val="outset" w:sz="6" w:space="0" w:color="auto"/>
              <w:bottom w:val="outset" w:sz="6" w:space="0" w:color="auto"/>
              <w:right w:val="outset" w:sz="6" w:space="0" w:color="auto"/>
            </w:tcBorders>
            <w:hideMark/>
          </w:tcPr>
          <w:p w:rsidR="002F55A3" w:rsidRPr="00E82C12" w:rsidRDefault="002F55A3" w:rsidP="00E82C12">
            <w:pPr>
              <w:spacing w:line="240" w:lineRule="auto"/>
              <w:rPr>
                <w:rFonts w:ascii="Times New Roman" w:eastAsia="Times New Roman" w:hAnsi="Times New Roman" w:cs="Times New Roman"/>
                <w:lang w:eastAsia="en-US"/>
              </w:rPr>
            </w:pPr>
            <w:r w:rsidRPr="00E82C12">
              <w:rPr>
                <w:rFonts w:ascii="Times New Roman" w:eastAsia="Times New Roman" w:hAnsi="Times New Roman" w:cs="Times New Roman"/>
                <w:b/>
                <w:bCs/>
                <w:sz w:val="20"/>
                <w:szCs w:val="20"/>
                <w:lang w:eastAsia="en-US"/>
              </w:rPr>
              <w:t>Burden Hours</w:t>
            </w:r>
          </w:p>
        </w:tc>
        <w:tc>
          <w:tcPr>
            <w:tcW w:w="0" w:type="auto"/>
            <w:tcBorders>
              <w:top w:val="outset" w:sz="6" w:space="0" w:color="auto"/>
              <w:left w:val="outset" w:sz="6" w:space="0" w:color="auto"/>
              <w:bottom w:val="outset" w:sz="6" w:space="0" w:color="auto"/>
              <w:right w:val="outset" w:sz="6" w:space="0" w:color="auto"/>
            </w:tcBorders>
            <w:hideMark/>
          </w:tcPr>
          <w:p w:rsidR="002F55A3" w:rsidRPr="00E82C12" w:rsidRDefault="002F55A3" w:rsidP="00E82C12">
            <w:pPr>
              <w:spacing w:line="240" w:lineRule="auto"/>
              <w:rPr>
                <w:rFonts w:ascii="Times New Roman" w:eastAsia="Times New Roman" w:hAnsi="Times New Roman" w:cs="Times New Roman"/>
                <w:lang w:eastAsia="en-US"/>
              </w:rPr>
            </w:pPr>
            <w:r w:rsidRPr="00E82C12">
              <w:rPr>
                <w:rFonts w:ascii="Times New Roman" w:eastAsia="Times New Roman" w:hAnsi="Times New Roman" w:cs="Times New Roman"/>
                <w:b/>
                <w:bCs/>
                <w:sz w:val="20"/>
                <w:szCs w:val="20"/>
                <w:lang w:eastAsia="en-US"/>
              </w:rPr>
              <w:t>Burden Hour Costs</w:t>
            </w:r>
          </w:p>
        </w:tc>
      </w:tr>
      <w:tr w:rsidR="002F55A3" w:rsidRPr="00E82C12" w:rsidTr="002F55A3">
        <w:trPr>
          <w:trHeight w:val="19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F55A3" w:rsidRPr="00E82C12" w:rsidRDefault="002F55A3" w:rsidP="00E82C12">
            <w:pPr>
              <w:spacing w:line="195" w:lineRule="atLeast"/>
              <w:rPr>
                <w:rFonts w:ascii="Times New Roman" w:eastAsia="Times New Roman" w:hAnsi="Times New Roman" w:cs="Times New Roman"/>
                <w:lang w:eastAsia="en-US"/>
              </w:rPr>
            </w:pPr>
            <w:r w:rsidRPr="00E82C12">
              <w:rPr>
                <w:rFonts w:ascii="Times New Roman" w:eastAsia="Times New Roman" w:hAnsi="Times New Roman" w:cs="Times New Roman"/>
                <w:sz w:val="20"/>
                <w:szCs w:val="20"/>
                <w:lang w:eastAsia="en-US"/>
              </w:rPr>
              <w:t>IC1</w:t>
            </w:r>
          </w:p>
        </w:tc>
        <w:tc>
          <w:tcPr>
            <w:tcW w:w="0" w:type="auto"/>
            <w:tcBorders>
              <w:top w:val="outset" w:sz="6" w:space="0" w:color="auto"/>
              <w:left w:val="outset" w:sz="6" w:space="0" w:color="auto"/>
              <w:bottom w:val="outset" w:sz="6" w:space="0" w:color="auto"/>
              <w:right w:val="outset" w:sz="6" w:space="0" w:color="auto"/>
            </w:tcBorders>
            <w:hideMark/>
          </w:tcPr>
          <w:p w:rsidR="002F55A3" w:rsidRPr="00E82C12" w:rsidRDefault="002F55A3" w:rsidP="00E82C12">
            <w:pPr>
              <w:spacing w:line="195" w:lineRule="atLeast"/>
              <w:rPr>
                <w:rFonts w:ascii="Times New Roman" w:eastAsia="Times New Roman" w:hAnsi="Times New Roman" w:cs="Times New Roman"/>
                <w:lang w:eastAsia="en-US"/>
              </w:rPr>
            </w:pPr>
            <w:r w:rsidRPr="00E82C12">
              <w:rPr>
                <w:rFonts w:ascii="Times New Roman" w:eastAsia="Times New Roman" w:hAnsi="Times New Roman" w:cs="Times New Roman"/>
                <w:sz w:val="20"/>
                <w:szCs w:val="20"/>
                <w:lang w:eastAsia="en-US"/>
              </w:rPr>
              <w:t>Website Disclosures</w:t>
            </w:r>
          </w:p>
        </w:tc>
        <w:tc>
          <w:tcPr>
            <w:tcW w:w="0" w:type="auto"/>
            <w:tcBorders>
              <w:top w:val="outset" w:sz="6" w:space="0" w:color="auto"/>
              <w:left w:val="outset" w:sz="6" w:space="0" w:color="auto"/>
              <w:bottom w:val="outset" w:sz="6" w:space="0" w:color="auto"/>
              <w:right w:val="outset" w:sz="6" w:space="0" w:color="auto"/>
            </w:tcBorders>
            <w:hideMark/>
          </w:tcPr>
          <w:p w:rsidR="002F55A3" w:rsidRPr="000A67CB" w:rsidRDefault="002F55A3" w:rsidP="00E82C12">
            <w:pPr>
              <w:spacing w:line="195" w:lineRule="atLeast"/>
              <w:rPr>
                <w:rFonts w:ascii="Times New Roman" w:eastAsia="Times New Roman" w:hAnsi="Times New Roman" w:cs="Times New Roman"/>
                <w:sz w:val="20"/>
                <w:szCs w:val="20"/>
                <w:lang w:eastAsia="en-US"/>
              </w:rPr>
            </w:pPr>
            <w:r w:rsidRPr="000A67CB">
              <w:rPr>
                <w:rFonts w:ascii="Times New Roman" w:eastAsia="Times New Roman" w:hAnsi="Times New Roman" w:cs="Times New Roman"/>
                <w:sz w:val="20"/>
                <w:szCs w:val="20"/>
                <w:lang w:eastAsia="en-US"/>
              </w:rPr>
              <w:t>21,745.5</w:t>
            </w:r>
          </w:p>
        </w:tc>
        <w:tc>
          <w:tcPr>
            <w:tcW w:w="0" w:type="auto"/>
            <w:tcBorders>
              <w:top w:val="outset" w:sz="6" w:space="0" w:color="auto"/>
              <w:left w:val="outset" w:sz="6" w:space="0" w:color="auto"/>
              <w:bottom w:val="outset" w:sz="6" w:space="0" w:color="auto"/>
              <w:right w:val="outset" w:sz="6" w:space="0" w:color="auto"/>
            </w:tcBorders>
            <w:hideMark/>
          </w:tcPr>
          <w:p w:rsidR="002F55A3" w:rsidRPr="000A67CB" w:rsidRDefault="002F55A3" w:rsidP="00E82C12">
            <w:pPr>
              <w:spacing w:line="195" w:lineRule="atLeast"/>
              <w:rPr>
                <w:rFonts w:ascii="Times New Roman" w:eastAsia="Times New Roman" w:hAnsi="Times New Roman" w:cs="Times New Roman"/>
                <w:sz w:val="20"/>
                <w:szCs w:val="20"/>
                <w:lang w:eastAsia="en-US"/>
              </w:rPr>
            </w:pPr>
            <w:r w:rsidRPr="00C2747A">
              <w:rPr>
                <w:rFonts w:ascii="Times New Roman" w:eastAsia="Times New Roman" w:hAnsi="Times New Roman" w:cs="Times New Roman"/>
                <w:sz w:val="20"/>
                <w:szCs w:val="20"/>
                <w:lang w:eastAsia="en-US"/>
              </w:rPr>
              <w:t>$6,493,075.50</w:t>
            </w:r>
          </w:p>
        </w:tc>
      </w:tr>
      <w:tr w:rsidR="002F55A3" w:rsidRPr="00E82C12" w:rsidTr="002F55A3">
        <w:trPr>
          <w:trHeight w:val="19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F55A3" w:rsidRPr="00E82C12" w:rsidRDefault="002F55A3" w:rsidP="00E82C12">
            <w:pPr>
              <w:spacing w:line="195" w:lineRule="atLeast"/>
              <w:rPr>
                <w:rFonts w:ascii="Times New Roman" w:eastAsia="Times New Roman" w:hAnsi="Times New Roman" w:cs="Times New Roman"/>
                <w:lang w:eastAsia="en-US"/>
              </w:rPr>
            </w:pPr>
            <w:r w:rsidRPr="00E82C12">
              <w:rPr>
                <w:rFonts w:ascii="Times New Roman" w:eastAsia="Times New Roman" w:hAnsi="Times New Roman" w:cs="Times New Roman"/>
                <w:sz w:val="20"/>
                <w:szCs w:val="20"/>
                <w:lang w:eastAsia="en-US"/>
              </w:rPr>
              <w:t>IC2</w:t>
            </w:r>
          </w:p>
        </w:tc>
        <w:tc>
          <w:tcPr>
            <w:tcW w:w="0" w:type="auto"/>
            <w:tcBorders>
              <w:top w:val="outset" w:sz="6" w:space="0" w:color="auto"/>
              <w:left w:val="outset" w:sz="6" w:space="0" w:color="auto"/>
              <w:bottom w:val="outset" w:sz="6" w:space="0" w:color="auto"/>
              <w:right w:val="outset" w:sz="6" w:space="0" w:color="auto"/>
            </w:tcBorders>
            <w:hideMark/>
          </w:tcPr>
          <w:p w:rsidR="002F55A3" w:rsidRPr="00E82C12" w:rsidRDefault="002F55A3" w:rsidP="00E82C12">
            <w:pPr>
              <w:spacing w:line="195" w:lineRule="atLeast"/>
              <w:rPr>
                <w:rFonts w:ascii="Times New Roman" w:eastAsia="Times New Roman" w:hAnsi="Times New Roman" w:cs="Times New Roman"/>
                <w:lang w:eastAsia="en-US"/>
              </w:rPr>
            </w:pPr>
            <w:r w:rsidRPr="00E82C12">
              <w:rPr>
                <w:rFonts w:ascii="Times New Roman" w:eastAsia="Times New Roman" w:hAnsi="Times New Roman" w:cs="Times New Roman"/>
                <w:sz w:val="20"/>
                <w:szCs w:val="20"/>
                <w:lang w:eastAsia="en-US"/>
              </w:rPr>
              <w:t>Recordkeeping</w:t>
            </w:r>
          </w:p>
        </w:tc>
        <w:tc>
          <w:tcPr>
            <w:tcW w:w="0" w:type="auto"/>
            <w:tcBorders>
              <w:top w:val="outset" w:sz="6" w:space="0" w:color="auto"/>
              <w:left w:val="outset" w:sz="6" w:space="0" w:color="auto"/>
              <w:bottom w:val="outset" w:sz="6" w:space="0" w:color="auto"/>
              <w:right w:val="outset" w:sz="6" w:space="0" w:color="auto"/>
            </w:tcBorders>
            <w:hideMark/>
          </w:tcPr>
          <w:p w:rsidR="002F55A3" w:rsidRPr="000A67CB" w:rsidRDefault="002F55A3" w:rsidP="00E82C12">
            <w:pPr>
              <w:spacing w:line="195" w:lineRule="atLeast"/>
              <w:rPr>
                <w:rFonts w:ascii="Times New Roman" w:eastAsia="Times New Roman" w:hAnsi="Times New Roman" w:cs="Times New Roman"/>
                <w:sz w:val="20"/>
                <w:szCs w:val="20"/>
                <w:lang w:eastAsia="en-US"/>
              </w:rPr>
            </w:pPr>
            <w:r w:rsidRPr="000A67CB">
              <w:rPr>
                <w:rFonts w:ascii="Times New Roman" w:eastAsia="Times New Roman" w:hAnsi="Times New Roman" w:cs="Times New Roman"/>
                <w:sz w:val="20"/>
                <w:szCs w:val="20"/>
                <w:lang w:eastAsia="en-US"/>
              </w:rPr>
              <w:t>8,175</w:t>
            </w:r>
          </w:p>
        </w:tc>
        <w:tc>
          <w:tcPr>
            <w:tcW w:w="0" w:type="auto"/>
            <w:tcBorders>
              <w:top w:val="outset" w:sz="6" w:space="0" w:color="auto"/>
              <w:left w:val="outset" w:sz="6" w:space="0" w:color="auto"/>
              <w:bottom w:val="outset" w:sz="6" w:space="0" w:color="auto"/>
              <w:right w:val="outset" w:sz="6" w:space="0" w:color="auto"/>
            </w:tcBorders>
            <w:hideMark/>
          </w:tcPr>
          <w:p w:rsidR="002F55A3" w:rsidRPr="000A67CB" w:rsidRDefault="002F55A3" w:rsidP="00E82C12">
            <w:pPr>
              <w:spacing w:line="195" w:lineRule="atLeast"/>
              <w:rPr>
                <w:rFonts w:ascii="Times New Roman" w:eastAsia="Times New Roman" w:hAnsi="Times New Roman" w:cs="Times New Roman"/>
                <w:sz w:val="20"/>
                <w:szCs w:val="20"/>
                <w:lang w:eastAsia="en-US"/>
              </w:rPr>
            </w:pPr>
            <w:r w:rsidRPr="005D515A">
              <w:rPr>
                <w:rFonts w:ascii="Times New Roman" w:eastAsia="Times New Roman" w:hAnsi="Times New Roman" w:cs="Times New Roman"/>
                <w:sz w:val="20"/>
                <w:szCs w:val="20"/>
                <w:lang w:eastAsia="en-US"/>
              </w:rPr>
              <w:t>$621,300</w:t>
            </w:r>
          </w:p>
        </w:tc>
      </w:tr>
      <w:tr w:rsidR="002F55A3" w:rsidRPr="00E82C12" w:rsidTr="002F55A3">
        <w:trPr>
          <w:trHeight w:val="19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F55A3" w:rsidRPr="00E82C12" w:rsidRDefault="002F55A3" w:rsidP="00E82C12">
            <w:pPr>
              <w:spacing w:line="195" w:lineRule="atLeast"/>
              <w:rPr>
                <w:rFonts w:ascii="Times New Roman" w:eastAsia="Times New Roman" w:hAnsi="Times New Roman" w:cs="Times New Roman"/>
                <w:lang w:eastAsia="en-US"/>
              </w:rPr>
            </w:pPr>
            <w:r w:rsidRPr="00E82C12">
              <w:rPr>
                <w:rFonts w:ascii="Times New Roman" w:eastAsia="Times New Roman" w:hAnsi="Times New Roman" w:cs="Times New Roman"/>
                <w:sz w:val="20"/>
                <w:szCs w:val="20"/>
                <w:lang w:eastAsia="en-US"/>
              </w:rPr>
              <w:t>IC3</w:t>
            </w:r>
          </w:p>
        </w:tc>
        <w:tc>
          <w:tcPr>
            <w:tcW w:w="0" w:type="auto"/>
            <w:tcBorders>
              <w:top w:val="outset" w:sz="6" w:space="0" w:color="auto"/>
              <w:left w:val="outset" w:sz="6" w:space="0" w:color="auto"/>
              <w:bottom w:val="outset" w:sz="6" w:space="0" w:color="auto"/>
              <w:right w:val="outset" w:sz="6" w:space="0" w:color="auto"/>
            </w:tcBorders>
            <w:hideMark/>
          </w:tcPr>
          <w:p w:rsidR="002F55A3" w:rsidRPr="00E82C12" w:rsidRDefault="002F55A3" w:rsidP="00E82C12">
            <w:pPr>
              <w:spacing w:line="195" w:lineRule="atLeast"/>
              <w:rPr>
                <w:rFonts w:ascii="Times New Roman" w:eastAsia="Times New Roman" w:hAnsi="Times New Roman" w:cs="Times New Roman"/>
                <w:lang w:eastAsia="en-US"/>
              </w:rPr>
            </w:pPr>
            <w:r w:rsidRPr="00E82C12">
              <w:rPr>
                <w:rFonts w:ascii="Times New Roman" w:eastAsia="Times New Roman" w:hAnsi="Times New Roman" w:cs="Times New Roman"/>
                <w:sz w:val="20"/>
                <w:szCs w:val="20"/>
                <w:lang w:eastAsia="en-US"/>
              </w:rPr>
              <w:t>Policies and Procedures</w:t>
            </w:r>
          </w:p>
        </w:tc>
        <w:tc>
          <w:tcPr>
            <w:tcW w:w="0" w:type="auto"/>
            <w:tcBorders>
              <w:top w:val="outset" w:sz="6" w:space="0" w:color="auto"/>
              <w:left w:val="outset" w:sz="6" w:space="0" w:color="auto"/>
              <w:bottom w:val="outset" w:sz="6" w:space="0" w:color="auto"/>
              <w:right w:val="outset" w:sz="6" w:space="0" w:color="auto"/>
            </w:tcBorders>
            <w:hideMark/>
          </w:tcPr>
          <w:p w:rsidR="002F55A3" w:rsidRPr="000A67CB" w:rsidRDefault="002F55A3" w:rsidP="00E82C12">
            <w:pPr>
              <w:spacing w:line="195" w:lineRule="atLeast"/>
              <w:rPr>
                <w:rFonts w:ascii="Times New Roman" w:eastAsia="Times New Roman" w:hAnsi="Times New Roman" w:cs="Times New Roman"/>
                <w:sz w:val="20"/>
                <w:szCs w:val="20"/>
                <w:lang w:eastAsia="en-US"/>
              </w:rPr>
            </w:pPr>
            <w:r w:rsidRPr="000A67CB">
              <w:rPr>
                <w:rFonts w:ascii="Times New Roman" w:eastAsia="Times New Roman" w:hAnsi="Times New Roman" w:cs="Times New Roman"/>
                <w:sz w:val="20"/>
                <w:szCs w:val="20"/>
                <w:lang w:eastAsia="en-US"/>
              </w:rPr>
              <w:t>30,520</w:t>
            </w:r>
          </w:p>
        </w:tc>
        <w:tc>
          <w:tcPr>
            <w:tcW w:w="0" w:type="auto"/>
            <w:tcBorders>
              <w:top w:val="outset" w:sz="6" w:space="0" w:color="auto"/>
              <w:left w:val="outset" w:sz="6" w:space="0" w:color="auto"/>
              <w:bottom w:val="outset" w:sz="6" w:space="0" w:color="auto"/>
              <w:right w:val="outset" w:sz="6" w:space="0" w:color="auto"/>
            </w:tcBorders>
            <w:hideMark/>
          </w:tcPr>
          <w:p w:rsidR="002F55A3" w:rsidRPr="000A67CB" w:rsidRDefault="002F55A3" w:rsidP="00E82C12">
            <w:pPr>
              <w:spacing w:line="195" w:lineRule="atLeast"/>
              <w:rPr>
                <w:rFonts w:ascii="Times New Roman" w:eastAsia="Times New Roman" w:hAnsi="Times New Roman" w:cs="Times New Roman"/>
                <w:sz w:val="20"/>
                <w:szCs w:val="20"/>
                <w:lang w:eastAsia="en-US"/>
              </w:rPr>
            </w:pPr>
            <w:r w:rsidRPr="004E7F15">
              <w:rPr>
                <w:rFonts w:ascii="Times New Roman" w:eastAsia="Times New Roman" w:hAnsi="Times New Roman" w:cs="Times New Roman"/>
                <w:sz w:val="20"/>
                <w:szCs w:val="20"/>
                <w:lang w:eastAsia="en-US"/>
              </w:rPr>
              <w:t>$12,111,535</w:t>
            </w:r>
          </w:p>
        </w:tc>
      </w:tr>
      <w:tr w:rsidR="002F55A3" w:rsidRPr="00E82C12" w:rsidTr="002F55A3">
        <w:trPr>
          <w:trHeight w:val="21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5A3" w:rsidRPr="00E82C12" w:rsidRDefault="002F55A3" w:rsidP="00E82C12">
            <w:pPr>
              <w:spacing w:line="210" w:lineRule="atLeast"/>
              <w:rPr>
                <w:rFonts w:ascii="Times New Roman" w:eastAsia="Times New Roman" w:hAnsi="Times New Roman" w:cs="Times New Roman"/>
                <w:lang w:eastAsia="en-US"/>
              </w:rPr>
            </w:pPr>
            <w:r w:rsidRPr="00E82C12">
              <w:rPr>
                <w:rFonts w:ascii="Times New Roman" w:eastAsia="Times New Roman" w:hAnsi="Times New Roman" w:cs="Times New Roman"/>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2F55A3" w:rsidRPr="00E82C12" w:rsidRDefault="002F55A3" w:rsidP="00E82C12">
            <w:pPr>
              <w:spacing w:line="210" w:lineRule="atLeast"/>
              <w:rPr>
                <w:rFonts w:ascii="Times New Roman" w:eastAsia="Times New Roman" w:hAnsi="Times New Roman" w:cs="Times New Roman"/>
                <w:lang w:eastAsia="en-US"/>
              </w:rPr>
            </w:pPr>
            <w:r w:rsidRPr="00E82C12">
              <w:rPr>
                <w:rFonts w:ascii="Times New Roman" w:eastAsia="Times New Roman" w:hAnsi="Times New Roman" w:cs="Times New Roman"/>
                <w:b/>
                <w:bCs/>
                <w:sz w:val="20"/>
                <w:szCs w:val="20"/>
                <w:lang w:eastAsia="en-US"/>
              </w:rPr>
              <w:t xml:space="preserve"> Totals for </w:t>
            </w:r>
            <w:r>
              <w:rPr>
                <w:rFonts w:ascii="Times New Roman" w:eastAsia="Times New Roman" w:hAnsi="Times New Roman" w:cs="Times New Roman"/>
                <w:b/>
                <w:bCs/>
                <w:sz w:val="20"/>
                <w:szCs w:val="20"/>
                <w:lang w:eastAsia="en-US"/>
              </w:rPr>
              <w:t>Proposed Rule 6c-11</w:t>
            </w:r>
          </w:p>
        </w:tc>
        <w:tc>
          <w:tcPr>
            <w:tcW w:w="0" w:type="auto"/>
            <w:tcBorders>
              <w:top w:val="outset" w:sz="6" w:space="0" w:color="auto"/>
              <w:left w:val="outset" w:sz="6" w:space="0" w:color="auto"/>
              <w:bottom w:val="outset" w:sz="6" w:space="0" w:color="auto"/>
              <w:right w:val="outset" w:sz="6" w:space="0" w:color="auto"/>
            </w:tcBorders>
            <w:hideMark/>
          </w:tcPr>
          <w:p w:rsidR="002F55A3" w:rsidRPr="007F2E23" w:rsidRDefault="002F55A3" w:rsidP="00E82C12">
            <w:pPr>
              <w:spacing w:line="210" w:lineRule="atLeast"/>
              <w:rPr>
                <w:rFonts w:ascii="Times New Roman" w:eastAsia="Times New Roman" w:hAnsi="Times New Roman" w:cs="Times New Roman"/>
                <w:b/>
                <w:sz w:val="20"/>
                <w:szCs w:val="20"/>
                <w:lang w:eastAsia="en-US"/>
              </w:rPr>
            </w:pPr>
            <w:r w:rsidRPr="007F2E23">
              <w:rPr>
                <w:rFonts w:ascii="Times New Roman" w:eastAsia="Times New Roman" w:hAnsi="Times New Roman" w:cs="Times New Roman"/>
                <w:b/>
                <w:sz w:val="20"/>
                <w:szCs w:val="20"/>
                <w:lang w:eastAsia="en-US"/>
              </w:rPr>
              <w:t>60,440.5</w:t>
            </w:r>
          </w:p>
        </w:tc>
        <w:tc>
          <w:tcPr>
            <w:tcW w:w="0" w:type="auto"/>
            <w:tcBorders>
              <w:top w:val="outset" w:sz="6" w:space="0" w:color="auto"/>
              <w:left w:val="outset" w:sz="6" w:space="0" w:color="auto"/>
              <w:bottom w:val="outset" w:sz="6" w:space="0" w:color="auto"/>
              <w:right w:val="outset" w:sz="6" w:space="0" w:color="auto"/>
            </w:tcBorders>
            <w:hideMark/>
          </w:tcPr>
          <w:p w:rsidR="002F55A3" w:rsidRPr="007F2E23" w:rsidRDefault="002F55A3" w:rsidP="00E82C12">
            <w:pPr>
              <w:spacing w:line="210" w:lineRule="atLeast"/>
              <w:rPr>
                <w:rFonts w:ascii="Times New Roman" w:eastAsia="Times New Roman" w:hAnsi="Times New Roman" w:cs="Times New Roman"/>
                <w:b/>
                <w:sz w:val="20"/>
                <w:szCs w:val="20"/>
                <w:lang w:eastAsia="en-US"/>
              </w:rPr>
            </w:pPr>
            <w:r w:rsidRPr="007F2E23">
              <w:rPr>
                <w:rFonts w:ascii="Times New Roman" w:eastAsia="Times New Roman" w:hAnsi="Times New Roman" w:cs="Times New Roman"/>
                <w:b/>
                <w:sz w:val="20"/>
                <w:szCs w:val="20"/>
                <w:lang w:eastAsia="en-US"/>
              </w:rPr>
              <w:t>$19,225,910.50</w:t>
            </w:r>
          </w:p>
        </w:tc>
      </w:tr>
    </w:tbl>
    <w:p w:rsidR="007D237D" w:rsidRPr="00015675" w:rsidRDefault="007D237D" w:rsidP="00E46C89">
      <w:pPr>
        <w:spacing w:line="480" w:lineRule="auto"/>
        <w:contextualSpacing/>
        <w:rPr>
          <w:rFonts w:ascii="Times New Roman" w:hAnsi="Times New Roman" w:cs="Times New Roman"/>
        </w:rPr>
      </w:pPr>
    </w:p>
    <w:p w:rsidR="009520B5" w:rsidRPr="00D672EE" w:rsidRDefault="009520B5" w:rsidP="00E931C5">
      <w:pPr>
        <w:pStyle w:val="Heading2"/>
        <w:tabs>
          <w:tab w:val="clear" w:pos="1080"/>
          <w:tab w:val="num" w:pos="1440"/>
        </w:tabs>
        <w:spacing w:before="0" w:after="0" w:line="480" w:lineRule="auto"/>
        <w:ind w:left="1440"/>
        <w:rPr>
          <w:rFonts w:ascii="Times New Roman" w:hAnsi="Times New Roman" w:cs="Times New Roman"/>
        </w:rPr>
      </w:pPr>
      <w:r w:rsidRPr="00D672EE">
        <w:rPr>
          <w:rFonts w:ascii="Times New Roman" w:hAnsi="Times New Roman" w:cs="Times New Roman"/>
        </w:rPr>
        <w:t>Cost to Respondents</w:t>
      </w:r>
    </w:p>
    <w:p w:rsidR="00D672EE" w:rsidRDefault="00CC6D0E" w:rsidP="004140C9">
      <w:pPr>
        <w:pStyle w:val="ReleaseBodyText"/>
      </w:pPr>
      <w:r>
        <w:t xml:space="preserve">The </w:t>
      </w:r>
      <w:r w:rsidR="003940B7">
        <w:t xml:space="preserve">external </w:t>
      </w:r>
      <w:r>
        <w:t>c</w:t>
      </w:r>
      <w:r w:rsidR="004140C9" w:rsidRPr="00DA0F53">
        <w:t xml:space="preserve">ost burden is the cost associated with </w:t>
      </w:r>
      <w:r w:rsidR="00C905CD">
        <w:t>advisers</w:t>
      </w:r>
      <w:r w:rsidR="00C74C2B">
        <w:t xml:space="preserve"> consulting </w:t>
      </w:r>
      <w:r w:rsidR="00C74C2B" w:rsidRPr="00D13492">
        <w:t xml:space="preserve">outside professionals to assist </w:t>
      </w:r>
      <w:r w:rsidR="003940B7">
        <w:t xml:space="preserve">with website development relating to new website disclosures.  </w:t>
      </w:r>
      <w:r w:rsidR="003940B7" w:rsidRPr="00BA531F">
        <w:rPr>
          <w:rFonts w:asciiTheme="majorBidi" w:eastAsia="Times New Roman" w:hAnsiTheme="majorBidi"/>
          <w:color w:val="000000" w:themeColor="text1"/>
        </w:rPr>
        <w:t xml:space="preserve">The </w:t>
      </w:r>
      <w:r w:rsidR="003940B7" w:rsidRPr="00BA531F">
        <w:rPr>
          <w:rFonts w:asciiTheme="majorBidi" w:hAnsiTheme="majorBidi"/>
          <w:color w:val="000000" w:themeColor="text1"/>
        </w:rPr>
        <w:t>staff estimates the initial external cost would be $2,000 for an external website developer to develop the webpage</w:t>
      </w:r>
      <w:bookmarkStart w:id="61" w:name="_Ref190247142"/>
      <w:r w:rsidR="003940B7" w:rsidRPr="00BA531F">
        <w:rPr>
          <w:rFonts w:asciiTheme="majorBidi" w:hAnsiTheme="majorBidi"/>
          <w:color w:val="000000" w:themeColor="text1"/>
        </w:rPr>
        <w:t>.</w:t>
      </w:r>
      <w:bookmarkEnd w:id="61"/>
      <w:r w:rsidR="003940B7" w:rsidRPr="00BA531F">
        <w:rPr>
          <w:rFonts w:asciiTheme="majorBidi" w:hAnsiTheme="majorBidi"/>
          <w:color w:val="000000" w:themeColor="text1"/>
        </w:rPr>
        <w:t xml:space="preserve">  Commission staff does not believe there will be any ongoing external costs related to the website disclosure requirements.  Amortized over a 3-year period, the external </w:t>
      </w:r>
      <w:r w:rsidR="003940B7">
        <w:rPr>
          <w:rFonts w:asciiTheme="majorBidi" w:hAnsiTheme="majorBidi"/>
          <w:color w:val="000000" w:themeColor="text1"/>
        </w:rPr>
        <w:t xml:space="preserve">cost is approximately $666.65.  </w:t>
      </w:r>
      <w:r w:rsidR="003940B7" w:rsidRPr="00BA531F">
        <w:rPr>
          <w:rFonts w:asciiTheme="majorBidi" w:eastAsia="Times New Roman" w:hAnsiTheme="majorBidi"/>
          <w:color w:val="000000" w:themeColor="text1"/>
        </w:rPr>
        <w:t xml:space="preserve">Accordingly, we estimate that the total </w:t>
      </w:r>
      <w:r w:rsidR="003940B7">
        <w:rPr>
          <w:rFonts w:asciiTheme="majorBidi" w:eastAsia="Times New Roman" w:hAnsiTheme="majorBidi"/>
          <w:color w:val="000000" w:themeColor="text1"/>
        </w:rPr>
        <w:t>external cost related to</w:t>
      </w:r>
      <w:r w:rsidR="003940B7" w:rsidRPr="00BA531F">
        <w:rPr>
          <w:rFonts w:asciiTheme="majorBidi" w:eastAsia="Times New Roman" w:hAnsiTheme="majorBidi"/>
          <w:color w:val="000000" w:themeColor="text1"/>
        </w:rPr>
        <w:t xml:space="preserve"> the website disclosures would be $1,</w:t>
      </w:r>
      <w:r w:rsidR="003940B7" w:rsidRPr="00BA531F">
        <w:rPr>
          <w:rFonts w:asciiTheme="majorBidi" w:hAnsiTheme="majorBidi"/>
          <w:color w:val="000000" w:themeColor="text1"/>
        </w:rPr>
        <w:t>089,972.75</w:t>
      </w:r>
      <w:r w:rsidR="003940B7" w:rsidRPr="00BA531F">
        <w:rPr>
          <w:rFonts w:asciiTheme="majorBidi" w:eastAsia="Times New Roman" w:hAnsiTheme="majorBidi"/>
          <w:color w:val="000000" w:themeColor="text1"/>
        </w:rPr>
        <w:t>.</w:t>
      </w:r>
      <w:r w:rsidR="003940B7" w:rsidRPr="00BA531F">
        <w:rPr>
          <w:rStyle w:val="FootnoteReference"/>
          <w:rFonts w:asciiTheme="majorBidi" w:hAnsiTheme="majorBidi"/>
          <w:color w:val="000000" w:themeColor="text1"/>
        </w:rPr>
        <w:footnoteReference w:id="20"/>
      </w:r>
      <w:r w:rsidR="00D672EE">
        <w:rPr>
          <w:rFonts w:asciiTheme="majorBidi" w:eastAsia="Times New Roman" w:hAnsiTheme="majorBidi"/>
          <w:color w:val="000000" w:themeColor="text1"/>
        </w:rPr>
        <w:t xml:space="preserve">  </w:t>
      </w:r>
      <w:r w:rsidR="00D672EE">
        <w:t>This</w:t>
      </w:r>
      <w:r w:rsidR="004140C9" w:rsidRPr="00DA0F53">
        <w:t xml:space="preserve"> cost burden does not include the ho</w:t>
      </w:r>
      <w:r w:rsidR="00D672EE">
        <w:t>ur burdens discussed in Item 12.</w:t>
      </w:r>
    </w:p>
    <w:p w:rsidR="009F2726" w:rsidRPr="00C905CD" w:rsidRDefault="00D672EE" w:rsidP="00D672EE">
      <w:pPr>
        <w:pStyle w:val="ReleaseBodyText"/>
      </w:pPr>
      <w:r>
        <w:t>We estimate that proposed rule 6c-11’s costs related to recordkeeping and policies and procedures are fully captured as internal hour burdens in Item 12.</w:t>
      </w:r>
    </w:p>
    <w:p w:rsidR="009520B5" w:rsidRPr="00976079" w:rsidRDefault="009520B5" w:rsidP="00E931C5">
      <w:pPr>
        <w:pStyle w:val="Heading2"/>
        <w:tabs>
          <w:tab w:val="clear" w:pos="1080"/>
          <w:tab w:val="num" w:pos="1440"/>
        </w:tabs>
        <w:spacing w:before="0" w:after="0" w:line="480" w:lineRule="auto"/>
        <w:ind w:left="1440"/>
        <w:rPr>
          <w:rFonts w:ascii="Times New Roman" w:hAnsi="Times New Roman" w:cs="Times New Roman"/>
        </w:rPr>
      </w:pPr>
      <w:r w:rsidRPr="00976079">
        <w:rPr>
          <w:rFonts w:ascii="Times New Roman" w:hAnsi="Times New Roman" w:cs="Times New Roman"/>
        </w:rPr>
        <w:t>Costs to Federal Government</w:t>
      </w:r>
    </w:p>
    <w:p w:rsidR="008B0F68" w:rsidRPr="00976079" w:rsidRDefault="008B0F68" w:rsidP="00E931C5">
      <w:pPr>
        <w:pStyle w:val="BodyText"/>
        <w:spacing w:before="0" w:after="0" w:line="480" w:lineRule="auto"/>
        <w:ind w:firstLine="720"/>
        <w:rPr>
          <w:rFonts w:ascii="Times New Roman" w:hAnsi="Times New Roman" w:cs="Times New Roman"/>
        </w:rPr>
      </w:pPr>
      <w:r w:rsidRPr="00976079">
        <w:rPr>
          <w:rFonts w:ascii="Times New Roman" w:hAnsi="Times New Roman" w:cs="Times New Roman"/>
        </w:rPr>
        <w:t xml:space="preserve">Proposed rule </w:t>
      </w:r>
      <w:r w:rsidR="00E46C89">
        <w:rPr>
          <w:rFonts w:ascii="Times New Roman" w:hAnsi="Times New Roman" w:cs="Times New Roman"/>
        </w:rPr>
        <w:t>6c-11</w:t>
      </w:r>
      <w:r w:rsidRPr="00976079">
        <w:rPr>
          <w:rFonts w:ascii="Times New Roman" w:hAnsi="Times New Roman" w:cs="Times New Roman"/>
        </w:rPr>
        <w:t xml:space="preserve"> does not impose a cost to the federal government.  Commission staff may, however, review records produced pursuant to the rule in order to assist the Commission in carrying out its examination and oversight program. </w:t>
      </w:r>
    </w:p>
    <w:p w:rsidR="009520B5" w:rsidRPr="00976079" w:rsidRDefault="009520B5" w:rsidP="00E931C5">
      <w:pPr>
        <w:pStyle w:val="Heading2"/>
        <w:tabs>
          <w:tab w:val="clear" w:pos="1080"/>
          <w:tab w:val="num" w:pos="1440"/>
        </w:tabs>
        <w:spacing w:before="0" w:after="0" w:line="480" w:lineRule="auto"/>
        <w:ind w:left="1440"/>
        <w:rPr>
          <w:rFonts w:ascii="Times New Roman" w:hAnsi="Times New Roman" w:cs="Times New Roman"/>
        </w:rPr>
      </w:pPr>
      <w:r w:rsidRPr="00976079">
        <w:rPr>
          <w:rFonts w:ascii="Times New Roman" w:hAnsi="Times New Roman" w:cs="Times New Roman"/>
        </w:rPr>
        <w:t>Changes in Burden</w:t>
      </w:r>
    </w:p>
    <w:p w:rsidR="009520B5" w:rsidRPr="00976079" w:rsidRDefault="009520B5" w:rsidP="00E931C5">
      <w:pPr>
        <w:pStyle w:val="BodyText"/>
        <w:spacing w:before="0" w:after="0" w:line="480" w:lineRule="auto"/>
        <w:ind w:firstLine="720"/>
        <w:rPr>
          <w:rFonts w:ascii="Times New Roman" w:hAnsi="Times New Roman" w:cs="Times New Roman"/>
        </w:rPr>
      </w:pPr>
      <w:r w:rsidRPr="00976079">
        <w:rPr>
          <w:rFonts w:ascii="Times New Roman" w:hAnsi="Times New Roman" w:cs="Times New Roman"/>
        </w:rPr>
        <w:t>This is the first request for approval of the collection of information for this rule.</w:t>
      </w:r>
    </w:p>
    <w:p w:rsidR="009520B5" w:rsidRPr="00976079" w:rsidRDefault="009520B5" w:rsidP="00E931C5">
      <w:pPr>
        <w:pStyle w:val="Heading2"/>
        <w:tabs>
          <w:tab w:val="clear" w:pos="1080"/>
          <w:tab w:val="num" w:pos="1440"/>
        </w:tabs>
        <w:spacing w:before="0" w:after="0" w:line="480" w:lineRule="auto"/>
        <w:ind w:left="1440"/>
        <w:rPr>
          <w:rFonts w:ascii="Times New Roman" w:hAnsi="Times New Roman" w:cs="Times New Roman"/>
        </w:rPr>
      </w:pPr>
      <w:r w:rsidRPr="00976079">
        <w:rPr>
          <w:rFonts w:ascii="Times New Roman" w:hAnsi="Times New Roman" w:cs="Times New Roman"/>
        </w:rPr>
        <w:t>Information Collection Planned for Statistical Purposes</w:t>
      </w:r>
    </w:p>
    <w:p w:rsidR="009520B5" w:rsidRPr="00976079" w:rsidRDefault="008B0F68" w:rsidP="00E931C5">
      <w:pPr>
        <w:pStyle w:val="BodyText"/>
        <w:spacing w:before="0" w:after="0" w:line="480" w:lineRule="auto"/>
        <w:ind w:firstLine="720"/>
        <w:rPr>
          <w:rFonts w:ascii="Times New Roman" w:hAnsi="Times New Roman" w:cs="Times New Roman"/>
          <w:b/>
        </w:rPr>
      </w:pPr>
      <w:r w:rsidRPr="00976079">
        <w:rPr>
          <w:rFonts w:ascii="Times New Roman" w:hAnsi="Times New Roman" w:cs="Times New Roman"/>
        </w:rPr>
        <w:t xml:space="preserve">Not applicable.  </w:t>
      </w:r>
    </w:p>
    <w:p w:rsidR="009520B5" w:rsidRPr="00976079" w:rsidRDefault="009520B5" w:rsidP="00E931C5">
      <w:pPr>
        <w:pStyle w:val="Heading2"/>
        <w:tabs>
          <w:tab w:val="clear" w:pos="1080"/>
          <w:tab w:val="num" w:pos="1440"/>
        </w:tabs>
        <w:spacing w:before="0" w:after="0" w:line="480" w:lineRule="auto"/>
        <w:ind w:left="1440"/>
        <w:rPr>
          <w:rFonts w:ascii="Times New Roman" w:hAnsi="Times New Roman" w:cs="Times New Roman"/>
        </w:rPr>
      </w:pPr>
      <w:r w:rsidRPr="00976079">
        <w:rPr>
          <w:rFonts w:ascii="Times New Roman" w:hAnsi="Times New Roman" w:cs="Times New Roman"/>
        </w:rPr>
        <w:t>Approval to Omit OMB Expiration Date</w:t>
      </w:r>
    </w:p>
    <w:p w:rsidR="009520B5" w:rsidRPr="00976079" w:rsidRDefault="009520B5" w:rsidP="00E931C5">
      <w:pPr>
        <w:pStyle w:val="BodyText"/>
        <w:spacing w:before="0" w:after="0" w:line="480" w:lineRule="auto"/>
        <w:ind w:firstLine="720"/>
        <w:rPr>
          <w:rFonts w:ascii="Times New Roman" w:hAnsi="Times New Roman" w:cs="Times New Roman"/>
        </w:rPr>
      </w:pPr>
      <w:r w:rsidRPr="00976079">
        <w:rPr>
          <w:rFonts w:ascii="Times New Roman" w:hAnsi="Times New Roman" w:cs="Times New Roman"/>
        </w:rPr>
        <w:t>The Commission is not seeking approval to not display the expiration date for OMB approval.</w:t>
      </w:r>
    </w:p>
    <w:p w:rsidR="009520B5" w:rsidRPr="00976079" w:rsidRDefault="009520B5" w:rsidP="00E931C5">
      <w:pPr>
        <w:pStyle w:val="Heading2"/>
        <w:tabs>
          <w:tab w:val="clear" w:pos="1080"/>
          <w:tab w:val="num" w:pos="1440"/>
        </w:tabs>
        <w:spacing w:before="0" w:after="0" w:line="480" w:lineRule="auto"/>
        <w:ind w:left="1440"/>
        <w:rPr>
          <w:rFonts w:ascii="Times New Roman" w:hAnsi="Times New Roman" w:cs="Times New Roman"/>
        </w:rPr>
      </w:pPr>
      <w:r w:rsidRPr="00976079">
        <w:rPr>
          <w:rFonts w:ascii="Times New Roman" w:hAnsi="Times New Roman" w:cs="Times New Roman"/>
        </w:rPr>
        <w:t>Exceptions to Certification for Paperwork Reduction Act Submissions</w:t>
      </w:r>
    </w:p>
    <w:p w:rsidR="009520B5" w:rsidRPr="00976079" w:rsidRDefault="009520B5" w:rsidP="00E931C5">
      <w:pPr>
        <w:pStyle w:val="BodyText"/>
        <w:spacing w:before="0" w:after="0" w:line="480" w:lineRule="auto"/>
        <w:ind w:firstLine="720"/>
        <w:rPr>
          <w:rFonts w:ascii="Times New Roman" w:hAnsi="Times New Roman" w:cs="Times New Roman"/>
        </w:rPr>
      </w:pPr>
      <w:r w:rsidRPr="00976079">
        <w:rPr>
          <w:rFonts w:ascii="Times New Roman" w:hAnsi="Times New Roman" w:cs="Times New Roman"/>
        </w:rPr>
        <w:t>The Commission is not seeking an exception to the certification statement.</w:t>
      </w:r>
    </w:p>
    <w:p w:rsidR="009520B5" w:rsidRPr="00976079" w:rsidRDefault="009520B5" w:rsidP="001C0040">
      <w:pPr>
        <w:pStyle w:val="Heading1"/>
        <w:keepNext/>
        <w:keepLines/>
        <w:spacing w:before="0" w:after="0" w:line="240" w:lineRule="auto"/>
        <w:rPr>
          <w:rFonts w:ascii="Times New Roman" w:hAnsi="Times New Roman" w:cs="Times New Roman"/>
        </w:rPr>
      </w:pPr>
      <w:r w:rsidRPr="00976079">
        <w:rPr>
          <w:rFonts w:ascii="Times New Roman" w:hAnsi="Times New Roman" w:cs="Times New Roman"/>
        </w:rPr>
        <w:t>Collections of Information Employing Statistical Methods</w:t>
      </w:r>
    </w:p>
    <w:p w:rsidR="009520B5" w:rsidRPr="00976079" w:rsidRDefault="009520B5" w:rsidP="001C0040">
      <w:pPr>
        <w:pStyle w:val="BodyText"/>
        <w:keepNext/>
        <w:keepLines/>
        <w:spacing w:before="240" w:after="0" w:line="480" w:lineRule="auto"/>
        <w:ind w:firstLine="720"/>
        <w:rPr>
          <w:rFonts w:ascii="Times New Roman" w:hAnsi="Times New Roman" w:cs="Times New Roman"/>
        </w:rPr>
      </w:pPr>
      <w:r w:rsidRPr="00976079">
        <w:rPr>
          <w:rFonts w:ascii="Times New Roman" w:hAnsi="Times New Roman" w:cs="Times New Roman"/>
        </w:rPr>
        <w:t>The collection of information will not employ statistical methods.</w:t>
      </w:r>
    </w:p>
    <w:p w:rsidR="0043155E" w:rsidRPr="00976079" w:rsidRDefault="0043155E" w:rsidP="00CC026A">
      <w:pPr>
        <w:spacing w:line="480" w:lineRule="auto"/>
        <w:rPr>
          <w:rFonts w:ascii="Times New Roman" w:hAnsi="Times New Roman" w:cs="Times New Roman"/>
        </w:rPr>
      </w:pPr>
    </w:p>
    <w:sectPr w:rsidR="0043155E" w:rsidRPr="00976079" w:rsidSect="0043155E">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615" w:rsidRDefault="00E33615" w:rsidP="009520B5">
      <w:pPr>
        <w:spacing w:line="240" w:lineRule="auto"/>
      </w:pPr>
      <w:r>
        <w:separator/>
      </w:r>
    </w:p>
  </w:endnote>
  <w:endnote w:type="continuationSeparator" w:id="0">
    <w:p w:rsidR="00E33615" w:rsidRDefault="00E33615" w:rsidP="009520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55E" w:rsidRDefault="009520B5">
    <w:pPr>
      <w:pStyle w:val="Footer"/>
    </w:pPr>
    <w:r>
      <w:rPr>
        <w:rStyle w:val="PageNumber"/>
      </w:rPr>
      <w:fldChar w:fldCharType="begin"/>
    </w:r>
    <w:r>
      <w:rPr>
        <w:rStyle w:val="PageNumber"/>
      </w:rPr>
      <w:instrText xml:space="preserve"> PAGE </w:instrText>
    </w:r>
    <w:r>
      <w:rPr>
        <w:rStyle w:val="PageNumber"/>
      </w:rPr>
      <w:fldChar w:fldCharType="separate"/>
    </w:r>
    <w:r w:rsidR="00EA1DD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615" w:rsidRDefault="00E33615" w:rsidP="009520B5">
      <w:pPr>
        <w:spacing w:line="240" w:lineRule="auto"/>
      </w:pPr>
      <w:r>
        <w:separator/>
      </w:r>
    </w:p>
  </w:footnote>
  <w:footnote w:type="continuationSeparator" w:id="0">
    <w:p w:rsidR="00E33615" w:rsidRDefault="00E33615" w:rsidP="009520B5">
      <w:pPr>
        <w:spacing w:line="240" w:lineRule="auto"/>
      </w:pPr>
      <w:r>
        <w:continuationSeparator/>
      </w:r>
    </w:p>
  </w:footnote>
  <w:footnote w:id="1">
    <w:p w:rsidR="00B5259F" w:rsidRPr="00B5259F" w:rsidRDefault="00B5259F">
      <w:pPr>
        <w:pStyle w:val="FootnoteText"/>
        <w:rPr>
          <w:rFonts w:ascii="Times New Roman" w:hAnsi="Times New Roman" w:cs="Times New Roman"/>
        </w:rPr>
      </w:pPr>
      <w:r>
        <w:rPr>
          <w:rStyle w:val="FootnoteReference"/>
        </w:rPr>
        <w:footnoteRef/>
      </w:r>
      <w:r>
        <w:t xml:space="preserve"> </w:t>
      </w:r>
      <w:r>
        <w:tab/>
      </w:r>
      <w:r>
        <w:rPr>
          <w:rFonts w:ascii="Times New Roman" w:hAnsi="Times New Roman" w:cs="Times New Roman"/>
          <w:sz w:val="20"/>
          <w:szCs w:val="20"/>
        </w:rPr>
        <w:t>44 U.S.C. 3501 through 3521.</w:t>
      </w:r>
    </w:p>
  </w:footnote>
  <w:footnote w:id="2">
    <w:p w:rsidR="008F1FBA" w:rsidRPr="008F1FBA" w:rsidRDefault="008F1FBA">
      <w:pPr>
        <w:pStyle w:val="FootnoteText"/>
        <w:rPr>
          <w:rFonts w:ascii="Times New Roman" w:hAnsi="Times New Roman" w:cs="Times New Roman"/>
          <w:sz w:val="20"/>
          <w:szCs w:val="20"/>
        </w:rPr>
      </w:pPr>
      <w:r w:rsidRPr="008F1FBA">
        <w:rPr>
          <w:rStyle w:val="FootnoteReference"/>
          <w:rFonts w:ascii="Times New Roman" w:hAnsi="Times New Roman" w:cs="Times New Roman"/>
          <w:sz w:val="20"/>
          <w:szCs w:val="20"/>
        </w:rPr>
        <w:footnoteRef/>
      </w:r>
      <w:r w:rsidRPr="008F1FBA">
        <w:rPr>
          <w:rFonts w:ascii="Times New Roman" w:hAnsi="Times New Roman" w:cs="Times New Roman"/>
          <w:sz w:val="20"/>
          <w:szCs w:val="20"/>
        </w:rPr>
        <w:t xml:space="preserve"> </w:t>
      </w:r>
      <w:r w:rsidRPr="008F1FBA">
        <w:rPr>
          <w:rFonts w:ascii="Times New Roman" w:hAnsi="Times New Roman" w:cs="Times New Roman"/>
          <w:sz w:val="20"/>
          <w:szCs w:val="20"/>
        </w:rPr>
        <w:tab/>
        <w:t>P.L. 106-229, 114 Stat. 464 (June 30, 2000).</w:t>
      </w:r>
    </w:p>
  </w:footnote>
  <w:footnote w:id="3">
    <w:p w:rsidR="00E46C89" w:rsidRPr="00976094" w:rsidRDefault="00E46C89" w:rsidP="00E46C89">
      <w:pPr>
        <w:pStyle w:val="GoodFootnote"/>
        <w:rPr>
          <w:rFonts w:asciiTheme="majorBidi" w:hAnsiTheme="majorBidi"/>
          <w:color w:val="000000" w:themeColor="text1"/>
          <w:sz w:val="22"/>
        </w:rPr>
      </w:pPr>
      <w:r w:rsidRPr="00976094">
        <w:rPr>
          <w:rStyle w:val="FootnoteReference"/>
          <w:rFonts w:asciiTheme="majorBidi" w:hAnsiTheme="majorBidi"/>
          <w:color w:val="000000" w:themeColor="text1"/>
          <w:sz w:val="22"/>
        </w:rPr>
        <w:footnoteRef/>
      </w:r>
      <w:r w:rsidRPr="00976094">
        <w:rPr>
          <w:rFonts w:asciiTheme="majorBidi" w:hAnsiTheme="majorBidi"/>
          <w:color w:val="000000" w:themeColor="text1"/>
          <w:sz w:val="22"/>
        </w:rPr>
        <w:t xml:space="preserve"> </w:t>
      </w:r>
      <w:r w:rsidRPr="00976094">
        <w:rPr>
          <w:rFonts w:asciiTheme="majorBidi" w:hAnsiTheme="majorBidi"/>
          <w:color w:val="000000" w:themeColor="text1"/>
          <w:sz w:val="22"/>
        </w:rPr>
        <w:tab/>
        <w:t>For purposes of this analysis, we estimate that 1,635</w:t>
      </w:r>
      <w:r>
        <w:rPr>
          <w:rFonts w:asciiTheme="majorBidi" w:hAnsiTheme="majorBidi"/>
          <w:color w:val="000000" w:themeColor="text1"/>
          <w:sz w:val="22"/>
        </w:rPr>
        <w:t xml:space="preserve"> </w:t>
      </w:r>
      <w:r w:rsidRPr="00976094">
        <w:rPr>
          <w:rFonts w:asciiTheme="majorBidi" w:hAnsiTheme="majorBidi"/>
          <w:color w:val="000000" w:themeColor="text1"/>
          <w:sz w:val="22"/>
        </w:rPr>
        <w:t xml:space="preserve">ETFs would be required to make this disclosure at least once in their lifetime.  </w:t>
      </w:r>
    </w:p>
  </w:footnote>
  <w:footnote w:id="4">
    <w:p w:rsidR="00E46C89" w:rsidRPr="00976094" w:rsidRDefault="00E46C89" w:rsidP="00E46C89">
      <w:pPr>
        <w:pStyle w:val="GoodFootnote"/>
        <w:rPr>
          <w:rFonts w:asciiTheme="majorBidi" w:hAnsiTheme="majorBidi"/>
          <w:color w:val="000000" w:themeColor="text1"/>
          <w:sz w:val="22"/>
        </w:rPr>
      </w:pPr>
      <w:r w:rsidRPr="00976094">
        <w:rPr>
          <w:rStyle w:val="FootnoteReference"/>
          <w:rFonts w:asciiTheme="majorBidi" w:hAnsiTheme="majorBidi"/>
          <w:color w:val="000000" w:themeColor="text1"/>
          <w:sz w:val="22"/>
        </w:rPr>
        <w:footnoteRef/>
      </w:r>
      <w:r w:rsidRPr="00976094">
        <w:rPr>
          <w:rFonts w:asciiTheme="majorBidi" w:hAnsiTheme="majorBidi"/>
          <w:color w:val="000000" w:themeColor="text1"/>
          <w:sz w:val="22"/>
        </w:rPr>
        <w:t xml:space="preserve"> </w:t>
      </w:r>
      <w:r w:rsidRPr="00976094">
        <w:rPr>
          <w:rFonts w:asciiTheme="majorBidi" w:hAnsiTheme="majorBidi"/>
          <w:color w:val="000000" w:themeColor="text1"/>
          <w:sz w:val="22"/>
        </w:rPr>
        <w:tab/>
        <w:t>This estimate is based on the following calculations: (15 hours (for website development) x $296.50 per hour (blended rate for a senior systems analyst ($274) and senior programmer ($319)) + (10 hours (for review of website disclosures) x $325 (blended rate for a compliance manager ($298) and a compliance attorney ($352)) = $7,697.50).</w:t>
      </w:r>
      <w:r w:rsidR="0038249D">
        <w:rPr>
          <w:rFonts w:asciiTheme="majorBidi" w:hAnsiTheme="majorBidi"/>
          <w:color w:val="000000" w:themeColor="text1"/>
          <w:sz w:val="22"/>
        </w:rPr>
        <w:t xml:space="preserve">  </w:t>
      </w:r>
      <w:r w:rsidR="0038249D">
        <w:rPr>
          <w:sz w:val="22"/>
          <w:szCs w:val="22"/>
        </w:rPr>
        <w:t xml:space="preserve">The Commission’s estimates of the relevant wage rates are based on salary information for the securities industry compiled by the Securities Industry and Financial Markets Association’s Office Salaries in the Securities Industry 2013. The estimated wage figures are modified by Commission staff to account for an 1800-hour work-year and multiplied by 2.93 to account for bonuses, firm size, employee benefits, overhead, and adjusted to account for the effects of inflation. </w:t>
      </w:r>
      <w:r w:rsidR="0038249D">
        <w:rPr>
          <w:i/>
          <w:iCs/>
          <w:sz w:val="22"/>
          <w:szCs w:val="22"/>
        </w:rPr>
        <w:t xml:space="preserve">See </w:t>
      </w:r>
      <w:r w:rsidR="0038249D">
        <w:rPr>
          <w:sz w:val="22"/>
          <w:szCs w:val="22"/>
        </w:rPr>
        <w:t>Securities Industry and Financial Markets Association, Report on Management &amp; Professional Earnings in the Securities Industry 2013 (“SIFMA Report”).</w:t>
      </w:r>
    </w:p>
  </w:footnote>
  <w:footnote w:id="5">
    <w:p w:rsidR="00E46C89" w:rsidRPr="00976094" w:rsidRDefault="00E46C89" w:rsidP="00E46C89">
      <w:pPr>
        <w:pStyle w:val="GoodFootnote"/>
        <w:rPr>
          <w:rFonts w:asciiTheme="majorBidi" w:hAnsiTheme="majorBidi"/>
          <w:color w:val="000000" w:themeColor="text1"/>
          <w:sz w:val="22"/>
        </w:rPr>
      </w:pPr>
      <w:r w:rsidRPr="00976094">
        <w:rPr>
          <w:rStyle w:val="FootnoteReference"/>
          <w:rFonts w:asciiTheme="majorBidi" w:hAnsiTheme="majorBidi"/>
          <w:color w:val="000000" w:themeColor="text1"/>
          <w:sz w:val="22"/>
        </w:rPr>
        <w:footnoteRef/>
      </w:r>
      <w:r w:rsidRPr="00976094">
        <w:rPr>
          <w:rFonts w:asciiTheme="majorBidi" w:hAnsiTheme="majorBidi"/>
          <w:color w:val="000000" w:themeColor="text1"/>
          <w:sz w:val="22"/>
        </w:rPr>
        <w:t xml:space="preserve"> </w:t>
      </w:r>
      <w:r w:rsidRPr="00976094">
        <w:rPr>
          <w:rFonts w:asciiTheme="majorBidi" w:hAnsiTheme="majorBidi"/>
          <w:color w:val="000000" w:themeColor="text1"/>
          <w:sz w:val="22"/>
        </w:rPr>
        <w:tab/>
        <w:t xml:space="preserve">This estimate is based on the following calculations: (2 hours (for website updates) x $296.50 per hour (blended rate for a senior systems analyst ($274) and senior programmer ($319)) + (2.5 hours (for review of website disclosures) x $325 (blended rate for a compliance manager ($298) and a compliance attorney ($352)) = $1,405.50.  </w:t>
      </w:r>
      <w:r w:rsidRPr="00976094">
        <w:rPr>
          <w:rFonts w:asciiTheme="majorBidi" w:hAnsiTheme="majorBidi"/>
          <w:i/>
          <w:color w:val="000000" w:themeColor="text1"/>
          <w:sz w:val="22"/>
        </w:rPr>
        <w:t>See</w:t>
      </w:r>
      <w:r w:rsidRPr="00976094">
        <w:rPr>
          <w:rFonts w:asciiTheme="majorBidi" w:hAnsiTheme="majorBidi"/>
          <w:color w:val="000000" w:themeColor="text1"/>
          <w:sz w:val="22"/>
        </w:rPr>
        <w:t xml:space="preserve"> SIFMA Report, </w:t>
      </w:r>
      <w:r w:rsidRPr="00976094">
        <w:rPr>
          <w:rFonts w:asciiTheme="majorBidi" w:hAnsiTheme="majorBidi"/>
          <w:i/>
          <w:color w:val="000000" w:themeColor="text1"/>
          <w:sz w:val="22"/>
        </w:rPr>
        <w:t xml:space="preserve">supra </w:t>
      </w:r>
      <w:r w:rsidRPr="00976094">
        <w:rPr>
          <w:rFonts w:asciiTheme="majorBidi" w:hAnsiTheme="majorBidi"/>
          <w:color w:val="000000" w:themeColor="text1"/>
          <w:sz w:val="22"/>
        </w:rPr>
        <w:t>footnote</w:t>
      </w:r>
      <w:r w:rsidR="0038249D">
        <w:rPr>
          <w:rFonts w:asciiTheme="majorBidi" w:hAnsiTheme="majorBidi"/>
          <w:color w:val="000000" w:themeColor="text1"/>
          <w:sz w:val="22"/>
        </w:rPr>
        <w:t xml:space="preserve"> </w:t>
      </w:r>
      <w:r w:rsidR="0038249D">
        <w:rPr>
          <w:rFonts w:asciiTheme="majorBidi" w:hAnsiTheme="majorBidi"/>
          <w:color w:val="000000" w:themeColor="text1"/>
          <w:sz w:val="22"/>
        </w:rPr>
        <w:fldChar w:fldCharType="begin"/>
      </w:r>
      <w:r w:rsidR="0038249D">
        <w:rPr>
          <w:rFonts w:asciiTheme="majorBidi" w:hAnsiTheme="majorBidi"/>
          <w:color w:val="000000" w:themeColor="text1"/>
          <w:sz w:val="22"/>
        </w:rPr>
        <w:instrText xml:space="preserve"> NOTEREF _Ref514658936 \h </w:instrText>
      </w:r>
      <w:r w:rsidR="0038249D">
        <w:rPr>
          <w:rFonts w:asciiTheme="majorBidi" w:hAnsiTheme="majorBidi"/>
          <w:color w:val="000000" w:themeColor="text1"/>
          <w:sz w:val="22"/>
        </w:rPr>
      </w:r>
      <w:r w:rsidR="0038249D">
        <w:rPr>
          <w:rFonts w:asciiTheme="majorBidi" w:hAnsiTheme="majorBidi"/>
          <w:color w:val="000000" w:themeColor="text1"/>
          <w:sz w:val="22"/>
        </w:rPr>
        <w:fldChar w:fldCharType="separate"/>
      </w:r>
      <w:r w:rsidR="0038249D">
        <w:rPr>
          <w:rFonts w:asciiTheme="majorBidi" w:hAnsiTheme="majorBidi"/>
          <w:color w:val="000000" w:themeColor="text1"/>
          <w:sz w:val="22"/>
        </w:rPr>
        <w:t>4</w:t>
      </w:r>
      <w:r w:rsidR="0038249D">
        <w:rPr>
          <w:rFonts w:asciiTheme="majorBidi" w:hAnsiTheme="majorBidi"/>
          <w:color w:val="000000" w:themeColor="text1"/>
          <w:sz w:val="22"/>
        </w:rPr>
        <w:fldChar w:fldCharType="end"/>
      </w:r>
      <w:r w:rsidRPr="00976094">
        <w:rPr>
          <w:rFonts w:asciiTheme="majorBidi" w:hAnsiTheme="majorBidi"/>
          <w:color w:val="000000" w:themeColor="text1"/>
          <w:sz w:val="22"/>
        </w:rPr>
        <w:t xml:space="preserve">.  </w:t>
      </w:r>
    </w:p>
  </w:footnote>
  <w:footnote w:id="6">
    <w:p w:rsidR="00E46C89" w:rsidRPr="00976094" w:rsidRDefault="00E46C89" w:rsidP="00E46C89">
      <w:pPr>
        <w:pStyle w:val="GoodFootnote"/>
        <w:rPr>
          <w:rFonts w:asciiTheme="majorBidi" w:hAnsiTheme="majorBidi"/>
          <w:color w:val="000000" w:themeColor="text1"/>
          <w:sz w:val="22"/>
        </w:rPr>
      </w:pPr>
      <w:r w:rsidRPr="00976094">
        <w:rPr>
          <w:rStyle w:val="FootnoteReference"/>
          <w:rFonts w:asciiTheme="majorBidi" w:hAnsiTheme="majorBidi"/>
          <w:color w:val="000000" w:themeColor="text1"/>
          <w:sz w:val="22"/>
        </w:rPr>
        <w:footnoteRef/>
      </w:r>
      <w:r w:rsidRPr="00976094">
        <w:rPr>
          <w:rFonts w:asciiTheme="majorBidi" w:hAnsiTheme="majorBidi"/>
          <w:color w:val="000000" w:themeColor="text1"/>
          <w:sz w:val="22"/>
        </w:rPr>
        <w:t xml:space="preserve"> </w:t>
      </w:r>
      <w:r w:rsidRPr="00976094">
        <w:rPr>
          <w:rFonts w:asciiTheme="majorBidi" w:hAnsiTheme="majorBidi"/>
          <w:color w:val="000000" w:themeColor="text1"/>
          <w:sz w:val="22"/>
        </w:rPr>
        <w:tab/>
        <w:t xml:space="preserve">This estimate is based on the following calculation: 13.3 hours x 1,635  ETFs = 21,745.50 hours. </w:t>
      </w:r>
    </w:p>
  </w:footnote>
  <w:footnote w:id="7">
    <w:p w:rsidR="00E46C89" w:rsidRPr="00976094" w:rsidRDefault="00E46C89" w:rsidP="00E46C89">
      <w:pPr>
        <w:pStyle w:val="GoodFootnote"/>
        <w:rPr>
          <w:rFonts w:asciiTheme="majorBidi" w:hAnsiTheme="majorBidi"/>
          <w:color w:val="000000" w:themeColor="text1"/>
          <w:sz w:val="22"/>
        </w:rPr>
      </w:pPr>
      <w:r w:rsidRPr="00976094">
        <w:rPr>
          <w:rStyle w:val="FootnoteReference"/>
          <w:rFonts w:asciiTheme="majorBidi" w:hAnsiTheme="majorBidi"/>
          <w:color w:val="000000" w:themeColor="text1"/>
          <w:sz w:val="22"/>
        </w:rPr>
        <w:footnoteRef/>
      </w:r>
      <w:r w:rsidRPr="00976094">
        <w:rPr>
          <w:rFonts w:asciiTheme="majorBidi" w:hAnsiTheme="majorBidi"/>
          <w:color w:val="000000" w:themeColor="text1"/>
          <w:sz w:val="22"/>
        </w:rPr>
        <w:t xml:space="preserve"> </w:t>
      </w:r>
      <w:r w:rsidRPr="00976094">
        <w:rPr>
          <w:rFonts w:asciiTheme="majorBidi" w:hAnsiTheme="majorBidi"/>
          <w:color w:val="000000" w:themeColor="text1"/>
          <w:sz w:val="22"/>
        </w:rPr>
        <w:tab/>
        <w:t xml:space="preserve">This estimate is based on the following calculation: $3,971.3 x 1,635 ETFs = $6,493,075.50. </w:t>
      </w:r>
    </w:p>
  </w:footnote>
  <w:footnote w:id="8">
    <w:p w:rsidR="00E46C89" w:rsidRPr="00976094" w:rsidRDefault="00E46C89" w:rsidP="00E46C89">
      <w:pPr>
        <w:pStyle w:val="GoodFootnote"/>
        <w:rPr>
          <w:rFonts w:asciiTheme="majorBidi" w:hAnsiTheme="majorBidi"/>
          <w:color w:val="000000" w:themeColor="text1"/>
          <w:sz w:val="22"/>
        </w:rPr>
      </w:pPr>
      <w:r w:rsidRPr="00976094">
        <w:rPr>
          <w:rStyle w:val="FootnoteReference"/>
          <w:rFonts w:asciiTheme="majorBidi" w:hAnsiTheme="majorBidi"/>
          <w:color w:val="000000" w:themeColor="text1"/>
          <w:sz w:val="22"/>
        </w:rPr>
        <w:footnoteRef/>
      </w:r>
      <w:r w:rsidRPr="00976094">
        <w:rPr>
          <w:rFonts w:asciiTheme="majorBidi" w:hAnsiTheme="majorBidi"/>
          <w:color w:val="000000" w:themeColor="text1"/>
          <w:sz w:val="22"/>
        </w:rPr>
        <w:t xml:space="preserve"> </w:t>
      </w:r>
      <w:r w:rsidRPr="00976094">
        <w:rPr>
          <w:rFonts w:asciiTheme="majorBidi" w:hAnsiTheme="majorBidi"/>
          <w:color w:val="000000" w:themeColor="text1"/>
          <w:sz w:val="22"/>
        </w:rPr>
        <w:tab/>
        <w:t>This estimate is based on the following calculations: 2.5 hours x $60 (hourly rate for a general clerk) = $150; 2.5 hours x $92 (hour rate for a senior computer operator) = $230. $150 + $230 = $380.</w:t>
      </w:r>
      <w:r w:rsidR="00716EC9">
        <w:rPr>
          <w:rFonts w:asciiTheme="majorBidi" w:hAnsiTheme="majorBidi"/>
          <w:color w:val="000000" w:themeColor="text1"/>
          <w:sz w:val="22"/>
        </w:rPr>
        <w:t xml:space="preserve">  </w:t>
      </w:r>
      <w:r w:rsidR="00716EC9">
        <w:rPr>
          <w:rFonts w:asciiTheme="majorBidi" w:hAnsiTheme="majorBidi"/>
          <w:i/>
          <w:color w:val="000000" w:themeColor="text1"/>
          <w:sz w:val="22"/>
        </w:rPr>
        <w:t xml:space="preserve">See </w:t>
      </w:r>
      <w:r w:rsidR="00716EC9" w:rsidRPr="00976094">
        <w:rPr>
          <w:rFonts w:asciiTheme="majorBidi" w:hAnsiTheme="majorBidi"/>
          <w:color w:val="000000" w:themeColor="text1"/>
          <w:sz w:val="22"/>
        </w:rPr>
        <w:t xml:space="preserve">SIFMA Report, </w:t>
      </w:r>
      <w:r w:rsidR="00716EC9" w:rsidRPr="00976094">
        <w:rPr>
          <w:rFonts w:asciiTheme="majorBidi" w:hAnsiTheme="majorBidi"/>
          <w:i/>
          <w:color w:val="000000" w:themeColor="text1"/>
          <w:sz w:val="22"/>
        </w:rPr>
        <w:t xml:space="preserve">supra </w:t>
      </w:r>
      <w:r w:rsidR="00716EC9" w:rsidRPr="00976094">
        <w:rPr>
          <w:rFonts w:asciiTheme="majorBidi" w:hAnsiTheme="majorBidi"/>
          <w:color w:val="000000" w:themeColor="text1"/>
          <w:sz w:val="22"/>
        </w:rPr>
        <w:t>footnote</w:t>
      </w:r>
      <w:r w:rsidR="00716EC9">
        <w:rPr>
          <w:rFonts w:asciiTheme="majorBidi" w:hAnsiTheme="majorBidi"/>
          <w:color w:val="000000" w:themeColor="text1"/>
          <w:sz w:val="22"/>
        </w:rPr>
        <w:t xml:space="preserve"> </w:t>
      </w:r>
      <w:r w:rsidR="00716EC9">
        <w:rPr>
          <w:rFonts w:asciiTheme="majorBidi" w:hAnsiTheme="majorBidi"/>
          <w:color w:val="000000" w:themeColor="text1"/>
          <w:sz w:val="22"/>
        </w:rPr>
        <w:fldChar w:fldCharType="begin"/>
      </w:r>
      <w:r w:rsidR="00716EC9">
        <w:rPr>
          <w:rFonts w:asciiTheme="majorBidi" w:hAnsiTheme="majorBidi"/>
          <w:color w:val="000000" w:themeColor="text1"/>
          <w:sz w:val="22"/>
        </w:rPr>
        <w:instrText xml:space="preserve"> NOTEREF _Ref514658936 \h </w:instrText>
      </w:r>
      <w:r w:rsidR="00716EC9">
        <w:rPr>
          <w:rFonts w:asciiTheme="majorBidi" w:hAnsiTheme="majorBidi"/>
          <w:color w:val="000000" w:themeColor="text1"/>
          <w:sz w:val="22"/>
        </w:rPr>
      </w:r>
      <w:r w:rsidR="00716EC9">
        <w:rPr>
          <w:rFonts w:asciiTheme="majorBidi" w:hAnsiTheme="majorBidi"/>
          <w:color w:val="000000" w:themeColor="text1"/>
          <w:sz w:val="22"/>
        </w:rPr>
        <w:fldChar w:fldCharType="separate"/>
      </w:r>
      <w:r w:rsidR="00716EC9">
        <w:rPr>
          <w:rFonts w:asciiTheme="majorBidi" w:hAnsiTheme="majorBidi"/>
          <w:color w:val="000000" w:themeColor="text1"/>
          <w:sz w:val="22"/>
        </w:rPr>
        <w:t>4</w:t>
      </w:r>
      <w:r w:rsidR="00716EC9">
        <w:rPr>
          <w:rFonts w:asciiTheme="majorBidi" w:hAnsiTheme="majorBidi"/>
          <w:color w:val="000000" w:themeColor="text1"/>
          <w:sz w:val="22"/>
        </w:rPr>
        <w:fldChar w:fldCharType="end"/>
      </w:r>
      <w:r w:rsidR="00716EC9">
        <w:rPr>
          <w:rFonts w:asciiTheme="majorBidi" w:hAnsiTheme="majorBidi"/>
          <w:color w:val="000000" w:themeColor="text1"/>
          <w:sz w:val="22"/>
        </w:rPr>
        <w:t>.</w:t>
      </w:r>
      <w:r w:rsidRPr="00976094" w:rsidDel="00FF4AAA">
        <w:rPr>
          <w:rFonts w:asciiTheme="majorBidi" w:hAnsiTheme="majorBidi"/>
          <w:color w:val="000000" w:themeColor="text1"/>
          <w:sz w:val="22"/>
        </w:rPr>
        <w:t xml:space="preserve"> </w:t>
      </w:r>
    </w:p>
  </w:footnote>
  <w:footnote w:id="9">
    <w:p w:rsidR="00E46C89" w:rsidRPr="00976094" w:rsidRDefault="00E46C89" w:rsidP="00E46C89">
      <w:pPr>
        <w:pStyle w:val="GoodFootnote"/>
        <w:rPr>
          <w:rFonts w:asciiTheme="majorBidi" w:hAnsiTheme="majorBidi"/>
          <w:color w:val="000000" w:themeColor="text1"/>
          <w:sz w:val="22"/>
        </w:rPr>
      </w:pPr>
      <w:r w:rsidRPr="00976094">
        <w:rPr>
          <w:rStyle w:val="FootnoteReference"/>
          <w:rFonts w:asciiTheme="majorBidi" w:hAnsiTheme="majorBidi"/>
          <w:color w:val="000000" w:themeColor="text1"/>
          <w:sz w:val="22"/>
        </w:rPr>
        <w:footnoteRef/>
      </w:r>
      <w:r w:rsidRPr="00976094">
        <w:rPr>
          <w:rFonts w:asciiTheme="majorBidi" w:hAnsiTheme="majorBidi"/>
          <w:color w:val="000000" w:themeColor="text1"/>
          <w:sz w:val="22"/>
        </w:rPr>
        <w:t xml:space="preserve"> </w:t>
      </w:r>
      <w:r w:rsidRPr="00976094">
        <w:rPr>
          <w:rFonts w:asciiTheme="majorBidi" w:hAnsiTheme="majorBidi"/>
          <w:color w:val="000000" w:themeColor="text1"/>
          <w:sz w:val="22"/>
        </w:rPr>
        <w:tab/>
        <w:t xml:space="preserve">We estimate that 1,635 ETFs would be required to maintain these records. </w:t>
      </w:r>
    </w:p>
  </w:footnote>
  <w:footnote w:id="10">
    <w:p w:rsidR="00E46C89" w:rsidRPr="00976094" w:rsidRDefault="00E46C89" w:rsidP="00E46C89">
      <w:pPr>
        <w:pStyle w:val="GoodFootnote"/>
        <w:rPr>
          <w:rFonts w:asciiTheme="majorBidi" w:hAnsiTheme="majorBidi"/>
          <w:color w:val="000000" w:themeColor="text1"/>
          <w:sz w:val="22"/>
        </w:rPr>
      </w:pPr>
      <w:r w:rsidRPr="00976094">
        <w:rPr>
          <w:rStyle w:val="FootnoteReference"/>
          <w:rFonts w:asciiTheme="majorBidi" w:hAnsiTheme="majorBidi"/>
          <w:color w:val="000000" w:themeColor="text1"/>
          <w:sz w:val="22"/>
        </w:rPr>
        <w:footnoteRef/>
      </w:r>
      <w:r w:rsidRPr="00976094">
        <w:rPr>
          <w:rFonts w:asciiTheme="majorBidi" w:hAnsiTheme="majorBidi"/>
          <w:color w:val="000000" w:themeColor="text1"/>
          <w:sz w:val="22"/>
        </w:rPr>
        <w:t xml:space="preserve"> </w:t>
      </w:r>
      <w:r w:rsidRPr="00976094">
        <w:rPr>
          <w:rFonts w:asciiTheme="majorBidi" w:hAnsiTheme="majorBidi"/>
          <w:color w:val="000000" w:themeColor="text1"/>
          <w:sz w:val="22"/>
        </w:rPr>
        <w:tab/>
        <w:t>This estimate is based on the following calculation: (6 hours + 20 hours) x 1,635 ETFs = 42,510 hours.</w:t>
      </w:r>
    </w:p>
  </w:footnote>
  <w:footnote w:id="11">
    <w:p w:rsidR="00E46C89" w:rsidRPr="00976094" w:rsidRDefault="00E46C89" w:rsidP="00E46C89">
      <w:pPr>
        <w:pStyle w:val="GoodFootnote"/>
        <w:rPr>
          <w:rFonts w:asciiTheme="majorBidi" w:hAnsiTheme="majorBidi"/>
          <w:color w:val="000000" w:themeColor="text1"/>
          <w:sz w:val="22"/>
        </w:rPr>
      </w:pPr>
      <w:r w:rsidRPr="00976094">
        <w:rPr>
          <w:rStyle w:val="FootnoteReference"/>
          <w:rFonts w:asciiTheme="majorBidi" w:hAnsiTheme="majorBidi"/>
          <w:color w:val="000000" w:themeColor="text1"/>
          <w:sz w:val="22"/>
        </w:rPr>
        <w:footnoteRef/>
      </w:r>
      <w:r w:rsidRPr="00976094">
        <w:rPr>
          <w:rFonts w:asciiTheme="majorBidi" w:hAnsiTheme="majorBidi"/>
          <w:color w:val="000000" w:themeColor="text1"/>
          <w:sz w:val="22"/>
        </w:rPr>
        <w:t xml:space="preserve"> </w:t>
      </w:r>
      <w:r w:rsidRPr="00976094">
        <w:rPr>
          <w:rFonts w:asciiTheme="majorBidi" w:hAnsiTheme="majorBidi"/>
          <w:color w:val="000000" w:themeColor="text1"/>
          <w:sz w:val="22"/>
        </w:rPr>
        <w:tab/>
        <w:t xml:space="preserve">These estimates are based on the following calculations: 12 hours x $317 (hourly rate for a senior portfolio manager) = $3,804; 12 hours x $480 (blended hourly rate for assistant general counsel ($449) and chief compliance officer ($511) = $5,760; 2 hours (for a fund attorney’s time to prepare and review materials) x $352 (hourly rate for a compliance attorney) = $704.  $3,804 + $5,760 + $704 = $10,268; $10,268 x 1,635 ETFs = $16,788,180.  </w:t>
      </w:r>
      <w:r w:rsidRPr="00976094">
        <w:rPr>
          <w:rFonts w:asciiTheme="majorBidi" w:hAnsiTheme="majorBidi"/>
          <w:i/>
          <w:color w:val="000000" w:themeColor="text1"/>
          <w:sz w:val="22"/>
        </w:rPr>
        <w:t>See</w:t>
      </w:r>
      <w:r w:rsidRPr="00976094">
        <w:rPr>
          <w:rFonts w:asciiTheme="majorBidi" w:hAnsiTheme="majorBidi"/>
          <w:color w:val="000000" w:themeColor="text1"/>
          <w:sz w:val="22"/>
        </w:rPr>
        <w:t xml:space="preserve"> SIFMA Report, </w:t>
      </w:r>
      <w:r w:rsidRPr="00976094">
        <w:rPr>
          <w:rFonts w:asciiTheme="majorBidi" w:hAnsiTheme="majorBidi"/>
          <w:i/>
          <w:color w:val="000000" w:themeColor="text1"/>
          <w:sz w:val="22"/>
        </w:rPr>
        <w:t xml:space="preserve">supra </w:t>
      </w:r>
      <w:r w:rsidRPr="00976094">
        <w:rPr>
          <w:rFonts w:asciiTheme="majorBidi" w:hAnsiTheme="majorBidi"/>
          <w:color w:val="000000" w:themeColor="text1"/>
          <w:sz w:val="22"/>
        </w:rPr>
        <w:t>footnote</w:t>
      </w:r>
      <w:r w:rsidR="00716EC9">
        <w:rPr>
          <w:rFonts w:asciiTheme="majorBidi" w:hAnsiTheme="majorBidi"/>
          <w:color w:val="000000" w:themeColor="text1"/>
          <w:sz w:val="22"/>
        </w:rPr>
        <w:t xml:space="preserve"> </w:t>
      </w:r>
      <w:r w:rsidR="00716EC9">
        <w:rPr>
          <w:rFonts w:asciiTheme="majorBidi" w:hAnsiTheme="majorBidi"/>
          <w:color w:val="000000" w:themeColor="text1"/>
          <w:sz w:val="22"/>
        </w:rPr>
        <w:fldChar w:fldCharType="begin"/>
      </w:r>
      <w:r w:rsidR="00716EC9">
        <w:rPr>
          <w:rFonts w:asciiTheme="majorBidi" w:hAnsiTheme="majorBidi"/>
          <w:color w:val="000000" w:themeColor="text1"/>
          <w:sz w:val="22"/>
        </w:rPr>
        <w:instrText xml:space="preserve"> NOTEREF _Ref514658936 \h </w:instrText>
      </w:r>
      <w:r w:rsidR="00716EC9">
        <w:rPr>
          <w:rFonts w:asciiTheme="majorBidi" w:hAnsiTheme="majorBidi"/>
          <w:color w:val="000000" w:themeColor="text1"/>
          <w:sz w:val="22"/>
        </w:rPr>
      </w:r>
      <w:r w:rsidR="00716EC9">
        <w:rPr>
          <w:rFonts w:asciiTheme="majorBidi" w:hAnsiTheme="majorBidi"/>
          <w:color w:val="000000" w:themeColor="text1"/>
          <w:sz w:val="22"/>
        </w:rPr>
        <w:fldChar w:fldCharType="separate"/>
      </w:r>
      <w:r w:rsidR="00716EC9">
        <w:rPr>
          <w:rFonts w:asciiTheme="majorBidi" w:hAnsiTheme="majorBidi"/>
          <w:color w:val="000000" w:themeColor="text1"/>
          <w:sz w:val="22"/>
        </w:rPr>
        <w:t>4</w:t>
      </w:r>
      <w:r w:rsidR="00716EC9">
        <w:rPr>
          <w:rFonts w:asciiTheme="majorBidi" w:hAnsiTheme="majorBidi"/>
          <w:color w:val="000000" w:themeColor="text1"/>
          <w:sz w:val="22"/>
        </w:rPr>
        <w:fldChar w:fldCharType="end"/>
      </w:r>
      <w:r w:rsidRPr="00976094">
        <w:rPr>
          <w:rFonts w:asciiTheme="majorBidi" w:hAnsiTheme="majorBidi"/>
          <w:color w:val="000000" w:themeColor="text1"/>
          <w:sz w:val="22"/>
        </w:rPr>
        <w:t xml:space="preserve">.  </w:t>
      </w:r>
    </w:p>
  </w:footnote>
  <w:footnote w:id="12">
    <w:p w:rsidR="00E46C89" w:rsidRPr="00976094" w:rsidRDefault="00E46C89" w:rsidP="00E46C89">
      <w:pPr>
        <w:pStyle w:val="GoodFootnote"/>
        <w:rPr>
          <w:rFonts w:asciiTheme="majorBidi" w:hAnsiTheme="majorBidi"/>
          <w:i/>
          <w:color w:val="000000" w:themeColor="text1"/>
          <w:sz w:val="22"/>
        </w:rPr>
      </w:pPr>
      <w:r w:rsidRPr="00976094">
        <w:rPr>
          <w:rStyle w:val="FootnoteReference"/>
          <w:rFonts w:asciiTheme="majorBidi" w:hAnsiTheme="majorBidi"/>
          <w:color w:val="000000" w:themeColor="text1"/>
          <w:sz w:val="22"/>
        </w:rPr>
        <w:footnoteRef/>
      </w:r>
      <w:r w:rsidRPr="00976094">
        <w:rPr>
          <w:rFonts w:asciiTheme="majorBidi" w:hAnsiTheme="majorBidi"/>
          <w:color w:val="000000" w:themeColor="text1"/>
          <w:sz w:val="22"/>
        </w:rPr>
        <w:t xml:space="preserve"> </w:t>
      </w:r>
      <w:r w:rsidRPr="00976094">
        <w:rPr>
          <w:rFonts w:asciiTheme="majorBidi" w:hAnsiTheme="majorBidi"/>
          <w:color w:val="000000" w:themeColor="text1"/>
          <w:sz w:val="22"/>
        </w:rPr>
        <w:tab/>
        <w:t>These estimates are based on the following calculations: 5 hours x $317 (hourly rate for a senior portfolio manager) = $1,585; 5 hours x $480 (blended hourly rate for assistant general counsel ($449) and chief compliance officer ($511) = $2,400.  $ 1,585+ $2,400 = $3,985.</w:t>
      </w:r>
      <w:r w:rsidR="00716EC9">
        <w:rPr>
          <w:rFonts w:asciiTheme="majorBidi" w:hAnsiTheme="majorBidi"/>
          <w:color w:val="000000" w:themeColor="text1"/>
          <w:sz w:val="22"/>
        </w:rPr>
        <w:t xml:space="preserve">  </w:t>
      </w:r>
      <w:r w:rsidR="00716EC9">
        <w:rPr>
          <w:rFonts w:asciiTheme="majorBidi" w:hAnsiTheme="majorBidi"/>
          <w:i/>
          <w:color w:val="000000" w:themeColor="text1"/>
          <w:sz w:val="22"/>
        </w:rPr>
        <w:t xml:space="preserve">See </w:t>
      </w:r>
      <w:r w:rsidR="00716EC9" w:rsidRPr="00976094">
        <w:rPr>
          <w:rFonts w:asciiTheme="majorBidi" w:hAnsiTheme="majorBidi"/>
          <w:color w:val="000000" w:themeColor="text1"/>
          <w:sz w:val="22"/>
        </w:rPr>
        <w:t xml:space="preserve">SIFMA Report, </w:t>
      </w:r>
      <w:r w:rsidR="00716EC9" w:rsidRPr="00976094">
        <w:rPr>
          <w:rFonts w:asciiTheme="majorBidi" w:hAnsiTheme="majorBidi"/>
          <w:i/>
          <w:color w:val="000000" w:themeColor="text1"/>
          <w:sz w:val="22"/>
        </w:rPr>
        <w:t xml:space="preserve">supra </w:t>
      </w:r>
      <w:r w:rsidR="00716EC9" w:rsidRPr="00976094">
        <w:rPr>
          <w:rFonts w:asciiTheme="majorBidi" w:hAnsiTheme="majorBidi"/>
          <w:color w:val="000000" w:themeColor="text1"/>
          <w:sz w:val="22"/>
        </w:rPr>
        <w:t>footnote</w:t>
      </w:r>
      <w:r w:rsidR="00716EC9">
        <w:rPr>
          <w:rFonts w:asciiTheme="majorBidi" w:hAnsiTheme="majorBidi"/>
          <w:color w:val="000000" w:themeColor="text1"/>
          <w:sz w:val="22"/>
        </w:rPr>
        <w:t xml:space="preserve"> </w:t>
      </w:r>
      <w:r w:rsidR="00716EC9">
        <w:rPr>
          <w:rFonts w:asciiTheme="majorBidi" w:hAnsiTheme="majorBidi"/>
          <w:color w:val="000000" w:themeColor="text1"/>
          <w:sz w:val="22"/>
        </w:rPr>
        <w:fldChar w:fldCharType="begin"/>
      </w:r>
      <w:r w:rsidR="00716EC9">
        <w:rPr>
          <w:rFonts w:asciiTheme="majorBidi" w:hAnsiTheme="majorBidi"/>
          <w:color w:val="000000" w:themeColor="text1"/>
          <w:sz w:val="22"/>
        </w:rPr>
        <w:instrText xml:space="preserve"> NOTEREF _Ref514658936 \h </w:instrText>
      </w:r>
      <w:r w:rsidR="00716EC9">
        <w:rPr>
          <w:rFonts w:asciiTheme="majorBidi" w:hAnsiTheme="majorBidi"/>
          <w:color w:val="000000" w:themeColor="text1"/>
          <w:sz w:val="22"/>
        </w:rPr>
      </w:r>
      <w:r w:rsidR="00716EC9">
        <w:rPr>
          <w:rFonts w:asciiTheme="majorBidi" w:hAnsiTheme="majorBidi"/>
          <w:color w:val="000000" w:themeColor="text1"/>
          <w:sz w:val="22"/>
        </w:rPr>
        <w:fldChar w:fldCharType="separate"/>
      </w:r>
      <w:r w:rsidR="00716EC9">
        <w:rPr>
          <w:rFonts w:asciiTheme="majorBidi" w:hAnsiTheme="majorBidi"/>
          <w:color w:val="000000" w:themeColor="text1"/>
          <w:sz w:val="22"/>
        </w:rPr>
        <w:t>4</w:t>
      </w:r>
      <w:r w:rsidR="00716EC9">
        <w:rPr>
          <w:rFonts w:asciiTheme="majorBidi" w:hAnsiTheme="majorBidi"/>
          <w:color w:val="000000" w:themeColor="text1"/>
          <w:sz w:val="22"/>
        </w:rPr>
        <w:fldChar w:fldCharType="end"/>
      </w:r>
      <w:r w:rsidR="00716EC9">
        <w:rPr>
          <w:rFonts w:asciiTheme="majorBidi" w:hAnsiTheme="majorBidi"/>
          <w:color w:val="000000" w:themeColor="text1"/>
          <w:sz w:val="22"/>
        </w:rPr>
        <w:t>.</w:t>
      </w:r>
      <w:r w:rsidR="00716EC9" w:rsidRPr="00976094" w:rsidDel="00FF4AAA">
        <w:rPr>
          <w:rFonts w:asciiTheme="majorBidi" w:hAnsiTheme="majorBidi"/>
          <w:color w:val="000000" w:themeColor="text1"/>
          <w:sz w:val="22"/>
        </w:rPr>
        <w:t xml:space="preserve"> </w:t>
      </w:r>
      <w:r w:rsidRPr="00976094">
        <w:rPr>
          <w:rFonts w:asciiTheme="majorBidi" w:hAnsiTheme="majorBidi"/>
          <w:color w:val="000000" w:themeColor="text1"/>
          <w:sz w:val="22"/>
        </w:rPr>
        <w:t xml:space="preserve"> </w:t>
      </w:r>
    </w:p>
  </w:footnote>
  <w:footnote w:id="13">
    <w:p w:rsidR="00E46C89" w:rsidRPr="00976094" w:rsidRDefault="00E46C89" w:rsidP="00E46C89">
      <w:pPr>
        <w:pStyle w:val="GoodFootnote"/>
        <w:rPr>
          <w:rFonts w:asciiTheme="majorBidi" w:hAnsiTheme="majorBidi"/>
          <w:color w:val="000000" w:themeColor="text1"/>
          <w:sz w:val="22"/>
        </w:rPr>
      </w:pPr>
      <w:r w:rsidRPr="00976094">
        <w:rPr>
          <w:rStyle w:val="FootnoteReference"/>
          <w:rFonts w:asciiTheme="majorBidi" w:hAnsiTheme="majorBidi"/>
          <w:color w:val="000000" w:themeColor="text1"/>
          <w:sz w:val="22"/>
        </w:rPr>
        <w:footnoteRef/>
      </w:r>
      <w:r w:rsidRPr="00976094">
        <w:rPr>
          <w:rFonts w:asciiTheme="majorBidi" w:hAnsiTheme="majorBidi"/>
          <w:color w:val="000000" w:themeColor="text1"/>
          <w:sz w:val="22"/>
        </w:rPr>
        <w:t xml:space="preserve"> </w:t>
      </w:r>
      <w:r w:rsidRPr="00976094">
        <w:rPr>
          <w:rFonts w:asciiTheme="majorBidi" w:hAnsiTheme="majorBidi"/>
          <w:color w:val="000000" w:themeColor="text1"/>
          <w:sz w:val="22"/>
        </w:rPr>
        <w:tab/>
        <w:t>This estimate is based on the following calculation: $3,985 x 1,635 ETFs = $6,515,475.</w:t>
      </w:r>
    </w:p>
  </w:footnote>
  <w:footnote w:id="14">
    <w:p w:rsidR="00E46C89" w:rsidRPr="00976094" w:rsidRDefault="00E46C89" w:rsidP="00E46C89">
      <w:pPr>
        <w:pStyle w:val="GoodFootnote"/>
        <w:rPr>
          <w:rFonts w:asciiTheme="majorBidi" w:hAnsiTheme="majorBidi"/>
          <w:color w:val="000000" w:themeColor="text1"/>
          <w:sz w:val="22"/>
        </w:rPr>
      </w:pPr>
      <w:r w:rsidRPr="00976094">
        <w:rPr>
          <w:rStyle w:val="FootnoteReference"/>
          <w:rFonts w:asciiTheme="majorBidi" w:hAnsiTheme="majorBidi"/>
          <w:color w:val="000000" w:themeColor="text1"/>
          <w:sz w:val="22"/>
        </w:rPr>
        <w:footnoteRef/>
      </w:r>
      <w:r w:rsidRPr="00976094">
        <w:rPr>
          <w:rFonts w:asciiTheme="majorBidi" w:hAnsiTheme="majorBidi"/>
          <w:color w:val="000000" w:themeColor="text1"/>
          <w:sz w:val="22"/>
        </w:rPr>
        <w:t xml:space="preserve"> </w:t>
      </w:r>
      <w:r w:rsidRPr="00976094">
        <w:rPr>
          <w:rFonts w:asciiTheme="majorBidi" w:hAnsiTheme="majorBidi"/>
          <w:color w:val="000000" w:themeColor="text1"/>
          <w:sz w:val="22"/>
        </w:rPr>
        <w:tab/>
        <w:t>This estimate is based on the following calculation: 14,170 hours +16,350 hours = 30,520 hours.</w:t>
      </w:r>
    </w:p>
  </w:footnote>
  <w:footnote w:id="15">
    <w:p w:rsidR="00E46C89" w:rsidRPr="00976094" w:rsidRDefault="00E46C89" w:rsidP="00E46C89">
      <w:pPr>
        <w:pStyle w:val="GoodFootnote"/>
        <w:rPr>
          <w:rFonts w:asciiTheme="majorBidi" w:hAnsiTheme="majorBidi"/>
          <w:color w:val="000000" w:themeColor="text1"/>
          <w:sz w:val="22"/>
        </w:rPr>
      </w:pPr>
      <w:r w:rsidRPr="00976094">
        <w:rPr>
          <w:rStyle w:val="FootnoteReference"/>
          <w:rFonts w:asciiTheme="majorBidi" w:hAnsiTheme="majorBidi"/>
          <w:color w:val="000000" w:themeColor="text1"/>
          <w:sz w:val="22"/>
        </w:rPr>
        <w:footnoteRef/>
      </w:r>
      <w:r w:rsidRPr="00976094">
        <w:rPr>
          <w:rFonts w:asciiTheme="majorBidi" w:hAnsiTheme="majorBidi"/>
          <w:color w:val="000000" w:themeColor="text1"/>
          <w:sz w:val="22"/>
        </w:rPr>
        <w:t xml:space="preserve"> </w:t>
      </w:r>
      <w:r w:rsidRPr="00976094">
        <w:rPr>
          <w:rFonts w:asciiTheme="majorBidi" w:hAnsiTheme="majorBidi"/>
          <w:color w:val="000000" w:themeColor="text1"/>
          <w:sz w:val="22"/>
        </w:rPr>
        <w:tab/>
        <w:t>This estimate is based on the following calculation: $5,596,060</w:t>
      </w:r>
      <w:r w:rsidR="00660D26">
        <w:rPr>
          <w:rFonts w:asciiTheme="majorBidi" w:hAnsiTheme="majorBidi"/>
          <w:color w:val="000000" w:themeColor="text1"/>
          <w:sz w:val="22"/>
        </w:rPr>
        <w:t xml:space="preserve"> </w:t>
      </w:r>
      <w:r w:rsidRPr="00976094">
        <w:rPr>
          <w:rFonts w:asciiTheme="majorBidi" w:hAnsiTheme="majorBidi"/>
          <w:color w:val="000000" w:themeColor="text1"/>
          <w:sz w:val="22"/>
        </w:rPr>
        <w:t>+</w:t>
      </w:r>
      <w:r w:rsidR="00660D26">
        <w:rPr>
          <w:rFonts w:asciiTheme="majorBidi" w:hAnsiTheme="majorBidi"/>
          <w:color w:val="000000" w:themeColor="text1"/>
          <w:sz w:val="22"/>
        </w:rPr>
        <w:t xml:space="preserve"> </w:t>
      </w:r>
      <w:r w:rsidRPr="00976094">
        <w:rPr>
          <w:rFonts w:asciiTheme="majorBidi" w:hAnsiTheme="majorBidi"/>
          <w:color w:val="000000" w:themeColor="text1"/>
          <w:sz w:val="22"/>
        </w:rPr>
        <w:t xml:space="preserve">$6,515,475= $12,111,535. </w:t>
      </w:r>
    </w:p>
  </w:footnote>
  <w:footnote w:id="16">
    <w:p w:rsidR="00E46C89" w:rsidRPr="00976094" w:rsidRDefault="00E46C89" w:rsidP="00E46C89">
      <w:pPr>
        <w:pStyle w:val="GoodFootnote"/>
        <w:rPr>
          <w:rFonts w:asciiTheme="majorBidi" w:hAnsiTheme="majorBidi"/>
          <w:color w:val="000000" w:themeColor="text1"/>
          <w:sz w:val="22"/>
        </w:rPr>
      </w:pPr>
      <w:r w:rsidRPr="00976094">
        <w:rPr>
          <w:rStyle w:val="FootnoteReference"/>
          <w:rFonts w:asciiTheme="majorBidi" w:hAnsiTheme="majorBidi"/>
          <w:color w:val="000000" w:themeColor="text1"/>
          <w:sz w:val="22"/>
        </w:rPr>
        <w:footnoteRef/>
      </w:r>
      <w:r w:rsidRPr="00976094">
        <w:rPr>
          <w:rFonts w:asciiTheme="majorBidi" w:hAnsiTheme="majorBidi"/>
          <w:color w:val="000000" w:themeColor="text1"/>
          <w:sz w:val="22"/>
        </w:rPr>
        <w:t xml:space="preserve"> </w:t>
      </w:r>
      <w:r w:rsidRPr="00976094">
        <w:rPr>
          <w:rFonts w:asciiTheme="majorBidi" w:hAnsiTheme="majorBidi"/>
          <w:color w:val="000000" w:themeColor="text1"/>
          <w:sz w:val="22"/>
        </w:rPr>
        <w:tab/>
        <w:t>This estimate is based on the following calculation: 21,745.5 hours</w:t>
      </w:r>
      <w:r w:rsidR="00660D26">
        <w:rPr>
          <w:rFonts w:asciiTheme="majorBidi" w:hAnsiTheme="majorBidi"/>
          <w:color w:val="000000" w:themeColor="text1"/>
          <w:sz w:val="22"/>
        </w:rPr>
        <w:t xml:space="preserve"> </w:t>
      </w:r>
      <w:r w:rsidRPr="00976094">
        <w:rPr>
          <w:rFonts w:asciiTheme="majorBidi" w:hAnsiTheme="majorBidi"/>
          <w:color w:val="000000" w:themeColor="text1"/>
          <w:sz w:val="22"/>
        </w:rPr>
        <w:t>+ 8,175 hours + 30,520 hours</w:t>
      </w:r>
      <w:r w:rsidRPr="00976094" w:rsidDel="003B6ACE">
        <w:rPr>
          <w:rFonts w:asciiTheme="majorBidi" w:hAnsiTheme="majorBidi"/>
          <w:color w:val="000000" w:themeColor="text1"/>
          <w:sz w:val="22"/>
        </w:rPr>
        <w:t xml:space="preserve"> </w:t>
      </w:r>
      <w:r w:rsidRPr="00976094">
        <w:rPr>
          <w:rFonts w:asciiTheme="majorBidi" w:hAnsiTheme="majorBidi"/>
          <w:color w:val="000000" w:themeColor="text1"/>
          <w:sz w:val="22"/>
        </w:rPr>
        <w:t>= 60,440.5 hours.</w:t>
      </w:r>
    </w:p>
  </w:footnote>
  <w:footnote w:id="17">
    <w:p w:rsidR="00E46C89" w:rsidRPr="00976094" w:rsidRDefault="00E46C89" w:rsidP="00E46C89">
      <w:pPr>
        <w:pStyle w:val="GoodFootnote"/>
        <w:rPr>
          <w:rFonts w:asciiTheme="majorBidi" w:eastAsiaTheme="minorEastAsia" w:hAnsiTheme="majorBidi"/>
          <w:color w:val="000000" w:themeColor="text1"/>
          <w:sz w:val="22"/>
        </w:rPr>
      </w:pPr>
      <w:r w:rsidRPr="00976094">
        <w:rPr>
          <w:rStyle w:val="footnotetextChar0"/>
          <w:rFonts w:asciiTheme="majorBidi" w:eastAsiaTheme="minorEastAsia" w:hAnsiTheme="majorBidi"/>
          <w:color w:val="000000" w:themeColor="text1"/>
          <w:sz w:val="22"/>
          <w:vertAlign w:val="superscript"/>
        </w:rPr>
        <w:footnoteRef/>
      </w:r>
      <w:r w:rsidRPr="00976094">
        <w:rPr>
          <w:rFonts w:asciiTheme="majorBidi" w:eastAsiaTheme="minorEastAsia" w:hAnsiTheme="majorBidi"/>
          <w:color w:val="000000" w:themeColor="text1"/>
          <w:sz w:val="22"/>
        </w:rPr>
        <w:t xml:space="preserve"> </w:t>
      </w:r>
      <w:r w:rsidRPr="00976094">
        <w:rPr>
          <w:rFonts w:asciiTheme="majorBidi" w:hAnsiTheme="majorBidi"/>
          <w:color w:val="000000" w:themeColor="text1"/>
          <w:sz w:val="22"/>
        </w:rPr>
        <w:tab/>
        <w:t xml:space="preserve">This estimate is based on the following calculation: $6,493,075.50 + $621,300 + $12,111,535 = $19,225,910.50. </w:t>
      </w:r>
    </w:p>
  </w:footnote>
  <w:footnote w:id="18">
    <w:p w:rsidR="00E46C89" w:rsidRPr="00976094" w:rsidRDefault="00E46C89" w:rsidP="00E46C89">
      <w:pPr>
        <w:pStyle w:val="GoodFootnote"/>
        <w:rPr>
          <w:rFonts w:asciiTheme="majorBidi" w:hAnsiTheme="majorBidi"/>
          <w:color w:val="000000" w:themeColor="text1"/>
          <w:sz w:val="22"/>
        </w:rPr>
      </w:pPr>
      <w:r w:rsidRPr="00976094">
        <w:rPr>
          <w:rStyle w:val="FootnoteReference"/>
          <w:rFonts w:asciiTheme="majorBidi" w:hAnsiTheme="majorBidi"/>
          <w:color w:val="000000" w:themeColor="text1"/>
          <w:sz w:val="22"/>
        </w:rPr>
        <w:footnoteRef/>
      </w:r>
      <w:r w:rsidRPr="00976094">
        <w:rPr>
          <w:rFonts w:asciiTheme="majorBidi" w:hAnsiTheme="majorBidi"/>
          <w:color w:val="000000" w:themeColor="text1"/>
          <w:sz w:val="22"/>
        </w:rPr>
        <w:t xml:space="preserve"> </w:t>
      </w:r>
      <w:r w:rsidRPr="00976094">
        <w:rPr>
          <w:rFonts w:asciiTheme="majorBidi" w:hAnsiTheme="majorBidi"/>
          <w:color w:val="000000" w:themeColor="text1"/>
          <w:sz w:val="22"/>
        </w:rPr>
        <w:tab/>
        <w:t>This estimate is based on the following calculation: 60,440.5 hours ÷ 1,635 ETFs = 36.97 hours.</w:t>
      </w:r>
    </w:p>
  </w:footnote>
  <w:footnote w:id="19">
    <w:p w:rsidR="00E46C89" w:rsidRPr="00976094" w:rsidRDefault="00E46C89" w:rsidP="00E46C89">
      <w:pPr>
        <w:pStyle w:val="GoodFootnote"/>
        <w:rPr>
          <w:rFonts w:asciiTheme="majorBidi" w:hAnsiTheme="majorBidi"/>
          <w:color w:val="000000" w:themeColor="text1"/>
          <w:sz w:val="22"/>
        </w:rPr>
      </w:pPr>
      <w:r w:rsidRPr="00976094">
        <w:rPr>
          <w:rStyle w:val="FootnoteReference"/>
          <w:rFonts w:asciiTheme="majorBidi" w:hAnsiTheme="majorBidi"/>
          <w:color w:val="000000" w:themeColor="text1"/>
          <w:sz w:val="22"/>
        </w:rPr>
        <w:footnoteRef/>
      </w:r>
      <w:r w:rsidRPr="00976094">
        <w:rPr>
          <w:rFonts w:asciiTheme="majorBidi" w:hAnsiTheme="majorBidi"/>
          <w:color w:val="000000" w:themeColor="text1"/>
          <w:sz w:val="22"/>
        </w:rPr>
        <w:t xml:space="preserve"> </w:t>
      </w:r>
      <w:r w:rsidRPr="00976094">
        <w:rPr>
          <w:rFonts w:asciiTheme="majorBidi" w:hAnsiTheme="majorBidi"/>
          <w:color w:val="000000" w:themeColor="text1"/>
          <w:sz w:val="22"/>
        </w:rPr>
        <w:tab/>
        <w:t xml:space="preserve">This estimate is based on the following calculation: $19,225,910.50 ÷ 1,635 ETFs = $11,758.97. </w:t>
      </w:r>
    </w:p>
  </w:footnote>
  <w:footnote w:id="20">
    <w:p w:rsidR="003940B7" w:rsidRPr="00976094" w:rsidRDefault="003940B7" w:rsidP="003940B7">
      <w:pPr>
        <w:pStyle w:val="GoodFootnote"/>
        <w:ind w:left="360" w:hanging="360"/>
        <w:rPr>
          <w:rFonts w:asciiTheme="majorBidi" w:hAnsiTheme="majorBidi"/>
          <w:color w:val="000000" w:themeColor="text1"/>
          <w:sz w:val="22"/>
        </w:rPr>
      </w:pPr>
      <w:r w:rsidRPr="00976094">
        <w:rPr>
          <w:rStyle w:val="FootnoteReference"/>
          <w:rFonts w:asciiTheme="majorBidi" w:hAnsiTheme="majorBidi"/>
          <w:color w:val="000000" w:themeColor="text1"/>
          <w:sz w:val="22"/>
        </w:rPr>
        <w:footnoteRef/>
      </w:r>
      <w:r>
        <w:rPr>
          <w:rFonts w:asciiTheme="majorBidi" w:hAnsiTheme="majorBidi"/>
          <w:color w:val="000000" w:themeColor="text1"/>
          <w:sz w:val="22"/>
        </w:rPr>
        <w:t xml:space="preserve"> </w:t>
      </w:r>
      <w:r>
        <w:rPr>
          <w:rFonts w:asciiTheme="majorBidi" w:hAnsiTheme="majorBidi"/>
          <w:color w:val="000000" w:themeColor="text1"/>
          <w:sz w:val="22"/>
        </w:rPr>
        <w:tab/>
      </w:r>
      <w:r w:rsidRPr="00976094">
        <w:rPr>
          <w:rFonts w:asciiTheme="majorBidi" w:hAnsiTheme="majorBidi"/>
          <w:color w:val="000000" w:themeColor="text1"/>
          <w:sz w:val="22"/>
        </w:rPr>
        <w:t>This estimate is based on the following calculation: $666.65 x 1,635 ETFs = $1,089,972.75.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1443E"/>
    <w:multiLevelType w:val="hybridMultilevel"/>
    <w:tmpl w:val="2CA28F78"/>
    <w:lvl w:ilvl="0" w:tplc="7DE6531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E7601E"/>
    <w:multiLevelType w:val="multilevel"/>
    <w:tmpl w:val="66C2BEE0"/>
    <w:lvl w:ilvl="0">
      <w:start w:val="1"/>
      <w:numFmt w:val="upperRoman"/>
      <w:lvlText w:val="%1."/>
      <w:lvlJc w:val="right"/>
      <w:pPr>
        <w:ind w:left="3240" w:hanging="360"/>
      </w:pPr>
      <w:rPr>
        <w:rFonts w:hint="default"/>
        <w:b/>
        <w:i w:val="0"/>
        <w:sz w:val="24"/>
      </w:rPr>
    </w:lvl>
    <w:lvl w:ilvl="1">
      <w:start w:val="1"/>
      <w:numFmt w:val="upperLetter"/>
      <w:lvlText w:val="%2."/>
      <w:lvlJc w:val="left"/>
      <w:pPr>
        <w:ind w:left="1440" w:hanging="360"/>
      </w:pPr>
      <w:rPr>
        <w:rFonts w:hint="default"/>
        <w:b/>
      </w:rPr>
    </w:lvl>
    <w:lvl w:ilvl="2">
      <w:start w:val="1"/>
      <w:numFmt w:val="decimal"/>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63E04410"/>
    <w:multiLevelType w:val="hybridMultilevel"/>
    <w:tmpl w:val="D438076E"/>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A440AF5"/>
    <w:multiLevelType w:val="multilevel"/>
    <w:tmpl w:val="97B2F6F4"/>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2."/>
      <w:lvlJc w:val="left"/>
      <w:pPr>
        <w:tabs>
          <w:tab w:val="num" w:pos="1080"/>
        </w:tabs>
        <w:ind w:left="1080" w:hanging="72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3"/>
  </w:num>
  <w:num w:numId="2">
    <w:abstractNumId w:val="2"/>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0B5"/>
    <w:rsid w:val="000050D4"/>
    <w:rsid w:val="0001270D"/>
    <w:rsid w:val="00015675"/>
    <w:rsid w:val="00027EE2"/>
    <w:rsid w:val="00035CDA"/>
    <w:rsid w:val="000421FF"/>
    <w:rsid w:val="00043004"/>
    <w:rsid w:val="00080DF0"/>
    <w:rsid w:val="000912B0"/>
    <w:rsid w:val="0009322D"/>
    <w:rsid w:val="000948DB"/>
    <w:rsid w:val="000A3E37"/>
    <w:rsid w:val="000A6051"/>
    <w:rsid w:val="000A67CB"/>
    <w:rsid w:val="000A7930"/>
    <w:rsid w:val="000B536C"/>
    <w:rsid w:val="000B7DF9"/>
    <w:rsid w:val="000D38B8"/>
    <w:rsid w:val="000E267B"/>
    <w:rsid w:val="000E7328"/>
    <w:rsid w:val="0010342B"/>
    <w:rsid w:val="001055AB"/>
    <w:rsid w:val="00112F0F"/>
    <w:rsid w:val="001175EC"/>
    <w:rsid w:val="00123057"/>
    <w:rsid w:val="00133076"/>
    <w:rsid w:val="00140112"/>
    <w:rsid w:val="0016563D"/>
    <w:rsid w:val="00180B13"/>
    <w:rsid w:val="001925A6"/>
    <w:rsid w:val="001C0040"/>
    <w:rsid w:val="001C5FEA"/>
    <w:rsid w:val="001D1326"/>
    <w:rsid w:val="001D4E5D"/>
    <w:rsid w:val="001E1D63"/>
    <w:rsid w:val="001E2791"/>
    <w:rsid w:val="00205ADC"/>
    <w:rsid w:val="002200F1"/>
    <w:rsid w:val="00221A86"/>
    <w:rsid w:val="00225991"/>
    <w:rsid w:val="00233EF9"/>
    <w:rsid w:val="002535E4"/>
    <w:rsid w:val="0026456C"/>
    <w:rsid w:val="00265A48"/>
    <w:rsid w:val="002810AB"/>
    <w:rsid w:val="00290559"/>
    <w:rsid w:val="002B1DC4"/>
    <w:rsid w:val="002B3961"/>
    <w:rsid w:val="002E45D1"/>
    <w:rsid w:val="002F5006"/>
    <w:rsid w:val="002F5427"/>
    <w:rsid w:val="002F55A3"/>
    <w:rsid w:val="002F5FA2"/>
    <w:rsid w:val="002F775A"/>
    <w:rsid w:val="00324157"/>
    <w:rsid w:val="00363B8A"/>
    <w:rsid w:val="00372DE9"/>
    <w:rsid w:val="0038249D"/>
    <w:rsid w:val="00390714"/>
    <w:rsid w:val="003940B7"/>
    <w:rsid w:val="003973A0"/>
    <w:rsid w:val="003A554F"/>
    <w:rsid w:val="003B7589"/>
    <w:rsid w:val="003C0615"/>
    <w:rsid w:val="003E66EF"/>
    <w:rsid w:val="003F0BAB"/>
    <w:rsid w:val="003F29E2"/>
    <w:rsid w:val="004140C9"/>
    <w:rsid w:val="0043155E"/>
    <w:rsid w:val="00431791"/>
    <w:rsid w:val="004325E0"/>
    <w:rsid w:val="004343AD"/>
    <w:rsid w:val="004435B9"/>
    <w:rsid w:val="00453A25"/>
    <w:rsid w:val="00462099"/>
    <w:rsid w:val="00465EF8"/>
    <w:rsid w:val="0047379F"/>
    <w:rsid w:val="004807BD"/>
    <w:rsid w:val="00497088"/>
    <w:rsid w:val="004B1269"/>
    <w:rsid w:val="004B72F8"/>
    <w:rsid w:val="004C40A8"/>
    <w:rsid w:val="004C7942"/>
    <w:rsid w:val="004D1E38"/>
    <w:rsid w:val="004D2A85"/>
    <w:rsid w:val="004E048D"/>
    <w:rsid w:val="004E18C1"/>
    <w:rsid w:val="004E7F15"/>
    <w:rsid w:val="004F0EB2"/>
    <w:rsid w:val="004F3F4A"/>
    <w:rsid w:val="00521071"/>
    <w:rsid w:val="00547FDA"/>
    <w:rsid w:val="005544D0"/>
    <w:rsid w:val="005603E8"/>
    <w:rsid w:val="00563379"/>
    <w:rsid w:val="00571648"/>
    <w:rsid w:val="00575492"/>
    <w:rsid w:val="00576B2C"/>
    <w:rsid w:val="00587CA3"/>
    <w:rsid w:val="00596918"/>
    <w:rsid w:val="005A176A"/>
    <w:rsid w:val="005D515A"/>
    <w:rsid w:val="00602483"/>
    <w:rsid w:val="00616DF3"/>
    <w:rsid w:val="006201BA"/>
    <w:rsid w:val="0062329E"/>
    <w:rsid w:val="00641CB7"/>
    <w:rsid w:val="00651106"/>
    <w:rsid w:val="006572E5"/>
    <w:rsid w:val="00660D26"/>
    <w:rsid w:val="0067794C"/>
    <w:rsid w:val="006B3204"/>
    <w:rsid w:val="006B4B05"/>
    <w:rsid w:val="006B5008"/>
    <w:rsid w:val="006C11BD"/>
    <w:rsid w:val="006D5834"/>
    <w:rsid w:val="006E5032"/>
    <w:rsid w:val="006F1FD2"/>
    <w:rsid w:val="006F69FD"/>
    <w:rsid w:val="007045BD"/>
    <w:rsid w:val="007048BD"/>
    <w:rsid w:val="0071191F"/>
    <w:rsid w:val="00716EC9"/>
    <w:rsid w:val="007420FA"/>
    <w:rsid w:val="0074247F"/>
    <w:rsid w:val="00754CD9"/>
    <w:rsid w:val="00782413"/>
    <w:rsid w:val="00786390"/>
    <w:rsid w:val="007903AF"/>
    <w:rsid w:val="007B2ABF"/>
    <w:rsid w:val="007B7B04"/>
    <w:rsid w:val="007D237D"/>
    <w:rsid w:val="007D7B77"/>
    <w:rsid w:val="007F2E23"/>
    <w:rsid w:val="007F410F"/>
    <w:rsid w:val="008214AD"/>
    <w:rsid w:val="00865750"/>
    <w:rsid w:val="008713DC"/>
    <w:rsid w:val="008764C0"/>
    <w:rsid w:val="008841BD"/>
    <w:rsid w:val="008A02E0"/>
    <w:rsid w:val="008A2C33"/>
    <w:rsid w:val="008B0F68"/>
    <w:rsid w:val="008B24B4"/>
    <w:rsid w:val="008B63FD"/>
    <w:rsid w:val="008D1136"/>
    <w:rsid w:val="008D6546"/>
    <w:rsid w:val="008F1FBA"/>
    <w:rsid w:val="008F46AC"/>
    <w:rsid w:val="0090757A"/>
    <w:rsid w:val="00920C45"/>
    <w:rsid w:val="009241AE"/>
    <w:rsid w:val="009259C4"/>
    <w:rsid w:val="009520B5"/>
    <w:rsid w:val="00965595"/>
    <w:rsid w:val="00976079"/>
    <w:rsid w:val="00985E68"/>
    <w:rsid w:val="009A138A"/>
    <w:rsid w:val="009A5ED9"/>
    <w:rsid w:val="009B20F2"/>
    <w:rsid w:val="009B41CF"/>
    <w:rsid w:val="009E17BE"/>
    <w:rsid w:val="009E3BE3"/>
    <w:rsid w:val="009F2726"/>
    <w:rsid w:val="00A04696"/>
    <w:rsid w:val="00A07D31"/>
    <w:rsid w:val="00A15A1D"/>
    <w:rsid w:val="00A20E9A"/>
    <w:rsid w:val="00A24F3E"/>
    <w:rsid w:val="00A678DB"/>
    <w:rsid w:val="00AB66C7"/>
    <w:rsid w:val="00AC2CEF"/>
    <w:rsid w:val="00AC33D1"/>
    <w:rsid w:val="00AC4B55"/>
    <w:rsid w:val="00AD000D"/>
    <w:rsid w:val="00AD3B28"/>
    <w:rsid w:val="00AE484F"/>
    <w:rsid w:val="00AE701C"/>
    <w:rsid w:val="00B104EE"/>
    <w:rsid w:val="00B251E6"/>
    <w:rsid w:val="00B37641"/>
    <w:rsid w:val="00B439B7"/>
    <w:rsid w:val="00B5259F"/>
    <w:rsid w:val="00B53C32"/>
    <w:rsid w:val="00B75B1F"/>
    <w:rsid w:val="00B92A6A"/>
    <w:rsid w:val="00B9310D"/>
    <w:rsid w:val="00BB3CB0"/>
    <w:rsid w:val="00BC0BA0"/>
    <w:rsid w:val="00BF30E1"/>
    <w:rsid w:val="00C034DF"/>
    <w:rsid w:val="00C03D6A"/>
    <w:rsid w:val="00C05ACD"/>
    <w:rsid w:val="00C21D51"/>
    <w:rsid w:val="00C27207"/>
    <w:rsid w:val="00C2747A"/>
    <w:rsid w:val="00C27AD4"/>
    <w:rsid w:val="00C369F6"/>
    <w:rsid w:val="00C53449"/>
    <w:rsid w:val="00C674FE"/>
    <w:rsid w:val="00C71749"/>
    <w:rsid w:val="00C74C2B"/>
    <w:rsid w:val="00C905CD"/>
    <w:rsid w:val="00CB26C7"/>
    <w:rsid w:val="00CC026A"/>
    <w:rsid w:val="00CC5609"/>
    <w:rsid w:val="00CC6D0E"/>
    <w:rsid w:val="00CE33C4"/>
    <w:rsid w:val="00CE401F"/>
    <w:rsid w:val="00CF7149"/>
    <w:rsid w:val="00D01623"/>
    <w:rsid w:val="00D10613"/>
    <w:rsid w:val="00D13492"/>
    <w:rsid w:val="00D17044"/>
    <w:rsid w:val="00D33CAC"/>
    <w:rsid w:val="00D44806"/>
    <w:rsid w:val="00D45868"/>
    <w:rsid w:val="00D50AC4"/>
    <w:rsid w:val="00D57095"/>
    <w:rsid w:val="00D672EE"/>
    <w:rsid w:val="00D6777A"/>
    <w:rsid w:val="00DA0480"/>
    <w:rsid w:val="00DA0F53"/>
    <w:rsid w:val="00DA7D68"/>
    <w:rsid w:val="00DB0CE2"/>
    <w:rsid w:val="00DC0283"/>
    <w:rsid w:val="00DD3C13"/>
    <w:rsid w:val="00DF7863"/>
    <w:rsid w:val="00E02053"/>
    <w:rsid w:val="00E211DB"/>
    <w:rsid w:val="00E24502"/>
    <w:rsid w:val="00E31600"/>
    <w:rsid w:val="00E33615"/>
    <w:rsid w:val="00E35186"/>
    <w:rsid w:val="00E35236"/>
    <w:rsid w:val="00E40937"/>
    <w:rsid w:val="00E418D1"/>
    <w:rsid w:val="00E46C89"/>
    <w:rsid w:val="00E514ED"/>
    <w:rsid w:val="00E6743F"/>
    <w:rsid w:val="00E72719"/>
    <w:rsid w:val="00E82C12"/>
    <w:rsid w:val="00E931C5"/>
    <w:rsid w:val="00EA0350"/>
    <w:rsid w:val="00EA1DD6"/>
    <w:rsid w:val="00EA7C6E"/>
    <w:rsid w:val="00F021A5"/>
    <w:rsid w:val="00F03FFA"/>
    <w:rsid w:val="00F15C05"/>
    <w:rsid w:val="00F1716F"/>
    <w:rsid w:val="00F20A23"/>
    <w:rsid w:val="00F331AE"/>
    <w:rsid w:val="00F3756F"/>
    <w:rsid w:val="00F55E46"/>
    <w:rsid w:val="00F820F0"/>
    <w:rsid w:val="00F87269"/>
    <w:rsid w:val="00F92540"/>
    <w:rsid w:val="00FA3F97"/>
    <w:rsid w:val="00FA5D03"/>
    <w:rsid w:val="00FA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0B5"/>
    <w:pPr>
      <w:spacing w:after="0" w:line="312" w:lineRule="exact"/>
    </w:pPr>
    <w:rPr>
      <w:rFonts w:ascii="Calisto MT" w:hAnsi="Calisto MT"/>
      <w:sz w:val="24"/>
      <w:szCs w:val="24"/>
      <w:lang w:eastAsia="ja-JP"/>
    </w:rPr>
  </w:style>
  <w:style w:type="paragraph" w:styleId="Heading1">
    <w:name w:val="heading 1"/>
    <w:basedOn w:val="Normal"/>
    <w:next w:val="Normal"/>
    <w:link w:val="Heading1Char"/>
    <w:uiPriority w:val="9"/>
    <w:qFormat/>
    <w:rsid w:val="009520B5"/>
    <w:pPr>
      <w:numPr>
        <w:numId w:val="1"/>
      </w:numPr>
      <w:spacing w:before="240" w:after="240"/>
      <w:outlineLvl w:val="0"/>
    </w:pPr>
    <w:rPr>
      <w:b/>
      <w:bCs/>
      <w:caps/>
      <w:spacing w:val="12"/>
    </w:rPr>
  </w:style>
  <w:style w:type="paragraph" w:styleId="Heading2">
    <w:name w:val="heading 2"/>
    <w:basedOn w:val="Normal"/>
    <w:next w:val="Normal"/>
    <w:link w:val="Heading2Char"/>
    <w:uiPriority w:val="9"/>
    <w:unhideWhenUsed/>
    <w:qFormat/>
    <w:rsid w:val="009520B5"/>
    <w:pPr>
      <w:keepNext/>
      <w:numPr>
        <w:ilvl w:val="1"/>
        <w:numId w:val="1"/>
      </w:numPr>
      <w:spacing w:before="240" w:after="240"/>
      <w:outlineLvl w:val="1"/>
    </w:pPr>
    <w:rPr>
      <w:b/>
    </w:rPr>
  </w:style>
  <w:style w:type="paragraph" w:styleId="Heading3">
    <w:name w:val="heading 3"/>
    <w:basedOn w:val="Heading2"/>
    <w:next w:val="Normal"/>
    <w:link w:val="Heading3Char"/>
    <w:uiPriority w:val="9"/>
    <w:unhideWhenUsed/>
    <w:qFormat/>
    <w:rsid w:val="009520B5"/>
    <w:pPr>
      <w:numPr>
        <w:ilvl w:val="2"/>
      </w:numPr>
      <w:outlineLvl w:val="2"/>
    </w:pPr>
  </w:style>
  <w:style w:type="paragraph" w:styleId="Heading4">
    <w:name w:val="heading 4"/>
    <w:basedOn w:val="Heading3"/>
    <w:next w:val="Normal"/>
    <w:link w:val="Heading4Char"/>
    <w:uiPriority w:val="9"/>
    <w:unhideWhenUsed/>
    <w:qFormat/>
    <w:rsid w:val="009520B5"/>
    <w:pPr>
      <w:numPr>
        <w:ilvl w:val="3"/>
      </w:numPr>
      <w:outlineLvl w:val="3"/>
    </w:pPr>
  </w:style>
  <w:style w:type="paragraph" w:styleId="Heading5">
    <w:name w:val="heading 5"/>
    <w:basedOn w:val="Heading4"/>
    <w:next w:val="Normal"/>
    <w:link w:val="Heading5Char"/>
    <w:uiPriority w:val="9"/>
    <w:unhideWhenUsed/>
    <w:qFormat/>
    <w:rsid w:val="009520B5"/>
    <w:pPr>
      <w:numPr>
        <w:ilvl w:val="4"/>
      </w:numPr>
      <w:outlineLvl w:val="4"/>
    </w:pPr>
  </w:style>
  <w:style w:type="paragraph" w:styleId="Heading6">
    <w:name w:val="heading 6"/>
    <w:basedOn w:val="Normal"/>
    <w:next w:val="Normal"/>
    <w:link w:val="Heading6Char"/>
    <w:uiPriority w:val="9"/>
    <w:semiHidden/>
    <w:unhideWhenUsed/>
    <w:qFormat/>
    <w:rsid w:val="009520B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520B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520B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520B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0B5"/>
    <w:rPr>
      <w:rFonts w:ascii="Calisto MT" w:hAnsi="Calisto MT"/>
      <w:b/>
      <w:bCs/>
      <w:caps/>
      <w:spacing w:val="12"/>
      <w:sz w:val="24"/>
      <w:szCs w:val="24"/>
      <w:lang w:eastAsia="ja-JP"/>
    </w:rPr>
  </w:style>
  <w:style w:type="character" w:customStyle="1" w:styleId="Heading2Char">
    <w:name w:val="Heading 2 Char"/>
    <w:basedOn w:val="DefaultParagraphFont"/>
    <w:link w:val="Heading2"/>
    <w:uiPriority w:val="9"/>
    <w:rsid w:val="009520B5"/>
    <w:rPr>
      <w:rFonts w:ascii="Calisto MT" w:hAnsi="Calisto MT"/>
      <w:b/>
      <w:sz w:val="24"/>
      <w:szCs w:val="24"/>
      <w:lang w:eastAsia="ja-JP"/>
    </w:rPr>
  </w:style>
  <w:style w:type="character" w:customStyle="1" w:styleId="Heading3Char">
    <w:name w:val="Heading 3 Char"/>
    <w:basedOn w:val="DefaultParagraphFont"/>
    <w:link w:val="Heading3"/>
    <w:uiPriority w:val="9"/>
    <w:rsid w:val="009520B5"/>
    <w:rPr>
      <w:rFonts w:ascii="Calisto MT" w:hAnsi="Calisto MT"/>
      <w:b/>
      <w:sz w:val="24"/>
      <w:szCs w:val="24"/>
      <w:lang w:eastAsia="ja-JP"/>
    </w:rPr>
  </w:style>
  <w:style w:type="character" w:customStyle="1" w:styleId="Heading4Char">
    <w:name w:val="Heading 4 Char"/>
    <w:basedOn w:val="DefaultParagraphFont"/>
    <w:link w:val="Heading4"/>
    <w:uiPriority w:val="9"/>
    <w:rsid w:val="009520B5"/>
    <w:rPr>
      <w:rFonts w:ascii="Calisto MT" w:hAnsi="Calisto MT"/>
      <w:b/>
      <w:sz w:val="24"/>
      <w:szCs w:val="24"/>
      <w:lang w:eastAsia="ja-JP"/>
    </w:rPr>
  </w:style>
  <w:style w:type="character" w:customStyle="1" w:styleId="Heading5Char">
    <w:name w:val="Heading 5 Char"/>
    <w:basedOn w:val="DefaultParagraphFont"/>
    <w:link w:val="Heading5"/>
    <w:uiPriority w:val="9"/>
    <w:rsid w:val="009520B5"/>
    <w:rPr>
      <w:rFonts w:ascii="Calisto MT" w:hAnsi="Calisto MT"/>
      <w:b/>
      <w:sz w:val="24"/>
      <w:szCs w:val="24"/>
      <w:lang w:eastAsia="ja-JP"/>
    </w:rPr>
  </w:style>
  <w:style w:type="character" w:customStyle="1" w:styleId="Heading6Char">
    <w:name w:val="Heading 6 Char"/>
    <w:basedOn w:val="DefaultParagraphFont"/>
    <w:link w:val="Heading6"/>
    <w:uiPriority w:val="9"/>
    <w:semiHidden/>
    <w:rsid w:val="009520B5"/>
    <w:rPr>
      <w:rFonts w:asciiTheme="majorHAnsi" w:eastAsiaTheme="majorEastAsia" w:hAnsiTheme="majorHAnsi" w:cstheme="majorBidi"/>
      <w:i/>
      <w:iCs/>
      <w:color w:val="243F60" w:themeColor="accent1" w:themeShade="7F"/>
      <w:sz w:val="24"/>
      <w:szCs w:val="24"/>
      <w:lang w:eastAsia="ja-JP"/>
    </w:rPr>
  </w:style>
  <w:style w:type="character" w:customStyle="1" w:styleId="Heading7Char">
    <w:name w:val="Heading 7 Char"/>
    <w:basedOn w:val="DefaultParagraphFont"/>
    <w:link w:val="Heading7"/>
    <w:uiPriority w:val="9"/>
    <w:semiHidden/>
    <w:rsid w:val="009520B5"/>
    <w:rPr>
      <w:rFonts w:asciiTheme="majorHAnsi" w:eastAsiaTheme="majorEastAsia" w:hAnsiTheme="majorHAnsi" w:cstheme="majorBidi"/>
      <w:i/>
      <w:iCs/>
      <w:color w:val="404040" w:themeColor="text1" w:themeTint="BF"/>
      <w:sz w:val="24"/>
      <w:szCs w:val="24"/>
      <w:lang w:eastAsia="ja-JP"/>
    </w:rPr>
  </w:style>
  <w:style w:type="character" w:customStyle="1" w:styleId="Heading8Char">
    <w:name w:val="Heading 8 Char"/>
    <w:basedOn w:val="DefaultParagraphFont"/>
    <w:link w:val="Heading8"/>
    <w:uiPriority w:val="9"/>
    <w:semiHidden/>
    <w:rsid w:val="009520B5"/>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9520B5"/>
    <w:rPr>
      <w:rFonts w:asciiTheme="majorHAnsi" w:eastAsiaTheme="majorEastAsia" w:hAnsiTheme="majorHAnsi" w:cstheme="majorBidi"/>
      <w:i/>
      <w:iCs/>
      <w:color w:val="404040" w:themeColor="text1" w:themeTint="BF"/>
      <w:sz w:val="20"/>
      <w:szCs w:val="20"/>
      <w:lang w:eastAsia="ja-JP"/>
    </w:rPr>
  </w:style>
  <w:style w:type="paragraph" w:styleId="Footer">
    <w:name w:val="footer"/>
    <w:basedOn w:val="Normal"/>
    <w:link w:val="FooterChar"/>
    <w:uiPriority w:val="99"/>
    <w:unhideWhenUsed/>
    <w:rsid w:val="009520B5"/>
    <w:pPr>
      <w:tabs>
        <w:tab w:val="center" w:pos="4320"/>
        <w:tab w:val="right" w:pos="8640"/>
      </w:tabs>
      <w:jc w:val="center"/>
    </w:pPr>
  </w:style>
  <w:style w:type="character" w:customStyle="1" w:styleId="FooterChar">
    <w:name w:val="Footer Char"/>
    <w:basedOn w:val="DefaultParagraphFont"/>
    <w:link w:val="Footer"/>
    <w:uiPriority w:val="99"/>
    <w:rsid w:val="009520B5"/>
    <w:rPr>
      <w:rFonts w:ascii="Calisto MT" w:hAnsi="Calisto MT"/>
      <w:sz w:val="24"/>
      <w:szCs w:val="24"/>
      <w:lang w:eastAsia="ja-JP"/>
    </w:rPr>
  </w:style>
  <w:style w:type="paragraph" w:styleId="Header">
    <w:name w:val="header"/>
    <w:basedOn w:val="Normal"/>
    <w:link w:val="HeaderChar"/>
    <w:uiPriority w:val="99"/>
    <w:unhideWhenUsed/>
    <w:rsid w:val="009520B5"/>
    <w:pPr>
      <w:tabs>
        <w:tab w:val="center" w:pos="4320"/>
        <w:tab w:val="right" w:pos="8640"/>
      </w:tabs>
      <w:jc w:val="right"/>
    </w:pPr>
    <w:rPr>
      <w:rFonts w:ascii="Franklin Gothic Book" w:hAnsi="Franklin Gothic Book"/>
      <w:caps/>
      <w:spacing w:val="12"/>
      <w:sz w:val="20"/>
      <w:szCs w:val="20"/>
    </w:rPr>
  </w:style>
  <w:style w:type="character" w:customStyle="1" w:styleId="HeaderChar">
    <w:name w:val="Header Char"/>
    <w:basedOn w:val="DefaultParagraphFont"/>
    <w:link w:val="Header"/>
    <w:uiPriority w:val="99"/>
    <w:rsid w:val="009520B5"/>
    <w:rPr>
      <w:rFonts w:ascii="Franklin Gothic Book" w:hAnsi="Franklin Gothic Book"/>
      <w:caps/>
      <w:spacing w:val="12"/>
      <w:sz w:val="20"/>
      <w:szCs w:val="20"/>
      <w:lang w:eastAsia="ja-JP"/>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ORP Footnote,Car"/>
    <w:basedOn w:val="Normal"/>
    <w:link w:val="FootnoteTextChar"/>
    <w:unhideWhenUsed/>
    <w:qFormat/>
    <w:rsid w:val="009520B5"/>
    <w:pPr>
      <w:spacing w:before="120" w:after="120" w:line="280" w:lineRule="exact"/>
      <w:ind w:left="360" w:hanging="360"/>
    </w:pPr>
    <w:rPr>
      <w:sz w:val="22"/>
    </w:rPr>
  </w:style>
  <w:style w:type="character" w:customStyle="1" w:styleId="FootnoteTextChar">
    <w:name w:val="Footnote Text Char"/>
    <w:aliases w:val="fn Char1,ft Char1,Footnote Text Char Char Char Char Char Char Char Char Char Char Char Char Char Char Char Char Char Char1,ORP Footnote Char1,Car Char"/>
    <w:basedOn w:val="DefaultParagraphFont"/>
    <w:link w:val="FootnoteText"/>
    <w:rsid w:val="009520B5"/>
    <w:rPr>
      <w:rFonts w:ascii="Calisto MT" w:hAnsi="Calisto MT"/>
      <w:szCs w:val="24"/>
      <w:lang w:eastAsia="ja-JP"/>
    </w:rPr>
  </w:style>
  <w:style w:type="character" w:styleId="FootnoteReference">
    <w:name w:val="footnote reference"/>
    <w:aliases w:val="fr,Style 19,Style 16,Style 39,Style 14,Style 35,12,Style 6,Footnote Text Char Char Char Char Cha,Footnote Reference Superscript,SUPERS,BVI fnr,Footnote symbol,Footnote,(Footnote Reference),Footnote reference number,note TESI"/>
    <w:basedOn w:val="DefaultParagraphFont"/>
    <w:uiPriority w:val="99"/>
    <w:unhideWhenUsed/>
    <w:qFormat/>
    <w:rsid w:val="009520B5"/>
    <w:rPr>
      <w:vertAlign w:val="superscript"/>
    </w:rPr>
  </w:style>
  <w:style w:type="character" w:styleId="Hyperlink">
    <w:name w:val="Hyperlink"/>
    <w:basedOn w:val="DefaultParagraphFont"/>
    <w:uiPriority w:val="99"/>
    <w:unhideWhenUsed/>
    <w:rsid w:val="009520B5"/>
    <w:rPr>
      <w:rFonts w:ascii="Times New Roman" w:hAnsi="Times New Roman"/>
      <w:color w:val="auto"/>
      <w:sz w:val="24"/>
      <w:u w:val="none"/>
    </w:rPr>
  </w:style>
  <w:style w:type="paragraph" w:styleId="Title">
    <w:name w:val="Title"/>
    <w:basedOn w:val="Normal"/>
    <w:next w:val="Normal"/>
    <w:link w:val="TitleChar"/>
    <w:uiPriority w:val="10"/>
    <w:qFormat/>
    <w:rsid w:val="009520B5"/>
    <w:pPr>
      <w:jc w:val="center"/>
    </w:pPr>
    <w:rPr>
      <w:b/>
      <w:caps/>
      <w:spacing w:val="12"/>
    </w:rPr>
  </w:style>
  <w:style w:type="character" w:customStyle="1" w:styleId="TitleChar">
    <w:name w:val="Title Char"/>
    <w:basedOn w:val="DefaultParagraphFont"/>
    <w:link w:val="Title"/>
    <w:uiPriority w:val="10"/>
    <w:rsid w:val="009520B5"/>
    <w:rPr>
      <w:rFonts w:ascii="Calisto MT" w:hAnsi="Calisto MT"/>
      <w:b/>
      <w:caps/>
      <w:spacing w:val="12"/>
      <w:sz w:val="24"/>
      <w:szCs w:val="24"/>
      <w:lang w:eastAsia="ja-JP"/>
    </w:rPr>
  </w:style>
  <w:style w:type="paragraph" w:styleId="Subtitle">
    <w:name w:val="Subtitle"/>
    <w:basedOn w:val="Title"/>
    <w:next w:val="Normal"/>
    <w:link w:val="SubtitleChar"/>
    <w:uiPriority w:val="11"/>
    <w:qFormat/>
    <w:rsid w:val="009520B5"/>
    <w:pPr>
      <w:spacing w:after="240"/>
    </w:pPr>
    <w:rPr>
      <w:bCs/>
      <w:caps w:val="0"/>
      <w:spacing w:val="0"/>
    </w:rPr>
  </w:style>
  <w:style w:type="character" w:customStyle="1" w:styleId="SubtitleChar">
    <w:name w:val="Subtitle Char"/>
    <w:basedOn w:val="DefaultParagraphFont"/>
    <w:link w:val="Subtitle"/>
    <w:uiPriority w:val="11"/>
    <w:rsid w:val="009520B5"/>
    <w:rPr>
      <w:rFonts w:ascii="Calisto MT" w:hAnsi="Calisto MT"/>
      <w:b/>
      <w:bCs/>
      <w:sz w:val="24"/>
      <w:szCs w:val="24"/>
      <w:lang w:eastAsia="ja-JP"/>
    </w:rPr>
  </w:style>
  <w:style w:type="paragraph" w:styleId="BodyText">
    <w:name w:val="Body Text"/>
    <w:basedOn w:val="Normal"/>
    <w:link w:val="BodyTextChar"/>
    <w:uiPriority w:val="99"/>
    <w:unhideWhenUsed/>
    <w:rsid w:val="009520B5"/>
    <w:pPr>
      <w:spacing w:before="120" w:after="120"/>
      <w:ind w:firstLine="360"/>
    </w:pPr>
  </w:style>
  <w:style w:type="character" w:customStyle="1" w:styleId="BodyTextChar">
    <w:name w:val="Body Text Char"/>
    <w:basedOn w:val="DefaultParagraphFont"/>
    <w:link w:val="BodyText"/>
    <w:uiPriority w:val="99"/>
    <w:rsid w:val="009520B5"/>
    <w:rPr>
      <w:rFonts w:ascii="Calisto MT" w:hAnsi="Calisto MT"/>
      <w:sz w:val="24"/>
      <w:szCs w:val="24"/>
      <w:lang w:eastAsia="ja-JP"/>
    </w:rPr>
  </w:style>
  <w:style w:type="character" w:styleId="PageNumber">
    <w:name w:val="page number"/>
    <w:basedOn w:val="DefaultParagraphFont"/>
    <w:uiPriority w:val="99"/>
    <w:semiHidden/>
    <w:unhideWhenUsed/>
    <w:rsid w:val="009520B5"/>
  </w:style>
  <w:style w:type="character" w:customStyle="1" w:styleId="FootnoteTextChar1">
    <w:name w:val="Footnote Text Char1"/>
    <w:aliases w:val="fn Char,ft Char,Footnote Text Char Char Char Char Char Char Char Char Char Char Char Char Char Char Char Char Char Char,ORP Footnote Char,Car Char1"/>
    <w:basedOn w:val="DefaultParagraphFont"/>
    <w:rsid w:val="00786390"/>
    <w:rPr>
      <w:rFonts w:ascii="Times New Roman" w:eastAsia="Times New Roman" w:hAnsi="Times New Roman" w:cs="Times New Roman"/>
      <w:sz w:val="20"/>
    </w:rPr>
  </w:style>
  <w:style w:type="paragraph" w:styleId="ListParagraph">
    <w:name w:val="List Paragraph"/>
    <w:basedOn w:val="Normal"/>
    <w:uiPriority w:val="34"/>
    <w:qFormat/>
    <w:rsid w:val="00786390"/>
    <w:pPr>
      <w:ind w:left="720"/>
      <w:contextualSpacing/>
    </w:pPr>
  </w:style>
  <w:style w:type="paragraph" w:styleId="BalloonText">
    <w:name w:val="Balloon Text"/>
    <w:basedOn w:val="Normal"/>
    <w:link w:val="BalloonTextChar"/>
    <w:uiPriority w:val="99"/>
    <w:semiHidden/>
    <w:unhideWhenUsed/>
    <w:rsid w:val="001175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5EC"/>
    <w:rPr>
      <w:rFonts w:ascii="Tahoma" w:hAnsi="Tahoma" w:cs="Tahoma"/>
      <w:sz w:val="16"/>
      <w:szCs w:val="16"/>
      <w:lang w:eastAsia="ja-JP"/>
    </w:rPr>
  </w:style>
  <w:style w:type="character" w:styleId="CommentReference">
    <w:name w:val="annotation reference"/>
    <w:basedOn w:val="DefaultParagraphFont"/>
    <w:uiPriority w:val="99"/>
    <w:unhideWhenUsed/>
    <w:rsid w:val="00BC0BA0"/>
    <w:rPr>
      <w:sz w:val="16"/>
      <w:szCs w:val="16"/>
    </w:rPr>
  </w:style>
  <w:style w:type="paragraph" w:styleId="CommentText">
    <w:name w:val="annotation text"/>
    <w:basedOn w:val="Normal"/>
    <w:link w:val="CommentTextChar"/>
    <w:unhideWhenUsed/>
    <w:rsid w:val="00BC0BA0"/>
    <w:pPr>
      <w:spacing w:line="240" w:lineRule="auto"/>
    </w:pPr>
    <w:rPr>
      <w:sz w:val="20"/>
      <w:szCs w:val="20"/>
    </w:rPr>
  </w:style>
  <w:style w:type="character" w:customStyle="1" w:styleId="CommentTextChar">
    <w:name w:val="Comment Text Char"/>
    <w:basedOn w:val="DefaultParagraphFont"/>
    <w:link w:val="CommentText"/>
    <w:rsid w:val="00BC0BA0"/>
    <w:rPr>
      <w:rFonts w:ascii="Calisto MT" w:hAnsi="Calisto MT"/>
      <w:sz w:val="20"/>
      <w:szCs w:val="20"/>
      <w:lang w:eastAsia="ja-JP"/>
    </w:rPr>
  </w:style>
  <w:style w:type="paragraph" w:styleId="CommentSubject">
    <w:name w:val="annotation subject"/>
    <w:basedOn w:val="CommentText"/>
    <w:next w:val="CommentText"/>
    <w:link w:val="CommentSubjectChar"/>
    <w:uiPriority w:val="99"/>
    <w:semiHidden/>
    <w:unhideWhenUsed/>
    <w:rsid w:val="00BC0BA0"/>
    <w:rPr>
      <w:b/>
      <w:bCs/>
    </w:rPr>
  </w:style>
  <w:style w:type="character" w:customStyle="1" w:styleId="CommentSubjectChar">
    <w:name w:val="Comment Subject Char"/>
    <w:basedOn w:val="CommentTextChar"/>
    <w:link w:val="CommentSubject"/>
    <w:uiPriority w:val="99"/>
    <w:semiHidden/>
    <w:rsid w:val="00BC0BA0"/>
    <w:rPr>
      <w:rFonts w:ascii="Calisto MT" w:hAnsi="Calisto MT"/>
      <w:b/>
      <w:bCs/>
      <w:sz w:val="20"/>
      <w:szCs w:val="20"/>
      <w:lang w:eastAsia="ja-JP"/>
    </w:rPr>
  </w:style>
  <w:style w:type="paragraph" w:customStyle="1" w:styleId="ReleaseBodyText">
    <w:name w:val="Release Body Text"/>
    <w:basedOn w:val="Normal"/>
    <w:qFormat/>
    <w:rsid w:val="00BC0BA0"/>
    <w:pPr>
      <w:spacing w:line="480" w:lineRule="auto"/>
      <w:ind w:firstLine="720"/>
    </w:pPr>
    <w:rPr>
      <w:rFonts w:ascii="Times New Roman" w:hAnsi="Times New Roman" w:cs="Times New Roman"/>
      <w:lang w:eastAsia="en-US"/>
    </w:rPr>
  </w:style>
  <w:style w:type="paragraph" w:customStyle="1" w:styleId="FootnoteText1">
    <w:name w:val="Footnote Text1"/>
    <w:basedOn w:val="FootnoteText"/>
    <w:link w:val="footnotetextChar0"/>
    <w:qFormat/>
    <w:rsid w:val="001055AB"/>
    <w:pPr>
      <w:widowControl w:val="0"/>
      <w:tabs>
        <w:tab w:val="left" w:pos="720"/>
      </w:tabs>
      <w:suppressAutoHyphens/>
      <w:overflowPunct w:val="0"/>
      <w:autoSpaceDE w:val="0"/>
      <w:autoSpaceDN w:val="0"/>
      <w:adjustRightInd w:val="0"/>
      <w:spacing w:before="0" w:line="240" w:lineRule="auto"/>
      <w:ind w:left="720" w:hanging="720"/>
      <w:textAlignment w:val="baseline"/>
    </w:pPr>
    <w:rPr>
      <w:rFonts w:ascii="Times New Roman" w:eastAsia="Times New Roman" w:hAnsi="Times New Roman" w:cs="Times New Roman"/>
      <w:sz w:val="20"/>
      <w:lang w:eastAsia="en-US"/>
    </w:rPr>
  </w:style>
  <w:style w:type="character" w:customStyle="1" w:styleId="footnotetextChar0">
    <w:name w:val="footnote text Char"/>
    <w:basedOn w:val="FootnoteTextChar1"/>
    <w:link w:val="FootnoteText1"/>
    <w:rsid w:val="001055AB"/>
    <w:rPr>
      <w:rFonts w:ascii="Times New Roman" w:eastAsia="Times New Roman" w:hAnsi="Times New Roman" w:cs="Times New Roman"/>
      <w:sz w:val="20"/>
      <w:szCs w:val="24"/>
    </w:rPr>
  </w:style>
  <w:style w:type="paragraph" w:styleId="Revision">
    <w:name w:val="Revision"/>
    <w:hidden/>
    <w:uiPriority w:val="99"/>
    <w:semiHidden/>
    <w:rsid w:val="002B1DC4"/>
    <w:pPr>
      <w:spacing w:after="0" w:line="240" w:lineRule="auto"/>
    </w:pPr>
    <w:rPr>
      <w:rFonts w:ascii="Calisto MT" w:hAnsi="Calisto MT"/>
      <w:sz w:val="24"/>
      <w:szCs w:val="24"/>
      <w:lang w:eastAsia="ja-JP"/>
    </w:rPr>
  </w:style>
  <w:style w:type="paragraph" w:styleId="PlainText">
    <w:name w:val="Plain Text"/>
    <w:basedOn w:val="Normal"/>
    <w:link w:val="PlainTextChar"/>
    <w:uiPriority w:val="99"/>
    <w:rsid w:val="00CE33C4"/>
    <w:pPr>
      <w:spacing w:line="240" w:lineRule="auto"/>
    </w:pPr>
    <w:rPr>
      <w:rFonts w:ascii="Consolas" w:eastAsia="Calibri" w:hAnsi="Consolas" w:cs="Consolas"/>
      <w:color w:val="000000"/>
      <w:sz w:val="21"/>
      <w:szCs w:val="21"/>
      <w:lang w:eastAsia="en-US"/>
    </w:rPr>
  </w:style>
  <w:style w:type="character" w:customStyle="1" w:styleId="PlainTextChar">
    <w:name w:val="Plain Text Char"/>
    <w:basedOn w:val="DefaultParagraphFont"/>
    <w:link w:val="PlainText"/>
    <w:uiPriority w:val="99"/>
    <w:rsid w:val="00CE33C4"/>
    <w:rPr>
      <w:rFonts w:ascii="Consolas" w:eastAsia="Calibri" w:hAnsi="Consolas" w:cs="Consolas"/>
      <w:color w:val="000000"/>
      <w:sz w:val="21"/>
      <w:szCs w:val="21"/>
    </w:rPr>
  </w:style>
  <w:style w:type="paragraph" w:customStyle="1" w:styleId="RegTextPartHeading">
    <w:name w:val="Reg. Text Part Heading"/>
    <w:basedOn w:val="Normal"/>
    <w:qFormat/>
    <w:rsid w:val="00AE484F"/>
    <w:pPr>
      <w:keepNext/>
      <w:spacing w:after="240" w:line="240" w:lineRule="auto"/>
    </w:pPr>
    <w:rPr>
      <w:rFonts w:ascii="Times New Roman" w:eastAsiaTheme="minorEastAsia" w:hAnsi="Times New Roman"/>
      <w:b/>
      <w:bCs/>
      <w:caps/>
      <w:spacing w:val="12"/>
    </w:rPr>
  </w:style>
  <w:style w:type="paragraph" w:customStyle="1" w:styleId="GoodFootnote">
    <w:name w:val="Good Footnote"/>
    <w:basedOn w:val="FootnoteText"/>
    <w:qFormat/>
    <w:rsid w:val="00AE484F"/>
    <w:pPr>
      <w:widowControl w:val="0"/>
      <w:spacing w:before="0" w:line="240" w:lineRule="auto"/>
      <w:ind w:left="720" w:hanging="720"/>
    </w:pPr>
    <w:rPr>
      <w:rFonts w:ascii="Times New Roman" w:eastAsia="Times New Roman" w:hAnsi="Times New Roman" w:cs="Times New Roman"/>
      <w:sz w:val="20"/>
      <w:szCs w:val="20"/>
      <w:lang w:eastAsia="en-US"/>
    </w:rPr>
  </w:style>
  <w:style w:type="paragraph" w:styleId="NormalWeb">
    <w:name w:val="Normal (Web)"/>
    <w:basedOn w:val="Normal"/>
    <w:uiPriority w:val="99"/>
    <w:semiHidden/>
    <w:unhideWhenUsed/>
    <w:rsid w:val="00E82C12"/>
    <w:pPr>
      <w:spacing w:before="100" w:beforeAutospacing="1" w:after="100" w:afterAutospacing="1" w:line="240" w:lineRule="auto"/>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0B5"/>
    <w:pPr>
      <w:spacing w:after="0" w:line="312" w:lineRule="exact"/>
    </w:pPr>
    <w:rPr>
      <w:rFonts w:ascii="Calisto MT" w:hAnsi="Calisto MT"/>
      <w:sz w:val="24"/>
      <w:szCs w:val="24"/>
      <w:lang w:eastAsia="ja-JP"/>
    </w:rPr>
  </w:style>
  <w:style w:type="paragraph" w:styleId="Heading1">
    <w:name w:val="heading 1"/>
    <w:basedOn w:val="Normal"/>
    <w:next w:val="Normal"/>
    <w:link w:val="Heading1Char"/>
    <w:uiPriority w:val="9"/>
    <w:qFormat/>
    <w:rsid w:val="009520B5"/>
    <w:pPr>
      <w:numPr>
        <w:numId w:val="1"/>
      </w:numPr>
      <w:spacing w:before="240" w:after="240"/>
      <w:outlineLvl w:val="0"/>
    </w:pPr>
    <w:rPr>
      <w:b/>
      <w:bCs/>
      <w:caps/>
      <w:spacing w:val="12"/>
    </w:rPr>
  </w:style>
  <w:style w:type="paragraph" w:styleId="Heading2">
    <w:name w:val="heading 2"/>
    <w:basedOn w:val="Normal"/>
    <w:next w:val="Normal"/>
    <w:link w:val="Heading2Char"/>
    <w:uiPriority w:val="9"/>
    <w:unhideWhenUsed/>
    <w:qFormat/>
    <w:rsid w:val="009520B5"/>
    <w:pPr>
      <w:keepNext/>
      <w:numPr>
        <w:ilvl w:val="1"/>
        <w:numId w:val="1"/>
      </w:numPr>
      <w:spacing w:before="240" w:after="240"/>
      <w:outlineLvl w:val="1"/>
    </w:pPr>
    <w:rPr>
      <w:b/>
    </w:rPr>
  </w:style>
  <w:style w:type="paragraph" w:styleId="Heading3">
    <w:name w:val="heading 3"/>
    <w:basedOn w:val="Heading2"/>
    <w:next w:val="Normal"/>
    <w:link w:val="Heading3Char"/>
    <w:uiPriority w:val="9"/>
    <w:unhideWhenUsed/>
    <w:qFormat/>
    <w:rsid w:val="009520B5"/>
    <w:pPr>
      <w:numPr>
        <w:ilvl w:val="2"/>
      </w:numPr>
      <w:outlineLvl w:val="2"/>
    </w:pPr>
  </w:style>
  <w:style w:type="paragraph" w:styleId="Heading4">
    <w:name w:val="heading 4"/>
    <w:basedOn w:val="Heading3"/>
    <w:next w:val="Normal"/>
    <w:link w:val="Heading4Char"/>
    <w:uiPriority w:val="9"/>
    <w:unhideWhenUsed/>
    <w:qFormat/>
    <w:rsid w:val="009520B5"/>
    <w:pPr>
      <w:numPr>
        <w:ilvl w:val="3"/>
      </w:numPr>
      <w:outlineLvl w:val="3"/>
    </w:pPr>
  </w:style>
  <w:style w:type="paragraph" w:styleId="Heading5">
    <w:name w:val="heading 5"/>
    <w:basedOn w:val="Heading4"/>
    <w:next w:val="Normal"/>
    <w:link w:val="Heading5Char"/>
    <w:uiPriority w:val="9"/>
    <w:unhideWhenUsed/>
    <w:qFormat/>
    <w:rsid w:val="009520B5"/>
    <w:pPr>
      <w:numPr>
        <w:ilvl w:val="4"/>
      </w:numPr>
      <w:outlineLvl w:val="4"/>
    </w:pPr>
  </w:style>
  <w:style w:type="paragraph" w:styleId="Heading6">
    <w:name w:val="heading 6"/>
    <w:basedOn w:val="Normal"/>
    <w:next w:val="Normal"/>
    <w:link w:val="Heading6Char"/>
    <w:uiPriority w:val="9"/>
    <w:semiHidden/>
    <w:unhideWhenUsed/>
    <w:qFormat/>
    <w:rsid w:val="009520B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520B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520B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520B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0B5"/>
    <w:rPr>
      <w:rFonts w:ascii="Calisto MT" w:hAnsi="Calisto MT"/>
      <w:b/>
      <w:bCs/>
      <w:caps/>
      <w:spacing w:val="12"/>
      <w:sz w:val="24"/>
      <w:szCs w:val="24"/>
      <w:lang w:eastAsia="ja-JP"/>
    </w:rPr>
  </w:style>
  <w:style w:type="character" w:customStyle="1" w:styleId="Heading2Char">
    <w:name w:val="Heading 2 Char"/>
    <w:basedOn w:val="DefaultParagraphFont"/>
    <w:link w:val="Heading2"/>
    <w:uiPriority w:val="9"/>
    <w:rsid w:val="009520B5"/>
    <w:rPr>
      <w:rFonts w:ascii="Calisto MT" w:hAnsi="Calisto MT"/>
      <w:b/>
      <w:sz w:val="24"/>
      <w:szCs w:val="24"/>
      <w:lang w:eastAsia="ja-JP"/>
    </w:rPr>
  </w:style>
  <w:style w:type="character" w:customStyle="1" w:styleId="Heading3Char">
    <w:name w:val="Heading 3 Char"/>
    <w:basedOn w:val="DefaultParagraphFont"/>
    <w:link w:val="Heading3"/>
    <w:uiPriority w:val="9"/>
    <w:rsid w:val="009520B5"/>
    <w:rPr>
      <w:rFonts w:ascii="Calisto MT" w:hAnsi="Calisto MT"/>
      <w:b/>
      <w:sz w:val="24"/>
      <w:szCs w:val="24"/>
      <w:lang w:eastAsia="ja-JP"/>
    </w:rPr>
  </w:style>
  <w:style w:type="character" w:customStyle="1" w:styleId="Heading4Char">
    <w:name w:val="Heading 4 Char"/>
    <w:basedOn w:val="DefaultParagraphFont"/>
    <w:link w:val="Heading4"/>
    <w:uiPriority w:val="9"/>
    <w:rsid w:val="009520B5"/>
    <w:rPr>
      <w:rFonts w:ascii="Calisto MT" w:hAnsi="Calisto MT"/>
      <w:b/>
      <w:sz w:val="24"/>
      <w:szCs w:val="24"/>
      <w:lang w:eastAsia="ja-JP"/>
    </w:rPr>
  </w:style>
  <w:style w:type="character" w:customStyle="1" w:styleId="Heading5Char">
    <w:name w:val="Heading 5 Char"/>
    <w:basedOn w:val="DefaultParagraphFont"/>
    <w:link w:val="Heading5"/>
    <w:uiPriority w:val="9"/>
    <w:rsid w:val="009520B5"/>
    <w:rPr>
      <w:rFonts w:ascii="Calisto MT" w:hAnsi="Calisto MT"/>
      <w:b/>
      <w:sz w:val="24"/>
      <w:szCs w:val="24"/>
      <w:lang w:eastAsia="ja-JP"/>
    </w:rPr>
  </w:style>
  <w:style w:type="character" w:customStyle="1" w:styleId="Heading6Char">
    <w:name w:val="Heading 6 Char"/>
    <w:basedOn w:val="DefaultParagraphFont"/>
    <w:link w:val="Heading6"/>
    <w:uiPriority w:val="9"/>
    <w:semiHidden/>
    <w:rsid w:val="009520B5"/>
    <w:rPr>
      <w:rFonts w:asciiTheme="majorHAnsi" w:eastAsiaTheme="majorEastAsia" w:hAnsiTheme="majorHAnsi" w:cstheme="majorBidi"/>
      <w:i/>
      <w:iCs/>
      <w:color w:val="243F60" w:themeColor="accent1" w:themeShade="7F"/>
      <w:sz w:val="24"/>
      <w:szCs w:val="24"/>
      <w:lang w:eastAsia="ja-JP"/>
    </w:rPr>
  </w:style>
  <w:style w:type="character" w:customStyle="1" w:styleId="Heading7Char">
    <w:name w:val="Heading 7 Char"/>
    <w:basedOn w:val="DefaultParagraphFont"/>
    <w:link w:val="Heading7"/>
    <w:uiPriority w:val="9"/>
    <w:semiHidden/>
    <w:rsid w:val="009520B5"/>
    <w:rPr>
      <w:rFonts w:asciiTheme="majorHAnsi" w:eastAsiaTheme="majorEastAsia" w:hAnsiTheme="majorHAnsi" w:cstheme="majorBidi"/>
      <w:i/>
      <w:iCs/>
      <w:color w:val="404040" w:themeColor="text1" w:themeTint="BF"/>
      <w:sz w:val="24"/>
      <w:szCs w:val="24"/>
      <w:lang w:eastAsia="ja-JP"/>
    </w:rPr>
  </w:style>
  <w:style w:type="character" w:customStyle="1" w:styleId="Heading8Char">
    <w:name w:val="Heading 8 Char"/>
    <w:basedOn w:val="DefaultParagraphFont"/>
    <w:link w:val="Heading8"/>
    <w:uiPriority w:val="9"/>
    <w:semiHidden/>
    <w:rsid w:val="009520B5"/>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9520B5"/>
    <w:rPr>
      <w:rFonts w:asciiTheme="majorHAnsi" w:eastAsiaTheme="majorEastAsia" w:hAnsiTheme="majorHAnsi" w:cstheme="majorBidi"/>
      <w:i/>
      <w:iCs/>
      <w:color w:val="404040" w:themeColor="text1" w:themeTint="BF"/>
      <w:sz w:val="20"/>
      <w:szCs w:val="20"/>
      <w:lang w:eastAsia="ja-JP"/>
    </w:rPr>
  </w:style>
  <w:style w:type="paragraph" w:styleId="Footer">
    <w:name w:val="footer"/>
    <w:basedOn w:val="Normal"/>
    <w:link w:val="FooterChar"/>
    <w:uiPriority w:val="99"/>
    <w:unhideWhenUsed/>
    <w:rsid w:val="009520B5"/>
    <w:pPr>
      <w:tabs>
        <w:tab w:val="center" w:pos="4320"/>
        <w:tab w:val="right" w:pos="8640"/>
      </w:tabs>
      <w:jc w:val="center"/>
    </w:pPr>
  </w:style>
  <w:style w:type="character" w:customStyle="1" w:styleId="FooterChar">
    <w:name w:val="Footer Char"/>
    <w:basedOn w:val="DefaultParagraphFont"/>
    <w:link w:val="Footer"/>
    <w:uiPriority w:val="99"/>
    <w:rsid w:val="009520B5"/>
    <w:rPr>
      <w:rFonts w:ascii="Calisto MT" w:hAnsi="Calisto MT"/>
      <w:sz w:val="24"/>
      <w:szCs w:val="24"/>
      <w:lang w:eastAsia="ja-JP"/>
    </w:rPr>
  </w:style>
  <w:style w:type="paragraph" w:styleId="Header">
    <w:name w:val="header"/>
    <w:basedOn w:val="Normal"/>
    <w:link w:val="HeaderChar"/>
    <w:uiPriority w:val="99"/>
    <w:unhideWhenUsed/>
    <w:rsid w:val="009520B5"/>
    <w:pPr>
      <w:tabs>
        <w:tab w:val="center" w:pos="4320"/>
        <w:tab w:val="right" w:pos="8640"/>
      </w:tabs>
      <w:jc w:val="right"/>
    </w:pPr>
    <w:rPr>
      <w:rFonts w:ascii="Franklin Gothic Book" w:hAnsi="Franklin Gothic Book"/>
      <w:caps/>
      <w:spacing w:val="12"/>
      <w:sz w:val="20"/>
      <w:szCs w:val="20"/>
    </w:rPr>
  </w:style>
  <w:style w:type="character" w:customStyle="1" w:styleId="HeaderChar">
    <w:name w:val="Header Char"/>
    <w:basedOn w:val="DefaultParagraphFont"/>
    <w:link w:val="Header"/>
    <w:uiPriority w:val="99"/>
    <w:rsid w:val="009520B5"/>
    <w:rPr>
      <w:rFonts w:ascii="Franklin Gothic Book" w:hAnsi="Franklin Gothic Book"/>
      <w:caps/>
      <w:spacing w:val="12"/>
      <w:sz w:val="20"/>
      <w:szCs w:val="20"/>
      <w:lang w:eastAsia="ja-JP"/>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ORP Footnote,Car"/>
    <w:basedOn w:val="Normal"/>
    <w:link w:val="FootnoteTextChar"/>
    <w:unhideWhenUsed/>
    <w:qFormat/>
    <w:rsid w:val="009520B5"/>
    <w:pPr>
      <w:spacing w:before="120" w:after="120" w:line="280" w:lineRule="exact"/>
      <w:ind w:left="360" w:hanging="360"/>
    </w:pPr>
    <w:rPr>
      <w:sz w:val="22"/>
    </w:rPr>
  </w:style>
  <w:style w:type="character" w:customStyle="1" w:styleId="FootnoteTextChar">
    <w:name w:val="Footnote Text Char"/>
    <w:aliases w:val="fn Char1,ft Char1,Footnote Text Char Char Char Char Char Char Char Char Char Char Char Char Char Char Char Char Char Char1,ORP Footnote Char1,Car Char"/>
    <w:basedOn w:val="DefaultParagraphFont"/>
    <w:link w:val="FootnoteText"/>
    <w:rsid w:val="009520B5"/>
    <w:rPr>
      <w:rFonts w:ascii="Calisto MT" w:hAnsi="Calisto MT"/>
      <w:szCs w:val="24"/>
      <w:lang w:eastAsia="ja-JP"/>
    </w:rPr>
  </w:style>
  <w:style w:type="character" w:styleId="FootnoteReference">
    <w:name w:val="footnote reference"/>
    <w:aliases w:val="fr,Style 19,Style 16,Style 39,Style 14,Style 35,12,Style 6,Footnote Text Char Char Char Char Cha,Footnote Reference Superscript,SUPERS,BVI fnr,Footnote symbol,Footnote,(Footnote Reference),Footnote reference number,note TESI"/>
    <w:basedOn w:val="DefaultParagraphFont"/>
    <w:uiPriority w:val="99"/>
    <w:unhideWhenUsed/>
    <w:qFormat/>
    <w:rsid w:val="009520B5"/>
    <w:rPr>
      <w:vertAlign w:val="superscript"/>
    </w:rPr>
  </w:style>
  <w:style w:type="character" w:styleId="Hyperlink">
    <w:name w:val="Hyperlink"/>
    <w:basedOn w:val="DefaultParagraphFont"/>
    <w:uiPriority w:val="99"/>
    <w:unhideWhenUsed/>
    <w:rsid w:val="009520B5"/>
    <w:rPr>
      <w:rFonts w:ascii="Times New Roman" w:hAnsi="Times New Roman"/>
      <w:color w:val="auto"/>
      <w:sz w:val="24"/>
      <w:u w:val="none"/>
    </w:rPr>
  </w:style>
  <w:style w:type="paragraph" w:styleId="Title">
    <w:name w:val="Title"/>
    <w:basedOn w:val="Normal"/>
    <w:next w:val="Normal"/>
    <w:link w:val="TitleChar"/>
    <w:uiPriority w:val="10"/>
    <w:qFormat/>
    <w:rsid w:val="009520B5"/>
    <w:pPr>
      <w:jc w:val="center"/>
    </w:pPr>
    <w:rPr>
      <w:b/>
      <w:caps/>
      <w:spacing w:val="12"/>
    </w:rPr>
  </w:style>
  <w:style w:type="character" w:customStyle="1" w:styleId="TitleChar">
    <w:name w:val="Title Char"/>
    <w:basedOn w:val="DefaultParagraphFont"/>
    <w:link w:val="Title"/>
    <w:uiPriority w:val="10"/>
    <w:rsid w:val="009520B5"/>
    <w:rPr>
      <w:rFonts w:ascii="Calisto MT" w:hAnsi="Calisto MT"/>
      <w:b/>
      <w:caps/>
      <w:spacing w:val="12"/>
      <w:sz w:val="24"/>
      <w:szCs w:val="24"/>
      <w:lang w:eastAsia="ja-JP"/>
    </w:rPr>
  </w:style>
  <w:style w:type="paragraph" w:styleId="Subtitle">
    <w:name w:val="Subtitle"/>
    <w:basedOn w:val="Title"/>
    <w:next w:val="Normal"/>
    <w:link w:val="SubtitleChar"/>
    <w:uiPriority w:val="11"/>
    <w:qFormat/>
    <w:rsid w:val="009520B5"/>
    <w:pPr>
      <w:spacing w:after="240"/>
    </w:pPr>
    <w:rPr>
      <w:bCs/>
      <w:caps w:val="0"/>
      <w:spacing w:val="0"/>
    </w:rPr>
  </w:style>
  <w:style w:type="character" w:customStyle="1" w:styleId="SubtitleChar">
    <w:name w:val="Subtitle Char"/>
    <w:basedOn w:val="DefaultParagraphFont"/>
    <w:link w:val="Subtitle"/>
    <w:uiPriority w:val="11"/>
    <w:rsid w:val="009520B5"/>
    <w:rPr>
      <w:rFonts w:ascii="Calisto MT" w:hAnsi="Calisto MT"/>
      <w:b/>
      <w:bCs/>
      <w:sz w:val="24"/>
      <w:szCs w:val="24"/>
      <w:lang w:eastAsia="ja-JP"/>
    </w:rPr>
  </w:style>
  <w:style w:type="paragraph" w:styleId="BodyText">
    <w:name w:val="Body Text"/>
    <w:basedOn w:val="Normal"/>
    <w:link w:val="BodyTextChar"/>
    <w:uiPriority w:val="99"/>
    <w:unhideWhenUsed/>
    <w:rsid w:val="009520B5"/>
    <w:pPr>
      <w:spacing w:before="120" w:after="120"/>
      <w:ind w:firstLine="360"/>
    </w:pPr>
  </w:style>
  <w:style w:type="character" w:customStyle="1" w:styleId="BodyTextChar">
    <w:name w:val="Body Text Char"/>
    <w:basedOn w:val="DefaultParagraphFont"/>
    <w:link w:val="BodyText"/>
    <w:uiPriority w:val="99"/>
    <w:rsid w:val="009520B5"/>
    <w:rPr>
      <w:rFonts w:ascii="Calisto MT" w:hAnsi="Calisto MT"/>
      <w:sz w:val="24"/>
      <w:szCs w:val="24"/>
      <w:lang w:eastAsia="ja-JP"/>
    </w:rPr>
  </w:style>
  <w:style w:type="character" w:styleId="PageNumber">
    <w:name w:val="page number"/>
    <w:basedOn w:val="DefaultParagraphFont"/>
    <w:uiPriority w:val="99"/>
    <w:semiHidden/>
    <w:unhideWhenUsed/>
    <w:rsid w:val="009520B5"/>
  </w:style>
  <w:style w:type="character" w:customStyle="1" w:styleId="FootnoteTextChar1">
    <w:name w:val="Footnote Text Char1"/>
    <w:aliases w:val="fn Char,ft Char,Footnote Text Char Char Char Char Char Char Char Char Char Char Char Char Char Char Char Char Char Char,ORP Footnote Char,Car Char1"/>
    <w:basedOn w:val="DefaultParagraphFont"/>
    <w:rsid w:val="00786390"/>
    <w:rPr>
      <w:rFonts w:ascii="Times New Roman" w:eastAsia="Times New Roman" w:hAnsi="Times New Roman" w:cs="Times New Roman"/>
      <w:sz w:val="20"/>
    </w:rPr>
  </w:style>
  <w:style w:type="paragraph" w:styleId="ListParagraph">
    <w:name w:val="List Paragraph"/>
    <w:basedOn w:val="Normal"/>
    <w:uiPriority w:val="34"/>
    <w:qFormat/>
    <w:rsid w:val="00786390"/>
    <w:pPr>
      <w:ind w:left="720"/>
      <w:contextualSpacing/>
    </w:pPr>
  </w:style>
  <w:style w:type="paragraph" w:styleId="BalloonText">
    <w:name w:val="Balloon Text"/>
    <w:basedOn w:val="Normal"/>
    <w:link w:val="BalloonTextChar"/>
    <w:uiPriority w:val="99"/>
    <w:semiHidden/>
    <w:unhideWhenUsed/>
    <w:rsid w:val="001175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5EC"/>
    <w:rPr>
      <w:rFonts w:ascii="Tahoma" w:hAnsi="Tahoma" w:cs="Tahoma"/>
      <w:sz w:val="16"/>
      <w:szCs w:val="16"/>
      <w:lang w:eastAsia="ja-JP"/>
    </w:rPr>
  </w:style>
  <w:style w:type="character" w:styleId="CommentReference">
    <w:name w:val="annotation reference"/>
    <w:basedOn w:val="DefaultParagraphFont"/>
    <w:uiPriority w:val="99"/>
    <w:unhideWhenUsed/>
    <w:rsid w:val="00BC0BA0"/>
    <w:rPr>
      <w:sz w:val="16"/>
      <w:szCs w:val="16"/>
    </w:rPr>
  </w:style>
  <w:style w:type="paragraph" w:styleId="CommentText">
    <w:name w:val="annotation text"/>
    <w:basedOn w:val="Normal"/>
    <w:link w:val="CommentTextChar"/>
    <w:unhideWhenUsed/>
    <w:rsid w:val="00BC0BA0"/>
    <w:pPr>
      <w:spacing w:line="240" w:lineRule="auto"/>
    </w:pPr>
    <w:rPr>
      <w:sz w:val="20"/>
      <w:szCs w:val="20"/>
    </w:rPr>
  </w:style>
  <w:style w:type="character" w:customStyle="1" w:styleId="CommentTextChar">
    <w:name w:val="Comment Text Char"/>
    <w:basedOn w:val="DefaultParagraphFont"/>
    <w:link w:val="CommentText"/>
    <w:rsid w:val="00BC0BA0"/>
    <w:rPr>
      <w:rFonts w:ascii="Calisto MT" w:hAnsi="Calisto MT"/>
      <w:sz w:val="20"/>
      <w:szCs w:val="20"/>
      <w:lang w:eastAsia="ja-JP"/>
    </w:rPr>
  </w:style>
  <w:style w:type="paragraph" w:styleId="CommentSubject">
    <w:name w:val="annotation subject"/>
    <w:basedOn w:val="CommentText"/>
    <w:next w:val="CommentText"/>
    <w:link w:val="CommentSubjectChar"/>
    <w:uiPriority w:val="99"/>
    <w:semiHidden/>
    <w:unhideWhenUsed/>
    <w:rsid w:val="00BC0BA0"/>
    <w:rPr>
      <w:b/>
      <w:bCs/>
    </w:rPr>
  </w:style>
  <w:style w:type="character" w:customStyle="1" w:styleId="CommentSubjectChar">
    <w:name w:val="Comment Subject Char"/>
    <w:basedOn w:val="CommentTextChar"/>
    <w:link w:val="CommentSubject"/>
    <w:uiPriority w:val="99"/>
    <w:semiHidden/>
    <w:rsid w:val="00BC0BA0"/>
    <w:rPr>
      <w:rFonts w:ascii="Calisto MT" w:hAnsi="Calisto MT"/>
      <w:b/>
      <w:bCs/>
      <w:sz w:val="20"/>
      <w:szCs w:val="20"/>
      <w:lang w:eastAsia="ja-JP"/>
    </w:rPr>
  </w:style>
  <w:style w:type="paragraph" w:customStyle="1" w:styleId="ReleaseBodyText">
    <w:name w:val="Release Body Text"/>
    <w:basedOn w:val="Normal"/>
    <w:qFormat/>
    <w:rsid w:val="00BC0BA0"/>
    <w:pPr>
      <w:spacing w:line="480" w:lineRule="auto"/>
      <w:ind w:firstLine="720"/>
    </w:pPr>
    <w:rPr>
      <w:rFonts w:ascii="Times New Roman" w:hAnsi="Times New Roman" w:cs="Times New Roman"/>
      <w:lang w:eastAsia="en-US"/>
    </w:rPr>
  </w:style>
  <w:style w:type="paragraph" w:customStyle="1" w:styleId="FootnoteText1">
    <w:name w:val="Footnote Text1"/>
    <w:basedOn w:val="FootnoteText"/>
    <w:link w:val="footnotetextChar0"/>
    <w:qFormat/>
    <w:rsid w:val="001055AB"/>
    <w:pPr>
      <w:widowControl w:val="0"/>
      <w:tabs>
        <w:tab w:val="left" w:pos="720"/>
      </w:tabs>
      <w:suppressAutoHyphens/>
      <w:overflowPunct w:val="0"/>
      <w:autoSpaceDE w:val="0"/>
      <w:autoSpaceDN w:val="0"/>
      <w:adjustRightInd w:val="0"/>
      <w:spacing w:before="0" w:line="240" w:lineRule="auto"/>
      <w:ind w:left="720" w:hanging="720"/>
      <w:textAlignment w:val="baseline"/>
    </w:pPr>
    <w:rPr>
      <w:rFonts w:ascii="Times New Roman" w:eastAsia="Times New Roman" w:hAnsi="Times New Roman" w:cs="Times New Roman"/>
      <w:sz w:val="20"/>
      <w:lang w:eastAsia="en-US"/>
    </w:rPr>
  </w:style>
  <w:style w:type="character" w:customStyle="1" w:styleId="footnotetextChar0">
    <w:name w:val="footnote text Char"/>
    <w:basedOn w:val="FootnoteTextChar1"/>
    <w:link w:val="FootnoteText1"/>
    <w:rsid w:val="001055AB"/>
    <w:rPr>
      <w:rFonts w:ascii="Times New Roman" w:eastAsia="Times New Roman" w:hAnsi="Times New Roman" w:cs="Times New Roman"/>
      <w:sz w:val="20"/>
      <w:szCs w:val="24"/>
    </w:rPr>
  </w:style>
  <w:style w:type="paragraph" w:styleId="Revision">
    <w:name w:val="Revision"/>
    <w:hidden/>
    <w:uiPriority w:val="99"/>
    <w:semiHidden/>
    <w:rsid w:val="002B1DC4"/>
    <w:pPr>
      <w:spacing w:after="0" w:line="240" w:lineRule="auto"/>
    </w:pPr>
    <w:rPr>
      <w:rFonts w:ascii="Calisto MT" w:hAnsi="Calisto MT"/>
      <w:sz w:val="24"/>
      <w:szCs w:val="24"/>
      <w:lang w:eastAsia="ja-JP"/>
    </w:rPr>
  </w:style>
  <w:style w:type="paragraph" w:styleId="PlainText">
    <w:name w:val="Plain Text"/>
    <w:basedOn w:val="Normal"/>
    <w:link w:val="PlainTextChar"/>
    <w:uiPriority w:val="99"/>
    <w:rsid w:val="00CE33C4"/>
    <w:pPr>
      <w:spacing w:line="240" w:lineRule="auto"/>
    </w:pPr>
    <w:rPr>
      <w:rFonts w:ascii="Consolas" w:eastAsia="Calibri" w:hAnsi="Consolas" w:cs="Consolas"/>
      <w:color w:val="000000"/>
      <w:sz w:val="21"/>
      <w:szCs w:val="21"/>
      <w:lang w:eastAsia="en-US"/>
    </w:rPr>
  </w:style>
  <w:style w:type="character" w:customStyle="1" w:styleId="PlainTextChar">
    <w:name w:val="Plain Text Char"/>
    <w:basedOn w:val="DefaultParagraphFont"/>
    <w:link w:val="PlainText"/>
    <w:uiPriority w:val="99"/>
    <w:rsid w:val="00CE33C4"/>
    <w:rPr>
      <w:rFonts w:ascii="Consolas" w:eastAsia="Calibri" w:hAnsi="Consolas" w:cs="Consolas"/>
      <w:color w:val="000000"/>
      <w:sz w:val="21"/>
      <w:szCs w:val="21"/>
    </w:rPr>
  </w:style>
  <w:style w:type="paragraph" w:customStyle="1" w:styleId="RegTextPartHeading">
    <w:name w:val="Reg. Text Part Heading"/>
    <w:basedOn w:val="Normal"/>
    <w:qFormat/>
    <w:rsid w:val="00AE484F"/>
    <w:pPr>
      <w:keepNext/>
      <w:spacing w:after="240" w:line="240" w:lineRule="auto"/>
    </w:pPr>
    <w:rPr>
      <w:rFonts w:ascii="Times New Roman" w:eastAsiaTheme="minorEastAsia" w:hAnsi="Times New Roman"/>
      <w:b/>
      <w:bCs/>
      <w:caps/>
      <w:spacing w:val="12"/>
    </w:rPr>
  </w:style>
  <w:style w:type="paragraph" w:customStyle="1" w:styleId="GoodFootnote">
    <w:name w:val="Good Footnote"/>
    <w:basedOn w:val="FootnoteText"/>
    <w:qFormat/>
    <w:rsid w:val="00AE484F"/>
    <w:pPr>
      <w:widowControl w:val="0"/>
      <w:spacing w:before="0" w:line="240" w:lineRule="auto"/>
      <w:ind w:left="720" w:hanging="720"/>
    </w:pPr>
    <w:rPr>
      <w:rFonts w:ascii="Times New Roman" w:eastAsia="Times New Roman" w:hAnsi="Times New Roman" w:cs="Times New Roman"/>
      <w:sz w:val="20"/>
      <w:szCs w:val="20"/>
      <w:lang w:eastAsia="en-US"/>
    </w:rPr>
  </w:style>
  <w:style w:type="paragraph" w:styleId="NormalWeb">
    <w:name w:val="Normal (Web)"/>
    <w:basedOn w:val="Normal"/>
    <w:uiPriority w:val="99"/>
    <w:semiHidden/>
    <w:unhideWhenUsed/>
    <w:rsid w:val="00E82C12"/>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883017">
      <w:bodyDiv w:val="1"/>
      <w:marLeft w:val="0"/>
      <w:marRight w:val="0"/>
      <w:marTop w:val="0"/>
      <w:marBottom w:val="0"/>
      <w:divBdr>
        <w:top w:val="none" w:sz="0" w:space="0" w:color="auto"/>
        <w:left w:val="none" w:sz="0" w:space="0" w:color="auto"/>
        <w:bottom w:val="none" w:sz="0" w:space="0" w:color="auto"/>
        <w:right w:val="none" w:sz="0" w:space="0" w:color="auto"/>
      </w:divBdr>
    </w:div>
    <w:div w:id="453255385">
      <w:bodyDiv w:val="1"/>
      <w:marLeft w:val="0"/>
      <w:marRight w:val="0"/>
      <w:marTop w:val="0"/>
      <w:marBottom w:val="0"/>
      <w:divBdr>
        <w:top w:val="none" w:sz="0" w:space="0" w:color="auto"/>
        <w:left w:val="none" w:sz="0" w:space="0" w:color="auto"/>
        <w:bottom w:val="none" w:sz="0" w:space="0" w:color="auto"/>
        <w:right w:val="none" w:sz="0" w:space="0" w:color="auto"/>
      </w:divBdr>
    </w:div>
    <w:div w:id="939532492">
      <w:bodyDiv w:val="1"/>
      <w:marLeft w:val="0"/>
      <w:marRight w:val="0"/>
      <w:marTop w:val="0"/>
      <w:marBottom w:val="0"/>
      <w:divBdr>
        <w:top w:val="none" w:sz="0" w:space="0" w:color="auto"/>
        <w:left w:val="none" w:sz="0" w:space="0" w:color="auto"/>
        <w:bottom w:val="none" w:sz="0" w:space="0" w:color="auto"/>
        <w:right w:val="none" w:sz="0" w:space="0" w:color="auto"/>
      </w:divBdr>
    </w:div>
    <w:div w:id="1059287363">
      <w:bodyDiv w:val="1"/>
      <w:marLeft w:val="0"/>
      <w:marRight w:val="0"/>
      <w:marTop w:val="0"/>
      <w:marBottom w:val="0"/>
      <w:divBdr>
        <w:top w:val="none" w:sz="0" w:space="0" w:color="auto"/>
        <w:left w:val="none" w:sz="0" w:space="0" w:color="auto"/>
        <w:bottom w:val="none" w:sz="0" w:space="0" w:color="auto"/>
        <w:right w:val="none" w:sz="0" w:space="0" w:color="auto"/>
      </w:divBdr>
    </w:div>
    <w:div w:id="1131248322">
      <w:bodyDiv w:val="1"/>
      <w:marLeft w:val="0"/>
      <w:marRight w:val="0"/>
      <w:marTop w:val="0"/>
      <w:marBottom w:val="0"/>
      <w:divBdr>
        <w:top w:val="none" w:sz="0" w:space="0" w:color="auto"/>
        <w:left w:val="none" w:sz="0" w:space="0" w:color="auto"/>
        <w:bottom w:val="none" w:sz="0" w:space="0" w:color="auto"/>
        <w:right w:val="none" w:sz="0" w:space="0" w:color="auto"/>
      </w:divBdr>
    </w:div>
    <w:div w:id="132284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763A6-026D-4DDA-B35F-E3CBC9C3C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2730</Words>
  <Characters>15563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18257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Nixon, Naseem</dc:creator>
  <cp:lastModifiedBy>SYSTEM</cp:lastModifiedBy>
  <cp:revision>2</cp:revision>
  <cp:lastPrinted>2015-12-30T20:23:00Z</cp:lastPrinted>
  <dcterms:created xsi:type="dcterms:W3CDTF">2019-05-15T19:10:00Z</dcterms:created>
  <dcterms:modified xsi:type="dcterms:W3CDTF">2019-05-15T19:10:00Z</dcterms:modified>
</cp:coreProperties>
</file>