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D29C1" w14:textId="77777777" w:rsidR="0078645D" w:rsidRDefault="0078645D" w:rsidP="0078645D">
      <w:pPr>
        <w:spacing w:line="240" w:lineRule="auto"/>
        <w:jc w:val="center"/>
        <w:rPr>
          <w:b/>
          <w:sz w:val="40"/>
          <w:szCs w:val="40"/>
        </w:rPr>
      </w:pPr>
      <w:bookmarkStart w:id="0" w:name="_GoBack"/>
      <w:bookmarkEnd w:id="0"/>
    </w:p>
    <w:p w14:paraId="5587948C" w14:textId="77777777" w:rsidR="0078645D" w:rsidRPr="0078645D" w:rsidRDefault="0078645D" w:rsidP="0078645D">
      <w:pPr>
        <w:spacing w:line="240" w:lineRule="auto"/>
        <w:jc w:val="center"/>
        <w:rPr>
          <w:b/>
          <w:sz w:val="40"/>
          <w:szCs w:val="40"/>
        </w:rPr>
      </w:pPr>
      <w:r w:rsidRPr="0078645D">
        <w:rPr>
          <w:b/>
          <w:sz w:val="40"/>
          <w:szCs w:val="40"/>
        </w:rPr>
        <w:t>Part 3</w:t>
      </w:r>
    </w:p>
    <w:p w14:paraId="4D5AAAFB" w14:textId="77777777" w:rsidR="0078645D" w:rsidRPr="0078645D" w:rsidRDefault="0078645D" w:rsidP="0078645D">
      <w:pPr>
        <w:spacing w:line="240" w:lineRule="auto"/>
        <w:rPr>
          <w:b/>
        </w:rPr>
      </w:pPr>
    </w:p>
    <w:p w14:paraId="2A5E3D25" w14:textId="77777777" w:rsidR="0078645D" w:rsidRPr="0078645D" w:rsidRDefault="0078645D" w:rsidP="0078645D">
      <w:pPr>
        <w:spacing w:line="240" w:lineRule="auto"/>
        <w:rPr>
          <w:b/>
        </w:rPr>
      </w:pPr>
    </w:p>
    <w:p w14:paraId="7C5C85BC" w14:textId="77777777" w:rsidR="0078645D" w:rsidRPr="0078645D" w:rsidRDefault="0078645D" w:rsidP="0078645D">
      <w:pPr>
        <w:spacing w:line="240" w:lineRule="auto"/>
        <w:rPr>
          <w:b/>
        </w:rPr>
      </w:pPr>
    </w:p>
    <w:p w14:paraId="04838093" w14:textId="77777777" w:rsidR="0078645D" w:rsidRPr="0078645D" w:rsidRDefault="0078645D" w:rsidP="0078645D">
      <w:pPr>
        <w:spacing w:line="240" w:lineRule="auto"/>
        <w:rPr>
          <w:b/>
        </w:rPr>
      </w:pPr>
    </w:p>
    <w:p w14:paraId="43E843DF" w14:textId="77777777" w:rsidR="0078645D" w:rsidRPr="0078645D" w:rsidRDefault="0078645D" w:rsidP="0078645D">
      <w:pPr>
        <w:spacing w:line="240" w:lineRule="auto"/>
        <w:jc w:val="center"/>
        <w:rPr>
          <w:b/>
          <w:sz w:val="40"/>
          <w:szCs w:val="40"/>
        </w:rPr>
      </w:pPr>
      <w:r w:rsidRPr="0078645D">
        <w:rPr>
          <w:b/>
          <w:sz w:val="40"/>
          <w:szCs w:val="40"/>
        </w:rPr>
        <w:t xml:space="preserve">Medical Use Questions and Answers </w:t>
      </w:r>
    </w:p>
    <w:p w14:paraId="40808BE4" w14:textId="77777777" w:rsidR="0078645D" w:rsidRPr="0078645D" w:rsidRDefault="0078645D" w:rsidP="0078645D">
      <w:pPr>
        <w:spacing w:line="240" w:lineRule="auto"/>
        <w:jc w:val="center"/>
        <w:rPr>
          <w:rFonts w:eastAsiaTheme="minorEastAsia"/>
          <w:b/>
          <w:sz w:val="48"/>
          <w:szCs w:val="48"/>
        </w:rPr>
      </w:pPr>
      <w:r w:rsidRPr="0078645D">
        <w:rPr>
          <w:b/>
          <w:sz w:val="40"/>
          <w:szCs w:val="40"/>
        </w:rPr>
        <w:t xml:space="preserve">For the Final </w:t>
      </w:r>
      <w:r w:rsidRPr="0078645D">
        <w:rPr>
          <w:rFonts w:eastAsiaTheme="minorEastAsia"/>
          <w:b/>
          <w:sz w:val="40"/>
          <w:szCs w:val="40"/>
        </w:rPr>
        <w:t>Rule “Medical Use of Byproduct Material - Medical Event Definitions, Training and Experience, and Clarifying Amendments</w:t>
      </w:r>
      <w:r w:rsidRPr="0078645D">
        <w:rPr>
          <w:rFonts w:eastAsiaTheme="minorEastAsia"/>
          <w:b/>
          <w:sz w:val="48"/>
          <w:szCs w:val="48"/>
        </w:rPr>
        <w:t>”</w:t>
      </w:r>
    </w:p>
    <w:p w14:paraId="1E83876A" w14:textId="77777777" w:rsidR="0078645D" w:rsidRPr="0078645D" w:rsidRDefault="0078645D" w:rsidP="0078645D">
      <w:pPr>
        <w:spacing w:line="240" w:lineRule="auto"/>
        <w:jc w:val="center"/>
        <w:rPr>
          <w:b/>
          <w:sz w:val="40"/>
          <w:szCs w:val="40"/>
        </w:rPr>
      </w:pPr>
    </w:p>
    <w:p w14:paraId="36EEC254" w14:textId="77777777" w:rsidR="0078645D" w:rsidRPr="0078645D" w:rsidRDefault="0078645D" w:rsidP="0078645D">
      <w:pPr>
        <w:spacing w:after="200" w:line="240" w:lineRule="auto"/>
      </w:pPr>
      <w:r w:rsidRPr="0078645D">
        <w:br w:type="page"/>
      </w:r>
    </w:p>
    <w:p w14:paraId="00A1DBAC" w14:textId="77777777" w:rsidR="0078645D" w:rsidRPr="0078645D" w:rsidRDefault="0078645D" w:rsidP="0078645D">
      <w:pPr>
        <w:tabs>
          <w:tab w:val="left" w:pos="360"/>
          <w:tab w:val="left" w:pos="720"/>
          <w:tab w:val="left" w:pos="1080"/>
        </w:tabs>
        <w:spacing w:line="240" w:lineRule="auto"/>
        <w:sectPr w:rsidR="0078645D" w:rsidRPr="0078645D" w:rsidSect="0078645D">
          <w:headerReference w:type="default" r:id="rId9"/>
          <w:footerReference w:type="default" r:id="rId10"/>
          <w:pgSz w:w="12240" w:h="15840"/>
          <w:pgMar w:top="1440" w:right="1440" w:bottom="1440" w:left="1440" w:header="720" w:footer="720" w:gutter="0"/>
          <w:pgNumType w:start="0"/>
          <w:cols w:space="720"/>
          <w:titlePg/>
          <w:docGrid w:linePitch="360"/>
        </w:sectPr>
      </w:pPr>
    </w:p>
    <w:p w14:paraId="5C751014" w14:textId="77777777" w:rsidR="0078645D" w:rsidRPr="0078645D" w:rsidRDefault="0078645D" w:rsidP="0078645D">
      <w:pPr>
        <w:tabs>
          <w:tab w:val="left" w:pos="360"/>
          <w:tab w:val="left" w:pos="720"/>
          <w:tab w:val="left" w:pos="1080"/>
        </w:tabs>
        <w:spacing w:line="240" w:lineRule="auto"/>
      </w:pPr>
    </w:p>
    <w:p w14:paraId="11F6AAC2" w14:textId="77777777" w:rsidR="0078645D" w:rsidRDefault="0078645D" w:rsidP="0078645D">
      <w:pPr>
        <w:tabs>
          <w:tab w:val="left" w:pos="360"/>
          <w:tab w:val="left" w:pos="720"/>
          <w:tab w:val="left" w:pos="1080"/>
        </w:tabs>
        <w:spacing w:line="240" w:lineRule="auto"/>
        <w:rPr>
          <w:b/>
          <w:bCs/>
        </w:rPr>
      </w:pPr>
    </w:p>
    <w:p w14:paraId="3F018B1A" w14:textId="77777777" w:rsidR="0078645D" w:rsidRDefault="0078645D" w:rsidP="0078645D">
      <w:pPr>
        <w:tabs>
          <w:tab w:val="left" w:pos="360"/>
          <w:tab w:val="left" w:pos="720"/>
          <w:tab w:val="left" w:pos="1080"/>
        </w:tabs>
        <w:spacing w:line="240" w:lineRule="auto"/>
        <w:rPr>
          <w:b/>
          <w:bCs/>
        </w:rPr>
      </w:pPr>
    </w:p>
    <w:p w14:paraId="394227E2" w14:textId="77777777" w:rsidR="0078645D" w:rsidRDefault="0078645D" w:rsidP="0078645D">
      <w:pPr>
        <w:tabs>
          <w:tab w:val="left" w:pos="360"/>
          <w:tab w:val="left" w:pos="720"/>
          <w:tab w:val="left" w:pos="1080"/>
        </w:tabs>
        <w:spacing w:line="240" w:lineRule="auto"/>
        <w:rPr>
          <w:b/>
          <w:bCs/>
        </w:rPr>
      </w:pPr>
    </w:p>
    <w:p w14:paraId="3A00CEDC" w14:textId="77777777" w:rsidR="0078645D" w:rsidRDefault="0078645D" w:rsidP="0078645D">
      <w:pPr>
        <w:tabs>
          <w:tab w:val="left" w:pos="360"/>
          <w:tab w:val="left" w:pos="720"/>
          <w:tab w:val="left" w:pos="1080"/>
        </w:tabs>
        <w:spacing w:line="240" w:lineRule="auto"/>
        <w:rPr>
          <w:b/>
          <w:bCs/>
        </w:rPr>
      </w:pPr>
    </w:p>
    <w:p w14:paraId="4C0CABE2" w14:textId="77777777" w:rsidR="0078645D" w:rsidRDefault="0078645D" w:rsidP="0078645D">
      <w:pPr>
        <w:tabs>
          <w:tab w:val="left" w:pos="360"/>
          <w:tab w:val="left" w:pos="720"/>
          <w:tab w:val="left" w:pos="1080"/>
        </w:tabs>
        <w:spacing w:line="240" w:lineRule="auto"/>
        <w:rPr>
          <w:b/>
          <w:bCs/>
        </w:rPr>
      </w:pPr>
    </w:p>
    <w:p w14:paraId="1D2ACE67" w14:textId="77777777" w:rsidR="0078645D" w:rsidRDefault="0078645D" w:rsidP="0078645D">
      <w:pPr>
        <w:tabs>
          <w:tab w:val="left" w:pos="360"/>
          <w:tab w:val="left" w:pos="720"/>
          <w:tab w:val="left" w:pos="1080"/>
        </w:tabs>
        <w:spacing w:line="240" w:lineRule="auto"/>
        <w:rPr>
          <w:b/>
          <w:bCs/>
        </w:rPr>
      </w:pPr>
    </w:p>
    <w:p w14:paraId="0E3CFBF8" w14:textId="77777777" w:rsidR="0078645D" w:rsidRDefault="0078645D" w:rsidP="0078645D">
      <w:pPr>
        <w:tabs>
          <w:tab w:val="left" w:pos="360"/>
          <w:tab w:val="left" w:pos="720"/>
          <w:tab w:val="left" w:pos="1080"/>
        </w:tabs>
        <w:spacing w:line="240" w:lineRule="auto"/>
        <w:rPr>
          <w:b/>
          <w:bCs/>
        </w:rPr>
      </w:pPr>
    </w:p>
    <w:p w14:paraId="549B158F" w14:textId="77777777" w:rsidR="0078645D" w:rsidRDefault="0078645D" w:rsidP="0078645D">
      <w:pPr>
        <w:tabs>
          <w:tab w:val="left" w:pos="360"/>
          <w:tab w:val="left" w:pos="720"/>
          <w:tab w:val="left" w:pos="1080"/>
        </w:tabs>
        <w:spacing w:line="240" w:lineRule="auto"/>
        <w:rPr>
          <w:b/>
          <w:bCs/>
        </w:rPr>
      </w:pPr>
    </w:p>
    <w:p w14:paraId="5C96FF31" w14:textId="77777777" w:rsidR="0078645D" w:rsidRDefault="0078645D" w:rsidP="0078645D">
      <w:pPr>
        <w:tabs>
          <w:tab w:val="left" w:pos="360"/>
          <w:tab w:val="left" w:pos="720"/>
          <w:tab w:val="left" w:pos="1080"/>
        </w:tabs>
        <w:spacing w:line="240" w:lineRule="auto"/>
        <w:rPr>
          <w:b/>
          <w:bCs/>
        </w:rPr>
      </w:pPr>
    </w:p>
    <w:p w14:paraId="27C8D863" w14:textId="77777777" w:rsidR="0078645D" w:rsidRDefault="0078645D" w:rsidP="0078645D">
      <w:pPr>
        <w:tabs>
          <w:tab w:val="left" w:pos="360"/>
          <w:tab w:val="left" w:pos="720"/>
          <w:tab w:val="left" w:pos="1080"/>
        </w:tabs>
        <w:spacing w:line="240" w:lineRule="auto"/>
        <w:rPr>
          <w:b/>
          <w:bCs/>
        </w:rPr>
      </w:pPr>
    </w:p>
    <w:p w14:paraId="5F2222C8" w14:textId="77777777" w:rsidR="0078645D" w:rsidRDefault="0078645D" w:rsidP="0078645D">
      <w:pPr>
        <w:tabs>
          <w:tab w:val="left" w:pos="360"/>
          <w:tab w:val="left" w:pos="720"/>
          <w:tab w:val="left" w:pos="1080"/>
        </w:tabs>
        <w:spacing w:line="240" w:lineRule="auto"/>
        <w:rPr>
          <w:b/>
          <w:bCs/>
        </w:rPr>
      </w:pPr>
    </w:p>
    <w:p w14:paraId="3B9D442C" w14:textId="77777777" w:rsidR="0078645D" w:rsidRDefault="0078645D" w:rsidP="0078645D">
      <w:pPr>
        <w:tabs>
          <w:tab w:val="left" w:pos="360"/>
          <w:tab w:val="left" w:pos="720"/>
          <w:tab w:val="left" w:pos="1080"/>
        </w:tabs>
        <w:spacing w:line="240" w:lineRule="auto"/>
        <w:rPr>
          <w:b/>
          <w:bCs/>
        </w:rPr>
      </w:pPr>
    </w:p>
    <w:p w14:paraId="1B4D2CF2" w14:textId="77777777" w:rsidR="0078645D" w:rsidRDefault="0078645D" w:rsidP="0078645D">
      <w:pPr>
        <w:tabs>
          <w:tab w:val="left" w:pos="360"/>
          <w:tab w:val="left" w:pos="720"/>
          <w:tab w:val="left" w:pos="1080"/>
        </w:tabs>
        <w:spacing w:line="240" w:lineRule="auto"/>
        <w:rPr>
          <w:b/>
          <w:bCs/>
        </w:rPr>
      </w:pPr>
    </w:p>
    <w:p w14:paraId="7AC1F509" w14:textId="77777777" w:rsidR="0078645D" w:rsidRDefault="0078645D" w:rsidP="0078645D">
      <w:pPr>
        <w:tabs>
          <w:tab w:val="left" w:pos="360"/>
          <w:tab w:val="left" w:pos="720"/>
          <w:tab w:val="left" w:pos="1080"/>
        </w:tabs>
        <w:spacing w:line="240" w:lineRule="auto"/>
        <w:rPr>
          <w:b/>
          <w:bCs/>
        </w:rPr>
      </w:pPr>
    </w:p>
    <w:p w14:paraId="7DE25227" w14:textId="77777777" w:rsidR="0078645D" w:rsidRDefault="0078645D" w:rsidP="0078645D">
      <w:pPr>
        <w:tabs>
          <w:tab w:val="left" w:pos="360"/>
          <w:tab w:val="left" w:pos="720"/>
          <w:tab w:val="left" w:pos="1080"/>
        </w:tabs>
        <w:spacing w:line="240" w:lineRule="auto"/>
        <w:rPr>
          <w:b/>
          <w:bCs/>
        </w:rPr>
      </w:pPr>
    </w:p>
    <w:p w14:paraId="6E7693FB" w14:textId="77777777" w:rsidR="0078645D" w:rsidRDefault="0078645D" w:rsidP="0078645D">
      <w:pPr>
        <w:tabs>
          <w:tab w:val="left" w:pos="360"/>
          <w:tab w:val="left" w:pos="720"/>
          <w:tab w:val="left" w:pos="1080"/>
        </w:tabs>
        <w:spacing w:line="240" w:lineRule="auto"/>
        <w:rPr>
          <w:b/>
          <w:bCs/>
        </w:rPr>
      </w:pPr>
    </w:p>
    <w:p w14:paraId="56180117" w14:textId="77777777" w:rsidR="0078645D" w:rsidRDefault="0078645D" w:rsidP="0078645D">
      <w:pPr>
        <w:tabs>
          <w:tab w:val="left" w:pos="360"/>
          <w:tab w:val="left" w:pos="720"/>
          <w:tab w:val="left" w:pos="1080"/>
        </w:tabs>
        <w:spacing w:line="240" w:lineRule="auto"/>
        <w:rPr>
          <w:b/>
          <w:bCs/>
        </w:rPr>
      </w:pPr>
    </w:p>
    <w:p w14:paraId="71EEA166" w14:textId="77777777" w:rsidR="0078645D" w:rsidRDefault="0078645D" w:rsidP="0078645D">
      <w:pPr>
        <w:tabs>
          <w:tab w:val="left" w:pos="360"/>
          <w:tab w:val="left" w:pos="720"/>
          <w:tab w:val="left" w:pos="1080"/>
        </w:tabs>
        <w:spacing w:line="240" w:lineRule="auto"/>
        <w:rPr>
          <w:b/>
          <w:bCs/>
        </w:rPr>
      </w:pPr>
    </w:p>
    <w:p w14:paraId="6AB2C249" w14:textId="77777777" w:rsidR="0078645D" w:rsidRDefault="0078645D" w:rsidP="0078645D">
      <w:pPr>
        <w:tabs>
          <w:tab w:val="left" w:pos="360"/>
          <w:tab w:val="left" w:pos="720"/>
          <w:tab w:val="left" w:pos="1080"/>
        </w:tabs>
        <w:spacing w:line="240" w:lineRule="auto"/>
        <w:rPr>
          <w:b/>
          <w:bCs/>
        </w:rPr>
      </w:pPr>
    </w:p>
    <w:p w14:paraId="66D44AA7" w14:textId="77777777" w:rsidR="0078645D" w:rsidRDefault="0078645D" w:rsidP="0078645D">
      <w:pPr>
        <w:tabs>
          <w:tab w:val="left" w:pos="360"/>
          <w:tab w:val="left" w:pos="720"/>
          <w:tab w:val="left" w:pos="1080"/>
        </w:tabs>
        <w:spacing w:line="240" w:lineRule="auto"/>
        <w:rPr>
          <w:b/>
          <w:bCs/>
        </w:rPr>
      </w:pPr>
    </w:p>
    <w:p w14:paraId="7940C43A" w14:textId="77777777" w:rsidR="0078645D" w:rsidRDefault="0078645D" w:rsidP="0078645D">
      <w:pPr>
        <w:tabs>
          <w:tab w:val="left" w:pos="360"/>
          <w:tab w:val="left" w:pos="720"/>
          <w:tab w:val="left" w:pos="1080"/>
        </w:tabs>
        <w:spacing w:line="240" w:lineRule="auto"/>
        <w:rPr>
          <w:b/>
          <w:bCs/>
        </w:rPr>
      </w:pPr>
    </w:p>
    <w:p w14:paraId="44B4E3ED" w14:textId="77777777" w:rsidR="0078645D" w:rsidRDefault="0078645D" w:rsidP="0078645D">
      <w:pPr>
        <w:tabs>
          <w:tab w:val="left" w:pos="360"/>
          <w:tab w:val="left" w:pos="720"/>
          <w:tab w:val="left" w:pos="1080"/>
        </w:tabs>
        <w:spacing w:line="240" w:lineRule="auto"/>
        <w:rPr>
          <w:b/>
          <w:bCs/>
        </w:rPr>
      </w:pPr>
    </w:p>
    <w:p w14:paraId="6A98C281" w14:textId="77777777" w:rsidR="0078645D" w:rsidRDefault="0078645D" w:rsidP="0078645D">
      <w:pPr>
        <w:tabs>
          <w:tab w:val="left" w:pos="360"/>
          <w:tab w:val="left" w:pos="720"/>
          <w:tab w:val="left" w:pos="1080"/>
        </w:tabs>
        <w:spacing w:line="240" w:lineRule="auto"/>
        <w:rPr>
          <w:b/>
          <w:bCs/>
        </w:rPr>
      </w:pPr>
    </w:p>
    <w:p w14:paraId="016AACAD" w14:textId="77777777" w:rsidR="0078645D" w:rsidRDefault="0078645D" w:rsidP="0078645D">
      <w:pPr>
        <w:tabs>
          <w:tab w:val="left" w:pos="360"/>
          <w:tab w:val="left" w:pos="720"/>
          <w:tab w:val="left" w:pos="1080"/>
        </w:tabs>
        <w:spacing w:line="240" w:lineRule="auto"/>
        <w:rPr>
          <w:b/>
          <w:bCs/>
        </w:rPr>
      </w:pPr>
    </w:p>
    <w:p w14:paraId="746F2C35" w14:textId="77777777" w:rsidR="0078645D" w:rsidRDefault="0078645D" w:rsidP="0078645D">
      <w:pPr>
        <w:tabs>
          <w:tab w:val="left" w:pos="360"/>
          <w:tab w:val="left" w:pos="720"/>
          <w:tab w:val="left" w:pos="1080"/>
        </w:tabs>
        <w:spacing w:line="240" w:lineRule="auto"/>
        <w:rPr>
          <w:b/>
          <w:bCs/>
        </w:rPr>
      </w:pPr>
    </w:p>
    <w:p w14:paraId="67FFD268" w14:textId="77777777" w:rsidR="0078645D" w:rsidRDefault="0078645D" w:rsidP="0078645D">
      <w:pPr>
        <w:tabs>
          <w:tab w:val="left" w:pos="360"/>
          <w:tab w:val="left" w:pos="720"/>
          <w:tab w:val="left" w:pos="1080"/>
        </w:tabs>
        <w:spacing w:line="240" w:lineRule="auto"/>
        <w:rPr>
          <w:b/>
          <w:bCs/>
        </w:rPr>
      </w:pPr>
    </w:p>
    <w:p w14:paraId="5C37CD66" w14:textId="77777777" w:rsidR="0078645D" w:rsidRDefault="0078645D" w:rsidP="0078645D">
      <w:pPr>
        <w:tabs>
          <w:tab w:val="left" w:pos="360"/>
          <w:tab w:val="left" w:pos="720"/>
          <w:tab w:val="left" w:pos="1080"/>
        </w:tabs>
        <w:spacing w:line="240" w:lineRule="auto"/>
        <w:rPr>
          <w:b/>
          <w:bCs/>
        </w:rPr>
      </w:pPr>
    </w:p>
    <w:p w14:paraId="63CFB84A" w14:textId="77777777" w:rsidR="0078645D" w:rsidRDefault="0078645D" w:rsidP="0078645D">
      <w:pPr>
        <w:tabs>
          <w:tab w:val="left" w:pos="360"/>
          <w:tab w:val="left" w:pos="720"/>
          <w:tab w:val="left" w:pos="1080"/>
        </w:tabs>
        <w:spacing w:line="240" w:lineRule="auto"/>
        <w:rPr>
          <w:b/>
          <w:bCs/>
        </w:rPr>
      </w:pPr>
    </w:p>
    <w:p w14:paraId="32DDE0DA" w14:textId="77777777" w:rsidR="0078645D" w:rsidRDefault="0078645D" w:rsidP="0078645D">
      <w:pPr>
        <w:tabs>
          <w:tab w:val="left" w:pos="360"/>
          <w:tab w:val="left" w:pos="720"/>
          <w:tab w:val="left" w:pos="1080"/>
        </w:tabs>
        <w:spacing w:line="240" w:lineRule="auto"/>
        <w:rPr>
          <w:b/>
          <w:bCs/>
        </w:rPr>
      </w:pPr>
    </w:p>
    <w:p w14:paraId="0507C93D" w14:textId="77777777" w:rsidR="0078645D" w:rsidRDefault="0078645D" w:rsidP="0078645D">
      <w:pPr>
        <w:tabs>
          <w:tab w:val="left" w:pos="360"/>
          <w:tab w:val="left" w:pos="720"/>
          <w:tab w:val="left" w:pos="1080"/>
        </w:tabs>
        <w:spacing w:line="240" w:lineRule="auto"/>
        <w:rPr>
          <w:b/>
          <w:bCs/>
        </w:rPr>
      </w:pPr>
    </w:p>
    <w:p w14:paraId="16BFEBED" w14:textId="77777777" w:rsidR="0078645D" w:rsidRDefault="0078645D" w:rsidP="0078645D">
      <w:pPr>
        <w:tabs>
          <w:tab w:val="left" w:pos="360"/>
          <w:tab w:val="left" w:pos="720"/>
          <w:tab w:val="left" w:pos="1080"/>
        </w:tabs>
        <w:spacing w:line="240" w:lineRule="auto"/>
        <w:rPr>
          <w:b/>
          <w:bCs/>
        </w:rPr>
      </w:pPr>
    </w:p>
    <w:p w14:paraId="5BCA9081" w14:textId="77777777" w:rsidR="0078645D" w:rsidRDefault="0078645D" w:rsidP="0078645D">
      <w:pPr>
        <w:tabs>
          <w:tab w:val="left" w:pos="360"/>
          <w:tab w:val="left" w:pos="720"/>
          <w:tab w:val="left" w:pos="1080"/>
        </w:tabs>
        <w:spacing w:line="240" w:lineRule="auto"/>
        <w:rPr>
          <w:b/>
          <w:bCs/>
        </w:rPr>
      </w:pPr>
    </w:p>
    <w:p w14:paraId="0516818E" w14:textId="77777777" w:rsidR="0078645D" w:rsidRDefault="0078645D" w:rsidP="0078645D">
      <w:pPr>
        <w:tabs>
          <w:tab w:val="left" w:pos="360"/>
          <w:tab w:val="left" w:pos="720"/>
          <w:tab w:val="left" w:pos="1080"/>
        </w:tabs>
        <w:spacing w:line="240" w:lineRule="auto"/>
        <w:rPr>
          <w:b/>
          <w:bCs/>
        </w:rPr>
      </w:pPr>
    </w:p>
    <w:p w14:paraId="4B74CC26" w14:textId="77777777" w:rsidR="0078645D" w:rsidRDefault="0078645D" w:rsidP="0078645D">
      <w:pPr>
        <w:tabs>
          <w:tab w:val="left" w:pos="360"/>
          <w:tab w:val="left" w:pos="720"/>
          <w:tab w:val="left" w:pos="1080"/>
        </w:tabs>
        <w:spacing w:line="240" w:lineRule="auto"/>
        <w:rPr>
          <w:b/>
          <w:bCs/>
        </w:rPr>
      </w:pPr>
    </w:p>
    <w:p w14:paraId="5AC8A40C" w14:textId="77777777" w:rsidR="0078645D" w:rsidRDefault="0078645D" w:rsidP="0078645D">
      <w:pPr>
        <w:tabs>
          <w:tab w:val="left" w:pos="360"/>
          <w:tab w:val="left" w:pos="720"/>
          <w:tab w:val="left" w:pos="1080"/>
        </w:tabs>
        <w:spacing w:line="240" w:lineRule="auto"/>
        <w:rPr>
          <w:b/>
          <w:bCs/>
        </w:rPr>
      </w:pPr>
    </w:p>
    <w:p w14:paraId="5E4A3CD2" w14:textId="77777777" w:rsidR="0078645D" w:rsidRDefault="0078645D" w:rsidP="0078645D">
      <w:pPr>
        <w:tabs>
          <w:tab w:val="left" w:pos="360"/>
          <w:tab w:val="left" w:pos="720"/>
          <w:tab w:val="left" w:pos="1080"/>
        </w:tabs>
        <w:spacing w:line="240" w:lineRule="auto"/>
        <w:rPr>
          <w:b/>
          <w:bCs/>
        </w:rPr>
      </w:pPr>
    </w:p>
    <w:p w14:paraId="610C23AC" w14:textId="77777777" w:rsidR="0078645D" w:rsidRDefault="0078645D" w:rsidP="0078645D">
      <w:pPr>
        <w:tabs>
          <w:tab w:val="left" w:pos="360"/>
          <w:tab w:val="left" w:pos="720"/>
          <w:tab w:val="left" w:pos="1080"/>
        </w:tabs>
        <w:spacing w:line="240" w:lineRule="auto"/>
        <w:rPr>
          <w:b/>
          <w:bCs/>
        </w:rPr>
      </w:pPr>
    </w:p>
    <w:p w14:paraId="29C16017" w14:textId="77777777" w:rsidR="0078645D" w:rsidRDefault="0078645D" w:rsidP="0078645D">
      <w:pPr>
        <w:tabs>
          <w:tab w:val="left" w:pos="360"/>
          <w:tab w:val="left" w:pos="720"/>
          <w:tab w:val="left" w:pos="1080"/>
        </w:tabs>
        <w:spacing w:line="240" w:lineRule="auto"/>
        <w:rPr>
          <w:b/>
          <w:bCs/>
        </w:rPr>
      </w:pPr>
    </w:p>
    <w:p w14:paraId="7A902DB1" w14:textId="77777777" w:rsidR="0078645D" w:rsidRDefault="0078645D" w:rsidP="0078645D">
      <w:pPr>
        <w:tabs>
          <w:tab w:val="left" w:pos="360"/>
          <w:tab w:val="left" w:pos="720"/>
          <w:tab w:val="left" w:pos="1080"/>
        </w:tabs>
        <w:spacing w:line="240" w:lineRule="auto"/>
        <w:rPr>
          <w:b/>
          <w:bCs/>
        </w:rPr>
      </w:pPr>
    </w:p>
    <w:p w14:paraId="0835C941" w14:textId="77777777" w:rsidR="0078645D" w:rsidRDefault="0078645D" w:rsidP="0078645D">
      <w:pPr>
        <w:tabs>
          <w:tab w:val="left" w:pos="360"/>
          <w:tab w:val="left" w:pos="720"/>
          <w:tab w:val="left" w:pos="1080"/>
        </w:tabs>
        <w:spacing w:line="240" w:lineRule="auto"/>
        <w:rPr>
          <w:b/>
          <w:bCs/>
        </w:rPr>
      </w:pPr>
    </w:p>
    <w:p w14:paraId="12767019" w14:textId="77777777" w:rsidR="0078645D" w:rsidRDefault="0078645D" w:rsidP="0078645D">
      <w:pPr>
        <w:tabs>
          <w:tab w:val="left" w:pos="360"/>
          <w:tab w:val="left" w:pos="720"/>
          <w:tab w:val="left" w:pos="1080"/>
        </w:tabs>
        <w:spacing w:line="240" w:lineRule="auto"/>
        <w:rPr>
          <w:b/>
          <w:bCs/>
        </w:rPr>
      </w:pPr>
    </w:p>
    <w:p w14:paraId="64B72C5F" w14:textId="77777777" w:rsidR="0078645D" w:rsidRDefault="0078645D" w:rsidP="0078645D">
      <w:pPr>
        <w:tabs>
          <w:tab w:val="left" w:pos="360"/>
          <w:tab w:val="left" w:pos="720"/>
          <w:tab w:val="left" w:pos="1080"/>
        </w:tabs>
        <w:spacing w:line="240" w:lineRule="auto"/>
        <w:rPr>
          <w:b/>
          <w:bCs/>
        </w:rPr>
      </w:pPr>
    </w:p>
    <w:p w14:paraId="622E28AD" w14:textId="77777777" w:rsidR="0078645D" w:rsidRDefault="0078645D" w:rsidP="0078645D">
      <w:pPr>
        <w:tabs>
          <w:tab w:val="left" w:pos="360"/>
          <w:tab w:val="left" w:pos="720"/>
          <w:tab w:val="left" w:pos="1080"/>
        </w:tabs>
        <w:spacing w:line="240" w:lineRule="auto"/>
        <w:rPr>
          <w:b/>
          <w:bCs/>
        </w:rPr>
      </w:pPr>
    </w:p>
    <w:p w14:paraId="1FDB71D5" w14:textId="77777777" w:rsidR="0078645D" w:rsidRDefault="0078645D" w:rsidP="0078645D">
      <w:pPr>
        <w:tabs>
          <w:tab w:val="left" w:pos="360"/>
          <w:tab w:val="left" w:pos="720"/>
          <w:tab w:val="left" w:pos="1080"/>
        </w:tabs>
        <w:spacing w:line="240" w:lineRule="auto"/>
        <w:rPr>
          <w:b/>
          <w:bCs/>
        </w:rPr>
      </w:pPr>
    </w:p>
    <w:p w14:paraId="40AAAAF5" w14:textId="77777777" w:rsidR="0078645D" w:rsidRDefault="0078645D" w:rsidP="0078645D">
      <w:pPr>
        <w:tabs>
          <w:tab w:val="left" w:pos="360"/>
          <w:tab w:val="left" w:pos="720"/>
          <w:tab w:val="left" w:pos="1080"/>
        </w:tabs>
        <w:spacing w:line="240" w:lineRule="auto"/>
        <w:rPr>
          <w:b/>
          <w:bCs/>
        </w:rPr>
      </w:pPr>
    </w:p>
    <w:p w14:paraId="6E6D43C8" w14:textId="77777777" w:rsidR="0078645D" w:rsidRDefault="0078645D" w:rsidP="0078645D">
      <w:pPr>
        <w:tabs>
          <w:tab w:val="left" w:pos="360"/>
          <w:tab w:val="left" w:pos="720"/>
          <w:tab w:val="left" w:pos="1080"/>
        </w:tabs>
        <w:spacing w:line="240" w:lineRule="auto"/>
        <w:rPr>
          <w:b/>
          <w:bCs/>
        </w:rPr>
      </w:pPr>
    </w:p>
    <w:p w14:paraId="70CE3422" w14:textId="77777777" w:rsidR="0078645D" w:rsidRDefault="0078645D" w:rsidP="0078645D">
      <w:pPr>
        <w:tabs>
          <w:tab w:val="left" w:pos="360"/>
          <w:tab w:val="left" w:pos="720"/>
          <w:tab w:val="left" w:pos="1080"/>
        </w:tabs>
        <w:spacing w:line="240" w:lineRule="auto"/>
        <w:rPr>
          <w:b/>
          <w:bCs/>
        </w:rPr>
      </w:pPr>
    </w:p>
    <w:p w14:paraId="31B2EC85" w14:textId="77777777" w:rsidR="0078645D" w:rsidRDefault="0078645D" w:rsidP="0078645D">
      <w:pPr>
        <w:tabs>
          <w:tab w:val="left" w:pos="360"/>
          <w:tab w:val="left" w:pos="720"/>
          <w:tab w:val="left" w:pos="1080"/>
        </w:tabs>
        <w:spacing w:line="240" w:lineRule="auto"/>
        <w:rPr>
          <w:b/>
          <w:bCs/>
        </w:rPr>
      </w:pPr>
    </w:p>
    <w:p w14:paraId="38288102" w14:textId="77777777" w:rsidR="0078645D" w:rsidRDefault="0078645D" w:rsidP="0078645D">
      <w:pPr>
        <w:tabs>
          <w:tab w:val="left" w:pos="360"/>
          <w:tab w:val="left" w:pos="720"/>
          <w:tab w:val="left" w:pos="1080"/>
        </w:tabs>
        <w:spacing w:line="240" w:lineRule="auto"/>
        <w:rPr>
          <w:b/>
          <w:bCs/>
        </w:rPr>
      </w:pPr>
    </w:p>
    <w:p w14:paraId="04EA09A4" w14:textId="77777777" w:rsidR="0078645D" w:rsidRPr="0078645D" w:rsidRDefault="0078645D" w:rsidP="0078645D">
      <w:pPr>
        <w:tabs>
          <w:tab w:val="left" w:pos="360"/>
          <w:tab w:val="left" w:pos="720"/>
          <w:tab w:val="left" w:pos="1080"/>
        </w:tabs>
        <w:spacing w:line="240" w:lineRule="auto"/>
        <w:rPr>
          <w:b/>
          <w:bCs/>
        </w:rPr>
      </w:pPr>
      <w:r w:rsidRPr="0078645D">
        <w:rPr>
          <w:b/>
          <w:bCs/>
        </w:rPr>
        <w:lastRenderedPageBreak/>
        <w:t>Additional Questions and Answers may be incorporated into this guidance as NRC, the Agreement States, and licensees obtain operational experience with the rule.</w:t>
      </w:r>
    </w:p>
    <w:p w14:paraId="218078E0" w14:textId="77777777" w:rsidR="0078645D" w:rsidRPr="0078645D" w:rsidRDefault="0078645D" w:rsidP="0078645D">
      <w:pPr>
        <w:tabs>
          <w:tab w:val="left" w:pos="360"/>
          <w:tab w:val="left" w:pos="720"/>
          <w:tab w:val="left" w:pos="1080"/>
        </w:tabs>
        <w:spacing w:line="240" w:lineRule="auto"/>
        <w:rPr>
          <w:b/>
          <w:bCs/>
        </w:rPr>
      </w:pPr>
    </w:p>
    <w:p w14:paraId="58A9E7DD" w14:textId="77777777" w:rsidR="0078645D" w:rsidRPr="0078645D" w:rsidRDefault="0078645D" w:rsidP="0078645D">
      <w:pPr>
        <w:tabs>
          <w:tab w:val="left" w:pos="360"/>
          <w:tab w:val="left" w:pos="720"/>
          <w:tab w:val="left" w:pos="1080"/>
        </w:tabs>
        <w:spacing w:line="240" w:lineRule="auto"/>
        <w:rPr>
          <w:b/>
          <w:bCs/>
        </w:rPr>
      </w:pPr>
      <w:r w:rsidRPr="0078645D">
        <w:rPr>
          <w:b/>
          <w:bCs/>
        </w:rPr>
        <w:t>Notifications – General Information</w:t>
      </w:r>
    </w:p>
    <w:p w14:paraId="0930F5DC" w14:textId="77777777" w:rsidR="0078645D" w:rsidRPr="0078645D" w:rsidRDefault="0078645D" w:rsidP="0078645D">
      <w:pPr>
        <w:tabs>
          <w:tab w:val="left" w:pos="360"/>
          <w:tab w:val="left" w:pos="720"/>
          <w:tab w:val="left" w:pos="1080"/>
        </w:tabs>
        <w:spacing w:line="240" w:lineRule="auto"/>
        <w:rPr>
          <w:b/>
          <w:bCs/>
        </w:rPr>
      </w:pPr>
    </w:p>
    <w:p w14:paraId="3654B3F7" w14:textId="77777777" w:rsidR="0078645D" w:rsidRPr="0078645D" w:rsidRDefault="0078645D" w:rsidP="0078645D">
      <w:pPr>
        <w:tabs>
          <w:tab w:val="left" w:pos="360"/>
          <w:tab w:val="left" w:pos="720"/>
          <w:tab w:val="left" w:pos="1080"/>
        </w:tabs>
        <w:spacing w:line="240" w:lineRule="auto"/>
        <w:rPr>
          <w:b/>
          <w:bCs/>
        </w:rPr>
      </w:pPr>
      <w:r w:rsidRPr="0078645D">
        <w:rPr>
          <w:b/>
          <w:bCs/>
        </w:rPr>
        <w:t>1. What change was made to 10 CFR 35.12, “Application for license, amendment, or renewal”?</w:t>
      </w:r>
    </w:p>
    <w:p w14:paraId="6A88E9AA" w14:textId="77777777" w:rsidR="0078645D" w:rsidRPr="0078645D" w:rsidRDefault="0078645D" w:rsidP="0078645D">
      <w:pPr>
        <w:tabs>
          <w:tab w:val="left" w:pos="360"/>
          <w:tab w:val="left" w:pos="720"/>
          <w:tab w:val="left" w:pos="1080"/>
        </w:tabs>
        <w:spacing w:line="240" w:lineRule="auto"/>
        <w:rPr>
          <w:b/>
          <w:bCs/>
        </w:rPr>
      </w:pPr>
    </w:p>
    <w:p w14:paraId="2178FDEB" w14:textId="77777777" w:rsidR="0078645D" w:rsidRPr="0078645D" w:rsidRDefault="0078645D" w:rsidP="0078645D">
      <w:pPr>
        <w:tabs>
          <w:tab w:val="left" w:pos="360"/>
          <w:tab w:val="left" w:pos="720"/>
          <w:tab w:val="left" w:pos="1080"/>
        </w:tabs>
        <w:spacing w:line="240" w:lineRule="auto"/>
        <w:rPr>
          <w:bCs/>
          <w:i/>
        </w:rPr>
      </w:pPr>
      <w:r w:rsidRPr="0078645D">
        <w:rPr>
          <w:bCs/>
          <w:i/>
        </w:rPr>
        <w:t xml:space="preserve">This section was amended to require only the original NRC Form 313 or letter be submitted when applying for a license, amendment, or renewal; </w:t>
      </w:r>
      <w:r w:rsidR="001270F8">
        <w:rPr>
          <w:bCs/>
          <w:i/>
        </w:rPr>
        <w:t xml:space="preserve">to </w:t>
      </w:r>
      <w:r w:rsidRPr="0078645D">
        <w:rPr>
          <w:bCs/>
          <w:i/>
        </w:rPr>
        <w:t xml:space="preserve">clarify what information should be submitted; and </w:t>
      </w:r>
      <w:r w:rsidR="001270F8">
        <w:rPr>
          <w:bCs/>
          <w:i/>
        </w:rPr>
        <w:t xml:space="preserve">to </w:t>
      </w:r>
      <w:r w:rsidRPr="0078645D">
        <w:rPr>
          <w:bCs/>
          <w:i/>
        </w:rPr>
        <w:t xml:space="preserve">add a requirement to submit information on an individual seeking to be identified as an Associate Radiation Safety Officer or ophthalmic physicist. </w:t>
      </w:r>
    </w:p>
    <w:p w14:paraId="39B1EE13" w14:textId="77777777" w:rsidR="0078645D" w:rsidRPr="0078645D" w:rsidRDefault="0078645D" w:rsidP="0078645D">
      <w:pPr>
        <w:tabs>
          <w:tab w:val="left" w:pos="360"/>
          <w:tab w:val="left" w:pos="720"/>
          <w:tab w:val="left" w:pos="1080"/>
        </w:tabs>
        <w:spacing w:line="240" w:lineRule="auto"/>
        <w:rPr>
          <w:bCs/>
          <w:i/>
        </w:rPr>
      </w:pPr>
    </w:p>
    <w:p w14:paraId="7A07103D" w14:textId="72704807" w:rsidR="0078645D" w:rsidRPr="0078645D" w:rsidRDefault="0078645D" w:rsidP="0078645D">
      <w:pPr>
        <w:tabs>
          <w:tab w:val="left" w:pos="360"/>
          <w:tab w:val="left" w:pos="720"/>
          <w:tab w:val="left" w:pos="1080"/>
        </w:tabs>
        <w:spacing w:line="240" w:lineRule="auto"/>
        <w:rPr>
          <w:rFonts w:eastAsia="Calibri"/>
          <w:b/>
        </w:rPr>
      </w:pPr>
      <w:r w:rsidRPr="0078645D">
        <w:rPr>
          <w:b/>
          <w:bCs/>
        </w:rPr>
        <w:t>2. NRC always asks for additional information on s</w:t>
      </w:r>
      <w:r w:rsidRPr="0078645D">
        <w:rPr>
          <w:rFonts w:eastAsia="Calibri"/>
          <w:b/>
        </w:rPr>
        <w:t xml:space="preserve">pecialized facilities, equipment, and specialized training and experience for applicants requesting 10 CFR 35.1000 uses.  Why isn’t this information in </w:t>
      </w:r>
      <w:r w:rsidR="00A44A99">
        <w:rPr>
          <w:rFonts w:eastAsia="Calibri"/>
          <w:b/>
        </w:rPr>
        <w:t xml:space="preserve">10 CFR </w:t>
      </w:r>
      <w:r w:rsidRPr="0078645D">
        <w:rPr>
          <w:rFonts w:eastAsia="Calibri"/>
          <w:b/>
        </w:rPr>
        <w:t>35.12(d)?</w:t>
      </w:r>
    </w:p>
    <w:p w14:paraId="7C06DCFB" w14:textId="77777777" w:rsidR="0078645D" w:rsidRPr="0078645D" w:rsidRDefault="0078645D" w:rsidP="0078645D">
      <w:pPr>
        <w:tabs>
          <w:tab w:val="left" w:pos="360"/>
          <w:tab w:val="left" w:pos="720"/>
          <w:tab w:val="left" w:pos="1080"/>
        </w:tabs>
        <w:spacing w:line="240" w:lineRule="auto"/>
        <w:rPr>
          <w:rFonts w:eastAsia="Calibri"/>
          <w:color w:val="C00000"/>
        </w:rPr>
      </w:pPr>
    </w:p>
    <w:p w14:paraId="2E588DE2" w14:textId="495F6291" w:rsidR="0078645D" w:rsidRPr="0078645D" w:rsidRDefault="0078645D" w:rsidP="0078645D">
      <w:pPr>
        <w:tabs>
          <w:tab w:val="left" w:pos="360"/>
          <w:tab w:val="left" w:pos="720"/>
          <w:tab w:val="left" w:pos="1080"/>
        </w:tabs>
        <w:spacing w:line="240" w:lineRule="auto"/>
        <w:rPr>
          <w:rFonts w:eastAsia="Calibri"/>
          <w:i/>
          <w:highlight w:val="yellow"/>
        </w:rPr>
      </w:pPr>
      <w:r w:rsidRPr="0078645D">
        <w:rPr>
          <w:rFonts w:eastAsia="Calibri"/>
          <w:i/>
        </w:rPr>
        <w:t xml:space="preserve">Information about what needs to be submitted for </w:t>
      </w:r>
      <w:r w:rsidR="00A44A99" w:rsidRPr="004B0435">
        <w:rPr>
          <w:rFonts w:eastAsia="Calibri"/>
          <w:i/>
        </w:rPr>
        <w:t>10 CFR</w:t>
      </w:r>
      <w:r w:rsidR="00A44A99">
        <w:rPr>
          <w:rFonts w:eastAsia="Calibri"/>
          <w:b/>
        </w:rPr>
        <w:t xml:space="preserve"> </w:t>
      </w:r>
      <w:r w:rsidRPr="0078645D">
        <w:rPr>
          <w:rFonts w:eastAsia="Calibri"/>
          <w:i/>
        </w:rPr>
        <w:t xml:space="preserve">35.1000 uses has been expanded in the rule to let applicants know the type of information expected by NRC.  The expanded information in </w:t>
      </w:r>
      <w:r w:rsidR="004B0435" w:rsidRPr="004B0435">
        <w:rPr>
          <w:rFonts w:eastAsia="Calibri"/>
          <w:i/>
        </w:rPr>
        <w:t>10 CFR</w:t>
      </w:r>
      <w:r w:rsidR="004B0435" w:rsidRPr="0078645D">
        <w:rPr>
          <w:rFonts w:eastAsia="Calibri"/>
          <w:i/>
        </w:rPr>
        <w:t xml:space="preserve"> </w:t>
      </w:r>
      <w:r w:rsidRPr="0078645D">
        <w:rPr>
          <w:rFonts w:eastAsia="Calibri"/>
          <w:i/>
        </w:rPr>
        <w:t xml:space="preserve">35.12(d) does not include requirements to provide information on facilities, equipment, training, and experience because it is already required under </w:t>
      </w:r>
      <w:r w:rsidR="004B0435" w:rsidRPr="004B0435">
        <w:rPr>
          <w:rFonts w:eastAsia="Calibri"/>
          <w:i/>
        </w:rPr>
        <w:t>10 CFR</w:t>
      </w:r>
      <w:r w:rsidR="004B0435" w:rsidRPr="0078645D">
        <w:rPr>
          <w:rFonts w:eastAsia="Calibri"/>
          <w:i/>
        </w:rPr>
        <w:t xml:space="preserve"> </w:t>
      </w:r>
      <w:r w:rsidRPr="0078645D">
        <w:rPr>
          <w:rFonts w:eastAsia="Calibri"/>
          <w:i/>
        </w:rPr>
        <w:t>35.12(b)(1).</w:t>
      </w:r>
      <w:r w:rsidRPr="0078645D">
        <w:rPr>
          <w:bCs/>
          <w:i/>
        </w:rPr>
        <w:t xml:space="preserve"> </w:t>
      </w:r>
    </w:p>
    <w:p w14:paraId="1647E4F4" w14:textId="77777777" w:rsidR="0078645D" w:rsidRPr="0078645D" w:rsidRDefault="0078645D" w:rsidP="0078645D">
      <w:pPr>
        <w:tabs>
          <w:tab w:val="left" w:pos="360"/>
          <w:tab w:val="left" w:pos="720"/>
          <w:tab w:val="left" w:pos="1080"/>
        </w:tabs>
        <w:spacing w:line="240" w:lineRule="auto"/>
        <w:rPr>
          <w:bCs/>
          <w:i/>
        </w:rPr>
      </w:pPr>
    </w:p>
    <w:p w14:paraId="5F2733EA" w14:textId="77777777" w:rsidR="0078645D" w:rsidRPr="0078645D" w:rsidRDefault="0078645D" w:rsidP="0078645D">
      <w:pPr>
        <w:tabs>
          <w:tab w:val="left" w:pos="360"/>
          <w:tab w:val="left" w:pos="720"/>
          <w:tab w:val="left" w:pos="1080"/>
        </w:tabs>
        <w:spacing w:line="240" w:lineRule="auto"/>
        <w:contextualSpacing/>
        <w:rPr>
          <w:b/>
          <w:bCs/>
          <w:highlight w:val="cyan"/>
        </w:rPr>
      </w:pPr>
      <w:r w:rsidRPr="0078645D">
        <w:rPr>
          <w:b/>
          <w:bCs/>
        </w:rPr>
        <w:t>3. Does NRC require a medical use licensee who is already authorized for manual brachytherapy to receive a license amendment before obtaining and using a new type of manual brachytherapy source?</w:t>
      </w:r>
    </w:p>
    <w:p w14:paraId="7DFF7896" w14:textId="77777777" w:rsidR="0078645D" w:rsidRPr="0078645D" w:rsidRDefault="0078645D" w:rsidP="0078645D">
      <w:pPr>
        <w:tabs>
          <w:tab w:val="left" w:pos="360"/>
          <w:tab w:val="left" w:pos="720"/>
          <w:tab w:val="left" w:pos="1080"/>
        </w:tabs>
        <w:spacing w:line="240" w:lineRule="auto"/>
        <w:contextualSpacing/>
        <w:rPr>
          <w:bCs/>
          <w:highlight w:val="cyan"/>
        </w:rPr>
      </w:pPr>
    </w:p>
    <w:p w14:paraId="4CC217DD" w14:textId="77777777" w:rsidR="0078645D" w:rsidRPr="0078645D" w:rsidRDefault="0078645D" w:rsidP="0078645D">
      <w:pPr>
        <w:tabs>
          <w:tab w:val="left" w:pos="360"/>
          <w:tab w:val="left" w:pos="720"/>
          <w:tab w:val="left" w:pos="1080"/>
        </w:tabs>
        <w:spacing w:line="240" w:lineRule="auto"/>
        <w:contextualSpacing/>
        <w:rPr>
          <w:bCs/>
          <w:i/>
        </w:rPr>
      </w:pPr>
      <w:r w:rsidRPr="0078645D">
        <w:rPr>
          <w:bCs/>
          <w:i/>
        </w:rPr>
        <w:t>10 CFR 35.14(b)(6) allows a medical use licensee to obtain a sealed source for manual brachytherapy from a different manufacturer or with a different model number than authorized by its license, as long as the licensee notifies the NRC within 30 days.  The notification must include the manufacturer and model number of the sealed source, the isotope, and the quantity per sealed source.</w:t>
      </w:r>
    </w:p>
    <w:p w14:paraId="4D1A5F69" w14:textId="77777777" w:rsidR="0078645D" w:rsidRPr="0078645D" w:rsidRDefault="0078645D" w:rsidP="0078645D">
      <w:pPr>
        <w:tabs>
          <w:tab w:val="left" w:pos="360"/>
          <w:tab w:val="left" w:pos="720"/>
          <w:tab w:val="left" w:pos="1080"/>
        </w:tabs>
        <w:spacing w:line="240" w:lineRule="auto"/>
        <w:contextualSpacing/>
        <w:rPr>
          <w:bCs/>
          <w:i/>
        </w:rPr>
      </w:pPr>
    </w:p>
    <w:p w14:paraId="07CB2F17" w14:textId="77777777" w:rsidR="0078645D" w:rsidRPr="0078645D" w:rsidRDefault="0078645D" w:rsidP="0078645D">
      <w:pPr>
        <w:tabs>
          <w:tab w:val="left" w:pos="360"/>
          <w:tab w:val="left" w:pos="720"/>
          <w:tab w:val="left" w:pos="1080"/>
        </w:tabs>
        <w:spacing w:line="240" w:lineRule="auto"/>
        <w:contextualSpacing/>
        <w:rPr>
          <w:b/>
          <w:bCs/>
        </w:rPr>
      </w:pPr>
      <w:r w:rsidRPr="0078645D">
        <w:rPr>
          <w:b/>
          <w:bCs/>
        </w:rPr>
        <w:t>4. What changes were made to 10 CFR 35.15, “Exemptions regarding Type A specific licenses of broad scope?”</w:t>
      </w:r>
    </w:p>
    <w:p w14:paraId="18DA4712" w14:textId="77777777" w:rsidR="0078645D" w:rsidRPr="0078645D" w:rsidRDefault="0078645D" w:rsidP="0078645D">
      <w:pPr>
        <w:tabs>
          <w:tab w:val="left" w:pos="360"/>
          <w:tab w:val="left" w:pos="720"/>
          <w:tab w:val="left" w:pos="1080"/>
        </w:tabs>
        <w:spacing w:line="240" w:lineRule="auto"/>
        <w:rPr>
          <w:b/>
        </w:rPr>
      </w:pPr>
    </w:p>
    <w:p w14:paraId="08E53C7C" w14:textId="0205F130" w:rsidR="0078645D" w:rsidRPr="0078645D" w:rsidRDefault="0078645D" w:rsidP="0078645D">
      <w:pPr>
        <w:tabs>
          <w:tab w:val="left" w:pos="360"/>
          <w:tab w:val="left" w:pos="720"/>
          <w:tab w:val="left" w:pos="1080"/>
        </w:tabs>
        <w:spacing w:line="240" w:lineRule="auto"/>
        <w:rPr>
          <w:i/>
        </w:rPr>
      </w:pPr>
      <w:r w:rsidRPr="0078645D">
        <w:rPr>
          <w:i/>
        </w:rPr>
        <w:t xml:space="preserve">This section was revised to update paragraph references in </w:t>
      </w:r>
      <w:r w:rsidR="004B0435" w:rsidRPr="004B0435">
        <w:rPr>
          <w:rFonts w:eastAsia="Calibri"/>
          <w:i/>
        </w:rPr>
        <w:t>10 CFR</w:t>
      </w:r>
      <w:r w:rsidR="004B0435" w:rsidRPr="0078645D">
        <w:rPr>
          <w:i/>
        </w:rPr>
        <w:t xml:space="preserve"> </w:t>
      </w:r>
      <w:r w:rsidRPr="0078645D">
        <w:rPr>
          <w:i/>
        </w:rPr>
        <w:t xml:space="preserve">35.13 and 35.14 and to add the ophthalmic physicist to the list of authorized individuals in paragraph </w:t>
      </w:r>
      <w:r w:rsidR="004B0435" w:rsidRPr="004B0435">
        <w:rPr>
          <w:rFonts w:eastAsia="Calibri"/>
          <w:i/>
        </w:rPr>
        <w:t>10 CFR</w:t>
      </w:r>
      <w:r w:rsidR="004B0435" w:rsidRPr="0078645D">
        <w:rPr>
          <w:i/>
        </w:rPr>
        <w:t xml:space="preserve"> </w:t>
      </w:r>
      <w:r w:rsidRPr="0078645D">
        <w:rPr>
          <w:i/>
        </w:rPr>
        <w:t>35.15(e).  These were conforming changes required because of changes to other parts of the regulation.</w:t>
      </w:r>
    </w:p>
    <w:p w14:paraId="5D4E0456" w14:textId="77777777" w:rsidR="0078645D" w:rsidRPr="0078645D" w:rsidRDefault="0078645D" w:rsidP="0078645D">
      <w:pPr>
        <w:tabs>
          <w:tab w:val="left" w:pos="360"/>
          <w:tab w:val="left" w:pos="720"/>
          <w:tab w:val="left" w:pos="1080"/>
        </w:tabs>
        <w:spacing w:line="240" w:lineRule="auto"/>
        <w:rPr>
          <w:b/>
        </w:rPr>
      </w:pPr>
    </w:p>
    <w:p w14:paraId="1509464A" w14:textId="77777777" w:rsidR="0078645D" w:rsidRPr="0078645D" w:rsidRDefault="0078645D" w:rsidP="0078645D">
      <w:pPr>
        <w:tabs>
          <w:tab w:val="left" w:pos="360"/>
          <w:tab w:val="left" w:pos="720"/>
          <w:tab w:val="left" w:pos="1080"/>
        </w:tabs>
        <w:spacing w:line="240" w:lineRule="auto"/>
        <w:rPr>
          <w:b/>
        </w:rPr>
      </w:pPr>
      <w:r w:rsidRPr="0078645D">
        <w:rPr>
          <w:b/>
        </w:rPr>
        <w:t>Training and Experience</w:t>
      </w:r>
    </w:p>
    <w:p w14:paraId="1FDA3FB4" w14:textId="77777777" w:rsidR="0078645D" w:rsidRPr="0078645D" w:rsidRDefault="0078645D" w:rsidP="0078645D">
      <w:pPr>
        <w:tabs>
          <w:tab w:val="left" w:pos="360"/>
          <w:tab w:val="left" w:pos="720"/>
          <w:tab w:val="left" w:pos="1080"/>
        </w:tabs>
        <w:spacing w:line="240" w:lineRule="auto"/>
        <w:rPr>
          <w:b/>
        </w:rPr>
      </w:pPr>
    </w:p>
    <w:p w14:paraId="12CAA66C" w14:textId="77777777" w:rsidR="0078645D" w:rsidRPr="0078645D" w:rsidRDefault="0078645D" w:rsidP="0078645D">
      <w:pPr>
        <w:tabs>
          <w:tab w:val="left" w:pos="360"/>
          <w:tab w:val="left" w:pos="720"/>
          <w:tab w:val="left" w:pos="1080"/>
        </w:tabs>
        <w:spacing w:line="240" w:lineRule="auto"/>
        <w:rPr>
          <w:b/>
        </w:rPr>
      </w:pPr>
      <w:r w:rsidRPr="0078645D">
        <w:rPr>
          <w:b/>
        </w:rPr>
        <w:t>5. What changes were made to the training and experience requirements for authorized individuals?</w:t>
      </w:r>
    </w:p>
    <w:p w14:paraId="035F4266" w14:textId="77777777" w:rsidR="0078645D" w:rsidRPr="0078645D" w:rsidRDefault="0078645D" w:rsidP="0078645D">
      <w:pPr>
        <w:tabs>
          <w:tab w:val="left" w:pos="360"/>
          <w:tab w:val="left" w:pos="720"/>
          <w:tab w:val="left" w:pos="1080"/>
        </w:tabs>
        <w:spacing w:line="240" w:lineRule="auto"/>
        <w:rPr>
          <w:b/>
        </w:rPr>
      </w:pPr>
    </w:p>
    <w:p w14:paraId="7882E944" w14:textId="3F01A406" w:rsidR="0078645D" w:rsidRPr="0078645D" w:rsidRDefault="0078645D" w:rsidP="0078645D">
      <w:pPr>
        <w:tabs>
          <w:tab w:val="left" w:pos="360"/>
          <w:tab w:val="left" w:pos="720"/>
          <w:tab w:val="left" w:pos="1080"/>
        </w:tabs>
        <w:spacing w:line="240" w:lineRule="auto"/>
        <w:rPr>
          <w:b/>
          <w:i/>
        </w:rPr>
      </w:pPr>
      <w:r w:rsidRPr="0078645D">
        <w:rPr>
          <w:b/>
          <w:i/>
        </w:rPr>
        <w:t xml:space="preserve">The </w:t>
      </w:r>
      <w:r w:rsidR="001270F8">
        <w:rPr>
          <w:b/>
          <w:i/>
        </w:rPr>
        <w:t>significant</w:t>
      </w:r>
      <w:r w:rsidR="001270F8" w:rsidRPr="0078645D">
        <w:rPr>
          <w:b/>
          <w:i/>
        </w:rPr>
        <w:t xml:space="preserve"> </w:t>
      </w:r>
      <w:r w:rsidRPr="0078645D">
        <w:rPr>
          <w:b/>
          <w:i/>
        </w:rPr>
        <w:t>changes are:</w:t>
      </w:r>
    </w:p>
    <w:p w14:paraId="513BC7F8" w14:textId="77777777" w:rsidR="0078645D" w:rsidRPr="0078645D" w:rsidRDefault="0078645D" w:rsidP="0078645D">
      <w:pPr>
        <w:tabs>
          <w:tab w:val="left" w:pos="360"/>
          <w:tab w:val="left" w:pos="720"/>
          <w:tab w:val="left" w:pos="1080"/>
        </w:tabs>
        <w:spacing w:line="240" w:lineRule="auto"/>
        <w:rPr>
          <w:i/>
        </w:rPr>
      </w:pPr>
    </w:p>
    <w:p w14:paraId="7D734F14" w14:textId="77777777" w:rsidR="0078645D" w:rsidRPr="0078645D" w:rsidRDefault="0078645D" w:rsidP="0078645D">
      <w:pPr>
        <w:tabs>
          <w:tab w:val="left" w:pos="360"/>
          <w:tab w:val="left" w:pos="720"/>
          <w:tab w:val="left" w:pos="1080"/>
        </w:tabs>
        <w:spacing w:line="240" w:lineRule="auto"/>
        <w:rPr>
          <w:b/>
          <w:i/>
        </w:rPr>
      </w:pPr>
      <w:r w:rsidRPr="0078645D">
        <w:rPr>
          <w:b/>
          <w:i/>
        </w:rPr>
        <w:t>New individuals listed on the license</w:t>
      </w:r>
    </w:p>
    <w:p w14:paraId="4BADB83D" w14:textId="78E7293F" w:rsidR="0078645D" w:rsidRPr="0078645D" w:rsidRDefault="0078645D" w:rsidP="0078645D">
      <w:pPr>
        <w:numPr>
          <w:ilvl w:val="0"/>
          <w:numId w:val="63"/>
        </w:numPr>
        <w:tabs>
          <w:tab w:val="left" w:pos="360"/>
          <w:tab w:val="left" w:pos="720"/>
          <w:tab w:val="left" w:pos="1080"/>
        </w:tabs>
        <w:spacing w:line="240" w:lineRule="auto"/>
        <w:contextualSpacing/>
        <w:rPr>
          <w:i/>
        </w:rPr>
      </w:pPr>
      <w:r w:rsidRPr="0078645D">
        <w:rPr>
          <w:i/>
        </w:rPr>
        <w:t xml:space="preserve">Associate Radiation Safety Officer (ARSO).  The ARSO is defined in 10 CFR 35.2 as an individual who meets training and experience requirements </w:t>
      </w:r>
      <w:r w:rsidR="004B0435" w:rsidRPr="004B0435">
        <w:rPr>
          <w:rFonts w:eastAsia="Calibri"/>
          <w:i/>
        </w:rPr>
        <w:t>10 CFR</w:t>
      </w:r>
      <w:r w:rsidR="004B0435" w:rsidRPr="0078645D">
        <w:rPr>
          <w:i/>
        </w:rPr>
        <w:t xml:space="preserve"> </w:t>
      </w:r>
      <w:r w:rsidRPr="0078645D">
        <w:rPr>
          <w:i/>
        </w:rPr>
        <w:t xml:space="preserve">35.50 and is identified on a license or a medical use permittee of a NRC Master Materials License </w:t>
      </w:r>
      <w:r w:rsidRPr="0078645D">
        <w:rPr>
          <w:i/>
        </w:rPr>
        <w:lastRenderedPageBreak/>
        <w:t xml:space="preserve">licensee as an ARSO.  The ARSO’s role in the radiation safety program is described in </w:t>
      </w:r>
      <w:r w:rsidR="004B0435" w:rsidRPr="004B0435">
        <w:rPr>
          <w:rFonts w:eastAsia="Calibri"/>
          <w:i/>
        </w:rPr>
        <w:t>10 CFR</w:t>
      </w:r>
      <w:r w:rsidR="004B0435" w:rsidRPr="0078645D">
        <w:rPr>
          <w:i/>
        </w:rPr>
        <w:t xml:space="preserve"> </w:t>
      </w:r>
      <w:r w:rsidRPr="0078645D">
        <w:rPr>
          <w:i/>
        </w:rPr>
        <w:t>35.24(b).</w:t>
      </w:r>
    </w:p>
    <w:p w14:paraId="6281CD4E" w14:textId="612B504A" w:rsidR="0078645D" w:rsidRPr="0078645D" w:rsidRDefault="0078645D" w:rsidP="0078645D">
      <w:pPr>
        <w:numPr>
          <w:ilvl w:val="0"/>
          <w:numId w:val="63"/>
        </w:numPr>
        <w:tabs>
          <w:tab w:val="left" w:pos="360"/>
          <w:tab w:val="left" w:pos="720"/>
          <w:tab w:val="left" w:pos="1080"/>
        </w:tabs>
        <w:spacing w:line="240" w:lineRule="auto"/>
        <w:contextualSpacing/>
        <w:rPr>
          <w:i/>
        </w:rPr>
      </w:pPr>
      <w:r w:rsidRPr="0078645D">
        <w:rPr>
          <w:i/>
        </w:rPr>
        <w:t xml:space="preserve">Ophthalmic physicist.  </w:t>
      </w:r>
      <w:r w:rsidR="001270F8">
        <w:rPr>
          <w:i/>
        </w:rPr>
        <w:t>O</w:t>
      </w:r>
      <w:r w:rsidRPr="0078645D">
        <w:rPr>
          <w:i/>
        </w:rPr>
        <w:t xml:space="preserve">phthalmic physicist is defined in 10 CFR 35.2 as an individual who meets the training requirements in </w:t>
      </w:r>
      <w:r w:rsidR="004B0435" w:rsidRPr="004B0435">
        <w:rPr>
          <w:rFonts w:eastAsia="Calibri"/>
          <w:i/>
        </w:rPr>
        <w:t>10 CFR</w:t>
      </w:r>
      <w:r w:rsidR="004B0435" w:rsidRPr="0078645D">
        <w:rPr>
          <w:i/>
        </w:rPr>
        <w:t xml:space="preserve"> </w:t>
      </w:r>
      <w:r w:rsidRPr="0078645D">
        <w:rPr>
          <w:i/>
        </w:rPr>
        <w:t xml:space="preserve">35.433(a)(2) and is identified on a license or permit as an ophthalmic physicist.  The tasks of the ophthalmic physicist are described in </w:t>
      </w:r>
      <w:r w:rsidR="004B0435" w:rsidRPr="004B0435">
        <w:rPr>
          <w:rFonts w:eastAsia="Calibri"/>
          <w:i/>
        </w:rPr>
        <w:t>10 CFR</w:t>
      </w:r>
      <w:r w:rsidR="004B0435" w:rsidRPr="0078645D">
        <w:rPr>
          <w:i/>
        </w:rPr>
        <w:t xml:space="preserve"> </w:t>
      </w:r>
      <w:r w:rsidRPr="0078645D">
        <w:rPr>
          <w:i/>
        </w:rPr>
        <w:t>35.433(b).</w:t>
      </w:r>
    </w:p>
    <w:p w14:paraId="28AE1EAD" w14:textId="77777777" w:rsidR="0078645D" w:rsidRPr="0078645D" w:rsidRDefault="0078645D" w:rsidP="0078645D">
      <w:pPr>
        <w:tabs>
          <w:tab w:val="left" w:pos="360"/>
          <w:tab w:val="left" w:pos="720"/>
          <w:tab w:val="left" w:pos="1080"/>
        </w:tabs>
        <w:spacing w:line="240" w:lineRule="auto"/>
        <w:rPr>
          <w:b/>
          <w:i/>
        </w:rPr>
      </w:pPr>
      <w:r w:rsidRPr="0078645D">
        <w:rPr>
          <w:b/>
          <w:i/>
        </w:rPr>
        <w:t>Attestation changes</w:t>
      </w:r>
    </w:p>
    <w:p w14:paraId="3ADB978F" w14:textId="77777777" w:rsidR="0078645D" w:rsidRPr="0078645D" w:rsidRDefault="0078645D" w:rsidP="0078645D">
      <w:pPr>
        <w:numPr>
          <w:ilvl w:val="0"/>
          <w:numId w:val="64"/>
        </w:numPr>
        <w:tabs>
          <w:tab w:val="left" w:pos="360"/>
          <w:tab w:val="left" w:pos="720"/>
          <w:tab w:val="left" w:pos="1080"/>
        </w:tabs>
        <w:spacing w:line="240" w:lineRule="auto"/>
        <w:contextualSpacing/>
        <w:rPr>
          <w:i/>
        </w:rPr>
      </w:pPr>
      <w:r w:rsidRPr="0078645D">
        <w:rPr>
          <w:i/>
        </w:rPr>
        <w:t xml:space="preserve">The written attestation requirement was removed for nearly all individuals meeting the board certification training and experience pathway.  </w:t>
      </w:r>
    </w:p>
    <w:p w14:paraId="15521215" w14:textId="77777777" w:rsidR="0078645D" w:rsidRPr="0078645D" w:rsidRDefault="0078645D" w:rsidP="0078645D">
      <w:pPr>
        <w:numPr>
          <w:ilvl w:val="0"/>
          <w:numId w:val="64"/>
        </w:numPr>
        <w:tabs>
          <w:tab w:val="left" w:pos="360"/>
          <w:tab w:val="left" w:pos="720"/>
          <w:tab w:val="left" w:pos="1080"/>
        </w:tabs>
        <w:spacing w:line="240" w:lineRule="auto"/>
        <w:contextualSpacing/>
        <w:rPr>
          <w:i/>
        </w:rPr>
      </w:pPr>
      <w:r w:rsidRPr="0078645D">
        <w:rPr>
          <w:i/>
        </w:rPr>
        <w:t xml:space="preserve">The wording in the attestation statement for non board-certified individuals was revised to replace the attestation of competency with an attestation that the individual has demonstrated the ability to function independently to fulfill the required radiation safety-related duties.  </w:t>
      </w:r>
    </w:p>
    <w:p w14:paraId="088C6DE6" w14:textId="4A3CB590" w:rsidR="0078645D" w:rsidRPr="0078645D" w:rsidRDefault="0078645D" w:rsidP="0078645D">
      <w:pPr>
        <w:numPr>
          <w:ilvl w:val="0"/>
          <w:numId w:val="64"/>
        </w:numPr>
        <w:tabs>
          <w:tab w:val="left" w:pos="360"/>
          <w:tab w:val="left" w:pos="720"/>
          <w:tab w:val="left" w:pos="1080"/>
        </w:tabs>
        <w:spacing w:line="240" w:lineRule="auto"/>
        <w:contextualSpacing/>
        <w:rPr>
          <w:i/>
        </w:rPr>
      </w:pPr>
      <w:r w:rsidRPr="0078645D">
        <w:rPr>
          <w:i/>
        </w:rPr>
        <w:t>For most categories of authorized user physicians, the residency program director may now sign the attestation</w:t>
      </w:r>
      <w:r w:rsidR="001270F8">
        <w:rPr>
          <w:i/>
        </w:rPr>
        <w:t xml:space="preserve"> under certain conditions</w:t>
      </w:r>
      <w:r w:rsidRPr="0078645D">
        <w:rPr>
          <w:i/>
        </w:rPr>
        <w:t>.</w:t>
      </w:r>
    </w:p>
    <w:p w14:paraId="0E60C1DC" w14:textId="77777777" w:rsidR="0078645D" w:rsidRPr="0078645D" w:rsidRDefault="0078645D" w:rsidP="0078645D">
      <w:pPr>
        <w:tabs>
          <w:tab w:val="left" w:pos="360"/>
          <w:tab w:val="left" w:pos="720"/>
          <w:tab w:val="left" w:pos="1080"/>
        </w:tabs>
        <w:spacing w:line="240" w:lineRule="auto"/>
        <w:contextualSpacing/>
        <w:rPr>
          <w:b/>
          <w:i/>
        </w:rPr>
      </w:pPr>
      <w:r w:rsidRPr="0078645D">
        <w:rPr>
          <w:b/>
          <w:i/>
        </w:rPr>
        <w:t xml:space="preserve">Specialty boards </w:t>
      </w:r>
    </w:p>
    <w:p w14:paraId="30F9DC54" w14:textId="0990D971" w:rsidR="0078645D" w:rsidRPr="0078645D" w:rsidRDefault="0078645D" w:rsidP="0078645D">
      <w:pPr>
        <w:numPr>
          <w:ilvl w:val="0"/>
          <w:numId w:val="64"/>
        </w:numPr>
        <w:tabs>
          <w:tab w:val="left" w:pos="360"/>
          <w:tab w:val="left" w:pos="720"/>
          <w:tab w:val="left" w:pos="1080"/>
        </w:tabs>
        <w:spacing w:line="240" w:lineRule="auto"/>
        <w:contextualSpacing/>
        <w:rPr>
          <w:i/>
        </w:rPr>
      </w:pPr>
      <w:r w:rsidRPr="0078645D">
        <w:rPr>
          <w:i/>
        </w:rPr>
        <w:t xml:space="preserve">The specialty boards formerly listed in 10 CFR Part 35, Subpart J are now listed in </w:t>
      </w:r>
      <w:r w:rsidR="004B0435" w:rsidRPr="004B0435">
        <w:rPr>
          <w:rFonts w:eastAsia="Calibri"/>
          <w:i/>
        </w:rPr>
        <w:t>10 CFR</w:t>
      </w:r>
      <w:r w:rsidR="004B0435" w:rsidRPr="0078645D">
        <w:rPr>
          <w:i/>
        </w:rPr>
        <w:t xml:space="preserve"> </w:t>
      </w:r>
      <w:r w:rsidRPr="0078645D">
        <w:rPr>
          <w:i/>
        </w:rPr>
        <w:t xml:space="preserve">35.57.  </w:t>
      </w:r>
    </w:p>
    <w:p w14:paraId="7C866053" w14:textId="77777777" w:rsidR="0078645D" w:rsidRPr="0078645D" w:rsidRDefault="0078645D" w:rsidP="0078645D">
      <w:pPr>
        <w:numPr>
          <w:ilvl w:val="0"/>
          <w:numId w:val="64"/>
        </w:numPr>
        <w:tabs>
          <w:tab w:val="left" w:pos="360"/>
          <w:tab w:val="left" w:pos="720"/>
          <w:tab w:val="left" w:pos="1080"/>
        </w:tabs>
        <w:spacing w:line="240" w:lineRule="auto"/>
        <w:contextualSpacing/>
        <w:rPr>
          <w:i/>
        </w:rPr>
      </w:pPr>
      <w:r w:rsidRPr="0078645D">
        <w:rPr>
          <w:i/>
        </w:rPr>
        <w:t>Individuals previously certified by specialty boards recognized under prior 10 CFR 35 Subpart J on or before October 24, 2005, are “grandfathered” so as to be authorized for those materials and uses that they performed on or before October 24, 2005.</w:t>
      </w:r>
    </w:p>
    <w:p w14:paraId="4A2A39E0" w14:textId="77777777" w:rsidR="0078645D" w:rsidRPr="0078645D" w:rsidRDefault="0078645D" w:rsidP="0078645D">
      <w:pPr>
        <w:tabs>
          <w:tab w:val="left" w:pos="360"/>
          <w:tab w:val="left" w:pos="720"/>
          <w:tab w:val="left" w:pos="1080"/>
        </w:tabs>
        <w:spacing w:line="240" w:lineRule="auto"/>
        <w:rPr>
          <w:i/>
        </w:rPr>
      </w:pPr>
    </w:p>
    <w:p w14:paraId="50FB2B9A" w14:textId="05475B51" w:rsidR="0078645D" w:rsidRPr="0078645D" w:rsidRDefault="0078645D" w:rsidP="0078645D">
      <w:pPr>
        <w:tabs>
          <w:tab w:val="left" w:pos="360"/>
          <w:tab w:val="left" w:pos="720"/>
          <w:tab w:val="left" w:pos="1080"/>
        </w:tabs>
        <w:spacing w:line="240" w:lineRule="auto"/>
        <w:rPr>
          <w:b/>
        </w:rPr>
      </w:pPr>
      <w:r w:rsidRPr="0078645D">
        <w:rPr>
          <w:b/>
        </w:rPr>
        <w:t xml:space="preserve">6. Can a physician meeting the training and experience requirements for all three categories of radioactive drugs in paragraph </w:t>
      </w:r>
      <w:r w:rsidR="004B0435" w:rsidRPr="004B0435">
        <w:rPr>
          <w:rFonts w:eastAsia="Calibri"/>
          <w:b/>
        </w:rPr>
        <w:t>10 CFR</w:t>
      </w:r>
      <w:r w:rsidR="004B0435" w:rsidRPr="0078645D">
        <w:rPr>
          <w:b/>
        </w:rPr>
        <w:t xml:space="preserve"> </w:t>
      </w:r>
      <w:r w:rsidRPr="0078645D">
        <w:rPr>
          <w:b/>
        </w:rPr>
        <w:t>35.390(b)(1)(ii)(G) be authorized for the use of all unsealed byproduct material requiring a written directive?</w:t>
      </w:r>
    </w:p>
    <w:p w14:paraId="4EC49BFF" w14:textId="77777777" w:rsidR="0078645D" w:rsidRPr="0078645D" w:rsidRDefault="0078645D" w:rsidP="0078645D">
      <w:pPr>
        <w:tabs>
          <w:tab w:val="left" w:pos="360"/>
          <w:tab w:val="left" w:pos="720"/>
          <w:tab w:val="left" w:pos="1080"/>
        </w:tabs>
        <w:spacing w:line="240" w:lineRule="auto"/>
        <w:rPr>
          <w:b/>
        </w:rPr>
      </w:pPr>
    </w:p>
    <w:p w14:paraId="67A15270" w14:textId="37517163" w:rsidR="0078645D" w:rsidRPr="0078645D" w:rsidRDefault="0078645D" w:rsidP="0078645D">
      <w:pPr>
        <w:tabs>
          <w:tab w:val="left" w:pos="360"/>
          <w:tab w:val="left" w:pos="720"/>
          <w:tab w:val="left" w:pos="1080"/>
        </w:tabs>
        <w:spacing w:line="240" w:lineRule="auto"/>
        <w:rPr>
          <w:i/>
        </w:rPr>
      </w:pPr>
      <w:r w:rsidRPr="0078645D">
        <w:rPr>
          <w:i/>
        </w:rPr>
        <w:t xml:space="preserve">No.  </w:t>
      </w:r>
      <w:r w:rsidR="004B0435" w:rsidRPr="004B0435">
        <w:rPr>
          <w:rFonts w:eastAsia="Calibri"/>
          <w:i/>
        </w:rPr>
        <w:t>10 CFR</w:t>
      </w:r>
      <w:r w:rsidR="004B0435" w:rsidRPr="0078645D">
        <w:rPr>
          <w:i/>
        </w:rPr>
        <w:t xml:space="preserve"> </w:t>
      </w:r>
      <w:r w:rsidRPr="0078645D">
        <w:rPr>
          <w:i/>
        </w:rPr>
        <w:t xml:space="preserve">35.300 specifically limits the physician to the use of byproduct material identified in </w:t>
      </w:r>
      <w:r w:rsidR="004B0435" w:rsidRPr="004B0435">
        <w:rPr>
          <w:rFonts w:eastAsia="Calibri"/>
          <w:i/>
        </w:rPr>
        <w:t>10 CFR</w:t>
      </w:r>
      <w:r w:rsidR="004B0435" w:rsidRPr="0078645D">
        <w:rPr>
          <w:i/>
        </w:rPr>
        <w:t xml:space="preserve"> </w:t>
      </w:r>
      <w:r w:rsidRPr="0078645D">
        <w:rPr>
          <w:i/>
        </w:rPr>
        <w:t>35.390(b)(1)(ii)(G).  In the future</w:t>
      </w:r>
      <w:r w:rsidR="001270F8">
        <w:rPr>
          <w:i/>
        </w:rPr>
        <w:t>,</w:t>
      </w:r>
      <w:r w:rsidRPr="0078645D">
        <w:rPr>
          <w:i/>
        </w:rPr>
        <w:t xml:space="preserve"> there may be radioactive drugs that use radionuclides that are used for a primary emission that does not fall under the categories in 35.390(b)(1)(ii)(G).  Therefore, the physician can be authorized for either the “use of all byproduct material identified in </w:t>
      </w:r>
      <w:r w:rsidR="004B0435" w:rsidRPr="004B0435">
        <w:rPr>
          <w:rFonts w:eastAsia="Calibri"/>
          <w:i/>
        </w:rPr>
        <w:t>10 CFR</w:t>
      </w:r>
      <w:r w:rsidR="004B0435" w:rsidRPr="0078645D">
        <w:rPr>
          <w:i/>
        </w:rPr>
        <w:t xml:space="preserve"> </w:t>
      </w:r>
      <w:r w:rsidRPr="0078645D">
        <w:rPr>
          <w:i/>
        </w:rPr>
        <w:t xml:space="preserve">35.390(b)(1)(ii)(G)” or for “use of all byproduct material identified in </w:t>
      </w:r>
      <w:r w:rsidR="004B0435" w:rsidRPr="004B0435">
        <w:rPr>
          <w:rFonts w:eastAsia="Calibri"/>
          <w:i/>
        </w:rPr>
        <w:t>10 CFR</w:t>
      </w:r>
      <w:r w:rsidR="004B0435" w:rsidRPr="0078645D">
        <w:rPr>
          <w:i/>
        </w:rPr>
        <w:t xml:space="preserve"> </w:t>
      </w:r>
      <w:r w:rsidRPr="0078645D">
        <w:rPr>
          <w:i/>
        </w:rPr>
        <w:t xml:space="preserve">35.300.”   </w:t>
      </w:r>
    </w:p>
    <w:p w14:paraId="32E4737F" w14:textId="77777777" w:rsidR="0078645D" w:rsidRPr="0078645D" w:rsidRDefault="0078645D" w:rsidP="0078645D">
      <w:pPr>
        <w:tabs>
          <w:tab w:val="left" w:pos="360"/>
          <w:tab w:val="left" w:pos="720"/>
          <w:tab w:val="left" w:pos="1080"/>
        </w:tabs>
        <w:spacing w:line="240" w:lineRule="auto"/>
        <w:rPr>
          <w:i/>
        </w:rPr>
      </w:pPr>
    </w:p>
    <w:p w14:paraId="012F9CB1" w14:textId="77777777" w:rsidR="0078645D" w:rsidRPr="0078645D" w:rsidRDefault="0078645D" w:rsidP="0078645D">
      <w:pPr>
        <w:tabs>
          <w:tab w:val="left" w:pos="360"/>
          <w:tab w:val="left" w:pos="720"/>
          <w:tab w:val="left" w:pos="1080"/>
        </w:tabs>
        <w:spacing w:line="240" w:lineRule="auto"/>
        <w:rPr>
          <w:b/>
          <w:bCs/>
        </w:rPr>
      </w:pPr>
      <w:r w:rsidRPr="0078645D">
        <w:rPr>
          <w:b/>
          <w:bCs/>
        </w:rPr>
        <w:t>7. What are the training and experience (T&amp;E) requirements for 10 CFR 35.1000?</w:t>
      </w:r>
    </w:p>
    <w:p w14:paraId="1A9AE5B4" w14:textId="77777777" w:rsidR="0078645D" w:rsidRPr="0078645D" w:rsidRDefault="0078645D" w:rsidP="0078645D">
      <w:pPr>
        <w:tabs>
          <w:tab w:val="left" w:pos="360"/>
          <w:tab w:val="left" w:pos="720"/>
          <w:tab w:val="left" w:pos="1080"/>
        </w:tabs>
        <w:spacing w:line="240" w:lineRule="auto"/>
        <w:rPr>
          <w:bCs/>
          <w:i/>
        </w:rPr>
      </w:pPr>
    </w:p>
    <w:p w14:paraId="436AF518" w14:textId="397964B3" w:rsidR="0078645D" w:rsidRPr="0078645D" w:rsidRDefault="0078645D" w:rsidP="0078645D">
      <w:pPr>
        <w:tabs>
          <w:tab w:val="left" w:pos="360"/>
          <w:tab w:val="left" w:pos="720"/>
          <w:tab w:val="left" w:pos="1080"/>
        </w:tabs>
        <w:spacing w:line="240" w:lineRule="auto"/>
        <w:rPr>
          <w:bCs/>
          <w:i/>
        </w:rPr>
      </w:pPr>
      <w:r w:rsidRPr="0078645D">
        <w:rPr>
          <w:bCs/>
          <w:i/>
        </w:rPr>
        <w:t xml:space="preserve">The training and experience requirements for </w:t>
      </w:r>
      <w:r w:rsidR="004B0435" w:rsidRPr="004B0435">
        <w:rPr>
          <w:rFonts w:eastAsia="Calibri"/>
          <w:i/>
        </w:rPr>
        <w:t>10 CFR</w:t>
      </w:r>
      <w:r w:rsidR="004B0435" w:rsidRPr="0078645D">
        <w:rPr>
          <w:bCs/>
          <w:i/>
        </w:rPr>
        <w:t xml:space="preserve"> </w:t>
      </w:r>
      <w:r w:rsidRPr="0078645D">
        <w:rPr>
          <w:bCs/>
          <w:i/>
        </w:rPr>
        <w:t xml:space="preserve">35.1000 medical uses are determined on a case-by-case basis.  NRC has developed licensing guidance, including T&amp;E guidance, for certain </w:t>
      </w:r>
      <w:r w:rsidR="004B0435" w:rsidRPr="004B0435">
        <w:rPr>
          <w:rFonts w:eastAsia="Calibri"/>
          <w:i/>
        </w:rPr>
        <w:t>10 CFR</w:t>
      </w:r>
      <w:r w:rsidR="004B0435" w:rsidRPr="0078645D">
        <w:rPr>
          <w:bCs/>
          <w:i/>
        </w:rPr>
        <w:t xml:space="preserve"> </w:t>
      </w:r>
      <w:r w:rsidRPr="0078645D">
        <w:rPr>
          <w:bCs/>
          <w:i/>
        </w:rPr>
        <w:t xml:space="preserve">35.1000 medical uses.  This </w:t>
      </w:r>
      <w:r w:rsidR="001270F8">
        <w:rPr>
          <w:bCs/>
          <w:i/>
        </w:rPr>
        <w:t xml:space="preserve">information is available </w:t>
      </w:r>
      <w:r w:rsidRPr="0078645D">
        <w:rPr>
          <w:bCs/>
          <w:i/>
        </w:rPr>
        <w:t xml:space="preserve">on the NRC public website at </w:t>
      </w:r>
      <w:hyperlink r:id="rId11" w:anchor="other" w:history="1">
        <w:r w:rsidRPr="0078645D">
          <w:rPr>
            <w:i/>
            <w:color w:val="0000FF" w:themeColor="hyperlink"/>
            <w:u w:val="single"/>
          </w:rPr>
          <w:t>http://www.nrc.gov/materials/miau/med-use-toolkit.html#other</w:t>
        </w:r>
      </w:hyperlink>
      <w:r w:rsidRPr="0078645D">
        <w:rPr>
          <w:bCs/>
          <w:i/>
        </w:rPr>
        <w:t xml:space="preserve"> in the section titled “Other Guidance.”</w:t>
      </w:r>
    </w:p>
    <w:p w14:paraId="794982BA" w14:textId="77777777" w:rsidR="0078645D" w:rsidRPr="0078645D" w:rsidRDefault="0078645D" w:rsidP="0078645D">
      <w:pPr>
        <w:tabs>
          <w:tab w:val="left" w:pos="360"/>
          <w:tab w:val="left" w:pos="720"/>
          <w:tab w:val="left" w:pos="1080"/>
        </w:tabs>
        <w:spacing w:line="240" w:lineRule="auto"/>
        <w:rPr>
          <w:bCs/>
          <w:i/>
        </w:rPr>
      </w:pPr>
    </w:p>
    <w:p w14:paraId="14291C66" w14:textId="77777777" w:rsidR="0078645D" w:rsidRPr="0078645D" w:rsidRDefault="0078645D" w:rsidP="0078645D">
      <w:pPr>
        <w:tabs>
          <w:tab w:val="left" w:pos="360"/>
          <w:tab w:val="left" w:pos="720"/>
          <w:tab w:val="left" w:pos="1080"/>
        </w:tabs>
        <w:spacing w:line="240" w:lineRule="auto"/>
        <w:rPr>
          <w:b/>
          <w:bCs/>
        </w:rPr>
      </w:pPr>
      <w:r w:rsidRPr="0078645D">
        <w:rPr>
          <w:b/>
          <w:bCs/>
        </w:rPr>
        <w:t xml:space="preserve">8. How can a licensee or regulator determine if a residency training program is approved by </w:t>
      </w:r>
      <w:r w:rsidRPr="0078645D">
        <w:rPr>
          <w:b/>
        </w:rPr>
        <w:t>the Residency Review Committee of the Accreditation Council for Graduate Medical Education (ACGME) or the Royal College of Physicians and Surgeons of Canada or the Committee on Post-Graduate Training of the American Osteopathic Association?</w:t>
      </w:r>
    </w:p>
    <w:p w14:paraId="08332E3B" w14:textId="77777777" w:rsidR="0078645D" w:rsidRPr="0078645D" w:rsidRDefault="0078645D" w:rsidP="0078645D">
      <w:pPr>
        <w:spacing w:line="240" w:lineRule="auto"/>
        <w:rPr>
          <w:rFonts w:eastAsia="Times New Roman"/>
          <w:color w:val="FF0000"/>
        </w:rPr>
      </w:pPr>
    </w:p>
    <w:p w14:paraId="2E813140" w14:textId="4C510360" w:rsidR="0078645D" w:rsidRPr="0078645D" w:rsidRDefault="0078645D" w:rsidP="0078645D">
      <w:pPr>
        <w:spacing w:line="240" w:lineRule="auto"/>
        <w:rPr>
          <w:rFonts w:eastAsia="Times New Roman"/>
          <w:i/>
        </w:rPr>
      </w:pPr>
      <w:r w:rsidRPr="0078645D">
        <w:rPr>
          <w:rFonts w:eastAsia="Times New Roman"/>
          <w:i/>
        </w:rPr>
        <w:t xml:space="preserve">Licensees and regulators will have to confirm </w:t>
      </w:r>
      <w:r w:rsidR="001270F8">
        <w:rPr>
          <w:rFonts w:eastAsia="Times New Roman"/>
          <w:i/>
        </w:rPr>
        <w:t>that a</w:t>
      </w:r>
      <w:r w:rsidRPr="0078645D">
        <w:rPr>
          <w:rFonts w:eastAsia="Times New Roman"/>
          <w:i/>
        </w:rPr>
        <w:t xml:space="preserve"> residency program is approved.  In addition to asking the individual or licensee to provide documentation that the residency program met the appropriate approval, the following web sites can be used to identify the accredited residency programs and program directors for these organizations: </w:t>
      </w:r>
    </w:p>
    <w:p w14:paraId="2D4B3759" w14:textId="77777777" w:rsidR="0078645D" w:rsidRPr="0078645D" w:rsidRDefault="0078645D" w:rsidP="0078645D">
      <w:pPr>
        <w:spacing w:line="240" w:lineRule="auto"/>
        <w:rPr>
          <w:rFonts w:eastAsia="Times New Roman"/>
          <w:i/>
        </w:rPr>
      </w:pPr>
      <w:r w:rsidRPr="0078645D">
        <w:rPr>
          <w:rFonts w:eastAsia="Times New Roman"/>
          <w:i/>
        </w:rPr>
        <w:t xml:space="preserve">(1) </w:t>
      </w:r>
      <w:hyperlink r:id="rId12" w:history="1">
        <w:r w:rsidRPr="0078645D">
          <w:rPr>
            <w:rFonts w:eastAsia="Times New Roman"/>
            <w:i/>
            <w:u w:val="single"/>
          </w:rPr>
          <w:t>http://www.acgme.org/</w:t>
        </w:r>
      </w:hyperlink>
      <w:r w:rsidRPr="0078645D">
        <w:rPr>
          <w:rFonts w:eastAsia="Times New Roman"/>
          <w:i/>
        </w:rPr>
        <w:t xml:space="preserve"> under Data Collection Systems, Accredited Programs and Sponsoring Institutions for </w:t>
      </w:r>
      <w:r w:rsidRPr="0078645D">
        <w:rPr>
          <w:i/>
        </w:rPr>
        <w:t>ACGME</w:t>
      </w:r>
      <w:r w:rsidRPr="0078645D">
        <w:rPr>
          <w:rFonts w:eastAsia="Times New Roman"/>
          <w:i/>
        </w:rPr>
        <w:t xml:space="preserve"> approvals from 2001-02 to present; </w:t>
      </w:r>
    </w:p>
    <w:p w14:paraId="399715AB" w14:textId="77777777" w:rsidR="0078645D" w:rsidRPr="0078645D" w:rsidRDefault="0078645D" w:rsidP="0078645D">
      <w:pPr>
        <w:spacing w:line="240" w:lineRule="auto"/>
        <w:rPr>
          <w:rFonts w:eastAsia="Times New Roman"/>
          <w:i/>
        </w:rPr>
      </w:pPr>
      <w:r w:rsidRPr="0078645D">
        <w:rPr>
          <w:rFonts w:eastAsia="Times New Roman"/>
          <w:i/>
        </w:rPr>
        <w:t>(2) </w:t>
      </w:r>
      <w:hyperlink r:id="rId13" w:history="1">
        <w:r w:rsidRPr="0078645D">
          <w:rPr>
            <w:rFonts w:eastAsia="Times New Roman"/>
            <w:i/>
            <w:u w:val="single"/>
          </w:rPr>
          <w:t>http://www.acgme.org/acgmeweb/tabid/126/About/AMAGreenBooks.aspx</w:t>
        </w:r>
      </w:hyperlink>
      <w:r w:rsidRPr="0078645D">
        <w:rPr>
          <w:rFonts w:eastAsia="Times New Roman"/>
          <w:i/>
        </w:rPr>
        <w:t xml:space="preserve"> for approved </w:t>
      </w:r>
      <w:r w:rsidRPr="0078645D">
        <w:rPr>
          <w:i/>
        </w:rPr>
        <w:t>ACGME</w:t>
      </w:r>
      <w:r w:rsidRPr="0078645D">
        <w:rPr>
          <w:rFonts w:eastAsia="Times New Roman"/>
          <w:i/>
        </w:rPr>
        <w:t xml:space="preserve"> residency programs from 1942-43 through 2000-01; </w:t>
      </w:r>
    </w:p>
    <w:p w14:paraId="74270DC5" w14:textId="77777777" w:rsidR="0078645D" w:rsidRPr="0078645D" w:rsidRDefault="0078645D" w:rsidP="0078645D">
      <w:pPr>
        <w:spacing w:line="240" w:lineRule="auto"/>
        <w:rPr>
          <w:rFonts w:eastAsia="Times New Roman"/>
          <w:i/>
        </w:rPr>
      </w:pPr>
      <w:r w:rsidRPr="0078645D">
        <w:rPr>
          <w:rFonts w:eastAsia="Times New Roman"/>
          <w:i/>
        </w:rPr>
        <w:t>(3)</w:t>
      </w:r>
      <w:r w:rsidRPr="0078645D">
        <w:rPr>
          <w:rFonts w:eastAsia="Calibri"/>
          <w:i/>
        </w:rPr>
        <w:t xml:space="preserve"> </w:t>
      </w:r>
      <w:hyperlink r:id="rId14" w:history="1">
        <w:r w:rsidRPr="0078645D">
          <w:rPr>
            <w:rFonts w:eastAsia="Times New Roman"/>
            <w:i/>
            <w:u w:val="single"/>
          </w:rPr>
          <w:t>http://rcpsc.medical.org/</w:t>
        </w:r>
      </w:hyperlink>
      <w:r w:rsidRPr="0078645D">
        <w:rPr>
          <w:rFonts w:eastAsia="Times New Roman"/>
          <w:i/>
        </w:rPr>
        <w:t xml:space="preserve"> under Credentials, Examinations &amp; Accreditation, Information by Discipline</w:t>
      </w:r>
      <w:r w:rsidRPr="0078645D">
        <w:rPr>
          <w:rFonts w:eastAsia="Calibri"/>
          <w:i/>
        </w:rPr>
        <w:t xml:space="preserve"> for the </w:t>
      </w:r>
      <w:r w:rsidRPr="0078645D">
        <w:rPr>
          <w:rFonts w:eastAsia="Times New Roman"/>
          <w:i/>
        </w:rPr>
        <w:t xml:space="preserve">Royal College of Physicians and Surgeons of Canada; and </w:t>
      </w:r>
    </w:p>
    <w:p w14:paraId="194837CE" w14:textId="77777777" w:rsidR="0078645D" w:rsidRPr="0078645D" w:rsidRDefault="0078645D" w:rsidP="0078645D">
      <w:pPr>
        <w:spacing w:line="240" w:lineRule="auto"/>
        <w:rPr>
          <w:rFonts w:eastAsia="Times New Roman"/>
          <w:i/>
        </w:rPr>
      </w:pPr>
      <w:r w:rsidRPr="0078645D">
        <w:rPr>
          <w:rFonts w:eastAsia="Times New Roman"/>
          <w:i/>
        </w:rPr>
        <w:t xml:space="preserve">(4) </w:t>
      </w:r>
      <w:hyperlink r:id="rId15" w:history="1">
        <w:r w:rsidRPr="0078645D">
          <w:rPr>
            <w:rFonts w:eastAsia="Times New Roman"/>
            <w:i/>
            <w:u w:val="single"/>
          </w:rPr>
          <w:t>http://www.osteopathic.org/</w:t>
        </w:r>
      </w:hyperlink>
      <w:r w:rsidRPr="0078645D">
        <w:rPr>
          <w:rFonts w:eastAsia="Times New Roman"/>
          <w:i/>
        </w:rPr>
        <w:t xml:space="preserve"> for the American Osteopathic website.  Although t</w:t>
      </w:r>
      <w:r w:rsidRPr="0078645D">
        <w:rPr>
          <w:rFonts w:eastAsia="Calibri"/>
          <w:i/>
        </w:rPr>
        <w:t xml:space="preserve">he Committee on Post-Graduate Training of the American Osteopathic Association had residency programs in the past, they do not have any at the time the rule was finalized. </w:t>
      </w:r>
    </w:p>
    <w:p w14:paraId="0291896B" w14:textId="77777777" w:rsidR="0078645D" w:rsidRPr="0078645D" w:rsidRDefault="0078645D" w:rsidP="0078645D">
      <w:pPr>
        <w:spacing w:line="240" w:lineRule="auto"/>
      </w:pPr>
    </w:p>
    <w:p w14:paraId="24518E76" w14:textId="0C9EE211" w:rsidR="0078645D" w:rsidRPr="0078645D" w:rsidRDefault="0078645D" w:rsidP="0078645D">
      <w:pPr>
        <w:widowControl w:val="0"/>
        <w:autoSpaceDE w:val="0"/>
        <w:autoSpaceDN w:val="0"/>
        <w:adjustRightInd w:val="0"/>
        <w:spacing w:line="240" w:lineRule="auto"/>
        <w:rPr>
          <w:b/>
        </w:rPr>
      </w:pPr>
      <w:r w:rsidRPr="0078645D">
        <w:rPr>
          <w:b/>
        </w:rPr>
        <w:t xml:space="preserve">9.  Why does 10 CFR 35.590 include the authorized user (AU) for </w:t>
      </w:r>
      <w:r w:rsidR="004B0435" w:rsidRPr="004B0435">
        <w:rPr>
          <w:rFonts w:eastAsia="Calibri"/>
          <w:b/>
        </w:rPr>
        <w:t>10 CFR</w:t>
      </w:r>
      <w:r w:rsidR="004B0435" w:rsidRPr="0078645D">
        <w:rPr>
          <w:b/>
        </w:rPr>
        <w:t xml:space="preserve"> </w:t>
      </w:r>
      <w:r w:rsidRPr="0078645D">
        <w:rPr>
          <w:b/>
        </w:rPr>
        <w:t>35.200 uses?</w:t>
      </w:r>
    </w:p>
    <w:p w14:paraId="67D30E5F" w14:textId="77777777" w:rsidR="0078645D" w:rsidRPr="0078645D" w:rsidRDefault="0078645D" w:rsidP="0078645D">
      <w:pPr>
        <w:widowControl w:val="0"/>
        <w:autoSpaceDE w:val="0"/>
        <w:autoSpaceDN w:val="0"/>
        <w:adjustRightInd w:val="0"/>
        <w:spacing w:line="240" w:lineRule="auto"/>
      </w:pPr>
    </w:p>
    <w:p w14:paraId="26DB4AA0" w14:textId="1017D7B6" w:rsidR="0078645D" w:rsidRPr="0078645D" w:rsidRDefault="0078645D" w:rsidP="0078645D">
      <w:pPr>
        <w:widowControl w:val="0"/>
        <w:autoSpaceDE w:val="0"/>
        <w:autoSpaceDN w:val="0"/>
        <w:adjustRightInd w:val="0"/>
        <w:spacing w:line="240" w:lineRule="auto"/>
        <w:rPr>
          <w:bCs/>
          <w:i/>
        </w:rPr>
      </w:pPr>
      <w:r w:rsidRPr="0078645D">
        <w:rPr>
          <w:i/>
        </w:rPr>
        <w:t xml:space="preserve">NRC revised </w:t>
      </w:r>
      <w:r w:rsidR="004B0435" w:rsidRPr="004B0435">
        <w:rPr>
          <w:rFonts w:eastAsia="Calibri"/>
          <w:i/>
        </w:rPr>
        <w:t>10 CFR</w:t>
      </w:r>
      <w:r w:rsidR="004B0435" w:rsidRPr="0078645D">
        <w:rPr>
          <w:i/>
        </w:rPr>
        <w:t xml:space="preserve"> </w:t>
      </w:r>
      <w:r w:rsidRPr="0078645D">
        <w:rPr>
          <w:i/>
        </w:rPr>
        <w:t xml:space="preserve">35.65 to make it clear that the use of any sources authorized under </w:t>
      </w:r>
      <w:r w:rsidR="004B0435" w:rsidRPr="004B0435">
        <w:rPr>
          <w:rFonts w:eastAsia="Calibri"/>
          <w:i/>
        </w:rPr>
        <w:t>10 CFR</w:t>
      </w:r>
      <w:r w:rsidR="004B0435" w:rsidRPr="0078645D">
        <w:rPr>
          <w:i/>
        </w:rPr>
        <w:t xml:space="preserve"> </w:t>
      </w:r>
      <w:r w:rsidRPr="0078645D">
        <w:rPr>
          <w:i/>
        </w:rPr>
        <w:t xml:space="preserve">35.65 to administer radiation to patients and human research subjects is medical use, and to be conducted in accordance with the requirements in </w:t>
      </w:r>
      <w:r w:rsidR="004B0435" w:rsidRPr="004B0435">
        <w:rPr>
          <w:rFonts w:eastAsia="Calibri"/>
          <w:i/>
        </w:rPr>
        <w:t>10 CFR</w:t>
      </w:r>
      <w:r w:rsidR="004B0435" w:rsidRPr="0078645D">
        <w:rPr>
          <w:i/>
        </w:rPr>
        <w:t xml:space="preserve"> </w:t>
      </w:r>
      <w:r w:rsidRPr="0078645D">
        <w:rPr>
          <w:i/>
        </w:rPr>
        <w:t xml:space="preserve">35.500.  Most of the transmission and reference sources in </w:t>
      </w:r>
      <w:r w:rsidR="004B0435" w:rsidRPr="004B0435">
        <w:rPr>
          <w:rFonts w:eastAsia="Calibri"/>
          <w:i/>
        </w:rPr>
        <w:t>10 CFR</w:t>
      </w:r>
      <w:r w:rsidR="004B0435" w:rsidRPr="0078645D">
        <w:rPr>
          <w:i/>
        </w:rPr>
        <w:t xml:space="preserve"> </w:t>
      </w:r>
      <w:r w:rsidRPr="0078645D">
        <w:rPr>
          <w:i/>
        </w:rPr>
        <w:t xml:space="preserve">35.65 used for medical use are used in imaging and localization procedures performed under </w:t>
      </w:r>
      <w:r w:rsidR="004B0435" w:rsidRPr="004B0435">
        <w:rPr>
          <w:rFonts w:eastAsia="Calibri"/>
          <w:i/>
        </w:rPr>
        <w:t>10 CFR</w:t>
      </w:r>
      <w:r w:rsidR="004B0435" w:rsidRPr="0078645D">
        <w:rPr>
          <w:i/>
        </w:rPr>
        <w:t xml:space="preserve"> </w:t>
      </w:r>
      <w:r w:rsidRPr="0078645D">
        <w:rPr>
          <w:i/>
        </w:rPr>
        <w:t xml:space="preserve">35.200.  Therefore, an AU for </w:t>
      </w:r>
      <w:r w:rsidR="004B0435" w:rsidRPr="004B0435">
        <w:rPr>
          <w:rFonts w:eastAsia="Calibri"/>
          <w:i/>
        </w:rPr>
        <w:t>10 CFR</w:t>
      </w:r>
      <w:r w:rsidR="004B0435" w:rsidRPr="0078645D">
        <w:rPr>
          <w:i/>
        </w:rPr>
        <w:t xml:space="preserve"> </w:t>
      </w:r>
      <w:r w:rsidRPr="0078645D">
        <w:rPr>
          <w:i/>
        </w:rPr>
        <w:t xml:space="preserve">35.200 uses was included as an individual qualified for </w:t>
      </w:r>
      <w:r w:rsidR="004B0435" w:rsidRPr="004B0435">
        <w:rPr>
          <w:rFonts w:eastAsia="Calibri"/>
          <w:i/>
        </w:rPr>
        <w:t>10 CFR</w:t>
      </w:r>
      <w:r w:rsidR="004B0435" w:rsidRPr="0078645D">
        <w:rPr>
          <w:i/>
        </w:rPr>
        <w:t xml:space="preserve"> </w:t>
      </w:r>
      <w:r w:rsidRPr="0078645D">
        <w:rPr>
          <w:i/>
        </w:rPr>
        <w:t xml:space="preserve">35.500 medical uses in </w:t>
      </w:r>
      <w:r w:rsidR="004B0435" w:rsidRPr="004B0435">
        <w:rPr>
          <w:rFonts w:eastAsia="Calibri"/>
          <w:i/>
        </w:rPr>
        <w:t>10 CFR</w:t>
      </w:r>
      <w:r w:rsidR="004B0435" w:rsidRPr="0078645D">
        <w:rPr>
          <w:i/>
        </w:rPr>
        <w:t xml:space="preserve"> </w:t>
      </w:r>
      <w:r w:rsidRPr="0078645D">
        <w:rPr>
          <w:i/>
        </w:rPr>
        <w:t>35.590.</w:t>
      </w:r>
    </w:p>
    <w:p w14:paraId="45CA961F" w14:textId="77777777" w:rsidR="0078645D" w:rsidRPr="0078645D" w:rsidRDefault="0078645D" w:rsidP="0078645D">
      <w:pPr>
        <w:spacing w:after="200" w:line="240" w:lineRule="auto"/>
        <w:rPr>
          <w:bCs/>
          <w:i/>
        </w:rPr>
      </w:pPr>
    </w:p>
    <w:p w14:paraId="07EDED5F" w14:textId="77777777" w:rsidR="0078645D" w:rsidRPr="0078645D" w:rsidRDefault="0078645D" w:rsidP="0078645D">
      <w:pPr>
        <w:tabs>
          <w:tab w:val="left" w:pos="360"/>
          <w:tab w:val="left" w:pos="720"/>
          <w:tab w:val="left" w:pos="1080"/>
        </w:tabs>
        <w:spacing w:line="240" w:lineRule="auto"/>
        <w:rPr>
          <w:b/>
          <w:bCs/>
        </w:rPr>
      </w:pPr>
      <w:r w:rsidRPr="0078645D">
        <w:rPr>
          <w:b/>
          <w:bCs/>
        </w:rPr>
        <w:t>Board Certification Changes</w:t>
      </w:r>
    </w:p>
    <w:p w14:paraId="4DB7FB46" w14:textId="77777777" w:rsidR="0078645D" w:rsidRPr="0078645D" w:rsidRDefault="0078645D" w:rsidP="0078645D">
      <w:pPr>
        <w:tabs>
          <w:tab w:val="left" w:pos="360"/>
          <w:tab w:val="left" w:pos="720"/>
          <w:tab w:val="left" w:pos="1080"/>
        </w:tabs>
        <w:spacing w:line="240" w:lineRule="auto"/>
        <w:rPr>
          <w:bCs/>
        </w:rPr>
      </w:pPr>
    </w:p>
    <w:p w14:paraId="262F9B40" w14:textId="77777777" w:rsidR="0078645D" w:rsidRPr="0078645D" w:rsidRDefault="0078645D" w:rsidP="0078645D">
      <w:pPr>
        <w:tabs>
          <w:tab w:val="left" w:pos="360"/>
          <w:tab w:val="left" w:pos="720"/>
          <w:tab w:val="left" w:pos="1080"/>
        </w:tabs>
        <w:spacing w:line="240" w:lineRule="auto"/>
        <w:rPr>
          <w:b/>
          <w:bCs/>
        </w:rPr>
      </w:pPr>
      <w:r w:rsidRPr="0078645D">
        <w:rPr>
          <w:b/>
          <w:bCs/>
        </w:rPr>
        <w:t>10. What individuals are affected by the resolution of the Ritenour petition?</w:t>
      </w:r>
    </w:p>
    <w:p w14:paraId="0B63B288" w14:textId="77777777" w:rsidR="0078645D" w:rsidRPr="0078645D" w:rsidRDefault="0078645D" w:rsidP="0078645D">
      <w:pPr>
        <w:tabs>
          <w:tab w:val="left" w:pos="360"/>
          <w:tab w:val="left" w:pos="720"/>
          <w:tab w:val="left" w:pos="1080"/>
        </w:tabs>
        <w:spacing w:line="240" w:lineRule="auto"/>
        <w:rPr>
          <w:bCs/>
          <w:i/>
        </w:rPr>
      </w:pPr>
    </w:p>
    <w:p w14:paraId="0AC4BB70" w14:textId="7DC473CF" w:rsidR="0078645D" w:rsidRPr="0078645D" w:rsidRDefault="0078645D" w:rsidP="0078645D">
      <w:pPr>
        <w:tabs>
          <w:tab w:val="left" w:pos="360"/>
          <w:tab w:val="left" w:pos="720"/>
          <w:tab w:val="left" w:pos="1080"/>
        </w:tabs>
        <w:spacing w:line="240" w:lineRule="auto"/>
        <w:rPr>
          <w:bCs/>
          <w:i/>
        </w:rPr>
      </w:pPr>
      <w:r w:rsidRPr="0078645D">
        <w:rPr>
          <w:bCs/>
          <w:i/>
        </w:rPr>
        <w:t xml:space="preserve">The affected individuals are those meeting all three of the following conditions:  They are certified by boards that were formerly listed in 10 CFR Part 35, Subpart J and now listed in </w:t>
      </w:r>
      <w:r w:rsidR="004B0435" w:rsidRPr="004B0435">
        <w:rPr>
          <w:rFonts w:eastAsia="Calibri"/>
          <w:i/>
        </w:rPr>
        <w:t>10 CFR</w:t>
      </w:r>
      <w:r w:rsidR="004B0435" w:rsidRPr="0078645D">
        <w:rPr>
          <w:bCs/>
          <w:i/>
        </w:rPr>
        <w:t xml:space="preserve"> </w:t>
      </w:r>
      <w:r w:rsidRPr="0078645D">
        <w:rPr>
          <w:bCs/>
          <w:i/>
        </w:rPr>
        <w:t xml:space="preserve">35.57; they were certified on or before October 24, 2005; and they are requesting authorization for only those materials and uses that they performed on or before October 24, 2005. </w:t>
      </w:r>
    </w:p>
    <w:p w14:paraId="38577BB9" w14:textId="77777777" w:rsidR="0078645D" w:rsidRPr="0078645D" w:rsidRDefault="0078645D" w:rsidP="0078645D">
      <w:pPr>
        <w:tabs>
          <w:tab w:val="left" w:pos="360"/>
          <w:tab w:val="left" w:pos="720"/>
          <w:tab w:val="left" w:pos="1080"/>
        </w:tabs>
        <w:spacing w:line="240" w:lineRule="auto"/>
        <w:rPr>
          <w:b/>
          <w:bCs/>
        </w:rPr>
      </w:pPr>
    </w:p>
    <w:p w14:paraId="0F323F5A" w14:textId="77777777" w:rsidR="0078645D" w:rsidRPr="0078645D" w:rsidRDefault="0078645D" w:rsidP="0078645D">
      <w:pPr>
        <w:tabs>
          <w:tab w:val="left" w:pos="360"/>
          <w:tab w:val="left" w:pos="720"/>
          <w:tab w:val="left" w:pos="1080"/>
        </w:tabs>
        <w:spacing w:line="240" w:lineRule="auto"/>
        <w:rPr>
          <w:b/>
          <w:bCs/>
        </w:rPr>
      </w:pPr>
      <w:r w:rsidRPr="0078645D">
        <w:rPr>
          <w:b/>
          <w:bCs/>
        </w:rPr>
        <w:t>11.  Over time, some certifying Boards may have changed their names, as well as the names of some of their specialties.  How can I tell if my certification is recognized?</w:t>
      </w:r>
    </w:p>
    <w:p w14:paraId="15B51CB1" w14:textId="77777777" w:rsidR="0078645D" w:rsidRPr="0078645D" w:rsidRDefault="0078645D" w:rsidP="0078645D">
      <w:pPr>
        <w:tabs>
          <w:tab w:val="left" w:pos="360"/>
          <w:tab w:val="left" w:pos="720"/>
          <w:tab w:val="left" w:pos="1080"/>
        </w:tabs>
        <w:spacing w:line="240" w:lineRule="auto"/>
        <w:rPr>
          <w:b/>
          <w:bCs/>
        </w:rPr>
      </w:pPr>
    </w:p>
    <w:p w14:paraId="601A603B" w14:textId="5FFD46D6" w:rsidR="0078645D" w:rsidRPr="0078645D" w:rsidRDefault="0078645D" w:rsidP="0078645D">
      <w:pPr>
        <w:tabs>
          <w:tab w:val="left" w:pos="360"/>
          <w:tab w:val="left" w:pos="720"/>
          <w:tab w:val="left" w:pos="1080"/>
        </w:tabs>
        <w:spacing w:line="240" w:lineRule="auto"/>
        <w:rPr>
          <w:bCs/>
          <w:i/>
        </w:rPr>
      </w:pPr>
      <w:r w:rsidRPr="0078645D">
        <w:rPr>
          <w:bCs/>
          <w:i/>
        </w:rPr>
        <w:t xml:space="preserve">If the board was included in former 10 CFR Subpart J, it has been listed in </w:t>
      </w:r>
      <w:r w:rsidR="004B0435" w:rsidRPr="004B0435">
        <w:rPr>
          <w:rFonts w:eastAsia="Calibri"/>
          <w:i/>
        </w:rPr>
        <w:t>10 CFR</w:t>
      </w:r>
      <w:r w:rsidR="004B0435" w:rsidRPr="0078645D">
        <w:rPr>
          <w:bCs/>
          <w:i/>
        </w:rPr>
        <w:t xml:space="preserve"> </w:t>
      </w:r>
      <w:r w:rsidRPr="0078645D">
        <w:rPr>
          <w:bCs/>
          <w:i/>
        </w:rPr>
        <w:t>35.57 as it appeared in the prior regulation.  NRC posts the names of the boards that meet NRC’s current requirements and includes a sample of the board’s certificates on the NRC website (</w:t>
      </w:r>
      <w:hyperlink r:id="rId16" w:history="1">
        <w:r w:rsidRPr="0078645D">
          <w:rPr>
            <w:bCs/>
            <w:i/>
            <w:color w:val="0000FF" w:themeColor="hyperlink"/>
            <w:u w:val="single"/>
          </w:rPr>
          <w:t>http://www.nrc.gov/materials/miau/med-use-toolkit/spec-board-cert.html</w:t>
        </w:r>
      </w:hyperlink>
      <w:r w:rsidRPr="0078645D">
        <w:rPr>
          <w:bCs/>
          <w:i/>
        </w:rPr>
        <w:t>).  If a board changes its name, specialty, or other wording on a certificate, a sample of its new certificate is submitted and also posted.   The NRC will note by each certificate the time frame for recognition of that certificate (e.g. The American Board of Nuclear Medicine changed the wording of its certificates in 2007 so the web site provides sample certificates for 2005 to 2007 and for 2007 to present).</w:t>
      </w:r>
    </w:p>
    <w:p w14:paraId="6EEA9E88" w14:textId="77777777" w:rsidR="0078645D" w:rsidRPr="0078645D" w:rsidRDefault="0078645D" w:rsidP="0078645D">
      <w:pPr>
        <w:tabs>
          <w:tab w:val="left" w:pos="360"/>
          <w:tab w:val="left" w:pos="720"/>
          <w:tab w:val="left" w:pos="1080"/>
        </w:tabs>
        <w:spacing w:line="240" w:lineRule="auto"/>
        <w:rPr>
          <w:bCs/>
          <w:i/>
        </w:rPr>
      </w:pPr>
    </w:p>
    <w:p w14:paraId="39D0C536" w14:textId="77777777" w:rsidR="0078645D" w:rsidRPr="0078645D" w:rsidRDefault="0078645D" w:rsidP="0078645D">
      <w:pPr>
        <w:tabs>
          <w:tab w:val="left" w:pos="360"/>
          <w:tab w:val="left" w:pos="720"/>
          <w:tab w:val="left" w:pos="1080"/>
        </w:tabs>
        <w:spacing w:line="240" w:lineRule="auto"/>
        <w:rPr>
          <w:b/>
          <w:bCs/>
        </w:rPr>
      </w:pPr>
    </w:p>
    <w:p w14:paraId="192A818F" w14:textId="77777777" w:rsidR="0078645D" w:rsidRPr="0078645D" w:rsidRDefault="0078645D" w:rsidP="0078645D">
      <w:pPr>
        <w:tabs>
          <w:tab w:val="left" w:pos="360"/>
          <w:tab w:val="left" w:pos="720"/>
          <w:tab w:val="left" w:pos="1080"/>
        </w:tabs>
        <w:spacing w:line="240" w:lineRule="auto"/>
        <w:rPr>
          <w:b/>
          <w:bCs/>
        </w:rPr>
      </w:pPr>
      <w:r w:rsidRPr="0078645D">
        <w:rPr>
          <w:b/>
          <w:bCs/>
        </w:rPr>
        <w:t>Preceptor Attestations</w:t>
      </w:r>
    </w:p>
    <w:p w14:paraId="0EB915BB" w14:textId="77777777" w:rsidR="0078645D" w:rsidRPr="0078645D" w:rsidRDefault="0078645D" w:rsidP="0078645D">
      <w:pPr>
        <w:tabs>
          <w:tab w:val="left" w:pos="360"/>
          <w:tab w:val="left" w:pos="720"/>
          <w:tab w:val="left" w:pos="1080"/>
        </w:tabs>
        <w:spacing w:line="240" w:lineRule="auto"/>
        <w:rPr>
          <w:bCs/>
          <w:i/>
        </w:rPr>
      </w:pPr>
    </w:p>
    <w:p w14:paraId="6D83650C" w14:textId="77777777" w:rsidR="0078645D" w:rsidRPr="0078645D" w:rsidRDefault="0078645D" w:rsidP="0078645D">
      <w:pPr>
        <w:tabs>
          <w:tab w:val="left" w:pos="360"/>
          <w:tab w:val="left" w:pos="720"/>
          <w:tab w:val="left" w:pos="1080"/>
        </w:tabs>
        <w:spacing w:line="240" w:lineRule="auto"/>
        <w:rPr>
          <w:b/>
        </w:rPr>
      </w:pPr>
      <w:r w:rsidRPr="0078645D">
        <w:rPr>
          <w:b/>
        </w:rPr>
        <w:t>12. Why did NRC eliminate the requirement for preceptor attestations for most individuals certified by boards identified on the NRC website or in NRC regulations?</w:t>
      </w:r>
    </w:p>
    <w:p w14:paraId="64C86D73" w14:textId="77777777" w:rsidR="0078645D" w:rsidRPr="0078645D" w:rsidRDefault="0078645D" w:rsidP="0078645D">
      <w:pPr>
        <w:tabs>
          <w:tab w:val="left" w:pos="360"/>
          <w:tab w:val="left" w:pos="720"/>
          <w:tab w:val="left" w:pos="1080"/>
        </w:tabs>
        <w:spacing w:line="240" w:lineRule="auto"/>
        <w:rPr>
          <w:i/>
        </w:rPr>
      </w:pPr>
    </w:p>
    <w:p w14:paraId="781BCAC9" w14:textId="6C93A490" w:rsidR="0078645D" w:rsidRPr="0078645D" w:rsidRDefault="0078645D" w:rsidP="0078645D">
      <w:pPr>
        <w:tabs>
          <w:tab w:val="left" w:pos="360"/>
          <w:tab w:val="left" w:pos="720"/>
          <w:tab w:val="left" w:pos="1080"/>
        </w:tabs>
        <w:spacing w:line="240" w:lineRule="auto"/>
        <w:rPr>
          <w:i/>
        </w:rPr>
      </w:pPr>
      <w:r w:rsidRPr="0078645D">
        <w:rPr>
          <w:i/>
        </w:rPr>
        <w:t xml:space="preserve">In order for the boards to be recognized, they are required to give an examination that assesses knowledge and competency in areas that include radiation safety.  Therefore, the </w:t>
      </w:r>
      <w:r w:rsidR="00F04940">
        <w:rPr>
          <w:i/>
        </w:rPr>
        <w:t>NRC</w:t>
      </w:r>
      <w:r w:rsidR="00F04940" w:rsidRPr="0078645D">
        <w:rPr>
          <w:i/>
        </w:rPr>
        <w:t xml:space="preserve"> </w:t>
      </w:r>
      <w:r w:rsidR="00F04940">
        <w:rPr>
          <w:i/>
        </w:rPr>
        <w:t>finds</w:t>
      </w:r>
      <w:r w:rsidR="00F04940" w:rsidRPr="0078645D">
        <w:rPr>
          <w:i/>
        </w:rPr>
        <w:t xml:space="preserve"> </w:t>
      </w:r>
      <w:r w:rsidRPr="0078645D">
        <w:rPr>
          <w:i/>
        </w:rPr>
        <w:t xml:space="preserve">that preceptor attestations are unnecessary for individuals certified by the currently recognized boards or for “grandfathered” boards listed in 10 CFR 35.57, provided that the provisions of 35.59 are met. </w:t>
      </w:r>
    </w:p>
    <w:p w14:paraId="5D3F8471" w14:textId="77777777" w:rsidR="0078645D" w:rsidRPr="0078645D" w:rsidRDefault="0078645D" w:rsidP="0078645D">
      <w:pPr>
        <w:tabs>
          <w:tab w:val="left" w:pos="360"/>
          <w:tab w:val="left" w:pos="720"/>
          <w:tab w:val="left" w:pos="1080"/>
        </w:tabs>
        <w:spacing w:line="240" w:lineRule="auto"/>
        <w:rPr>
          <w:i/>
        </w:rPr>
      </w:pPr>
    </w:p>
    <w:p w14:paraId="68C8D3F7" w14:textId="77777777" w:rsidR="0078645D" w:rsidRPr="0078645D" w:rsidRDefault="0078645D" w:rsidP="0078645D">
      <w:pPr>
        <w:tabs>
          <w:tab w:val="left" w:pos="360"/>
          <w:tab w:val="left" w:pos="720"/>
          <w:tab w:val="left" w:pos="1080"/>
        </w:tabs>
        <w:spacing w:line="240" w:lineRule="auto"/>
        <w:rPr>
          <w:b/>
          <w:bCs/>
        </w:rPr>
      </w:pPr>
      <w:r w:rsidRPr="0078645D">
        <w:rPr>
          <w:b/>
          <w:bCs/>
        </w:rPr>
        <w:t>13. Were attestations eliminated for all board-certified individuals?</w:t>
      </w:r>
    </w:p>
    <w:p w14:paraId="7B78A0AA" w14:textId="77777777" w:rsidR="0078645D" w:rsidRPr="0078645D" w:rsidRDefault="0078645D" w:rsidP="0078645D">
      <w:pPr>
        <w:tabs>
          <w:tab w:val="left" w:pos="360"/>
          <w:tab w:val="left" w:pos="720"/>
          <w:tab w:val="left" w:pos="1080"/>
        </w:tabs>
        <w:spacing w:line="240" w:lineRule="auto"/>
        <w:rPr>
          <w:bCs/>
          <w:i/>
        </w:rPr>
      </w:pPr>
      <w:r w:rsidRPr="0078645D">
        <w:rPr>
          <w:bCs/>
          <w:i/>
        </w:rPr>
        <w:t xml:space="preserve">  </w:t>
      </w:r>
    </w:p>
    <w:p w14:paraId="5DB89636" w14:textId="792B38BB" w:rsidR="0078645D" w:rsidRPr="0078645D" w:rsidRDefault="0078645D" w:rsidP="0078645D">
      <w:pPr>
        <w:tabs>
          <w:tab w:val="left" w:pos="360"/>
          <w:tab w:val="left" w:pos="720"/>
          <w:tab w:val="left" w:pos="1080"/>
        </w:tabs>
        <w:spacing w:line="240" w:lineRule="auto"/>
        <w:rPr>
          <w:bCs/>
          <w:i/>
        </w:rPr>
      </w:pPr>
      <w:r w:rsidRPr="0078645D">
        <w:rPr>
          <w:bCs/>
          <w:i/>
        </w:rPr>
        <w:t xml:space="preserve">Attestations were eliminated for almost all individuals certified by boards recognized by NRC on its website and in its regulations.  The attestation in 10 CFR 35.396(b)(3) is required for board-certified individuals requesting approval under </w:t>
      </w:r>
      <w:r w:rsidR="004B0435" w:rsidRPr="004B0435">
        <w:rPr>
          <w:rFonts w:eastAsia="Calibri"/>
          <w:i/>
        </w:rPr>
        <w:t>10 CFR</w:t>
      </w:r>
      <w:r w:rsidR="004B0435" w:rsidRPr="0078645D">
        <w:rPr>
          <w:bCs/>
          <w:i/>
        </w:rPr>
        <w:t xml:space="preserve"> </w:t>
      </w:r>
      <w:r w:rsidRPr="0078645D">
        <w:rPr>
          <w:bCs/>
          <w:i/>
        </w:rPr>
        <w:t xml:space="preserve">35.396(a)(3), as well as for the training in 10 CFR 35.396(b)(1) and (b)(2). </w:t>
      </w:r>
    </w:p>
    <w:p w14:paraId="0D678A95" w14:textId="77777777" w:rsidR="0078645D" w:rsidRPr="0078645D" w:rsidRDefault="0078645D" w:rsidP="0078645D">
      <w:pPr>
        <w:tabs>
          <w:tab w:val="left" w:pos="360"/>
          <w:tab w:val="left" w:pos="720"/>
          <w:tab w:val="left" w:pos="1080"/>
        </w:tabs>
        <w:spacing w:line="240" w:lineRule="auto"/>
        <w:rPr>
          <w:bCs/>
          <w:i/>
        </w:rPr>
      </w:pPr>
    </w:p>
    <w:p w14:paraId="583C3E5C" w14:textId="77777777" w:rsidR="0078645D" w:rsidRPr="00936AB4" w:rsidRDefault="0078645D" w:rsidP="0078645D">
      <w:pPr>
        <w:tabs>
          <w:tab w:val="left" w:pos="360"/>
          <w:tab w:val="left" w:pos="720"/>
          <w:tab w:val="left" w:pos="1080"/>
        </w:tabs>
        <w:spacing w:line="240" w:lineRule="auto"/>
        <w:rPr>
          <w:b/>
          <w:bCs/>
        </w:rPr>
      </w:pPr>
      <w:r w:rsidRPr="00936AB4">
        <w:rPr>
          <w:b/>
          <w:bCs/>
        </w:rPr>
        <w:t>14. Who will continue to need a preceptor attestation?</w:t>
      </w:r>
    </w:p>
    <w:p w14:paraId="1A312D29" w14:textId="77777777" w:rsidR="0078645D" w:rsidRPr="0078645D" w:rsidRDefault="0078645D" w:rsidP="0078645D">
      <w:pPr>
        <w:tabs>
          <w:tab w:val="left" w:pos="360"/>
          <w:tab w:val="left" w:pos="720"/>
          <w:tab w:val="left" w:pos="1080"/>
        </w:tabs>
        <w:spacing w:line="240" w:lineRule="auto"/>
        <w:rPr>
          <w:bCs/>
          <w:i/>
        </w:rPr>
      </w:pPr>
    </w:p>
    <w:p w14:paraId="6B9E3A49" w14:textId="77777777" w:rsidR="0078645D" w:rsidRPr="0078645D" w:rsidRDefault="0078645D" w:rsidP="0078645D">
      <w:pPr>
        <w:tabs>
          <w:tab w:val="left" w:pos="360"/>
          <w:tab w:val="left" w:pos="720"/>
          <w:tab w:val="left" w:pos="1080"/>
        </w:tabs>
        <w:spacing w:line="240" w:lineRule="auto"/>
        <w:rPr>
          <w:bCs/>
          <w:i/>
        </w:rPr>
      </w:pPr>
      <w:r w:rsidRPr="0078645D">
        <w:rPr>
          <w:bCs/>
          <w:i/>
        </w:rPr>
        <w:t>Individuals applying under the alternate training and experience pathway and all physicians applying to be authorized users under the provisions of 10 CFR 35.396 will continue to need a preceptor attestation.</w:t>
      </w:r>
    </w:p>
    <w:p w14:paraId="302EEBCC" w14:textId="77777777" w:rsidR="0078645D" w:rsidRPr="0078645D" w:rsidRDefault="0078645D" w:rsidP="0078645D">
      <w:pPr>
        <w:tabs>
          <w:tab w:val="left" w:pos="360"/>
          <w:tab w:val="left" w:pos="720"/>
          <w:tab w:val="left" w:pos="1080"/>
        </w:tabs>
        <w:spacing w:line="240" w:lineRule="auto"/>
        <w:rPr>
          <w:bCs/>
          <w:i/>
        </w:rPr>
      </w:pPr>
    </w:p>
    <w:p w14:paraId="1318AC88" w14:textId="77777777" w:rsidR="0078645D" w:rsidRPr="00936AB4" w:rsidRDefault="0078645D" w:rsidP="0078645D">
      <w:pPr>
        <w:tabs>
          <w:tab w:val="left" w:pos="360"/>
          <w:tab w:val="left" w:pos="720"/>
          <w:tab w:val="left" w:pos="1080"/>
        </w:tabs>
        <w:spacing w:line="240" w:lineRule="auto"/>
        <w:rPr>
          <w:b/>
          <w:bCs/>
        </w:rPr>
      </w:pPr>
      <w:r w:rsidRPr="00936AB4">
        <w:rPr>
          <w:b/>
          <w:bCs/>
        </w:rPr>
        <w:t>15. If a physician authorized user met the training and experience criteria under 10 CFR 35.390 or 35.690 and receives additional training and experience for a new medical use under the same section of the regulation, is another attestation statement needed?</w:t>
      </w:r>
    </w:p>
    <w:p w14:paraId="349F9275" w14:textId="77777777" w:rsidR="0078645D" w:rsidRPr="0078645D" w:rsidRDefault="0078645D" w:rsidP="0078645D">
      <w:pPr>
        <w:tabs>
          <w:tab w:val="left" w:pos="360"/>
          <w:tab w:val="left" w:pos="720"/>
          <w:tab w:val="left" w:pos="1080"/>
        </w:tabs>
        <w:spacing w:line="240" w:lineRule="auto"/>
        <w:rPr>
          <w:bCs/>
          <w:i/>
        </w:rPr>
      </w:pPr>
      <w:r w:rsidRPr="0078645D">
        <w:rPr>
          <w:bCs/>
          <w:i/>
        </w:rPr>
        <w:t xml:space="preserve">  </w:t>
      </w:r>
    </w:p>
    <w:p w14:paraId="68C25D0E" w14:textId="2EE16078" w:rsidR="0078645D" w:rsidRPr="0078645D" w:rsidRDefault="0078645D" w:rsidP="0078645D">
      <w:pPr>
        <w:tabs>
          <w:tab w:val="left" w:pos="360"/>
          <w:tab w:val="left" w:pos="720"/>
          <w:tab w:val="left" w:pos="1080"/>
        </w:tabs>
        <w:spacing w:line="240" w:lineRule="auto"/>
        <w:rPr>
          <w:bCs/>
          <w:i/>
        </w:rPr>
      </w:pPr>
      <w:r w:rsidRPr="0078645D">
        <w:rPr>
          <w:bCs/>
          <w:i/>
        </w:rPr>
        <w:t xml:space="preserve">Yes, under certain circumstances.  Another attestation statement is not needed if the authorized user initially qualified under the board certification pathway.  However, another attestation is needed if the authorized user initially qualified for </w:t>
      </w:r>
      <w:r w:rsidR="004B0435" w:rsidRPr="004B0435">
        <w:rPr>
          <w:rFonts w:eastAsia="Calibri"/>
          <w:i/>
        </w:rPr>
        <w:t>10 CFR</w:t>
      </w:r>
      <w:r w:rsidR="004B0435" w:rsidRPr="0078645D">
        <w:rPr>
          <w:bCs/>
          <w:i/>
        </w:rPr>
        <w:t xml:space="preserve"> </w:t>
      </w:r>
      <w:r w:rsidRPr="0078645D">
        <w:rPr>
          <w:bCs/>
          <w:i/>
        </w:rPr>
        <w:t xml:space="preserve">35.390 or 35.690 under the alternate training and experience pathway. </w:t>
      </w:r>
    </w:p>
    <w:p w14:paraId="0378D807" w14:textId="77777777" w:rsidR="0078645D" w:rsidRPr="0078645D" w:rsidRDefault="0078645D" w:rsidP="0078645D">
      <w:pPr>
        <w:tabs>
          <w:tab w:val="left" w:pos="360"/>
          <w:tab w:val="left" w:pos="720"/>
          <w:tab w:val="left" w:pos="1080"/>
        </w:tabs>
        <w:spacing w:line="240" w:lineRule="auto"/>
        <w:rPr>
          <w:b/>
          <w:bCs/>
        </w:rPr>
      </w:pPr>
    </w:p>
    <w:p w14:paraId="4E043446" w14:textId="77777777" w:rsidR="0078645D" w:rsidRPr="0078645D" w:rsidRDefault="0078645D" w:rsidP="0078645D">
      <w:pPr>
        <w:tabs>
          <w:tab w:val="left" w:pos="360"/>
          <w:tab w:val="left" w:pos="720"/>
          <w:tab w:val="left" w:pos="1080"/>
        </w:tabs>
        <w:spacing w:line="240" w:lineRule="auto"/>
        <w:rPr>
          <w:b/>
        </w:rPr>
      </w:pPr>
      <w:r w:rsidRPr="0078645D">
        <w:rPr>
          <w:b/>
          <w:bCs/>
        </w:rPr>
        <w:t xml:space="preserve">16. </w:t>
      </w:r>
      <w:r w:rsidRPr="0078645D">
        <w:rPr>
          <w:b/>
        </w:rPr>
        <w:t>If an authorized medical physicist met the training and experience criteria under 10 CFR 35.51 and receives additional training and experience for a new medical use under the same section of the regulation, is another attestation statement needed?</w:t>
      </w:r>
    </w:p>
    <w:p w14:paraId="12562FF5" w14:textId="77777777" w:rsidR="0078645D" w:rsidRPr="0078645D" w:rsidRDefault="0078645D" w:rsidP="0078645D">
      <w:pPr>
        <w:tabs>
          <w:tab w:val="left" w:pos="360"/>
          <w:tab w:val="left" w:pos="720"/>
          <w:tab w:val="left" w:pos="1080"/>
        </w:tabs>
        <w:spacing w:line="240" w:lineRule="auto"/>
        <w:rPr>
          <w:bCs/>
          <w:highlight w:val="cyan"/>
        </w:rPr>
      </w:pPr>
      <w:r w:rsidRPr="0078645D">
        <w:rPr>
          <w:highlight w:val="cyan"/>
        </w:rPr>
        <w:t xml:space="preserve">  </w:t>
      </w:r>
    </w:p>
    <w:p w14:paraId="0F7A8B45" w14:textId="77777777" w:rsidR="0078645D" w:rsidRPr="0078645D" w:rsidRDefault="0078645D" w:rsidP="0078645D">
      <w:pPr>
        <w:tabs>
          <w:tab w:val="left" w:pos="360"/>
          <w:tab w:val="left" w:pos="720"/>
          <w:tab w:val="left" w:pos="1080"/>
        </w:tabs>
        <w:spacing w:line="240" w:lineRule="auto"/>
        <w:contextualSpacing/>
        <w:rPr>
          <w:bCs/>
          <w:i/>
        </w:rPr>
      </w:pPr>
      <w:r w:rsidRPr="0078645D">
        <w:rPr>
          <w:bCs/>
          <w:i/>
        </w:rPr>
        <w:t xml:space="preserve">Yes, under certain circumstances. </w:t>
      </w:r>
      <w:r w:rsidRPr="0078645D">
        <w:rPr>
          <w:i/>
        </w:rPr>
        <w:t>Another attestation statement is not needed if the authorized medical physicist initially qualified under the board certification pathway.  However, another attestation is needed if the authorized medical physicist initially qualified under the alternate training and experience pathway.</w:t>
      </w:r>
    </w:p>
    <w:p w14:paraId="6B3D918F" w14:textId="77777777" w:rsidR="0078645D" w:rsidRPr="0078645D" w:rsidRDefault="0078645D" w:rsidP="0078645D">
      <w:pPr>
        <w:tabs>
          <w:tab w:val="left" w:pos="360"/>
          <w:tab w:val="left" w:pos="720"/>
          <w:tab w:val="left" w:pos="1080"/>
        </w:tabs>
        <w:spacing w:line="240" w:lineRule="auto"/>
        <w:rPr>
          <w:i/>
        </w:rPr>
      </w:pPr>
    </w:p>
    <w:p w14:paraId="3405FD55" w14:textId="5B057D88" w:rsidR="0078645D" w:rsidRPr="0078645D" w:rsidRDefault="0078645D" w:rsidP="0078645D">
      <w:pPr>
        <w:tabs>
          <w:tab w:val="left" w:pos="360"/>
          <w:tab w:val="left" w:pos="720"/>
          <w:tab w:val="left" w:pos="1080"/>
        </w:tabs>
        <w:spacing w:line="240" w:lineRule="auto"/>
        <w:rPr>
          <w:b/>
          <w:bCs/>
        </w:rPr>
      </w:pPr>
      <w:r w:rsidRPr="0078645D">
        <w:rPr>
          <w:b/>
          <w:bCs/>
        </w:rPr>
        <w:t xml:space="preserve">17. If a licensee authorized for specific medical uses wants to expand those medical uses, and the RSO receives additional training specified in </w:t>
      </w:r>
      <w:r w:rsidR="004B0435" w:rsidRPr="004B0435">
        <w:rPr>
          <w:rFonts w:eastAsia="Calibri"/>
          <w:b/>
        </w:rPr>
        <w:t>10 CFR</w:t>
      </w:r>
      <w:r w:rsidR="004B0435" w:rsidRPr="0078645D">
        <w:rPr>
          <w:b/>
          <w:bCs/>
        </w:rPr>
        <w:t xml:space="preserve"> </w:t>
      </w:r>
      <w:r w:rsidRPr="0078645D">
        <w:rPr>
          <w:b/>
          <w:bCs/>
        </w:rPr>
        <w:t xml:space="preserve">35.50(d) for the new uses, does the RSO need a new attestation statement for this training? </w:t>
      </w:r>
    </w:p>
    <w:p w14:paraId="64D46C62" w14:textId="77777777" w:rsidR="0078645D" w:rsidRPr="0078645D" w:rsidRDefault="0078645D" w:rsidP="0078645D">
      <w:pPr>
        <w:tabs>
          <w:tab w:val="left" w:pos="360"/>
          <w:tab w:val="left" w:pos="720"/>
          <w:tab w:val="left" w:pos="1080"/>
        </w:tabs>
        <w:spacing w:line="240" w:lineRule="auto"/>
        <w:rPr>
          <w:bCs/>
          <w:i/>
        </w:rPr>
      </w:pPr>
    </w:p>
    <w:p w14:paraId="444EE8E2" w14:textId="2CF5D163" w:rsidR="0078645D" w:rsidRPr="0078645D" w:rsidRDefault="0078645D" w:rsidP="0078645D">
      <w:pPr>
        <w:tabs>
          <w:tab w:val="left" w:pos="360"/>
          <w:tab w:val="left" w:pos="720"/>
          <w:tab w:val="left" w:pos="1080"/>
        </w:tabs>
        <w:spacing w:line="240" w:lineRule="auto"/>
        <w:rPr>
          <w:bCs/>
          <w:i/>
        </w:rPr>
      </w:pPr>
      <w:r w:rsidRPr="0078645D">
        <w:rPr>
          <w:bCs/>
          <w:i/>
        </w:rPr>
        <w:t xml:space="preserve">Yes, under certain circumstances.  An additional attestation statement is needed if the RSO initially qualified under the alternate training and experience pathway; i.e., </w:t>
      </w:r>
      <w:r w:rsidR="004B0435" w:rsidRPr="004B0435">
        <w:rPr>
          <w:rFonts w:eastAsia="Calibri"/>
          <w:i/>
        </w:rPr>
        <w:t>10 CFR</w:t>
      </w:r>
      <w:r w:rsidR="004B0435" w:rsidRPr="0078645D">
        <w:rPr>
          <w:bCs/>
          <w:i/>
        </w:rPr>
        <w:t xml:space="preserve"> </w:t>
      </w:r>
      <w:r w:rsidRPr="0078645D">
        <w:rPr>
          <w:bCs/>
          <w:i/>
        </w:rPr>
        <w:t xml:space="preserve">35.50(b)(1).  However, an attestation statement is not necessary for an individual who qualified via any other pathway.  </w:t>
      </w:r>
    </w:p>
    <w:p w14:paraId="2248F48E" w14:textId="77777777" w:rsidR="0078645D" w:rsidRPr="0078645D" w:rsidRDefault="0078645D" w:rsidP="0078645D">
      <w:pPr>
        <w:tabs>
          <w:tab w:val="left" w:pos="360"/>
          <w:tab w:val="left" w:pos="720"/>
          <w:tab w:val="left" w:pos="1080"/>
        </w:tabs>
        <w:spacing w:line="240" w:lineRule="auto"/>
        <w:rPr>
          <w:bCs/>
          <w:i/>
        </w:rPr>
      </w:pPr>
    </w:p>
    <w:p w14:paraId="63DAA5E1" w14:textId="69BBDB8A" w:rsidR="0078645D" w:rsidRPr="0078645D" w:rsidRDefault="0078645D" w:rsidP="0078645D">
      <w:pPr>
        <w:tabs>
          <w:tab w:val="left" w:pos="360"/>
          <w:tab w:val="left" w:pos="720"/>
          <w:tab w:val="left" w:pos="1080"/>
        </w:tabs>
        <w:spacing w:line="240" w:lineRule="auto"/>
        <w:rPr>
          <w:b/>
          <w:bCs/>
        </w:rPr>
      </w:pPr>
      <w:r w:rsidRPr="0078645D">
        <w:rPr>
          <w:b/>
          <w:bCs/>
        </w:rPr>
        <w:t>18.</w:t>
      </w:r>
      <w:r w:rsidRPr="0078645D">
        <w:rPr>
          <w:b/>
          <w:bCs/>
        </w:rPr>
        <w:tab/>
        <w:t>Why did NRC amend the wording of attestation statements?</w:t>
      </w:r>
    </w:p>
    <w:p w14:paraId="561A8EB7" w14:textId="77777777" w:rsidR="0078645D" w:rsidRPr="0078645D" w:rsidRDefault="0078645D" w:rsidP="0078645D">
      <w:pPr>
        <w:tabs>
          <w:tab w:val="left" w:pos="360"/>
          <w:tab w:val="left" w:pos="720"/>
          <w:tab w:val="left" w:pos="1080"/>
        </w:tabs>
        <w:spacing w:line="240" w:lineRule="auto"/>
        <w:rPr>
          <w:bCs/>
          <w:i/>
        </w:rPr>
      </w:pPr>
    </w:p>
    <w:p w14:paraId="53E1E47C" w14:textId="77777777" w:rsidR="0078645D" w:rsidRPr="0078645D" w:rsidRDefault="0078645D" w:rsidP="0078645D">
      <w:pPr>
        <w:tabs>
          <w:tab w:val="left" w:pos="360"/>
          <w:tab w:val="left" w:pos="720"/>
          <w:tab w:val="left" w:pos="1080"/>
        </w:tabs>
        <w:spacing w:line="240" w:lineRule="auto"/>
        <w:rPr>
          <w:bCs/>
          <w:i/>
        </w:rPr>
      </w:pPr>
      <w:r w:rsidRPr="0078645D">
        <w:rPr>
          <w:bCs/>
          <w:i/>
        </w:rPr>
        <w:t>The NRC had intended “level of competency” in current attestations to refer to radiation safety competency.  However, the medical community expressed concern that this could be interpreted to be as an attestation of medical competency.  Therefore, NRC’s new attestation statements no longer include the word “competency.”</w:t>
      </w:r>
    </w:p>
    <w:p w14:paraId="1C07595E" w14:textId="77777777" w:rsidR="0078645D" w:rsidRPr="0078645D" w:rsidRDefault="0078645D" w:rsidP="0078645D">
      <w:pPr>
        <w:tabs>
          <w:tab w:val="left" w:pos="360"/>
          <w:tab w:val="left" w:pos="720"/>
          <w:tab w:val="left" w:pos="1080"/>
        </w:tabs>
        <w:spacing w:line="240" w:lineRule="auto"/>
        <w:rPr>
          <w:b/>
          <w:bCs/>
          <w:i/>
        </w:rPr>
      </w:pPr>
    </w:p>
    <w:p w14:paraId="60FC2956" w14:textId="77777777" w:rsidR="0078645D" w:rsidRPr="0078645D" w:rsidRDefault="0078645D" w:rsidP="0078645D">
      <w:pPr>
        <w:tabs>
          <w:tab w:val="left" w:pos="360"/>
          <w:tab w:val="left" w:pos="720"/>
          <w:tab w:val="left" w:pos="1080"/>
        </w:tabs>
        <w:spacing w:line="240" w:lineRule="auto"/>
        <w:rPr>
          <w:b/>
          <w:bCs/>
          <w:i/>
        </w:rPr>
      </w:pPr>
    </w:p>
    <w:p w14:paraId="44CABF4E" w14:textId="77777777" w:rsidR="0078645D" w:rsidRPr="0078645D" w:rsidRDefault="0078645D" w:rsidP="0078645D">
      <w:pPr>
        <w:tabs>
          <w:tab w:val="left" w:pos="360"/>
          <w:tab w:val="left" w:pos="720"/>
          <w:tab w:val="left" w:pos="1080"/>
        </w:tabs>
        <w:spacing w:line="240" w:lineRule="auto"/>
        <w:rPr>
          <w:b/>
          <w:bCs/>
        </w:rPr>
      </w:pPr>
      <w:r w:rsidRPr="0078645D">
        <w:rPr>
          <w:b/>
          <w:bCs/>
        </w:rPr>
        <w:t>19.</w:t>
      </w:r>
      <w:r w:rsidRPr="0078645D">
        <w:rPr>
          <w:b/>
          <w:bCs/>
        </w:rPr>
        <w:tab/>
        <w:t>May a non-authorized user residency program director sign an attestation form?</w:t>
      </w:r>
    </w:p>
    <w:p w14:paraId="3119DEDD" w14:textId="77777777" w:rsidR="0078645D" w:rsidRPr="0078645D" w:rsidRDefault="0078645D" w:rsidP="0078645D">
      <w:pPr>
        <w:tabs>
          <w:tab w:val="left" w:pos="360"/>
          <w:tab w:val="left" w:pos="720"/>
          <w:tab w:val="left" w:pos="1080"/>
        </w:tabs>
        <w:spacing w:line="240" w:lineRule="auto"/>
        <w:rPr>
          <w:bCs/>
          <w:i/>
        </w:rPr>
      </w:pPr>
    </w:p>
    <w:p w14:paraId="4887A1B8" w14:textId="77777777" w:rsidR="0078645D" w:rsidRPr="0078645D" w:rsidRDefault="0078645D" w:rsidP="0078645D">
      <w:pPr>
        <w:tabs>
          <w:tab w:val="left" w:pos="360"/>
          <w:tab w:val="left" w:pos="720"/>
          <w:tab w:val="left" w:pos="1080"/>
        </w:tabs>
        <w:spacing w:line="240" w:lineRule="auto"/>
        <w:rPr>
          <w:bCs/>
          <w:i/>
        </w:rPr>
      </w:pPr>
      <w:r w:rsidRPr="0078645D">
        <w:rPr>
          <w:bCs/>
          <w:i/>
        </w:rPr>
        <w:t xml:space="preserve">Yes, in most cases.  The regulations specify the conditions necessary for a residency program director to sign an attestation.  The attestation must represent the consensus of the residency program faculty where at least one faculty member is an authorized user for the same use and concurs with the attestation.  The residency program must </w:t>
      </w:r>
      <w:r w:rsidR="00B45B93">
        <w:rPr>
          <w:bCs/>
          <w:i/>
        </w:rPr>
        <w:t xml:space="preserve">also </w:t>
      </w:r>
      <w:r w:rsidRPr="0078645D">
        <w:rPr>
          <w:bCs/>
          <w:i/>
        </w:rPr>
        <w:t>be approved by one of the accreditation organizations listed in the regulation.</w:t>
      </w:r>
    </w:p>
    <w:p w14:paraId="1653FD18" w14:textId="77777777" w:rsidR="0078645D" w:rsidRPr="0078645D" w:rsidRDefault="0078645D" w:rsidP="0078645D">
      <w:pPr>
        <w:tabs>
          <w:tab w:val="left" w:pos="360"/>
          <w:tab w:val="left" w:pos="720"/>
          <w:tab w:val="left" w:pos="1080"/>
        </w:tabs>
        <w:spacing w:line="240" w:lineRule="auto"/>
        <w:rPr>
          <w:bCs/>
          <w:i/>
        </w:rPr>
      </w:pPr>
    </w:p>
    <w:p w14:paraId="2F212EC1" w14:textId="77777777" w:rsidR="0078645D" w:rsidRPr="0078645D" w:rsidRDefault="0078645D" w:rsidP="0078645D">
      <w:pPr>
        <w:tabs>
          <w:tab w:val="left" w:pos="360"/>
          <w:tab w:val="left" w:pos="720"/>
          <w:tab w:val="left" w:pos="1080"/>
        </w:tabs>
        <w:spacing w:line="240" w:lineRule="auto"/>
        <w:rPr>
          <w:b/>
          <w:bCs/>
        </w:rPr>
      </w:pPr>
      <w:r w:rsidRPr="0078645D">
        <w:rPr>
          <w:b/>
          <w:bCs/>
        </w:rPr>
        <w:t xml:space="preserve">20. May an individual who qualifies </w:t>
      </w:r>
      <w:r w:rsidRPr="0078645D">
        <w:rPr>
          <w:b/>
          <w:bCs/>
          <w:iCs/>
        </w:rPr>
        <w:t xml:space="preserve">as an AU or AMP </w:t>
      </w:r>
      <w:r w:rsidRPr="0078645D">
        <w:rPr>
          <w:b/>
          <w:bCs/>
        </w:rPr>
        <w:t>under</w:t>
      </w:r>
      <w:r w:rsidRPr="0078645D">
        <w:rPr>
          <w:b/>
          <w:bCs/>
          <w:iCs/>
        </w:rPr>
        <w:t xml:space="preserve"> 10 CFR 35.57 serve as a preceptor or supervisor for an applicant </w:t>
      </w:r>
      <w:r w:rsidRPr="0078645D">
        <w:rPr>
          <w:b/>
          <w:bCs/>
        </w:rPr>
        <w:t>seeking authorization on NRC licenses for the same uses?</w:t>
      </w:r>
    </w:p>
    <w:p w14:paraId="270B5BF6" w14:textId="77777777" w:rsidR="0078645D" w:rsidRPr="0078645D" w:rsidRDefault="0078645D" w:rsidP="0078645D">
      <w:pPr>
        <w:tabs>
          <w:tab w:val="left" w:pos="360"/>
          <w:tab w:val="left" w:pos="720"/>
          <w:tab w:val="left" w:pos="1080"/>
        </w:tabs>
        <w:spacing w:line="240" w:lineRule="auto"/>
        <w:rPr>
          <w:bCs/>
          <w:i/>
        </w:rPr>
      </w:pPr>
      <w:r w:rsidRPr="0078645D">
        <w:rPr>
          <w:bCs/>
          <w:i/>
        </w:rPr>
        <w:t xml:space="preserve"> </w:t>
      </w:r>
    </w:p>
    <w:p w14:paraId="79D3A888" w14:textId="77777777" w:rsidR="0078645D" w:rsidRPr="0078645D" w:rsidRDefault="0078645D" w:rsidP="0078645D">
      <w:pPr>
        <w:tabs>
          <w:tab w:val="left" w:pos="360"/>
          <w:tab w:val="left" w:pos="720"/>
          <w:tab w:val="left" w:pos="1080"/>
        </w:tabs>
        <w:spacing w:line="240" w:lineRule="auto"/>
        <w:rPr>
          <w:bCs/>
          <w:i/>
        </w:rPr>
      </w:pPr>
      <w:r w:rsidRPr="0078645D">
        <w:rPr>
          <w:bCs/>
          <w:i/>
        </w:rPr>
        <w:t>Yes.</w:t>
      </w:r>
      <w:r w:rsidRPr="0078645D">
        <w:rPr>
          <w:bCs/>
          <w:i/>
          <w:iCs/>
        </w:rPr>
        <w:t xml:space="preserve"> </w:t>
      </w:r>
    </w:p>
    <w:p w14:paraId="47F56423" w14:textId="77777777" w:rsidR="0078645D" w:rsidRPr="0078645D" w:rsidRDefault="0078645D" w:rsidP="0078645D">
      <w:pPr>
        <w:tabs>
          <w:tab w:val="left" w:pos="360"/>
          <w:tab w:val="left" w:pos="720"/>
          <w:tab w:val="left" w:pos="1080"/>
        </w:tabs>
        <w:spacing w:line="240" w:lineRule="auto"/>
        <w:rPr>
          <w:bCs/>
          <w:i/>
        </w:rPr>
      </w:pPr>
    </w:p>
    <w:p w14:paraId="2C0F80F0" w14:textId="77777777" w:rsidR="0078645D" w:rsidRPr="0078645D" w:rsidRDefault="0078645D" w:rsidP="0078645D">
      <w:pPr>
        <w:tabs>
          <w:tab w:val="left" w:pos="360"/>
          <w:tab w:val="left" w:pos="720"/>
          <w:tab w:val="left" w:pos="1080"/>
        </w:tabs>
        <w:spacing w:line="240" w:lineRule="auto"/>
        <w:rPr>
          <w:b/>
          <w:bCs/>
        </w:rPr>
      </w:pPr>
      <w:r w:rsidRPr="0078645D">
        <w:rPr>
          <w:b/>
          <w:bCs/>
        </w:rPr>
        <w:t xml:space="preserve">21. The wording of attestation statements changed in the rule and the number of individuals needing attestations has decreased.  If a licensee submits an older version of the NRC Form 313A series for a proposed authorized individual and it includes an attestation that is now unnecessary or does not match the wording of the revised attestation, is it necessary for the proposed authorized individual to obtain a new NRC Form 313A? </w:t>
      </w:r>
    </w:p>
    <w:p w14:paraId="69D23214" w14:textId="77777777" w:rsidR="0078645D" w:rsidRPr="0078645D" w:rsidRDefault="0078645D" w:rsidP="0078645D">
      <w:pPr>
        <w:tabs>
          <w:tab w:val="left" w:pos="360"/>
          <w:tab w:val="left" w:pos="720"/>
          <w:tab w:val="left" w:pos="1080"/>
        </w:tabs>
        <w:spacing w:line="240" w:lineRule="auto"/>
        <w:rPr>
          <w:bCs/>
          <w:i/>
        </w:rPr>
      </w:pPr>
    </w:p>
    <w:p w14:paraId="3FD820A0" w14:textId="77777777" w:rsidR="0078645D" w:rsidRPr="0078645D" w:rsidRDefault="0078645D" w:rsidP="0078645D">
      <w:pPr>
        <w:tabs>
          <w:tab w:val="left" w:pos="360"/>
          <w:tab w:val="left" w:pos="720"/>
          <w:tab w:val="left" w:pos="1080"/>
        </w:tabs>
        <w:spacing w:line="240" w:lineRule="auto"/>
        <w:rPr>
          <w:bCs/>
          <w:i/>
        </w:rPr>
      </w:pPr>
      <w:r w:rsidRPr="0078645D">
        <w:rPr>
          <w:bCs/>
          <w:i/>
        </w:rPr>
        <w:t>No.  Submission of information such as a preceptor statement that is not required is neither reviewed nor part of the license.  While NRC expects future attestations to conform to the new rule, the former attestation language will be accepted as adequate to meet the current attestation requirements.</w:t>
      </w:r>
    </w:p>
    <w:p w14:paraId="61688186" w14:textId="77777777" w:rsidR="0078645D" w:rsidRPr="0078645D" w:rsidRDefault="0078645D" w:rsidP="0078645D">
      <w:pPr>
        <w:tabs>
          <w:tab w:val="left" w:pos="360"/>
          <w:tab w:val="left" w:pos="720"/>
          <w:tab w:val="left" w:pos="1080"/>
        </w:tabs>
        <w:spacing w:line="240" w:lineRule="auto"/>
        <w:rPr>
          <w:i/>
        </w:rPr>
      </w:pPr>
    </w:p>
    <w:p w14:paraId="013DE500" w14:textId="77777777" w:rsidR="0078645D" w:rsidRPr="0078645D" w:rsidRDefault="0078645D" w:rsidP="0078645D">
      <w:pPr>
        <w:tabs>
          <w:tab w:val="left" w:pos="360"/>
          <w:tab w:val="left" w:pos="720"/>
          <w:tab w:val="left" w:pos="1080"/>
        </w:tabs>
        <w:spacing w:line="240" w:lineRule="auto"/>
        <w:rPr>
          <w:b/>
        </w:rPr>
      </w:pPr>
    </w:p>
    <w:p w14:paraId="3E86D305" w14:textId="77777777" w:rsidR="0078645D" w:rsidRPr="0078645D" w:rsidRDefault="0078645D" w:rsidP="0078645D">
      <w:pPr>
        <w:tabs>
          <w:tab w:val="left" w:pos="360"/>
          <w:tab w:val="left" w:pos="720"/>
          <w:tab w:val="left" w:pos="1080"/>
        </w:tabs>
        <w:spacing w:line="240" w:lineRule="auto"/>
        <w:rPr>
          <w:b/>
        </w:rPr>
      </w:pPr>
      <w:r w:rsidRPr="0078645D">
        <w:rPr>
          <w:b/>
        </w:rPr>
        <w:t>Radiation Safety Officers and Associate Radiation Safety Officers</w:t>
      </w:r>
    </w:p>
    <w:p w14:paraId="555A2C20" w14:textId="77777777" w:rsidR="0078645D" w:rsidRPr="0078645D" w:rsidRDefault="0078645D" w:rsidP="0078645D">
      <w:pPr>
        <w:tabs>
          <w:tab w:val="left" w:pos="360"/>
          <w:tab w:val="left" w:pos="720"/>
          <w:tab w:val="left" w:pos="1080"/>
        </w:tabs>
        <w:spacing w:line="240" w:lineRule="auto"/>
        <w:rPr>
          <w:i/>
        </w:rPr>
      </w:pPr>
    </w:p>
    <w:p w14:paraId="7F5BAD99" w14:textId="77777777" w:rsidR="0078645D" w:rsidRPr="0078645D" w:rsidRDefault="0078645D" w:rsidP="0078645D">
      <w:pPr>
        <w:tabs>
          <w:tab w:val="left" w:pos="360"/>
          <w:tab w:val="left" w:pos="720"/>
          <w:tab w:val="left" w:pos="1080"/>
        </w:tabs>
        <w:spacing w:line="240" w:lineRule="auto"/>
        <w:ind w:left="576" w:hanging="576"/>
        <w:rPr>
          <w:b/>
        </w:rPr>
      </w:pPr>
      <w:r w:rsidRPr="0078645D">
        <w:rPr>
          <w:b/>
        </w:rPr>
        <w:t>22. Can a medical use licensee have more than one Radiation Safety Officer (RSO)?</w:t>
      </w:r>
    </w:p>
    <w:p w14:paraId="7B1FCEF3" w14:textId="77777777" w:rsidR="0078645D" w:rsidRPr="0078645D" w:rsidRDefault="0078645D" w:rsidP="0078645D">
      <w:pPr>
        <w:tabs>
          <w:tab w:val="left" w:pos="360"/>
          <w:tab w:val="left" w:pos="720"/>
          <w:tab w:val="left" w:pos="1080"/>
        </w:tabs>
        <w:spacing w:line="240" w:lineRule="auto"/>
        <w:ind w:left="576" w:hanging="576"/>
        <w:rPr>
          <w:b/>
        </w:rPr>
      </w:pPr>
    </w:p>
    <w:p w14:paraId="0E533099" w14:textId="34DE5D18" w:rsidR="0078645D" w:rsidRPr="0078645D" w:rsidRDefault="0078645D" w:rsidP="0078645D">
      <w:pPr>
        <w:tabs>
          <w:tab w:val="left" w:pos="360"/>
          <w:tab w:val="left" w:pos="720"/>
          <w:tab w:val="left" w:pos="1080"/>
        </w:tabs>
        <w:spacing w:line="240" w:lineRule="auto"/>
        <w:ind w:left="90"/>
        <w:rPr>
          <w:i/>
        </w:rPr>
      </w:pPr>
      <w:r w:rsidRPr="0078645D">
        <w:rPr>
          <w:i/>
        </w:rPr>
        <w:t>No, there can be only one RSO, but there may be more than one Associate Radiation Safety Officer, or more than one temporary RSO</w:t>
      </w:r>
      <w:r w:rsidR="00936AB4">
        <w:rPr>
          <w:i/>
        </w:rPr>
        <w:t xml:space="preserve"> in accordance with 10 CFR 35.24(c)</w:t>
      </w:r>
      <w:r w:rsidRPr="0078645D">
        <w:rPr>
          <w:i/>
        </w:rPr>
        <w:t>.</w:t>
      </w:r>
    </w:p>
    <w:p w14:paraId="287C1BD9" w14:textId="77777777" w:rsidR="0078645D" w:rsidRPr="0078645D" w:rsidRDefault="0078645D" w:rsidP="0078645D">
      <w:pPr>
        <w:tabs>
          <w:tab w:val="left" w:pos="360"/>
          <w:tab w:val="left" w:pos="720"/>
          <w:tab w:val="left" w:pos="1080"/>
        </w:tabs>
        <w:spacing w:line="240" w:lineRule="auto"/>
        <w:ind w:left="576" w:hanging="576"/>
        <w:rPr>
          <w:b/>
        </w:rPr>
      </w:pPr>
    </w:p>
    <w:p w14:paraId="3C452B80" w14:textId="77777777" w:rsidR="0078645D" w:rsidRPr="0078645D" w:rsidRDefault="0078645D" w:rsidP="0078645D">
      <w:pPr>
        <w:tabs>
          <w:tab w:val="left" w:pos="360"/>
          <w:tab w:val="left" w:pos="720"/>
          <w:tab w:val="left" w:pos="1080"/>
        </w:tabs>
        <w:spacing w:line="240" w:lineRule="auto"/>
        <w:ind w:left="576" w:hanging="576"/>
      </w:pPr>
      <w:r w:rsidRPr="0078645D">
        <w:rPr>
          <w:b/>
        </w:rPr>
        <w:t>23.</w:t>
      </w:r>
      <w:r w:rsidRPr="0078645D">
        <w:t xml:space="preserve"> </w:t>
      </w:r>
      <w:r w:rsidRPr="0078645D">
        <w:rPr>
          <w:b/>
        </w:rPr>
        <w:t>Why would a licensee want to have an Associate Radiation Safety Officer (ARSO)?</w:t>
      </w:r>
    </w:p>
    <w:p w14:paraId="44A294E8" w14:textId="77777777" w:rsidR="0078645D" w:rsidRPr="0078645D" w:rsidRDefault="0078645D" w:rsidP="0078645D">
      <w:pPr>
        <w:tabs>
          <w:tab w:val="left" w:pos="360"/>
          <w:tab w:val="left" w:pos="720"/>
          <w:tab w:val="left" w:pos="1080"/>
        </w:tabs>
        <w:spacing w:line="240" w:lineRule="auto"/>
        <w:ind w:left="720" w:hanging="720"/>
        <w:contextualSpacing/>
      </w:pPr>
    </w:p>
    <w:p w14:paraId="2C376618" w14:textId="77777777" w:rsidR="0078645D" w:rsidRPr="0078645D" w:rsidRDefault="0078645D" w:rsidP="0078645D">
      <w:pPr>
        <w:tabs>
          <w:tab w:val="left" w:pos="-1428"/>
          <w:tab w:val="left" w:pos="-720"/>
          <w:tab w:val="left" w:pos="108"/>
          <w:tab w:val="left" w:pos="450"/>
          <w:tab w:val="left" w:pos="54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r w:rsidRPr="0078645D">
        <w:rPr>
          <w:i/>
        </w:rPr>
        <w:t>The licensee may want to request a license amendment to identify one or more individuals to assist the Radiation Safety Officer (RSO).  The approved ARSO(s) would be listed on the license.  The ARSO(s) would be assigned duties and task</w:t>
      </w:r>
      <w:r w:rsidR="00B45B93">
        <w:rPr>
          <w:i/>
        </w:rPr>
        <w:t>s</w:t>
      </w:r>
      <w:r w:rsidRPr="0078645D">
        <w:rPr>
          <w:i/>
        </w:rPr>
        <w:t xml:space="preserve"> in the oversight of the radiation safety operations of designated sections of the licensed program, while reporting to the named RSO. </w:t>
      </w:r>
    </w:p>
    <w:p w14:paraId="64546A14" w14:textId="77777777" w:rsidR="0078645D" w:rsidRPr="0078645D" w:rsidRDefault="0078645D" w:rsidP="0078645D">
      <w:pPr>
        <w:tabs>
          <w:tab w:val="left" w:pos="-1428"/>
          <w:tab w:val="left" w:pos="-720"/>
          <w:tab w:val="left" w:pos="108"/>
          <w:tab w:val="left" w:pos="450"/>
          <w:tab w:val="left" w:pos="54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r w:rsidRPr="0078645D">
        <w:rPr>
          <w:i/>
        </w:rPr>
        <w:t xml:space="preserve"> </w:t>
      </w:r>
    </w:p>
    <w:p w14:paraId="1576666C" w14:textId="0B25D8AB" w:rsidR="0078645D" w:rsidRPr="0078645D" w:rsidRDefault="0078645D" w:rsidP="0078645D">
      <w:pPr>
        <w:tabs>
          <w:tab w:val="left" w:pos="-1428"/>
          <w:tab w:val="left" w:pos="-720"/>
          <w:tab w:val="left" w:pos="108"/>
          <w:tab w:val="left" w:pos="360"/>
          <w:tab w:val="left" w:pos="45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r w:rsidRPr="0078645D">
        <w:rPr>
          <w:i/>
        </w:rPr>
        <w:t>The regulations continue to allow a licensee to name only one RSO on a license, who would be responsible for the day-to-day oversight of the entire radiation safety program.  Similarly, licensees with multiple program components or operating locations could appoint one or more qualified ARSOs to perform duties and tasks in the oversight of designated program components or locations of byproduct material use.</w:t>
      </w:r>
    </w:p>
    <w:p w14:paraId="7A43F8F3" w14:textId="77777777" w:rsidR="0078645D" w:rsidRPr="0078645D" w:rsidRDefault="0078645D" w:rsidP="0078645D">
      <w:pPr>
        <w:tabs>
          <w:tab w:val="left" w:pos="360"/>
          <w:tab w:val="left" w:pos="720"/>
          <w:tab w:val="left" w:pos="1080"/>
        </w:tabs>
        <w:spacing w:line="240" w:lineRule="auto"/>
        <w:rPr>
          <w:b/>
        </w:rPr>
      </w:pPr>
    </w:p>
    <w:p w14:paraId="1CB27991" w14:textId="77777777" w:rsidR="0078645D" w:rsidRPr="0078645D" w:rsidRDefault="0078645D" w:rsidP="0078645D">
      <w:pPr>
        <w:tabs>
          <w:tab w:val="left" w:pos="360"/>
          <w:tab w:val="left" w:pos="720"/>
          <w:tab w:val="left" w:pos="1080"/>
        </w:tabs>
        <w:spacing w:line="240" w:lineRule="auto"/>
        <w:rPr>
          <w:b/>
          <w:bCs/>
        </w:rPr>
      </w:pPr>
      <w:r w:rsidRPr="0078645D">
        <w:rPr>
          <w:b/>
        </w:rPr>
        <w:t>24. How</w:t>
      </w:r>
      <w:r w:rsidRPr="0078645D">
        <w:rPr>
          <w:b/>
          <w:bCs/>
        </w:rPr>
        <w:t xml:space="preserve"> does an Associate Radiation Safety Officer differ from an Assistant Radiation Safety Officer?</w:t>
      </w:r>
    </w:p>
    <w:p w14:paraId="05EE69C0" w14:textId="77777777" w:rsidR="0078645D" w:rsidRPr="0078645D" w:rsidRDefault="0078645D" w:rsidP="0078645D">
      <w:pPr>
        <w:tabs>
          <w:tab w:val="left" w:pos="360"/>
          <w:tab w:val="left" w:pos="720"/>
          <w:tab w:val="left" w:pos="1080"/>
        </w:tabs>
        <w:spacing w:line="240" w:lineRule="auto"/>
        <w:ind w:left="540" w:hanging="360"/>
        <w:rPr>
          <w:bCs/>
        </w:rPr>
      </w:pPr>
      <w:r w:rsidRPr="0078645D">
        <w:rPr>
          <w:bCs/>
        </w:rPr>
        <w:t xml:space="preserve"> </w:t>
      </w:r>
    </w:p>
    <w:p w14:paraId="265B9576" w14:textId="42658E78" w:rsidR="0078645D" w:rsidRPr="0078645D" w:rsidRDefault="0078645D" w:rsidP="0078645D">
      <w:pPr>
        <w:tabs>
          <w:tab w:val="left" w:pos="360"/>
          <w:tab w:val="left" w:pos="540"/>
          <w:tab w:val="left" w:pos="720"/>
          <w:tab w:val="left" w:pos="1080"/>
        </w:tabs>
        <w:spacing w:line="240" w:lineRule="auto"/>
        <w:rPr>
          <w:bCs/>
          <w:i/>
        </w:rPr>
      </w:pPr>
      <w:r w:rsidRPr="0078645D">
        <w:rPr>
          <w:bCs/>
          <w:i/>
        </w:rPr>
        <w:t xml:space="preserve">NRC recognizes that licensees may use a variety of different terms to identify members of their radiation safety staff.  </w:t>
      </w:r>
      <w:r w:rsidR="00D77151">
        <w:rPr>
          <w:bCs/>
          <w:i/>
        </w:rPr>
        <w:t>Some Agreement State</w:t>
      </w:r>
      <w:r w:rsidR="00F1295E">
        <w:rPr>
          <w:bCs/>
          <w:i/>
        </w:rPr>
        <w:t>s</w:t>
      </w:r>
      <w:r w:rsidR="00D77151">
        <w:rPr>
          <w:bCs/>
          <w:i/>
        </w:rPr>
        <w:t xml:space="preserve"> </w:t>
      </w:r>
      <w:r w:rsidR="00A17233">
        <w:rPr>
          <w:bCs/>
          <w:i/>
        </w:rPr>
        <w:t xml:space="preserve">may </w:t>
      </w:r>
      <w:r w:rsidR="00D77151">
        <w:rPr>
          <w:bCs/>
          <w:i/>
        </w:rPr>
        <w:t xml:space="preserve">already have </w:t>
      </w:r>
      <w:r w:rsidR="00111AE9">
        <w:rPr>
          <w:bCs/>
          <w:i/>
        </w:rPr>
        <w:t xml:space="preserve">similar </w:t>
      </w:r>
      <w:r w:rsidR="00A17233">
        <w:rPr>
          <w:bCs/>
          <w:i/>
        </w:rPr>
        <w:t>programs in place</w:t>
      </w:r>
      <w:r w:rsidR="007777DC">
        <w:rPr>
          <w:bCs/>
          <w:i/>
        </w:rPr>
        <w:t xml:space="preserve"> </w:t>
      </w:r>
      <w:r w:rsidR="00111AE9">
        <w:rPr>
          <w:bCs/>
          <w:i/>
        </w:rPr>
        <w:t>using similar terminology</w:t>
      </w:r>
      <w:r w:rsidR="00D77151">
        <w:rPr>
          <w:bCs/>
          <w:i/>
        </w:rPr>
        <w:t xml:space="preserve">. </w:t>
      </w:r>
      <w:r w:rsidR="00111AE9">
        <w:rPr>
          <w:bCs/>
          <w:i/>
        </w:rPr>
        <w:t xml:space="preserve"> </w:t>
      </w:r>
      <w:r w:rsidRPr="0078645D">
        <w:rPr>
          <w:bCs/>
          <w:i/>
        </w:rPr>
        <w:t>It was necessary for NRC to select a single term to describe the person other than the Radiation Safety Officer identified in 10 CFR 35.2, 35.24, 35.50 and on the license.  Several different terms were considered, but “Associate Radiation Safety Officer” was chosen.</w:t>
      </w:r>
    </w:p>
    <w:p w14:paraId="228197E0" w14:textId="77777777" w:rsidR="0078645D" w:rsidRPr="0078645D" w:rsidRDefault="0078645D" w:rsidP="0078645D">
      <w:pPr>
        <w:tabs>
          <w:tab w:val="left" w:pos="-1428"/>
          <w:tab w:val="left" w:pos="-720"/>
          <w:tab w:val="left" w:pos="108"/>
          <w:tab w:val="left" w:pos="360"/>
          <w:tab w:val="left" w:pos="45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p>
    <w:p w14:paraId="60AC3534" w14:textId="77777777" w:rsidR="0078645D" w:rsidRPr="0078645D" w:rsidRDefault="0078645D" w:rsidP="0078645D">
      <w:pPr>
        <w:tabs>
          <w:tab w:val="left" w:pos="360"/>
          <w:tab w:val="left" w:pos="720"/>
          <w:tab w:val="left" w:pos="1080"/>
        </w:tabs>
        <w:spacing w:line="240" w:lineRule="auto"/>
        <w:rPr>
          <w:b/>
          <w:color w:val="000000" w:themeColor="text1"/>
        </w:rPr>
      </w:pPr>
      <w:r w:rsidRPr="0078645D">
        <w:rPr>
          <w:b/>
          <w:color w:val="000000" w:themeColor="text1"/>
        </w:rPr>
        <w:t>25.  Why do ARSO’s need to be listed on a license?  Why can’t the licensee just designate ARSOs in their program?</w:t>
      </w:r>
    </w:p>
    <w:p w14:paraId="4981FB02" w14:textId="77777777" w:rsidR="0078645D" w:rsidRPr="0078645D" w:rsidRDefault="0078645D" w:rsidP="0078645D">
      <w:pPr>
        <w:tabs>
          <w:tab w:val="left" w:pos="360"/>
          <w:tab w:val="left" w:pos="720"/>
          <w:tab w:val="left" w:pos="1080"/>
        </w:tabs>
        <w:spacing w:line="240" w:lineRule="auto"/>
        <w:rPr>
          <w:color w:val="000000" w:themeColor="text1"/>
        </w:rPr>
      </w:pPr>
    </w:p>
    <w:p w14:paraId="1A8763E1" w14:textId="497311C0" w:rsidR="0078645D" w:rsidRPr="0078645D" w:rsidRDefault="0078645D" w:rsidP="0078645D">
      <w:pPr>
        <w:tabs>
          <w:tab w:val="left" w:pos="360"/>
          <w:tab w:val="left" w:pos="720"/>
          <w:tab w:val="left" w:pos="1080"/>
        </w:tabs>
        <w:spacing w:line="240" w:lineRule="auto"/>
        <w:rPr>
          <w:i/>
          <w:color w:val="000000" w:themeColor="text1"/>
        </w:rPr>
      </w:pPr>
      <w:r w:rsidRPr="0078645D">
        <w:rPr>
          <w:i/>
          <w:color w:val="000000" w:themeColor="text1"/>
        </w:rPr>
        <w:t xml:space="preserve">NRC </w:t>
      </w:r>
      <w:r w:rsidR="00B45B93">
        <w:rPr>
          <w:i/>
          <w:color w:val="000000" w:themeColor="text1"/>
        </w:rPr>
        <w:t>requires that</w:t>
      </w:r>
      <w:r w:rsidRPr="0078645D">
        <w:rPr>
          <w:i/>
          <w:color w:val="000000" w:themeColor="text1"/>
        </w:rPr>
        <w:t xml:space="preserve"> the ARSO </w:t>
      </w:r>
      <w:r w:rsidR="00B45B93">
        <w:rPr>
          <w:i/>
          <w:color w:val="000000" w:themeColor="text1"/>
        </w:rPr>
        <w:t xml:space="preserve">be listed </w:t>
      </w:r>
      <w:r w:rsidRPr="0078645D">
        <w:rPr>
          <w:i/>
          <w:color w:val="000000" w:themeColor="text1"/>
        </w:rPr>
        <w:t>on the license to avoid confusion between individuals working in a radiation program and those that meet uniform training and experience criteria and are formally delegated duties and task for oversight of parts of the radiation safety program.  The regulator</w:t>
      </w:r>
      <w:r w:rsidR="00B45B93">
        <w:rPr>
          <w:i/>
          <w:color w:val="000000" w:themeColor="text1"/>
        </w:rPr>
        <w:t>’</w:t>
      </w:r>
      <w:r w:rsidRPr="0078645D">
        <w:rPr>
          <w:i/>
          <w:color w:val="000000" w:themeColor="text1"/>
        </w:rPr>
        <w:t>s review of the potential ARSO’s training and experience ensures all individuals meet the same standards. This allows the individual who is named as an ARSO to be recognized by Agreement States and the NRC as an RSO or ARSO for the same medical uses on another license without resubmitting their training and experience documents.</w:t>
      </w:r>
    </w:p>
    <w:p w14:paraId="570F74A5" w14:textId="77777777" w:rsidR="0078645D" w:rsidRPr="0078645D" w:rsidRDefault="0078645D" w:rsidP="0078645D">
      <w:pPr>
        <w:tabs>
          <w:tab w:val="left" w:pos="-1428"/>
          <w:tab w:val="left" w:pos="-720"/>
          <w:tab w:val="left" w:pos="108"/>
          <w:tab w:val="left" w:pos="360"/>
          <w:tab w:val="left" w:pos="45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b/>
        </w:rPr>
      </w:pPr>
    </w:p>
    <w:p w14:paraId="06FAC9D8" w14:textId="272BEE59" w:rsidR="0078645D" w:rsidRPr="0078645D" w:rsidRDefault="0078645D" w:rsidP="0078645D">
      <w:pPr>
        <w:tabs>
          <w:tab w:val="left" w:pos="180"/>
          <w:tab w:val="left" w:pos="720"/>
          <w:tab w:val="left" w:pos="1080"/>
        </w:tabs>
        <w:spacing w:line="240" w:lineRule="auto"/>
        <w:rPr>
          <w:b/>
          <w:bCs/>
        </w:rPr>
      </w:pPr>
      <w:r w:rsidRPr="0078645D">
        <w:rPr>
          <w:b/>
          <w:bCs/>
        </w:rPr>
        <w:t>26. Will NRC recognize an individual named as an “</w:t>
      </w:r>
      <w:r w:rsidR="00B45B93">
        <w:rPr>
          <w:b/>
          <w:bCs/>
        </w:rPr>
        <w:t>A</w:t>
      </w:r>
      <w:r w:rsidR="00B45B93" w:rsidRPr="0078645D">
        <w:rPr>
          <w:b/>
          <w:bCs/>
        </w:rPr>
        <w:t xml:space="preserve">ssociate </w:t>
      </w:r>
      <w:r w:rsidRPr="0078645D">
        <w:rPr>
          <w:b/>
          <w:bCs/>
        </w:rPr>
        <w:t xml:space="preserve">Radiation Safety Officer” on an Agreement State License that does not meet the requirements in </w:t>
      </w:r>
      <w:r w:rsidR="004B0435" w:rsidRPr="00041CBE">
        <w:rPr>
          <w:bCs/>
        </w:rPr>
        <w:t>10 CFR</w:t>
      </w:r>
      <w:r w:rsidR="004B0435" w:rsidRPr="0078645D">
        <w:rPr>
          <w:bCs/>
          <w:i/>
        </w:rPr>
        <w:t xml:space="preserve"> </w:t>
      </w:r>
      <w:r w:rsidRPr="0078645D">
        <w:rPr>
          <w:b/>
          <w:bCs/>
        </w:rPr>
        <w:t>35.50 to be an Associate Radiation Safety Officer?</w:t>
      </w:r>
    </w:p>
    <w:p w14:paraId="5E1E0629" w14:textId="77777777" w:rsidR="0078645D" w:rsidRPr="0078645D" w:rsidRDefault="0078645D" w:rsidP="0078645D">
      <w:pPr>
        <w:tabs>
          <w:tab w:val="left" w:pos="180"/>
          <w:tab w:val="left" w:pos="720"/>
          <w:tab w:val="left" w:pos="1080"/>
        </w:tabs>
        <w:spacing w:line="240" w:lineRule="auto"/>
        <w:rPr>
          <w:b/>
          <w:bCs/>
        </w:rPr>
      </w:pPr>
    </w:p>
    <w:p w14:paraId="40DF308E" w14:textId="537E5763" w:rsidR="0078645D" w:rsidRPr="0078645D" w:rsidRDefault="0078645D" w:rsidP="0078645D">
      <w:pPr>
        <w:tabs>
          <w:tab w:val="left" w:pos="180"/>
          <w:tab w:val="left" w:pos="720"/>
          <w:tab w:val="left" w:pos="1080"/>
        </w:tabs>
        <w:spacing w:line="240" w:lineRule="auto"/>
        <w:rPr>
          <w:bCs/>
          <w:i/>
        </w:rPr>
      </w:pPr>
      <w:r w:rsidRPr="0078645D">
        <w:rPr>
          <w:bCs/>
          <w:i/>
        </w:rPr>
        <w:t xml:space="preserve">No, the individual must meet the requirements in 10 CFR 35.50 for the NRC to list the individual as an ARSO on a medical use license.  Therefore, until all the Agreement States have adopted the rule and list only individuals that meet the requirements in </w:t>
      </w:r>
      <w:r w:rsidR="00041CBE" w:rsidRPr="004B0435">
        <w:rPr>
          <w:rFonts w:eastAsia="Calibri"/>
          <w:i/>
        </w:rPr>
        <w:t>10 CFR</w:t>
      </w:r>
      <w:r w:rsidR="00041CBE" w:rsidRPr="0078645D">
        <w:rPr>
          <w:bCs/>
          <w:i/>
        </w:rPr>
        <w:t xml:space="preserve"> </w:t>
      </w:r>
      <w:r w:rsidRPr="0078645D">
        <w:rPr>
          <w:bCs/>
          <w:i/>
        </w:rPr>
        <w:t xml:space="preserve">35.50 or equivalent Agreement state requirements as ARSOs, the licensee will have to verify </w:t>
      </w:r>
      <w:r w:rsidR="00B45B93">
        <w:rPr>
          <w:bCs/>
          <w:i/>
        </w:rPr>
        <w:t xml:space="preserve">that a proposed ARSO </w:t>
      </w:r>
      <w:r w:rsidRPr="0078645D">
        <w:rPr>
          <w:bCs/>
          <w:i/>
        </w:rPr>
        <w:t>meets the NRC requirements.</w:t>
      </w:r>
    </w:p>
    <w:p w14:paraId="4D56935F" w14:textId="77777777" w:rsidR="0078645D" w:rsidRPr="0078645D" w:rsidRDefault="0078645D" w:rsidP="0078645D">
      <w:pPr>
        <w:tabs>
          <w:tab w:val="left" w:pos="180"/>
          <w:tab w:val="left" w:pos="720"/>
          <w:tab w:val="left" w:pos="1080"/>
        </w:tabs>
        <w:spacing w:line="240" w:lineRule="auto"/>
        <w:rPr>
          <w:b/>
          <w:bCs/>
        </w:rPr>
      </w:pPr>
    </w:p>
    <w:p w14:paraId="0D6090E9" w14:textId="77777777" w:rsidR="0078645D" w:rsidRPr="0078645D" w:rsidRDefault="0078645D" w:rsidP="0078645D">
      <w:pPr>
        <w:tabs>
          <w:tab w:val="left" w:pos="180"/>
          <w:tab w:val="left" w:pos="720"/>
          <w:tab w:val="left" w:pos="1080"/>
        </w:tabs>
        <w:spacing w:line="240" w:lineRule="auto"/>
        <w:rPr>
          <w:b/>
          <w:bCs/>
        </w:rPr>
      </w:pPr>
      <w:r w:rsidRPr="0078645D">
        <w:rPr>
          <w:b/>
          <w:bCs/>
        </w:rPr>
        <w:t>27. Will the Associate Radiation Safety Officer have any responsibility for the Radiation Protection Program?</w:t>
      </w:r>
    </w:p>
    <w:p w14:paraId="4CA3F59D" w14:textId="77777777" w:rsidR="0078645D" w:rsidRPr="0078645D" w:rsidRDefault="0078645D" w:rsidP="0078645D">
      <w:pPr>
        <w:tabs>
          <w:tab w:val="left" w:pos="180"/>
          <w:tab w:val="left" w:pos="720"/>
          <w:tab w:val="left" w:pos="1080"/>
        </w:tabs>
        <w:spacing w:line="240" w:lineRule="auto"/>
        <w:rPr>
          <w:bCs/>
        </w:rPr>
      </w:pPr>
    </w:p>
    <w:p w14:paraId="49126000" w14:textId="77777777" w:rsidR="0078645D" w:rsidRPr="0078645D" w:rsidRDefault="0078645D" w:rsidP="0078645D">
      <w:pPr>
        <w:tabs>
          <w:tab w:val="left" w:pos="360"/>
          <w:tab w:val="left" w:pos="720"/>
          <w:tab w:val="left" w:pos="1080"/>
        </w:tabs>
        <w:spacing w:line="240" w:lineRule="auto"/>
        <w:rPr>
          <w:i/>
        </w:rPr>
      </w:pPr>
      <w:r w:rsidRPr="0078645D">
        <w:rPr>
          <w:i/>
        </w:rPr>
        <w:t>No, only the Radiation Safety Officer has responsibility for the Radiation Protection Program.</w:t>
      </w:r>
    </w:p>
    <w:p w14:paraId="60F9C347" w14:textId="77777777" w:rsidR="0078645D" w:rsidRPr="0078645D" w:rsidRDefault="0078645D" w:rsidP="0078645D">
      <w:pPr>
        <w:tabs>
          <w:tab w:val="left" w:pos="-1428"/>
          <w:tab w:val="left" w:pos="-720"/>
          <w:tab w:val="left" w:pos="108"/>
          <w:tab w:val="left" w:pos="360"/>
          <w:tab w:val="left" w:pos="45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pPr>
    </w:p>
    <w:p w14:paraId="68C56E7B" w14:textId="77777777" w:rsidR="0078645D" w:rsidRPr="0078645D" w:rsidRDefault="0078645D" w:rsidP="0078645D">
      <w:pPr>
        <w:spacing w:line="240" w:lineRule="auto"/>
        <w:rPr>
          <w:b/>
        </w:rPr>
      </w:pPr>
      <w:r w:rsidRPr="0078645D">
        <w:rPr>
          <w:b/>
        </w:rPr>
        <w:t>28.  The Radiation Safety Officer (RSO) has full responsibility for the program.  During a documented absence of the RSO, does the Alternate Radiation Safety Officer (ARSO) assume any responsibilities of the RSO?</w:t>
      </w:r>
    </w:p>
    <w:p w14:paraId="792C4FE7" w14:textId="77777777" w:rsidR="0078645D" w:rsidRPr="0078645D" w:rsidRDefault="0078645D" w:rsidP="0078645D">
      <w:pPr>
        <w:spacing w:line="240" w:lineRule="auto"/>
        <w:rPr>
          <w:b/>
        </w:rPr>
      </w:pPr>
    </w:p>
    <w:p w14:paraId="34024E59" w14:textId="77777777" w:rsidR="0078645D" w:rsidRPr="0078645D" w:rsidRDefault="0078645D" w:rsidP="0078645D">
      <w:pPr>
        <w:spacing w:line="240" w:lineRule="auto"/>
        <w:rPr>
          <w:i/>
        </w:rPr>
      </w:pPr>
      <w:r w:rsidRPr="0078645D">
        <w:rPr>
          <w:i/>
        </w:rPr>
        <w:t>No, the ARSO cannot assume any RSO responsibilities unless the licensee designates the ARSO as a temporary RSO.</w:t>
      </w:r>
    </w:p>
    <w:p w14:paraId="578488DE" w14:textId="77777777" w:rsidR="0078645D" w:rsidRPr="0078645D" w:rsidRDefault="0078645D" w:rsidP="0078645D">
      <w:pPr>
        <w:tabs>
          <w:tab w:val="left" w:pos="360"/>
          <w:tab w:val="left" w:pos="720"/>
          <w:tab w:val="left" w:pos="1080"/>
        </w:tabs>
        <w:spacing w:line="240" w:lineRule="auto"/>
        <w:rPr>
          <w:b/>
        </w:rPr>
      </w:pPr>
    </w:p>
    <w:p w14:paraId="12839301" w14:textId="77777777" w:rsidR="0078645D" w:rsidRPr="0078645D" w:rsidRDefault="0078645D" w:rsidP="0078645D">
      <w:pPr>
        <w:tabs>
          <w:tab w:val="left" w:pos="360"/>
          <w:tab w:val="left" w:pos="720"/>
          <w:tab w:val="left" w:pos="1080"/>
        </w:tabs>
        <w:spacing w:line="240" w:lineRule="auto"/>
        <w:rPr>
          <w:bCs/>
        </w:rPr>
      </w:pPr>
      <w:r w:rsidRPr="0078645D">
        <w:rPr>
          <w:b/>
        </w:rPr>
        <w:t>29.</w:t>
      </w:r>
      <w:r w:rsidRPr="0078645D">
        <w:t xml:space="preserve"> </w:t>
      </w:r>
      <w:r w:rsidRPr="0078645D">
        <w:rPr>
          <w:b/>
        </w:rPr>
        <w:t>What training and experience requirements need to be satisfied for an Associate Radiation Safety Officer (ARSO) to be named in a medical license? And how do they differ from the Radiation Safety Officer (RSO) training and experience requirements?</w:t>
      </w:r>
    </w:p>
    <w:p w14:paraId="5CAB457C" w14:textId="77777777" w:rsidR="0078645D" w:rsidRPr="0078645D" w:rsidRDefault="0078645D" w:rsidP="0078645D">
      <w:pPr>
        <w:tabs>
          <w:tab w:val="left" w:pos="360"/>
          <w:tab w:val="left" w:pos="720"/>
          <w:tab w:val="left" w:pos="1080"/>
        </w:tabs>
        <w:spacing w:line="240" w:lineRule="auto"/>
        <w:contextualSpacing/>
      </w:pPr>
    </w:p>
    <w:p w14:paraId="319581C3" w14:textId="2362BBF1" w:rsidR="0078645D" w:rsidRPr="0078645D" w:rsidRDefault="0078645D" w:rsidP="0078645D">
      <w:pPr>
        <w:tabs>
          <w:tab w:val="left" w:pos="360"/>
          <w:tab w:val="left" w:pos="720"/>
          <w:tab w:val="left" w:pos="1080"/>
        </w:tabs>
        <w:spacing w:line="240" w:lineRule="auto"/>
      </w:pPr>
      <w:r w:rsidRPr="0078645D">
        <w:rPr>
          <w:i/>
        </w:rPr>
        <w:t>An ARSO is required to complete the same training and experience requirements as a named RSO for the ARSO’s assigned duties and tasks for the same types of use in a radiation safety program</w:t>
      </w:r>
      <w:r w:rsidRPr="0078645D">
        <w:t xml:space="preserve">. </w:t>
      </w:r>
    </w:p>
    <w:p w14:paraId="4F9FD5E7" w14:textId="77777777" w:rsidR="0078645D" w:rsidRPr="0078645D" w:rsidRDefault="0078645D" w:rsidP="0078645D">
      <w:pPr>
        <w:tabs>
          <w:tab w:val="left" w:pos="360"/>
          <w:tab w:val="left" w:pos="720"/>
          <w:tab w:val="left" w:pos="1080"/>
        </w:tabs>
        <w:spacing w:line="240" w:lineRule="auto"/>
        <w:contextualSpacing/>
        <w:rPr>
          <w:bCs/>
        </w:rPr>
      </w:pPr>
      <w:r w:rsidRPr="0078645D">
        <w:t xml:space="preserve"> </w:t>
      </w:r>
    </w:p>
    <w:p w14:paraId="41DDE45F" w14:textId="77777777" w:rsidR="0078645D" w:rsidRPr="0078645D" w:rsidRDefault="0078645D" w:rsidP="0078645D">
      <w:pPr>
        <w:tabs>
          <w:tab w:val="left" w:pos="360"/>
          <w:tab w:val="left" w:pos="540"/>
          <w:tab w:val="left" w:pos="1080"/>
        </w:tabs>
        <w:spacing w:line="240" w:lineRule="auto"/>
        <w:rPr>
          <w:b/>
        </w:rPr>
      </w:pPr>
      <w:r w:rsidRPr="0078645D">
        <w:rPr>
          <w:b/>
        </w:rPr>
        <w:t xml:space="preserve">30. Can an Associate Radiation Safety Officer (ARSO) provide a preceptor statement for someone applying to be a Radiation Safety Officer?  </w:t>
      </w:r>
    </w:p>
    <w:p w14:paraId="788EE81A" w14:textId="77777777" w:rsidR="0078645D" w:rsidRPr="0078645D" w:rsidRDefault="0078645D" w:rsidP="0078645D">
      <w:pPr>
        <w:tabs>
          <w:tab w:val="left" w:pos="360"/>
          <w:tab w:val="left" w:pos="720"/>
          <w:tab w:val="left" w:pos="1080"/>
        </w:tabs>
        <w:spacing w:line="240" w:lineRule="auto"/>
        <w:contextualSpacing/>
      </w:pPr>
    </w:p>
    <w:p w14:paraId="1D6B1440" w14:textId="77777777" w:rsidR="0078645D" w:rsidRPr="0078645D" w:rsidRDefault="0078645D" w:rsidP="0078645D">
      <w:pPr>
        <w:tabs>
          <w:tab w:val="left" w:pos="360"/>
          <w:tab w:val="left" w:pos="720"/>
          <w:tab w:val="left" w:pos="1080"/>
        </w:tabs>
        <w:spacing w:line="240" w:lineRule="auto"/>
        <w:rPr>
          <w:i/>
        </w:rPr>
      </w:pPr>
      <w:r w:rsidRPr="0078645D">
        <w:rPr>
          <w:i/>
        </w:rPr>
        <w:t>Yes, provided the ARSO has experience with the radiation safety aspects of similar types of use of byproduct material for which the ARSO is providing the attestation.</w:t>
      </w:r>
    </w:p>
    <w:p w14:paraId="2FF496D2" w14:textId="77777777" w:rsidR="0078645D" w:rsidRPr="0078645D" w:rsidRDefault="0078645D" w:rsidP="0078645D">
      <w:pPr>
        <w:tabs>
          <w:tab w:val="left" w:pos="360"/>
          <w:tab w:val="left" w:pos="720"/>
          <w:tab w:val="left" w:pos="1080"/>
        </w:tabs>
        <w:spacing w:line="240" w:lineRule="auto"/>
      </w:pPr>
    </w:p>
    <w:p w14:paraId="554AB946" w14:textId="77777777" w:rsidR="0078645D" w:rsidRPr="0078645D" w:rsidRDefault="0078645D" w:rsidP="0078645D">
      <w:pPr>
        <w:tabs>
          <w:tab w:val="left" w:pos="-1428"/>
          <w:tab w:val="left" w:pos="-720"/>
          <w:tab w:val="left" w:pos="108"/>
          <w:tab w:val="left" w:pos="36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b/>
        </w:rPr>
      </w:pPr>
      <w:r w:rsidRPr="0078645D">
        <w:rPr>
          <w:b/>
          <w:bCs/>
        </w:rPr>
        <w:t xml:space="preserve">31. </w:t>
      </w:r>
      <w:r w:rsidRPr="0078645D">
        <w:rPr>
          <w:b/>
        </w:rPr>
        <w:t>How does the rule change the potential pool of Radiation Safety Officers (RSOs) and RSO supervisors/preceptors?</w:t>
      </w:r>
    </w:p>
    <w:p w14:paraId="2EB29B1B" w14:textId="77777777" w:rsidR="0078645D" w:rsidRPr="0078645D" w:rsidRDefault="0078645D" w:rsidP="0078645D">
      <w:pPr>
        <w:tabs>
          <w:tab w:val="left" w:pos="-1428"/>
          <w:tab w:val="left" w:pos="-720"/>
          <w:tab w:val="left" w:pos="108"/>
          <w:tab w:val="left" w:pos="36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ind w:left="360" w:hanging="360"/>
      </w:pPr>
    </w:p>
    <w:p w14:paraId="14F52B22" w14:textId="3BCDB177" w:rsidR="0078645D" w:rsidRPr="0078645D" w:rsidRDefault="0078645D" w:rsidP="0078645D">
      <w:pPr>
        <w:tabs>
          <w:tab w:val="left" w:pos="-1428"/>
          <w:tab w:val="left" w:pos="-720"/>
          <w:tab w:val="left" w:pos="108"/>
          <w:tab w:val="left" w:pos="36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r w:rsidRPr="0078645D">
        <w:rPr>
          <w:i/>
        </w:rPr>
        <w:t xml:space="preserve">It increases the potential pool, because when an Associate Radiation Safety Officer (ARSO) meets the same training and experience requirements as an RSO, the ARSO may supervise and </w:t>
      </w:r>
      <w:r w:rsidR="005A40BA">
        <w:rPr>
          <w:i/>
        </w:rPr>
        <w:t>be</w:t>
      </w:r>
      <w:r w:rsidR="00D54582">
        <w:rPr>
          <w:i/>
        </w:rPr>
        <w:t xml:space="preserve"> a </w:t>
      </w:r>
      <w:r w:rsidRPr="0078645D">
        <w:rPr>
          <w:i/>
        </w:rPr>
        <w:t xml:space="preserve">preceptor </w:t>
      </w:r>
      <w:r w:rsidR="00D54582">
        <w:rPr>
          <w:i/>
        </w:rPr>
        <w:t xml:space="preserve">for </w:t>
      </w:r>
      <w:r w:rsidRPr="0078645D">
        <w:rPr>
          <w:i/>
        </w:rPr>
        <w:t xml:space="preserve">other individuals training to become RSOs or ARSOs for the same types of use for which the ARSO is qualified. </w:t>
      </w:r>
    </w:p>
    <w:p w14:paraId="1C848667" w14:textId="77777777" w:rsidR="0078645D" w:rsidRPr="0078645D" w:rsidRDefault="0078645D" w:rsidP="0078645D">
      <w:pPr>
        <w:tabs>
          <w:tab w:val="left" w:pos="-1428"/>
          <w:tab w:val="left" w:pos="-720"/>
          <w:tab w:val="left" w:pos="108"/>
          <w:tab w:val="left" w:pos="36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p>
    <w:p w14:paraId="2324E919" w14:textId="5D1DE7FD" w:rsidR="0078645D" w:rsidRPr="0078645D" w:rsidRDefault="0078645D" w:rsidP="0078645D">
      <w:pPr>
        <w:tabs>
          <w:tab w:val="left" w:pos="-1428"/>
          <w:tab w:val="left" w:pos="-720"/>
          <w:tab w:val="left" w:pos="108"/>
          <w:tab w:val="left" w:pos="36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r w:rsidRPr="0078645D">
        <w:rPr>
          <w:i/>
        </w:rPr>
        <w:t xml:space="preserve">In addition, because an authorized user, authorized medical physicist, or authorized nuclear pharmacist listed on any license or permit may serve as an RSO or ARSO, there are now an increased number of qualified individuals available to serve as RSOs and ARSOs on NRC </w:t>
      </w:r>
      <w:r w:rsidR="005A40BA">
        <w:rPr>
          <w:i/>
        </w:rPr>
        <w:t xml:space="preserve">and Agreement State </w:t>
      </w:r>
      <w:r w:rsidRPr="0078645D">
        <w:rPr>
          <w:i/>
        </w:rPr>
        <w:t>medical licenses.</w:t>
      </w:r>
    </w:p>
    <w:p w14:paraId="5A0F2917" w14:textId="77777777" w:rsidR="0078645D" w:rsidRPr="0078645D" w:rsidRDefault="0078645D" w:rsidP="0078645D">
      <w:pPr>
        <w:tabs>
          <w:tab w:val="left" w:pos="-1428"/>
          <w:tab w:val="left" w:pos="-720"/>
          <w:tab w:val="left" w:pos="108"/>
          <w:tab w:val="left" w:pos="36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ind w:left="576"/>
      </w:pPr>
    </w:p>
    <w:p w14:paraId="12A83C5D" w14:textId="77777777" w:rsidR="0078645D" w:rsidRPr="0078645D" w:rsidRDefault="0078645D" w:rsidP="0078645D">
      <w:pPr>
        <w:tabs>
          <w:tab w:val="left" w:pos="-1428"/>
          <w:tab w:val="left" w:pos="-720"/>
          <w:tab w:val="left" w:pos="108"/>
          <w:tab w:val="left" w:pos="36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b/>
        </w:rPr>
      </w:pPr>
      <w:r w:rsidRPr="0078645D">
        <w:rPr>
          <w:b/>
        </w:rPr>
        <w:t xml:space="preserve">32. Can only an ARSO be assigned radiation safety duties and tasks? </w:t>
      </w:r>
    </w:p>
    <w:p w14:paraId="5B206991" w14:textId="77777777" w:rsidR="0078645D" w:rsidRPr="0078645D" w:rsidRDefault="0078645D" w:rsidP="0078645D">
      <w:pPr>
        <w:tabs>
          <w:tab w:val="left" w:pos="-1428"/>
          <w:tab w:val="left" w:pos="-720"/>
          <w:tab w:val="left" w:pos="108"/>
          <w:tab w:val="left" w:pos="36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ind w:left="360" w:hanging="360"/>
      </w:pPr>
    </w:p>
    <w:p w14:paraId="057EB8D8" w14:textId="77777777" w:rsidR="0078645D" w:rsidRPr="0078645D" w:rsidRDefault="0078645D" w:rsidP="0078645D">
      <w:pPr>
        <w:tabs>
          <w:tab w:val="left" w:pos="360"/>
          <w:tab w:val="left" w:pos="720"/>
          <w:tab w:val="left" w:pos="1080"/>
        </w:tabs>
        <w:spacing w:line="240" w:lineRule="auto"/>
        <w:rPr>
          <w:i/>
        </w:rPr>
      </w:pPr>
      <w:r w:rsidRPr="0078645D">
        <w:rPr>
          <w:i/>
        </w:rPr>
        <w:t>No, a radiation safety duty or task can be assigned to any individual a licensee feels can perform the assignment with appropriate training and supervision.</w:t>
      </w:r>
    </w:p>
    <w:p w14:paraId="6985EFC9" w14:textId="77777777" w:rsidR="0078645D" w:rsidRPr="0078645D" w:rsidRDefault="0078645D" w:rsidP="0078645D">
      <w:pPr>
        <w:tabs>
          <w:tab w:val="left" w:pos="360"/>
          <w:tab w:val="left" w:pos="720"/>
          <w:tab w:val="left" w:pos="1080"/>
        </w:tabs>
        <w:spacing w:line="240" w:lineRule="auto"/>
      </w:pPr>
    </w:p>
    <w:p w14:paraId="524CF07F" w14:textId="77777777" w:rsidR="0078645D" w:rsidRPr="0078645D" w:rsidRDefault="0078645D" w:rsidP="0078645D">
      <w:pPr>
        <w:tabs>
          <w:tab w:val="left" w:pos="360"/>
          <w:tab w:val="left" w:pos="720"/>
          <w:tab w:val="left" w:pos="1080"/>
        </w:tabs>
        <w:spacing w:line="240" w:lineRule="auto"/>
        <w:rPr>
          <w:b/>
        </w:rPr>
      </w:pPr>
      <w:r w:rsidRPr="0078645D">
        <w:rPr>
          <w:b/>
          <w:bCs/>
        </w:rPr>
        <w:t xml:space="preserve">33. Will a license amendment be required before </w:t>
      </w:r>
      <w:r w:rsidRPr="0078645D">
        <w:rPr>
          <w:b/>
        </w:rPr>
        <w:t xml:space="preserve">a licensee allows an individual to work as an Associate Radiation Safety Officer (ARSO)? </w:t>
      </w:r>
    </w:p>
    <w:p w14:paraId="6CB3295A" w14:textId="77777777" w:rsidR="0078645D" w:rsidRPr="0078645D" w:rsidRDefault="0078645D" w:rsidP="0078645D">
      <w:pPr>
        <w:tabs>
          <w:tab w:val="left" w:pos="360"/>
          <w:tab w:val="left" w:pos="720"/>
          <w:tab w:val="left" w:pos="1080"/>
        </w:tabs>
        <w:spacing w:line="240" w:lineRule="auto"/>
        <w:rPr>
          <w:i/>
        </w:rPr>
      </w:pPr>
    </w:p>
    <w:p w14:paraId="30464D25" w14:textId="77777777" w:rsidR="0078645D" w:rsidRPr="0078645D" w:rsidRDefault="0078645D" w:rsidP="0078645D">
      <w:pPr>
        <w:tabs>
          <w:tab w:val="left" w:pos="360"/>
          <w:tab w:val="left" w:pos="720"/>
          <w:tab w:val="left" w:pos="1080"/>
        </w:tabs>
        <w:spacing w:line="240" w:lineRule="auto"/>
        <w:rPr>
          <w:i/>
        </w:rPr>
      </w:pPr>
      <w:r w:rsidRPr="0078645D">
        <w:rPr>
          <w:i/>
        </w:rPr>
        <w:t>Yes, a licensee must request and receive an amendment before allowing an individual to work as an ARSO.  An amendment is also required before the Radiation Safety Officer assigns the ARSO the duties and tasks in the oversight of a new section of the radiation safety program for which the ARSO is not currently authorized.</w:t>
      </w:r>
    </w:p>
    <w:p w14:paraId="140A4A34" w14:textId="77777777" w:rsidR="0078645D" w:rsidRPr="0078645D" w:rsidRDefault="0078645D" w:rsidP="0078645D">
      <w:pPr>
        <w:tabs>
          <w:tab w:val="left" w:pos="360"/>
          <w:tab w:val="left" w:pos="720"/>
          <w:tab w:val="left" w:pos="1080"/>
        </w:tabs>
        <w:spacing w:line="240" w:lineRule="auto"/>
        <w:rPr>
          <w:bCs/>
        </w:rPr>
      </w:pPr>
    </w:p>
    <w:p w14:paraId="69CD647C" w14:textId="77777777" w:rsidR="0078645D" w:rsidRPr="0078645D" w:rsidRDefault="0078645D" w:rsidP="0078645D">
      <w:pPr>
        <w:tabs>
          <w:tab w:val="left" w:pos="360"/>
          <w:tab w:val="left" w:pos="720"/>
          <w:tab w:val="left" w:pos="1080"/>
        </w:tabs>
        <w:spacing w:line="240" w:lineRule="auto"/>
        <w:rPr>
          <w:b/>
          <w:bCs/>
        </w:rPr>
      </w:pPr>
      <w:r w:rsidRPr="0078645D">
        <w:rPr>
          <w:b/>
          <w:bCs/>
        </w:rPr>
        <w:t>34. Will a licensee need to notify the Commission when the Associate Radiation Safety Officer (ARSO) discontinues performance of duties?</w:t>
      </w:r>
    </w:p>
    <w:p w14:paraId="0794E0B6" w14:textId="77777777" w:rsidR="0078645D" w:rsidRPr="0078645D" w:rsidRDefault="0078645D" w:rsidP="0078645D">
      <w:pPr>
        <w:tabs>
          <w:tab w:val="left" w:pos="360"/>
          <w:tab w:val="left" w:pos="720"/>
          <w:tab w:val="left" w:pos="1080"/>
        </w:tabs>
        <w:spacing w:line="240" w:lineRule="auto"/>
        <w:rPr>
          <w:bCs/>
        </w:rPr>
      </w:pPr>
    </w:p>
    <w:p w14:paraId="757D5CA9" w14:textId="77777777" w:rsidR="0078645D" w:rsidRPr="0078645D" w:rsidRDefault="0078645D" w:rsidP="0078645D">
      <w:pPr>
        <w:tabs>
          <w:tab w:val="left" w:pos="360"/>
          <w:tab w:val="left" w:pos="720"/>
          <w:tab w:val="left" w:pos="1080"/>
        </w:tabs>
        <w:spacing w:line="240" w:lineRule="auto"/>
        <w:rPr>
          <w:i/>
        </w:rPr>
      </w:pPr>
      <w:r w:rsidRPr="0078645D">
        <w:rPr>
          <w:i/>
        </w:rPr>
        <w:t xml:space="preserve">Yes, a licensee is required to notify the Commission no later than 30 days after the ARSO discontinues performance of duties under the license.  </w:t>
      </w:r>
    </w:p>
    <w:p w14:paraId="6558C896" w14:textId="77777777" w:rsidR="0078645D" w:rsidRPr="0078645D" w:rsidRDefault="0078645D" w:rsidP="0078645D">
      <w:pPr>
        <w:tabs>
          <w:tab w:val="left" w:pos="360"/>
          <w:tab w:val="left" w:pos="540"/>
          <w:tab w:val="left" w:pos="720"/>
          <w:tab w:val="left" w:pos="1080"/>
        </w:tabs>
        <w:spacing w:line="240" w:lineRule="auto"/>
        <w:rPr>
          <w:bCs/>
          <w:i/>
        </w:rPr>
      </w:pPr>
    </w:p>
    <w:p w14:paraId="1A1412D0" w14:textId="77777777" w:rsidR="0078645D" w:rsidRPr="0078645D" w:rsidRDefault="0078645D" w:rsidP="0078645D">
      <w:pPr>
        <w:tabs>
          <w:tab w:val="left" w:pos="360"/>
          <w:tab w:val="left" w:pos="720"/>
          <w:tab w:val="left" w:pos="1080"/>
        </w:tabs>
        <w:spacing w:line="240" w:lineRule="auto"/>
        <w:rPr>
          <w:b/>
          <w:bCs/>
          <w:i/>
        </w:rPr>
      </w:pPr>
      <w:r w:rsidRPr="0078645D">
        <w:rPr>
          <w:b/>
          <w:bCs/>
          <w:i/>
        </w:rPr>
        <w:t>35. If a licensee is authorized for specific medical uses and wants to expand those medical uses, does the Radiation Safety Officer (RSO) need additional training specified in 10 CFR 35.50(d) for the new uses?</w:t>
      </w:r>
    </w:p>
    <w:p w14:paraId="0F2273C2" w14:textId="77777777" w:rsidR="0078645D" w:rsidRPr="0078645D" w:rsidRDefault="0078645D" w:rsidP="0078645D">
      <w:pPr>
        <w:tabs>
          <w:tab w:val="left" w:pos="360"/>
          <w:tab w:val="left" w:pos="720"/>
          <w:tab w:val="left" w:pos="1080"/>
        </w:tabs>
        <w:spacing w:line="240" w:lineRule="auto"/>
        <w:rPr>
          <w:bCs/>
          <w:i/>
        </w:rPr>
      </w:pPr>
    </w:p>
    <w:p w14:paraId="37BF83D0" w14:textId="77777777" w:rsidR="0078645D" w:rsidRPr="0078645D" w:rsidRDefault="0078645D" w:rsidP="0078645D">
      <w:pPr>
        <w:tabs>
          <w:tab w:val="left" w:pos="360"/>
          <w:tab w:val="left" w:pos="720"/>
          <w:tab w:val="left" w:pos="1080"/>
        </w:tabs>
        <w:spacing w:line="240" w:lineRule="auto"/>
        <w:rPr>
          <w:bCs/>
          <w:i/>
        </w:rPr>
      </w:pPr>
      <w:r w:rsidRPr="0078645D">
        <w:rPr>
          <w:bCs/>
          <w:i/>
        </w:rPr>
        <w:t>Yes. The RSO needs to obtain additional training, or document that he or she received related training and experience within the past 7 years. See question 17 to see if a preceptor attestation is needed for the additional training.</w:t>
      </w:r>
    </w:p>
    <w:p w14:paraId="49308E17" w14:textId="77777777" w:rsidR="0078645D" w:rsidRPr="0078645D" w:rsidRDefault="0078645D" w:rsidP="0078645D">
      <w:pPr>
        <w:tabs>
          <w:tab w:val="left" w:pos="360"/>
          <w:tab w:val="left" w:pos="720"/>
          <w:tab w:val="left" w:pos="1080"/>
        </w:tabs>
        <w:spacing w:line="240" w:lineRule="auto"/>
        <w:ind w:left="540"/>
        <w:contextualSpacing/>
      </w:pPr>
    </w:p>
    <w:p w14:paraId="66C7E5CA" w14:textId="77777777" w:rsidR="0078645D" w:rsidRPr="0078645D" w:rsidRDefault="0078645D" w:rsidP="0078645D">
      <w:pPr>
        <w:tabs>
          <w:tab w:val="left" w:pos="360"/>
          <w:tab w:val="left" w:pos="720"/>
          <w:tab w:val="left" w:pos="1080"/>
        </w:tabs>
        <w:spacing w:line="240" w:lineRule="auto"/>
        <w:rPr>
          <w:b/>
        </w:rPr>
      </w:pPr>
      <w:r w:rsidRPr="0078645D">
        <w:rPr>
          <w:b/>
        </w:rPr>
        <w:t>36.</w:t>
      </w:r>
      <w:r w:rsidRPr="0078645D">
        <w:rPr>
          <w:b/>
        </w:rPr>
        <w:tab/>
        <w:t>It appears that 10 CFR 35.50(c)(2) and (3) are the same for physicians.  What is the difference?</w:t>
      </w:r>
    </w:p>
    <w:p w14:paraId="1DC763A1" w14:textId="77777777" w:rsidR="0078645D" w:rsidRPr="0078645D" w:rsidRDefault="0078645D" w:rsidP="0078645D">
      <w:pPr>
        <w:tabs>
          <w:tab w:val="left" w:pos="360"/>
          <w:tab w:val="left" w:pos="720"/>
          <w:tab w:val="left" w:pos="1080"/>
        </w:tabs>
        <w:spacing w:line="240" w:lineRule="auto"/>
      </w:pPr>
    </w:p>
    <w:p w14:paraId="0545EAE3" w14:textId="38722234" w:rsidR="0078645D" w:rsidRPr="0078645D" w:rsidRDefault="0078645D" w:rsidP="0078645D">
      <w:pPr>
        <w:tabs>
          <w:tab w:val="left" w:pos="-1428"/>
          <w:tab w:val="left" w:pos="-720"/>
          <w:tab w:val="left" w:pos="108"/>
          <w:tab w:val="left" w:pos="36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iCs/>
        </w:rPr>
      </w:pPr>
      <w:r w:rsidRPr="0078645D">
        <w:rPr>
          <w:i/>
          <w:iCs/>
        </w:rPr>
        <w:t xml:space="preserve">Current regulations, under </w:t>
      </w:r>
      <w:r w:rsidR="00E421C5" w:rsidRPr="004B0435">
        <w:rPr>
          <w:rFonts w:eastAsia="Calibri"/>
          <w:i/>
        </w:rPr>
        <w:t>10 CFR</w:t>
      </w:r>
      <w:r w:rsidR="00E421C5" w:rsidRPr="0078645D">
        <w:rPr>
          <w:rFonts w:eastAsia="Calibri"/>
          <w:i/>
        </w:rPr>
        <w:t xml:space="preserve"> </w:t>
      </w:r>
      <w:r w:rsidRPr="0078645D">
        <w:rPr>
          <w:rFonts w:eastAsia="Calibri"/>
          <w:i/>
        </w:rPr>
        <w:t>35</w:t>
      </w:r>
      <w:r w:rsidRPr="0078645D">
        <w:rPr>
          <w:i/>
        </w:rPr>
        <w:t xml:space="preserve">.50(c)(2), allow a physician who is named as </w:t>
      </w:r>
      <w:r w:rsidRPr="0078645D">
        <w:rPr>
          <w:i/>
          <w:iCs/>
        </w:rPr>
        <w:t xml:space="preserve">an authorized user (AU) on a medical license or permit </w:t>
      </w:r>
      <w:r w:rsidRPr="0078645D">
        <w:rPr>
          <w:i/>
        </w:rPr>
        <w:t xml:space="preserve">to be named as the Radiation Safety Officer (RSO) on the same license for the same byproduct material for which the AU is authorized.  The revised </w:t>
      </w:r>
      <w:r w:rsidR="00E421C5" w:rsidRPr="004B0435">
        <w:rPr>
          <w:rFonts w:eastAsia="Calibri"/>
          <w:i/>
        </w:rPr>
        <w:t>10 CFR</w:t>
      </w:r>
      <w:r w:rsidR="00E421C5" w:rsidRPr="0078645D">
        <w:rPr>
          <w:i/>
        </w:rPr>
        <w:t xml:space="preserve"> </w:t>
      </w:r>
      <w:r w:rsidRPr="0078645D">
        <w:rPr>
          <w:i/>
        </w:rPr>
        <w:t xml:space="preserve">35.50(c)(2) will permit the AU to be named as an RSO on any license.  </w:t>
      </w:r>
      <w:r w:rsidRPr="0078645D">
        <w:rPr>
          <w:i/>
          <w:iCs/>
        </w:rPr>
        <w:t xml:space="preserve">NRC regulatory changes in </w:t>
      </w:r>
      <w:r w:rsidR="00E421C5" w:rsidRPr="004B0435">
        <w:rPr>
          <w:rFonts w:eastAsia="Calibri"/>
          <w:i/>
        </w:rPr>
        <w:t>10 CFR</w:t>
      </w:r>
      <w:r w:rsidR="00E421C5" w:rsidRPr="0078645D">
        <w:rPr>
          <w:i/>
          <w:iCs/>
        </w:rPr>
        <w:t xml:space="preserve"> </w:t>
      </w:r>
      <w:r w:rsidRPr="0078645D">
        <w:rPr>
          <w:i/>
          <w:iCs/>
        </w:rPr>
        <w:t>35.50(c)(3) will allow an individual who is not yet named as an AU on a medical license or permit</w:t>
      </w:r>
      <w:r w:rsidR="00790318">
        <w:rPr>
          <w:i/>
          <w:iCs/>
        </w:rPr>
        <w:t>,</w:t>
      </w:r>
      <w:r w:rsidRPr="0078645D">
        <w:rPr>
          <w:i/>
          <w:iCs/>
        </w:rPr>
        <w:t xml:space="preserve"> but is qualified to be an AU, to be named simultaneously as the RSO and the AU on the same new medical license.   </w:t>
      </w:r>
    </w:p>
    <w:p w14:paraId="6650C04F" w14:textId="77777777" w:rsidR="0078645D" w:rsidRPr="0078645D" w:rsidRDefault="0078645D" w:rsidP="0078645D">
      <w:pPr>
        <w:tabs>
          <w:tab w:val="left" w:pos="-1428"/>
          <w:tab w:val="left" w:pos="-720"/>
          <w:tab w:val="left" w:pos="108"/>
          <w:tab w:val="left" w:pos="36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ind w:left="576"/>
        <w:rPr>
          <w:iCs/>
        </w:rPr>
      </w:pPr>
    </w:p>
    <w:p w14:paraId="42EE793B" w14:textId="77777777" w:rsidR="0078645D" w:rsidRPr="0078645D" w:rsidRDefault="0078645D" w:rsidP="0078645D">
      <w:pPr>
        <w:tabs>
          <w:tab w:val="left" w:pos="360"/>
          <w:tab w:val="left" w:pos="720"/>
          <w:tab w:val="left" w:pos="1080"/>
        </w:tabs>
        <w:spacing w:line="240" w:lineRule="auto"/>
        <w:rPr>
          <w:b/>
          <w:iCs/>
        </w:rPr>
      </w:pPr>
      <w:r w:rsidRPr="0078645D">
        <w:rPr>
          <w:b/>
          <w:iCs/>
        </w:rPr>
        <w:t>37. What changed in 10 CFR 35.50(c)(2)?</w:t>
      </w:r>
    </w:p>
    <w:p w14:paraId="51ADA0CD" w14:textId="77777777" w:rsidR="0078645D" w:rsidRPr="0078645D" w:rsidRDefault="0078645D" w:rsidP="0078645D">
      <w:pPr>
        <w:tabs>
          <w:tab w:val="left" w:pos="360"/>
          <w:tab w:val="left" w:pos="720"/>
          <w:tab w:val="left" w:pos="1080"/>
        </w:tabs>
        <w:spacing w:line="240" w:lineRule="auto"/>
        <w:ind w:left="180"/>
        <w:rPr>
          <w:bCs/>
        </w:rPr>
      </w:pPr>
      <w:r w:rsidRPr="0078645D">
        <w:rPr>
          <w:iCs/>
        </w:rPr>
        <w:t xml:space="preserve"> </w:t>
      </w:r>
    </w:p>
    <w:p w14:paraId="0CFEC68C" w14:textId="70B7CBA5" w:rsidR="0078645D" w:rsidRPr="0078645D" w:rsidRDefault="0078645D" w:rsidP="0078645D">
      <w:pPr>
        <w:tabs>
          <w:tab w:val="left" w:pos="-1428"/>
          <w:tab w:val="left" w:pos="-720"/>
          <w:tab w:val="left" w:pos="108"/>
          <w:tab w:val="left" w:pos="360"/>
          <w:tab w:val="left" w:pos="54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r w:rsidRPr="0078645D">
        <w:rPr>
          <w:i/>
          <w:iCs/>
        </w:rPr>
        <w:t xml:space="preserve">Previously, </w:t>
      </w:r>
      <w:r w:rsidR="00E421C5" w:rsidRPr="004B0435">
        <w:rPr>
          <w:rFonts w:eastAsia="Calibri"/>
          <w:i/>
        </w:rPr>
        <w:t>10 CFR</w:t>
      </w:r>
      <w:r w:rsidR="00E421C5" w:rsidRPr="0078645D">
        <w:rPr>
          <w:i/>
          <w:iCs/>
        </w:rPr>
        <w:t xml:space="preserve"> </w:t>
      </w:r>
      <w:r w:rsidRPr="0078645D">
        <w:rPr>
          <w:i/>
          <w:iCs/>
        </w:rPr>
        <w:t xml:space="preserve">35.50(c)(2) permitted only an authorized user (AU), authorized medical physicist (AMP), or authorized nuclear pharmacist (ANP) who was listed on the licensee’s license to be </w:t>
      </w:r>
      <w:r w:rsidRPr="0078645D">
        <w:rPr>
          <w:i/>
        </w:rPr>
        <w:t xml:space="preserve">named as the Radiation Safety Officer (RSO).  The new </w:t>
      </w:r>
      <w:r w:rsidR="00E421C5" w:rsidRPr="004B0435">
        <w:rPr>
          <w:rFonts w:eastAsia="Calibri"/>
          <w:i/>
        </w:rPr>
        <w:t>10 CFR</w:t>
      </w:r>
      <w:r w:rsidR="00E421C5" w:rsidRPr="0078645D">
        <w:rPr>
          <w:rFonts w:eastAsia="Calibri"/>
          <w:i/>
        </w:rPr>
        <w:t xml:space="preserve"> </w:t>
      </w:r>
      <w:r w:rsidRPr="0078645D">
        <w:rPr>
          <w:rFonts w:eastAsia="Calibri"/>
          <w:i/>
        </w:rPr>
        <w:t>35</w:t>
      </w:r>
      <w:r w:rsidRPr="0078645D">
        <w:rPr>
          <w:i/>
        </w:rPr>
        <w:t xml:space="preserve">.50(c)(2) will allow the licensee to request </w:t>
      </w:r>
      <w:r w:rsidRPr="0078645D">
        <w:rPr>
          <w:i/>
          <w:iCs/>
        </w:rPr>
        <w:t xml:space="preserve">an AU, AMP, or ANP on any medical license or permit to be authorized </w:t>
      </w:r>
      <w:r w:rsidRPr="0078645D">
        <w:rPr>
          <w:i/>
        </w:rPr>
        <w:t>as the RSO or Associate Radiation Safety Officer (ARSO) when the individual has experience with the radiation safety aspects of similar types of use of byproduct material for which the individual will have RSO responsibilities or ARSO duties and tasks.</w:t>
      </w:r>
    </w:p>
    <w:p w14:paraId="251395D1" w14:textId="77777777" w:rsidR="0078645D" w:rsidRPr="0078645D" w:rsidRDefault="0078645D" w:rsidP="0078645D">
      <w:pPr>
        <w:tabs>
          <w:tab w:val="left" w:pos="-1428"/>
          <w:tab w:val="left" w:pos="-720"/>
          <w:tab w:val="left" w:pos="108"/>
          <w:tab w:val="left" w:pos="360"/>
          <w:tab w:val="left" w:pos="54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rPr>
      </w:pPr>
    </w:p>
    <w:p w14:paraId="7B674C29" w14:textId="77777777" w:rsidR="0078645D" w:rsidRPr="0078645D" w:rsidRDefault="0078645D" w:rsidP="0078645D">
      <w:pPr>
        <w:tabs>
          <w:tab w:val="left" w:pos="360"/>
          <w:tab w:val="left" w:pos="720"/>
          <w:tab w:val="left" w:pos="1080"/>
        </w:tabs>
        <w:spacing w:line="240" w:lineRule="auto"/>
        <w:rPr>
          <w:b/>
          <w:color w:val="000000" w:themeColor="text1"/>
        </w:rPr>
      </w:pPr>
      <w:r w:rsidRPr="0078645D">
        <w:rPr>
          <w:b/>
          <w:color w:val="000000" w:themeColor="text1"/>
        </w:rPr>
        <w:t>38.  Who can be the RSO for a private practice?</w:t>
      </w:r>
    </w:p>
    <w:p w14:paraId="44E1CDE9" w14:textId="77777777" w:rsidR="0078645D" w:rsidRPr="0078645D" w:rsidRDefault="0078645D" w:rsidP="0078645D">
      <w:pPr>
        <w:tabs>
          <w:tab w:val="left" w:pos="360"/>
          <w:tab w:val="left" w:pos="720"/>
          <w:tab w:val="left" w:pos="1080"/>
        </w:tabs>
        <w:spacing w:line="240" w:lineRule="auto"/>
        <w:rPr>
          <w:color w:val="000000" w:themeColor="text1"/>
        </w:rPr>
      </w:pPr>
    </w:p>
    <w:p w14:paraId="25A537CA" w14:textId="77014CE3" w:rsidR="0078645D" w:rsidRPr="0078645D" w:rsidRDefault="0078645D" w:rsidP="0078645D">
      <w:pPr>
        <w:tabs>
          <w:tab w:val="left" w:pos="360"/>
          <w:tab w:val="left" w:pos="720"/>
          <w:tab w:val="left" w:pos="1080"/>
        </w:tabs>
        <w:spacing w:line="240" w:lineRule="auto"/>
        <w:rPr>
          <w:i/>
          <w:color w:val="000000" w:themeColor="text1"/>
        </w:rPr>
      </w:pPr>
      <w:r w:rsidRPr="0078645D">
        <w:rPr>
          <w:i/>
          <w:color w:val="000000" w:themeColor="text1"/>
        </w:rPr>
        <w:t>Anyone can be the RSO for a private practice license as long as he or she meets the requirements in 10 CFR 35.50 and has experience with the radiation safety aspects of similar types of use for which the applicant or licensee is seeking approval of the individual as the RSO. The applicant or licensee will need to provide documentation that the individual has training in radiation safety, regulatory issues, and emergency procedures for those</w:t>
      </w:r>
      <w:r w:rsidR="00C61B4F">
        <w:rPr>
          <w:i/>
          <w:color w:val="000000" w:themeColor="text1"/>
        </w:rPr>
        <w:t xml:space="preserve"> types of</w:t>
      </w:r>
      <w:r w:rsidRPr="0078645D">
        <w:rPr>
          <w:i/>
          <w:color w:val="000000" w:themeColor="text1"/>
        </w:rPr>
        <w:t xml:space="preserve"> use (i.e., meet the requirements in 10 CFR 35.50(d)).  Therefore, a new AU, a new RSO, or an existing RSO, ARSO, AU, AMP, or ANP meeting these requirements can be the RSO for a private practice medical use license. </w:t>
      </w:r>
    </w:p>
    <w:p w14:paraId="4E5A198C" w14:textId="77777777" w:rsidR="0078645D" w:rsidRPr="0078645D" w:rsidRDefault="0078645D" w:rsidP="0078645D">
      <w:pPr>
        <w:tabs>
          <w:tab w:val="left" w:pos="-1428"/>
          <w:tab w:val="left" w:pos="-720"/>
          <w:tab w:val="left" w:pos="108"/>
          <w:tab w:val="left" w:pos="360"/>
          <w:tab w:val="left" w:pos="54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i/>
          <w:color w:val="000000" w:themeColor="text1"/>
        </w:rPr>
      </w:pPr>
    </w:p>
    <w:p w14:paraId="7192EF8A" w14:textId="77777777" w:rsidR="0078645D" w:rsidRPr="0078645D" w:rsidRDefault="0078645D" w:rsidP="0078645D">
      <w:pPr>
        <w:tabs>
          <w:tab w:val="left" w:pos="-1428"/>
          <w:tab w:val="left" w:pos="-720"/>
          <w:tab w:val="left" w:pos="108"/>
          <w:tab w:val="left" w:pos="360"/>
          <w:tab w:val="left" w:pos="540"/>
          <w:tab w:val="left" w:pos="720"/>
          <w:tab w:val="left" w:pos="1080"/>
          <w:tab w:val="left" w:pos="1368"/>
          <w:tab w:val="left" w:pos="2160"/>
          <w:tab w:val="left" w:pos="2880"/>
          <w:tab w:val="left" w:pos="3600"/>
          <w:tab w:val="left" w:pos="4320"/>
          <w:tab w:val="left" w:pos="5040"/>
          <w:tab w:val="left" w:pos="5760"/>
          <w:tab w:val="left" w:pos="7920"/>
          <w:tab w:val="left" w:pos="8640"/>
          <w:tab w:val="left" w:pos="9360"/>
          <w:tab w:val="left" w:pos="10080"/>
        </w:tabs>
        <w:autoSpaceDE w:val="0"/>
        <w:autoSpaceDN w:val="0"/>
        <w:adjustRightInd w:val="0"/>
        <w:spacing w:line="240" w:lineRule="auto"/>
        <w:rPr>
          <w:b/>
        </w:rPr>
      </w:pPr>
    </w:p>
    <w:p w14:paraId="2CFC7F9D" w14:textId="77777777" w:rsidR="0078645D" w:rsidRPr="0078645D" w:rsidRDefault="0078645D" w:rsidP="0078645D">
      <w:pPr>
        <w:tabs>
          <w:tab w:val="left" w:pos="360"/>
          <w:tab w:val="left" w:pos="720"/>
          <w:tab w:val="left" w:pos="1080"/>
        </w:tabs>
        <w:spacing w:line="240" w:lineRule="auto"/>
        <w:contextualSpacing/>
        <w:rPr>
          <w:b/>
        </w:rPr>
      </w:pPr>
      <w:r w:rsidRPr="0078645D">
        <w:rPr>
          <w:b/>
        </w:rPr>
        <w:t xml:space="preserve">Ophthalmic Physicist </w:t>
      </w:r>
    </w:p>
    <w:p w14:paraId="6DB874E3" w14:textId="77777777" w:rsidR="0078645D" w:rsidRPr="0078645D" w:rsidRDefault="0078645D" w:rsidP="0078645D">
      <w:pPr>
        <w:tabs>
          <w:tab w:val="left" w:pos="360"/>
          <w:tab w:val="left" w:pos="720"/>
          <w:tab w:val="left" w:pos="1080"/>
        </w:tabs>
        <w:spacing w:line="240" w:lineRule="auto"/>
        <w:contextualSpacing/>
        <w:rPr>
          <w:b/>
        </w:rPr>
      </w:pPr>
    </w:p>
    <w:p w14:paraId="586913E9" w14:textId="77777777" w:rsidR="0078645D" w:rsidRPr="0078645D" w:rsidRDefault="0078645D" w:rsidP="0078645D">
      <w:pPr>
        <w:spacing w:line="240" w:lineRule="auto"/>
        <w:rPr>
          <w:b/>
          <w:color w:val="FF0000"/>
        </w:rPr>
      </w:pPr>
      <w:r w:rsidRPr="0078645D">
        <w:rPr>
          <w:b/>
        </w:rPr>
        <w:t xml:space="preserve">39. Why is an ophthalmic physicist added to the regulations? </w:t>
      </w:r>
    </w:p>
    <w:p w14:paraId="522DBDC4" w14:textId="77777777" w:rsidR="0078645D" w:rsidRPr="0078645D" w:rsidRDefault="0078645D" w:rsidP="0078645D">
      <w:pPr>
        <w:spacing w:line="240" w:lineRule="auto"/>
        <w:rPr>
          <w:b/>
        </w:rPr>
      </w:pPr>
    </w:p>
    <w:p w14:paraId="3FD5E62A" w14:textId="5E30E1BF" w:rsidR="0078645D" w:rsidRPr="0078645D" w:rsidRDefault="0078645D" w:rsidP="0078645D">
      <w:pPr>
        <w:spacing w:line="240" w:lineRule="auto"/>
        <w:rPr>
          <w:i/>
        </w:rPr>
      </w:pPr>
      <w:r w:rsidRPr="0078645D">
        <w:rPr>
          <w:i/>
        </w:rPr>
        <w:t>At about the time of the 2002 major revision to 10 CFR Part 35, there were a large number of medical events that were caused by fundamental errors in calculating doses for strontium-90 eye applicators, and the licensees did not have individuals that could identify the</w:t>
      </w:r>
      <w:r w:rsidR="007171F3">
        <w:rPr>
          <w:i/>
        </w:rPr>
        <w:t>se</w:t>
      </w:r>
      <w:r w:rsidRPr="0078645D">
        <w:rPr>
          <w:i/>
        </w:rPr>
        <w:t xml:space="preserve"> problems.  Therefore, the requirement to have an authorized medical physicist (AMP) was added to the 2002 rule.  After implementation of the 2002 rule, the NRC determined that there were a number of small ophthalmic therapy licensees in rural or isolated areas that had difficulty finding a local AMP.  Therefore, the ophthalmic physicist has been added to identify another individual that could perform the medical physics tasks associated with ensuring that ophthalmic therapies </w:t>
      </w:r>
      <w:r w:rsidR="007171F3">
        <w:rPr>
          <w:i/>
        </w:rPr>
        <w:t>a</w:t>
      </w:r>
      <w:r w:rsidR="007171F3" w:rsidRPr="0078645D">
        <w:rPr>
          <w:i/>
        </w:rPr>
        <w:t xml:space="preserve">re </w:t>
      </w:r>
      <w:r w:rsidRPr="0078645D">
        <w:rPr>
          <w:i/>
        </w:rPr>
        <w:t>administered in accordance with written directives.</w:t>
      </w:r>
    </w:p>
    <w:p w14:paraId="0BEBAA8F" w14:textId="77777777" w:rsidR="0078645D" w:rsidRPr="0078645D" w:rsidRDefault="0078645D" w:rsidP="0078645D">
      <w:pPr>
        <w:spacing w:line="240" w:lineRule="auto"/>
        <w:rPr>
          <w:b/>
          <w:color w:val="FF0000"/>
        </w:rPr>
      </w:pPr>
    </w:p>
    <w:p w14:paraId="6AFAE67F" w14:textId="092D971B" w:rsidR="0078645D" w:rsidRPr="0078645D" w:rsidRDefault="0078645D" w:rsidP="0078645D">
      <w:pPr>
        <w:spacing w:line="240" w:lineRule="auto"/>
        <w:rPr>
          <w:b/>
          <w:i/>
          <w:color w:val="000000" w:themeColor="text1"/>
        </w:rPr>
      </w:pPr>
      <w:r w:rsidRPr="0078645D">
        <w:rPr>
          <w:b/>
          <w:color w:val="000000" w:themeColor="text1"/>
        </w:rPr>
        <w:t>40.  Why is NRC requiring the ophthalmic physicist to have training in creating, modifying and completing written directives and procedures for administrations requiring a written directive</w:t>
      </w:r>
      <w:r w:rsidR="00FA406F">
        <w:rPr>
          <w:b/>
          <w:color w:val="000000" w:themeColor="text1"/>
        </w:rPr>
        <w:t>?</w:t>
      </w:r>
      <w:r w:rsidR="007171F3">
        <w:rPr>
          <w:b/>
          <w:color w:val="000000" w:themeColor="text1"/>
        </w:rPr>
        <w:t xml:space="preserve">  Isn’t this </w:t>
      </w:r>
      <w:r w:rsidRPr="0078645D">
        <w:rPr>
          <w:b/>
          <w:color w:val="000000" w:themeColor="text1"/>
        </w:rPr>
        <w:t>usually part of AU training?</w:t>
      </w:r>
    </w:p>
    <w:p w14:paraId="366978F8" w14:textId="77777777" w:rsidR="0078645D" w:rsidRPr="0078645D" w:rsidRDefault="0078645D" w:rsidP="0078645D">
      <w:pPr>
        <w:spacing w:line="240" w:lineRule="auto"/>
        <w:rPr>
          <w:b/>
          <w:i/>
          <w:color w:val="000000" w:themeColor="text1"/>
        </w:rPr>
      </w:pPr>
    </w:p>
    <w:p w14:paraId="07528C0D" w14:textId="77777777" w:rsidR="0078645D" w:rsidRPr="0078645D" w:rsidRDefault="0078645D" w:rsidP="0078645D">
      <w:pPr>
        <w:spacing w:line="240" w:lineRule="auto"/>
        <w:rPr>
          <w:i/>
          <w:color w:val="000000" w:themeColor="text1"/>
        </w:rPr>
      </w:pPr>
      <w:r w:rsidRPr="0078645D">
        <w:rPr>
          <w:i/>
          <w:color w:val="000000" w:themeColor="text1"/>
        </w:rPr>
        <w:t>This training is required, in addition to the basic medical physics training and experience, to ensure the ophthalmic physicist can assist the AU in developing, implementing and maintaining written procedures that provide high confidence that the therapeutic administrations are in accordance with the physician’s direction and to help the licensee identify issues that could lead to medical events.</w:t>
      </w:r>
    </w:p>
    <w:p w14:paraId="04D38CEB" w14:textId="77777777" w:rsidR="0078645D" w:rsidRPr="0078645D" w:rsidRDefault="0078645D" w:rsidP="0078645D">
      <w:pPr>
        <w:spacing w:line="240" w:lineRule="auto"/>
      </w:pPr>
    </w:p>
    <w:p w14:paraId="42D1BDB5" w14:textId="77777777" w:rsidR="0078645D" w:rsidRPr="0078645D" w:rsidRDefault="0078645D" w:rsidP="0078645D">
      <w:pPr>
        <w:tabs>
          <w:tab w:val="left" w:pos="360"/>
          <w:tab w:val="left" w:pos="720"/>
          <w:tab w:val="left" w:pos="1080"/>
        </w:tabs>
        <w:spacing w:line="240" w:lineRule="auto"/>
        <w:contextualSpacing/>
        <w:rPr>
          <w:b/>
        </w:rPr>
      </w:pPr>
      <w:r w:rsidRPr="0078645D">
        <w:rPr>
          <w:b/>
        </w:rPr>
        <w:t>Generator Breakthrough</w:t>
      </w:r>
    </w:p>
    <w:p w14:paraId="03679449" w14:textId="77777777" w:rsidR="0078645D" w:rsidRPr="0078645D" w:rsidRDefault="0078645D" w:rsidP="0078645D">
      <w:pPr>
        <w:tabs>
          <w:tab w:val="left" w:pos="360"/>
          <w:tab w:val="left" w:pos="720"/>
          <w:tab w:val="left" w:pos="1080"/>
        </w:tabs>
        <w:spacing w:line="240" w:lineRule="auto"/>
      </w:pPr>
    </w:p>
    <w:p w14:paraId="37B06B98" w14:textId="3323C525" w:rsidR="0078645D" w:rsidRPr="0078645D" w:rsidRDefault="0078645D" w:rsidP="0078645D">
      <w:pPr>
        <w:tabs>
          <w:tab w:val="left" w:pos="360"/>
          <w:tab w:val="left" w:pos="720"/>
          <w:tab w:val="left" w:pos="1080"/>
        </w:tabs>
        <w:spacing w:line="240" w:lineRule="auto"/>
        <w:rPr>
          <w:b/>
          <w:bCs/>
        </w:rPr>
      </w:pPr>
      <w:r w:rsidRPr="0078645D">
        <w:rPr>
          <w:b/>
        </w:rPr>
        <w:t xml:space="preserve">41. Why is NRC requiring an </w:t>
      </w:r>
      <w:r w:rsidRPr="0078645D">
        <w:rPr>
          <w:b/>
          <w:bCs/>
        </w:rPr>
        <w:t xml:space="preserve">increased frequency under section </w:t>
      </w:r>
      <w:r w:rsidR="00E421C5" w:rsidRPr="00E421C5">
        <w:rPr>
          <w:rFonts w:eastAsia="Calibri"/>
          <w:b/>
        </w:rPr>
        <w:t>10 CFR</w:t>
      </w:r>
      <w:r w:rsidR="00E421C5" w:rsidRPr="0078645D">
        <w:rPr>
          <w:b/>
          <w:bCs/>
        </w:rPr>
        <w:t xml:space="preserve"> </w:t>
      </w:r>
      <w:r w:rsidRPr="0078645D">
        <w:rPr>
          <w:b/>
          <w:bCs/>
        </w:rPr>
        <w:t>35.204 for Mo-99 breakthrough tests?</w:t>
      </w:r>
    </w:p>
    <w:p w14:paraId="061C6D1B" w14:textId="77777777" w:rsidR="0078645D" w:rsidRPr="0078645D" w:rsidRDefault="0078645D" w:rsidP="0078645D">
      <w:pPr>
        <w:tabs>
          <w:tab w:val="left" w:pos="360"/>
          <w:tab w:val="left" w:pos="720"/>
          <w:tab w:val="left" w:pos="1080"/>
        </w:tabs>
        <w:spacing w:line="240" w:lineRule="auto"/>
        <w:contextualSpacing/>
        <w:rPr>
          <w:bCs/>
        </w:rPr>
      </w:pPr>
    </w:p>
    <w:p w14:paraId="0B9251D8" w14:textId="77777777" w:rsidR="0078645D" w:rsidRPr="0078645D" w:rsidRDefault="0078645D" w:rsidP="0078645D">
      <w:pPr>
        <w:tabs>
          <w:tab w:val="left" w:pos="360"/>
          <w:tab w:val="left" w:pos="720"/>
          <w:tab w:val="left" w:pos="1080"/>
        </w:tabs>
        <w:spacing w:line="240" w:lineRule="auto"/>
        <w:contextualSpacing/>
        <w:rPr>
          <w:bCs/>
          <w:i/>
        </w:rPr>
      </w:pPr>
      <w:r w:rsidRPr="0078645D">
        <w:rPr>
          <w:bCs/>
          <w:i/>
        </w:rPr>
        <w:t>Prior to 2002, licensees’ data showed few breakthroughs and those that did occur were identified on measurement of the Mo-99 concentration in the first eluate.  For this reason, the 2002 revision of Part 35 removed the requirement to measure the Mo-99 concentration in each eluate.  However, in 2006, medical use licensees reported that numerous generators had shown no Mo-99 breakthrough in the first eluate, but failed the Mo-99 breakthrough tests performed on subsequent eluates.  NRC now believes that it is important to measure the Mo-99 concentration in each eluate to ensure patients are not administered amounts of Mo-99 in excess of regulatory limits.</w:t>
      </w:r>
    </w:p>
    <w:p w14:paraId="075A8551" w14:textId="77777777" w:rsidR="0078645D" w:rsidRPr="0078645D" w:rsidRDefault="0078645D" w:rsidP="0078645D">
      <w:pPr>
        <w:tabs>
          <w:tab w:val="left" w:pos="360"/>
          <w:tab w:val="left" w:pos="720"/>
          <w:tab w:val="left" w:pos="1080"/>
        </w:tabs>
        <w:spacing w:line="240" w:lineRule="auto"/>
        <w:contextualSpacing/>
        <w:rPr>
          <w:bCs/>
        </w:rPr>
      </w:pPr>
      <w:r w:rsidRPr="0078645D">
        <w:rPr>
          <w:bCs/>
        </w:rPr>
        <w:t xml:space="preserve">  </w:t>
      </w:r>
    </w:p>
    <w:p w14:paraId="36B93098" w14:textId="77777777" w:rsidR="0078645D" w:rsidRPr="0078645D" w:rsidRDefault="0078645D" w:rsidP="0078645D">
      <w:pPr>
        <w:tabs>
          <w:tab w:val="left" w:pos="360"/>
          <w:tab w:val="left" w:pos="720"/>
          <w:tab w:val="left" w:pos="1080"/>
        </w:tabs>
        <w:spacing w:line="240" w:lineRule="auto"/>
        <w:rPr>
          <w:b/>
          <w:bCs/>
        </w:rPr>
      </w:pPr>
      <w:r w:rsidRPr="0078645D">
        <w:rPr>
          <w:b/>
          <w:bCs/>
        </w:rPr>
        <w:t>42.</w:t>
      </w:r>
      <w:r w:rsidRPr="0078645D">
        <w:rPr>
          <w:b/>
          <w:bCs/>
        </w:rPr>
        <w:tab/>
        <w:t>Who needs to report breakthrough values in excess of regulatory limits for Mo</w:t>
      </w:r>
      <w:r w:rsidRPr="0078645D">
        <w:rPr>
          <w:b/>
          <w:bCs/>
        </w:rPr>
        <w:noBreakHyphen/>
        <w:t>99/Tc</w:t>
      </w:r>
      <w:r w:rsidRPr="0078645D">
        <w:rPr>
          <w:b/>
          <w:bCs/>
        </w:rPr>
        <w:noBreakHyphen/>
        <w:t>99m and Sr-82/Rb-82 generators?  Who do they have to report to?</w:t>
      </w:r>
    </w:p>
    <w:p w14:paraId="798A0B96" w14:textId="77777777" w:rsidR="0078645D" w:rsidRPr="0078645D" w:rsidRDefault="0078645D" w:rsidP="0078645D">
      <w:pPr>
        <w:tabs>
          <w:tab w:val="left" w:pos="360"/>
          <w:tab w:val="left" w:pos="720"/>
          <w:tab w:val="left" w:pos="1080"/>
        </w:tabs>
        <w:spacing w:line="240" w:lineRule="auto"/>
        <w:contextualSpacing/>
        <w:rPr>
          <w:bCs/>
        </w:rPr>
      </w:pPr>
    </w:p>
    <w:p w14:paraId="3FEB6790" w14:textId="77777777" w:rsidR="0078645D" w:rsidRPr="0078645D" w:rsidRDefault="0078645D" w:rsidP="0078645D">
      <w:pPr>
        <w:tabs>
          <w:tab w:val="left" w:pos="360"/>
          <w:tab w:val="left" w:pos="720"/>
          <w:tab w:val="left" w:pos="1080"/>
        </w:tabs>
        <w:spacing w:line="240" w:lineRule="auto"/>
        <w:contextualSpacing/>
        <w:rPr>
          <w:bCs/>
          <w:i/>
        </w:rPr>
      </w:pPr>
      <w:r w:rsidRPr="0078645D">
        <w:rPr>
          <w:bCs/>
          <w:i/>
        </w:rPr>
        <w:t xml:space="preserve">Under 10 CFR 35.3204, a licensee that elutes the generator has to report the results to the NRC and the manufacturer/distributor.  This could be a commercial nuclear pharmacy or a medical use licensee who elutes their own generators.  </w:t>
      </w:r>
    </w:p>
    <w:p w14:paraId="44F0D2B5" w14:textId="77777777" w:rsidR="0078645D" w:rsidRPr="0078645D" w:rsidRDefault="0078645D" w:rsidP="0078645D">
      <w:pPr>
        <w:tabs>
          <w:tab w:val="left" w:pos="360"/>
          <w:tab w:val="left" w:pos="720"/>
          <w:tab w:val="left" w:pos="1080"/>
        </w:tabs>
        <w:spacing w:line="240" w:lineRule="auto"/>
        <w:contextualSpacing/>
        <w:rPr>
          <w:bCs/>
          <w:i/>
        </w:rPr>
      </w:pPr>
    </w:p>
    <w:p w14:paraId="65D049F6" w14:textId="77777777" w:rsidR="0078645D" w:rsidRPr="0078645D" w:rsidRDefault="0078645D" w:rsidP="0078645D">
      <w:pPr>
        <w:tabs>
          <w:tab w:val="left" w:pos="360"/>
          <w:tab w:val="left" w:pos="720"/>
          <w:tab w:val="left" w:pos="1080"/>
        </w:tabs>
        <w:spacing w:line="240" w:lineRule="auto"/>
        <w:rPr>
          <w:b/>
          <w:bCs/>
        </w:rPr>
      </w:pPr>
      <w:r w:rsidRPr="0078645D">
        <w:rPr>
          <w:b/>
          <w:iCs/>
        </w:rPr>
        <w:t>43.</w:t>
      </w:r>
      <w:r w:rsidRPr="0078645D">
        <w:rPr>
          <w:b/>
          <w:iCs/>
        </w:rPr>
        <w:tab/>
        <w:t>How long do</w:t>
      </w:r>
      <w:r w:rsidRPr="0078645D">
        <w:rPr>
          <w:b/>
          <w:bCs/>
        </w:rPr>
        <w:t xml:space="preserve"> licensees that elute generators </w:t>
      </w:r>
      <w:r w:rsidRPr="0078645D">
        <w:rPr>
          <w:b/>
        </w:rPr>
        <w:t>have to notify the NRC when an eluate from a generator exceeds the permissible concentration listed in 10 CFR </w:t>
      </w:r>
      <w:r w:rsidRPr="0078645D">
        <w:rPr>
          <w:rFonts w:eastAsia="Calibri"/>
          <w:b/>
        </w:rPr>
        <w:t>35</w:t>
      </w:r>
      <w:r w:rsidRPr="0078645D">
        <w:rPr>
          <w:b/>
        </w:rPr>
        <w:t>.204(a)?</w:t>
      </w:r>
    </w:p>
    <w:p w14:paraId="02B244E7" w14:textId="77777777" w:rsidR="0078645D" w:rsidRPr="0078645D" w:rsidRDefault="0078645D" w:rsidP="0078645D">
      <w:pPr>
        <w:tabs>
          <w:tab w:val="left" w:pos="360"/>
          <w:tab w:val="left" w:pos="720"/>
          <w:tab w:val="left" w:pos="1080"/>
        </w:tabs>
        <w:spacing w:line="240" w:lineRule="auto"/>
        <w:contextualSpacing/>
      </w:pPr>
    </w:p>
    <w:p w14:paraId="0C09FFED" w14:textId="17F4E923" w:rsidR="0078645D" w:rsidRPr="0078645D" w:rsidRDefault="0078645D" w:rsidP="0078645D">
      <w:pPr>
        <w:tabs>
          <w:tab w:val="left" w:pos="360"/>
          <w:tab w:val="left" w:pos="720"/>
          <w:tab w:val="left" w:pos="1080"/>
        </w:tabs>
        <w:spacing w:line="240" w:lineRule="auto"/>
        <w:contextualSpacing/>
        <w:rPr>
          <w:i/>
        </w:rPr>
      </w:pPr>
      <w:r w:rsidRPr="0078645D">
        <w:rPr>
          <w:i/>
        </w:rPr>
        <w:t xml:space="preserve">Under </w:t>
      </w:r>
      <w:r w:rsidR="00210545" w:rsidRPr="004B0435">
        <w:rPr>
          <w:rFonts w:eastAsia="Calibri"/>
          <w:i/>
        </w:rPr>
        <w:t>10 CFR</w:t>
      </w:r>
      <w:r w:rsidR="00210545" w:rsidRPr="0078645D">
        <w:rPr>
          <w:i/>
        </w:rPr>
        <w:t xml:space="preserve"> </w:t>
      </w:r>
      <w:r w:rsidRPr="0078645D">
        <w:rPr>
          <w:i/>
        </w:rPr>
        <w:t xml:space="preserve">35.3204, licensees eluting generators must make a telephone notification to the NRC Operations Center and the manufacturer/distributor within 7 calendar days after discovering that an eluate exceeded the permissible concentration listed in </w:t>
      </w:r>
      <w:r w:rsidR="00210545" w:rsidRPr="004B0435">
        <w:rPr>
          <w:rFonts w:eastAsia="Calibri"/>
          <w:i/>
        </w:rPr>
        <w:t>10 CFR</w:t>
      </w:r>
      <w:r w:rsidR="00210545" w:rsidRPr="0078645D">
        <w:rPr>
          <w:i/>
        </w:rPr>
        <w:t xml:space="preserve"> </w:t>
      </w:r>
      <w:r w:rsidRPr="0078645D">
        <w:rPr>
          <w:i/>
        </w:rPr>
        <w:t>35.204(a).  The licensee must also submit a written report to the NRC within 30 days of this discovery.</w:t>
      </w:r>
    </w:p>
    <w:p w14:paraId="76ABEECE" w14:textId="77777777" w:rsidR="0078645D" w:rsidRPr="0078645D" w:rsidRDefault="0078645D" w:rsidP="0078645D">
      <w:pPr>
        <w:tabs>
          <w:tab w:val="left" w:pos="360"/>
          <w:tab w:val="left" w:pos="720"/>
          <w:tab w:val="left" w:pos="1080"/>
        </w:tabs>
        <w:spacing w:line="240" w:lineRule="auto"/>
        <w:contextualSpacing/>
        <w:rPr>
          <w:i/>
        </w:rPr>
      </w:pPr>
    </w:p>
    <w:p w14:paraId="3CF53F26" w14:textId="77777777" w:rsidR="0078645D" w:rsidRPr="0078645D" w:rsidRDefault="0078645D" w:rsidP="0078645D">
      <w:pPr>
        <w:tabs>
          <w:tab w:val="left" w:pos="360"/>
          <w:tab w:val="left" w:pos="720"/>
          <w:tab w:val="left" w:pos="1080"/>
        </w:tabs>
        <w:spacing w:line="240" w:lineRule="auto"/>
        <w:rPr>
          <w:b/>
          <w:bCs/>
        </w:rPr>
      </w:pPr>
      <w:r w:rsidRPr="0078645D">
        <w:rPr>
          <w:b/>
          <w:bCs/>
        </w:rPr>
        <w:t>44.</w:t>
      </w:r>
      <w:r w:rsidRPr="0078645D">
        <w:rPr>
          <w:b/>
          <w:bCs/>
        </w:rPr>
        <w:tab/>
        <w:t xml:space="preserve">What reports are made to NRC by the licensee who eluted the generator when an eluate exceeds the permissible concentrations listed in 10 CFR 35.204(a)?  </w:t>
      </w:r>
    </w:p>
    <w:p w14:paraId="27847C22" w14:textId="77777777" w:rsidR="0078645D" w:rsidRPr="0078645D" w:rsidRDefault="0078645D" w:rsidP="0078645D">
      <w:pPr>
        <w:tabs>
          <w:tab w:val="left" w:pos="360"/>
          <w:tab w:val="left" w:pos="720"/>
          <w:tab w:val="left" w:pos="1080"/>
        </w:tabs>
        <w:spacing w:line="240" w:lineRule="auto"/>
        <w:contextualSpacing/>
        <w:rPr>
          <w:bCs/>
        </w:rPr>
      </w:pPr>
    </w:p>
    <w:p w14:paraId="209AEA56" w14:textId="77777777" w:rsidR="0078645D" w:rsidRPr="0078645D" w:rsidRDefault="0078645D" w:rsidP="0078645D">
      <w:pPr>
        <w:tabs>
          <w:tab w:val="left" w:pos="360"/>
          <w:tab w:val="left" w:pos="720"/>
          <w:tab w:val="left" w:pos="1080"/>
        </w:tabs>
        <w:spacing w:line="240" w:lineRule="auto"/>
        <w:contextualSpacing/>
        <w:rPr>
          <w:bCs/>
          <w:i/>
        </w:rPr>
      </w:pPr>
      <w:r w:rsidRPr="0078645D">
        <w:rPr>
          <w:bCs/>
          <w:i/>
        </w:rPr>
        <w:t>The licensee eluting the generator must report</w:t>
      </w:r>
      <w:r w:rsidRPr="0078645D">
        <w:rPr>
          <w:bCs/>
        </w:rPr>
        <w:t xml:space="preserve"> </w:t>
      </w:r>
      <w:r w:rsidRPr="0078645D">
        <w:rPr>
          <w:bCs/>
          <w:i/>
        </w:rPr>
        <w:t>generator and elution information, whether</w:t>
      </w:r>
      <w:r w:rsidRPr="0078645D">
        <w:rPr>
          <w:bCs/>
        </w:rPr>
        <w:t xml:space="preserve"> </w:t>
      </w:r>
      <w:r w:rsidRPr="0078645D">
        <w:rPr>
          <w:bCs/>
          <w:i/>
        </w:rPr>
        <w:t>dosages were administered, and when the manufacturer/distributor was notified.  If patient dosages were administered, a dose assessment must be performed and the methodology of the dose assessment described.  If an error occurred in the licensee’s breakthrough determination, the report must include action taken by the licensee, probable cause, evaluations and assessments of failure in the licensee’s equipment, procedures, or training that contributed to the excessive readings.</w:t>
      </w:r>
    </w:p>
    <w:p w14:paraId="721CB1BE" w14:textId="77777777" w:rsidR="0078645D" w:rsidRPr="0078645D" w:rsidRDefault="0078645D" w:rsidP="0078645D">
      <w:pPr>
        <w:tabs>
          <w:tab w:val="left" w:pos="360"/>
          <w:tab w:val="left" w:pos="720"/>
          <w:tab w:val="left" w:pos="1080"/>
        </w:tabs>
        <w:spacing w:line="240" w:lineRule="auto"/>
        <w:contextualSpacing/>
      </w:pPr>
    </w:p>
    <w:p w14:paraId="51DBB152" w14:textId="77777777" w:rsidR="0078645D" w:rsidRPr="0078645D" w:rsidRDefault="0078645D" w:rsidP="0078645D">
      <w:pPr>
        <w:tabs>
          <w:tab w:val="left" w:pos="360"/>
          <w:tab w:val="left" w:pos="720"/>
          <w:tab w:val="left" w:pos="1080"/>
        </w:tabs>
        <w:spacing w:line="240" w:lineRule="auto"/>
        <w:rPr>
          <w:b/>
          <w:bCs/>
        </w:rPr>
      </w:pPr>
      <w:r w:rsidRPr="0078645D">
        <w:rPr>
          <w:b/>
          <w:bCs/>
        </w:rPr>
        <w:t>Calibration, transmission, and reference sources</w:t>
      </w:r>
    </w:p>
    <w:p w14:paraId="742E74D2" w14:textId="77777777" w:rsidR="0078645D" w:rsidRPr="0078645D" w:rsidRDefault="0078645D" w:rsidP="0078645D">
      <w:pPr>
        <w:tabs>
          <w:tab w:val="left" w:pos="360"/>
          <w:tab w:val="left" w:pos="720"/>
          <w:tab w:val="left" w:pos="1080"/>
        </w:tabs>
        <w:spacing w:line="240" w:lineRule="auto"/>
        <w:contextualSpacing/>
        <w:rPr>
          <w:bCs/>
        </w:rPr>
      </w:pPr>
    </w:p>
    <w:p w14:paraId="35449AEB" w14:textId="77777777" w:rsidR="0078645D" w:rsidRPr="0078645D" w:rsidRDefault="0078645D" w:rsidP="0078645D">
      <w:pPr>
        <w:tabs>
          <w:tab w:val="left" w:pos="360"/>
          <w:tab w:val="left" w:pos="720"/>
          <w:tab w:val="left" w:pos="1080"/>
        </w:tabs>
        <w:spacing w:line="240" w:lineRule="auto"/>
        <w:rPr>
          <w:b/>
          <w:bCs/>
        </w:rPr>
      </w:pPr>
      <w:r w:rsidRPr="0078645D">
        <w:rPr>
          <w:b/>
          <w:bCs/>
        </w:rPr>
        <w:t xml:space="preserve">45. Is bundling or aggregating of single calibration, transmission, or reference sealed sources authorized by 10 CFR </w:t>
      </w:r>
      <w:r w:rsidRPr="0078645D">
        <w:rPr>
          <w:b/>
        </w:rPr>
        <w:t>35.65</w:t>
      </w:r>
      <w:r w:rsidRPr="0078645D">
        <w:rPr>
          <w:b/>
          <w:bCs/>
        </w:rPr>
        <w:t xml:space="preserve"> allowed under regulation?</w:t>
      </w:r>
    </w:p>
    <w:p w14:paraId="23F80250" w14:textId="77777777" w:rsidR="0078645D" w:rsidRPr="0078645D" w:rsidRDefault="0078645D" w:rsidP="0078645D">
      <w:pPr>
        <w:tabs>
          <w:tab w:val="left" w:pos="360"/>
          <w:tab w:val="left" w:pos="720"/>
          <w:tab w:val="left" w:pos="1080"/>
        </w:tabs>
        <w:spacing w:line="240" w:lineRule="auto"/>
        <w:rPr>
          <w:bCs/>
        </w:rPr>
      </w:pPr>
    </w:p>
    <w:p w14:paraId="7C7D81D6" w14:textId="5221AB77" w:rsidR="0078645D" w:rsidRPr="0078645D" w:rsidRDefault="0078645D" w:rsidP="0078645D">
      <w:pPr>
        <w:tabs>
          <w:tab w:val="left" w:pos="360"/>
          <w:tab w:val="left" w:pos="720"/>
          <w:tab w:val="left" w:pos="1080"/>
        </w:tabs>
        <w:spacing w:line="240" w:lineRule="auto"/>
        <w:rPr>
          <w:i/>
        </w:rPr>
      </w:pPr>
      <w:r w:rsidRPr="0078645D">
        <w:rPr>
          <w:bCs/>
          <w:i/>
        </w:rPr>
        <w:t xml:space="preserve">Sometimes.  Bundling or aggregating of single sealed sources is allowed when the combined source activity is not greater than the activities authorized by </w:t>
      </w:r>
      <w:r w:rsidR="00210545" w:rsidRPr="004B0435">
        <w:rPr>
          <w:rFonts w:eastAsia="Calibri"/>
          <w:i/>
        </w:rPr>
        <w:t>10 CFR</w:t>
      </w:r>
      <w:r w:rsidR="00210545" w:rsidRPr="0078645D">
        <w:rPr>
          <w:i/>
        </w:rPr>
        <w:t xml:space="preserve"> </w:t>
      </w:r>
      <w:r w:rsidRPr="0078645D">
        <w:rPr>
          <w:i/>
        </w:rPr>
        <w:t xml:space="preserve">35.65.  </w:t>
      </w:r>
      <w:r w:rsidRPr="0078645D">
        <w:rPr>
          <w:bCs/>
          <w:i/>
        </w:rPr>
        <w:t xml:space="preserve">Bundling or aggregating of single sealed sources is not allowed when the combined source activity is greater than the activities authorized by </w:t>
      </w:r>
      <w:r w:rsidR="00210545" w:rsidRPr="004B0435">
        <w:rPr>
          <w:rFonts w:eastAsia="Calibri"/>
          <w:i/>
        </w:rPr>
        <w:t>10 CFR</w:t>
      </w:r>
      <w:r w:rsidR="00210545" w:rsidRPr="0078645D">
        <w:rPr>
          <w:i/>
        </w:rPr>
        <w:t xml:space="preserve"> </w:t>
      </w:r>
      <w:r w:rsidRPr="0078645D">
        <w:rPr>
          <w:i/>
        </w:rPr>
        <w:t>35.65, and in this case, the source needs to be specifically listed on the license.</w:t>
      </w:r>
    </w:p>
    <w:p w14:paraId="75EAF995" w14:textId="77777777" w:rsidR="0078645D" w:rsidRPr="0078645D" w:rsidRDefault="0078645D" w:rsidP="0078645D">
      <w:pPr>
        <w:tabs>
          <w:tab w:val="left" w:pos="360"/>
          <w:tab w:val="left" w:pos="720"/>
          <w:tab w:val="left" w:pos="1080"/>
        </w:tabs>
        <w:spacing w:line="240" w:lineRule="auto"/>
        <w:rPr>
          <w:i/>
        </w:rPr>
      </w:pPr>
    </w:p>
    <w:p w14:paraId="5275B94C" w14:textId="77777777" w:rsidR="0078645D" w:rsidRPr="0078645D" w:rsidRDefault="0078645D" w:rsidP="0078645D">
      <w:pPr>
        <w:spacing w:line="240" w:lineRule="auto"/>
        <w:rPr>
          <w:b/>
        </w:rPr>
      </w:pPr>
      <w:r w:rsidRPr="0078645D">
        <w:rPr>
          <w:b/>
        </w:rPr>
        <w:t>46. Does NRC define bundling?</w:t>
      </w:r>
    </w:p>
    <w:p w14:paraId="09526F4E" w14:textId="77777777" w:rsidR="0078645D" w:rsidRPr="0078645D" w:rsidRDefault="0078645D" w:rsidP="0078645D">
      <w:pPr>
        <w:spacing w:line="240" w:lineRule="auto"/>
        <w:rPr>
          <w:b/>
        </w:rPr>
      </w:pPr>
    </w:p>
    <w:p w14:paraId="3A84BCE2" w14:textId="53F75F8E" w:rsidR="0078645D" w:rsidRPr="0078645D" w:rsidRDefault="0078645D" w:rsidP="0078645D">
      <w:pPr>
        <w:spacing w:line="240" w:lineRule="auto"/>
        <w:rPr>
          <w:i/>
        </w:rPr>
      </w:pPr>
      <w:r w:rsidRPr="0078645D">
        <w:rPr>
          <w:i/>
        </w:rPr>
        <w:t xml:space="preserve">Although bundling is not defined in </w:t>
      </w:r>
      <w:r w:rsidR="00210545" w:rsidRPr="004B0435">
        <w:rPr>
          <w:rFonts w:eastAsia="Calibri"/>
          <w:i/>
        </w:rPr>
        <w:t>10 CFR</w:t>
      </w:r>
      <w:r w:rsidR="00210545" w:rsidRPr="0078645D">
        <w:rPr>
          <w:i/>
        </w:rPr>
        <w:t xml:space="preserve"> </w:t>
      </w:r>
      <w:r w:rsidRPr="0078645D">
        <w:rPr>
          <w:i/>
        </w:rPr>
        <w:t xml:space="preserve">35.2, “Definitions,” in 10 CFR 35.65(b)(2) “combined to create” an activity is described as being the same as “bundled or aggregated.”  Examples of bundled sources are those transmission sources used in PET scanners that are each less than the limits of individual sources in </w:t>
      </w:r>
      <w:r w:rsidR="00210545" w:rsidRPr="004B0435">
        <w:rPr>
          <w:rFonts w:eastAsia="Calibri"/>
          <w:i/>
        </w:rPr>
        <w:t>10 CFR</w:t>
      </w:r>
      <w:r w:rsidR="00210545" w:rsidRPr="0078645D">
        <w:rPr>
          <w:i/>
        </w:rPr>
        <w:t xml:space="preserve"> </w:t>
      </w:r>
      <w:r w:rsidRPr="0078645D">
        <w:rPr>
          <w:i/>
        </w:rPr>
        <w:t>35.65</w:t>
      </w:r>
      <w:r w:rsidR="007171F3">
        <w:rPr>
          <w:i/>
        </w:rPr>
        <w:t>,</w:t>
      </w:r>
      <w:r w:rsidRPr="0078645D">
        <w:rPr>
          <w:i/>
        </w:rPr>
        <w:t xml:space="preserve"> but only used together as an aggregated group.  NRC does not consider individual sources placed together for storage to be bundled.</w:t>
      </w:r>
    </w:p>
    <w:p w14:paraId="114EF0C3" w14:textId="77777777"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b/>
        </w:rPr>
      </w:pPr>
      <w:r w:rsidRPr="0078645D">
        <w:rPr>
          <w:rFonts w:eastAsia="Times New Roman"/>
          <w:b/>
        </w:rPr>
        <w:t>47. May a licensee use calibration, transmission, or reference sources to aid in performance of patient imaging and localization procedures if the sources otherwise meet the requirements of 10 CFR 35.65?</w:t>
      </w:r>
    </w:p>
    <w:p w14:paraId="1C772755" w14:textId="02D4B2D6"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i/>
        </w:rPr>
      </w:pPr>
      <w:r w:rsidRPr="0078645D">
        <w:rPr>
          <w:rFonts w:eastAsia="Times New Roman"/>
          <w:i/>
        </w:rPr>
        <w:t xml:space="preserve">Yes.  Some licensees may not recognize that use of calibration, transmission, or reference sources during imaging procedures meets the definition of medical use if this results in radiation exposure to the patient.  </w:t>
      </w:r>
      <w:r w:rsidR="00210545" w:rsidRPr="004B0435">
        <w:rPr>
          <w:rFonts w:eastAsia="Calibri"/>
          <w:i/>
        </w:rPr>
        <w:t>10 CFR</w:t>
      </w:r>
      <w:r w:rsidR="00210545" w:rsidRPr="0078645D">
        <w:rPr>
          <w:rFonts w:eastAsia="Times New Roman"/>
          <w:i/>
        </w:rPr>
        <w:t xml:space="preserve"> </w:t>
      </w:r>
      <w:r w:rsidRPr="0078645D">
        <w:rPr>
          <w:rFonts w:eastAsia="Times New Roman"/>
          <w:i/>
        </w:rPr>
        <w:t xml:space="preserve">35.65(b)(1) recognizes that medical use of calibration, transmission, and reference sources must be performed in accordance with the requirements in </w:t>
      </w:r>
      <w:r w:rsidR="00210545" w:rsidRPr="004B0435">
        <w:rPr>
          <w:rFonts w:eastAsia="Calibri"/>
          <w:i/>
        </w:rPr>
        <w:t>10 CFR</w:t>
      </w:r>
      <w:r w:rsidR="00210545" w:rsidRPr="0078645D">
        <w:rPr>
          <w:rFonts w:eastAsia="Times New Roman"/>
          <w:i/>
        </w:rPr>
        <w:t xml:space="preserve"> </w:t>
      </w:r>
      <w:r w:rsidRPr="0078645D">
        <w:rPr>
          <w:rFonts w:eastAsia="Times New Roman"/>
          <w:i/>
        </w:rPr>
        <w:t xml:space="preserve">35.500, “Use of Sealed Sources and Devices for Medical Diagnosis,” and a physician authorized for </w:t>
      </w:r>
      <w:r w:rsidR="00210545" w:rsidRPr="004B0435">
        <w:rPr>
          <w:rFonts w:eastAsia="Calibri"/>
          <w:i/>
        </w:rPr>
        <w:t>10 CFR</w:t>
      </w:r>
      <w:r w:rsidR="00210545" w:rsidRPr="0078645D">
        <w:rPr>
          <w:rFonts w:eastAsia="Times New Roman"/>
          <w:i/>
        </w:rPr>
        <w:t xml:space="preserve"> </w:t>
      </w:r>
      <w:r w:rsidRPr="0078645D">
        <w:rPr>
          <w:rFonts w:eastAsia="Times New Roman"/>
          <w:i/>
        </w:rPr>
        <w:t xml:space="preserve">35.200 medical uses is authorized by </w:t>
      </w:r>
      <w:r w:rsidR="00210545" w:rsidRPr="004B0435">
        <w:rPr>
          <w:rFonts w:eastAsia="Calibri"/>
          <w:i/>
        </w:rPr>
        <w:t>10 CFR</w:t>
      </w:r>
      <w:r w:rsidR="00210545" w:rsidRPr="0078645D">
        <w:rPr>
          <w:rFonts w:eastAsia="Times New Roman"/>
          <w:i/>
        </w:rPr>
        <w:t xml:space="preserve"> </w:t>
      </w:r>
      <w:r w:rsidRPr="0078645D">
        <w:rPr>
          <w:rFonts w:eastAsia="Times New Roman"/>
          <w:i/>
        </w:rPr>
        <w:t xml:space="preserve">35.590(b) to use these sources under 35.500. </w:t>
      </w:r>
    </w:p>
    <w:p w14:paraId="222CAE17" w14:textId="77777777"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b/>
        </w:rPr>
      </w:pPr>
      <w:r w:rsidRPr="0078645D">
        <w:rPr>
          <w:rFonts w:eastAsia="Times New Roman"/>
          <w:b/>
        </w:rPr>
        <w:t xml:space="preserve">48. If a licensee uses calibration, transmission, or reference sources in patient imaging and localization procedures when the sources otherwise meet the requirements of 10 CFR 35.65, do these sources need to be specifically listed on the license? </w:t>
      </w:r>
    </w:p>
    <w:p w14:paraId="271F6367" w14:textId="2BE9E113"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i/>
        </w:rPr>
      </w:pPr>
      <w:r w:rsidRPr="0078645D">
        <w:rPr>
          <w:rFonts w:eastAsia="Times New Roman"/>
          <w:i/>
        </w:rPr>
        <w:t xml:space="preserve">No.  Calibration, transmission, or reference sources that are used for medical use in accordance with the requirements of </w:t>
      </w:r>
      <w:r w:rsidR="00210545" w:rsidRPr="004B0435">
        <w:rPr>
          <w:rFonts w:eastAsia="Calibri"/>
          <w:i/>
        </w:rPr>
        <w:t>10 CFR</w:t>
      </w:r>
      <w:r w:rsidR="00210545" w:rsidRPr="0078645D">
        <w:rPr>
          <w:rFonts w:eastAsia="Times New Roman"/>
          <w:i/>
        </w:rPr>
        <w:t xml:space="preserve"> </w:t>
      </w:r>
      <w:r w:rsidRPr="0078645D">
        <w:rPr>
          <w:rFonts w:eastAsia="Times New Roman"/>
          <w:i/>
        </w:rPr>
        <w:t xml:space="preserve">35.500, and are not bundled to result in an activity greater than that specified in </w:t>
      </w:r>
      <w:r w:rsidR="00210545" w:rsidRPr="004B0435">
        <w:rPr>
          <w:rFonts w:eastAsia="Calibri"/>
          <w:i/>
        </w:rPr>
        <w:t>10 CFR</w:t>
      </w:r>
      <w:r w:rsidR="00210545" w:rsidRPr="0078645D">
        <w:rPr>
          <w:rFonts w:eastAsia="Times New Roman"/>
          <w:i/>
        </w:rPr>
        <w:t xml:space="preserve"> </w:t>
      </w:r>
      <w:r w:rsidRPr="0078645D">
        <w:rPr>
          <w:rFonts w:eastAsia="Times New Roman"/>
          <w:i/>
        </w:rPr>
        <w:t xml:space="preserve">35.65, do not have to be listed on the license. </w:t>
      </w:r>
    </w:p>
    <w:p w14:paraId="7A351EFC" w14:textId="77777777"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b/>
        </w:rPr>
      </w:pPr>
      <w:r w:rsidRPr="0078645D">
        <w:rPr>
          <w:rFonts w:eastAsia="Times New Roman"/>
          <w:b/>
        </w:rPr>
        <w:t>Sealed and Device Registry</w:t>
      </w:r>
    </w:p>
    <w:p w14:paraId="62F2AF11" w14:textId="4794851C"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b/>
        </w:rPr>
      </w:pPr>
      <w:r w:rsidRPr="0078645D">
        <w:rPr>
          <w:rFonts w:eastAsia="Times New Roman"/>
          <w:b/>
        </w:rPr>
        <w:t xml:space="preserve">49. Why were 10 CFR 35.400, 35.500, and 35.600 revised to replace the requirement that the sealed sources be used “as approved in the Sealed Source and Device </w:t>
      </w:r>
      <w:r w:rsidR="00210545">
        <w:rPr>
          <w:rFonts w:eastAsia="Times New Roman"/>
          <w:b/>
        </w:rPr>
        <w:t>R</w:t>
      </w:r>
      <w:r w:rsidRPr="0078645D">
        <w:rPr>
          <w:rFonts w:eastAsia="Times New Roman"/>
          <w:b/>
        </w:rPr>
        <w:t xml:space="preserve">egistry” with the requirement </w:t>
      </w:r>
      <w:r w:rsidR="00210545">
        <w:rPr>
          <w:rFonts w:eastAsia="Times New Roman"/>
          <w:b/>
        </w:rPr>
        <w:t xml:space="preserve">that </w:t>
      </w:r>
      <w:r w:rsidRPr="0078645D">
        <w:rPr>
          <w:rFonts w:eastAsia="Times New Roman"/>
          <w:b/>
        </w:rPr>
        <w:t>the sealed sources be used “in accordance with the radiation safety conditions and limitations described in the Sealed Source and Device Registry?</w:t>
      </w:r>
      <w:r w:rsidR="00210545">
        <w:rPr>
          <w:rFonts w:eastAsia="Times New Roman"/>
          <w:b/>
        </w:rPr>
        <w:t>”</w:t>
      </w:r>
      <w:r w:rsidRPr="0078645D">
        <w:rPr>
          <w:rFonts w:eastAsia="Times New Roman"/>
          <w:b/>
        </w:rPr>
        <w:t xml:space="preserve"> </w:t>
      </w:r>
    </w:p>
    <w:p w14:paraId="13331365" w14:textId="27C35106"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i/>
        </w:rPr>
      </w:pPr>
      <w:r w:rsidRPr="0078645D">
        <w:rPr>
          <w:rFonts w:eastAsia="Times New Roman"/>
          <w:i/>
        </w:rPr>
        <w:t xml:space="preserve">The requirement to use sources in accordance with the Sealed Source and Device Registry </w:t>
      </w:r>
      <w:r w:rsidR="00E30DBA">
        <w:rPr>
          <w:rFonts w:eastAsia="Times New Roman"/>
          <w:i/>
        </w:rPr>
        <w:t>(</w:t>
      </w:r>
      <w:r w:rsidRPr="0078645D">
        <w:rPr>
          <w:rFonts w:eastAsia="Times New Roman"/>
          <w:i/>
        </w:rPr>
        <w:t>SSDR) was revised because NRC recognized that the SSDR might not include all the medical uses for a sealed source (for example</w:t>
      </w:r>
      <w:r w:rsidR="005300AA">
        <w:rPr>
          <w:rFonts w:eastAsia="Times New Roman"/>
          <w:i/>
        </w:rPr>
        <w:t>,</w:t>
      </w:r>
      <w:r w:rsidRPr="0078645D">
        <w:rPr>
          <w:rFonts w:eastAsia="Times New Roman"/>
          <w:i/>
        </w:rPr>
        <w:t xml:space="preserve"> the SSDR </w:t>
      </w:r>
      <w:r w:rsidR="00E30DBA">
        <w:rPr>
          <w:rFonts w:eastAsia="Times New Roman"/>
          <w:i/>
        </w:rPr>
        <w:t xml:space="preserve">may </w:t>
      </w:r>
      <w:r w:rsidRPr="0078645D">
        <w:rPr>
          <w:rFonts w:eastAsia="Times New Roman"/>
          <w:i/>
        </w:rPr>
        <w:t>list only interstitial use when intracavitary, intraluminal or superficial uses may also be acceptable).  Requiring only those uses listed in the SSDR may interfere with the practice of medicine.</w:t>
      </w:r>
    </w:p>
    <w:p w14:paraId="297BB29B" w14:textId="7FE8A5E2"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i/>
        </w:rPr>
      </w:pPr>
      <w:r w:rsidRPr="0078645D">
        <w:rPr>
          <w:rFonts w:eastAsia="Times New Roman"/>
          <w:i/>
        </w:rPr>
        <w:t>During the SSDR review, safety conditions and limitations are determined based on a review of the design, manufacture, prototype testing, quality control program, labeling, proposed uses and leak testing of sources and installation, service and maintenance, operating and safety instructions, and potential hazards for devices.  This is done to provide reasonable assurance that the radiation safety properties of the source or device are adequate to protect health and minimize danger to life and property</w:t>
      </w:r>
      <w:r w:rsidR="00812180">
        <w:rPr>
          <w:rFonts w:eastAsia="Times New Roman"/>
          <w:i/>
        </w:rPr>
        <w:t xml:space="preserve"> for the proposed use</w:t>
      </w:r>
      <w:r w:rsidRPr="0078645D">
        <w:rPr>
          <w:rFonts w:eastAsia="Times New Roman"/>
          <w:i/>
        </w:rPr>
        <w:t xml:space="preserve">. </w:t>
      </w:r>
      <w:r w:rsidR="00812180">
        <w:rPr>
          <w:rFonts w:eastAsia="Times New Roman"/>
          <w:i/>
        </w:rPr>
        <w:t xml:space="preserve"> </w:t>
      </w:r>
      <w:r w:rsidRPr="0078645D">
        <w:rPr>
          <w:rFonts w:eastAsia="Times New Roman"/>
          <w:i/>
        </w:rPr>
        <w:t>Use of the sources or devices within the safety conditions and limitations assures that the sources and devices are used in a manner that protects workers, users and patients.</w:t>
      </w:r>
    </w:p>
    <w:p w14:paraId="097F9E88" w14:textId="4A400201" w:rsidR="0078645D" w:rsidRPr="0078645D" w:rsidRDefault="00E30DBA" w:rsidP="0078645D">
      <w:pPr>
        <w:tabs>
          <w:tab w:val="left" w:pos="360"/>
          <w:tab w:val="left" w:pos="720"/>
          <w:tab w:val="left" w:pos="1080"/>
        </w:tabs>
        <w:spacing w:before="100" w:beforeAutospacing="1" w:after="100" w:afterAutospacing="1" w:line="240" w:lineRule="auto"/>
        <w:rPr>
          <w:rFonts w:eastAsia="Times New Roman"/>
          <w:i/>
        </w:rPr>
      </w:pPr>
      <w:r>
        <w:rPr>
          <w:rFonts w:eastAsia="Times New Roman"/>
          <w:i/>
        </w:rPr>
        <w:t xml:space="preserve">In addition, </w:t>
      </w:r>
      <w:r w:rsidR="0078645D" w:rsidRPr="0078645D">
        <w:rPr>
          <w:rFonts w:eastAsia="Times New Roman"/>
          <w:i/>
        </w:rPr>
        <w:t xml:space="preserve">NRC regulations still require sources and devices to be used for the type of medical use for which they are listed in the Sealed Source and Device Registry.  For example, a source or device listed for diagnostic purposes (under </w:t>
      </w:r>
      <w:r w:rsidR="007C6BD9" w:rsidRPr="004B0435">
        <w:rPr>
          <w:rFonts w:eastAsia="Calibri"/>
          <w:i/>
        </w:rPr>
        <w:t>10 CFR</w:t>
      </w:r>
      <w:r w:rsidR="007C6BD9" w:rsidRPr="0078645D">
        <w:rPr>
          <w:rFonts w:eastAsia="Times New Roman"/>
          <w:i/>
        </w:rPr>
        <w:t xml:space="preserve"> </w:t>
      </w:r>
      <w:r w:rsidR="0078645D" w:rsidRPr="0078645D">
        <w:rPr>
          <w:rFonts w:eastAsia="Times New Roman"/>
          <w:i/>
        </w:rPr>
        <w:t xml:space="preserve">35.500 medical uses) cannot be used for therapy purposes (under </w:t>
      </w:r>
      <w:r w:rsidR="007C6BD9" w:rsidRPr="004B0435">
        <w:rPr>
          <w:rFonts w:eastAsia="Calibri"/>
          <w:i/>
        </w:rPr>
        <w:t>10 CFR</w:t>
      </w:r>
      <w:r w:rsidR="007C6BD9" w:rsidRPr="0078645D">
        <w:rPr>
          <w:rFonts w:eastAsia="Times New Roman"/>
          <w:i/>
        </w:rPr>
        <w:t xml:space="preserve"> </w:t>
      </w:r>
      <w:r w:rsidR="0078645D" w:rsidRPr="0078645D">
        <w:rPr>
          <w:rFonts w:eastAsia="Times New Roman"/>
          <w:i/>
        </w:rPr>
        <w:t xml:space="preserve">35.400 or 35.600 medical uses) and a source or device that is listed for a high dose remote afterloader use (under </w:t>
      </w:r>
      <w:r w:rsidR="007C6BD9" w:rsidRPr="004B0435">
        <w:rPr>
          <w:rFonts w:eastAsia="Calibri"/>
          <w:i/>
        </w:rPr>
        <w:t>10 CFR</w:t>
      </w:r>
      <w:r w:rsidR="007C6BD9" w:rsidRPr="0078645D">
        <w:rPr>
          <w:rFonts w:eastAsia="Times New Roman"/>
          <w:i/>
        </w:rPr>
        <w:t xml:space="preserve"> </w:t>
      </w:r>
      <w:r w:rsidR="0078645D" w:rsidRPr="0078645D">
        <w:rPr>
          <w:rFonts w:eastAsia="Times New Roman"/>
          <w:i/>
        </w:rPr>
        <w:t>35.600 medical use</w:t>
      </w:r>
      <w:r w:rsidR="0032358B">
        <w:rPr>
          <w:rFonts w:eastAsia="Times New Roman"/>
          <w:i/>
        </w:rPr>
        <w:t>s</w:t>
      </w:r>
      <w:r w:rsidR="0078645D" w:rsidRPr="0078645D">
        <w:rPr>
          <w:rFonts w:eastAsia="Times New Roman"/>
          <w:i/>
        </w:rPr>
        <w:t xml:space="preserve">) cannot be used for manual brachytherapy purposes (under </w:t>
      </w:r>
      <w:r w:rsidR="003178CD" w:rsidRPr="004B0435">
        <w:rPr>
          <w:rFonts w:eastAsia="Calibri"/>
          <w:i/>
        </w:rPr>
        <w:t>10 CFR</w:t>
      </w:r>
      <w:r w:rsidR="003178CD" w:rsidRPr="0078645D">
        <w:rPr>
          <w:rFonts w:eastAsia="Times New Roman"/>
          <w:i/>
        </w:rPr>
        <w:t xml:space="preserve"> </w:t>
      </w:r>
      <w:r w:rsidR="0078645D" w:rsidRPr="0078645D">
        <w:rPr>
          <w:rFonts w:eastAsia="Times New Roman"/>
          <w:i/>
        </w:rPr>
        <w:t>35.400 medical uses).</w:t>
      </w:r>
    </w:p>
    <w:p w14:paraId="7FF1800C" w14:textId="77777777"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b/>
        </w:rPr>
      </w:pPr>
      <w:r w:rsidRPr="0078645D">
        <w:rPr>
          <w:rFonts w:eastAsia="Times New Roman"/>
          <w:i/>
        </w:rPr>
        <w:t xml:space="preserve"> </w:t>
      </w:r>
      <w:r w:rsidRPr="0078645D">
        <w:rPr>
          <w:rFonts w:eastAsia="Times New Roman"/>
          <w:b/>
        </w:rPr>
        <w:t>50. Why did NRC change the regulations to address sources and devices separately?</w:t>
      </w:r>
    </w:p>
    <w:p w14:paraId="6ECA58D9" w14:textId="0B082275"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i/>
        </w:rPr>
      </w:pPr>
      <w:r w:rsidRPr="0078645D">
        <w:rPr>
          <w:rFonts w:eastAsia="Times New Roman"/>
          <w:i/>
        </w:rPr>
        <w:t xml:space="preserve">Many 10 CFR 35.500 and all 35.600 medical uses involve sources used with specific devices.  NRC revised </w:t>
      </w:r>
      <w:r w:rsidR="0032358B" w:rsidRPr="004B0435">
        <w:rPr>
          <w:rFonts w:eastAsia="Calibri"/>
          <w:i/>
        </w:rPr>
        <w:t>10 CFR</w:t>
      </w:r>
      <w:r w:rsidR="0032358B" w:rsidRPr="0078645D">
        <w:rPr>
          <w:rFonts w:eastAsia="Times New Roman"/>
          <w:i/>
        </w:rPr>
        <w:t xml:space="preserve"> </w:t>
      </w:r>
      <w:r w:rsidRPr="0078645D">
        <w:rPr>
          <w:rFonts w:eastAsia="Times New Roman"/>
          <w:i/>
        </w:rPr>
        <w:t xml:space="preserve">35.500 and 35.600 to separately address the sources and devices containing sealed sources.  For devices containing sealed sources, both the sources and devices have to be approved in the </w:t>
      </w:r>
      <w:r w:rsidR="00C86A88">
        <w:rPr>
          <w:rFonts w:eastAsia="Times New Roman"/>
          <w:i/>
        </w:rPr>
        <w:t>SSDR</w:t>
      </w:r>
      <w:r w:rsidRPr="0078645D">
        <w:rPr>
          <w:rFonts w:eastAsia="Times New Roman"/>
          <w:i/>
        </w:rPr>
        <w:t xml:space="preserve">. </w:t>
      </w:r>
      <w:r w:rsidR="00E704C6">
        <w:rPr>
          <w:rFonts w:eastAsia="Times New Roman"/>
          <w:i/>
        </w:rPr>
        <w:t xml:space="preserve"> </w:t>
      </w:r>
      <w:r w:rsidRPr="0078645D">
        <w:rPr>
          <w:rFonts w:eastAsia="Times New Roman"/>
          <w:i/>
        </w:rPr>
        <w:t>The changes require licensees to use only sources approved to be used in those devices. This assures that the sources and devices have been reviewed and determined to protect public health and safety when used together.</w:t>
      </w:r>
    </w:p>
    <w:p w14:paraId="63BF6CD9" w14:textId="6F6B4679" w:rsidR="0078645D" w:rsidRPr="0078645D" w:rsidRDefault="0078645D" w:rsidP="0078645D">
      <w:pPr>
        <w:tabs>
          <w:tab w:val="left" w:pos="360"/>
          <w:tab w:val="left" w:pos="720"/>
          <w:tab w:val="left" w:pos="1080"/>
        </w:tabs>
        <w:spacing w:before="100" w:beforeAutospacing="1" w:after="100" w:afterAutospacing="1" w:line="240" w:lineRule="auto"/>
        <w:rPr>
          <w:rFonts w:eastAsia="Times New Roman"/>
          <w:b/>
        </w:rPr>
      </w:pPr>
      <w:r w:rsidRPr="0078645D">
        <w:rPr>
          <w:rFonts w:eastAsia="Times New Roman"/>
          <w:b/>
        </w:rPr>
        <w:t xml:space="preserve">51.  If device manufacturer training for units under </w:t>
      </w:r>
      <w:r w:rsidR="00C86A88" w:rsidRPr="00C86A88">
        <w:rPr>
          <w:rFonts w:eastAsia="Calibri"/>
          <w:b/>
        </w:rPr>
        <w:t>10 CFR</w:t>
      </w:r>
      <w:r w:rsidR="00C86A88" w:rsidRPr="0078645D">
        <w:rPr>
          <w:rFonts w:eastAsia="Times New Roman"/>
          <w:b/>
        </w:rPr>
        <w:t xml:space="preserve"> </w:t>
      </w:r>
      <w:r w:rsidRPr="0078645D">
        <w:rPr>
          <w:rFonts w:eastAsia="Times New Roman"/>
          <w:b/>
        </w:rPr>
        <w:t>35.600 has been completed once at the facility, can the licensee train their own staff?</w:t>
      </w:r>
    </w:p>
    <w:p w14:paraId="41BFAFF3" w14:textId="1473929C" w:rsidR="0078645D" w:rsidRPr="0078645D" w:rsidRDefault="00E30DBA" w:rsidP="0078645D">
      <w:pPr>
        <w:rPr>
          <w:i/>
        </w:rPr>
      </w:pPr>
      <w:r>
        <w:rPr>
          <w:i/>
        </w:rPr>
        <w:t>Sometimes.  I</w:t>
      </w:r>
      <w:r w:rsidR="0078645D" w:rsidRPr="0078645D">
        <w:rPr>
          <w:i/>
        </w:rPr>
        <w:t>f there are no additional manufacturer upgrades that affect the operation and safety of the unit, the licensee can provide</w:t>
      </w:r>
      <w:r w:rsidR="0078645D" w:rsidRPr="0078645D">
        <w:rPr>
          <w:rFonts w:eastAsia="Times New Roman"/>
          <w:i/>
        </w:rPr>
        <w:t xml:space="preserve"> training to their staff under the provisions of 10 CFR 35.610(d)(2).  If there are additional manufacturer upgrades that affect the operation and safety of the unit, the provisions of 10 CFR 35.610(d)(1) apply and only the device manufacturer or an individual certified by the device manufacturer to provide the training can train the licensee’s staff.  If the device manufacturer certifies someone on the licensee’s staff to provide the training, that individual can provide the training to other licensee staff members.</w:t>
      </w:r>
      <w:r w:rsidR="0078645D" w:rsidRPr="0078645D">
        <w:rPr>
          <w:i/>
        </w:rPr>
        <w:t xml:space="preserve"> </w:t>
      </w:r>
    </w:p>
    <w:p w14:paraId="71CDE56D" w14:textId="77777777" w:rsidR="0078645D" w:rsidRPr="0078645D" w:rsidRDefault="0078645D" w:rsidP="0078645D">
      <w:pPr>
        <w:rPr>
          <w:i/>
        </w:rPr>
      </w:pPr>
    </w:p>
    <w:p w14:paraId="02E772E0" w14:textId="77777777" w:rsidR="0078645D" w:rsidRPr="0078645D" w:rsidRDefault="0078645D" w:rsidP="0078645D">
      <w:pPr>
        <w:rPr>
          <w:b/>
        </w:rPr>
      </w:pPr>
      <w:r w:rsidRPr="0078645D">
        <w:rPr>
          <w:b/>
        </w:rPr>
        <w:t xml:space="preserve">52. 10 CFR 35.610(d) requires in part that prior to the first use for patient treatment of a new unit or an existing unit with a manufacturer upgrade that affects the operation and safety of the unit, a licensee shall ensure that vendor operational and safety training is provided to all individuals who will operate the unit.  Is this just for actual operators or does this include AUs and AMPs? </w:t>
      </w:r>
    </w:p>
    <w:p w14:paraId="042E9AA0" w14:textId="77777777" w:rsidR="0078645D" w:rsidRPr="0078645D" w:rsidRDefault="0078645D" w:rsidP="0078645D">
      <w:pPr>
        <w:rPr>
          <w:i/>
        </w:rPr>
      </w:pPr>
    </w:p>
    <w:p w14:paraId="0AEE95CB" w14:textId="77777777" w:rsidR="0078645D" w:rsidRPr="0078645D" w:rsidRDefault="0078645D" w:rsidP="0078645D">
      <w:pPr>
        <w:rPr>
          <w:i/>
        </w:rPr>
      </w:pPr>
      <w:r w:rsidRPr="0078645D">
        <w:rPr>
          <w:i/>
        </w:rPr>
        <w:t>The requirement in 10 CFR 35.610(d) is for all individuals</w:t>
      </w:r>
      <w:r w:rsidR="00E30DBA">
        <w:rPr>
          <w:i/>
        </w:rPr>
        <w:t>,</w:t>
      </w:r>
      <w:r w:rsidRPr="0078645D">
        <w:rPr>
          <w:i/>
        </w:rPr>
        <w:t xml:space="preserve"> including AUs, AMPs, operators, and others that need to know how the new unit operates and understand how the upgrades affect safety and operations.</w:t>
      </w:r>
    </w:p>
    <w:p w14:paraId="7DF5308D" w14:textId="77777777" w:rsidR="0078645D" w:rsidRPr="0078645D" w:rsidRDefault="0078645D" w:rsidP="0078645D">
      <w:pPr>
        <w:tabs>
          <w:tab w:val="left" w:pos="360"/>
          <w:tab w:val="left" w:pos="720"/>
          <w:tab w:val="left" w:pos="1080"/>
        </w:tabs>
        <w:spacing w:line="240" w:lineRule="auto"/>
        <w:rPr>
          <w:b/>
        </w:rPr>
      </w:pPr>
    </w:p>
    <w:p w14:paraId="42547B6D" w14:textId="77777777" w:rsidR="0078645D" w:rsidRPr="0078645D" w:rsidRDefault="0078645D" w:rsidP="0078645D">
      <w:pPr>
        <w:tabs>
          <w:tab w:val="left" w:pos="360"/>
          <w:tab w:val="left" w:pos="720"/>
          <w:tab w:val="left" w:pos="1080"/>
        </w:tabs>
        <w:spacing w:line="240" w:lineRule="auto"/>
        <w:rPr>
          <w:b/>
        </w:rPr>
      </w:pPr>
      <w:r w:rsidRPr="0078645D">
        <w:rPr>
          <w:b/>
        </w:rPr>
        <w:t>Permanent Implant Brachytherapy</w:t>
      </w:r>
    </w:p>
    <w:p w14:paraId="3E0FCE41" w14:textId="77777777" w:rsidR="0078645D" w:rsidRPr="0078645D" w:rsidRDefault="0078645D" w:rsidP="0078645D">
      <w:pPr>
        <w:tabs>
          <w:tab w:val="left" w:pos="360"/>
          <w:tab w:val="left" w:pos="720"/>
          <w:tab w:val="left" w:pos="1080"/>
        </w:tabs>
        <w:spacing w:line="240" w:lineRule="auto"/>
        <w:rPr>
          <w:b/>
        </w:rPr>
      </w:pPr>
    </w:p>
    <w:p w14:paraId="7F685C4A" w14:textId="77777777" w:rsidR="0078645D" w:rsidRPr="0078645D" w:rsidRDefault="0078645D" w:rsidP="0078645D">
      <w:pPr>
        <w:rPr>
          <w:rFonts w:eastAsia="Calibri"/>
          <w:b/>
          <w:color w:val="000000" w:themeColor="text1"/>
        </w:rPr>
      </w:pPr>
      <w:r w:rsidRPr="0078645D">
        <w:rPr>
          <w:rFonts w:eastAsia="Calibri"/>
          <w:b/>
          <w:color w:val="000000" w:themeColor="text1"/>
        </w:rPr>
        <w:t xml:space="preserve">53. How were the revised written directive requirements and medical event reporting requirements for permanent implant brachytherapy developed? </w:t>
      </w:r>
    </w:p>
    <w:p w14:paraId="61A98A6D" w14:textId="77777777" w:rsidR="0078645D" w:rsidRPr="0078645D" w:rsidRDefault="0078645D" w:rsidP="0078645D">
      <w:pPr>
        <w:rPr>
          <w:rFonts w:eastAsia="Calibri"/>
          <w:i/>
          <w:color w:val="000000" w:themeColor="text1"/>
        </w:rPr>
      </w:pPr>
    </w:p>
    <w:p w14:paraId="40306811" w14:textId="22907F43" w:rsidR="0078645D" w:rsidRPr="0078645D" w:rsidRDefault="0078645D" w:rsidP="0078645D">
      <w:pPr>
        <w:rPr>
          <w:rFonts w:eastAsia="Calibri"/>
          <w:i/>
          <w:color w:val="000000" w:themeColor="text1"/>
        </w:rPr>
      </w:pPr>
      <w:r w:rsidRPr="0078645D">
        <w:rPr>
          <w:rFonts w:eastAsia="Calibri"/>
          <w:i/>
          <w:color w:val="000000" w:themeColor="text1"/>
        </w:rPr>
        <w:t xml:space="preserve">The revised regulations are based on recommendations provided to the NRC in February 2012 by </w:t>
      </w:r>
      <w:r w:rsidR="00C058A4">
        <w:rPr>
          <w:rFonts w:eastAsia="Calibri"/>
          <w:i/>
          <w:color w:val="000000" w:themeColor="text1"/>
        </w:rPr>
        <w:t>the</w:t>
      </w:r>
      <w:r w:rsidRPr="0078645D">
        <w:rPr>
          <w:rFonts w:eastAsia="Calibri"/>
          <w:i/>
          <w:color w:val="000000" w:themeColor="text1"/>
        </w:rPr>
        <w:t xml:space="preserve"> Advisory Committee on the Medical Uses of Isotopes (ML12038A279) plus stakeholder input obtained during two stakeholder public workshops held in 2011 that focused on issues associated with medical event definitions for permanent implant brachytherapy (ML111930470 and ML112510385). The staff’s recommendations (ML12072A299), based on this input and other stakeholder input, were approved by the Commission in SRM-SECY-12-0053, “Recommendations on Regulatory Changes for Permanent Implant Brachytherapy Programs,” issued August 2012 (ML122260211).  </w:t>
      </w:r>
      <w:r w:rsidRPr="0078645D">
        <w:rPr>
          <w:rFonts w:eastAsia="Calibri"/>
          <w:color w:val="000000" w:themeColor="text1"/>
        </w:rPr>
        <w:t>The revised regulations are also based on comments received from the public on the proposed rule “</w:t>
      </w:r>
      <w:r w:rsidRPr="0078645D">
        <w:rPr>
          <w:rFonts w:eastAsia="Calibri"/>
          <w:bCs/>
          <w:color w:val="000000" w:themeColor="text1"/>
        </w:rPr>
        <w:t>Medical Use of Byproduct Material - Medical Event Definitions, Training and Experience, and Clarifying Amendments,” (79 FR 42410) published in the Federal Register on July 21, 2014.</w:t>
      </w:r>
    </w:p>
    <w:p w14:paraId="1C15204E" w14:textId="77777777" w:rsidR="0078645D" w:rsidRPr="0078645D" w:rsidRDefault="0078645D" w:rsidP="0078645D">
      <w:pPr>
        <w:rPr>
          <w:rFonts w:eastAsia="Calibri"/>
          <w:i/>
          <w:color w:val="000000" w:themeColor="text1"/>
        </w:rPr>
      </w:pPr>
    </w:p>
    <w:p w14:paraId="718518CA" w14:textId="77777777" w:rsidR="0078645D" w:rsidRPr="0078645D" w:rsidRDefault="0078645D" w:rsidP="0078645D">
      <w:pPr>
        <w:rPr>
          <w:rFonts w:eastAsia="Calibri"/>
          <w:i/>
          <w:color w:val="000000" w:themeColor="text1"/>
        </w:rPr>
      </w:pPr>
      <w:r w:rsidRPr="0078645D">
        <w:rPr>
          <w:rFonts w:eastAsia="Calibri"/>
          <w:i/>
          <w:color w:val="000000" w:themeColor="text1"/>
        </w:rPr>
        <w:t>Note: The information in parentheses designate document accession numbers in the NRC’s Agencywide Documents Access and Management System (ADAMS). To locate a referenced document on the NRC website, go to www.nrc.gov and enter the 11-character accession number into the search box in the top right-hand section of the screen.</w:t>
      </w:r>
    </w:p>
    <w:p w14:paraId="1A14F007" w14:textId="77777777" w:rsidR="0078645D" w:rsidRPr="0078645D" w:rsidRDefault="0078645D" w:rsidP="0078645D">
      <w:pPr>
        <w:tabs>
          <w:tab w:val="left" w:pos="360"/>
          <w:tab w:val="left" w:pos="720"/>
          <w:tab w:val="left" w:pos="1080"/>
        </w:tabs>
        <w:spacing w:line="240" w:lineRule="auto"/>
        <w:contextualSpacing/>
        <w:rPr>
          <w:bCs/>
          <w:highlight w:val="yellow"/>
        </w:rPr>
      </w:pPr>
    </w:p>
    <w:p w14:paraId="3048ECB9" w14:textId="77777777" w:rsidR="0078645D" w:rsidRPr="0078645D" w:rsidRDefault="0078645D" w:rsidP="0078645D">
      <w:pPr>
        <w:tabs>
          <w:tab w:val="left" w:pos="360"/>
          <w:tab w:val="left" w:pos="720"/>
          <w:tab w:val="left" w:pos="1080"/>
        </w:tabs>
        <w:spacing w:line="240" w:lineRule="auto"/>
        <w:rPr>
          <w:b/>
        </w:rPr>
      </w:pPr>
      <w:r w:rsidRPr="0078645D">
        <w:rPr>
          <w:b/>
        </w:rPr>
        <w:t>Written Directives</w:t>
      </w:r>
    </w:p>
    <w:p w14:paraId="78AE472D" w14:textId="77777777" w:rsidR="0078645D" w:rsidRPr="0078645D" w:rsidRDefault="0078645D" w:rsidP="0078645D">
      <w:pPr>
        <w:tabs>
          <w:tab w:val="left" w:pos="360"/>
          <w:tab w:val="left" w:pos="720"/>
          <w:tab w:val="left" w:pos="1080"/>
        </w:tabs>
        <w:spacing w:line="240" w:lineRule="auto"/>
        <w:rPr>
          <w:b/>
        </w:rPr>
      </w:pPr>
    </w:p>
    <w:p w14:paraId="50ED7E9C" w14:textId="77777777" w:rsidR="0078645D" w:rsidRPr="0078645D" w:rsidRDefault="0078645D" w:rsidP="0078645D">
      <w:pPr>
        <w:tabs>
          <w:tab w:val="left" w:pos="360"/>
          <w:tab w:val="left" w:pos="720"/>
          <w:tab w:val="left" w:pos="1080"/>
        </w:tabs>
        <w:spacing w:line="240" w:lineRule="auto"/>
        <w:rPr>
          <w:b/>
          <w:bCs/>
          <w:color w:val="000000" w:themeColor="text1"/>
        </w:rPr>
      </w:pPr>
      <w:r w:rsidRPr="0078645D">
        <w:rPr>
          <w:b/>
          <w:color w:val="000000" w:themeColor="text1"/>
        </w:rPr>
        <w:t xml:space="preserve">54.  What are the written directive and medical event reporting requirements for </w:t>
      </w:r>
      <w:r w:rsidRPr="0078645D">
        <w:rPr>
          <w:b/>
          <w:bCs/>
          <w:color w:val="000000" w:themeColor="text1"/>
        </w:rPr>
        <w:t xml:space="preserve">10 CFR 35.1000? </w:t>
      </w:r>
    </w:p>
    <w:p w14:paraId="421F0ADA" w14:textId="77777777" w:rsidR="0078645D" w:rsidRPr="0078645D" w:rsidRDefault="0078645D" w:rsidP="0078645D">
      <w:pPr>
        <w:tabs>
          <w:tab w:val="left" w:pos="360"/>
          <w:tab w:val="left" w:pos="720"/>
          <w:tab w:val="left" w:pos="1080"/>
        </w:tabs>
        <w:spacing w:line="240" w:lineRule="auto"/>
        <w:rPr>
          <w:b/>
          <w:bCs/>
          <w:color w:val="000000" w:themeColor="text1"/>
        </w:rPr>
      </w:pPr>
      <w:r w:rsidRPr="0078645D">
        <w:rPr>
          <w:b/>
          <w:bCs/>
          <w:color w:val="000000" w:themeColor="text1"/>
        </w:rPr>
        <w:t xml:space="preserve"> </w:t>
      </w:r>
    </w:p>
    <w:p w14:paraId="3BF0216A" w14:textId="77777777" w:rsidR="0078645D" w:rsidRPr="0078645D" w:rsidRDefault="0078645D" w:rsidP="0078645D">
      <w:pPr>
        <w:tabs>
          <w:tab w:val="left" w:pos="360"/>
          <w:tab w:val="left" w:pos="720"/>
          <w:tab w:val="left" w:pos="1080"/>
        </w:tabs>
        <w:spacing w:line="240" w:lineRule="auto"/>
        <w:rPr>
          <w:bCs/>
          <w:i/>
          <w:color w:val="000000" w:themeColor="text1"/>
        </w:rPr>
      </w:pPr>
    </w:p>
    <w:p w14:paraId="063EBFA5" w14:textId="6C1D8941" w:rsidR="0078645D" w:rsidRPr="0078645D" w:rsidRDefault="0078645D" w:rsidP="0078645D">
      <w:pPr>
        <w:tabs>
          <w:tab w:val="left" w:pos="360"/>
          <w:tab w:val="left" w:pos="720"/>
          <w:tab w:val="left" w:pos="1080"/>
        </w:tabs>
        <w:spacing w:line="240" w:lineRule="auto"/>
        <w:rPr>
          <w:bCs/>
          <w:i/>
          <w:color w:val="000000" w:themeColor="text1"/>
        </w:rPr>
      </w:pPr>
      <w:r w:rsidRPr="0078645D">
        <w:rPr>
          <w:bCs/>
          <w:i/>
          <w:color w:val="000000" w:themeColor="text1"/>
        </w:rPr>
        <w:t xml:space="preserve">The written directive requirements for </w:t>
      </w:r>
      <w:r w:rsidR="002F48FC" w:rsidRPr="004B0435">
        <w:rPr>
          <w:rFonts w:eastAsia="Calibri"/>
          <w:i/>
        </w:rPr>
        <w:t>10 CFR</w:t>
      </w:r>
      <w:r w:rsidR="002F48FC" w:rsidRPr="0078645D">
        <w:rPr>
          <w:bCs/>
          <w:i/>
          <w:color w:val="000000" w:themeColor="text1"/>
        </w:rPr>
        <w:t xml:space="preserve"> </w:t>
      </w:r>
      <w:r w:rsidRPr="0078645D">
        <w:rPr>
          <w:bCs/>
          <w:i/>
          <w:color w:val="000000" w:themeColor="text1"/>
        </w:rPr>
        <w:t xml:space="preserve">35.1000 medical uses are determined on a case-by-case basis.  NRC has developed licensing guidance, including written directive and medical event guidance, for certain </w:t>
      </w:r>
      <w:r w:rsidR="002F48FC" w:rsidRPr="004B0435">
        <w:rPr>
          <w:rFonts w:eastAsia="Calibri"/>
          <w:i/>
        </w:rPr>
        <w:t>10 CFR</w:t>
      </w:r>
      <w:r w:rsidR="002F48FC" w:rsidRPr="0078645D">
        <w:rPr>
          <w:bCs/>
          <w:i/>
          <w:color w:val="000000" w:themeColor="text1"/>
        </w:rPr>
        <w:t xml:space="preserve"> </w:t>
      </w:r>
      <w:r w:rsidRPr="0078645D">
        <w:rPr>
          <w:bCs/>
          <w:i/>
          <w:color w:val="000000" w:themeColor="text1"/>
        </w:rPr>
        <w:t xml:space="preserve">35.1000 medical uses.  If the </w:t>
      </w:r>
      <w:r w:rsidR="002F48FC" w:rsidRPr="004B0435">
        <w:rPr>
          <w:rFonts w:eastAsia="Calibri"/>
          <w:i/>
        </w:rPr>
        <w:t>10 CFR</w:t>
      </w:r>
      <w:r w:rsidR="002F48FC" w:rsidRPr="0078645D">
        <w:rPr>
          <w:bCs/>
          <w:i/>
          <w:color w:val="000000" w:themeColor="text1"/>
        </w:rPr>
        <w:t xml:space="preserve"> </w:t>
      </w:r>
      <w:r w:rsidRPr="0078645D">
        <w:rPr>
          <w:bCs/>
          <w:i/>
          <w:color w:val="000000" w:themeColor="text1"/>
        </w:rPr>
        <w:t xml:space="preserve">35.1000 medical use has unique properties that prevent the written directive requirements and medical event reporting requirements in the regulations from being met, specific written directive and medical event reporting commitments are developed for that use.  This information is posted on the NRC public website at </w:t>
      </w:r>
      <w:hyperlink r:id="rId17" w:anchor="other" w:history="1">
        <w:r w:rsidRPr="0078645D">
          <w:rPr>
            <w:i/>
            <w:color w:val="000000" w:themeColor="text1"/>
            <w:u w:val="single"/>
          </w:rPr>
          <w:t>http://www.nrc.gov/materials/miau/med-use-toolkit.html#other</w:t>
        </w:r>
      </w:hyperlink>
      <w:r w:rsidRPr="0078645D">
        <w:rPr>
          <w:bCs/>
          <w:i/>
          <w:color w:val="000000" w:themeColor="text1"/>
        </w:rPr>
        <w:t xml:space="preserve"> in the section titled “Other Guidance.”</w:t>
      </w:r>
    </w:p>
    <w:p w14:paraId="304AD224" w14:textId="77777777" w:rsidR="0078645D" w:rsidRPr="0078645D" w:rsidRDefault="0078645D" w:rsidP="0078645D">
      <w:pPr>
        <w:tabs>
          <w:tab w:val="left" w:pos="360"/>
          <w:tab w:val="left" w:pos="720"/>
          <w:tab w:val="left" w:pos="1080"/>
        </w:tabs>
        <w:spacing w:line="240" w:lineRule="auto"/>
        <w:rPr>
          <w:b/>
        </w:rPr>
      </w:pPr>
    </w:p>
    <w:p w14:paraId="416C8792" w14:textId="77777777" w:rsidR="0078645D" w:rsidRPr="0078645D" w:rsidRDefault="0078645D" w:rsidP="0078645D">
      <w:pPr>
        <w:tabs>
          <w:tab w:val="left" w:pos="360"/>
          <w:tab w:val="left" w:pos="720"/>
          <w:tab w:val="left" w:pos="1080"/>
        </w:tabs>
        <w:spacing w:line="240" w:lineRule="auto"/>
        <w:rPr>
          <w:i/>
        </w:rPr>
      </w:pPr>
    </w:p>
    <w:p w14:paraId="7B99B35E" w14:textId="3942CF93" w:rsidR="0078645D" w:rsidRPr="0078645D" w:rsidRDefault="0078645D" w:rsidP="0078645D">
      <w:pPr>
        <w:rPr>
          <w:rFonts w:eastAsia="Calibri"/>
          <w:b/>
          <w:color w:val="000000" w:themeColor="text1"/>
        </w:rPr>
      </w:pPr>
      <w:r w:rsidRPr="0078645D">
        <w:rPr>
          <w:rFonts w:eastAsia="Calibri"/>
          <w:b/>
          <w:color w:val="000000" w:themeColor="text1"/>
        </w:rPr>
        <w:t xml:space="preserve">55. Why were the written directive requirements in 10 CFR 35.40, “Written Directives,” and the medical event reporting requirements in </w:t>
      </w:r>
      <w:r w:rsidR="002F48FC" w:rsidRPr="002F48FC">
        <w:rPr>
          <w:rFonts w:eastAsia="Calibri"/>
          <w:b/>
        </w:rPr>
        <w:t>10 CFR</w:t>
      </w:r>
      <w:r w:rsidR="002F48FC" w:rsidRPr="0078645D">
        <w:rPr>
          <w:rFonts w:eastAsia="Calibri"/>
          <w:b/>
          <w:color w:val="000000" w:themeColor="text1"/>
        </w:rPr>
        <w:t xml:space="preserve"> </w:t>
      </w:r>
      <w:r w:rsidRPr="0078645D">
        <w:rPr>
          <w:rFonts w:eastAsia="Calibri"/>
          <w:b/>
          <w:color w:val="000000" w:themeColor="text1"/>
        </w:rPr>
        <w:t>35.3045, “Reporting and Notification of a Medical Event,” changed for permanent implant brachytherapy medical use?</w:t>
      </w:r>
    </w:p>
    <w:p w14:paraId="52831A5A" w14:textId="77777777" w:rsidR="0078645D" w:rsidRPr="0078645D" w:rsidRDefault="0078645D" w:rsidP="0078645D">
      <w:pPr>
        <w:rPr>
          <w:rFonts w:eastAsia="Calibri"/>
          <w:color w:val="000000" w:themeColor="text1"/>
        </w:rPr>
      </w:pPr>
    </w:p>
    <w:p w14:paraId="0A96DC9E" w14:textId="5322112B" w:rsidR="0078645D" w:rsidRPr="0078645D" w:rsidRDefault="0078645D" w:rsidP="0078645D">
      <w:pPr>
        <w:rPr>
          <w:rFonts w:eastAsia="Calibri"/>
          <w:i/>
          <w:color w:val="000000" w:themeColor="text1"/>
        </w:rPr>
      </w:pPr>
      <w:r w:rsidRPr="0078645D">
        <w:rPr>
          <w:rFonts w:eastAsia="Calibri"/>
          <w:i/>
          <w:color w:val="000000" w:themeColor="text1"/>
        </w:rPr>
        <w:t>The 2002 (67 FR 20250) requirements in 10 CFR 35.40 are for all brachytherapy procedures including permanent and temporary</w:t>
      </w:r>
      <w:r w:rsidR="00C058A4">
        <w:rPr>
          <w:rFonts w:eastAsia="Calibri"/>
          <w:i/>
          <w:color w:val="000000" w:themeColor="text1"/>
        </w:rPr>
        <w:t xml:space="preserve"> implant </w:t>
      </w:r>
      <w:r w:rsidRPr="0078645D">
        <w:rPr>
          <w:rFonts w:eastAsia="Calibri"/>
          <w:i/>
          <w:color w:val="000000" w:themeColor="text1"/>
        </w:rPr>
        <w:t>brachytherapy and reflect operational aspects of temporary and permanent implant brachytherapy medical use.  Not all of the required information elements were appropriate for characterizing permanent implant brachytherapy use.  The rule change makes it clear which information is needed for permanent implant brachytherapy.  Moreover, for permanent implant brachytherapy, the current requirements were judged to interfere with physicians’ ability to take actions relating to delivered dose that they deem to be medically appropriate for patients being treated.  Consequently, the NRC determined that the requirements for permanent implant brachytherapy are different and need</w:t>
      </w:r>
      <w:r w:rsidR="00C058A4">
        <w:rPr>
          <w:rFonts w:eastAsia="Calibri"/>
          <w:i/>
          <w:color w:val="000000" w:themeColor="text1"/>
        </w:rPr>
        <w:t>ed</w:t>
      </w:r>
      <w:r w:rsidRPr="0078645D">
        <w:rPr>
          <w:rFonts w:eastAsia="Calibri"/>
          <w:i/>
          <w:color w:val="000000" w:themeColor="text1"/>
        </w:rPr>
        <w:t xml:space="preserve"> to be addressed separately.</w:t>
      </w:r>
    </w:p>
    <w:p w14:paraId="589A5EC8" w14:textId="77777777" w:rsidR="0078645D" w:rsidRPr="0078645D" w:rsidRDefault="0078645D" w:rsidP="0078645D">
      <w:pPr>
        <w:tabs>
          <w:tab w:val="left" w:pos="360"/>
          <w:tab w:val="left" w:pos="720"/>
          <w:tab w:val="left" w:pos="1080"/>
        </w:tabs>
        <w:spacing w:line="240" w:lineRule="auto"/>
        <w:rPr>
          <w:i/>
          <w:highlight w:val="yellow"/>
        </w:rPr>
      </w:pPr>
    </w:p>
    <w:p w14:paraId="35330024" w14:textId="77777777" w:rsidR="0078645D" w:rsidRPr="0078645D" w:rsidRDefault="0078645D" w:rsidP="0078645D">
      <w:pPr>
        <w:tabs>
          <w:tab w:val="left" w:pos="360"/>
          <w:tab w:val="left" w:pos="720"/>
          <w:tab w:val="left" w:pos="1080"/>
        </w:tabs>
        <w:spacing w:line="240" w:lineRule="auto"/>
        <w:rPr>
          <w:b/>
          <w:color w:val="000000" w:themeColor="text1"/>
        </w:rPr>
      </w:pPr>
      <w:r w:rsidRPr="0078645D">
        <w:rPr>
          <w:b/>
          <w:color w:val="000000" w:themeColor="text1"/>
        </w:rPr>
        <w:t>56. What information is required for proper completion of the written directive for permanent implant brachytherapy?</w:t>
      </w:r>
    </w:p>
    <w:p w14:paraId="0099249F" w14:textId="77777777" w:rsidR="0078645D" w:rsidRPr="0078645D" w:rsidRDefault="0078645D" w:rsidP="0078645D">
      <w:pPr>
        <w:tabs>
          <w:tab w:val="left" w:pos="360"/>
          <w:tab w:val="left" w:pos="720"/>
          <w:tab w:val="left" w:pos="1080"/>
        </w:tabs>
        <w:spacing w:line="240" w:lineRule="auto"/>
        <w:rPr>
          <w:i/>
          <w:color w:val="000000" w:themeColor="text1"/>
        </w:rPr>
      </w:pPr>
    </w:p>
    <w:p w14:paraId="0E1E9C71" w14:textId="77777777" w:rsidR="0078645D" w:rsidRPr="0078645D" w:rsidRDefault="0078645D" w:rsidP="0078645D">
      <w:pPr>
        <w:tabs>
          <w:tab w:val="left" w:pos="360"/>
          <w:tab w:val="left" w:pos="720"/>
          <w:tab w:val="left" w:pos="1080"/>
        </w:tabs>
        <w:spacing w:line="240" w:lineRule="auto"/>
        <w:rPr>
          <w:i/>
          <w:color w:val="000000" w:themeColor="text1"/>
        </w:rPr>
      </w:pPr>
      <w:r w:rsidRPr="0078645D">
        <w:rPr>
          <w:i/>
          <w:color w:val="000000" w:themeColor="text1"/>
        </w:rPr>
        <w:t>The information required is:</w:t>
      </w:r>
    </w:p>
    <w:p w14:paraId="476442C4" w14:textId="77777777" w:rsidR="0078645D" w:rsidRPr="0078645D" w:rsidRDefault="0078645D" w:rsidP="0078645D">
      <w:pPr>
        <w:tabs>
          <w:tab w:val="left" w:pos="360"/>
          <w:tab w:val="left" w:pos="720"/>
          <w:tab w:val="left" w:pos="1080"/>
        </w:tabs>
        <w:spacing w:line="240" w:lineRule="auto"/>
        <w:rPr>
          <w:i/>
          <w:color w:val="000000" w:themeColor="text1"/>
        </w:rPr>
      </w:pPr>
      <w:r w:rsidRPr="0078645D">
        <w:rPr>
          <w:i/>
          <w:color w:val="000000" w:themeColor="text1"/>
        </w:rPr>
        <w:t>a.</w:t>
      </w:r>
      <w:r w:rsidRPr="0078645D">
        <w:rPr>
          <w:i/>
          <w:color w:val="000000" w:themeColor="text1"/>
        </w:rPr>
        <w:tab/>
        <w:t>Before implantation: the treatment site, the radionuclide, and the total source strength; and</w:t>
      </w:r>
    </w:p>
    <w:p w14:paraId="6C622285" w14:textId="77777777" w:rsidR="0078645D" w:rsidRPr="0078645D" w:rsidRDefault="0078645D" w:rsidP="0078645D">
      <w:pPr>
        <w:tabs>
          <w:tab w:val="left" w:pos="360"/>
          <w:tab w:val="left" w:pos="720"/>
          <w:tab w:val="left" w:pos="1080"/>
        </w:tabs>
        <w:spacing w:line="240" w:lineRule="auto"/>
        <w:rPr>
          <w:i/>
          <w:color w:val="000000" w:themeColor="text1"/>
        </w:rPr>
      </w:pPr>
      <w:r w:rsidRPr="0078645D">
        <w:rPr>
          <w:i/>
          <w:color w:val="000000" w:themeColor="text1"/>
        </w:rPr>
        <w:t>b.</w:t>
      </w:r>
      <w:r w:rsidRPr="0078645D">
        <w:rPr>
          <w:i/>
          <w:color w:val="000000" w:themeColor="text1"/>
        </w:rPr>
        <w:tab/>
        <w:t>After implantation but before the patient leaves the post-treatment recovery area:  the treatment site, the number of sources implanted, the total source strength implanted, the signature of an authorized user, and the date.</w:t>
      </w:r>
    </w:p>
    <w:p w14:paraId="0BD32B3A" w14:textId="77777777" w:rsidR="0078645D" w:rsidRPr="0078645D" w:rsidRDefault="0078645D" w:rsidP="0078645D">
      <w:pPr>
        <w:tabs>
          <w:tab w:val="left" w:pos="360"/>
          <w:tab w:val="left" w:pos="720"/>
          <w:tab w:val="left" w:pos="1080"/>
        </w:tabs>
        <w:spacing w:line="240" w:lineRule="auto"/>
        <w:rPr>
          <w:i/>
          <w:color w:val="000000" w:themeColor="text1"/>
        </w:rPr>
      </w:pPr>
    </w:p>
    <w:p w14:paraId="3F2DFA8E" w14:textId="77777777" w:rsidR="0078645D" w:rsidRPr="0078645D" w:rsidRDefault="0078645D" w:rsidP="0078645D">
      <w:pPr>
        <w:tabs>
          <w:tab w:val="left" w:pos="360"/>
          <w:tab w:val="left" w:pos="720"/>
          <w:tab w:val="left" w:pos="1080"/>
        </w:tabs>
        <w:spacing w:line="240" w:lineRule="auto"/>
        <w:rPr>
          <w:i/>
          <w:color w:val="000000" w:themeColor="text1"/>
        </w:rPr>
      </w:pPr>
      <w:r w:rsidRPr="0078645D">
        <w:rPr>
          <w:i/>
          <w:color w:val="000000" w:themeColor="text1"/>
        </w:rPr>
        <w:t>Note that the requirement is retained that the written directive must also be signed and dated by an authorized user before administration.</w:t>
      </w:r>
    </w:p>
    <w:p w14:paraId="61F1F30C" w14:textId="77777777" w:rsidR="0078645D" w:rsidRPr="0078645D" w:rsidRDefault="0078645D" w:rsidP="0078645D">
      <w:pPr>
        <w:tabs>
          <w:tab w:val="left" w:pos="360"/>
          <w:tab w:val="left" w:pos="720"/>
          <w:tab w:val="left" w:pos="1080"/>
        </w:tabs>
        <w:spacing w:line="240" w:lineRule="auto"/>
        <w:rPr>
          <w:i/>
          <w:color w:val="FF0000"/>
        </w:rPr>
      </w:pPr>
    </w:p>
    <w:p w14:paraId="1A060EEB" w14:textId="77777777" w:rsidR="0078645D" w:rsidRPr="0078645D" w:rsidRDefault="0078645D" w:rsidP="0078645D">
      <w:pPr>
        <w:tabs>
          <w:tab w:val="left" w:pos="360"/>
          <w:tab w:val="left" w:pos="720"/>
          <w:tab w:val="left" w:pos="1080"/>
        </w:tabs>
        <w:spacing w:line="240" w:lineRule="auto"/>
        <w:rPr>
          <w:b/>
        </w:rPr>
      </w:pPr>
      <w:r w:rsidRPr="0078645D">
        <w:rPr>
          <w:b/>
        </w:rPr>
        <w:t>57. What does “post-treatment recovery area” mean in 10 CFR 35.40?</w:t>
      </w:r>
    </w:p>
    <w:p w14:paraId="75771500" w14:textId="77777777" w:rsidR="0078645D" w:rsidRPr="0078645D" w:rsidRDefault="0078645D" w:rsidP="0078645D">
      <w:pPr>
        <w:tabs>
          <w:tab w:val="left" w:pos="360"/>
          <w:tab w:val="left" w:pos="720"/>
          <w:tab w:val="left" w:pos="1080"/>
        </w:tabs>
        <w:spacing w:line="240" w:lineRule="auto"/>
      </w:pPr>
    </w:p>
    <w:p w14:paraId="746D93B6" w14:textId="77777777" w:rsidR="0078645D" w:rsidRPr="0078645D" w:rsidRDefault="0078645D" w:rsidP="0078645D">
      <w:pPr>
        <w:tabs>
          <w:tab w:val="left" w:pos="360"/>
          <w:tab w:val="left" w:pos="720"/>
          <w:tab w:val="left" w:pos="1080"/>
        </w:tabs>
        <w:spacing w:line="240" w:lineRule="auto"/>
        <w:rPr>
          <w:i/>
        </w:rPr>
      </w:pPr>
      <w:r w:rsidRPr="0078645D">
        <w:rPr>
          <w:i/>
        </w:rPr>
        <w:t>The term “post-treatment recovery area” as used in 10 CFR 35.40 means the area or place where a patient recovers immediately following the brachytherapy procedure before being released to a hospital intensive care unit or patient room or in the case of an outpatient treatment, released from the licensee’s facility.</w:t>
      </w:r>
    </w:p>
    <w:p w14:paraId="2AC8B0EB" w14:textId="77777777" w:rsidR="0078645D" w:rsidRPr="0078645D" w:rsidRDefault="0078645D" w:rsidP="0078645D">
      <w:pPr>
        <w:autoSpaceDE w:val="0"/>
        <w:autoSpaceDN w:val="0"/>
        <w:adjustRightInd w:val="0"/>
        <w:spacing w:line="240" w:lineRule="auto"/>
        <w:rPr>
          <w:rFonts w:eastAsia="Calibri"/>
          <w:b/>
          <w:bCs/>
          <w:color w:val="000000" w:themeColor="text1"/>
        </w:rPr>
      </w:pPr>
    </w:p>
    <w:p w14:paraId="7037EE53" w14:textId="77777777" w:rsidR="0078645D" w:rsidRPr="0078645D" w:rsidRDefault="0078645D" w:rsidP="0078645D">
      <w:pPr>
        <w:autoSpaceDE w:val="0"/>
        <w:autoSpaceDN w:val="0"/>
        <w:adjustRightInd w:val="0"/>
        <w:spacing w:line="240" w:lineRule="auto"/>
        <w:rPr>
          <w:rFonts w:eastAsia="Calibri"/>
          <w:b/>
          <w:bCs/>
          <w:color w:val="000000" w:themeColor="text1"/>
        </w:rPr>
      </w:pPr>
      <w:r w:rsidRPr="0078645D">
        <w:rPr>
          <w:rFonts w:eastAsia="Calibri"/>
          <w:b/>
          <w:bCs/>
          <w:color w:val="000000" w:themeColor="text1"/>
        </w:rPr>
        <w:t>58. For the two part written directive required for permanent implant brachytherapy medical use, when is the signature of an authorized user required?</w:t>
      </w:r>
    </w:p>
    <w:p w14:paraId="2CBEE6E1" w14:textId="77777777" w:rsidR="0078645D" w:rsidRPr="0078645D" w:rsidRDefault="0078645D" w:rsidP="0078645D">
      <w:pPr>
        <w:autoSpaceDE w:val="0"/>
        <w:autoSpaceDN w:val="0"/>
        <w:adjustRightInd w:val="0"/>
        <w:spacing w:line="240" w:lineRule="auto"/>
        <w:rPr>
          <w:rFonts w:eastAsia="Calibri"/>
          <w:bCs/>
          <w:i/>
          <w:color w:val="000000" w:themeColor="text1"/>
        </w:rPr>
      </w:pPr>
    </w:p>
    <w:p w14:paraId="32AC21FA" w14:textId="77777777" w:rsidR="0078645D" w:rsidRPr="0078645D" w:rsidRDefault="0078645D" w:rsidP="0078645D">
      <w:pPr>
        <w:autoSpaceDE w:val="0"/>
        <w:autoSpaceDN w:val="0"/>
        <w:adjustRightInd w:val="0"/>
        <w:spacing w:line="240" w:lineRule="auto"/>
        <w:rPr>
          <w:rFonts w:eastAsia="Calibri"/>
          <w:i/>
          <w:iCs/>
          <w:color w:val="000000" w:themeColor="text1"/>
        </w:rPr>
      </w:pPr>
      <w:r w:rsidRPr="0078645D">
        <w:rPr>
          <w:rFonts w:eastAsia="Calibri"/>
          <w:i/>
          <w:iCs/>
          <w:color w:val="000000" w:themeColor="text1"/>
        </w:rPr>
        <w:t xml:space="preserve">An authorized user (AU) must sign the written directive after completion of the pre-implantation portion of the document (but before the administration begins) and also after completion of the post-implantation portion of the written directive (after implantation but before the patient leaves the post-treatment recovery area). The current date must also be entered each time that the written directive is signed by an AU.  </w:t>
      </w:r>
    </w:p>
    <w:p w14:paraId="10A03E4D" w14:textId="77777777" w:rsidR="0078645D" w:rsidRPr="0078645D" w:rsidRDefault="0078645D" w:rsidP="0078645D">
      <w:pPr>
        <w:autoSpaceDE w:val="0"/>
        <w:autoSpaceDN w:val="0"/>
        <w:adjustRightInd w:val="0"/>
        <w:spacing w:line="240" w:lineRule="auto"/>
        <w:rPr>
          <w:rFonts w:eastAsia="Calibri"/>
          <w:i/>
          <w:iCs/>
          <w:color w:val="000000" w:themeColor="text1"/>
        </w:rPr>
      </w:pPr>
    </w:p>
    <w:p w14:paraId="6E82D893" w14:textId="25893880" w:rsidR="0078645D" w:rsidRPr="0078645D" w:rsidRDefault="0078645D" w:rsidP="0078645D">
      <w:pPr>
        <w:autoSpaceDE w:val="0"/>
        <w:autoSpaceDN w:val="0"/>
        <w:adjustRightInd w:val="0"/>
        <w:spacing w:line="240" w:lineRule="auto"/>
        <w:rPr>
          <w:rFonts w:eastAsia="Calibri"/>
          <w:i/>
          <w:iCs/>
          <w:color w:val="000000" w:themeColor="text1"/>
        </w:rPr>
      </w:pPr>
      <w:r w:rsidRPr="0078645D">
        <w:rPr>
          <w:rFonts w:eastAsia="Calibri"/>
          <w:i/>
          <w:iCs/>
          <w:color w:val="000000" w:themeColor="text1"/>
        </w:rPr>
        <w:t>The requirement for the AU signature for the first part (pre-implantation portion) of the written directive is still addressed in 10 CFR 35.40(a), which refers to all administrations requiring a written directive</w:t>
      </w:r>
      <w:r w:rsidR="007372E7">
        <w:rPr>
          <w:rFonts w:eastAsia="Calibri"/>
          <w:i/>
          <w:iCs/>
          <w:color w:val="000000" w:themeColor="text1"/>
        </w:rPr>
        <w:t xml:space="preserve">; </w:t>
      </w:r>
      <w:r w:rsidRPr="0078645D">
        <w:rPr>
          <w:rFonts w:eastAsia="Calibri"/>
          <w:i/>
          <w:iCs/>
          <w:color w:val="000000" w:themeColor="text1"/>
        </w:rPr>
        <w:t>the second part (post-implantation portion) is now addressed in 10 CFR 35.40(b)(6)(ii), which is specific to permanent implant brachytherapy.</w:t>
      </w:r>
    </w:p>
    <w:p w14:paraId="2CBB7FFB" w14:textId="77777777" w:rsidR="0078645D" w:rsidRPr="0078645D" w:rsidRDefault="0078645D" w:rsidP="0078645D">
      <w:pPr>
        <w:tabs>
          <w:tab w:val="left" w:pos="360"/>
          <w:tab w:val="left" w:pos="720"/>
          <w:tab w:val="left" w:pos="1080"/>
        </w:tabs>
        <w:spacing w:line="240" w:lineRule="auto"/>
        <w:rPr>
          <w:i/>
          <w:highlight w:val="yellow"/>
        </w:rPr>
      </w:pPr>
    </w:p>
    <w:p w14:paraId="30298E56" w14:textId="77777777" w:rsidR="0078645D" w:rsidRPr="0078645D" w:rsidRDefault="0078645D" w:rsidP="0078645D">
      <w:pPr>
        <w:rPr>
          <w:rFonts w:eastAsia="Calibri"/>
          <w:b/>
          <w:color w:val="000000" w:themeColor="text1"/>
        </w:rPr>
      </w:pPr>
      <w:r w:rsidRPr="0078645D">
        <w:rPr>
          <w:rFonts w:eastAsia="Calibri"/>
          <w:b/>
          <w:color w:val="000000" w:themeColor="text1"/>
        </w:rPr>
        <w:t>59. What are the main changes to the written directive requirements in 10 CFR 35.40, “Written Directives,” for permanent implant brachytherapy use?</w:t>
      </w:r>
    </w:p>
    <w:p w14:paraId="45463E07" w14:textId="77777777" w:rsidR="0078645D" w:rsidRPr="0078645D" w:rsidRDefault="0078645D" w:rsidP="0078645D">
      <w:pPr>
        <w:rPr>
          <w:rFonts w:eastAsia="Calibri"/>
          <w:color w:val="000000" w:themeColor="text1"/>
        </w:rPr>
      </w:pPr>
    </w:p>
    <w:p w14:paraId="32C662A4" w14:textId="77777777" w:rsidR="0078645D" w:rsidRPr="0078645D" w:rsidRDefault="0078645D" w:rsidP="0078645D">
      <w:pPr>
        <w:rPr>
          <w:rFonts w:eastAsia="Calibri"/>
          <w:i/>
          <w:color w:val="000000" w:themeColor="text1"/>
        </w:rPr>
      </w:pPr>
      <w:r w:rsidRPr="0078645D">
        <w:rPr>
          <w:rFonts w:eastAsia="Calibri"/>
          <w:i/>
          <w:color w:val="000000" w:themeColor="text1"/>
        </w:rPr>
        <w:t xml:space="preserve">The changes are: </w:t>
      </w:r>
    </w:p>
    <w:p w14:paraId="7FC30E15" w14:textId="77777777" w:rsidR="0078645D" w:rsidRPr="0078645D" w:rsidRDefault="0078645D" w:rsidP="0078645D">
      <w:pPr>
        <w:numPr>
          <w:ilvl w:val="0"/>
          <w:numId w:val="65"/>
        </w:numPr>
        <w:spacing w:after="200"/>
        <w:contextualSpacing/>
        <w:rPr>
          <w:rFonts w:eastAsia="Calibri"/>
          <w:i/>
          <w:color w:val="000000" w:themeColor="text1"/>
        </w:rPr>
      </w:pPr>
      <w:r w:rsidRPr="0078645D">
        <w:rPr>
          <w:rFonts w:eastAsia="Calibri"/>
          <w:i/>
          <w:color w:val="000000" w:themeColor="text1"/>
        </w:rPr>
        <w:t xml:space="preserve">Requiring inclusion in the pre-implantation portion of the written directive of the total source strength; </w:t>
      </w:r>
    </w:p>
    <w:p w14:paraId="79003A08" w14:textId="77777777" w:rsidR="0078645D" w:rsidRPr="0078645D" w:rsidRDefault="0078645D" w:rsidP="0078645D">
      <w:pPr>
        <w:numPr>
          <w:ilvl w:val="0"/>
          <w:numId w:val="65"/>
        </w:numPr>
        <w:spacing w:after="200"/>
        <w:contextualSpacing/>
        <w:rPr>
          <w:rFonts w:eastAsia="Calibri"/>
          <w:i/>
          <w:strike/>
          <w:color w:val="000000" w:themeColor="text1"/>
        </w:rPr>
      </w:pPr>
      <w:r w:rsidRPr="0078645D">
        <w:rPr>
          <w:rFonts w:eastAsia="Calibri"/>
          <w:i/>
          <w:color w:val="000000" w:themeColor="text1"/>
        </w:rPr>
        <w:t>Deleting the total dose from the post-implantation portion of the written directive and deleting the requirement to include dose; and</w:t>
      </w:r>
    </w:p>
    <w:p w14:paraId="18BF2F3B" w14:textId="77777777" w:rsidR="0078645D" w:rsidRPr="00E824EE" w:rsidRDefault="0078645D" w:rsidP="0078645D">
      <w:pPr>
        <w:numPr>
          <w:ilvl w:val="0"/>
          <w:numId w:val="65"/>
        </w:numPr>
        <w:spacing w:after="200"/>
        <w:contextualSpacing/>
        <w:rPr>
          <w:rFonts w:eastAsia="Calibri"/>
          <w:i/>
          <w:color w:val="000000" w:themeColor="text1"/>
          <w:highlight w:val="yellow"/>
        </w:rPr>
      </w:pPr>
      <w:r w:rsidRPr="00E824EE">
        <w:rPr>
          <w:rFonts w:eastAsia="Calibri"/>
          <w:i/>
          <w:color w:val="000000" w:themeColor="text1"/>
          <w:highlight w:val="yellow"/>
        </w:rPr>
        <w:t>Requiring completion of the post-implantation portion of the written directive before the patient leaves the post-treatment recovery area, and requiring the signature of an authorized user to complete the post-implantation portion of the written directive.</w:t>
      </w:r>
    </w:p>
    <w:p w14:paraId="7983BAAE" w14:textId="77777777" w:rsidR="0078645D" w:rsidRPr="0078645D" w:rsidRDefault="0078645D" w:rsidP="0078645D">
      <w:pPr>
        <w:spacing w:after="200"/>
        <w:contextualSpacing/>
        <w:rPr>
          <w:rFonts w:eastAsia="Calibri"/>
          <w:i/>
          <w:color w:val="FF0000"/>
        </w:rPr>
      </w:pPr>
    </w:p>
    <w:p w14:paraId="5C69AE0C" w14:textId="77777777" w:rsidR="0078645D" w:rsidRPr="0078645D" w:rsidRDefault="0078645D" w:rsidP="0078645D">
      <w:pPr>
        <w:tabs>
          <w:tab w:val="left" w:pos="360"/>
          <w:tab w:val="left" w:pos="720"/>
          <w:tab w:val="left" w:pos="1080"/>
        </w:tabs>
        <w:spacing w:line="240" w:lineRule="auto"/>
        <w:rPr>
          <w:b/>
        </w:rPr>
      </w:pPr>
      <w:r w:rsidRPr="0078645D">
        <w:rPr>
          <w:b/>
        </w:rPr>
        <w:t>Written Procedures in 10 CFR 35.41</w:t>
      </w:r>
    </w:p>
    <w:p w14:paraId="5D46F0CD" w14:textId="77777777" w:rsidR="0078645D" w:rsidRPr="0078645D" w:rsidRDefault="0078645D" w:rsidP="0078645D">
      <w:pPr>
        <w:tabs>
          <w:tab w:val="left" w:pos="360"/>
          <w:tab w:val="left" w:pos="720"/>
          <w:tab w:val="left" w:pos="1080"/>
        </w:tabs>
        <w:spacing w:line="240" w:lineRule="auto"/>
        <w:rPr>
          <w:i/>
          <w:highlight w:val="yellow"/>
        </w:rPr>
      </w:pPr>
    </w:p>
    <w:p w14:paraId="0590DEA3" w14:textId="5BD710E7" w:rsidR="0078645D" w:rsidRPr="0078645D" w:rsidRDefault="0078645D" w:rsidP="0078645D">
      <w:pPr>
        <w:rPr>
          <w:rFonts w:eastAsia="Calibri"/>
          <w:b/>
          <w:color w:val="000000" w:themeColor="text1"/>
        </w:rPr>
      </w:pPr>
      <w:r w:rsidRPr="0078645D">
        <w:rPr>
          <w:rFonts w:eastAsia="Calibri"/>
          <w:b/>
          <w:color w:val="000000" w:themeColor="text1"/>
        </w:rPr>
        <w:t>6</w:t>
      </w:r>
      <w:r w:rsidR="00E824EE">
        <w:rPr>
          <w:rFonts w:eastAsia="Calibri"/>
          <w:b/>
          <w:color w:val="000000" w:themeColor="text1"/>
        </w:rPr>
        <w:t>0</w:t>
      </w:r>
      <w:r w:rsidRPr="0078645D">
        <w:rPr>
          <w:rFonts w:eastAsia="Calibri"/>
          <w:b/>
          <w:color w:val="000000" w:themeColor="text1"/>
        </w:rPr>
        <w:t xml:space="preserve">.  What are the main changes to the </w:t>
      </w:r>
      <w:r w:rsidR="0092436E" w:rsidRPr="0078645D">
        <w:rPr>
          <w:rFonts w:eastAsia="Calibri"/>
          <w:b/>
          <w:color w:val="000000" w:themeColor="text1"/>
        </w:rPr>
        <w:t>procedur</w:t>
      </w:r>
      <w:r w:rsidR="0092436E">
        <w:rPr>
          <w:rFonts w:eastAsia="Calibri"/>
          <w:b/>
          <w:color w:val="000000" w:themeColor="text1"/>
        </w:rPr>
        <w:t>al</w:t>
      </w:r>
      <w:r w:rsidR="0092436E" w:rsidRPr="0078645D">
        <w:rPr>
          <w:rFonts w:eastAsia="Calibri"/>
          <w:b/>
          <w:color w:val="000000" w:themeColor="text1"/>
        </w:rPr>
        <w:t xml:space="preserve"> </w:t>
      </w:r>
      <w:r w:rsidRPr="0078645D">
        <w:rPr>
          <w:rFonts w:eastAsia="Calibri"/>
          <w:b/>
          <w:color w:val="000000" w:themeColor="text1"/>
        </w:rPr>
        <w:t>requirements in 10 CFR 35.41, “Procedures for Administrations Requiring a Written Directive,” for permanent implant brachytherapy use?</w:t>
      </w:r>
    </w:p>
    <w:p w14:paraId="21B9D7DA" w14:textId="77777777" w:rsidR="0078645D" w:rsidRPr="0078645D" w:rsidRDefault="0078645D" w:rsidP="0078645D">
      <w:pPr>
        <w:rPr>
          <w:rFonts w:eastAsia="Calibri"/>
          <w:b/>
          <w:color w:val="000000" w:themeColor="text1"/>
        </w:rPr>
      </w:pPr>
    </w:p>
    <w:p w14:paraId="719A885B" w14:textId="77777777" w:rsidR="0078645D" w:rsidRPr="0078645D" w:rsidRDefault="0078645D" w:rsidP="0078645D">
      <w:pPr>
        <w:rPr>
          <w:rFonts w:eastAsia="Calibri"/>
          <w:i/>
          <w:color w:val="000000" w:themeColor="text1"/>
        </w:rPr>
      </w:pPr>
      <w:r w:rsidRPr="0078645D">
        <w:rPr>
          <w:rFonts w:eastAsia="Calibri"/>
          <w:i/>
          <w:color w:val="000000" w:themeColor="text1"/>
        </w:rPr>
        <w:t>The main changes are requiring development, implementation, and maintenance of written procedures for:</w:t>
      </w:r>
    </w:p>
    <w:p w14:paraId="506DF3CF" w14:textId="77777777" w:rsidR="0078645D" w:rsidRPr="0078645D" w:rsidRDefault="0078645D" w:rsidP="0078645D">
      <w:pPr>
        <w:numPr>
          <w:ilvl w:val="0"/>
          <w:numId w:val="66"/>
        </w:numPr>
        <w:spacing w:after="200"/>
        <w:contextualSpacing/>
        <w:rPr>
          <w:rFonts w:eastAsia="Calibri"/>
          <w:i/>
          <w:color w:val="000000" w:themeColor="text1"/>
        </w:rPr>
      </w:pPr>
      <w:r w:rsidRPr="0078645D">
        <w:rPr>
          <w:rFonts w:eastAsia="Calibri"/>
          <w:i/>
          <w:color w:val="000000" w:themeColor="text1"/>
        </w:rPr>
        <w:t xml:space="preserve">Determining if a medical event, as defined in Section 35.3045, has occurred (note that this applies to all administrations requiring a written directive); and </w:t>
      </w:r>
    </w:p>
    <w:p w14:paraId="252F23A4" w14:textId="77777777" w:rsidR="0078645D" w:rsidRPr="0078645D" w:rsidRDefault="0078645D" w:rsidP="0078645D">
      <w:pPr>
        <w:numPr>
          <w:ilvl w:val="0"/>
          <w:numId w:val="66"/>
        </w:numPr>
        <w:spacing w:after="200"/>
        <w:contextualSpacing/>
        <w:rPr>
          <w:rFonts w:eastAsia="Calibri"/>
          <w:i/>
          <w:color w:val="000000" w:themeColor="text1"/>
        </w:rPr>
      </w:pPr>
      <w:r w:rsidRPr="0078645D">
        <w:rPr>
          <w:rFonts w:eastAsia="Calibri"/>
          <w:i/>
          <w:color w:val="000000" w:themeColor="text1"/>
        </w:rPr>
        <w:t>Determining, for permanent implant brachytherapy, within 60 calendar days from the day the implant was performed (unless accompanied by a written justification related to patient unavailability):  The total source strength administered outside of the treatment site compared to the total source strength documented in the post-implantation portion of the written directive.</w:t>
      </w:r>
    </w:p>
    <w:p w14:paraId="1C772372" w14:textId="77777777" w:rsidR="0078645D" w:rsidRPr="0078645D" w:rsidRDefault="0078645D" w:rsidP="0078645D">
      <w:pPr>
        <w:tabs>
          <w:tab w:val="left" w:pos="360"/>
          <w:tab w:val="left" w:pos="720"/>
          <w:tab w:val="left" w:pos="1080"/>
        </w:tabs>
        <w:autoSpaceDE w:val="0"/>
        <w:autoSpaceDN w:val="0"/>
        <w:adjustRightInd w:val="0"/>
        <w:spacing w:line="240" w:lineRule="auto"/>
        <w:rPr>
          <w:b/>
          <w:color w:val="FF0000"/>
          <w:highlight w:val="yellow"/>
        </w:rPr>
      </w:pPr>
    </w:p>
    <w:p w14:paraId="2197903A" w14:textId="5C7846B9" w:rsidR="0078645D" w:rsidRPr="0078645D" w:rsidRDefault="0078645D" w:rsidP="0078645D">
      <w:pPr>
        <w:autoSpaceDE w:val="0"/>
        <w:autoSpaceDN w:val="0"/>
        <w:adjustRightInd w:val="0"/>
        <w:spacing w:line="240" w:lineRule="auto"/>
        <w:rPr>
          <w:rFonts w:eastAsia="Calibri"/>
          <w:bCs/>
          <w:i/>
          <w:color w:val="000000" w:themeColor="text1"/>
        </w:rPr>
      </w:pPr>
      <w:r w:rsidRPr="0078645D">
        <w:rPr>
          <w:rFonts w:eastAsia="Calibri"/>
          <w:b/>
          <w:bCs/>
          <w:color w:val="000000" w:themeColor="text1"/>
        </w:rPr>
        <w:t>6</w:t>
      </w:r>
      <w:r w:rsidR="00E824EE">
        <w:rPr>
          <w:rFonts w:eastAsia="Calibri"/>
          <w:b/>
          <w:bCs/>
          <w:color w:val="000000" w:themeColor="text1"/>
        </w:rPr>
        <w:t>1</w:t>
      </w:r>
      <w:r w:rsidRPr="0078645D">
        <w:rPr>
          <w:rFonts w:eastAsia="Calibri"/>
          <w:b/>
          <w:bCs/>
          <w:color w:val="000000" w:themeColor="text1"/>
        </w:rPr>
        <w:t xml:space="preserve">. What is the basis for the 60 day limit on verifying </w:t>
      </w:r>
      <w:r w:rsidR="00D2291F">
        <w:rPr>
          <w:rFonts w:eastAsia="Calibri"/>
          <w:b/>
          <w:bCs/>
          <w:color w:val="000000" w:themeColor="text1"/>
        </w:rPr>
        <w:t xml:space="preserve">that at least 80% of the total source strength was implanted within </w:t>
      </w:r>
      <w:r w:rsidRPr="0078645D">
        <w:rPr>
          <w:rFonts w:eastAsia="Calibri"/>
          <w:b/>
          <w:bCs/>
          <w:color w:val="000000" w:themeColor="text1"/>
        </w:rPr>
        <w:t xml:space="preserve">the treatment site? </w:t>
      </w:r>
    </w:p>
    <w:p w14:paraId="4E84C34E" w14:textId="77777777" w:rsidR="0078645D" w:rsidRPr="0078645D" w:rsidRDefault="0078645D" w:rsidP="0078645D">
      <w:pPr>
        <w:autoSpaceDE w:val="0"/>
        <w:autoSpaceDN w:val="0"/>
        <w:adjustRightInd w:val="0"/>
        <w:spacing w:line="240" w:lineRule="auto"/>
        <w:rPr>
          <w:rFonts w:eastAsia="Calibri"/>
          <w:b/>
          <w:bCs/>
          <w:color w:val="000000" w:themeColor="text1"/>
        </w:rPr>
      </w:pPr>
    </w:p>
    <w:p w14:paraId="5645770E" w14:textId="7F02D2C1" w:rsidR="0078645D" w:rsidRPr="0078645D" w:rsidRDefault="0078645D" w:rsidP="0078645D">
      <w:pPr>
        <w:autoSpaceDE w:val="0"/>
        <w:autoSpaceDN w:val="0"/>
        <w:adjustRightInd w:val="0"/>
        <w:spacing w:line="240" w:lineRule="auto"/>
        <w:rPr>
          <w:rFonts w:eastAsia="Calibri"/>
          <w:bCs/>
          <w:i/>
          <w:color w:val="000000" w:themeColor="text1"/>
        </w:rPr>
      </w:pPr>
      <w:r w:rsidRPr="0078645D">
        <w:rPr>
          <w:rFonts w:eastAsia="Calibri"/>
          <w:i/>
          <w:iCs/>
          <w:color w:val="000000" w:themeColor="text1"/>
        </w:rPr>
        <w:t xml:space="preserve">The 60 day time limit was recommended by NRC’s Advisory Committee on the Medical Uses of Isotopes and reflects the American Association of Physicists in Medicine’s (AAPM) suggested time </w:t>
      </w:r>
      <w:r w:rsidR="00391759">
        <w:rPr>
          <w:rFonts w:eastAsia="Calibri"/>
          <w:i/>
          <w:iCs/>
          <w:color w:val="000000" w:themeColor="text1"/>
        </w:rPr>
        <w:t>for</w:t>
      </w:r>
      <w:r w:rsidR="00391759" w:rsidRPr="0078645D">
        <w:rPr>
          <w:rFonts w:eastAsia="Calibri"/>
          <w:i/>
          <w:iCs/>
          <w:color w:val="000000" w:themeColor="text1"/>
        </w:rPr>
        <w:t xml:space="preserve"> </w:t>
      </w:r>
      <w:r w:rsidRPr="0078645D">
        <w:rPr>
          <w:rFonts w:eastAsia="Calibri"/>
          <w:i/>
          <w:iCs/>
          <w:color w:val="000000" w:themeColor="text1"/>
        </w:rPr>
        <w:t>post implant assessment</w:t>
      </w:r>
      <w:r w:rsidR="00391759">
        <w:rPr>
          <w:rFonts w:eastAsia="Calibri"/>
          <w:i/>
          <w:iCs/>
          <w:color w:val="000000" w:themeColor="text1"/>
        </w:rPr>
        <w:t>, which is</w:t>
      </w:r>
      <w:r w:rsidRPr="0078645D">
        <w:rPr>
          <w:rFonts w:eastAsia="Calibri"/>
          <w:i/>
          <w:iCs/>
          <w:color w:val="000000" w:themeColor="text1"/>
        </w:rPr>
        <w:t xml:space="preserve"> 30 days for the longest half life radioactive source used in permanent implant brachytherapy, </w:t>
      </w:r>
      <w:r w:rsidR="00F3009A">
        <w:rPr>
          <w:rFonts w:eastAsia="Calibri"/>
          <w:i/>
          <w:iCs/>
          <w:color w:val="000000" w:themeColor="text1"/>
        </w:rPr>
        <w:t>Iodine</w:t>
      </w:r>
      <w:r w:rsidR="00934A66">
        <w:rPr>
          <w:rFonts w:eastAsia="Calibri"/>
          <w:i/>
          <w:iCs/>
          <w:color w:val="000000" w:themeColor="text1"/>
        </w:rPr>
        <w:t>-125</w:t>
      </w:r>
      <w:r w:rsidR="004311C9">
        <w:rPr>
          <w:rFonts w:eastAsia="Calibri"/>
          <w:i/>
          <w:iCs/>
          <w:color w:val="000000" w:themeColor="text1"/>
        </w:rPr>
        <w:t>, which has a</w:t>
      </w:r>
      <w:r w:rsidR="00934A66">
        <w:rPr>
          <w:rFonts w:eastAsia="Calibri"/>
          <w:i/>
          <w:iCs/>
          <w:color w:val="000000" w:themeColor="text1"/>
        </w:rPr>
        <w:t xml:space="preserve"> a half life of 60 day</w:t>
      </w:r>
      <w:r w:rsidRPr="0078645D">
        <w:rPr>
          <w:rFonts w:eastAsia="Calibri"/>
          <w:i/>
          <w:iCs/>
          <w:color w:val="000000" w:themeColor="text1"/>
        </w:rPr>
        <w:t xml:space="preserve">s. Refer to AAPM Report 137, “AAPM Recommendations on Dose Prescription and Reporting Methods for Permanent Interstitial Brachytherapy for Prostate Cancer,” which is available on the AAPM website at </w:t>
      </w:r>
      <w:hyperlink r:id="rId18" w:history="1">
        <w:r w:rsidRPr="0078645D">
          <w:rPr>
            <w:rFonts w:eastAsia="Calibri"/>
            <w:i/>
            <w:iCs/>
            <w:color w:val="000000" w:themeColor="text1"/>
            <w:u w:val="single"/>
          </w:rPr>
          <w:t>www.aapm.org</w:t>
        </w:r>
      </w:hyperlink>
      <w:r w:rsidRPr="0078645D">
        <w:rPr>
          <w:rFonts w:eastAsia="Calibri"/>
          <w:i/>
          <w:iCs/>
          <w:color w:val="000000" w:themeColor="text1"/>
        </w:rPr>
        <w:t>.</w:t>
      </w:r>
    </w:p>
    <w:p w14:paraId="41F52742" w14:textId="77777777" w:rsidR="0078645D" w:rsidRPr="0078645D" w:rsidRDefault="0078645D" w:rsidP="0078645D">
      <w:pPr>
        <w:tabs>
          <w:tab w:val="left" w:pos="360"/>
          <w:tab w:val="left" w:pos="720"/>
          <w:tab w:val="left" w:pos="1080"/>
        </w:tabs>
        <w:autoSpaceDE w:val="0"/>
        <w:autoSpaceDN w:val="0"/>
        <w:adjustRightInd w:val="0"/>
        <w:spacing w:line="240" w:lineRule="auto"/>
        <w:rPr>
          <w:color w:val="000000"/>
          <w:highlight w:val="yellow"/>
        </w:rPr>
      </w:pPr>
    </w:p>
    <w:p w14:paraId="74EFDA47" w14:textId="77777777" w:rsidR="0078645D" w:rsidRPr="0078645D" w:rsidRDefault="0078645D" w:rsidP="0078645D">
      <w:pPr>
        <w:tabs>
          <w:tab w:val="left" w:pos="360"/>
          <w:tab w:val="left" w:pos="720"/>
          <w:tab w:val="left" w:pos="1080"/>
        </w:tabs>
        <w:autoSpaceDE w:val="0"/>
        <w:autoSpaceDN w:val="0"/>
        <w:adjustRightInd w:val="0"/>
        <w:spacing w:line="240" w:lineRule="auto"/>
        <w:rPr>
          <w:color w:val="000000"/>
          <w:highlight w:val="yellow"/>
        </w:rPr>
      </w:pPr>
    </w:p>
    <w:p w14:paraId="3095C4B0" w14:textId="22755019" w:rsidR="0078645D" w:rsidRPr="0078645D" w:rsidRDefault="0078645D" w:rsidP="0078645D">
      <w:pPr>
        <w:rPr>
          <w:rFonts w:eastAsia="Calibri"/>
          <w:b/>
          <w:color w:val="000000" w:themeColor="text1"/>
        </w:rPr>
      </w:pPr>
      <w:r w:rsidRPr="0078645D">
        <w:rPr>
          <w:rFonts w:eastAsia="Calibri"/>
          <w:b/>
          <w:color w:val="000000" w:themeColor="text1"/>
        </w:rPr>
        <w:t>6</w:t>
      </w:r>
      <w:r w:rsidR="00E824EE">
        <w:rPr>
          <w:rFonts w:eastAsia="Calibri"/>
          <w:b/>
          <w:color w:val="000000" w:themeColor="text1"/>
        </w:rPr>
        <w:t>2</w:t>
      </w:r>
      <w:r w:rsidRPr="0078645D">
        <w:rPr>
          <w:rFonts w:eastAsia="Calibri"/>
          <w:b/>
          <w:color w:val="000000" w:themeColor="text1"/>
        </w:rPr>
        <w:t xml:space="preserve">.  What if the patient is not available within the 60 day </w:t>
      </w:r>
      <w:r w:rsidR="00257C2F">
        <w:rPr>
          <w:rFonts w:eastAsia="Calibri"/>
          <w:b/>
          <w:color w:val="000000" w:themeColor="text1"/>
        </w:rPr>
        <w:t>time limit for determining whether or not 80% or more of the sources were implanted within the treatment site</w:t>
      </w:r>
      <w:r w:rsidRPr="0078645D">
        <w:rPr>
          <w:rFonts w:eastAsia="Calibri"/>
          <w:b/>
          <w:color w:val="000000" w:themeColor="text1"/>
        </w:rPr>
        <w:t>?</w:t>
      </w:r>
    </w:p>
    <w:p w14:paraId="7CA7672E" w14:textId="77777777" w:rsidR="0078645D" w:rsidRPr="0078645D" w:rsidRDefault="0078645D" w:rsidP="0078645D">
      <w:pPr>
        <w:rPr>
          <w:rFonts w:eastAsia="Calibri"/>
          <w:color w:val="000000" w:themeColor="text1"/>
        </w:rPr>
      </w:pPr>
    </w:p>
    <w:p w14:paraId="3D2E4859" w14:textId="7335D759" w:rsidR="0078645D" w:rsidRPr="0078645D" w:rsidRDefault="00257C2F" w:rsidP="0078645D">
      <w:pPr>
        <w:autoSpaceDE w:val="0"/>
        <w:autoSpaceDN w:val="0"/>
        <w:adjustRightInd w:val="0"/>
        <w:spacing w:line="240" w:lineRule="auto"/>
        <w:rPr>
          <w:rFonts w:eastAsia="Calibri"/>
          <w:i/>
          <w:iCs/>
          <w:color w:val="000000" w:themeColor="text1"/>
        </w:rPr>
      </w:pPr>
      <w:r>
        <w:rPr>
          <w:rFonts w:eastAsia="Calibri"/>
          <w:i/>
          <w:iCs/>
          <w:color w:val="000000" w:themeColor="text1"/>
        </w:rPr>
        <w:t xml:space="preserve">If the patient is unavailable to the licensee within 60 days from the day that the implant was performed, then the licensee cannot perform this assessment.  The licensee is required to provide </w:t>
      </w:r>
      <w:r w:rsidR="0078645D" w:rsidRPr="0078645D">
        <w:rPr>
          <w:rFonts w:eastAsia="Calibri"/>
          <w:i/>
          <w:iCs/>
          <w:color w:val="000000" w:themeColor="text1"/>
        </w:rPr>
        <w:t xml:space="preserve"> a written justification</w:t>
      </w:r>
      <w:r w:rsidR="006B62DC">
        <w:rPr>
          <w:rFonts w:eastAsia="Calibri"/>
          <w:i/>
          <w:iCs/>
          <w:color w:val="000000" w:themeColor="text1"/>
        </w:rPr>
        <w:t xml:space="preserve"> that explains why the patient was unavailable.</w:t>
      </w:r>
    </w:p>
    <w:p w14:paraId="339A42E4" w14:textId="77777777" w:rsidR="0078645D" w:rsidRPr="0078645D" w:rsidRDefault="0078645D" w:rsidP="0078645D">
      <w:pPr>
        <w:tabs>
          <w:tab w:val="left" w:pos="360"/>
          <w:tab w:val="left" w:pos="720"/>
          <w:tab w:val="left" w:pos="1080"/>
        </w:tabs>
        <w:autoSpaceDE w:val="0"/>
        <w:autoSpaceDN w:val="0"/>
        <w:adjustRightInd w:val="0"/>
        <w:spacing w:line="240" w:lineRule="auto"/>
        <w:rPr>
          <w:i/>
          <w:color w:val="000000" w:themeColor="text1"/>
          <w:highlight w:val="yellow"/>
        </w:rPr>
      </w:pPr>
    </w:p>
    <w:p w14:paraId="40050663" w14:textId="3D10A427" w:rsidR="0078645D" w:rsidRPr="0078645D" w:rsidRDefault="0078645D" w:rsidP="0078645D">
      <w:pPr>
        <w:rPr>
          <w:rFonts w:eastAsia="Calibri"/>
          <w:b/>
        </w:rPr>
      </w:pPr>
      <w:r w:rsidRPr="0078645D">
        <w:rPr>
          <w:rFonts w:eastAsia="Calibri"/>
          <w:b/>
        </w:rPr>
        <w:t>6</w:t>
      </w:r>
      <w:r w:rsidR="00E824EE">
        <w:rPr>
          <w:rFonts w:eastAsia="Calibri"/>
          <w:b/>
        </w:rPr>
        <w:t>3</w:t>
      </w:r>
      <w:r w:rsidRPr="0078645D">
        <w:rPr>
          <w:rFonts w:eastAsia="Calibri"/>
          <w:b/>
        </w:rPr>
        <w:t>. Is it permissible for the licensee to verify source positioning on the same day as the implant procedure or is it necessary to have the patient come in on a different day?</w:t>
      </w:r>
    </w:p>
    <w:p w14:paraId="1BD2CA7A" w14:textId="77777777" w:rsidR="0078645D" w:rsidRPr="0078645D" w:rsidRDefault="0078645D" w:rsidP="0078645D">
      <w:pPr>
        <w:rPr>
          <w:rFonts w:eastAsia="Calibri"/>
          <w:i/>
        </w:rPr>
      </w:pPr>
    </w:p>
    <w:p w14:paraId="00AE5AE1" w14:textId="64B11D5E" w:rsidR="0078645D" w:rsidRPr="0078645D" w:rsidRDefault="0078645D" w:rsidP="0078645D">
      <w:pPr>
        <w:rPr>
          <w:rFonts w:eastAsia="Calibri"/>
          <w:i/>
        </w:rPr>
      </w:pPr>
      <w:r w:rsidRPr="0078645D">
        <w:rPr>
          <w:rFonts w:eastAsia="Calibri"/>
          <w:i/>
        </w:rPr>
        <w:t xml:space="preserve">Yes.  Although licensees usually make the source positioning determination on a day after the implant procedure, nothing in the regulations precludes licensees from verifying </w:t>
      </w:r>
      <w:r w:rsidR="00DE17A9">
        <w:rPr>
          <w:rFonts w:eastAsia="Calibri"/>
          <w:i/>
        </w:rPr>
        <w:t xml:space="preserve">source position </w:t>
      </w:r>
      <w:r w:rsidRPr="0078645D">
        <w:rPr>
          <w:rFonts w:eastAsia="Calibri"/>
          <w:i/>
        </w:rPr>
        <w:t xml:space="preserve">on the same day.  The requirement in 10 CFR 35.41(b)(6) is for the determination to be made within 60 calendar days from the date the implant was performed.  This is a performance based requirement and does not specifically direct licensees as to how the objectives are to be achieved.  One option could be to verify source positioning based on a CT scan performed immediately after a patient is discharged from the post-implant recovery area.  </w:t>
      </w:r>
    </w:p>
    <w:p w14:paraId="3BE111D3" w14:textId="77777777" w:rsidR="0078645D" w:rsidRPr="0078645D" w:rsidRDefault="0078645D" w:rsidP="0078645D">
      <w:pPr>
        <w:autoSpaceDE w:val="0"/>
        <w:autoSpaceDN w:val="0"/>
        <w:spacing w:line="240" w:lineRule="auto"/>
        <w:rPr>
          <w:b/>
          <w:highlight w:val="cyan"/>
        </w:rPr>
      </w:pPr>
    </w:p>
    <w:p w14:paraId="4475AC50" w14:textId="4F4E820D" w:rsidR="0078645D" w:rsidRPr="0078645D" w:rsidRDefault="0078645D" w:rsidP="0078645D">
      <w:pPr>
        <w:rPr>
          <w:rFonts w:eastAsia="Calibri"/>
          <w:b/>
          <w:color w:val="000000" w:themeColor="text1"/>
        </w:rPr>
      </w:pPr>
      <w:r w:rsidRPr="0078645D">
        <w:rPr>
          <w:rFonts w:eastAsia="Calibri"/>
          <w:b/>
          <w:color w:val="000000" w:themeColor="text1"/>
        </w:rPr>
        <w:t>6</w:t>
      </w:r>
      <w:r w:rsidR="00E824EE">
        <w:rPr>
          <w:rFonts w:eastAsia="Calibri"/>
          <w:b/>
          <w:color w:val="000000" w:themeColor="text1"/>
        </w:rPr>
        <w:t>4</w:t>
      </w:r>
      <w:r w:rsidRPr="0078645D">
        <w:rPr>
          <w:rFonts w:eastAsia="Calibri"/>
          <w:b/>
          <w:color w:val="000000" w:themeColor="text1"/>
        </w:rPr>
        <w:t xml:space="preserve">.  </w:t>
      </w:r>
      <w:r w:rsidRPr="0078645D">
        <w:rPr>
          <w:rFonts w:eastAsia="Calibri"/>
          <w:b/>
          <w:bCs/>
          <w:color w:val="000000" w:themeColor="text1"/>
        </w:rPr>
        <w:t>Does the NRC require licensees conducting permanent implant brachytherapy to use a treatment planning software as well as perform post-implant imaging</w:t>
      </w:r>
      <w:r w:rsidRPr="0078645D">
        <w:rPr>
          <w:rFonts w:eastAsia="Calibri"/>
          <w:b/>
          <w:color w:val="000000" w:themeColor="text1"/>
        </w:rPr>
        <w:t>?</w:t>
      </w:r>
    </w:p>
    <w:p w14:paraId="71604423" w14:textId="77777777" w:rsidR="0078645D" w:rsidRPr="0078645D" w:rsidRDefault="0078645D" w:rsidP="0078645D">
      <w:pPr>
        <w:rPr>
          <w:rFonts w:eastAsia="Calibri"/>
          <w:color w:val="000000" w:themeColor="text1"/>
        </w:rPr>
      </w:pPr>
    </w:p>
    <w:p w14:paraId="1522F312" w14:textId="21F1843F" w:rsidR="0078645D" w:rsidRPr="0078645D" w:rsidRDefault="0078645D" w:rsidP="0078645D">
      <w:pPr>
        <w:autoSpaceDE w:val="0"/>
        <w:autoSpaceDN w:val="0"/>
        <w:adjustRightInd w:val="0"/>
        <w:spacing w:line="240" w:lineRule="auto"/>
        <w:rPr>
          <w:rFonts w:eastAsia="Calibri"/>
          <w:i/>
          <w:iCs/>
          <w:color w:val="000000" w:themeColor="text1"/>
        </w:rPr>
      </w:pPr>
      <w:r w:rsidRPr="0078645D">
        <w:rPr>
          <w:rFonts w:eastAsia="Calibri"/>
          <w:i/>
          <w:iCs/>
          <w:color w:val="000000" w:themeColor="text1"/>
        </w:rPr>
        <w:t xml:space="preserve">The requirements in 10 CFR 35.41, “Procedures for Administrations Requiring a Written Directive,” are performance based and do not explicitly direct licensees as to how the objectives are to be achieved.  Accordingly, using treatment planning software </w:t>
      </w:r>
      <w:r w:rsidR="00DE17A9">
        <w:rPr>
          <w:rFonts w:eastAsia="Calibri"/>
          <w:i/>
          <w:iCs/>
          <w:color w:val="000000" w:themeColor="text1"/>
        </w:rPr>
        <w:t>or</w:t>
      </w:r>
      <w:r w:rsidR="00DE17A9" w:rsidRPr="0078645D">
        <w:rPr>
          <w:rFonts w:eastAsia="Calibri"/>
          <w:i/>
          <w:iCs/>
          <w:color w:val="000000" w:themeColor="text1"/>
        </w:rPr>
        <w:t xml:space="preserve"> </w:t>
      </w:r>
      <w:r w:rsidRPr="0078645D">
        <w:rPr>
          <w:rFonts w:eastAsia="Calibri"/>
          <w:i/>
          <w:iCs/>
          <w:color w:val="000000" w:themeColor="text1"/>
        </w:rPr>
        <w:t>post-implant imaging are not explicitly required.  However, NRC believes the use of both is</w:t>
      </w:r>
      <w:r w:rsidR="00DE17A9">
        <w:rPr>
          <w:rFonts w:eastAsia="Calibri"/>
          <w:i/>
          <w:iCs/>
          <w:color w:val="000000" w:themeColor="text1"/>
        </w:rPr>
        <w:t xml:space="preserve"> likely </w:t>
      </w:r>
      <w:r w:rsidRPr="0078645D">
        <w:rPr>
          <w:rFonts w:eastAsia="Calibri"/>
          <w:i/>
          <w:iCs/>
          <w:color w:val="000000" w:themeColor="text1"/>
        </w:rPr>
        <w:t xml:space="preserve">necessary to outline the treatment site and make the determination of implanted source positioning to decide whether a medical event has occurred according to the criteria in </w:t>
      </w:r>
      <w:r w:rsidR="00265696" w:rsidRPr="0078645D">
        <w:rPr>
          <w:rFonts w:eastAsia="Calibri"/>
          <w:i/>
        </w:rPr>
        <w:t xml:space="preserve">10 CFR </w:t>
      </w:r>
      <w:r w:rsidRPr="0078645D">
        <w:rPr>
          <w:rFonts w:eastAsia="Calibri"/>
          <w:i/>
          <w:iCs/>
          <w:color w:val="000000" w:themeColor="text1"/>
        </w:rPr>
        <w:t>35.3045, “Report and Notification of a Medical Event.”</w:t>
      </w:r>
    </w:p>
    <w:p w14:paraId="78D3B2DB" w14:textId="77777777" w:rsidR="0078645D" w:rsidRPr="0078645D" w:rsidRDefault="0078645D" w:rsidP="0078645D">
      <w:pPr>
        <w:autoSpaceDE w:val="0"/>
        <w:autoSpaceDN w:val="0"/>
        <w:spacing w:line="240" w:lineRule="auto"/>
        <w:rPr>
          <w:i/>
          <w:iCs/>
        </w:rPr>
      </w:pPr>
    </w:p>
    <w:p w14:paraId="6C817A09" w14:textId="77777777" w:rsidR="0078645D" w:rsidRPr="0078645D" w:rsidRDefault="0078645D" w:rsidP="0078645D">
      <w:pPr>
        <w:autoSpaceDE w:val="0"/>
        <w:autoSpaceDN w:val="0"/>
        <w:spacing w:line="240" w:lineRule="auto"/>
        <w:ind w:left="1440"/>
        <w:contextualSpacing/>
        <w:rPr>
          <w:i/>
          <w:iCs/>
          <w:highlight w:val="cyan"/>
        </w:rPr>
      </w:pPr>
    </w:p>
    <w:p w14:paraId="3E339C7D" w14:textId="77777777" w:rsidR="0078645D" w:rsidRPr="0078645D" w:rsidRDefault="0078645D" w:rsidP="0078645D">
      <w:pPr>
        <w:tabs>
          <w:tab w:val="left" w:pos="360"/>
          <w:tab w:val="left" w:pos="720"/>
          <w:tab w:val="left" w:pos="1080"/>
        </w:tabs>
        <w:spacing w:line="240" w:lineRule="auto"/>
        <w:rPr>
          <w:b/>
          <w:highlight w:val="yellow"/>
        </w:rPr>
      </w:pPr>
      <w:r w:rsidRPr="0078645D">
        <w:rPr>
          <w:b/>
        </w:rPr>
        <w:t>Medical Event Reporting</w:t>
      </w:r>
    </w:p>
    <w:p w14:paraId="5D072C91" w14:textId="77777777" w:rsidR="0078645D" w:rsidRPr="0078645D" w:rsidRDefault="0078645D" w:rsidP="0078645D">
      <w:pPr>
        <w:tabs>
          <w:tab w:val="left" w:pos="360"/>
          <w:tab w:val="left" w:pos="720"/>
          <w:tab w:val="left" w:pos="1080"/>
        </w:tabs>
        <w:spacing w:line="240" w:lineRule="auto"/>
        <w:rPr>
          <w:highlight w:val="yellow"/>
        </w:rPr>
      </w:pPr>
    </w:p>
    <w:p w14:paraId="7745A99D" w14:textId="5CAD39DC" w:rsidR="0078645D" w:rsidRPr="0078645D" w:rsidRDefault="0078645D" w:rsidP="0078645D">
      <w:pPr>
        <w:tabs>
          <w:tab w:val="left" w:pos="360"/>
          <w:tab w:val="left" w:pos="720"/>
          <w:tab w:val="left" w:pos="1080"/>
        </w:tabs>
        <w:rPr>
          <w:b/>
        </w:rPr>
      </w:pPr>
      <w:r w:rsidRPr="0078645D">
        <w:rPr>
          <w:b/>
        </w:rPr>
        <w:t>6</w:t>
      </w:r>
      <w:r w:rsidR="00E824EE">
        <w:rPr>
          <w:b/>
        </w:rPr>
        <w:t>5</w:t>
      </w:r>
      <w:r w:rsidRPr="0078645D">
        <w:rPr>
          <w:b/>
        </w:rPr>
        <w:t>.  Do administrations that do not require a written directive but meet the medical event criteria still need to be reported to the NRC?</w:t>
      </w:r>
    </w:p>
    <w:p w14:paraId="4688DE4D" w14:textId="77777777" w:rsidR="0078645D" w:rsidRPr="0078645D" w:rsidRDefault="0078645D" w:rsidP="0078645D">
      <w:pPr>
        <w:tabs>
          <w:tab w:val="left" w:pos="360"/>
          <w:tab w:val="left" w:pos="720"/>
          <w:tab w:val="left" w:pos="1080"/>
        </w:tabs>
        <w:spacing w:line="240" w:lineRule="auto"/>
      </w:pPr>
    </w:p>
    <w:p w14:paraId="0BC509F7" w14:textId="722700A8" w:rsidR="0078645D" w:rsidRPr="00DA4E3C" w:rsidRDefault="0078645D" w:rsidP="0078645D">
      <w:pPr>
        <w:tabs>
          <w:tab w:val="left" w:pos="360"/>
          <w:tab w:val="left" w:pos="720"/>
          <w:tab w:val="left" w:pos="1080"/>
        </w:tabs>
        <w:spacing w:line="240" w:lineRule="auto"/>
        <w:rPr>
          <w:i/>
        </w:rPr>
      </w:pPr>
      <w:r w:rsidRPr="00DA4E3C">
        <w:rPr>
          <w:i/>
        </w:rPr>
        <w:t xml:space="preserve">Yes, criteria for reporting and notification of a medical event in 10 CFR 35.3045 do not require that the administration </w:t>
      </w:r>
      <w:r w:rsidR="00DC6620" w:rsidRPr="00DA4E3C">
        <w:rPr>
          <w:i/>
        </w:rPr>
        <w:t xml:space="preserve">be one that </w:t>
      </w:r>
      <w:r w:rsidRPr="00DA4E3C">
        <w:rPr>
          <w:i/>
        </w:rPr>
        <w:t xml:space="preserve">requires a written directive.  Although it is unlikely that a medical event would be associated with a medical use that does not require a written directive, they do happen.  For example, diagnostic procedures, which do not require WDs, may meet the ME reporting criteria and are reportable to the NRC.  The ME reporting criteria requires that a licensee shall report any medical event, except for </w:t>
      </w:r>
      <w:r w:rsidR="00DC6620" w:rsidRPr="00DA4E3C">
        <w:rPr>
          <w:i/>
        </w:rPr>
        <w:t>one that</w:t>
      </w:r>
      <w:r w:rsidRPr="00DA4E3C">
        <w:rPr>
          <w:i/>
        </w:rPr>
        <w:t xml:space="preserve"> results from patient intervention.  </w:t>
      </w:r>
    </w:p>
    <w:p w14:paraId="211C01FA" w14:textId="77777777" w:rsidR="0078645D" w:rsidRPr="0078645D" w:rsidRDefault="0078645D" w:rsidP="0078645D">
      <w:pPr>
        <w:tabs>
          <w:tab w:val="left" w:pos="360"/>
          <w:tab w:val="left" w:pos="720"/>
          <w:tab w:val="left" w:pos="1080"/>
        </w:tabs>
        <w:autoSpaceDE w:val="0"/>
        <w:autoSpaceDN w:val="0"/>
        <w:adjustRightInd w:val="0"/>
        <w:spacing w:line="240" w:lineRule="auto"/>
        <w:rPr>
          <w:b/>
          <w:color w:val="000000"/>
        </w:rPr>
      </w:pPr>
    </w:p>
    <w:p w14:paraId="4A84A4F8" w14:textId="7795255E" w:rsidR="0078645D" w:rsidRPr="0078645D" w:rsidRDefault="0078645D" w:rsidP="0078645D">
      <w:pPr>
        <w:autoSpaceDE w:val="0"/>
        <w:autoSpaceDN w:val="0"/>
        <w:adjustRightInd w:val="0"/>
        <w:spacing w:line="240" w:lineRule="auto"/>
        <w:rPr>
          <w:rFonts w:eastAsia="Calibri"/>
          <w:b/>
          <w:bCs/>
          <w:color w:val="000000" w:themeColor="text1"/>
        </w:rPr>
      </w:pPr>
      <w:r w:rsidRPr="0078645D">
        <w:rPr>
          <w:rFonts w:eastAsia="Calibri"/>
          <w:b/>
          <w:bCs/>
          <w:color w:val="000000" w:themeColor="text1"/>
        </w:rPr>
        <w:t>6</w:t>
      </w:r>
      <w:r w:rsidR="00E824EE">
        <w:rPr>
          <w:rFonts w:eastAsia="Calibri"/>
          <w:b/>
          <w:bCs/>
          <w:color w:val="000000" w:themeColor="text1"/>
        </w:rPr>
        <w:t>6</w:t>
      </w:r>
      <w:r w:rsidRPr="0078645D">
        <w:rPr>
          <w:rFonts w:eastAsia="Calibri"/>
          <w:b/>
          <w:bCs/>
          <w:color w:val="000000" w:themeColor="text1"/>
        </w:rPr>
        <w:t>. What are the main changes to the medical event reporting requirements in 10 CFR 35.3045, “Report and Notification of a Medical Event,” for permanent implant brachytherapy use?</w:t>
      </w:r>
      <w:r w:rsidRPr="0078645D">
        <w:rPr>
          <w:rFonts w:eastAsia="Calibri"/>
          <w:b/>
          <w:i/>
          <w:iCs/>
          <w:color w:val="000000" w:themeColor="text1"/>
        </w:rPr>
        <w:t xml:space="preserve"> </w:t>
      </w:r>
    </w:p>
    <w:p w14:paraId="5DB98D11" w14:textId="77777777" w:rsidR="0078645D" w:rsidRPr="0078645D" w:rsidRDefault="0078645D" w:rsidP="0078645D">
      <w:pPr>
        <w:jc w:val="both"/>
        <w:rPr>
          <w:rFonts w:eastAsia="Calibri"/>
          <w:color w:val="000000" w:themeColor="text1"/>
        </w:rPr>
      </w:pPr>
    </w:p>
    <w:p w14:paraId="3265B040" w14:textId="77777777" w:rsidR="0078645D" w:rsidRPr="0078645D" w:rsidRDefault="0078645D" w:rsidP="0078645D">
      <w:pPr>
        <w:rPr>
          <w:rFonts w:eastAsia="Calibri"/>
          <w:i/>
          <w:color w:val="000000" w:themeColor="text1"/>
        </w:rPr>
      </w:pPr>
      <w:r w:rsidRPr="0078645D">
        <w:rPr>
          <w:rFonts w:eastAsia="Calibri"/>
          <w:i/>
          <w:color w:val="000000" w:themeColor="text1"/>
        </w:rPr>
        <w:t>The main changes are:</w:t>
      </w:r>
    </w:p>
    <w:p w14:paraId="02275062" w14:textId="77777777" w:rsidR="0078645D" w:rsidRPr="0078645D" w:rsidRDefault="0078645D" w:rsidP="0078645D">
      <w:pPr>
        <w:numPr>
          <w:ilvl w:val="0"/>
          <w:numId w:val="67"/>
        </w:numPr>
        <w:spacing w:after="200"/>
        <w:contextualSpacing/>
        <w:rPr>
          <w:rFonts w:eastAsia="Calibri"/>
          <w:i/>
          <w:color w:val="000000" w:themeColor="text1"/>
        </w:rPr>
      </w:pPr>
      <w:r w:rsidRPr="0078645D">
        <w:rPr>
          <w:rFonts w:eastAsia="Calibri"/>
          <w:i/>
          <w:color w:val="000000" w:themeColor="text1"/>
        </w:rPr>
        <w:t>Addition of a separate section for permanent implant brachytherapy medical events.</w:t>
      </w:r>
    </w:p>
    <w:p w14:paraId="39437DDE" w14:textId="77777777" w:rsidR="0078645D" w:rsidRPr="0078645D" w:rsidRDefault="0078645D" w:rsidP="0078645D">
      <w:pPr>
        <w:numPr>
          <w:ilvl w:val="0"/>
          <w:numId w:val="67"/>
        </w:numPr>
        <w:spacing w:after="200"/>
        <w:contextualSpacing/>
        <w:rPr>
          <w:rFonts w:eastAsia="Calibri"/>
          <w:i/>
          <w:color w:val="000000" w:themeColor="text1"/>
        </w:rPr>
      </w:pPr>
      <w:r w:rsidRPr="0078645D">
        <w:rPr>
          <w:rFonts w:eastAsia="Calibri"/>
          <w:i/>
          <w:color w:val="000000" w:themeColor="text1"/>
        </w:rPr>
        <w:t>For the treatment site, using a single criterion involving total source strength administered outside of the treatment site exceeding 20% of the total source strength documented in the post-implantation written directive.  There is no longer a threshold dose criterion.</w:t>
      </w:r>
    </w:p>
    <w:p w14:paraId="6D408550" w14:textId="77777777" w:rsidR="0078645D" w:rsidRPr="0078645D" w:rsidRDefault="0078645D" w:rsidP="0078645D">
      <w:pPr>
        <w:numPr>
          <w:ilvl w:val="0"/>
          <w:numId w:val="67"/>
        </w:numPr>
        <w:spacing w:after="200"/>
        <w:contextualSpacing/>
        <w:rPr>
          <w:rFonts w:eastAsia="Calibri"/>
          <w:i/>
          <w:color w:val="000000" w:themeColor="text1"/>
        </w:rPr>
      </w:pPr>
      <w:r w:rsidRPr="0078645D">
        <w:rPr>
          <w:rFonts w:eastAsia="Calibri"/>
          <w:i/>
          <w:iCs/>
          <w:color w:val="000000" w:themeColor="text1"/>
        </w:rPr>
        <w:t>Addition of a criterion for the difference between the total source strength implanted and that entered into the post-implant portion of the written directive.</w:t>
      </w:r>
    </w:p>
    <w:p w14:paraId="5F4752D5" w14:textId="77777777" w:rsidR="0078645D" w:rsidRPr="0078645D" w:rsidRDefault="0078645D" w:rsidP="0078645D">
      <w:pPr>
        <w:numPr>
          <w:ilvl w:val="0"/>
          <w:numId w:val="67"/>
        </w:numPr>
        <w:spacing w:after="200"/>
        <w:contextualSpacing/>
        <w:rPr>
          <w:rFonts w:eastAsia="Calibri"/>
          <w:i/>
          <w:color w:val="000000" w:themeColor="text1"/>
        </w:rPr>
      </w:pPr>
      <w:r w:rsidRPr="0078645D">
        <w:rPr>
          <w:rFonts w:eastAsia="Calibri"/>
          <w:i/>
          <w:color w:val="000000" w:themeColor="text1"/>
        </w:rPr>
        <w:t>Including a dose threshold for the leaking sealed source criterion.</w:t>
      </w:r>
    </w:p>
    <w:p w14:paraId="4E41B07C" w14:textId="77777777" w:rsidR="0078645D" w:rsidRPr="0078645D" w:rsidRDefault="0078645D" w:rsidP="0078645D">
      <w:pPr>
        <w:numPr>
          <w:ilvl w:val="0"/>
          <w:numId w:val="67"/>
        </w:numPr>
        <w:spacing w:after="200"/>
        <w:contextualSpacing/>
        <w:rPr>
          <w:rFonts w:eastAsia="Calibri"/>
          <w:i/>
          <w:color w:val="000000" w:themeColor="text1"/>
        </w:rPr>
      </w:pPr>
      <w:r w:rsidRPr="0078645D">
        <w:rPr>
          <w:rFonts w:eastAsia="Calibri"/>
          <w:i/>
          <w:color w:val="000000" w:themeColor="text1"/>
        </w:rPr>
        <w:t>Addition of a criterion for sealed source(s) implanted directly into a location where the radiation from the source(s) will not contribute dose to the treatment site, as defined in the written directive.</w:t>
      </w:r>
    </w:p>
    <w:p w14:paraId="491C6F98" w14:textId="77777777" w:rsidR="0078645D" w:rsidRPr="0078645D" w:rsidRDefault="0078645D" w:rsidP="0078645D">
      <w:pPr>
        <w:numPr>
          <w:ilvl w:val="0"/>
          <w:numId w:val="67"/>
        </w:numPr>
        <w:spacing w:after="200"/>
        <w:contextualSpacing/>
        <w:rPr>
          <w:rFonts w:eastAsia="Calibri"/>
          <w:i/>
          <w:color w:val="000000" w:themeColor="text1"/>
        </w:rPr>
      </w:pPr>
      <w:r w:rsidRPr="0078645D">
        <w:rPr>
          <w:rFonts w:eastAsia="Calibri"/>
          <w:i/>
          <w:color w:val="000000" w:themeColor="text1"/>
        </w:rPr>
        <w:t>Addition of a criterion for administration of the wrong radionuclide.</w:t>
      </w:r>
    </w:p>
    <w:p w14:paraId="62F1FF4C" w14:textId="77777777" w:rsidR="0078645D" w:rsidRPr="0078645D" w:rsidRDefault="0078645D" w:rsidP="0078645D">
      <w:pPr>
        <w:autoSpaceDE w:val="0"/>
        <w:autoSpaceDN w:val="0"/>
        <w:adjustRightInd w:val="0"/>
        <w:spacing w:line="240" w:lineRule="auto"/>
        <w:rPr>
          <w:rFonts w:eastAsia="Calibri"/>
          <w:i/>
          <w:iCs/>
          <w:color w:val="000000" w:themeColor="text1"/>
        </w:rPr>
      </w:pPr>
    </w:p>
    <w:p w14:paraId="78DBE1B8" w14:textId="152A533D" w:rsidR="0078645D" w:rsidRPr="0078645D" w:rsidRDefault="0078645D" w:rsidP="0078645D">
      <w:pPr>
        <w:autoSpaceDE w:val="0"/>
        <w:autoSpaceDN w:val="0"/>
        <w:adjustRightInd w:val="0"/>
        <w:spacing w:line="240" w:lineRule="auto"/>
        <w:rPr>
          <w:rFonts w:eastAsia="Calibri"/>
          <w:b/>
          <w:bCs/>
          <w:color w:val="000000" w:themeColor="text1"/>
        </w:rPr>
      </w:pPr>
      <w:r w:rsidRPr="0078645D">
        <w:rPr>
          <w:rFonts w:eastAsia="Calibri"/>
          <w:b/>
          <w:bCs/>
          <w:color w:val="000000" w:themeColor="text1"/>
        </w:rPr>
        <w:t>6</w:t>
      </w:r>
      <w:r w:rsidR="00E824EE">
        <w:rPr>
          <w:rFonts w:eastAsia="Calibri"/>
          <w:b/>
          <w:bCs/>
          <w:color w:val="000000" w:themeColor="text1"/>
        </w:rPr>
        <w:t>7</w:t>
      </w:r>
      <w:r w:rsidRPr="0078645D">
        <w:rPr>
          <w:rFonts w:eastAsia="Calibri"/>
          <w:b/>
          <w:bCs/>
          <w:color w:val="000000" w:themeColor="text1"/>
        </w:rPr>
        <w:t>. Are there any changes to the medical event reporting criteria for brachytherapy other than permanent implant brachytherapy?</w:t>
      </w:r>
    </w:p>
    <w:p w14:paraId="266F4B41" w14:textId="77777777" w:rsidR="0078645D" w:rsidRPr="0078645D" w:rsidRDefault="0078645D" w:rsidP="0078645D">
      <w:pPr>
        <w:autoSpaceDE w:val="0"/>
        <w:autoSpaceDN w:val="0"/>
        <w:adjustRightInd w:val="0"/>
        <w:spacing w:line="240" w:lineRule="auto"/>
        <w:rPr>
          <w:rFonts w:eastAsia="Calibri"/>
          <w:b/>
          <w:bCs/>
          <w:color w:val="000000" w:themeColor="text1"/>
        </w:rPr>
      </w:pPr>
    </w:p>
    <w:p w14:paraId="16A6B663" w14:textId="77777777" w:rsidR="0078645D" w:rsidRPr="0078645D" w:rsidRDefault="0078645D" w:rsidP="0078645D">
      <w:pPr>
        <w:autoSpaceDE w:val="0"/>
        <w:autoSpaceDN w:val="0"/>
        <w:adjustRightInd w:val="0"/>
        <w:spacing w:line="240" w:lineRule="auto"/>
        <w:rPr>
          <w:rFonts w:eastAsia="Calibri"/>
          <w:b/>
          <w:bCs/>
          <w:color w:val="000000" w:themeColor="text1"/>
        </w:rPr>
      </w:pPr>
      <w:r w:rsidRPr="0078645D">
        <w:rPr>
          <w:rFonts w:eastAsia="Calibri"/>
          <w:i/>
          <w:iCs/>
          <w:color w:val="000000" w:themeColor="text1"/>
        </w:rPr>
        <w:t>Yes.  Implantation of sealed sources containing the wrong radionuclide is now a medical event reporting criterion under 10 CFR 35.3045(a)(1)(ii)(A).</w:t>
      </w:r>
    </w:p>
    <w:p w14:paraId="14AFA92B" w14:textId="77777777" w:rsidR="0078645D" w:rsidRPr="0078645D" w:rsidRDefault="0078645D" w:rsidP="0078645D">
      <w:pPr>
        <w:tabs>
          <w:tab w:val="left" w:pos="360"/>
          <w:tab w:val="left" w:pos="720"/>
          <w:tab w:val="left" w:pos="1080"/>
        </w:tabs>
        <w:spacing w:line="240" w:lineRule="auto"/>
        <w:rPr>
          <w:i/>
          <w:highlight w:val="yellow"/>
        </w:rPr>
      </w:pPr>
    </w:p>
    <w:p w14:paraId="31F988C0" w14:textId="7A94A3FA" w:rsidR="0078645D" w:rsidRPr="0078645D" w:rsidRDefault="0078645D" w:rsidP="0078645D">
      <w:pPr>
        <w:tabs>
          <w:tab w:val="left" w:pos="360"/>
          <w:tab w:val="left" w:pos="720"/>
          <w:tab w:val="left" w:pos="1080"/>
        </w:tabs>
        <w:spacing w:line="240" w:lineRule="auto"/>
        <w:rPr>
          <w:b/>
          <w:color w:val="000000" w:themeColor="text1"/>
        </w:rPr>
      </w:pPr>
      <w:r w:rsidRPr="0078645D">
        <w:rPr>
          <w:b/>
          <w:color w:val="000000" w:themeColor="text1"/>
        </w:rPr>
        <w:t>6</w:t>
      </w:r>
      <w:r w:rsidR="00E824EE">
        <w:rPr>
          <w:b/>
          <w:color w:val="000000" w:themeColor="text1"/>
        </w:rPr>
        <w:t>8</w:t>
      </w:r>
      <w:r w:rsidRPr="0078645D">
        <w:rPr>
          <w:b/>
          <w:color w:val="000000" w:themeColor="text1"/>
        </w:rPr>
        <w:t>.</w:t>
      </w:r>
      <w:r w:rsidRPr="0078645D">
        <w:rPr>
          <w:b/>
          <w:color w:val="000000" w:themeColor="text1"/>
        </w:rPr>
        <w:tab/>
        <w:t xml:space="preserve">10 CFR 35.3045(a)(2)(iii)(C) lists </w:t>
      </w:r>
      <w:r w:rsidR="00DA4E3C">
        <w:rPr>
          <w:b/>
          <w:color w:val="000000" w:themeColor="text1"/>
        </w:rPr>
        <w:t xml:space="preserve">the </w:t>
      </w:r>
      <w:r w:rsidRPr="0078645D">
        <w:rPr>
          <w:b/>
          <w:color w:val="000000" w:themeColor="text1"/>
        </w:rPr>
        <w:t>medical event criteria for permanent implant brachytherapy for administrations involving sealed sources implanted into a location “discontiguous” from the treatment site as documented in the post-implantation portion of the written directive.  What does “discontiguous” mean?</w:t>
      </w:r>
    </w:p>
    <w:p w14:paraId="4CFFF515" w14:textId="77777777" w:rsidR="0078645D" w:rsidRPr="0078645D" w:rsidRDefault="0078645D" w:rsidP="0078645D">
      <w:pPr>
        <w:tabs>
          <w:tab w:val="left" w:pos="360"/>
          <w:tab w:val="left" w:pos="720"/>
          <w:tab w:val="left" w:pos="1080"/>
        </w:tabs>
        <w:spacing w:line="240" w:lineRule="auto"/>
        <w:rPr>
          <w:i/>
        </w:rPr>
      </w:pPr>
    </w:p>
    <w:p w14:paraId="1269FD79" w14:textId="77777777" w:rsidR="0078645D" w:rsidRPr="0078645D" w:rsidRDefault="0078645D" w:rsidP="0078645D">
      <w:pPr>
        <w:tabs>
          <w:tab w:val="left" w:pos="360"/>
          <w:tab w:val="left" w:pos="720"/>
          <w:tab w:val="left" w:pos="1080"/>
        </w:tabs>
        <w:spacing w:line="240" w:lineRule="auto"/>
        <w:rPr>
          <w:i/>
          <w:highlight w:val="yellow"/>
        </w:rPr>
      </w:pPr>
      <w:r w:rsidRPr="0078645D">
        <w:rPr>
          <w:i/>
        </w:rPr>
        <w:t>Discontiguous in general terms is used to describe things that are not contiguous in space, things that are not adjacent or touching, and things that have a gap in between or are disconnected or separate.  As it relates to the medical event criteria for permanent implant brachytherapy, discontiguous means a location that is not physically adjacent to or touching the treatment site.</w:t>
      </w:r>
    </w:p>
    <w:p w14:paraId="072DD271" w14:textId="77777777" w:rsidR="0078645D" w:rsidRPr="0078645D" w:rsidRDefault="0078645D" w:rsidP="0078645D">
      <w:pPr>
        <w:tabs>
          <w:tab w:val="left" w:pos="360"/>
          <w:tab w:val="left" w:pos="720"/>
          <w:tab w:val="left" w:pos="1080"/>
        </w:tabs>
        <w:autoSpaceDE w:val="0"/>
        <w:autoSpaceDN w:val="0"/>
        <w:adjustRightInd w:val="0"/>
        <w:spacing w:line="240" w:lineRule="auto"/>
        <w:rPr>
          <w:b/>
          <w:color w:val="000000"/>
        </w:rPr>
      </w:pPr>
    </w:p>
    <w:p w14:paraId="03EEF778" w14:textId="257F973F" w:rsidR="0078645D" w:rsidRPr="0078645D" w:rsidRDefault="00E824EE" w:rsidP="0078645D">
      <w:pPr>
        <w:tabs>
          <w:tab w:val="left" w:pos="360"/>
          <w:tab w:val="left" w:pos="720"/>
          <w:tab w:val="left" w:pos="1080"/>
        </w:tabs>
        <w:autoSpaceDE w:val="0"/>
        <w:autoSpaceDN w:val="0"/>
        <w:adjustRightInd w:val="0"/>
        <w:spacing w:line="240" w:lineRule="auto"/>
        <w:rPr>
          <w:b/>
          <w:color w:val="000000"/>
        </w:rPr>
      </w:pPr>
      <w:r>
        <w:rPr>
          <w:b/>
          <w:color w:val="000000"/>
        </w:rPr>
        <w:t>69</w:t>
      </w:r>
      <w:r w:rsidR="0078645D" w:rsidRPr="0078645D">
        <w:rPr>
          <w:b/>
          <w:color w:val="000000"/>
        </w:rPr>
        <w:t>. Suppose that during a prostate implantation procedure several sealed sources are deposited into the adjacent urinary bladder, instead of into tissue comprising the intended treatment site.  Also, suppose that the incorrect placement of those sources is promptly identified and the sources are removed before the implantation procedure is completed and all the other sources were implanted in the treatment site defined in the written directive.  Does this occurrence require reporting as a medical event?</w:t>
      </w:r>
    </w:p>
    <w:p w14:paraId="019875D6" w14:textId="77777777" w:rsidR="0078645D" w:rsidRPr="0078645D" w:rsidRDefault="0078645D" w:rsidP="0078645D">
      <w:pPr>
        <w:tabs>
          <w:tab w:val="left" w:pos="360"/>
          <w:tab w:val="left" w:pos="720"/>
          <w:tab w:val="left" w:pos="1080"/>
        </w:tabs>
        <w:autoSpaceDE w:val="0"/>
        <w:autoSpaceDN w:val="0"/>
        <w:adjustRightInd w:val="0"/>
        <w:spacing w:line="240" w:lineRule="auto"/>
        <w:rPr>
          <w:i/>
          <w:color w:val="000000"/>
        </w:rPr>
      </w:pPr>
    </w:p>
    <w:p w14:paraId="50ED51E8" w14:textId="79B6CF1A" w:rsidR="0078645D" w:rsidRPr="0078645D" w:rsidRDefault="0078645D" w:rsidP="0078645D">
      <w:pPr>
        <w:tabs>
          <w:tab w:val="left" w:pos="360"/>
          <w:tab w:val="left" w:pos="720"/>
          <w:tab w:val="left" w:pos="1080"/>
        </w:tabs>
        <w:autoSpaceDE w:val="0"/>
        <w:autoSpaceDN w:val="0"/>
        <w:adjustRightInd w:val="0"/>
        <w:spacing w:line="240" w:lineRule="auto"/>
        <w:rPr>
          <w:i/>
          <w:color w:val="000000"/>
        </w:rPr>
      </w:pPr>
      <w:r w:rsidRPr="0078645D">
        <w:rPr>
          <w:i/>
          <w:color w:val="000000"/>
        </w:rPr>
        <w:t>No, if the sources were removed before the post-implant</w:t>
      </w:r>
      <w:r w:rsidR="005C43E4">
        <w:rPr>
          <w:i/>
          <w:color w:val="000000"/>
        </w:rPr>
        <w:t>ation</w:t>
      </w:r>
      <w:r w:rsidRPr="0078645D">
        <w:rPr>
          <w:i/>
          <w:color w:val="000000"/>
        </w:rPr>
        <w:t xml:space="preserve"> portion of the written directive was completed</w:t>
      </w:r>
      <w:r w:rsidR="005C43E4">
        <w:rPr>
          <w:i/>
          <w:color w:val="000000"/>
        </w:rPr>
        <w:t>,</w:t>
      </w:r>
      <w:r w:rsidRPr="0078645D">
        <w:rPr>
          <w:i/>
          <w:color w:val="000000"/>
        </w:rPr>
        <w:t xml:space="preserve"> and </w:t>
      </w:r>
      <w:r w:rsidR="005C43E4">
        <w:rPr>
          <w:i/>
          <w:color w:val="000000"/>
        </w:rPr>
        <w:t xml:space="preserve">if </w:t>
      </w:r>
      <w:r w:rsidRPr="0078645D">
        <w:rPr>
          <w:i/>
          <w:color w:val="000000"/>
        </w:rPr>
        <w:t xml:space="preserve">the total activity in the treatment site </w:t>
      </w:r>
      <w:r w:rsidR="004432B4">
        <w:rPr>
          <w:i/>
          <w:color w:val="000000"/>
        </w:rPr>
        <w:t>w</w:t>
      </w:r>
      <w:r w:rsidRPr="0078645D">
        <w:rPr>
          <w:i/>
          <w:color w:val="000000"/>
        </w:rPr>
        <w:t>as revised to include only those seeds implanted in the treatment site</w:t>
      </w:r>
      <w:r w:rsidR="005C43E4">
        <w:rPr>
          <w:i/>
          <w:color w:val="000000"/>
        </w:rPr>
        <w:t xml:space="preserve">, </w:t>
      </w:r>
      <w:r w:rsidR="004432B4">
        <w:rPr>
          <w:i/>
          <w:color w:val="000000"/>
        </w:rPr>
        <w:t xml:space="preserve">this </w:t>
      </w:r>
      <w:r w:rsidR="005C43E4">
        <w:rPr>
          <w:i/>
          <w:color w:val="000000"/>
        </w:rPr>
        <w:t>does not comprise a medical event</w:t>
      </w:r>
      <w:r w:rsidRPr="0078645D">
        <w:rPr>
          <w:i/>
          <w:color w:val="000000"/>
        </w:rPr>
        <w:t>.</w:t>
      </w:r>
    </w:p>
    <w:p w14:paraId="3B6C0FD8" w14:textId="77777777" w:rsidR="0078645D" w:rsidRPr="0078645D" w:rsidRDefault="0078645D" w:rsidP="0078645D">
      <w:pPr>
        <w:tabs>
          <w:tab w:val="left" w:pos="360"/>
          <w:tab w:val="left" w:pos="720"/>
          <w:tab w:val="left" w:pos="1080"/>
        </w:tabs>
        <w:autoSpaceDE w:val="0"/>
        <w:autoSpaceDN w:val="0"/>
        <w:adjustRightInd w:val="0"/>
        <w:spacing w:line="240" w:lineRule="auto"/>
        <w:rPr>
          <w:i/>
          <w:color w:val="000000"/>
          <w:highlight w:val="yellow"/>
        </w:rPr>
      </w:pPr>
      <w:r w:rsidRPr="0078645D">
        <w:rPr>
          <w:i/>
          <w:color w:val="000000"/>
          <w:highlight w:val="yellow"/>
        </w:rPr>
        <w:t xml:space="preserve"> </w:t>
      </w:r>
    </w:p>
    <w:p w14:paraId="3BA89940" w14:textId="0BE0B986" w:rsidR="0078645D" w:rsidRPr="0078645D" w:rsidRDefault="0078645D" w:rsidP="0078645D">
      <w:pPr>
        <w:spacing w:line="240" w:lineRule="auto"/>
        <w:rPr>
          <w:b/>
        </w:rPr>
      </w:pPr>
      <w:r w:rsidRPr="0078645D">
        <w:rPr>
          <w:b/>
        </w:rPr>
        <w:t>7</w:t>
      </w:r>
      <w:r w:rsidR="00E824EE">
        <w:rPr>
          <w:b/>
        </w:rPr>
        <w:t>0</w:t>
      </w:r>
      <w:r w:rsidRPr="0078645D">
        <w:rPr>
          <w:b/>
        </w:rPr>
        <w:t>.</w:t>
      </w:r>
      <w:r w:rsidRPr="0078645D">
        <w:t xml:space="preserve">  </w:t>
      </w:r>
      <w:r w:rsidRPr="0078645D">
        <w:rPr>
          <w:b/>
        </w:rPr>
        <w:t>Assume that during a permanent implant brachytherapy procedure one or more sources are directly deposited into tissue in a location near but discontiguous from the treatment site described in the post-implant written directive.  Has a reportable medical event occurred?</w:t>
      </w:r>
    </w:p>
    <w:p w14:paraId="4E0C068A" w14:textId="77777777" w:rsidR="0078645D" w:rsidRPr="0078645D" w:rsidRDefault="0078645D" w:rsidP="0078645D">
      <w:pPr>
        <w:spacing w:line="240" w:lineRule="auto"/>
      </w:pPr>
    </w:p>
    <w:p w14:paraId="3E63B140" w14:textId="77777777" w:rsidR="0078645D" w:rsidRPr="0078645D" w:rsidRDefault="0078645D" w:rsidP="0078645D">
      <w:pPr>
        <w:spacing w:line="240" w:lineRule="auto"/>
        <w:rPr>
          <w:i/>
        </w:rPr>
      </w:pPr>
      <w:r w:rsidRPr="0078645D">
        <w:rPr>
          <w:i/>
        </w:rPr>
        <w:t xml:space="preserve">Yes, this occurrence is a reportable medical event under the provisions of 10 CFR 35.3045(a)(2)(iii)(C), as a source was directly delivered to location discontiguous from the treatment site as documented in the post-implant written directive. </w:t>
      </w:r>
    </w:p>
    <w:p w14:paraId="1193CB48" w14:textId="77777777" w:rsidR="0078645D" w:rsidRPr="0078645D" w:rsidRDefault="0078645D" w:rsidP="0078645D">
      <w:pPr>
        <w:spacing w:line="240" w:lineRule="auto"/>
        <w:rPr>
          <w:i/>
        </w:rPr>
      </w:pPr>
      <w:r w:rsidRPr="0078645D">
        <w:rPr>
          <w:i/>
        </w:rPr>
        <w:t xml:space="preserve"> </w:t>
      </w:r>
    </w:p>
    <w:p w14:paraId="6DEA3343" w14:textId="188EE3BD" w:rsidR="0078645D" w:rsidRPr="0078645D" w:rsidRDefault="0078645D" w:rsidP="0078645D">
      <w:pPr>
        <w:autoSpaceDE w:val="0"/>
        <w:autoSpaceDN w:val="0"/>
        <w:adjustRightInd w:val="0"/>
        <w:spacing w:line="240" w:lineRule="auto"/>
        <w:rPr>
          <w:rFonts w:eastAsia="Calibri"/>
          <w:b/>
          <w:bCs/>
          <w:color w:val="000000" w:themeColor="text1"/>
        </w:rPr>
      </w:pPr>
      <w:r w:rsidRPr="0078645D">
        <w:rPr>
          <w:rFonts w:eastAsia="Calibri"/>
          <w:b/>
          <w:bCs/>
          <w:color w:val="000000" w:themeColor="text1"/>
        </w:rPr>
        <w:t>7</w:t>
      </w:r>
      <w:r w:rsidR="00E824EE">
        <w:rPr>
          <w:rFonts w:eastAsia="Calibri"/>
          <w:b/>
          <w:bCs/>
          <w:color w:val="000000" w:themeColor="text1"/>
        </w:rPr>
        <w:t>1</w:t>
      </w:r>
      <w:r w:rsidRPr="0078645D">
        <w:rPr>
          <w:rFonts w:eastAsia="Calibri"/>
          <w:b/>
          <w:bCs/>
          <w:color w:val="000000" w:themeColor="text1"/>
        </w:rPr>
        <w:t>. Assume that during a permanent implant brachytherapy procedure one or more sources are directly deposited into a far location discontiguous from the treatment site.  Also, assume that the total source strength administered outside of the treatment site did not exceed 20% of the total source strength documented in the post implantation portion of the written directive.  Has a reportable medical event occurred?</w:t>
      </w:r>
    </w:p>
    <w:p w14:paraId="4CBD94B0" w14:textId="77777777" w:rsidR="0078645D" w:rsidRPr="0078645D" w:rsidRDefault="0078645D" w:rsidP="0078645D">
      <w:pPr>
        <w:autoSpaceDE w:val="0"/>
        <w:autoSpaceDN w:val="0"/>
        <w:adjustRightInd w:val="0"/>
        <w:spacing w:line="240" w:lineRule="auto"/>
        <w:rPr>
          <w:rFonts w:eastAsia="Calibri"/>
          <w:b/>
          <w:bCs/>
          <w:color w:val="000000" w:themeColor="text1"/>
        </w:rPr>
      </w:pPr>
    </w:p>
    <w:p w14:paraId="1FFE0DD0" w14:textId="44E7AFF8" w:rsidR="0078645D" w:rsidRPr="0078645D" w:rsidRDefault="0078645D" w:rsidP="0078645D">
      <w:pPr>
        <w:autoSpaceDE w:val="0"/>
        <w:autoSpaceDN w:val="0"/>
        <w:adjustRightInd w:val="0"/>
        <w:spacing w:line="240" w:lineRule="auto"/>
        <w:rPr>
          <w:rFonts w:eastAsia="Calibri"/>
          <w:i/>
          <w:iCs/>
          <w:color w:val="000000" w:themeColor="text1"/>
        </w:rPr>
      </w:pPr>
      <w:r w:rsidRPr="0078645D">
        <w:rPr>
          <w:rFonts w:eastAsia="Calibri"/>
          <w:i/>
          <w:iCs/>
          <w:color w:val="000000" w:themeColor="text1"/>
        </w:rPr>
        <w:t xml:space="preserve">Yes, this occurrence is a reportable medical event under the provisions of 10 CFR 35.3045(a)(2)(iii)(C), as a source was directly implanted into a location discontiguous from the the treatment site, as defined in the post implant written directive.  Although the total strength administered outside of the treatment site was </w:t>
      </w:r>
      <w:r w:rsidR="005C43E4">
        <w:rPr>
          <w:rFonts w:eastAsia="Calibri"/>
          <w:i/>
          <w:iCs/>
          <w:color w:val="000000" w:themeColor="text1"/>
        </w:rPr>
        <w:t>less than 20% of the total source strength</w:t>
      </w:r>
      <w:r w:rsidRPr="0078645D">
        <w:rPr>
          <w:rFonts w:eastAsia="Calibri"/>
          <w:i/>
          <w:iCs/>
          <w:color w:val="000000" w:themeColor="text1"/>
        </w:rPr>
        <w:t>, this is an example of a case of where a medical event would have occurred because one source met the discontiguous or wrong treatment site criterion</w:t>
      </w:r>
      <w:r w:rsidR="005C43E4">
        <w:rPr>
          <w:rFonts w:eastAsia="Calibri"/>
          <w:i/>
          <w:iCs/>
          <w:color w:val="000000" w:themeColor="text1"/>
        </w:rPr>
        <w:t xml:space="preserve"> for a medical event</w:t>
      </w:r>
      <w:r w:rsidRPr="0078645D">
        <w:rPr>
          <w:rFonts w:eastAsia="Calibri"/>
          <w:i/>
          <w:iCs/>
          <w:color w:val="000000" w:themeColor="text1"/>
        </w:rPr>
        <w:t>.</w:t>
      </w:r>
    </w:p>
    <w:p w14:paraId="7064B149" w14:textId="77777777" w:rsidR="0078645D" w:rsidRPr="0078645D" w:rsidRDefault="0078645D" w:rsidP="0078645D">
      <w:pPr>
        <w:spacing w:line="240" w:lineRule="auto"/>
        <w:rPr>
          <w:i/>
        </w:rPr>
      </w:pPr>
    </w:p>
    <w:p w14:paraId="61F23DB8" w14:textId="338A6F0B" w:rsidR="0078645D" w:rsidRPr="0078645D" w:rsidRDefault="0078645D" w:rsidP="0078645D">
      <w:pPr>
        <w:spacing w:line="240" w:lineRule="auto"/>
        <w:rPr>
          <w:b/>
        </w:rPr>
      </w:pPr>
      <w:r w:rsidRPr="0078645D">
        <w:rPr>
          <w:b/>
        </w:rPr>
        <w:t>7</w:t>
      </w:r>
      <w:r w:rsidR="00E824EE">
        <w:rPr>
          <w:b/>
        </w:rPr>
        <w:t>2</w:t>
      </w:r>
      <w:r w:rsidRPr="0078645D">
        <w:rPr>
          <w:b/>
        </w:rPr>
        <w:t xml:space="preserve">.  Assume that during a permanent implant brachytherapy procedure one or more sources are directly deposited into contiguous tissue outside of the treatment site described in the post-implant written directive.  Also assume that the total source strength administered differs by less than 20 percent from the total source strength documented in the post-implantation written directive, </w:t>
      </w:r>
      <w:r w:rsidR="005C43E4">
        <w:rPr>
          <w:b/>
        </w:rPr>
        <w:t xml:space="preserve">and that </w:t>
      </w:r>
      <w:r w:rsidRPr="0078645D">
        <w:rPr>
          <w:b/>
        </w:rPr>
        <w:t>the total source strength administered outside of the treatment site differs by less than 20 percent from the total source strength documented in the post-implantation written directive.  Has a reportable medical event occurred?</w:t>
      </w:r>
    </w:p>
    <w:p w14:paraId="2536B3F5" w14:textId="77777777" w:rsidR="0078645D" w:rsidRPr="0078645D" w:rsidRDefault="0078645D" w:rsidP="0078645D">
      <w:pPr>
        <w:spacing w:line="240" w:lineRule="auto"/>
      </w:pPr>
    </w:p>
    <w:p w14:paraId="3EA27800" w14:textId="6503FFB2" w:rsidR="0078645D" w:rsidRPr="0078645D" w:rsidRDefault="0078645D" w:rsidP="0078645D">
      <w:pPr>
        <w:spacing w:line="240" w:lineRule="auto"/>
        <w:rPr>
          <w:i/>
        </w:rPr>
      </w:pPr>
      <w:r w:rsidRPr="0078645D">
        <w:rPr>
          <w:i/>
        </w:rPr>
        <w:t xml:space="preserve">No, this occurrence is not a reportable medical event.  Implantation of sources into tissue outside but contiguous with the treatment site described in the post implant written directive is not considered under the medical event provision of 10 CFR 35.3045(a)(2)(iii)(C) as “directly delivered to the discontiguous from the treatment site,” nor has any other criteria under </w:t>
      </w:r>
      <w:r w:rsidR="008502E9" w:rsidRPr="0078645D">
        <w:rPr>
          <w:i/>
        </w:rPr>
        <w:t xml:space="preserve">10 CFR  </w:t>
      </w:r>
      <w:r w:rsidRPr="0078645D">
        <w:rPr>
          <w:i/>
        </w:rPr>
        <w:t>35.3045(a)(2) been met.</w:t>
      </w:r>
    </w:p>
    <w:p w14:paraId="79E2621A" w14:textId="77777777" w:rsidR="0078645D" w:rsidRPr="0078645D" w:rsidRDefault="0078645D" w:rsidP="0078645D">
      <w:pPr>
        <w:tabs>
          <w:tab w:val="left" w:pos="360"/>
          <w:tab w:val="left" w:pos="720"/>
          <w:tab w:val="left" w:pos="1080"/>
        </w:tabs>
        <w:autoSpaceDE w:val="0"/>
        <w:autoSpaceDN w:val="0"/>
        <w:adjustRightInd w:val="0"/>
        <w:spacing w:line="240" w:lineRule="auto"/>
        <w:rPr>
          <w:b/>
          <w:color w:val="000000"/>
        </w:rPr>
      </w:pPr>
    </w:p>
    <w:p w14:paraId="7CDA71EF" w14:textId="0F741582" w:rsidR="0078645D" w:rsidRPr="0078645D" w:rsidRDefault="0078645D" w:rsidP="0078645D">
      <w:pPr>
        <w:autoSpaceDE w:val="0"/>
        <w:autoSpaceDN w:val="0"/>
        <w:adjustRightInd w:val="0"/>
        <w:spacing w:line="240" w:lineRule="auto"/>
        <w:rPr>
          <w:rFonts w:eastAsia="Calibri"/>
          <w:b/>
          <w:bCs/>
          <w:color w:val="000000" w:themeColor="text1"/>
        </w:rPr>
      </w:pPr>
      <w:r w:rsidRPr="0078645D">
        <w:rPr>
          <w:rFonts w:eastAsia="Calibri"/>
          <w:b/>
          <w:bCs/>
          <w:color w:val="000000" w:themeColor="text1"/>
        </w:rPr>
        <w:t>7</w:t>
      </w:r>
      <w:r w:rsidR="00E824EE">
        <w:rPr>
          <w:rFonts w:eastAsia="Calibri"/>
          <w:b/>
          <w:bCs/>
          <w:color w:val="000000" w:themeColor="text1"/>
        </w:rPr>
        <w:t>3</w:t>
      </w:r>
      <w:r w:rsidRPr="0078645D">
        <w:rPr>
          <w:rFonts w:eastAsia="Calibri"/>
          <w:b/>
          <w:bCs/>
          <w:color w:val="000000" w:themeColor="text1"/>
        </w:rPr>
        <w:t>. The medical event (ME) reporting criterion for the treatment site in permanent implant brachytherapy, 10 CFR 35.4035(a)(2)(i), does not include significant deviations of actual source placement within the treatment site volume relative to the intended source placement within the treatment site volume, which may impact the intended absorbed dose to the treatment site.  For example, a physician authorized user prescribes a number of sources to be positioned in the treatment site volume at various intended positions to achieve the intended treatment site volume absorbed dose to treat cancer.  During placement of the sources, 100 percent of the prescribed number of sources are positioned in the treatment site volume; however, most of the sources are placed in a small area within the treatment site volume such that the positions of most of the sources differ significantly from the intended positions to achieve the intended absorbed dose.  As a result, a portion of the treatment site that is a distance away from the area containing most of the implanted sources receives significantly less absorbed dose than intended.  Do these deviations in source positioning constitute a medical event?</w:t>
      </w:r>
    </w:p>
    <w:p w14:paraId="6351CCA4" w14:textId="77777777" w:rsidR="0078645D" w:rsidRPr="0078645D" w:rsidRDefault="0078645D" w:rsidP="0078645D">
      <w:pPr>
        <w:autoSpaceDE w:val="0"/>
        <w:autoSpaceDN w:val="0"/>
        <w:adjustRightInd w:val="0"/>
        <w:spacing w:line="240" w:lineRule="auto"/>
        <w:rPr>
          <w:rFonts w:eastAsia="Calibri"/>
          <w:b/>
          <w:bCs/>
          <w:color w:val="000000" w:themeColor="text1"/>
        </w:rPr>
      </w:pPr>
    </w:p>
    <w:p w14:paraId="5424A24B" w14:textId="1A4B1C4B" w:rsidR="0078645D" w:rsidRPr="0078645D" w:rsidRDefault="005C43E4" w:rsidP="0078645D">
      <w:pPr>
        <w:autoSpaceDE w:val="0"/>
        <w:autoSpaceDN w:val="0"/>
        <w:adjustRightInd w:val="0"/>
        <w:spacing w:line="240" w:lineRule="auto"/>
        <w:rPr>
          <w:rFonts w:eastAsia="Calibri"/>
          <w:i/>
          <w:iCs/>
          <w:color w:val="000000" w:themeColor="text1"/>
        </w:rPr>
      </w:pPr>
      <w:r>
        <w:rPr>
          <w:rFonts w:eastAsia="Calibri"/>
          <w:i/>
          <w:iCs/>
          <w:color w:val="000000" w:themeColor="text1"/>
        </w:rPr>
        <w:t xml:space="preserve">No.  </w:t>
      </w:r>
      <w:r w:rsidR="0078645D" w:rsidRPr="0078645D">
        <w:rPr>
          <w:rFonts w:eastAsia="Calibri"/>
          <w:i/>
          <w:iCs/>
          <w:color w:val="000000" w:themeColor="text1"/>
        </w:rPr>
        <w:t>The NRC does not consider the details of source placement within the treatment site to be a medical event. In SECY-12-0053, Recommendations on Regulatory Changes for Permanent Implant Brachytherapy Programs (ML12072A299), NRC staff concluded that it is not necessary for an authorized user to affirm, in writing on the written directive after the implant is completed, that the distribution of the sources within the treatment site was as intended per the pre</w:t>
      </w:r>
      <w:r>
        <w:rPr>
          <w:rFonts w:eastAsia="Calibri"/>
          <w:i/>
          <w:iCs/>
          <w:color w:val="000000" w:themeColor="text1"/>
        </w:rPr>
        <w:t>-</w:t>
      </w:r>
      <w:r w:rsidR="0078645D" w:rsidRPr="0078645D">
        <w:rPr>
          <w:rFonts w:eastAsia="Calibri"/>
          <w:i/>
          <w:iCs/>
          <w:color w:val="000000" w:themeColor="text1"/>
        </w:rPr>
        <w:t>implantation written directive. The Commission approved the staff’s recommendations in SRM SECY-12-0053 (ML122260211).</w:t>
      </w:r>
    </w:p>
    <w:p w14:paraId="1C72F49C" w14:textId="77777777" w:rsidR="0078645D" w:rsidRPr="0078645D" w:rsidRDefault="0078645D" w:rsidP="0078645D">
      <w:pPr>
        <w:autoSpaceDE w:val="0"/>
        <w:autoSpaceDN w:val="0"/>
        <w:adjustRightInd w:val="0"/>
        <w:spacing w:line="240" w:lineRule="auto"/>
        <w:rPr>
          <w:rFonts w:eastAsia="Calibri"/>
          <w:i/>
          <w:iCs/>
          <w:color w:val="000000" w:themeColor="text1"/>
        </w:rPr>
      </w:pPr>
    </w:p>
    <w:p w14:paraId="011EC497" w14:textId="7369DACA" w:rsidR="0078645D" w:rsidRPr="0078645D" w:rsidRDefault="0078645D" w:rsidP="0078645D">
      <w:pPr>
        <w:autoSpaceDE w:val="0"/>
        <w:autoSpaceDN w:val="0"/>
        <w:adjustRightInd w:val="0"/>
        <w:spacing w:line="240" w:lineRule="auto"/>
        <w:rPr>
          <w:rFonts w:eastAsia="Calibri"/>
          <w:i/>
          <w:iCs/>
          <w:color w:val="000000" w:themeColor="text1"/>
        </w:rPr>
      </w:pPr>
      <w:r w:rsidRPr="0078645D">
        <w:rPr>
          <w:rFonts w:eastAsia="Calibri"/>
          <w:i/>
          <w:iCs/>
          <w:color w:val="000000" w:themeColor="text1"/>
        </w:rPr>
        <w:t xml:space="preserve">10 CFR 35.40(b)(6)(i) does not require the authorized user to enter intended source placement within the treatment site into the pre-implantation </w:t>
      </w:r>
      <w:r w:rsidR="005C43E4">
        <w:rPr>
          <w:rFonts w:eastAsia="Calibri"/>
          <w:i/>
          <w:iCs/>
          <w:color w:val="000000" w:themeColor="text1"/>
        </w:rPr>
        <w:t xml:space="preserve">portion of the </w:t>
      </w:r>
      <w:r w:rsidRPr="0078645D">
        <w:rPr>
          <w:rFonts w:eastAsia="Calibri"/>
          <w:i/>
          <w:iCs/>
          <w:color w:val="000000" w:themeColor="text1"/>
        </w:rPr>
        <w:t xml:space="preserve">written directive and </w:t>
      </w:r>
      <w:r w:rsidR="002A2450" w:rsidRPr="0078645D">
        <w:rPr>
          <w:i/>
        </w:rPr>
        <w:t>10 CFR </w:t>
      </w:r>
      <w:r w:rsidR="002A2450" w:rsidRPr="0078645D">
        <w:rPr>
          <w:rFonts w:eastAsia="Calibri"/>
          <w:i/>
          <w:iCs/>
          <w:color w:val="000000" w:themeColor="text1"/>
        </w:rPr>
        <w:t xml:space="preserve"> </w:t>
      </w:r>
      <w:r w:rsidRPr="0078645D">
        <w:rPr>
          <w:rFonts w:eastAsia="Calibri"/>
          <w:i/>
          <w:iCs/>
          <w:color w:val="000000" w:themeColor="text1"/>
        </w:rPr>
        <w:t xml:space="preserve">35.40(b)(6)(ii) does not require the authorized user to enter deviations from intended source placement into the post-implantation portion of the written directive.  </w:t>
      </w:r>
    </w:p>
    <w:p w14:paraId="14688603" w14:textId="77777777" w:rsidR="0078645D" w:rsidRPr="0078645D" w:rsidRDefault="0078645D" w:rsidP="0078645D">
      <w:pPr>
        <w:autoSpaceDE w:val="0"/>
        <w:autoSpaceDN w:val="0"/>
        <w:adjustRightInd w:val="0"/>
        <w:spacing w:line="240" w:lineRule="auto"/>
        <w:rPr>
          <w:rFonts w:eastAsia="Calibri"/>
          <w:i/>
          <w:iCs/>
          <w:color w:val="000000" w:themeColor="text1"/>
        </w:rPr>
      </w:pPr>
    </w:p>
    <w:p w14:paraId="08E9DA91" w14:textId="7699E597" w:rsidR="0078645D" w:rsidRPr="0078645D" w:rsidRDefault="0078645D" w:rsidP="0078645D">
      <w:pPr>
        <w:autoSpaceDE w:val="0"/>
        <w:autoSpaceDN w:val="0"/>
        <w:adjustRightInd w:val="0"/>
        <w:spacing w:line="240" w:lineRule="auto"/>
        <w:rPr>
          <w:rFonts w:eastAsia="Calibri"/>
          <w:i/>
          <w:iCs/>
          <w:color w:val="000000" w:themeColor="text1"/>
        </w:rPr>
      </w:pPr>
      <w:r w:rsidRPr="0078645D">
        <w:rPr>
          <w:rFonts w:eastAsia="Calibri"/>
          <w:i/>
          <w:iCs/>
          <w:color w:val="000000" w:themeColor="text1"/>
        </w:rPr>
        <w:t xml:space="preserve">If the actual positioning of implanted sources </w:t>
      </w:r>
      <w:r w:rsidR="005C43E4">
        <w:rPr>
          <w:rFonts w:eastAsia="Calibri"/>
          <w:i/>
          <w:iCs/>
          <w:color w:val="000000" w:themeColor="text1"/>
        </w:rPr>
        <w:t>would</w:t>
      </w:r>
      <w:r w:rsidR="005C43E4" w:rsidRPr="0078645D">
        <w:rPr>
          <w:rFonts w:eastAsia="Calibri"/>
          <w:i/>
          <w:iCs/>
          <w:color w:val="000000" w:themeColor="text1"/>
        </w:rPr>
        <w:t xml:space="preserve"> </w:t>
      </w:r>
      <w:r w:rsidRPr="0078645D">
        <w:rPr>
          <w:rFonts w:eastAsia="Calibri"/>
          <w:i/>
          <w:iCs/>
          <w:color w:val="000000" w:themeColor="text1"/>
        </w:rPr>
        <w:t xml:space="preserve">not result in satisfactory absorbed doses to sections of the treatment site, it is expected that, as part of medical practice, the authorized user will take the actions that he or she deems are appropriate. This may include consideration of the need for additional treatment.  </w:t>
      </w:r>
    </w:p>
    <w:p w14:paraId="0E729182" w14:textId="77777777" w:rsidR="0078645D" w:rsidRPr="0078645D" w:rsidRDefault="0078645D" w:rsidP="0078645D">
      <w:pPr>
        <w:autoSpaceDE w:val="0"/>
        <w:autoSpaceDN w:val="0"/>
        <w:adjustRightInd w:val="0"/>
        <w:spacing w:line="240" w:lineRule="auto"/>
        <w:rPr>
          <w:rFonts w:eastAsia="Calibri"/>
          <w:i/>
          <w:iCs/>
          <w:color w:val="000000" w:themeColor="text1"/>
        </w:rPr>
      </w:pPr>
    </w:p>
    <w:p w14:paraId="5C44D31F" w14:textId="77777777" w:rsidR="0078645D" w:rsidRPr="0078645D" w:rsidRDefault="0078645D" w:rsidP="0078645D">
      <w:pPr>
        <w:autoSpaceDE w:val="0"/>
        <w:autoSpaceDN w:val="0"/>
        <w:adjustRightInd w:val="0"/>
        <w:spacing w:line="240" w:lineRule="auto"/>
        <w:rPr>
          <w:rFonts w:eastAsia="Calibri"/>
          <w:i/>
          <w:iCs/>
          <w:color w:val="000000" w:themeColor="text1"/>
        </w:rPr>
      </w:pPr>
      <w:r w:rsidRPr="0078645D">
        <w:rPr>
          <w:rFonts w:eastAsia="Calibri"/>
          <w:i/>
          <w:iCs/>
          <w:color w:val="000000" w:themeColor="text1"/>
        </w:rPr>
        <w:t>Note: The values in parentheses designate document accession numbers in the NRC’s Agencywide Documents Access and Management System (ADAMS). To locate a referenced document on the NRC website, go to www.nrc.gov and enter the 11-character accession number into the search box in the top right-hand section of the screen.</w:t>
      </w:r>
    </w:p>
    <w:p w14:paraId="576438DF" w14:textId="77777777" w:rsidR="0078645D" w:rsidRPr="0078645D" w:rsidRDefault="0078645D" w:rsidP="0078645D">
      <w:pPr>
        <w:autoSpaceDE w:val="0"/>
        <w:autoSpaceDN w:val="0"/>
        <w:adjustRightInd w:val="0"/>
        <w:spacing w:line="240" w:lineRule="auto"/>
        <w:rPr>
          <w:i/>
          <w:iCs/>
          <w:strike/>
          <w:color w:val="FF0000"/>
        </w:rPr>
      </w:pPr>
    </w:p>
    <w:p w14:paraId="3AE694AF" w14:textId="4E41BD2B" w:rsidR="0078645D" w:rsidRPr="0078645D" w:rsidRDefault="0078645D" w:rsidP="0078645D">
      <w:pPr>
        <w:spacing w:line="240" w:lineRule="auto"/>
        <w:rPr>
          <w:b/>
          <w:iCs/>
        </w:rPr>
      </w:pPr>
      <w:r w:rsidRPr="0078645D">
        <w:rPr>
          <w:b/>
          <w:iCs/>
        </w:rPr>
        <w:t>7</w:t>
      </w:r>
      <w:r w:rsidR="00E824EE">
        <w:rPr>
          <w:b/>
          <w:iCs/>
        </w:rPr>
        <w:t>4</w:t>
      </w:r>
      <w:r w:rsidRPr="0078645D">
        <w:rPr>
          <w:b/>
          <w:iCs/>
        </w:rPr>
        <w:t xml:space="preserve">. </w:t>
      </w:r>
      <w:r w:rsidRPr="0078645D">
        <w:rPr>
          <w:b/>
        </w:rPr>
        <w:t xml:space="preserve"> </w:t>
      </w:r>
      <w:r w:rsidRPr="0078645D">
        <w:rPr>
          <w:b/>
          <w:iCs/>
        </w:rPr>
        <w:t>During a manual brachytherapy implant treatment procedure, sources were implanted correctly into the treatment site, but later migrated to a location outside of the treatment site.  Would this be considered a medical event?</w:t>
      </w:r>
    </w:p>
    <w:p w14:paraId="3AE2D6F7" w14:textId="77777777" w:rsidR="0078645D" w:rsidRPr="0078645D" w:rsidRDefault="0078645D" w:rsidP="0078645D">
      <w:pPr>
        <w:spacing w:line="240" w:lineRule="auto"/>
        <w:rPr>
          <w:iCs/>
        </w:rPr>
      </w:pPr>
    </w:p>
    <w:p w14:paraId="2B5D8FF5" w14:textId="594235D1" w:rsidR="0078645D" w:rsidRPr="0078645D" w:rsidRDefault="0078645D" w:rsidP="0078645D">
      <w:pPr>
        <w:spacing w:line="240" w:lineRule="auto"/>
        <w:rPr>
          <w:i/>
          <w:iCs/>
        </w:rPr>
      </w:pPr>
      <w:r w:rsidRPr="0078645D">
        <w:rPr>
          <w:i/>
          <w:iCs/>
        </w:rPr>
        <w:t xml:space="preserve">No, this would not be considered a medical event.  The migration of sources that were implanted into the correct site is not considered a medical event.  The reporting and notification requirement for permanent implant brachytherapy in 10 CFR 35.3045(a)(2) </w:t>
      </w:r>
      <w:r w:rsidR="005C43E4">
        <w:rPr>
          <w:i/>
          <w:iCs/>
        </w:rPr>
        <w:t>provides that</w:t>
      </w:r>
      <w:r w:rsidRPr="0078645D">
        <w:rPr>
          <w:i/>
          <w:iCs/>
        </w:rPr>
        <w:t xml:space="preserve"> </w:t>
      </w:r>
      <w:r w:rsidR="005C43E4">
        <w:rPr>
          <w:i/>
          <w:iCs/>
        </w:rPr>
        <w:t xml:space="preserve">treatments </w:t>
      </w:r>
      <w:r w:rsidRPr="0078645D">
        <w:rPr>
          <w:i/>
          <w:iCs/>
        </w:rPr>
        <w:t>sources that were implanted in the correct site</w:t>
      </w:r>
      <w:r w:rsidR="005C43E4">
        <w:rPr>
          <w:i/>
          <w:iCs/>
        </w:rPr>
        <w:t>,</w:t>
      </w:r>
      <w:r w:rsidRPr="0078645D">
        <w:rPr>
          <w:i/>
          <w:iCs/>
        </w:rPr>
        <w:t xml:space="preserve"> but migrated outside the treatment site</w:t>
      </w:r>
      <w:r w:rsidR="005C43E4">
        <w:rPr>
          <w:i/>
          <w:iCs/>
        </w:rPr>
        <w:t>, do</w:t>
      </w:r>
      <w:r w:rsidRPr="0078645D">
        <w:rPr>
          <w:i/>
          <w:iCs/>
        </w:rPr>
        <w:t xml:space="preserve"> not </w:t>
      </w:r>
      <w:r w:rsidR="005C43E4">
        <w:rPr>
          <w:i/>
          <w:iCs/>
        </w:rPr>
        <w:t xml:space="preserve">constitute </w:t>
      </w:r>
      <w:r w:rsidRPr="0078645D">
        <w:rPr>
          <w:i/>
          <w:iCs/>
        </w:rPr>
        <w:t>medical event</w:t>
      </w:r>
      <w:r w:rsidR="005C43E4">
        <w:rPr>
          <w:i/>
          <w:iCs/>
        </w:rPr>
        <w:t>s</w:t>
      </w:r>
      <w:r w:rsidRPr="0078645D">
        <w:rPr>
          <w:i/>
          <w:iCs/>
        </w:rPr>
        <w:t>.</w:t>
      </w:r>
    </w:p>
    <w:p w14:paraId="3F6875C2" w14:textId="77777777" w:rsidR="0078645D" w:rsidRPr="0078645D" w:rsidRDefault="0078645D" w:rsidP="0078645D">
      <w:pPr>
        <w:spacing w:line="240" w:lineRule="auto"/>
        <w:rPr>
          <w:i/>
          <w:iCs/>
        </w:rPr>
      </w:pPr>
    </w:p>
    <w:p w14:paraId="257A5F75" w14:textId="4E51A30B" w:rsidR="0078645D" w:rsidRPr="0078645D" w:rsidRDefault="0078645D" w:rsidP="0078645D">
      <w:pPr>
        <w:spacing w:line="240" w:lineRule="auto"/>
        <w:rPr>
          <w:b/>
          <w:i/>
          <w:iCs/>
        </w:rPr>
      </w:pPr>
      <w:r w:rsidRPr="0078645D">
        <w:rPr>
          <w:b/>
          <w:i/>
          <w:iCs/>
        </w:rPr>
        <w:t>7</w:t>
      </w:r>
      <w:r w:rsidR="00E824EE">
        <w:rPr>
          <w:b/>
          <w:i/>
          <w:iCs/>
        </w:rPr>
        <w:t>5</w:t>
      </w:r>
      <w:r w:rsidRPr="0078645D">
        <w:rPr>
          <w:b/>
          <w:i/>
          <w:iCs/>
        </w:rPr>
        <w:t>.  As part of calculating the total source strength for a permanent implant brachytherapy procedure, is the licensee required to check their calculations and assay a portion of the seeds to ensure the total source strength is as ordered?</w:t>
      </w:r>
    </w:p>
    <w:p w14:paraId="62ACC605" w14:textId="77777777" w:rsidR="0078645D" w:rsidRPr="0078645D" w:rsidRDefault="0078645D" w:rsidP="0078645D">
      <w:pPr>
        <w:spacing w:line="240" w:lineRule="auto"/>
        <w:rPr>
          <w:i/>
          <w:iCs/>
        </w:rPr>
      </w:pPr>
    </w:p>
    <w:p w14:paraId="1935A8B4" w14:textId="77777777" w:rsidR="0078645D" w:rsidRDefault="0078645D" w:rsidP="0078645D">
      <w:pPr>
        <w:spacing w:line="240" w:lineRule="auto"/>
        <w:rPr>
          <w:i/>
          <w:iCs/>
        </w:rPr>
      </w:pPr>
      <w:r w:rsidRPr="0078645D">
        <w:rPr>
          <w:i/>
          <w:iCs/>
        </w:rPr>
        <w:t>No, it is only a medical event if the total source strength administered differs from the total source strength documented in the post-implant written directive.  While not required, it is encouraged that the licensee check its calculations and assay a portion of their seeds as these may identify an error in source strength or total source strength.  A licensee may choose to adopt these practice as part their program to provide high confidence that the administration was in accordance with post implant written directive.</w:t>
      </w:r>
    </w:p>
    <w:p w14:paraId="3A95B0AC" w14:textId="77777777" w:rsidR="00594554" w:rsidRDefault="00594554" w:rsidP="0078645D">
      <w:pPr>
        <w:spacing w:line="240" w:lineRule="auto"/>
        <w:rPr>
          <w:i/>
          <w:iCs/>
        </w:rPr>
      </w:pPr>
    </w:p>
    <w:p w14:paraId="1BA78191" w14:textId="77777777" w:rsidR="00594554" w:rsidRDefault="00594554" w:rsidP="0078645D">
      <w:pPr>
        <w:spacing w:line="240" w:lineRule="auto"/>
        <w:rPr>
          <w:i/>
          <w:iCs/>
        </w:rPr>
      </w:pPr>
    </w:p>
    <w:p w14:paraId="04224B4E" w14:textId="77777777" w:rsidR="00594554" w:rsidRDefault="00594554" w:rsidP="0078645D">
      <w:pPr>
        <w:spacing w:line="240" w:lineRule="auto"/>
        <w:rPr>
          <w:i/>
          <w:iCs/>
        </w:rPr>
      </w:pPr>
    </w:p>
    <w:p w14:paraId="32AFA895" w14:textId="77777777" w:rsidR="00594554" w:rsidRDefault="00594554" w:rsidP="0078645D">
      <w:pPr>
        <w:spacing w:line="240" w:lineRule="auto"/>
        <w:rPr>
          <w:i/>
          <w:iCs/>
        </w:rPr>
      </w:pPr>
    </w:p>
    <w:p w14:paraId="17E32D47" w14:textId="77777777" w:rsidR="00594554" w:rsidRDefault="00594554" w:rsidP="0078645D">
      <w:pPr>
        <w:spacing w:line="240" w:lineRule="auto"/>
        <w:rPr>
          <w:i/>
          <w:iCs/>
        </w:rPr>
      </w:pPr>
    </w:p>
    <w:p w14:paraId="014CCBC6" w14:textId="77777777" w:rsidR="00594554" w:rsidRDefault="00594554" w:rsidP="0078645D">
      <w:pPr>
        <w:spacing w:line="240" w:lineRule="auto"/>
        <w:rPr>
          <w:i/>
          <w:iCs/>
        </w:rPr>
        <w:sectPr w:rsidR="00594554" w:rsidSect="00DF1E28">
          <w:footerReference w:type="default" r:id="rId19"/>
          <w:pgSz w:w="12240" w:h="15840"/>
          <w:pgMar w:top="1440" w:right="1440" w:bottom="1440" w:left="1440" w:header="720" w:footer="720" w:gutter="0"/>
          <w:pgNumType w:start="0"/>
          <w:cols w:space="720"/>
          <w:titlePg/>
          <w:docGrid w:linePitch="360"/>
        </w:sectPr>
      </w:pPr>
    </w:p>
    <w:p w14:paraId="7A320946" w14:textId="77777777" w:rsidR="00594554" w:rsidRDefault="00594554" w:rsidP="0078645D">
      <w:pPr>
        <w:spacing w:line="240" w:lineRule="auto"/>
        <w:rPr>
          <w:i/>
          <w:iCs/>
        </w:rPr>
      </w:pPr>
    </w:p>
    <w:p w14:paraId="6C9AB1EC" w14:textId="77777777" w:rsidR="00594554" w:rsidRDefault="00594554" w:rsidP="0078645D">
      <w:pPr>
        <w:spacing w:line="240" w:lineRule="auto"/>
        <w:rPr>
          <w:i/>
          <w:iCs/>
        </w:rPr>
      </w:pPr>
    </w:p>
    <w:p w14:paraId="05A89AE8" w14:textId="77777777" w:rsidR="00594554" w:rsidRDefault="00594554" w:rsidP="0078645D">
      <w:pPr>
        <w:spacing w:line="240" w:lineRule="auto"/>
        <w:rPr>
          <w:i/>
          <w:iCs/>
        </w:rPr>
      </w:pPr>
    </w:p>
    <w:p w14:paraId="304B669C" w14:textId="77777777" w:rsidR="00594554" w:rsidRDefault="00594554" w:rsidP="0078645D">
      <w:pPr>
        <w:spacing w:line="240" w:lineRule="auto"/>
        <w:rPr>
          <w:i/>
          <w:iCs/>
        </w:rPr>
      </w:pPr>
    </w:p>
    <w:p w14:paraId="57AC4E94" w14:textId="77777777" w:rsidR="00594554" w:rsidRDefault="00594554" w:rsidP="0078645D">
      <w:pPr>
        <w:spacing w:line="240" w:lineRule="auto"/>
        <w:rPr>
          <w:i/>
          <w:iCs/>
        </w:rPr>
      </w:pPr>
    </w:p>
    <w:p w14:paraId="084F70CA" w14:textId="77777777" w:rsidR="00594554" w:rsidRDefault="00594554" w:rsidP="0078645D">
      <w:pPr>
        <w:spacing w:line="240" w:lineRule="auto"/>
        <w:rPr>
          <w:i/>
          <w:iCs/>
        </w:rPr>
      </w:pPr>
    </w:p>
    <w:p w14:paraId="6AA6B3DF" w14:textId="77777777" w:rsidR="00594554" w:rsidRDefault="00594554" w:rsidP="00594554">
      <w:pPr>
        <w:jc w:val="center"/>
        <w:rPr>
          <w:b/>
          <w:sz w:val="36"/>
          <w:szCs w:val="36"/>
        </w:rPr>
      </w:pPr>
      <w:r w:rsidRPr="0089467E">
        <w:rPr>
          <w:b/>
          <w:sz w:val="36"/>
          <w:szCs w:val="36"/>
        </w:rPr>
        <w:t>PART 4</w:t>
      </w:r>
    </w:p>
    <w:p w14:paraId="184F5E96" w14:textId="77777777" w:rsidR="00594554" w:rsidRDefault="00594554" w:rsidP="00594554">
      <w:pPr>
        <w:jc w:val="center"/>
        <w:rPr>
          <w:b/>
          <w:sz w:val="36"/>
          <w:szCs w:val="36"/>
        </w:rPr>
      </w:pPr>
    </w:p>
    <w:p w14:paraId="37EC5B89" w14:textId="77777777" w:rsidR="00594554" w:rsidRPr="0089467E" w:rsidRDefault="00594554" w:rsidP="00594554">
      <w:pPr>
        <w:jc w:val="center"/>
        <w:rPr>
          <w:b/>
          <w:sz w:val="36"/>
          <w:szCs w:val="36"/>
        </w:rPr>
      </w:pPr>
    </w:p>
    <w:p w14:paraId="018075B5" w14:textId="77777777" w:rsidR="00594554" w:rsidRPr="0089467E" w:rsidRDefault="00594554" w:rsidP="00594554">
      <w:pPr>
        <w:jc w:val="center"/>
        <w:rPr>
          <w:b/>
          <w:sz w:val="36"/>
          <w:szCs w:val="36"/>
        </w:rPr>
      </w:pPr>
    </w:p>
    <w:p w14:paraId="3830598D" w14:textId="77777777" w:rsidR="00594554" w:rsidRPr="0089467E" w:rsidRDefault="00594554" w:rsidP="00594554">
      <w:pPr>
        <w:jc w:val="center"/>
        <w:rPr>
          <w:b/>
          <w:sz w:val="36"/>
          <w:szCs w:val="36"/>
        </w:rPr>
      </w:pPr>
    </w:p>
    <w:p w14:paraId="31E843ED" w14:textId="77777777" w:rsidR="00594554" w:rsidRDefault="00594554" w:rsidP="00594554">
      <w:pPr>
        <w:jc w:val="center"/>
        <w:rPr>
          <w:b/>
          <w:sz w:val="36"/>
          <w:szCs w:val="36"/>
        </w:rPr>
      </w:pPr>
      <w:r w:rsidRPr="0089467E">
        <w:rPr>
          <w:b/>
          <w:sz w:val="36"/>
          <w:szCs w:val="36"/>
        </w:rPr>
        <w:t xml:space="preserve">Comment Resolution for Proposed Guidance </w:t>
      </w:r>
    </w:p>
    <w:p w14:paraId="3682A7E6" w14:textId="77777777" w:rsidR="00594554" w:rsidRPr="006668BC" w:rsidRDefault="00594554" w:rsidP="00594554">
      <w:pPr>
        <w:jc w:val="center"/>
        <w:rPr>
          <w:b/>
          <w:sz w:val="24"/>
          <w:szCs w:val="24"/>
        </w:rPr>
      </w:pPr>
      <w:r w:rsidRPr="0089467E">
        <w:rPr>
          <w:b/>
          <w:sz w:val="36"/>
          <w:szCs w:val="36"/>
        </w:rPr>
        <w:t>on the Proposed Rule</w:t>
      </w:r>
      <w:r>
        <w:rPr>
          <w:b/>
          <w:sz w:val="36"/>
          <w:szCs w:val="36"/>
        </w:rPr>
        <w:t xml:space="preserve"> </w:t>
      </w:r>
      <w:r w:rsidRPr="0089467E">
        <w:rPr>
          <w:b/>
          <w:sz w:val="36"/>
          <w:szCs w:val="36"/>
        </w:rPr>
        <w:t xml:space="preserve"> “Medical Use of Byproduct Material - Medical Event Definitions, Training and Experience, and Clarifying Amendments</w:t>
      </w:r>
      <w:r w:rsidRPr="006668BC">
        <w:rPr>
          <w:b/>
          <w:sz w:val="24"/>
          <w:szCs w:val="24"/>
        </w:rPr>
        <w:t>”</w:t>
      </w:r>
    </w:p>
    <w:p w14:paraId="4D70035D" w14:textId="77777777" w:rsidR="00594554" w:rsidRDefault="00594554" w:rsidP="00594554"/>
    <w:p w14:paraId="5D3DD456" w14:textId="77777777" w:rsidR="00594554" w:rsidRDefault="00594554" w:rsidP="00594554"/>
    <w:p w14:paraId="2807C102" w14:textId="77777777" w:rsidR="00594554" w:rsidRDefault="00594554" w:rsidP="00594554">
      <w:r>
        <w:br w:type="page"/>
      </w:r>
    </w:p>
    <w:p w14:paraId="4C84346E" w14:textId="77777777" w:rsidR="00E257FD" w:rsidRDefault="00E257FD" w:rsidP="00594554">
      <w:pPr>
        <w:sectPr w:rsidR="00E257FD" w:rsidSect="00DF1E28">
          <w:footerReference w:type="default" r:id="rId20"/>
          <w:pgSz w:w="12240" w:h="15840"/>
          <w:pgMar w:top="1440" w:right="1440" w:bottom="1440" w:left="1440" w:header="720" w:footer="720" w:gutter="0"/>
          <w:pgNumType w:start="0"/>
          <w:cols w:space="720"/>
          <w:titlePg/>
          <w:docGrid w:linePitch="360"/>
        </w:sectPr>
      </w:pPr>
    </w:p>
    <w:p w14:paraId="06DC3D7A" w14:textId="77777777" w:rsidR="00594554" w:rsidRDefault="00594554" w:rsidP="00594554"/>
    <w:p w14:paraId="4A2F18CF" w14:textId="77777777" w:rsidR="00594554" w:rsidRDefault="00594554" w:rsidP="00594554"/>
    <w:p w14:paraId="0BD78C7A" w14:textId="77777777" w:rsidR="00594554" w:rsidRDefault="00594554" w:rsidP="00594554"/>
    <w:p w14:paraId="6734DE8A" w14:textId="77777777" w:rsidR="00594554" w:rsidRDefault="00594554" w:rsidP="00594554"/>
    <w:p w14:paraId="724A3324" w14:textId="77777777" w:rsidR="00594554" w:rsidRDefault="00594554" w:rsidP="00594554"/>
    <w:p w14:paraId="2398D235" w14:textId="77777777" w:rsidR="00594554" w:rsidRDefault="00594554" w:rsidP="00594554"/>
    <w:p w14:paraId="38C504E9" w14:textId="77777777" w:rsidR="00594554" w:rsidRDefault="00594554" w:rsidP="00594554"/>
    <w:p w14:paraId="795A2752" w14:textId="77777777" w:rsidR="00594554" w:rsidRDefault="00594554" w:rsidP="00594554"/>
    <w:p w14:paraId="12A37C56" w14:textId="77777777" w:rsidR="00594554" w:rsidRDefault="00594554" w:rsidP="00594554"/>
    <w:p w14:paraId="24E5B959" w14:textId="77777777" w:rsidR="00594554" w:rsidRDefault="00594554" w:rsidP="00594554"/>
    <w:p w14:paraId="1C045776" w14:textId="77777777" w:rsidR="00594554" w:rsidRDefault="00594554" w:rsidP="00594554"/>
    <w:p w14:paraId="6D9C1252" w14:textId="77777777" w:rsidR="00594554" w:rsidRDefault="00594554" w:rsidP="00594554"/>
    <w:p w14:paraId="1777C66F" w14:textId="77777777" w:rsidR="00594554" w:rsidRDefault="00594554" w:rsidP="00594554"/>
    <w:p w14:paraId="69044080" w14:textId="77777777" w:rsidR="00594554" w:rsidRDefault="00594554" w:rsidP="00594554"/>
    <w:p w14:paraId="632B66D5" w14:textId="77777777" w:rsidR="00594554" w:rsidRDefault="00594554" w:rsidP="00594554"/>
    <w:p w14:paraId="1314EEA5" w14:textId="77777777" w:rsidR="00594554" w:rsidRDefault="00594554" w:rsidP="00594554"/>
    <w:p w14:paraId="2513EDAF" w14:textId="77777777" w:rsidR="00594554" w:rsidRDefault="00594554" w:rsidP="00594554"/>
    <w:p w14:paraId="08921FD4" w14:textId="77777777" w:rsidR="00594554" w:rsidRDefault="00594554" w:rsidP="00594554"/>
    <w:p w14:paraId="68DBC5E7" w14:textId="77777777" w:rsidR="00594554" w:rsidRDefault="00594554" w:rsidP="00594554"/>
    <w:p w14:paraId="52443078" w14:textId="77777777" w:rsidR="00594554" w:rsidRDefault="00594554" w:rsidP="00594554"/>
    <w:p w14:paraId="1D04479C" w14:textId="77777777" w:rsidR="00594554" w:rsidRDefault="00594554" w:rsidP="00594554"/>
    <w:p w14:paraId="483BE13F" w14:textId="77777777" w:rsidR="00594554" w:rsidRDefault="00594554" w:rsidP="00594554"/>
    <w:p w14:paraId="3C3D02DB" w14:textId="77777777" w:rsidR="00594554" w:rsidRDefault="00594554" w:rsidP="00594554"/>
    <w:p w14:paraId="0BA364A7" w14:textId="77777777" w:rsidR="00594554" w:rsidRDefault="00594554" w:rsidP="00594554"/>
    <w:p w14:paraId="16590D06" w14:textId="77777777" w:rsidR="00594554" w:rsidRDefault="00594554" w:rsidP="00594554"/>
    <w:p w14:paraId="7155550D" w14:textId="77777777" w:rsidR="00594554" w:rsidRDefault="00594554" w:rsidP="00594554"/>
    <w:p w14:paraId="71ACC490" w14:textId="77777777" w:rsidR="00594554" w:rsidRDefault="00594554" w:rsidP="00594554"/>
    <w:p w14:paraId="0BFDB76F" w14:textId="77777777" w:rsidR="00594554" w:rsidRDefault="00594554" w:rsidP="00594554"/>
    <w:p w14:paraId="1F72DF30" w14:textId="77777777" w:rsidR="00594554" w:rsidRDefault="00594554" w:rsidP="00594554"/>
    <w:p w14:paraId="14E90151" w14:textId="77777777" w:rsidR="00594554" w:rsidRDefault="00594554" w:rsidP="00594554"/>
    <w:p w14:paraId="49E441D7" w14:textId="77777777" w:rsidR="00594554" w:rsidRDefault="00594554" w:rsidP="00594554"/>
    <w:p w14:paraId="54BE9E89" w14:textId="77777777" w:rsidR="00594554" w:rsidRDefault="00594554" w:rsidP="00594554"/>
    <w:p w14:paraId="2FD4C7E9" w14:textId="77777777" w:rsidR="00594554" w:rsidRDefault="00594554" w:rsidP="00594554"/>
    <w:p w14:paraId="1105FCD4" w14:textId="77777777" w:rsidR="00594554" w:rsidRDefault="00594554" w:rsidP="00594554"/>
    <w:p w14:paraId="2DC119EC" w14:textId="77777777" w:rsidR="00594554" w:rsidRDefault="00594554" w:rsidP="00594554"/>
    <w:p w14:paraId="640C4275" w14:textId="77777777" w:rsidR="00594554" w:rsidRDefault="00594554" w:rsidP="00594554"/>
    <w:p w14:paraId="455E6688" w14:textId="77777777" w:rsidR="00594554" w:rsidRDefault="00594554" w:rsidP="00594554"/>
    <w:p w14:paraId="51905C0D" w14:textId="77777777" w:rsidR="00594554" w:rsidRDefault="00594554" w:rsidP="00594554"/>
    <w:p w14:paraId="2A284719" w14:textId="77777777" w:rsidR="00594554" w:rsidRDefault="00594554" w:rsidP="00594554"/>
    <w:p w14:paraId="663C64E5" w14:textId="77777777" w:rsidR="00594554" w:rsidRDefault="00594554" w:rsidP="00594554"/>
    <w:p w14:paraId="35F784BA" w14:textId="77777777" w:rsidR="00594554" w:rsidRDefault="00594554" w:rsidP="00594554"/>
    <w:p w14:paraId="73AB9DBF" w14:textId="77777777" w:rsidR="00594554" w:rsidRDefault="00594554" w:rsidP="00594554"/>
    <w:p w14:paraId="19CFA1D9" w14:textId="77777777" w:rsidR="00594554" w:rsidRDefault="00594554" w:rsidP="00594554"/>
    <w:p w14:paraId="1BC0D3A7" w14:textId="77777777" w:rsidR="00AA073B" w:rsidRDefault="00AA073B" w:rsidP="00594554"/>
    <w:p w14:paraId="3C57BA6C" w14:textId="58489F2A" w:rsidR="00AA073B" w:rsidRDefault="00AA073B" w:rsidP="00497E35">
      <w:r>
        <w:t xml:space="preserve"> </w:t>
      </w:r>
      <w:r w:rsidRPr="00224916">
        <w:t xml:space="preserve">The comments on the </w:t>
      </w:r>
      <w:r w:rsidR="00A3270C">
        <w:t xml:space="preserve">proposed </w:t>
      </w:r>
      <w:r>
        <w:t xml:space="preserve">guidance </w:t>
      </w:r>
      <w:r w:rsidR="00A3270C">
        <w:t xml:space="preserve">that the NRC published on </w:t>
      </w:r>
      <w:r w:rsidR="00F37C4C">
        <w:t>July 21, 2014 (79</w:t>
      </w:r>
      <w:r w:rsidR="00E824EE">
        <w:t> </w:t>
      </w:r>
      <w:r w:rsidR="00F37C4C">
        <w:t>FR</w:t>
      </w:r>
      <w:r w:rsidR="00E824EE">
        <w:t> </w:t>
      </w:r>
      <w:r w:rsidR="00F37C4C">
        <w:t>42224) a</w:t>
      </w:r>
      <w:r>
        <w:t>re</w:t>
      </w:r>
      <w:r w:rsidRPr="00224916">
        <w:t xml:space="preserve"> </w:t>
      </w:r>
      <w:r>
        <w:t>addressed here.</w:t>
      </w:r>
    </w:p>
    <w:p w14:paraId="60420C24" w14:textId="77777777" w:rsidR="00594554" w:rsidRDefault="00594554"/>
    <w:p w14:paraId="60D8B630" w14:textId="77777777" w:rsidR="00594554" w:rsidRPr="0053001E" w:rsidRDefault="00594554">
      <w:pPr>
        <w:rPr>
          <w:b/>
        </w:rPr>
      </w:pPr>
      <w:r w:rsidRPr="0053001E">
        <w:rPr>
          <w:b/>
        </w:rPr>
        <w:t>10 CFR 35.390 and 35.396</w:t>
      </w:r>
    </w:p>
    <w:p w14:paraId="74D24BF7" w14:textId="77777777" w:rsidR="00594554" w:rsidRPr="0053001E" w:rsidRDefault="00594554">
      <w:pPr>
        <w:rPr>
          <w:b/>
        </w:rPr>
      </w:pPr>
    </w:p>
    <w:p w14:paraId="42B93E96" w14:textId="1630DA52" w:rsidR="00594554" w:rsidRPr="0053001E" w:rsidRDefault="00594554" w:rsidP="00497E35">
      <w:r w:rsidRPr="00497E35">
        <w:rPr>
          <w:b/>
        </w:rPr>
        <w:t>Comment:</w:t>
      </w:r>
      <w:r w:rsidRPr="0053001E">
        <w:t xml:space="preserve"> </w:t>
      </w:r>
      <w:r w:rsidR="00497E35">
        <w:t xml:space="preserve"> </w:t>
      </w:r>
      <w:r w:rsidRPr="0053001E">
        <w:t xml:space="preserve">In the proposed rule </w:t>
      </w:r>
      <w:r w:rsidR="00560AD1" w:rsidRPr="003A2541">
        <w:t>10 CFR</w:t>
      </w:r>
      <w:r w:rsidR="00560AD1" w:rsidRPr="0053001E">
        <w:t xml:space="preserve"> </w:t>
      </w:r>
      <w:r w:rsidRPr="0053001E">
        <w:t xml:space="preserve">35.390(b)(1)(ii)(G)(4) was changed from </w:t>
      </w:r>
      <w:r w:rsidR="00E66ED8">
        <w:t>“</w:t>
      </w:r>
      <w:r w:rsidRPr="0053001E">
        <w:t>any other radionuclide</w:t>
      </w:r>
      <w:r w:rsidR="00E66ED8">
        <w:t>”</w:t>
      </w:r>
      <w:r w:rsidRPr="0053001E">
        <w:t xml:space="preserve"> to </w:t>
      </w:r>
      <w:r w:rsidR="00E66ED8">
        <w:t>“</w:t>
      </w:r>
      <w:r w:rsidRPr="0053001E">
        <w:t>any other radionuclide that is primarily used for its alpha radiation characteristics.</w:t>
      </w:r>
      <w:r w:rsidR="00E66ED8">
        <w:t>”</w:t>
      </w:r>
      <w:r w:rsidRPr="0053001E">
        <w:t xml:space="preserve"> Based on prior guidance in Notice Of Licensing Decision On Radium-223 Dichloride (FSME-13-002), authorized users were permitted to administer Ra-223 Dichloride for its alpha characteristics under </w:t>
      </w:r>
      <w:r w:rsidR="00560AD1" w:rsidRPr="003A2541">
        <w:t>10 CFR</w:t>
      </w:r>
      <w:r w:rsidR="00560AD1" w:rsidRPr="0053001E">
        <w:t xml:space="preserve"> </w:t>
      </w:r>
      <w:r w:rsidRPr="0053001E">
        <w:t xml:space="preserve">35.390(b)(1)(ii)(G)(3). Presuming that these individuals are grandfathered when the new rules go into effect, how will licensees and regulators be able to identify those AUs that are authorized for Ra-223 Dichloride to use and sign as preceptors for </w:t>
      </w:r>
      <w:r w:rsidR="00560AD1" w:rsidRPr="003A2541">
        <w:t>10 CFR</w:t>
      </w:r>
      <w:r w:rsidR="00560AD1" w:rsidRPr="0053001E">
        <w:t xml:space="preserve"> </w:t>
      </w:r>
      <w:r w:rsidRPr="0053001E">
        <w:t xml:space="preserve">35.390(b)(1)(ii)(G)(4) uses going forward? </w:t>
      </w:r>
    </w:p>
    <w:p w14:paraId="57A2E412" w14:textId="77777777" w:rsidR="00594554" w:rsidRPr="0053001E" w:rsidRDefault="00594554"/>
    <w:p w14:paraId="1F146FBE" w14:textId="0B33D205" w:rsidR="00594554" w:rsidRPr="0053001E" w:rsidRDefault="00594554">
      <w:r w:rsidRPr="00497E35">
        <w:rPr>
          <w:b/>
        </w:rPr>
        <w:t xml:space="preserve">Response: </w:t>
      </w:r>
      <w:r w:rsidRPr="0053001E">
        <w:t xml:space="preserve"> The final rule was revised to include radionuclides that are primarily used for alpha radiation characteristics in </w:t>
      </w:r>
      <w:r w:rsidR="003A2541" w:rsidRPr="003A2541">
        <w:t>10 CFR</w:t>
      </w:r>
      <w:r w:rsidR="003A2541" w:rsidRPr="0053001E">
        <w:t xml:space="preserve"> </w:t>
      </w:r>
      <w:r w:rsidRPr="0053001E">
        <w:t xml:space="preserve">35.390(b)(1)(ii)(G)(3).  10 CFR 35.57 in the final rule was also revised to grandfather Authorized Users that were authorized for medical uses prior to the effective date of the rule to continue to use those materials and uses without needing to meet the new requirements.  Therefore, AU’s authorized to use unsealed byproduct materials for parenteral administrations continue to be authorized for that use.  Radium-223 Dichloride will continue to be regulated under </w:t>
      </w:r>
      <w:r w:rsidR="003A2541" w:rsidRPr="003A2541">
        <w:t>10 CFR</w:t>
      </w:r>
      <w:r w:rsidR="003A2541" w:rsidRPr="0053001E">
        <w:t xml:space="preserve"> </w:t>
      </w:r>
      <w:r w:rsidRPr="0053001E">
        <w:t xml:space="preserve">35.390(b)(1)(ii)(G)(3) in the final rule.  All AU’s authorized for this medical use will be authorized to use Radium-223 Dichloride.    </w:t>
      </w:r>
    </w:p>
    <w:p w14:paraId="6E0F8065" w14:textId="77777777" w:rsidR="00594554" w:rsidRPr="0053001E" w:rsidRDefault="00594554"/>
    <w:p w14:paraId="63BDA19E" w14:textId="77777777" w:rsidR="00594554" w:rsidRPr="0053001E" w:rsidRDefault="00594554">
      <w:r w:rsidRPr="0053001E">
        <w:rPr>
          <w:b/>
        </w:rPr>
        <w:t>10 CFR 35.50 and 35.13</w:t>
      </w:r>
    </w:p>
    <w:p w14:paraId="7CEE1F35" w14:textId="77777777" w:rsidR="00594554" w:rsidRDefault="00594554" w:rsidP="00497E35"/>
    <w:p w14:paraId="56303B46" w14:textId="3E9ABC31" w:rsidR="00594554" w:rsidRPr="0053001E" w:rsidRDefault="00594554" w:rsidP="00497E35">
      <w:r w:rsidRPr="001B4A51">
        <w:rPr>
          <w:b/>
        </w:rPr>
        <w:t>Comment:</w:t>
      </w:r>
      <w:r w:rsidRPr="0053001E">
        <w:t xml:space="preserve"> </w:t>
      </w:r>
      <w:r w:rsidR="00497E35">
        <w:t xml:space="preserve"> </w:t>
      </w:r>
      <w:r w:rsidRPr="0053001E">
        <w:t xml:space="preserve">Some </w:t>
      </w:r>
      <w:r w:rsidR="00497E35">
        <w:t>A</w:t>
      </w:r>
      <w:r w:rsidR="00497E35" w:rsidRPr="0053001E">
        <w:t xml:space="preserve">greement </w:t>
      </w:r>
      <w:r w:rsidR="00497E35">
        <w:t>S</w:t>
      </w:r>
      <w:r w:rsidR="00497E35" w:rsidRPr="0053001E">
        <w:t xml:space="preserve">tates </w:t>
      </w:r>
      <w:r w:rsidR="00E66ED8">
        <w:t xml:space="preserve">permitted the </w:t>
      </w:r>
      <w:r w:rsidRPr="0053001E">
        <w:t>list</w:t>
      </w:r>
      <w:r w:rsidR="00E66ED8">
        <w:t>ing of</w:t>
      </w:r>
      <w:r w:rsidRPr="0053001E">
        <w:t xml:space="preserve"> Assistant/Deputy/Associate RSOs on a license prior to this rule. If the current license does not list the specific </w:t>
      </w:r>
      <w:r w:rsidR="00E66ED8">
        <w:t>functions</w:t>
      </w:r>
      <w:r w:rsidR="00E66ED8" w:rsidRPr="0053001E">
        <w:t xml:space="preserve"> </w:t>
      </w:r>
      <w:r w:rsidRPr="0053001E">
        <w:t xml:space="preserve">for the individual, can it be presumed that the Assistant/Deputy/Associate RSO is approved for all the uses on the license, especially when they serve as a preceptor to another RSO or Associate RSO? Or, will it be incumbent upon each licensing agency to amend their licenses clarifying the specific </w:t>
      </w:r>
      <w:r w:rsidR="00E66ED8">
        <w:t>functions</w:t>
      </w:r>
      <w:r w:rsidR="00E66ED8" w:rsidRPr="0053001E">
        <w:t xml:space="preserve"> </w:t>
      </w:r>
      <w:r w:rsidRPr="0053001E">
        <w:t xml:space="preserve">of ARSOs prior to the effective date of the rule in order to be recognized by other licensees and licensing agencies? </w:t>
      </w:r>
    </w:p>
    <w:p w14:paraId="135ED28F" w14:textId="77777777" w:rsidR="00594554" w:rsidRPr="0053001E" w:rsidRDefault="00594554"/>
    <w:p w14:paraId="37C08188" w14:textId="7ED5635C" w:rsidR="00594554" w:rsidRPr="0053001E" w:rsidRDefault="00594554">
      <w:r w:rsidRPr="001B4A51">
        <w:rPr>
          <w:b/>
        </w:rPr>
        <w:t>Response:</w:t>
      </w:r>
      <w:r w:rsidRPr="0053001E">
        <w:t xml:space="preserve">  The final rule only recognizes Associate Radiation Safety Officers.  If an individual is listed on an </w:t>
      </w:r>
      <w:r w:rsidR="00E66ED8">
        <w:t>A</w:t>
      </w:r>
      <w:r w:rsidR="00E66ED8" w:rsidRPr="0053001E">
        <w:t xml:space="preserve">greement </w:t>
      </w:r>
      <w:r w:rsidRPr="0053001E">
        <w:t>State as an Assistant Radiation Safety Officer or a Deputy Radiation Safety Officer and an NRC licensee wants to have the individual listed on an NRC license as an Associate Radiation Safety Officer, the NRC licensee will have to provide documentation that the individual meets the training and experience</w:t>
      </w:r>
      <w:r w:rsidR="00E66ED8">
        <w:t xml:space="preserve"> provisions</w:t>
      </w:r>
      <w:r w:rsidRPr="0053001E">
        <w:t xml:space="preserve"> in 10 CFR 35.50 for the intended </w:t>
      </w:r>
      <w:r w:rsidR="00E66ED8">
        <w:t>functions</w:t>
      </w:r>
      <w:r w:rsidRPr="0053001E">
        <w:t xml:space="preserve">.  If an individual is listed on an Agreement State license as an Associate Radiation Safety Officer without designating the authorized types of use and an NRC licensee wants to list the individual on an NRC license as an Associate Radiation Safety officer, the licensee will need to list the types of </w:t>
      </w:r>
      <w:r w:rsidR="00E66ED8">
        <w:t xml:space="preserve">functions </w:t>
      </w:r>
      <w:r w:rsidRPr="0053001E">
        <w:t xml:space="preserve">and provide documentation that the individual meets the training and experience criteria in 10 CFR 35.50 for those </w:t>
      </w:r>
      <w:r w:rsidR="00E66ED8">
        <w:t>functions</w:t>
      </w:r>
      <w:r w:rsidRPr="0053001E">
        <w:t xml:space="preserve">. </w:t>
      </w:r>
    </w:p>
    <w:p w14:paraId="6F36001E" w14:textId="77777777" w:rsidR="00594554" w:rsidRPr="0053001E" w:rsidRDefault="00594554"/>
    <w:p w14:paraId="05AF6435" w14:textId="668D1596" w:rsidR="00594554" w:rsidRPr="0053001E" w:rsidRDefault="00594554">
      <w:r w:rsidRPr="001B4A51">
        <w:rPr>
          <w:b/>
        </w:rPr>
        <w:t>Comment:</w:t>
      </w:r>
      <w:r w:rsidRPr="0053001E">
        <w:t xml:space="preserve"> </w:t>
      </w:r>
      <w:r w:rsidR="008630CF">
        <w:t>The commenter asked if the requirements in 10 CFR 35.</w:t>
      </w:r>
      <w:r w:rsidR="00F37C4C">
        <w:t>1</w:t>
      </w:r>
      <w:r w:rsidR="008630CF">
        <w:t>3(d), which states in part that before a licensee permits anyone to work as an ARSO or before the RSO</w:t>
      </w:r>
      <w:r w:rsidRPr="0053001E">
        <w:t xml:space="preserve"> assigns duties and tasks to an Associate RSO that differ from those for which this individual is authorized on the license</w:t>
      </w:r>
      <w:r w:rsidR="008630CF">
        <w:t>, means</w:t>
      </w:r>
      <w:r w:rsidRPr="0053001E">
        <w:t xml:space="preserve"> that the license will need to list the tasks and duties assigned to the Associate RSO in addition to the uses (and locations if applicable)?</w:t>
      </w:r>
    </w:p>
    <w:p w14:paraId="34A3E88C" w14:textId="77777777" w:rsidR="00594554" w:rsidRPr="0053001E" w:rsidRDefault="00594554"/>
    <w:p w14:paraId="0F1D0B8B" w14:textId="126A98FA" w:rsidR="00594554" w:rsidRPr="0053001E" w:rsidRDefault="00594554">
      <w:r w:rsidRPr="001B4A51">
        <w:rPr>
          <w:b/>
        </w:rPr>
        <w:t>Response:</w:t>
      </w:r>
      <w:r w:rsidRPr="0053001E">
        <w:t xml:space="preserve">  </w:t>
      </w:r>
      <w:r w:rsidR="001A4C3A">
        <w:t xml:space="preserve">The </w:t>
      </w:r>
      <w:r w:rsidR="00E41348">
        <w:t>NRC</w:t>
      </w:r>
      <w:r w:rsidRPr="0053001E">
        <w:t xml:space="preserve"> will list the types of medical use</w:t>
      </w:r>
      <w:r w:rsidR="002336FC">
        <w:t>s</w:t>
      </w:r>
      <w:r w:rsidRPr="0053001E">
        <w:t xml:space="preserve"> for the Associate Radiation Safety Officer</w:t>
      </w:r>
      <w:r w:rsidR="00D9514A">
        <w:t xml:space="preserve"> </w:t>
      </w:r>
      <w:r w:rsidR="00443027">
        <w:t>on the license</w:t>
      </w:r>
      <w:r w:rsidR="00D9514A">
        <w:t xml:space="preserve"> in accordance with 10 CFR 35.2,</w:t>
      </w:r>
      <w:r w:rsidRPr="0053001E">
        <w:t xml:space="preserve"> based on </w:t>
      </w:r>
      <w:r w:rsidR="001D552A">
        <w:t xml:space="preserve">licensees submission of </w:t>
      </w:r>
      <w:r w:rsidRPr="0053001E">
        <w:t xml:space="preserve">the </w:t>
      </w:r>
      <w:r w:rsidR="001D552A">
        <w:t xml:space="preserve">appropriate </w:t>
      </w:r>
      <w:r w:rsidRPr="0053001E">
        <w:t>training and experience criteria in 10 CFR 35.50.  The licensee can assign any duties and task</w:t>
      </w:r>
      <w:r w:rsidR="004432BE">
        <w:t>s</w:t>
      </w:r>
      <w:r w:rsidRPr="0053001E">
        <w:t xml:space="preserve"> under that type of medical use.  </w:t>
      </w:r>
      <w:r w:rsidR="00497E35">
        <w:t>In their amendment request, t</w:t>
      </w:r>
      <w:r w:rsidRPr="0053001E">
        <w:t>he licensee does not have to list those duties and task</w:t>
      </w:r>
      <w:r w:rsidR="004432BE">
        <w:t>s</w:t>
      </w:r>
      <w:r w:rsidRPr="0053001E">
        <w:t xml:space="preserve"> </w:t>
      </w:r>
      <w:r w:rsidR="00E41348">
        <w:t xml:space="preserve">that will be </w:t>
      </w:r>
      <w:r w:rsidRPr="0053001E">
        <w:t>assigned to the individual.  If the licensee intends to have the Associate Radiation Safety Officer perform duties and task</w:t>
      </w:r>
      <w:r w:rsidR="002336FC">
        <w:t>s</w:t>
      </w:r>
      <w:r w:rsidRPr="0053001E">
        <w:t xml:space="preserve"> at a specific location, the licensee can specify the location</w:t>
      </w:r>
      <w:r w:rsidR="002336FC">
        <w:t>,</w:t>
      </w:r>
      <w:r w:rsidRPr="0053001E">
        <w:t xml:space="preserve"> but also </w:t>
      </w:r>
      <w:r w:rsidR="002336FC">
        <w:t>must</w:t>
      </w:r>
      <w:r w:rsidRPr="0053001E">
        <w:t xml:space="preserve"> specify the types of medical use</w:t>
      </w:r>
      <w:r w:rsidR="004D5765">
        <w:t>s</w:t>
      </w:r>
      <w:r w:rsidRPr="0053001E">
        <w:t xml:space="preserve"> for which the individual is qualified under 10 CFR 35.50.</w:t>
      </w:r>
    </w:p>
    <w:p w14:paraId="68508E50" w14:textId="77777777" w:rsidR="00594554" w:rsidRPr="0053001E" w:rsidRDefault="00594554" w:rsidP="00497E35"/>
    <w:p w14:paraId="75708374" w14:textId="0FC756FA" w:rsidR="00594554" w:rsidRPr="0053001E" w:rsidRDefault="00594554" w:rsidP="00497E35">
      <w:pPr>
        <w:rPr>
          <w:spacing w:val="36"/>
          <w:w w:val="105"/>
        </w:rPr>
      </w:pPr>
      <w:r w:rsidRPr="001B4A51">
        <w:rPr>
          <w:b/>
        </w:rPr>
        <w:t>Comment:</w:t>
      </w:r>
      <w:r w:rsidRPr="0053001E">
        <w:t xml:space="preserve"> </w:t>
      </w:r>
      <w:r w:rsidRPr="00033B02">
        <w:rPr>
          <w:rFonts w:eastAsia="Calibri"/>
        </w:rPr>
        <w:t xml:space="preserve">In the proposed NRC Form </w:t>
      </w:r>
      <w:r w:rsidR="002336FC" w:rsidRPr="00033B02">
        <w:rPr>
          <w:rFonts w:eastAsia="Calibri"/>
        </w:rPr>
        <w:t>3</w:t>
      </w:r>
      <w:r w:rsidR="002336FC">
        <w:rPr>
          <w:rFonts w:eastAsia="Calibri"/>
        </w:rPr>
        <w:t>1</w:t>
      </w:r>
      <w:r w:rsidR="002336FC" w:rsidRPr="00033B02">
        <w:rPr>
          <w:rFonts w:eastAsia="Calibri"/>
        </w:rPr>
        <w:t>3A</w:t>
      </w:r>
      <w:r w:rsidR="002336FC">
        <w:rPr>
          <w:rFonts w:eastAsia="Calibri"/>
        </w:rPr>
        <w:t xml:space="preserve"> </w:t>
      </w:r>
      <w:r w:rsidRPr="00033B02">
        <w:rPr>
          <w:rFonts w:eastAsia="Calibri"/>
        </w:rPr>
        <w:t xml:space="preserve">(RSO), </w:t>
      </w:r>
      <w:r>
        <w:rPr>
          <w:rFonts w:eastAsia="Calibri"/>
        </w:rPr>
        <w:t xml:space="preserve">it is unclear </w:t>
      </w:r>
      <w:r w:rsidRPr="00033B02">
        <w:rPr>
          <w:rFonts w:eastAsia="Calibri"/>
        </w:rPr>
        <w:t xml:space="preserve">how to document training and experience for (c)(l) individuals (medical physicists) since #1 Board Certification is now specified for certification processes </w:t>
      </w:r>
      <w:r>
        <w:rPr>
          <w:rFonts w:eastAsia="Calibri"/>
        </w:rPr>
        <w:t xml:space="preserve">only </w:t>
      </w:r>
      <w:r w:rsidRPr="00033B02">
        <w:rPr>
          <w:rFonts w:eastAsia="Calibri"/>
        </w:rPr>
        <w:t>recognized under 10 CFR 35.50</w:t>
      </w:r>
      <w:r>
        <w:rPr>
          <w:rFonts w:eastAsia="Calibri"/>
        </w:rPr>
        <w:t xml:space="preserve"> and 35.50</w:t>
      </w:r>
      <w:r w:rsidRPr="00033B02">
        <w:rPr>
          <w:rFonts w:eastAsia="Calibri"/>
        </w:rPr>
        <w:t xml:space="preserve"> (c)(</w:t>
      </w:r>
      <w:r w:rsidR="002336FC">
        <w:rPr>
          <w:rFonts w:eastAsia="Calibri"/>
        </w:rPr>
        <w:t>l</w:t>
      </w:r>
      <w:r w:rsidRPr="00033B02">
        <w:rPr>
          <w:rFonts w:eastAsia="Calibri"/>
        </w:rPr>
        <w:t xml:space="preserve">) </w:t>
      </w:r>
      <w:r>
        <w:rPr>
          <w:rFonts w:eastAsia="Calibri"/>
        </w:rPr>
        <w:t>includes</w:t>
      </w:r>
      <w:r w:rsidRPr="00033B02">
        <w:rPr>
          <w:rFonts w:eastAsia="Calibri"/>
        </w:rPr>
        <w:t xml:space="preserve"> specialty boards recognized under 35.51(a).</w:t>
      </w:r>
      <w:r>
        <w:rPr>
          <w:rFonts w:eastAsia="Calibri"/>
        </w:rPr>
        <w:t xml:space="preserve">  </w:t>
      </w:r>
      <w:r>
        <w:rPr>
          <w:w w:val="105"/>
        </w:rPr>
        <w:t>Also,</w:t>
      </w:r>
      <w:r w:rsidRPr="0053001E">
        <w:rPr>
          <w:spacing w:val="-16"/>
          <w:w w:val="105"/>
        </w:rPr>
        <w:t xml:space="preserve"> </w:t>
      </w:r>
      <w:r w:rsidRPr="0053001E">
        <w:rPr>
          <w:w w:val="105"/>
        </w:rPr>
        <w:t>NRC</w:t>
      </w:r>
      <w:r w:rsidRPr="0053001E">
        <w:rPr>
          <w:spacing w:val="-8"/>
          <w:w w:val="105"/>
        </w:rPr>
        <w:t xml:space="preserve"> </w:t>
      </w:r>
      <w:r w:rsidRPr="0053001E">
        <w:rPr>
          <w:w w:val="105"/>
        </w:rPr>
        <w:t>Form</w:t>
      </w:r>
      <w:r w:rsidRPr="0053001E">
        <w:rPr>
          <w:spacing w:val="-14"/>
          <w:w w:val="105"/>
        </w:rPr>
        <w:t xml:space="preserve"> </w:t>
      </w:r>
      <w:r w:rsidRPr="0053001E">
        <w:rPr>
          <w:w w:val="105"/>
        </w:rPr>
        <w:t>313A</w:t>
      </w:r>
      <w:r w:rsidRPr="0053001E">
        <w:rPr>
          <w:spacing w:val="-7"/>
          <w:w w:val="105"/>
        </w:rPr>
        <w:t xml:space="preserve"> </w:t>
      </w:r>
      <w:r w:rsidRPr="0053001E">
        <w:rPr>
          <w:w w:val="105"/>
        </w:rPr>
        <w:t>(RSO)</w:t>
      </w:r>
      <w:r w:rsidRPr="0053001E">
        <w:rPr>
          <w:spacing w:val="-13"/>
          <w:w w:val="105"/>
        </w:rPr>
        <w:t xml:space="preserve"> </w:t>
      </w:r>
      <w:r w:rsidRPr="0053001E">
        <w:rPr>
          <w:w w:val="105"/>
        </w:rPr>
        <w:t>has</w:t>
      </w:r>
      <w:r w:rsidRPr="0053001E">
        <w:rPr>
          <w:spacing w:val="-15"/>
          <w:w w:val="105"/>
        </w:rPr>
        <w:t xml:space="preserve"> </w:t>
      </w:r>
      <w:r w:rsidRPr="0053001E">
        <w:rPr>
          <w:w w:val="105"/>
        </w:rPr>
        <w:t>the</w:t>
      </w:r>
      <w:r w:rsidRPr="0053001E">
        <w:rPr>
          <w:spacing w:val="-14"/>
          <w:w w:val="105"/>
        </w:rPr>
        <w:t xml:space="preserve"> </w:t>
      </w:r>
      <w:r w:rsidRPr="0053001E">
        <w:rPr>
          <w:w w:val="105"/>
        </w:rPr>
        <w:t>preceptor</w:t>
      </w:r>
      <w:r w:rsidRPr="0053001E">
        <w:rPr>
          <w:w w:val="101"/>
        </w:rPr>
        <w:t xml:space="preserve"> </w:t>
      </w:r>
      <w:r w:rsidRPr="0053001E">
        <w:rPr>
          <w:w w:val="105"/>
        </w:rPr>
        <w:t>verifying</w:t>
      </w:r>
      <w:r w:rsidRPr="0053001E">
        <w:rPr>
          <w:spacing w:val="-1"/>
          <w:w w:val="105"/>
        </w:rPr>
        <w:t xml:space="preserve"> </w:t>
      </w:r>
      <w:r w:rsidRPr="0053001E">
        <w:rPr>
          <w:w w:val="105"/>
        </w:rPr>
        <w:t>this</w:t>
      </w:r>
      <w:r w:rsidRPr="0053001E">
        <w:rPr>
          <w:spacing w:val="-11"/>
          <w:w w:val="105"/>
        </w:rPr>
        <w:t xml:space="preserve"> </w:t>
      </w:r>
      <w:r w:rsidRPr="0053001E">
        <w:rPr>
          <w:w w:val="105"/>
        </w:rPr>
        <w:t>experience</w:t>
      </w:r>
      <w:r w:rsidRPr="0053001E">
        <w:rPr>
          <w:spacing w:val="-1"/>
          <w:w w:val="105"/>
        </w:rPr>
        <w:t xml:space="preserve"> </w:t>
      </w:r>
      <w:r w:rsidRPr="0053001E">
        <w:rPr>
          <w:w w:val="105"/>
        </w:rPr>
        <w:t>for</w:t>
      </w:r>
      <w:r w:rsidRPr="0053001E">
        <w:rPr>
          <w:spacing w:val="-14"/>
          <w:w w:val="105"/>
        </w:rPr>
        <w:t xml:space="preserve"> </w:t>
      </w:r>
      <w:r w:rsidRPr="0053001E">
        <w:rPr>
          <w:w w:val="105"/>
        </w:rPr>
        <w:t>(c)(2)</w:t>
      </w:r>
      <w:r w:rsidRPr="0053001E">
        <w:rPr>
          <w:spacing w:val="-13"/>
          <w:w w:val="105"/>
        </w:rPr>
        <w:t xml:space="preserve"> </w:t>
      </w:r>
      <w:r w:rsidRPr="0053001E">
        <w:rPr>
          <w:w w:val="105"/>
        </w:rPr>
        <w:t>individuals</w:t>
      </w:r>
      <w:r w:rsidRPr="0053001E">
        <w:rPr>
          <w:spacing w:val="-2"/>
          <w:w w:val="105"/>
        </w:rPr>
        <w:t xml:space="preserve"> </w:t>
      </w:r>
      <w:r w:rsidRPr="0053001E">
        <w:rPr>
          <w:w w:val="105"/>
        </w:rPr>
        <w:t>only.</w:t>
      </w:r>
      <w:r w:rsidRPr="0053001E">
        <w:rPr>
          <w:spacing w:val="35"/>
          <w:w w:val="105"/>
        </w:rPr>
        <w:t xml:space="preserve"> </w:t>
      </w:r>
      <w:r w:rsidR="00497E35">
        <w:rPr>
          <w:spacing w:val="35"/>
          <w:w w:val="105"/>
        </w:rPr>
        <w:t xml:space="preserve"> </w:t>
      </w:r>
      <w:r w:rsidRPr="0053001E">
        <w:rPr>
          <w:w w:val="105"/>
        </w:rPr>
        <w:t>There</w:t>
      </w:r>
      <w:r w:rsidRPr="0053001E">
        <w:rPr>
          <w:spacing w:val="-10"/>
          <w:w w:val="105"/>
        </w:rPr>
        <w:t xml:space="preserve"> </w:t>
      </w:r>
      <w:r w:rsidRPr="0053001E">
        <w:rPr>
          <w:w w:val="105"/>
        </w:rPr>
        <w:t>is</w:t>
      </w:r>
      <w:r w:rsidRPr="0053001E">
        <w:rPr>
          <w:spacing w:val="-22"/>
          <w:w w:val="105"/>
        </w:rPr>
        <w:t xml:space="preserve"> </w:t>
      </w:r>
      <w:r w:rsidRPr="0053001E">
        <w:rPr>
          <w:w w:val="105"/>
        </w:rPr>
        <w:t>no</w:t>
      </w:r>
      <w:r w:rsidRPr="0053001E">
        <w:rPr>
          <w:spacing w:val="-18"/>
          <w:w w:val="105"/>
        </w:rPr>
        <w:t xml:space="preserve"> </w:t>
      </w:r>
      <w:r w:rsidRPr="0053001E">
        <w:rPr>
          <w:w w:val="105"/>
        </w:rPr>
        <w:t>designated</w:t>
      </w:r>
      <w:r w:rsidRPr="0053001E">
        <w:rPr>
          <w:spacing w:val="1"/>
          <w:w w:val="105"/>
        </w:rPr>
        <w:t xml:space="preserve"> </w:t>
      </w:r>
      <w:r w:rsidRPr="0053001E">
        <w:rPr>
          <w:w w:val="105"/>
        </w:rPr>
        <w:t>area</w:t>
      </w:r>
      <w:r w:rsidRPr="0053001E">
        <w:rPr>
          <w:spacing w:val="-7"/>
          <w:w w:val="105"/>
        </w:rPr>
        <w:t xml:space="preserve"> </w:t>
      </w:r>
      <w:r w:rsidRPr="0053001E">
        <w:rPr>
          <w:w w:val="105"/>
        </w:rPr>
        <w:t>on</w:t>
      </w:r>
      <w:r w:rsidRPr="0053001E">
        <w:rPr>
          <w:spacing w:val="-4"/>
          <w:w w:val="105"/>
        </w:rPr>
        <w:t xml:space="preserve"> </w:t>
      </w:r>
      <w:r w:rsidRPr="0053001E">
        <w:rPr>
          <w:w w:val="105"/>
        </w:rPr>
        <w:t>the</w:t>
      </w:r>
      <w:r w:rsidRPr="0053001E">
        <w:t xml:space="preserve"> </w:t>
      </w:r>
      <w:r w:rsidRPr="0053001E">
        <w:rPr>
          <w:w w:val="105"/>
        </w:rPr>
        <w:t xml:space="preserve">proposed </w:t>
      </w:r>
      <w:r w:rsidR="00E41348">
        <w:rPr>
          <w:w w:val="105"/>
        </w:rPr>
        <w:t xml:space="preserve">NRC </w:t>
      </w:r>
      <w:r w:rsidR="003D1F12">
        <w:rPr>
          <w:w w:val="105"/>
        </w:rPr>
        <w:t xml:space="preserve">Form </w:t>
      </w:r>
      <w:r w:rsidRPr="0053001E">
        <w:rPr>
          <w:w w:val="105"/>
        </w:rPr>
        <w:t>3</w:t>
      </w:r>
      <w:r w:rsidR="002336FC">
        <w:rPr>
          <w:spacing w:val="-45"/>
          <w:w w:val="105"/>
        </w:rPr>
        <w:t>1</w:t>
      </w:r>
      <w:r w:rsidRPr="0053001E">
        <w:rPr>
          <w:spacing w:val="-39"/>
          <w:w w:val="105"/>
        </w:rPr>
        <w:t xml:space="preserve"> </w:t>
      </w:r>
      <w:r w:rsidRPr="0053001E">
        <w:rPr>
          <w:w w:val="105"/>
        </w:rPr>
        <w:t>3A</w:t>
      </w:r>
      <w:r w:rsidRPr="0053001E">
        <w:rPr>
          <w:spacing w:val="-21"/>
          <w:w w:val="105"/>
        </w:rPr>
        <w:t xml:space="preserve"> </w:t>
      </w:r>
      <w:r w:rsidRPr="0053001E">
        <w:rPr>
          <w:w w:val="105"/>
        </w:rPr>
        <w:t>to</w:t>
      </w:r>
      <w:r w:rsidRPr="0053001E">
        <w:rPr>
          <w:spacing w:val="-15"/>
          <w:w w:val="105"/>
        </w:rPr>
        <w:t xml:space="preserve"> </w:t>
      </w:r>
      <w:r w:rsidRPr="0053001E">
        <w:rPr>
          <w:w w:val="105"/>
        </w:rPr>
        <w:t>document</w:t>
      </w:r>
      <w:r w:rsidRPr="0053001E">
        <w:rPr>
          <w:spacing w:val="-6"/>
          <w:w w:val="105"/>
        </w:rPr>
        <w:t xml:space="preserve"> </w:t>
      </w:r>
      <w:r w:rsidRPr="0053001E">
        <w:rPr>
          <w:w w:val="105"/>
        </w:rPr>
        <w:t>this</w:t>
      </w:r>
      <w:r w:rsidRPr="0053001E">
        <w:rPr>
          <w:spacing w:val="-14"/>
          <w:w w:val="105"/>
        </w:rPr>
        <w:t xml:space="preserve"> </w:t>
      </w:r>
      <w:r w:rsidRPr="0053001E">
        <w:rPr>
          <w:w w:val="105"/>
        </w:rPr>
        <w:t>experience</w:t>
      </w:r>
      <w:r w:rsidRPr="0053001E">
        <w:rPr>
          <w:spacing w:val="-10"/>
          <w:w w:val="105"/>
        </w:rPr>
        <w:t xml:space="preserve"> </w:t>
      </w:r>
      <w:r w:rsidRPr="0053001E">
        <w:rPr>
          <w:w w:val="105"/>
        </w:rPr>
        <w:t>that</w:t>
      </w:r>
      <w:r w:rsidRPr="0053001E">
        <w:rPr>
          <w:spacing w:val="-11"/>
          <w:w w:val="105"/>
        </w:rPr>
        <w:t xml:space="preserve"> </w:t>
      </w:r>
      <w:r w:rsidRPr="0053001E">
        <w:rPr>
          <w:w w:val="105"/>
        </w:rPr>
        <w:t>the</w:t>
      </w:r>
      <w:r w:rsidRPr="0053001E">
        <w:rPr>
          <w:spacing w:val="-17"/>
          <w:w w:val="105"/>
        </w:rPr>
        <w:t xml:space="preserve"> </w:t>
      </w:r>
      <w:r w:rsidRPr="0053001E">
        <w:rPr>
          <w:w w:val="105"/>
        </w:rPr>
        <w:t>regulations</w:t>
      </w:r>
      <w:r w:rsidRPr="0053001E">
        <w:rPr>
          <w:spacing w:val="-4"/>
          <w:w w:val="105"/>
        </w:rPr>
        <w:t xml:space="preserve"> </w:t>
      </w:r>
      <w:r w:rsidRPr="0053001E">
        <w:rPr>
          <w:w w:val="105"/>
        </w:rPr>
        <w:t>require;</w:t>
      </w:r>
      <w:r w:rsidRPr="0053001E">
        <w:rPr>
          <w:spacing w:val="-5"/>
          <w:w w:val="105"/>
        </w:rPr>
        <w:t xml:space="preserve"> </w:t>
      </w:r>
      <w:r w:rsidRPr="0053001E">
        <w:rPr>
          <w:w w:val="105"/>
        </w:rPr>
        <w:t>this</w:t>
      </w:r>
      <w:r w:rsidRPr="0053001E">
        <w:rPr>
          <w:spacing w:val="-14"/>
          <w:w w:val="105"/>
        </w:rPr>
        <w:t xml:space="preserve"> </w:t>
      </w:r>
      <w:r w:rsidRPr="0053001E">
        <w:rPr>
          <w:w w:val="105"/>
        </w:rPr>
        <w:t>could</w:t>
      </w:r>
      <w:r w:rsidRPr="0053001E">
        <w:rPr>
          <w:spacing w:val="-8"/>
          <w:w w:val="105"/>
        </w:rPr>
        <w:t xml:space="preserve"> </w:t>
      </w:r>
      <w:r w:rsidRPr="0053001E">
        <w:rPr>
          <w:w w:val="105"/>
        </w:rPr>
        <w:t>cause</w:t>
      </w:r>
      <w:r w:rsidRPr="0053001E">
        <w:rPr>
          <w:w w:val="101"/>
        </w:rPr>
        <w:t xml:space="preserve"> </w:t>
      </w:r>
      <w:r w:rsidRPr="0053001E">
        <w:rPr>
          <w:w w:val="105"/>
        </w:rPr>
        <w:t>confusion.</w:t>
      </w:r>
      <w:r>
        <w:rPr>
          <w:w w:val="105"/>
        </w:rPr>
        <w:t xml:space="preserve">  </w:t>
      </w:r>
    </w:p>
    <w:p w14:paraId="786FE4A9" w14:textId="77777777" w:rsidR="00594554" w:rsidRDefault="00594554" w:rsidP="00497E35">
      <w:pPr>
        <w:rPr>
          <w:rFonts w:eastAsia="Calibri"/>
        </w:rPr>
      </w:pPr>
    </w:p>
    <w:p w14:paraId="77A41A68" w14:textId="56A2675E" w:rsidR="00594554" w:rsidRDefault="00594554" w:rsidP="00497E35">
      <w:pPr>
        <w:rPr>
          <w:rFonts w:eastAsia="Calibri"/>
        </w:rPr>
      </w:pPr>
      <w:r w:rsidRPr="0053001E">
        <w:rPr>
          <w:rFonts w:eastAsia="Calibri"/>
          <w:b/>
        </w:rPr>
        <w:t>Response:</w:t>
      </w:r>
      <w:r w:rsidRPr="0053001E">
        <w:rPr>
          <w:rFonts w:eastAsia="Calibri"/>
        </w:rPr>
        <w:t xml:space="preserve"> </w:t>
      </w:r>
      <w:r>
        <w:rPr>
          <w:rFonts w:eastAsia="Calibri"/>
        </w:rPr>
        <w:t>NRC Form 313A</w:t>
      </w:r>
      <w:r w:rsidR="002336FC">
        <w:rPr>
          <w:rFonts w:eastAsia="Calibri"/>
        </w:rPr>
        <w:t xml:space="preserve"> </w:t>
      </w:r>
      <w:r>
        <w:rPr>
          <w:rFonts w:eastAsia="Calibri"/>
        </w:rPr>
        <w:t>(RSO) was revised based on this comment.  A new sub part was added specifically for the boards recognized under the provisions of 10 CFR 35.51(a) in section 1.</w:t>
      </w:r>
      <w:r w:rsidR="003D1F12" w:rsidRPr="0078645D">
        <w:rPr>
          <w:i/>
        </w:rPr>
        <w:t>“</w:t>
      </w:r>
      <w:r>
        <w:rPr>
          <w:rFonts w:eastAsia="Calibri"/>
        </w:rPr>
        <w:t>Board Certification.”  The new subsection asks for documentation that the individual has experience with the types of use</w:t>
      </w:r>
      <w:r w:rsidR="002336FC">
        <w:rPr>
          <w:rFonts w:eastAsia="Calibri"/>
        </w:rPr>
        <w:t>s</w:t>
      </w:r>
      <w:r>
        <w:rPr>
          <w:rFonts w:eastAsia="Calibri"/>
        </w:rPr>
        <w:t xml:space="preserve"> checked and for Table 5.c. to be filled out providing the </w:t>
      </w:r>
      <w:r w:rsidRPr="00D96BE7">
        <w:rPr>
          <w:rFonts w:eastAsia="Calibri"/>
        </w:rPr>
        <w:t>training in the radiation safety, regulatory issues, and emergency procedures</w:t>
      </w:r>
      <w:r>
        <w:rPr>
          <w:rFonts w:eastAsia="Calibri"/>
        </w:rPr>
        <w:t xml:space="preserve">.  NRC no longer requires a preceptor statement for individuals that are certified by Boards recognized by NRC or listed in 10 CFR 35.57.  This will clarify how to document the requirements under </w:t>
      </w:r>
      <w:r w:rsidRPr="0053001E">
        <w:rPr>
          <w:rFonts w:eastAsia="Calibri"/>
        </w:rPr>
        <w:t xml:space="preserve">10 CFR 35.51(c)(1) </w:t>
      </w:r>
      <w:r>
        <w:rPr>
          <w:rFonts w:eastAsia="Calibri"/>
        </w:rPr>
        <w:t xml:space="preserve">that the medical physicist be </w:t>
      </w:r>
      <w:r w:rsidRPr="0053001E">
        <w:rPr>
          <w:rFonts w:eastAsia="Calibri"/>
        </w:rPr>
        <w:t xml:space="preserve">board certified </w:t>
      </w:r>
      <w:r>
        <w:rPr>
          <w:rFonts w:eastAsia="Calibri"/>
        </w:rPr>
        <w:t xml:space="preserve">under the criteria in </w:t>
      </w:r>
      <w:r w:rsidRPr="0053001E">
        <w:rPr>
          <w:rFonts w:eastAsia="Calibri"/>
        </w:rPr>
        <w:t>10 CFR 35.51(a)</w:t>
      </w:r>
      <w:r>
        <w:rPr>
          <w:rFonts w:eastAsia="Calibri"/>
        </w:rPr>
        <w:t>,</w:t>
      </w:r>
      <w:r w:rsidRPr="0053001E">
        <w:rPr>
          <w:rFonts w:eastAsia="Calibri"/>
        </w:rPr>
        <w:t xml:space="preserve"> </w:t>
      </w:r>
      <w:r>
        <w:rPr>
          <w:rFonts w:eastAsia="Calibri"/>
        </w:rPr>
        <w:t xml:space="preserve">has experience with </w:t>
      </w:r>
      <w:r w:rsidRPr="00155BAB">
        <w:rPr>
          <w:rFonts w:eastAsia="Times New Roman"/>
        </w:rPr>
        <w:t>similar types of use of byproduct material</w:t>
      </w:r>
      <w:r>
        <w:rPr>
          <w:rFonts w:eastAsia="Times New Roman"/>
        </w:rPr>
        <w:t>,</w:t>
      </w:r>
      <w:r>
        <w:rPr>
          <w:rFonts w:eastAsia="Calibri"/>
        </w:rPr>
        <w:t xml:space="preserve"> and has </w:t>
      </w:r>
      <w:r w:rsidRPr="0053001E">
        <w:rPr>
          <w:rFonts w:eastAsia="Calibri"/>
        </w:rPr>
        <w:t xml:space="preserve">training in the radiation safety, regulatory issues, and emergency procedures </w:t>
      </w:r>
      <w:r w:rsidRPr="00155BAB">
        <w:rPr>
          <w:rFonts w:eastAsia="Times New Roman"/>
        </w:rPr>
        <w:t xml:space="preserve">for which the licensee seeks the approval of the </w:t>
      </w:r>
      <w:r>
        <w:rPr>
          <w:rFonts w:eastAsia="Times New Roman"/>
        </w:rPr>
        <w:t>medical physicist</w:t>
      </w:r>
      <w:r w:rsidRPr="00155BAB">
        <w:rPr>
          <w:rFonts w:eastAsia="Times New Roman"/>
        </w:rPr>
        <w:t xml:space="preserve"> as </w:t>
      </w:r>
      <w:r>
        <w:rPr>
          <w:rFonts w:eastAsia="Times New Roman"/>
        </w:rPr>
        <w:t xml:space="preserve">the </w:t>
      </w:r>
      <w:r w:rsidRPr="00155BAB">
        <w:rPr>
          <w:rFonts w:eastAsia="Times New Roman"/>
        </w:rPr>
        <w:t>Radiation Safety Officer</w:t>
      </w:r>
      <w:r w:rsidRPr="00155BAB">
        <w:rPr>
          <w:rFonts w:eastAsia="Times New Roman"/>
          <w:color w:val="FF0000"/>
        </w:rPr>
        <w:t xml:space="preserve"> </w:t>
      </w:r>
      <w:r w:rsidRPr="00155BAB">
        <w:rPr>
          <w:rFonts w:eastAsia="Times New Roman"/>
        </w:rPr>
        <w:t>or</w:t>
      </w:r>
      <w:r w:rsidR="002336FC">
        <w:rPr>
          <w:rFonts w:eastAsia="Times New Roman"/>
        </w:rPr>
        <w:t xml:space="preserve"> as</w:t>
      </w:r>
      <w:r w:rsidRPr="00155BAB">
        <w:rPr>
          <w:rFonts w:eastAsia="Times New Roman"/>
        </w:rPr>
        <w:t xml:space="preserve"> an Associate Radiation Safety Officer</w:t>
      </w:r>
      <w:r>
        <w:rPr>
          <w:rFonts w:eastAsia="Times New Roman"/>
        </w:rPr>
        <w:t>.  T</w:t>
      </w:r>
      <w:r>
        <w:rPr>
          <w:rFonts w:eastAsia="Calibri"/>
        </w:rPr>
        <w:t xml:space="preserve">here is no requirement that this board certified medical physicist also be an authorized medical physicist.  </w:t>
      </w:r>
    </w:p>
    <w:p w14:paraId="6D960116" w14:textId="77777777" w:rsidR="00594554" w:rsidRDefault="00594554" w:rsidP="00497E35">
      <w:pPr>
        <w:rPr>
          <w:rFonts w:eastAsia="Calibri"/>
        </w:rPr>
      </w:pPr>
    </w:p>
    <w:p w14:paraId="37DAFF00" w14:textId="28CFC34A" w:rsidR="00FE0601" w:rsidRDefault="00594554" w:rsidP="00497E35">
      <w:pPr>
        <w:rPr>
          <w:rFonts w:eastAsia="Calibri"/>
        </w:rPr>
      </w:pPr>
      <w:r>
        <w:rPr>
          <w:rFonts w:eastAsia="Calibri"/>
        </w:rPr>
        <w:t>The NRC Form 313A</w:t>
      </w:r>
      <w:r w:rsidR="002336FC">
        <w:rPr>
          <w:rFonts w:eastAsia="Calibri"/>
        </w:rPr>
        <w:t xml:space="preserve"> </w:t>
      </w:r>
      <w:r>
        <w:rPr>
          <w:rFonts w:eastAsia="Calibri"/>
        </w:rPr>
        <w:t>(RSO) was also revised to address the commenters concerns about documenting the requirements in 10 CFR 35.50(c)(2)</w:t>
      </w:r>
      <w:r w:rsidR="002336FC">
        <w:rPr>
          <w:rFonts w:eastAsia="Calibri"/>
        </w:rPr>
        <w:t xml:space="preserve"> </w:t>
      </w:r>
      <w:r>
        <w:rPr>
          <w:rFonts w:eastAsia="Calibri"/>
        </w:rPr>
        <w:t>for an individual identified as an authorized user, authorized medical physicist, or authorized nuclear pharmacist to be the Radiation Safety Officer or an Associate Radiation Safety Officer.  Part 1</w:t>
      </w:r>
      <w:r w:rsidR="00FC0041">
        <w:rPr>
          <w:rFonts w:eastAsia="Calibri"/>
        </w:rPr>
        <w:t>,</w:t>
      </w:r>
      <w:r>
        <w:rPr>
          <w:rFonts w:eastAsia="Calibri"/>
        </w:rPr>
        <w:t xml:space="preserve"> </w:t>
      </w:r>
      <w:r w:rsidR="00FC0041">
        <w:rPr>
          <w:rFonts w:eastAsia="Calibri"/>
        </w:rPr>
        <w:t>Section</w:t>
      </w:r>
      <w:r>
        <w:rPr>
          <w:rFonts w:eastAsia="Calibri"/>
        </w:rPr>
        <w:t xml:space="preserve"> 3 </w:t>
      </w:r>
      <w:r w:rsidR="00C536AC">
        <w:rPr>
          <w:rFonts w:eastAsia="Calibri"/>
        </w:rPr>
        <w:t xml:space="preserve">of the form </w:t>
      </w:r>
      <w:r>
        <w:rPr>
          <w:rFonts w:eastAsia="Calibri"/>
        </w:rPr>
        <w:t xml:space="preserve">was revised to request the NRC license number or a copy of the license or permit identifying the individual as an authorized individual.  This will </w:t>
      </w:r>
      <w:r w:rsidR="002336FC">
        <w:rPr>
          <w:rFonts w:eastAsia="Calibri"/>
        </w:rPr>
        <w:t xml:space="preserve">provide </w:t>
      </w:r>
      <w:r>
        <w:rPr>
          <w:rFonts w:eastAsia="Calibri"/>
        </w:rPr>
        <w:t>document</w:t>
      </w:r>
      <w:r w:rsidR="002336FC">
        <w:rPr>
          <w:rFonts w:eastAsia="Calibri"/>
        </w:rPr>
        <w:t>ation</w:t>
      </w:r>
      <w:r>
        <w:rPr>
          <w:rFonts w:eastAsia="Calibri"/>
        </w:rPr>
        <w:t xml:space="preserve"> that the individual also </w:t>
      </w:r>
      <w:r w:rsidRPr="00B0228F">
        <w:rPr>
          <w:rFonts w:eastAsia="Calibri"/>
        </w:rPr>
        <w:t>has experience with similar types of use</w:t>
      </w:r>
      <w:r w:rsidR="00DB35F6">
        <w:rPr>
          <w:rFonts w:eastAsia="Calibri"/>
        </w:rPr>
        <w:t>s</w:t>
      </w:r>
      <w:r w:rsidRPr="00B0228F">
        <w:rPr>
          <w:rFonts w:eastAsia="Calibri"/>
        </w:rPr>
        <w:t xml:space="preserve"> of byproduct material for which the licensee seeks the approval of the individual as </w:t>
      </w:r>
      <w:r>
        <w:rPr>
          <w:rFonts w:eastAsia="Calibri"/>
        </w:rPr>
        <w:t xml:space="preserve">the </w:t>
      </w:r>
      <w:r w:rsidRPr="00B0228F">
        <w:rPr>
          <w:rFonts w:eastAsia="Calibri"/>
        </w:rPr>
        <w:t xml:space="preserve">Radiation Safety Officer or </w:t>
      </w:r>
      <w:r w:rsidR="002336FC">
        <w:rPr>
          <w:rFonts w:eastAsia="Calibri"/>
        </w:rPr>
        <w:t xml:space="preserve">as </w:t>
      </w:r>
      <w:r w:rsidRPr="00B0228F">
        <w:rPr>
          <w:rFonts w:eastAsia="Calibri"/>
        </w:rPr>
        <w:t>an Associate Radiation Safety Officer</w:t>
      </w:r>
      <w:r>
        <w:rPr>
          <w:rFonts w:eastAsia="Calibri"/>
        </w:rPr>
        <w:t>.  Part 1</w:t>
      </w:r>
      <w:r w:rsidR="00FC0041">
        <w:rPr>
          <w:rFonts w:eastAsia="Calibri"/>
        </w:rPr>
        <w:t>,</w:t>
      </w:r>
      <w:r>
        <w:rPr>
          <w:rFonts w:eastAsia="Calibri"/>
        </w:rPr>
        <w:t xml:space="preserve"> </w:t>
      </w:r>
      <w:r w:rsidR="00FC0041">
        <w:rPr>
          <w:rFonts w:eastAsia="Calibri"/>
        </w:rPr>
        <w:t>S</w:t>
      </w:r>
      <w:r>
        <w:rPr>
          <w:rFonts w:eastAsia="Calibri"/>
        </w:rPr>
        <w:t>ection 3</w:t>
      </w:r>
      <w:r w:rsidR="00DB35F6">
        <w:rPr>
          <w:rFonts w:eastAsia="Calibri"/>
        </w:rPr>
        <w:t xml:space="preserve"> of the form also</w:t>
      </w:r>
      <w:r>
        <w:rPr>
          <w:rFonts w:eastAsia="Calibri"/>
        </w:rPr>
        <w:t xml:space="preserve"> describes the information needed to demonstrate </w:t>
      </w:r>
      <w:r w:rsidR="00E256F2">
        <w:rPr>
          <w:rFonts w:eastAsia="Calibri"/>
        </w:rPr>
        <w:t xml:space="preserve">that </w:t>
      </w:r>
      <w:r>
        <w:rPr>
          <w:rFonts w:eastAsia="Calibri"/>
        </w:rPr>
        <w:t xml:space="preserve">the individual meets the criteria in </w:t>
      </w:r>
      <w:r w:rsidR="00FC0041">
        <w:rPr>
          <w:rFonts w:eastAsia="Calibri"/>
        </w:rPr>
        <w:t xml:space="preserve">10 CFR </w:t>
      </w:r>
      <w:r>
        <w:rPr>
          <w:rFonts w:eastAsia="Calibri"/>
        </w:rPr>
        <w:t>35.50(c)(2).  B</w:t>
      </w:r>
      <w:r w:rsidRPr="00B70E43">
        <w:rPr>
          <w:rFonts w:eastAsia="Calibri"/>
        </w:rPr>
        <w:t xml:space="preserve">eing on the license </w:t>
      </w:r>
      <w:r>
        <w:rPr>
          <w:rFonts w:eastAsia="Calibri"/>
        </w:rPr>
        <w:t>or permit</w:t>
      </w:r>
      <w:r w:rsidRPr="00B70E43">
        <w:rPr>
          <w:rFonts w:eastAsia="Calibri"/>
        </w:rPr>
        <w:t xml:space="preserve"> is evidence that experience has been achieved with similar types of use of byproduct material for which the licensee seeks the approval of the individual as the Radiation Safety Officer or </w:t>
      </w:r>
      <w:r w:rsidR="002336FC">
        <w:rPr>
          <w:rFonts w:eastAsia="Calibri"/>
        </w:rPr>
        <w:t xml:space="preserve">as </w:t>
      </w:r>
      <w:r w:rsidRPr="00B70E43">
        <w:rPr>
          <w:rFonts w:eastAsia="Calibri"/>
        </w:rPr>
        <w:t xml:space="preserve">an Associate Radiation Safety Officer. </w:t>
      </w:r>
      <w:r>
        <w:rPr>
          <w:rFonts w:eastAsia="Calibri"/>
        </w:rPr>
        <w:t>N</w:t>
      </w:r>
      <w:r w:rsidRPr="00B70E43">
        <w:rPr>
          <w:rFonts w:eastAsia="Calibri"/>
        </w:rPr>
        <w:t xml:space="preserve">o </w:t>
      </w:r>
      <w:r>
        <w:rPr>
          <w:rFonts w:eastAsia="Calibri"/>
        </w:rPr>
        <w:t xml:space="preserve">other </w:t>
      </w:r>
      <w:r w:rsidRPr="00B70E43">
        <w:rPr>
          <w:rFonts w:eastAsia="Calibri"/>
        </w:rPr>
        <w:t>description of experience is required</w:t>
      </w:r>
      <w:r>
        <w:rPr>
          <w:rFonts w:eastAsia="Calibri"/>
        </w:rPr>
        <w:t xml:space="preserve">.  </w:t>
      </w:r>
      <w:r w:rsidRPr="00B70E43">
        <w:rPr>
          <w:rFonts w:eastAsia="Calibri"/>
        </w:rPr>
        <w:t xml:space="preserve"> </w:t>
      </w:r>
    </w:p>
    <w:p w14:paraId="1E9CB44D" w14:textId="77777777" w:rsidR="00FE0601" w:rsidRDefault="00FE0601" w:rsidP="00497E35">
      <w:pPr>
        <w:rPr>
          <w:rFonts w:eastAsia="Calibri"/>
        </w:rPr>
      </w:pPr>
    </w:p>
    <w:p w14:paraId="2EB4AC31" w14:textId="7552ACF6" w:rsidR="00594554" w:rsidRDefault="00FE0601" w:rsidP="00497E35">
      <w:r>
        <w:t>Also i</w:t>
      </w:r>
      <w:r w:rsidR="00594554">
        <w:t>n response to this comment</w:t>
      </w:r>
      <w:r w:rsidR="002336FC">
        <w:t>,</w:t>
      </w:r>
      <w:r w:rsidR="00594554">
        <w:t xml:space="preserve"> the request to provide a license number was expanded to include a copy of the license or permit identifying the individual as an authorized individual (i.e., </w:t>
      </w:r>
      <w:r w:rsidR="00594554" w:rsidRPr="0088480D">
        <w:t xml:space="preserve">an authorized </w:t>
      </w:r>
      <w:r w:rsidR="00594554">
        <w:t>u</w:t>
      </w:r>
      <w:r w:rsidR="00594554" w:rsidRPr="0088480D">
        <w:t xml:space="preserve">ser, </w:t>
      </w:r>
      <w:r w:rsidR="00594554">
        <w:t>a</w:t>
      </w:r>
      <w:r w:rsidR="00594554" w:rsidRPr="0088480D">
        <w:t>uthorized medical physicist</w:t>
      </w:r>
      <w:r w:rsidR="00594554">
        <w:t>,</w:t>
      </w:r>
      <w:r w:rsidR="00594554" w:rsidRPr="0088480D">
        <w:t xml:space="preserve"> or authorized nuclear pharmacis</w:t>
      </w:r>
      <w:r w:rsidR="00594554">
        <w:t xml:space="preserve">t).  This individual does not need a preceptor statement if they are board certified by a board recognized by NRC or listed in 10 CFR 35.57.  The preceptor statement needed under the alternate pathway to be an authorized individual satisfies the preceptor requirements as long as the individual </w:t>
      </w:r>
      <w:r w:rsidR="00594554" w:rsidRPr="00B0228F">
        <w:t xml:space="preserve">has experience with similar types of use of byproduct material for which the licensee seeks the approval of the individual as </w:t>
      </w:r>
      <w:r w:rsidR="00594554">
        <w:t xml:space="preserve">the </w:t>
      </w:r>
      <w:r w:rsidR="00594554" w:rsidRPr="00B0228F">
        <w:t xml:space="preserve">Radiation Safety Officer or </w:t>
      </w:r>
      <w:r>
        <w:t xml:space="preserve">as </w:t>
      </w:r>
      <w:r w:rsidR="00594554" w:rsidRPr="00B0228F">
        <w:t>an Associate Radiation Safety Officer</w:t>
      </w:r>
      <w:r w:rsidR="00594554">
        <w:t xml:space="preserve">. </w:t>
      </w:r>
    </w:p>
    <w:p w14:paraId="643EAFBC" w14:textId="77777777" w:rsidR="00594554" w:rsidRDefault="00594554" w:rsidP="00497E35">
      <w:pPr>
        <w:rPr>
          <w:w w:val="105"/>
        </w:rPr>
      </w:pPr>
    </w:p>
    <w:p w14:paraId="53E8BAA1" w14:textId="77777777" w:rsidR="00594554" w:rsidRPr="00B0228F" w:rsidRDefault="00594554" w:rsidP="00497E35">
      <w:pPr>
        <w:rPr>
          <w:w w:val="105"/>
        </w:rPr>
      </w:pPr>
      <w:r w:rsidRPr="001B4A51">
        <w:rPr>
          <w:b/>
          <w:w w:val="105"/>
        </w:rPr>
        <w:t>Comment:</w:t>
      </w:r>
      <w:r>
        <w:rPr>
          <w:b/>
          <w:w w:val="105"/>
        </w:rPr>
        <w:t xml:space="preserve">  </w:t>
      </w:r>
      <w:r w:rsidRPr="0053001E">
        <w:rPr>
          <w:w w:val="105"/>
        </w:rPr>
        <w:t>In</w:t>
      </w:r>
      <w:r w:rsidRPr="0053001E">
        <w:rPr>
          <w:spacing w:val="-7"/>
          <w:w w:val="105"/>
        </w:rPr>
        <w:t xml:space="preserve"> </w:t>
      </w:r>
      <w:r w:rsidRPr="0053001E">
        <w:rPr>
          <w:w w:val="105"/>
        </w:rPr>
        <w:t>reading</w:t>
      </w:r>
      <w:r w:rsidRPr="0053001E">
        <w:rPr>
          <w:spacing w:val="-7"/>
          <w:w w:val="105"/>
        </w:rPr>
        <w:t xml:space="preserve"> </w:t>
      </w:r>
      <w:r w:rsidRPr="0053001E">
        <w:rPr>
          <w:w w:val="105"/>
        </w:rPr>
        <w:t>the</w:t>
      </w:r>
      <w:r w:rsidRPr="0053001E">
        <w:rPr>
          <w:spacing w:val="-13"/>
          <w:w w:val="105"/>
        </w:rPr>
        <w:t xml:space="preserve"> </w:t>
      </w:r>
      <w:r w:rsidRPr="0053001E">
        <w:rPr>
          <w:w w:val="105"/>
        </w:rPr>
        <w:t>proposed</w:t>
      </w:r>
      <w:r w:rsidRPr="0053001E">
        <w:rPr>
          <w:spacing w:val="18"/>
          <w:w w:val="105"/>
        </w:rPr>
        <w:t xml:space="preserve"> </w:t>
      </w:r>
      <w:r w:rsidRPr="0053001E">
        <w:rPr>
          <w:w w:val="105"/>
        </w:rPr>
        <w:t>guidance,</w:t>
      </w:r>
      <w:r w:rsidRPr="0053001E">
        <w:rPr>
          <w:spacing w:val="-2"/>
          <w:w w:val="105"/>
        </w:rPr>
        <w:t xml:space="preserve"> </w:t>
      </w:r>
      <w:r w:rsidRPr="0053001E">
        <w:rPr>
          <w:w w:val="105"/>
        </w:rPr>
        <w:t>it</w:t>
      </w:r>
      <w:r w:rsidRPr="0053001E">
        <w:rPr>
          <w:spacing w:val="-7"/>
          <w:w w:val="105"/>
        </w:rPr>
        <w:t xml:space="preserve"> </w:t>
      </w:r>
      <w:r w:rsidRPr="0053001E">
        <w:rPr>
          <w:w w:val="105"/>
        </w:rPr>
        <w:t>seems</w:t>
      </w:r>
      <w:r w:rsidRPr="0053001E">
        <w:rPr>
          <w:spacing w:val="-20"/>
          <w:w w:val="105"/>
        </w:rPr>
        <w:t xml:space="preserve"> </w:t>
      </w:r>
      <w:r w:rsidRPr="0053001E">
        <w:rPr>
          <w:w w:val="105"/>
        </w:rPr>
        <w:t>that</w:t>
      </w:r>
      <w:r w:rsidRPr="0053001E">
        <w:rPr>
          <w:spacing w:val="-5"/>
          <w:w w:val="105"/>
        </w:rPr>
        <w:t xml:space="preserve"> </w:t>
      </w:r>
      <w:r w:rsidRPr="0053001E">
        <w:rPr>
          <w:w w:val="105"/>
        </w:rPr>
        <w:t>on</w:t>
      </w:r>
      <w:r w:rsidRPr="0053001E">
        <w:rPr>
          <w:spacing w:val="-14"/>
          <w:w w:val="105"/>
        </w:rPr>
        <w:t xml:space="preserve"> </w:t>
      </w:r>
      <w:r w:rsidRPr="0053001E">
        <w:rPr>
          <w:w w:val="105"/>
        </w:rPr>
        <w:t>page</w:t>
      </w:r>
      <w:r w:rsidRPr="0053001E">
        <w:rPr>
          <w:spacing w:val="-5"/>
          <w:w w:val="105"/>
        </w:rPr>
        <w:t xml:space="preserve"> </w:t>
      </w:r>
      <w:r w:rsidRPr="0053001E">
        <w:rPr>
          <w:w w:val="105"/>
        </w:rPr>
        <w:t>25</w:t>
      </w:r>
      <w:r w:rsidRPr="0053001E">
        <w:rPr>
          <w:spacing w:val="-5"/>
          <w:w w:val="105"/>
        </w:rPr>
        <w:t xml:space="preserve"> </w:t>
      </w:r>
      <w:r w:rsidRPr="0053001E">
        <w:rPr>
          <w:w w:val="105"/>
        </w:rPr>
        <w:t>the</w:t>
      </w:r>
      <w:r w:rsidRPr="0053001E">
        <w:rPr>
          <w:spacing w:val="-1"/>
          <w:w w:val="105"/>
        </w:rPr>
        <w:t xml:space="preserve"> </w:t>
      </w:r>
      <w:r w:rsidRPr="0053001E">
        <w:rPr>
          <w:w w:val="105"/>
        </w:rPr>
        <w:t>(c)(1)</w:t>
      </w:r>
      <w:r w:rsidRPr="0053001E">
        <w:rPr>
          <w:spacing w:val="-21"/>
          <w:w w:val="105"/>
        </w:rPr>
        <w:t xml:space="preserve"> </w:t>
      </w:r>
      <w:r w:rsidRPr="0053001E">
        <w:rPr>
          <w:w w:val="105"/>
        </w:rPr>
        <w:t>individuals</w:t>
      </w:r>
      <w:r w:rsidRPr="0053001E">
        <w:rPr>
          <w:spacing w:val="21"/>
          <w:w w:val="101"/>
        </w:rPr>
        <w:t xml:space="preserve"> </w:t>
      </w:r>
      <w:r w:rsidRPr="0053001E">
        <w:rPr>
          <w:w w:val="105"/>
        </w:rPr>
        <w:t>must</w:t>
      </w:r>
      <w:r w:rsidRPr="0053001E">
        <w:rPr>
          <w:spacing w:val="-6"/>
          <w:w w:val="105"/>
        </w:rPr>
        <w:t xml:space="preserve"> </w:t>
      </w:r>
      <w:r w:rsidRPr="0053001E">
        <w:rPr>
          <w:w w:val="105"/>
        </w:rPr>
        <w:t>only</w:t>
      </w:r>
      <w:r w:rsidRPr="0053001E">
        <w:rPr>
          <w:spacing w:val="-12"/>
          <w:w w:val="105"/>
        </w:rPr>
        <w:t xml:space="preserve"> </w:t>
      </w:r>
      <w:r w:rsidRPr="0053001E">
        <w:rPr>
          <w:w w:val="105"/>
        </w:rPr>
        <w:t>provide</w:t>
      </w:r>
      <w:r w:rsidRPr="0053001E">
        <w:rPr>
          <w:spacing w:val="-1"/>
          <w:w w:val="105"/>
        </w:rPr>
        <w:t xml:space="preserve"> </w:t>
      </w:r>
      <w:r w:rsidRPr="0053001E">
        <w:rPr>
          <w:w w:val="105"/>
        </w:rPr>
        <w:t>his/her</w:t>
      </w:r>
      <w:r w:rsidRPr="0053001E">
        <w:rPr>
          <w:spacing w:val="-1"/>
          <w:w w:val="105"/>
        </w:rPr>
        <w:t xml:space="preserve"> </w:t>
      </w:r>
      <w:r w:rsidRPr="0053001E">
        <w:rPr>
          <w:w w:val="105"/>
        </w:rPr>
        <w:t>certificate</w:t>
      </w:r>
      <w:r w:rsidRPr="0053001E">
        <w:rPr>
          <w:spacing w:val="-6"/>
          <w:w w:val="105"/>
        </w:rPr>
        <w:t xml:space="preserve"> </w:t>
      </w:r>
      <w:r w:rsidRPr="0053001E">
        <w:rPr>
          <w:w w:val="105"/>
        </w:rPr>
        <w:t>and</w:t>
      </w:r>
      <w:r w:rsidRPr="0053001E">
        <w:rPr>
          <w:spacing w:val="-12"/>
          <w:w w:val="105"/>
        </w:rPr>
        <w:t xml:space="preserve"> </w:t>
      </w:r>
      <w:r w:rsidRPr="0053001E">
        <w:rPr>
          <w:w w:val="105"/>
        </w:rPr>
        <w:t>proof</w:t>
      </w:r>
      <w:r w:rsidRPr="0053001E">
        <w:rPr>
          <w:spacing w:val="-1"/>
          <w:w w:val="105"/>
        </w:rPr>
        <w:t xml:space="preserve"> </w:t>
      </w:r>
      <w:r w:rsidRPr="0053001E">
        <w:rPr>
          <w:w w:val="105"/>
        </w:rPr>
        <w:t>of</w:t>
      </w:r>
      <w:r w:rsidRPr="0053001E">
        <w:rPr>
          <w:spacing w:val="-12"/>
          <w:w w:val="105"/>
        </w:rPr>
        <w:t xml:space="preserve"> </w:t>
      </w:r>
      <w:r w:rsidRPr="0053001E">
        <w:rPr>
          <w:w w:val="105"/>
        </w:rPr>
        <w:t>(d),</w:t>
      </w:r>
      <w:r w:rsidRPr="0053001E">
        <w:rPr>
          <w:spacing w:val="-17"/>
          <w:w w:val="105"/>
        </w:rPr>
        <w:t xml:space="preserve"> </w:t>
      </w:r>
      <w:r w:rsidRPr="0053001E">
        <w:rPr>
          <w:w w:val="105"/>
        </w:rPr>
        <w:t>but</w:t>
      </w:r>
      <w:r w:rsidRPr="0053001E">
        <w:rPr>
          <w:spacing w:val="-5"/>
          <w:w w:val="105"/>
        </w:rPr>
        <w:t xml:space="preserve"> </w:t>
      </w:r>
      <w:r w:rsidRPr="0053001E">
        <w:rPr>
          <w:w w:val="105"/>
        </w:rPr>
        <w:t>on</w:t>
      </w:r>
      <w:r w:rsidRPr="0053001E">
        <w:rPr>
          <w:spacing w:val="-20"/>
          <w:w w:val="105"/>
        </w:rPr>
        <w:t xml:space="preserve"> </w:t>
      </w:r>
      <w:r w:rsidRPr="0053001E">
        <w:rPr>
          <w:w w:val="105"/>
        </w:rPr>
        <w:t>page 30</w:t>
      </w:r>
      <w:r w:rsidRPr="0053001E">
        <w:rPr>
          <w:spacing w:val="-9"/>
          <w:w w:val="105"/>
        </w:rPr>
        <w:t xml:space="preserve"> </w:t>
      </w:r>
      <w:r w:rsidRPr="0053001E">
        <w:rPr>
          <w:w w:val="105"/>
        </w:rPr>
        <w:t>it</w:t>
      </w:r>
      <w:r w:rsidRPr="0053001E">
        <w:rPr>
          <w:spacing w:val="-8"/>
          <w:w w:val="105"/>
        </w:rPr>
        <w:t xml:space="preserve"> </w:t>
      </w:r>
      <w:r w:rsidRPr="0053001E">
        <w:rPr>
          <w:w w:val="105"/>
        </w:rPr>
        <w:t>appears</w:t>
      </w:r>
      <w:r w:rsidRPr="0053001E">
        <w:rPr>
          <w:spacing w:val="-6"/>
          <w:w w:val="105"/>
        </w:rPr>
        <w:t xml:space="preserve"> </w:t>
      </w:r>
      <w:r w:rsidRPr="0053001E">
        <w:rPr>
          <w:w w:val="105"/>
        </w:rPr>
        <w:t>that (c)(1</w:t>
      </w:r>
      <w:r w:rsidRPr="0053001E">
        <w:rPr>
          <w:spacing w:val="-33"/>
          <w:w w:val="105"/>
        </w:rPr>
        <w:t xml:space="preserve"> </w:t>
      </w:r>
      <w:r w:rsidRPr="0053001E">
        <w:rPr>
          <w:w w:val="105"/>
        </w:rPr>
        <w:t>)</w:t>
      </w:r>
      <w:r w:rsidRPr="0053001E">
        <w:rPr>
          <w:w w:val="102"/>
        </w:rPr>
        <w:t xml:space="preserve"> </w:t>
      </w:r>
      <w:r w:rsidRPr="0053001E">
        <w:rPr>
          <w:w w:val="105"/>
        </w:rPr>
        <w:t>individuals</w:t>
      </w:r>
      <w:r w:rsidRPr="0053001E">
        <w:rPr>
          <w:spacing w:val="-6"/>
          <w:w w:val="105"/>
        </w:rPr>
        <w:t xml:space="preserve"> </w:t>
      </w:r>
      <w:r w:rsidRPr="0053001E">
        <w:rPr>
          <w:w w:val="105"/>
        </w:rPr>
        <w:t>must</w:t>
      </w:r>
      <w:r w:rsidRPr="0053001E">
        <w:rPr>
          <w:spacing w:val="-3"/>
          <w:w w:val="105"/>
        </w:rPr>
        <w:t xml:space="preserve"> </w:t>
      </w:r>
      <w:r w:rsidRPr="0053001E">
        <w:rPr>
          <w:w w:val="105"/>
        </w:rPr>
        <w:t>submit</w:t>
      </w:r>
      <w:r w:rsidRPr="0053001E">
        <w:rPr>
          <w:spacing w:val="-9"/>
          <w:w w:val="105"/>
        </w:rPr>
        <w:t xml:space="preserve"> </w:t>
      </w:r>
      <w:r w:rsidRPr="0053001E">
        <w:rPr>
          <w:w w:val="105"/>
        </w:rPr>
        <w:t>a</w:t>
      </w:r>
      <w:r w:rsidRPr="0053001E">
        <w:rPr>
          <w:spacing w:val="-19"/>
          <w:w w:val="105"/>
        </w:rPr>
        <w:t xml:space="preserve"> </w:t>
      </w:r>
      <w:r w:rsidRPr="0053001E">
        <w:rPr>
          <w:w w:val="105"/>
        </w:rPr>
        <w:t>copy</w:t>
      </w:r>
      <w:r w:rsidRPr="0053001E">
        <w:rPr>
          <w:spacing w:val="-14"/>
          <w:w w:val="105"/>
        </w:rPr>
        <w:t xml:space="preserve"> </w:t>
      </w:r>
      <w:r w:rsidRPr="0053001E">
        <w:rPr>
          <w:w w:val="105"/>
        </w:rPr>
        <w:t>of</w:t>
      </w:r>
      <w:r w:rsidRPr="0053001E">
        <w:rPr>
          <w:spacing w:val="-25"/>
          <w:w w:val="105"/>
        </w:rPr>
        <w:t xml:space="preserve"> </w:t>
      </w:r>
      <w:r w:rsidRPr="0053001E">
        <w:rPr>
          <w:w w:val="105"/>
        </w:rPr>
        <w:t>their</w:t>
      </w:r>
      <w:r w:rsidRPr="0053001E">
        <w:rPr>
          <w:spacing w:val="-8"/>
          <w:w w:val="105"/>
        </w:rPr>
        <w:t xml:space="preserve"> </w:t>
      </w:r>
      <w:r w:rsidRPr="0053001E">
        <w:rPr>
          <w:w w:val="105"/>
        </w:rPr>
        <w:t>certification</w:t>
      </w:r>
      <w:r w:rsidRPr="0053001E">
        <w:rPr>
          <w:spacing w:val="-6"/>
          <w:w w:val="105"/>
        </w:rPr>
        <w:t xml:space="preserve"> </w:t>
      </w:r>
      <w:r w:rsidRPr="0053001E">
        <w:rPr>
          <w:w w:val="105"/>
        </w:rPr>
        <w:t>as</w:t>
      </w:r>
      <w:r w:rsidRPr="0053001E">
        <w:rPr>
          <w:spacing w:val="-18"/>
          <w:w w:val="105"/>
        </w:rPr>
        <w:t xml:space="preserve"> </w:t>
      </w:r>
      <w:r w:rsidRPr="0053001E">
        <w:rPr>
          <w:w w:val="105"/>
        </w:rPr>
        <w:t>well</w:t>
      </w:r>
      <w:r w:rsidRPr="0053001E">
        <w:rPr>
          <w:spacing w:val="5"/>
          <w:w w:val="105"/>
        </w:rPr>
        <w:t xml:space="preserve"> </w:t>
      </w:r>
      <w:r w:rsidRPr="0053001E">
        <w:rPr>
          <w:w w:val="105"/>
        </w:rPr>
        <w:t>as</w:t>
      </w:r>
      <w:r w:rsidRPr="0053001E">
        <w:rPr>
          <w:spacing w:val="-18"/>
          <w:w w:val="105"/>
        </w:rPr>
        <w:t xml:space="preserve"> </w:t>
      </w:r>
      <w:r w:rsidRPr="0053001E">
        <w:rPr>
          <w:w w:val="105"/>
        </w:rPr>
        <w:t>a</w:t>
      </w:r>
      <w:r w:rsidRPr="0053001E">
        <w:rPr>
          <w:spacing w:val="-18"/>
          <w:w w:val="105"/>
        </w:rPr>
        <w:t xml:space="preserve"> </w:t>
      </w:r>
      <w:r w:rsidRPr="0053001E">
        <w:rPr>
          <w:w w:val="105"/>
        </w:rPr>
        <w:t>description</w:t>
      </w:r>
      <w:r w:rsidRPr="0053001E">
        <w:rPr>
          <w:spacing w:val="3"/>
          <w:w w:val="105"/>
        </w:rPr>
        <w:t xml:space="preserve"> </w:t>
      </w:r>
      <w:r w:rsidRPr="0053001E">
        <w:rPr>
          <w:w w:val="105"/>
        </w:rPr>
        <w:t>of</w:t>
      </w:r>
      <w:r w:rsidRPr="0053001E">
        <w:rPr>
          <w:spacing w:val="-15"/>
          <w:w w:val="105"/>
        </w:rPr>
        <w:t xml:space="preserve"> </w:t>
      </w:r>
      <w:r w:rsidRPr="0053001E">
        <w:rPr>
          <w:w w:val="105"/>
        </w:rPr>
        <w:t>the</w:t>
      </w:r>
      <w:r w:rsidRPr="0053001E">
        <w:rPr>
          <w:spacing w:val="-10"/>
          <w:w w:val="105"/>
        </w:rPr>
        <w:t xml:space="preserve"> </w:t>
      </w:r>
      <w:r w:rsidRPr="0053001E">
        <w:rPr>
          <w:w w:val="105"/>
        </w:rPr>
        <w:t>experience</w:t>
      </w:r>
      <w:r w:rsidRPr="0053001E">
        <w:rPr>
          <w:w w:val="102"/>
        </w:rPr>
        <w:t xml:space="preserve"> </w:t>
      </w:r>
      <w:r w:rsidRPr="0053001E">
        <w:rPr>
          <w:w w:val="105"/>
        </w:rPr>
        <w:t>specified</w:t>
      </w:r>
      <w:r w:rsidRPr="0053001E">
        <w:rPr>
          <w:spacing w:val="-9"/>
          <w:w w:val="105"/>
        </w:rPr>
        <w:t xml:space="preserve"> </w:t>
      </w:r>
      <w:r w:rsidRPr="0053001E">
        <w:rPr>
          <w:w w:val="105"/>
        </w:rPr>
        <w:t>in</w:t>
      </w:r>
      <w:r w:rsidRPr="0053001E">
        <w:rPr>
          <w:spacing w:val="-11"/>
          <w:w w:val="105"/>
        </w:rPr>
        <w:t xml:space="preserve"> </w:t>
      </w:r>
      <w:r w:rsidRPr="0053001E">
        <w:rPr>
          <w:w w:val="105"/>
        </w:rPr>
        <w:t>(c)(1</w:t>
      </w:r>
      <w:r w:rsidRPr="0053001E">
        <w:rPr>
          <w:spacing w:val="-40"/>
          <w:w w:val="105"/>
        </w:rPr>
        <w:t xml:space="preserve"> </w:t>
      </w:r>
      <w:r w:rsidRPr="0053001E">
        <w:rPr>
          <w:w w:val="105"/>
        </w:rPr>
        <w:t>)</w:t>
      </w:r>
      <w:r w:rsidRPr="0053001E">
        <w:rPr>
          <w:spacing w:val="-20"/>
          <w:w w:val="105"/>
        </w:rPr>
        <w:t xml:space="preserve"> </w:t>
      </w:r>
      <w:r w:rsidRPr="0053001E">
        <w:rPr>
          <w:w w:val="105"/>
        </w:rPr>
        <w:t>and</w:t>
      </w:r>
      <w:r w:rsidRPr="0053001E">
        <w:rPr>
          <w:spacing w:val="-7"/>
          <w:w w:val="105"/>
        </w:rPr>
        <w:t xml:space="preserve"> </w:t>
      </w:r>
      <w:r w:rsidRPr="0053001E">
        <w:rPr>
          <w:w w:val="105"/>
        </w:rPr>
        <w:t>the</w:t>
      </w:r>
      <w:r w:rsidRPr="0053001E">
        <w:rPr>
          <w:spacing w:val="-10"/>
          <w:w w:val="105"/>
        </w:rPr>
        <w:t xml:space="preserve"> </w:t>
      </w:r>
      <w:r w:rsidRPr="0053001E">
        <w:rPr>
          <w:w w:val="105"/>
        </w:rPr>
        <w:t>training</w:t>
      </w:r>
      <w:r w:rsidRPr="0053001E">
        <w:rPr>
          <w:spacing w:val="-2"/>
          <w:w w:val="105"/>
        </w:rPr>
        <w:t xml:space="preserve"> </w:t>
      </w:r>
      <w:r w:rsidRPr="0053001E">
        <w:rPr>
          <w:w w:val="105"/>
        </w:rPr>
        <w:t>and</w:t>
      </w:r>
      <w:r w:rsidRPr="0053001E">
        <w:rPr>
          <w:spacing w:val="-10"/>
          <w:w w:val="105"/>
        </w:rPr>
        <w:t xml:space="preserve"> </w:t>
      </w:r>
      <w:r w:rsidRPr="0053001E">
        <w:rPr>
          <w:w w:val="105"/>
        </w:rPr>
        <w:t>experience</w:t>
      </w:r>
      <w:r w:rsidRPr="0053001E">
        <w:rPr>
          <w:spacing w:val="-2"/>
          <w:w w:val="105"/>
        </w:rPr>
        <w:t xml:space="preserve"> </w:t>
      </w:r>
      <w:r w:rsidRPr="0053001E">
        <w:rPr>
          <w:w w:val="105"/>
        </w:rPr>
        <w:t>detailed</w:t>
      </w:r>
      <w:r w:rsidRPr="0053001E">
        <w:rPr>
          <w:spacing w:val="-1"/>
          <w:w w:val="105"/>
        </w:rPr>
        <w:t xml:space="preserve"> </w:t>
      </w:r>
      <w:r w:rsidRPr="0053001E">
        <w:rPr>
          <w:w w:val="105"/>
        </w:rPr>
        <w:t>in</w:t>
      </w:r>
      <w:r w:rsidRPr="0053001E">
        <w:rPr>
          <w:spacing w:val="-12"/>
          <w:w w:val="105"/>
        </w:rPr>
        <w:t xml:space="preserve"> </w:t>
      </w:r>
      <w:r w:rsidRPr="0053001E">
        <w:rPr>
          <w:w w:val="105"/>
        </w:rPr>
        <w:t>(d).</w:t>
      </w:r>
      <w:r w:rsidRPr="0053001E">
        <w:rPr>
          <w:spacing w:val="30"/>
          <w:w w:val="105"/>
        </w:rPr>
        <w:t xml:space="preserve"> </w:t>
      </w:r>
      <w:r w:rsidRPr="0053001E">
        <w:rPr>
          <w:w w:val="105"/>
        </w:rPr>
        <w:t>Page</w:t>
      </w:r>
      <w:r w:rsidRPr="0053001E">
        <w:rPr>
          <w:spacing w:val="-9"/>
          <w:w w:val="105"/>
        </w:rPr>
        <w:t xml:space="preserve"> </w:t>
      </w:r>
      <w:r w:rsidRPr="0053001E">
        <w:rPr>
          <w:w w:val="105"/>
        </w:rPr>
        <w:t>25</w:t>
      </w:r>
      <w:r w:rsidRPr="0053001E">
        <w:rPr>
          <w:spacing w:val="-4"/>
          <w:w w:val="105"/>
        </w:rPr>
        <w:t xml:space="preserve"> </w:t>
      </w:r>
      <w:r w:rsidRPr="0053001E">
        <w:rPr>
          <w:w w:val="105"/>
        </w:rPr>
        <w:t>somewhat</w:t>
      </w:r>
      <w:r w:rsidRPr="0053001E">
        <w:rPr>
          <w:spacing w:val="-3"/>
          <w:w w:val="105"/>
        </w:rPr>
        <w:t xml:space="preserve"> </w:t>
      </w:r>
      <w:r w:rsidRPr="0053001E">
        <w:rPr>
          <w:w w:val="105"/>
        </w:rPr>
        <w:t>implies</w:t>
      </w:r>
      <w:r w:rsidRPr="0053001E">
        <w:rPr>
          <w:w w:val="102"/>
        </w:rPr>
        <w:t xml:space="preserve"> </w:t>
      </w:r>
      <w:r w:rsidRPr="0053001E">
        <w:rPr>
          <w:w w:val="105"/>
        </w:rPr>
        <w:t>that</w:t>
      </w:r>
      <w:r w:rsidRPr="0053001E">
        <w:rPr>
          <w:spacing w:val="-14"/>
          <w:w w:val="105"/>
        </w:rPr>
        <w:t xml:space="preserve"> </w:t>
      </w:r>
      <w:r w:rsidRPr="0053001E">
        <w:rPr>
          <w:w w:val="105"/>
        </w:rPr>
        <w:t>the</w:t>
      </w:r>
      <w:r w:rsidRPr="0053001E">
        <w:rPr>
          <w:spacing w:val="-10"/>
          <w:w w:val="105"/>
        </w:rPr>
        <w:t xml:space="preserve"> </w:t>
      </w:r>
      <w:r w:rsidRPr="0053001E">
        <w:rPr>
          <w:w w:val="105"/>
        </w:rPr>
        <w:t>submitting</w:t>
      </w:r>
      <w:r w:rsidRPr="0053001E">
        <w:rPr>
          <w:spacing w:val="-3"/>
          <w:w w:val="105"/>
        </w:rPr>
        <w:t xml:space="preserve"> </w:t>
      </w:r>
      <w:r w:rsidRPr="0053001E">
        <w:rPr>
          <w:w w:val="105"/>
        </w:rPr>
        <w:t>of</w:t>
      </w:r>
      <w:r w:rsidRPr="0053001E">
        <w:rPr>
          <w:spacing w:val="-19"/>
          <w:w w:val="105"/>
        </w:rPr>
        <w:t xml:space="preserve"> </w:t>
      </w:r>
      <w:r w:rsidRPr="0053001E">
        <w:rPr>
          <w:w w:val="105"/>
        </w:rPr>
        <w:t>a</w:t>
      </w:r>
      <w:r w:rsidRPr="0053001E">
        <w:rPr>
          <w:spacing w:val="-24"/>
          <w:w w:val="105"/>
        </w:rPr>
        <w:t xml:space="preserve"> </w:t>
      </w:r>
      <w:r w:rsidRPr="0053001E">
        <w:rPr>
          <w:spacing w:val="-2"/>
          <w:w w:val="105"/>
        </w:rPr>
        <w:t>(c</w:t>
      </w:r>
      <w:r w:rsidRPr="0053001E">
        <w:rPr>
          <w:spacing w:val="-3"/>
          <w:w w:val="105"/>
        </w:rPr>
        <w:t>)(2)</w:t>
      </w:r>
      <w:r w:rsidRPr="0053001E">
        <w:rPr>
          <w:spacing w:val="-9"/>
          <w:w w:val="105"/>
        </w:rPr>
        <w:t xml:space="preserve"> </w:t>
      </w:r>
      <w:r w:rsidRPr="0053001E">
        <w:rPr>
          <w:w w:val="105"/>
        </w:rPr>
        <w:t>certification</w:t>
      </w:r>
      <w:r w:rsidRPr="0053001E">
        <w:rPr>
          <w:spacing w:val="-1"/>
          <w:w w:val="105"/>
        </w:rPr>
        <w:t xml:space="preserve"> </w:t>
      </w:r>
      <w:r w:rsidRPr="0053001E">
        <w:rPr>
          <w:w w:val="105"/>
        </w:rPr>
        <w:t>is</w:t>
      </w:r>
      <w:r w:rsidRPr="0053001E">
        <w:rPr>
          <w:spacing w:val="-16"/>
          <w:w w:val="105"/>
        </w:rPr>
        <w:t xml:space="preserve"> </w:t>
      </w:r>
      <w:r w:rsidRPr="0053001E">
        <w:rPr>
          <w:w w:val="105"/>
        </w:rPr>
        <w:t>separate</w:t>
      </w:r>
      <w:r w:rsidRPr="0053001E">
        <w:rPr>
          <w:spacing w:val="-9"/>
          <w:w w:val="105"/>
        </w:rPr>
        <w:t xml:space="preserve"> </w:t>
      </w:r>
      <w:r w:rsidRPr="0053001E">
        <w:rPr>
          <w:w w:val="105"/>
        </w:rPr>
        <w:t>from</w:t>
      </w:r>
      <w:r w:rsidRPr="0053001E">
        <w:rPr>
          <w:spacing w:val="-15"/>
          <w:w w:val="105"/>
        </w:rPr>
        <w:t xml:space="preserve"> </w:t>
      </w:r>
      <w:r w:rsidRPr="0053001E">
        <w:rPr>
          <w:w w:val="105"/>
        </w:rPr>
        <w:t>demonstrating</w:t>
      </w:r>
      <w:r w:rsidRPr="0053001E">
        <w:rPr>
          <w:spacing w:val="7"/>
          <w:w w:val="105"/>
        </w:rPr>
        <w:t xml:space="preserve"> </w:t>
      </w:r>
      <w:r w:rsidRPr="0053001E">
        <w:rPr>
          <w:w w:val="105"/>
        </w:rPr>
        <w:t>experience</w:t>
      </w:r>
      <w:r w:rsidRPr="0053001E">
        <w:rPr>
          <w:spacing w:val="2"/>
          <w:w w:val="105"/>
        </w:rPr>
        <w:t xml:space="preserve"> </w:t>
      </w:r>
      <w:r w:rsidRPr="0053001E">
        <w:rPr>
          <w:w w:val="105"/>
        </w:rPr>
        <w:t>in</w:t>
      </w:r>
      <w:r w:rsidRPr="0053001E">
        <w:rPr>
          <w:spacing w:val="-16"/>
          <w:w w:val="105"/>
        </w:rPr>
        <w:t xml:space="preserve"> </w:t>
      </w:r>
      <w:r w:rsidRPr="0053001E">
        <w:rPr>
          <w:w w:val="105"/>
        </w:rPr>
        <w:t>the</w:t>
      </w:r>
      <w:r w:rsidRPr="0053001E">
        <w:rPr>
          <w:spacing w:val="24"/>
          <w:w w:val="102"/>
        </w:rPr>
        <w:t xml:space="preserve"> </w:t>
      </w:r>
      <w:r w:rsidRPr="0053001E">
        <w:rPr>
          <w:w w:val="105"/>
        </w:rPr>
        <w:t>radiation</w:t>
      </w:r>
      <w:r w:rsidRPr="0053001E">
        <w:rPr>
          <w:spacing w:val="9"/>
          <w:w w:val="105"/>
        </w:rPr>
        <w:t xml:space="preserve"> </w:t>
      </w:r>
      <w:r w:rsidRPr="0053001E">
        <w:rPr>
          <w:w w:val="105"/>
        </w:rPr>
        <w:t>safety</w:t>
      </w:r>
      <w:r w:rsidRPr="0053001E">
        <w:rPr>
          <w:spacing w:val="1"/>
          <w:w w:val="105"/>
        </w:rPr>
        <w:t xml:space="preserve"> </w:t>
      </w:r>
      <w:r w:rsidRPr="0053001E">
        <w:rPr>
          <w:w w:val="105"/>
        </w:rPr>
        <w:t>aspects..</w:t>
      </w:r>
      <w:r w:rsidRPr="0053001E">
        <w:rPr>
          <w:spacing w:val="-30"/>
          <w:w w:val="105"/>
        </w:rPr>
        <w:t xml:space="preserve"> </w:t>
      </w:r>
      <w:r w:rsidRPr="0053001E">
        <w:rPr>
          <w:w w:val="105"/>
        </w:rPr>
        <w:t>.</w:t>
      </w:r>
      <w:r w:rsidRPr="0053001E">
        <w:rPr>
          <w:spacing w:val="33"/>
          <w:w w:val="105"/>
        </w:rPr>
        <w:t xml:space="preserve"> </w:t>
      </w:r>
      <w:r w:rsidRPr="0053001E">
        <w:rPr>
          <w:w w:val="105"/>
        </w:rPr>
        <w:t>On</w:t>
      </w:r>
      <w:r w:rsidRPr="0053001E">
        <w:rPr>
          <w:spacing w:val="-14"/>
          <w:w w:val="105"/>
        </w:rPr>
        <w:t xml:space="preserve"> </w:t>
      </w:r>
      <w:r w:rsidRPr="0053001E">
        <w:rPr>
          <w:w w:val="105"/>
        </w:rPr>
        <w:t>page</w:t>
      </w:r>
      <w:r w:rsidRPr="0053001E">
        <w:rPr>
          <w:spacing w:val="-4"/>
          <w:w w:val="105"/>
        </w:rPr>
        <w:t xml:space="preserve"> </w:t>
      </w:r>
      <w:r w:rsidRPr="0053001E">
        <w:rPr>
          <w:w w:val="105"/>
        </w:rPr>
        <w:t>31,</w:t>
      </w:r>
      <w:r w:rsidRPr="0053001E">
        <w:rPr>
          <w:spacing w:val="-14"/>
          <w:w w:val="105"/>
        </w:rPr>
        <w:t xml:space="preserve"> </w:t>
      </w:r>
      <w:r w:rsidRPr="0053001E">
        <w:rPr>
          <w:w w:val="105"/>
        </w:rPr>
        <w:t>(c)(2)</w:t>
      </w:r>
      <w:r w:rsidRPr="0053001E">
        <w:rPr>
          <w:spacing w:val="-6"/>
          <w:w w:val="105"/>
        </w:rPr>
        <w:t xml:space="preserve"> </w:t>
      </w:r>
      <w:r w:rsidRPr="0053001E">
        <w:rPr>
          <w:w w:val="105"/>
        </w:rPr>
        <w:t>individuals</w:t>
      </w:r>
      <w:r w:rsidRPr="0053001E">
        <w:rPr>
          <w:spacing w:val="-4"/>
          <w:w w:val="105"/>
        </w:rPr>
        <w:t xml:space="preserve"> </w:t>
      </w:r>
      <w:r w:rsidRPr="0053001E">
        <w:rPr>
          <w:w w:val="105"/>
        </w:rPr>
        <w:t>must</w:t>
      </w:r>
      <w:r w:rsidRPr="0053001E">
        <w:rPr>
          <w:spacing w:val="2"/>
          <w:w w:val="105"/>
        </w:rPr>
        <w:t xml:space="preserve"> </w:t>
      </w:r>
      <w:r w:rsidRPr="0053001E">
        <w:rPr>
          <w:w w:val="105"/>
        </w:rPr>
        <w:t>submit</w:t>
      </w:r>
      <w:r w:rsidRPr="0053001E">
        <w:rPr>
          <w:spacing w:val="-6"/>
          <w:w w:val="105"/>
        </w:rPr>
        <w:t xml:space="preserve"> </w:t>
      </w:r>
      <w:r w:rsidRPr="0053001E">
        <w:rPr>
          <w:w w:val="105"/>
        </w:rPr>
        <w:t>a</w:t>
      </w:r>
      <w:r w:rsidRPr="0053001E">
        <w:rPr>
          <w:spacing w:val="-16"/>
          <w:w w:val="105"/>
        </w:rPr>
        <w:t xml:space="preserve"> </w:t>
      </w:r>
      <w:r w:rsidRPr="0053001E">
        <w:rPr>
          <w:w w:val="105"/>
        </w:rPr>
        <w:t>copy</w:t>
      </w:r>
      <w:r w:rsidRPr="0053001E">
        <w:rPr>
          <w:spacing w:val="-7"/>
          <w:w w:val="105"/>
        </w:rPr>
        <w:t xml:space="preserve"> </w:t>
      </w:r>
      <w:r w:rsidRPr="0053001E">
        <w:rPr>
          <w:w w:val="105"/>
        </w:rPr>
        <w:t>of</w:t>
      </w:r>
      <w:r w:rsidRPr="0053001E">
        <w:rPr>
          <w:spacing w:val="-13"/>
          <w:w w:val="105"/>
        </w:rPr>
        <w:t xml:space="preserve"> </w:t>
      </w:r>
      <w:r w:rsidRPr="0053001E">
        <w:rPr>
          <w:w w:val="105"/>
        </w:rPr>
        <w:t>the</w:t>
      </w:r>
      <w:r w:rsidRPr="0053001E">
        <w:rPr>
          <w:w w:val="102"/>
        </w:rPr>
        <w:t xml:space="preserve"> </w:t>
      </w:r>
      <w:r w:rsidRPr="0053001E">
        <w:rPr>
          <w:w w:val="105"/>
        </w:rPr>
        <w:t>license/permit he/she</w:t>
      </w:r>
      <w:r w:rsidRPr="0053001E">
        <w:rPr>
          <w:spacing w:val="-1"/>
          <w:w w:val="105"/>
        </w:rPr>
        <w:t xml:space="preserve"> </w:t>
      </w:r>
      <w:r w:rsidRPr="0053001E">
        <w:rPr>
          <w:w w:val="105"/>
        </w:rPr>
        <w:t>is</w:t>
      </w:r>
      <w:r w:rsidRPr="0053001E">
        <w:rPr>
          <w:spacing w:val="-10"/>
          <w:w w:val="105"/>
        </w:rPr>
        <w:t xml:space="preserve"> </w:t>
      </w:r>
      <w:r w:rsidRPr="0053001E">
        <w:rPr>
          <w:w w:val="105"/>
        </w:rPr>
        <w:t>listed</w:t>
      </w:r>
      <w:r w:rsidRPr="0053001E">
        <w:rPr>
          <w:spacing w:val="-4"/>
          <w:w w:val="105"/>
        </w:rPr>
        <w:t xml:space="preserve"> </w:t>
      </w:r>
      <w:r w:rsidRPr="0053001E">
        <w:rPr>
          <w:w w:val="105"/>
        </w:rPr>
        <w:t>on</w:t>
      </w:r>
      <w:r w:rsidRPr="0053001E">
        <w:rPr>
          <w:spacing w:val="-17"/>
          <w:w w:val="105"/>
        </w:rPr>
        <w:t xml:space="preserve"> </w:t>
      </w:r>
      <w:r w:rsidRPr="0053001E">
        <w:rPr>
          <w:w w:val="105"/>
        </w:rPr>
        <w:t>that</w:t>
      </w:r>
      <w:r w:rsidRPr="0053001E">
        <w:rPr>
          <w:spacing w:val="-2"/>
          <w:w w:val="105"/>
        </w:rPr>
        <w:t xml:space="preserve"> </w:t>
      </w:r>
      <w:r w:rsidRPr="0053001E">
        <w:rPr>
          <w:w w:val="105"/>
        </w:rPr>
        <w:t>indicates</w:t>
      </w:r>
      <w:r w:rsidRPr="0053001E">
        <w:rPr>
          <w:spacing w:val="-4"/>
          <w:w w:val="105"/>
        </w:rPr>
        <w:t xml:space="preserve"> </w:t>
      </w:r>
      <w:r w:rsidRPr="0053001E">
        <w:rPr>
          <w:w w:val="105"/>
        </w:rPr>
        <w:t>the</w:t>
      </w:r>
      <w:r w:rsidRPr="0053001E">
        <w:rPr>
          <w:spacing w:val="-10"/>
          <w:w w:val="105"/>
        </w:rPr>
        <w:t xml:space="preserve"> </w:t>
      </w:r>
      <w:r w:rsidRPr="0053001E">
        <w:rPr>
          <w:w w:val="105"/>
        </w:rPr>
        <w:t>individual</w:t>
      </w:r>
      <w:r w:rsidRPr="0053001E">
        <w:rPr>
          <w:spacing w:val="-2"/>
          <w:w w:val="105"/>
        </w:rPr>
        <w:t xml:space="preserve"> </w:t>
      </w:r>
      <w:r w:rsidRPr="0053001E">
        <w:rPr>
          <w:w w:val="105"/>
        </w:rPr>
        <w:t>is</w:t>
      </w:r>
      <w:r w:rsidRPr="0053001E">
        <w:rPr>
          <w:spacing w:val="-18"/>
          <w:w w:val="105"/>
        </w:rPr>
        <w:t xml:space="preserve"> </w:t>
      </w:r>
      <w:r w:rsidRPr="0053001E">
        <w:rPr>
          <w:w w:val="105"/>
        </w:rPr>
        <w:t>an</w:t>
      </w:r>
      <w:r w:rsidRPr="0053001E">
        <w:rPr>
          <w:spacing w:val="-17"/>
          <w:w w:val="105"/>
        </w:rPr>
        <w:t xml:space="preserve"> </w:t>
      </w:r>
      <w:r w:rsidRPr="0053001E">
        <w:rPr>
          <w:w w:val="105"/>
        </w:rPr>
        <w:t>AU,</w:t>
      </w:r>
      <w:r w:rsidRPr="0053001E">
        <w:rPr>
          <w:spacing w:val="-14"/>
          <w:w w:val="105"/>
        </w:rPr>
        <w:t xml:space="preserve"> </w:t>
      </w:r>
      <w:r w:rsidRPr="0053001E">
        <w:rPr>
          <w:w w:val="105"/>
        </w:rPr>
        <w:t>AMP,</w:t>
      </w:r>
      <w:r w:rsidRPr="0053001E">
        <w:rPr>
          <w:spacing w:val="-3"/>
          <w:w w:val="105"/>
        </w:rPr>
        <w:t xml:space="preserve"> </w:t>
      </w:r>
      <w:r w:rsidRPr="0053001E">
        <w:rPr>
          <w:w w:val="105"/>
        </w:rPr>
        <w:t>or</w:t>
      </w:r>
      <w:r w:rsidRPr="0053001E">
        <w:rPr>
          <w:spacing w:val="-14"/>
          <w:w w:val="105"/>
        </w:rPr>
        <w:t xml:space="preserve"> </w:t>
      </w:r>
      <w:r w:rsidRPr="0053001E">
        <w:rPr>
          <w:w w:val="105"/>
        </w:rPr>
        <w:t>ANP</w:t>
      </w:r>
      <w:r w:rsidRPr="0053001E">
        <w:rPr>
          <w:spacing w:val="-9"/>
          <w:w w:val="105"/>
        </w:rPr>
        <w:t xml:space="preserve"> </w:t>
      </w:r>
      <w:r w:rsidRPr="0053001E">
        <w:rPr>
          <w:w w:val="105"/>
        </w:rPr>
        <w:t>and</w:t>
      </w:r>
      <w:r w:rsidRPr="0053001E">
        <w:rPr>
          <w:spacing w:val="-9"/>
          <w:w w:val="105"/>
        </w:rPr>
        <w:t xml:space="preserve"> </w:t>
      </w:r>
      <w:r w:rsidRPr="0053001E">
        <w:rPr>
          <w:w w:val="105"/>
        </w:rPr>
        <w:t>has</w:t>
      </w:r>
      <w:r w:rsidRPr="0053001E">
        <w:rPr>
          <w:w w:val="98"/>
        </w:rPr>
        <w:t xml:space="preserve"> </w:t>
      </w:r>
      <w:r w:rsidRPr="0053001E">
        <w:rPr>
          <w:w w:val="105"/>
        </w:rPr>
        <w:t>experience</w:t>
      </w:r>
      <w:r w:rsidRPr="0053001E">
        <w:rPr>
          <w:spacing w:val="-10"/>
          <w:w w:val="105"/>
        </w:rPr>
        <w:t xml:space="preserve"> </w:t>
      </w:r>
      <w:r w:rsidRPr="0053001E">
        <w:rPr>
          <w:w w:val="105"/>
        </w:rPr>
        <w:t>with</w:t>
      </w:r>
      <w:r w:rsidRPr="0053001E">
        <w:rPr>
          <w:spacing w:val="-10"/>
          <w:w w:val="105"/>
        </w:rPr>
        <w:t xml:space="preserve"> </w:t>
      </w:r>
      <w:r w:rsidRPr="0053001E">
        <w:rPr>
          <w:w w:val="105"/>
        </w:rPr>
        <w:t>the</w:t>
      </w:r>
      <w:r w:rsidRPr="0053001E">
        <w:rPr>
          <w:spacing w:val="-17"/>
          <w:w w:val="105"/>
        </w:rPr>
        <w:t xml:space="preserve"> </w:t>
      </w:r>
      <w:r w:rsidRPr="0053001E">
        <w:rPr>
          <w:w w:val="105"/>
        </w:rPr>
        <w:t>pertinent</w:t>
      </w:r>
      <w:r w:rsidRPr="0053001E">
        <w:rPr>
          <w:spacing w:val="-2"/>
          <w:w w:val="105"/>
        </w:rPr>
        <w:t xml:space="preserve"> </w:t>
      </w:r>
      <w:r w:rsidRPr="0053001E">
        <w:rPr>
          <w:w w:val="105"/>
        </w:rPr>
        <w:t>radiation</w:t>
      </w:r>
      <w:r w:rsidRPr="0053001E">
        <w:rPr>
          <w:spacing w:val="-2"/>
          <w:w w:val="105"/>
        </w:rPr>
        <w:t xml:space="preserve"> </w:t>
      </w:r>
      <w:r w:rsidRPr="0053001E">
        <w:rPr>
          <w:w w:val="105"/>
        </w:rPr>
        <w:t>safety</w:t>
      </w:r>
      <w:r w:rsidRPr="0053001E">
        <w:rPr>
          <w:spacing w:val="-13"/>
          <w:w w:val="105"/>
        </w:rPr>
        <w:t xml:space="preserve"> </w:t>
      </w:r>
      <w:r w:rsidRPr="0053001E">
        <w:rPr>
          <w:w w:val="105"/>
        </w:rPr>
        <w:t>aspects</w:t>
      </w:r>
      <w:r w:rsidRPr="0053001E">
        <w:rPr>
          <w:spacing w:val="-12"/>
          <w:w w:val="105"/>
        </w:rPr>
        <w:t xml:space="preserve"> </w:t>
      </w:r>
      <w:r w:rsidRPr="0053001E">
        <w:rPr>
          <w:w w:val="105"/>
        </w:rPr>
        <w:t>(i.e.,</w:t>
      </w:r>
      <w:r w:rsidRPr="0053001E">
        <w:rPr>
          <w:spacing w:val="-18"/>
          <w:w w:val="105"/>
        </w:rPr>
        <w:t xml:space="preserve"> </w:t>
      </w:r>
      <w:r w:rsidRPr="0053001E">
        <w:rPr>
          <w:w w:val="105"/>
        </w:rPr>
        <w:t>being</w:t>
      </w:r>
      <w:r w:rsidRPr="0053001E">
        <w:rPr>
          <w:spacing w:val="-5"/>
          <w:w w:val="105"/>
        </w:rPr>
        <w:t xml:space="preserve"> </w:t>
      </w:r>
      <w:r w:rsidRPr="0053001E">
        <w:rPr>
          <w:w w:val="105"/>
        </w:rPr>
        <w:t>on</w:t>
      </w:r>
      <w:r w:rsidRPr="0053001E">
        <w:rPr>
          <w:spacing w:val="-24"/>
          <w:w w:val="105"/>
        </w:rPr>
        <w:t xml:space="preserve"> </w:t>
      </w:r>
      <w:r w:rsidRPr="0053001E">
        <w:rPr>
          <w:w w:val="105"/>
        </w:rPr>
        <w:t>the</w:t>
      </w:r>
      <w:r w:rsidRPr="0053001E">
        <w:rPr>
          <w:spacing w:val="-6"/>
          <w:w w:val="105"/>
        </w:rPr>
        <w:t xml:space="preserve"> </w:t>
      </w:r>
      <w:r w:rsidRPr="0053001E">
        <w:rPr>
          <w:w w:val="105"/>
        </w:rPr>
        <w:t>license</w:t>
      </w:r>
      <w:r w:rsidRPr="0053001E">
        <w:rPr>
          <w:spacing w:val="-8"/>
          <w:w w:val="105"/>
        </w:rPr>
        <w:t xml:space="preserve"> </w:t>
      </w:r>
      <w:r w:rsidRPr="0053001E">
        <w:rPr>
          <w:w w:val="105"/>
        </w:rPr>
        <w:t>alone</w:t>
      </w:r>
      <w:r w:rsidRPr="0053001E">
        <w:rPr>
          <w:spacing w:val="-8"/>
          <w:w w:val="105"/>
        </w:rPr>
        <w:t xml:space="preserve"> </w:t>
      </w:r>
      <w:r w:rsidRPr="0053001E">
        <w:rPr>
          <w:w w:val="105"/>
        </w:rPr>
        <w:t>is</w:t>
      </w:r>
      <w:r w:rsidRPr="0053001E">
        <w:t xml:space="preserve"> </w:t>
      </w:r>
      <w:r w:rsidRPr="0053001E">
        <w:rPr>
          <w:w w:val="105"/>
        </w:rPr>
        <w:t>evidence</w:t>
      </w:r>
      <w:r w:rsidRPr="0053001E">
        <w:rPr>
          <w:spacing w:val="-6"/>
          <w:w w:val="105"/>
        </w:rPr>
        <w:t xml:space="preserve"> </w:t>
      </w:r>
      <w:r w:rsidRPr="0053001E">
        <w:rPr>
          <w:w w:val="105"/>
        </w:rPr>
        <w:t>that</w:t>
      </w:r>
      <w:r w:rsidRPr="0053001E">
        <w:rPr>
          <w:spacing w:val="-4"/>
          <w:w w:val="105"/>
        </w:rPr>
        <w:t xml:space="preserve"> </w:t>
      </w:r>
      <w:r w:rsidRPr="0053001E">
        <w:rPr>
          <w:w w:val="105"/>
        </w:rPr>
        <w:t>the</w:t>
      </w:r>
      <w:r w:rsidRPr="0053001E">
        <w:rPr>
          <w:spacing w:val="-6"/>
          <w:w w:val="105"/>
        </w:rPr>
        <w:t xml:space="preserve"> </w:t>
      </w:r>
      <w:r w:rsidRPr="0053001E">
        <w:rPr>
          <w:w w:val="105"/>
        </w:rPr>
        <w:t>aforementioned</w:t>
      </w:r>
      <w:r w:rsidRPr="0053001E">
        <w:rPr>
          <w:spacing w:val="10"/>
          <w:w w:val="105"/>
        </w:rPr>
        <w:t xml:space="preserve"> </w:t>
      </w:r>
      <w:r w:rsidRPr="0053001E">
        <w:rPr>
          <w:w w:val="105"/>
        </w:rPr>
        <w:t>experience</w:t>
      </w:r>
      <w:r w:rsidRPr="0053001E">
        <w:rPr>
          <w:spacing w:val="-6"/>
          <w:w w:val="105"/>
        </w:rPr>
        <w:t xml:space="preserve"> </w:t>
      </w:r>
      <w:r w:rsidRPr="0053001E">
        <w:rPr>
          <w:w w:val="105"/>
        </w:rPr>
        <w:t>has</w:t>
      </w:r>
      <w:r w:rsidRPr="0053001E">
        <w:rPr>
          <w:spacing w:val="-7"/>
          <w:w w:val="105"/>
        </w:rPr>
        <w:t xml:space="preserve"> </w:t>
      </w:r>
      <w:r w:rsidRPr="0053001E">
        <w:rPr>
          <w:w w:val="105"/>
        </w:rPr>
        <w:t>been</w:t>
      </w:r>
      <w:r w:rsidRPr="0053001E">
        <w:rPr>
          <w:spacing w:val="-3"/>
          <w:w w:val="105"/>
        </w:rPr>
        <w:t xml:space="preserve"> </w:t>
      </w:r>
      <w:r w:rsidRPr="0053001E">
        <w:rPr>
          <w:w w:val="105"/>
        </w:rPr>
        <w:t>achieved</w:t>
      </w:r>
      <w:r w:rsidRPr="0053001E">
        <w:rPr>
          <w:spacing w:val="-7"/>
          <w:w w:val="105"/>
        </w:rPr>
        <w:t xml:space="preserve"> </w:t>
      </w:r>
      <w:r w:rsidRPr="0053001E">
        <w:rPr>
          <w:spacing w:val="8"/>
          <w:w w:val="105"/>
        </w:rPr>
        <w:t>-</w:t>
      </w:r>
      <w:r w:rsidRPr="0053001E">
        <w:rPr>
          <w:w w:val="105"/>
        </w:rPr>
        <w:t>no</w:t>
      </w:r>
      <w:r w:rsidRPr="0053001E">
        <w:rPr>
          <w:spacing w:val="-2"/>
          <w:w w:val="105"/>
        </w:rPr>
        <w:t xml:space="preserve"> </w:t>
      </w:r>
      <w:r w:rsidRPr="0053001E">
        <w:rPr>
          <w:w w:val="105"/>
        </w:rPr>
        <w:t>description of</w:t>
      </w:r>
      <w:r w:rsidRPr="0053001E">
        <w:rPr>
          <w:spacing w:val="-16"/>
          <w:w w:val="105"/>
        </w:rPr>
        <w:t xml:space="preserve"> </w:t>
      </w:r>
      <w:r w:rsidRPr="0053001E">
        <w:rPr>
          <w:w w:val="105"/>
        </w:rPr>
        <w:t>the</w:t>
      </w:r>
      <w:r w:rsidRPr="0053001E">
        <w:rPr>
          <w:w w:val="102"/>
        </w:rPr>
        <w:t xml:space="preserve"> </w:t>
      </w:r>
      <w:r w:rsidRPr="0053001E">
        <w:rPr>
          <w:w w:val="105"/>
        </w:rPr>
        <w:t>experience</w:t>
      </w:r>
      <w:r w:rsidRPr="0053001E">
        <w:rPr>
          <w:spacing w:val="-12"/>
          <w:w w:val="105"/>
        </w:rPr>
        <w:t xml:space="preserve"> </w:t>
      </w:r>
      <w:r w:rsidRPr="0053001E">
        <w:rPr>
          <w:w w:val="105"/>
        </w:rPr>
        <w:t>is</w:t>
      </w:r>
      <w:r w:rsidRPr="0053001E">
        <w:rPr>
          <w:spacing w:val="-19"/>
          <w:w w:val="105"/>
        </w:rPr>
        <w:t xml:space="preserve"> </w:t>
      </w:r>
      <w:r w:rsidRPr="0053001E">
        <w:rPr>
          <w:w w:val="105"/>
        </w:rPr>
        <w:t>required).</w:t>
      </w:r>
      <w:r w:rsidRPr="0053001E">
        <w:rPr>
          <w:spacing w:val="36"/>
          <w:w w:val="105"/>
        </w:rPr>
        <w:t xml:space="preserve"> </w:t>
      </w:r>
    </w:p>
    <w:p w14:paraId="224C8B95" w14:textId="77777777" w:rsidR="00594554" w:rsidRDefault="00594554" w:rsidP="00594554">
      <w:pPr>
        <w:spacing w:line="240" w:lineRule="auto"/>
        <w:rPr>
          <w:rFonts w:eastAsia="Calibri"/>
        </w:rPr>
      </w:pPr>
    </w:p>
    <w:p w14:paraId="6D93857A" w14:textId="4583B0A5" w:rsidR="00594554" w:rsidRPr="004E2F40" w:rsidRDefault="00594554" w:rsidP="00594554">
      <w:pPr>
        <w:rPr>
          <w:rFonts w:eastAsia="Calibri"/>
          <w:color w:val="000000" w:themeColor="text1"/>
        </w:rPr>
      </w:pPr>
      <w:r w:rsidRPr="00FF4E3C">
        <w:rPr>
          <w:rFonts w:eastAsia="Calibri"/>
          <w:b/>
        </w:rPr>
        <w:t>Response:</w:t>
      </w:r>
      <w:r>
        <w:rPr>
          <w:rFonts w:eastAsia="Calibri"/>
          <w:b/>
        </w:rPr>
        <w:t xml:space="preserve">  </w:t>
      </w:r>
      <w:r w:rsidRPr="004E2F40">
        <w:rPr>
          <w:rFonts w:eastAsia="Calibri"/>
        </w:rPr>
        <w:t>The guidance was revised based on this comment.</w:t>
      </w:r>
      <w:r w:rsidRPr="00FF4E3C">
        <w:rPr>
          <w:rFonts w:eastAsia="Calibri"/>
        </w:rPr>
        <w:t xml:space="preserve"> The text on page 25 was revised to include the requirement </w:t>
      </w:r>
      <w:r w:rsidRPr="004E2F40">
        <w:rPr>
          <w:rFonts w:eastAsia="Calibri"/>
          <w:color w:val="000000" w:themeColor="text1"/>
        </w:rPr>
        <w:t xml:space="preserve">“demonstrating that the proposed RSO or ARSO is qualified by experience with the radiation safety aspects of similar types of use of byproduct material for which the applicant seeks approval of an individual to serve as RSO or ARSO” in the discussion on requirements for 10 CFR 35.50(c)(1). The commenter is correct that for  individuals meeting the requirements of </w:t>
      </w:r>
      <w:r w:rsidR="00880921" w:rsidRPr="004E2F40">
        <w:rPr>
          <w:rFonts w:eastAsia="Calibri"/>
          <w:color w:val="000000" w:themeColor="text1"/>
        </w:rPr>
        <w:t xml:space="preserve">10 CFR </w:t>
      </w:r>
      <w:r w:rsidRPr="004E2F40">
        <w:rPr>
          <w:rFonts w:eastAsia="Calibri"/>
          <w:color w:val="000000" w:themeColor="text1"/>
        </w:rPr>
        <w:t xml:space="preserve">35.50(c)(2) being on the license alone is evidence that the individual has experience with the radiation safety aspects of similar types of use of byproduct material for which the applicant seeks approval of an individual to serve as RSO or ARSO.  The individual is only eligible to be the RSO or ARSO for similar materials and uses for which he or she was authorized for on the license or permit listing them as an AU, AMP, or ANP. </w:t>
      </w:r>
    </w:p>
    <w:p w14:paraId="4F749BEB" w14:textId="77777777" w:rsidR="00594554" w:rsidRDefault="00594554" w:rsidP="00594554">
      <w:pPr>
        <w:spacing w:line="240" w:lineRule="auto"/>
        <w:rPr>
          <w:rFonts w:eastAsia="Calibri"/>
        </w:rPr>
      </w:pPr>
    </w:p>
    <w:p w14:paraId="478E774A" w14:textId="1B29E97C" w:rsidR="00594554" w:rsidRPr="00DC2D00" w:rsidRDefault="00594554" w:rsidP="00594554">
      <w:pPr>
        <w:spacing w:line="240" w:lineRule="auto"/>
        <w:rPr>
          <w:rFonts w:eastAsia="Calibri"/>
        </w:rPr>
      </w:pPr>
      <w:r w:rsidRPr="00DC2D00">
        <w:rPr>
          <w:rFonts w:eastAsia="Calibri"/>
          <w:b/>
        </w:rPr>
        <w:t>Comment:</w:t>
      </w:r>
      <w:r w:rsidRPr="00DC2D00">
        <w:rPr>
          <w:rFonts w:eastAsia="Calibri"/>
        </w:rPr>
        <w:t xml:space="preserve"> The commenter stated </w:t>
      </w:r>
      <w:r w:rsidR="00356AB6">
        <w:rPr>
          <w:rFonts w:eastAsia="Calibri"/>
        </w:rPr>
        <w:t xml:space="preserve">that </w:t>
      </w:r>
      <w:r>
        <w:rPr>
          <w:rFonts w:eastAsia="Calibri"/>
        </w:rPr>
        <w:t xml:space="preserve">the guidance did not </w:t>
      </w:r>
      <w:r w:rsidR="00356AB6">
        <w:rPr>
          <w:rFonts w:eastAsia="Calibri"/>
        </w:rPr>
        <w:t xml:space="preserve">have </w:t>
      </w:r>
      <w:r w:rsidRPr="00DC2D00">
        <w:rPr>
          <w:rFonts w:eastAsia="Calibri"/>
        </w:rPr>
        <w:t xml:space="preserve">a </w:t>
      </w:r>
      <w:r w:rsidR="006E7C52">
        <w:rPr>
          <w:rFonts w:eastAsia="Calibri"/>
        </w:rPr>
        <w:t>provision</w:t>
      </w:r>
      <w:r w:rsidR="006E7C52" w:rsidRPr="00DC2D00">
        <w:rPr>
          <w:rFonts w:eastAsia="Calibri"/>
        </w:rPr>
        <w:t xml:space="preserve"> </w:t>
      </w:r>
      <w:r w:rsidRPr="00DC2D00">
        <w:rPr>
          <w:rFonts w:eastAsia="Calibri"/>
        </w:rPr>
        <w:t xml:space="preserve">for </w:t>
      </w:r>
      <w:r w:rsidR="00356AB6">
        <w:rPr>
          <w:rFonts w:eastAsia="Calibri"/>
        </w:rPr>
        <w:t xml:space="preserve">the </w:t>
      </w:r>
      <w:r w:rsidRPr="00DC2D00">
        <w:rPr>
          <w:rFonts w:eastAsia="Calibri"/>
        </w:rPr>
        <w:t xml:space="preserve">particular kind of experience needed for individuals under the </w:t>
      </w:r>
      <w:r w:rsidR="00E41348">
        <w:rPr>
          <w:rFonts w:eastAsia="Calibri"/>
        </w:rPr>
        <w:t>requirements</w:t>
      </w:r>
      <w:r w:rsidRPr="00DC2D00">
        <w:rPr>
          <w:rFonts w:eastAsia="Calibri"/>
        </w:rPr>
        <w:t xml:space="preserve"> of 10 CFR 35.50(c)(3) </w:t>
      </w:r>
      <w:r>
        <w:rPr>
          <w:rFonts w:eastAsia="Calibri"/>
        </w:rPr>
        <w:t>and how</w:t>
      </w:r>
      <w:r w:rsidRPr="00DC2D00">
        <w:rPr>
          <w:rFonts w:eastAsia="Calibri"/>
        </w:rPr>
        <w:t xml:space="preserve"> to document it</w:t>
      </w:r>
      <w:r w:rsidR="00356AB6">
        <w:rPr>
          <w:rFonts w:eastAsia="Calibri"/>
        </w:rPr>
        <w:t>,</w:t>
      </w:r>
      <w:r w:rsidRPr="00DC2D00">
        <w:rPr>
          <w:rFonts w:eastAsia="Calibri"/>
        </w:rPr>
        <w:t xml:space="preserve"> </w:t>
      </w:r>
      <w:r>
        <w:rPr>
          <w:rFonts w:eastAsia="Calibri"/>
        </w:rPr>
        <w:t xml:space="preserve">even though </w:t>
      </w:r>
      <w:r w:rsidRPr="00DC2D00">
        <w:rPr>
          <w:rFonts w:eastAsia="Calibri"/>
        </w:rPr>
        <w:t xml:space="preserve">the proposed regulations state it to be a requirement.  </w:t>
      </w:r>
      <w:r>
        <w:rPr>
          <w:rFonts w:eastAsia="Calibri"/>
        </w:rPr>
        <w:t>The commenter wanted either the a</w:t>
      </w:r>
      <w:r w:rsidRPr="00DC2D00">
        <w:rPr>
          <w:rFonts w:eastAsia="Calibri"/>
        </w:rPr>
        <w:t xml:space="preserve">cceptable documentation/proof of experience for all the pathways </w:t>
      </w:r>
      <w:r>
        <w:rPr>
          <w:rFonts w:eastAsia="Calibri"/>
        </w:rPr>
        <w:t>to be</w:t>
      </w:r>
      <w:r w:rsidRPr="00DC2D00">
        <w:rPr>
          <w:rFonts w:eastAsia="Calibri"/>
        </w:rPr>
        <w:t xml:space="preserve"> clear</w:t>
      </w:r>
      <w:r>
        <w:rPr>
          <w:rFonts w:eastAsia="Calibri"/>
        </w:rPr>
        <w:t xml:space="preserve"> and if</w:t>
      </w:r>
      <w:r w:rsidRPr="00DC2D00">
        <w:rPr>
          <w:rFonts w:eastAsia="Calibri"/>
        </w:rPr>
        <w:t xml:space="preserve"> the experience does not have to be documented, then it should not be required in regulation.</w:t>
      </w:r>
    </w:p>
    <w:p w14:paraId="3F832175" w14:textId="77777777" w:rsidR="00594554" w:rsidRDefault="00594554" w:rsidP="00594554">
      <w:pPr>
        <w:kinsoku w:val="0"/>
        <w:overflowPunct w:val="0"/>
        <w:autoSpaceDE w:val="0"/>
        <w:autoSpaceDN w:val="0"/>
        <w:adjustRightInd w:val="0"/>
        <w:spacing w:before="4" w:line="240" w:lineRule="auto"/>
      </w:pPr>
    </w:p>
    <w:p w14:paraId="24A75B99" w14:textId="31EEF59E" w:rsidR="00594554" w:rsidRPr="004E2F40" w:rsidRDefault="00594554" w:rsidP="00594554">
      <w:pPr>
        <w:kinsoku w:val="0"/>
        <w:overflowPunct w:val="0"/>
        <w:autoSpaceDE w:val="0"/>
        <w:autoSpaceDN w:val="0"/>
        <w:adjustRightInd w:val="0"/>
        <w:spacing w:before="4" w:line="240" w:lineRule="auto"/>
        <w:rPr>
          <w:b/>
        </w:rPr>
      </w:pPr>
      <w:r w:rsidRPr="004E2F40">
        <w:rPr>
          <w:b/>
        </w:rPr>
        <w:t>Response:</w:t>
      </w:r>
      <w:r>
        <w:rPr>
          <w:b/>
        </w:rPr>
        <w:t xml:space="preserve">  </w:t>
      </w:r>
      <w:r w:rsidRPr="004E2F40">
        <w:t>No change was made to the guidance</w:t>
      </w:r>
      <w:r w:rsidR="00FE0601">
        <w:t xml:space="preserve"> in response to this comment</w:t>
      </w:r>
      <w:r>
        <w:t xml:space="preserve">.  Under the provisions of </w:t>
      </w:r>
      <w:r w:rsidR="006815B0" w:rsidRPr="004E2F40">
        <w:rPr>
          <w:rFonts w:eastAsia="Calibri"/>
          <w:color w:val="000000" w:themeColor="text1"/>
        </w:rPr>
        <w:t xml:space="preserve">10 CFR </w:t>
      </w:r>
      <w:r>
        <w:t>35.50(c)(3)</w:t>
      </w:r>
      <w:r w:rsidR="00FE0601">
        <w:t>,</w:t>
      </w:r>
      <w:r>
        <w:t xml:space="preserve"> the experience the individual provides to be named as the AU is the same experience the individual needs to be simultaneously named as the RSO.  The applicant is requesting a new license and the new license will only authorize the medical uses for which the proposed AU is qualified.  Submission of the appropriate NRC Form 313A</w:t>
      </w:r>
      <w:r w:rsidR="00FE0601">
        <w:t xml:space="preserve"> </w:t>
      </w:r>
      <w:r>
        <w:t>(AUD), (AUT) or (AUS) will document the individual</w:t>
      </w:r>
      <w:r w:rsidR="00FE0601">
        <w:t xml:space="preserve">’s </w:t>
      </w:r>
      <w:r w:rsidRPr="007979E0">
        <w:t>experience with the radiation safety aspects of the types of use of byproduct material for which the individual is seeking simultaneous approval both as the Radiation Safety Officer and the authorized user</w:t>
      </w:r>
      <w:r>
        <w:t>.  Submission of NRC Form 313A</w:t>
      </w:r>
      <w:r w:rsidR="00FE0601">
        <w:t xml:space="preserve"> </w:t>
      </w:r>
      <w:r>
        <w:t xml:space="preserve">(RSO) is used to ensure the individual meets the requirements in </w:t>
      </w:r>
      <w:r w:rsidR="006815B0" w:rsidRPr="004E2F40">
        <w:rPr>
          <w:rFonts w:eastAsia="Calibri"/>
          <w:color w:val="000000" w:themeColor="text1"/>
        </w:rPr>
        <w:t xml:space="preserve">10 CFR </w:t>
      </w:r>
      <w:r>
        <w:t xml:space="preserve">35.50(d).  </w:t>
      </w:r>
    </w:p>
    <w:p w14:paraId="4371CB1B" w14:textId="77777777" w:rsidR="00594554" w:rsidRPr="0053001E" w:rsidRDefault="00594554" w:rsidP="00594554">
      <w:pPr>
        <w:kinsoku w:val="0"/>
        <w:overflowPunct w:val="0"/>
        <w:autoSpaceDE w:val="0"/>
        <w:autoSpaceDN w:val="0"/>
        <w:adjustRightInd w:val="0"/>
        <w:spacing w:before="7" w:line="240" w:lineRule="auto"/>
      </w:pPr>
    </w:p>
    <w:p w14:paraId="7F89B26E" w14:textId="49C5AB32" w:rsidR="00594554" w:rsidRDefault="00594554" w:rsidP="00594554">
      <w:pPr>
        <w:kinsoku w:val="0"/>
        <w:overflowPunct w:val="0"/>
        <w:autoSpaceDE w:val="0"/>
        <w:autoSpaceDN w:val="0"/>
        <w:adjustRightInd w:val="0"/>
        <w:spacing w:line="251" w:lineRule="auto"/>
        <w:ind w:right="208"/>
        <w:rPr>
          <w:spacing w:val="55"/>
          <w:w w:val="105"/>
        </w:rPr>
      </w:pPr>
      <w:r w:rsidRPr="004E2F40">
        <w:rPr>
          <w:b/>
          <w:w w:val="105"/>
        </w:rPr>
        <w:t>Comment:</w:t>
      </w:r>
      <w:r>
        <w:rPr>
          <w:w w:val="105"/>
        </w:rPr>
        <w:t xml:space="preserve"> </w:t>
      </w:r>
      <w:r w:rsidR="006815B0">
        <w:rPr>
          <w:w w:val="105"/>
        </w:rPr>
        <w:t xml:space="preserve"> </w:t>
      </w:r>
      <w:r w:rsidR="00FE0601">
        <w:rPr>
          <w:w w:val="105"/>
        </w:rPr>
        <w:t>A</w:t>
      </w:r>
      <w:r w:rsidRPr="0053001E">
        <w:rPr>
          <w:spacing w:val="-21"/>
          <w:w w:val="105"/>
        </w:rPr>
        <w:t xml:space="preserve"> </w:t>
      </w:r>
      <w:r w:rsidRPr="0053001E">
        <w:rPr>
          <w:w w:val="105"/>
        </w:rPr>
        <w:t>chart</w:t>
      </w:r>
      <w:r w:rsidRPr="0053001E">
        <w:rPr>
          <w:spacing w:val="-10"/>
          <w:w w:val="105"/>
        </w:rPr>
        <w:t xml:space="preserve"> </w:t>
      </w:r>
      <w:r w:rsidRPr="0053001E">
        <w:rPr>
          <w:w w:val="105"/>
        </w:rPr>
        <w:t>in</w:t>
      </w:r>
      <w:r w:rsidRPr="0053001E">
        <w:rPr>
          <w:spacing w:val="-19"/>
          <w:w w:val="105"/>
        </w:rPr>
        <w:t xml:space="preserve"> </w:t>
      </w:r>
      <w:r w:rsidRPr="0053001E">
        <w:rPr>
          <w:w w:val="105"/>
        </w:rPr>
        <w:t>guidance</w:t>
      </w:r>
      <w:r w:rsidRPr="0053001E">
        <w:rPr>
          <w:spacing w:val="-13"/>
          <w:w w:val="105"/>
        </w:rPr>
        <w:t xml:space="preserve"> </w:t>
      </w:r>
      <w:r w:rsidRPr="0053001E">
        <w:rPr>
          <w:w w:val="105"/>
        </w:rPr>
        <w:t>would</w:t>
      </w:r>
      <w:r w:rsidRPr="0053001E">
        <w:rPr>
          <w:spacing w:val="-6"/>
          <w:w w:val="105"/>
        </w:rPr>
        <w:t xml:space="preserve"> </w:t>
      </w:r>
      <w:r w:rsidRPr="0053001E">
        <w:rPr>
          <w:w w:val="105"/>
        </w:rPr>
        <w:t>be</w:t>
      </w:r>
      <w:r w:rsidRPr="0053001E">
        <w:rPr>
          <w:spacing w:val="-17"/>
          <w:w w:val="105"/>
        </w:rPr>
        <w:t xml:space="preserve"> </w:t>
      </w:r>
      <w:r w:rsidRPr="0053001E">
        <w:rPr>
          <w:w w:val="105"/>
        </w:rPr>
        <w:t>helpful</w:t>
      </w:r>
      <w:r w:rsidRPr="0053001E">
        <w:rPr>
          <w:spacing w:val="-5"/>
          <w:w w:val="105"/>
        </w:rPr>
        <w:t xml:space="preserve"> </w:t>
      </w:r>
      <w:r w:rsidRPr="0053001E">
        <w:rPr>
          <w:w w:val="105"/>
        </w:rPr>
        <w:t>that</w:t>
      </w:r>
      <w:r w:rsidRPr="0053001E">
        <w:rPr>
          <w:spacing w:val="-9"/>
          <w:w w:val="105"/>
        </w:rPr>
        <w:t xml:space="preserve"> </w:t>
      </w:r>
      <w:r w:rsidRPr="0053001E">
        <w:rPr>
          <w:w w:val="105"/>
        </w:rPr>
        <w:t>delineates</w:t>
      </w:r>
      <w:r w:rsidRPr="0053001E">
        <w:rPr>
          <w:spacing w:val="-6"/>
          <w:w w:val="105"/>
        </w:rPr>
        <w:t xml:space="preserve"> </w:t>
      </w:r>
      <w:r w:rsidRPr="0053001E">
        <w:rPr>
          <w:w w:val="105"/>
        </w:rPr>
        <w:t>exactly</w:t>
      </w:r>
      <w:r w:rsidRPr="0053001E">
        <w:rPr>
          <w:spacing w:val="-8"/>
          <w:w w:val="105"/>
        </w:rPr>
        <w:t xml:space="preserve"> </w:t>
      </w:r>
      <w:r w:rsidRPr="0053001E">
        <w:rPr>
          <w:w w:val="105"/>
        </w:rPr>
        <w:t>what</w:t>
      </w:r>
      <w:r w:rsidRPr="0053001E">
        <w:rPr>
          <w:spacing w:val="-5"/>
          <w:w w:val="105"/>
        </w:rPr>
        <w:t xml:space="preserve"> </w:t>
      </w:r>
      <w:r w:rsidRPr="0053001E">
        <w:rPr>
          <w:w w:val="105"/>
        </w:rPr>
        <w:t>should</w:t>
      </w:r>
      <w:r w:rsidRPr="0053001E">
        <w:rPr>
          <w:spacing w:val="-11"/>
          <w:w w:val="105"/>
        </w:rPr>
        <w:t xml:space="preserve"> </w:t>
      </w:r>
      <w:r w:rsidRPr="0053001E">
        <w:rPr>
          <w:w w:val="105"/>
        </w:rPr>
        <w:t>be</w:t>
      </w:r>
      <w:r w:rsidRPr="0053001E">
        <w:rPr>
          <w:spacing w:val="-8"/>
          <w:w w:val="105"/>
        </w:rPr>
        <w:t xml:space="preserve"> </w:t>
      </w:r>
      <w:r w:rsidRPr="0053001E">
        <w:rPr>
          <w:w w:val="105"/>
        </w:rPr>
        <w:t>submitted</w:t>
      </w:r>
      <w:r w:rsidRPr="0053001E">
        <w:rPr>
          <w:w w:val="101"/>
        </w:rPr>
        <w:t xml:space="preserve"> </w:t>
      </w:r>
      <w:r w:rsidRPr="0053001E">
        <w:rPr>
          <w:w w:val="105"/>
        </w:rPr>
        <w:t>by</w:t>
      </w:r>
      <w:r w:rsidRPr="0053001E">
        <w:rPr>
          <w:spacing w:val="1"/>
          <w:w w:val="105"/>
        </w:rPr>
        <w:t xml:space="preserve"> </w:t>
      </w:r>
      <w:r w:rsidRPr="0053001E">
        <w:rPr>
          <w:w w:val="105"/>
        </w:rPr>
        <w:t>each</w:t>
      </w:r>
      <w:r w:rsidRPr="0053001E">
        <w:rPr>
          <w:spacing w:val="-4"/>
          <w:w w:val="105"/>
        </w:rPr>
        <w:t xml:space="preserve"> </w:t>
      </w:r>
      <w:r w:rsidRPr="0053001E">
        <w:rPr>
          <w:w w:val="105"/>
        </w:rPr>
        <w:t>authorization</w:t>
      </w:r>
      <w:r w:rsidRPr="0053001E">
        <w:rPr>
          <w:spacing w:val="7"/>
          <w:w w:val="105"/>
        </w:rPr>
        <w:t xml:space="preserve"> </w:t>
      </w:r>
      <w:r w:rsidRPr="0053001E">
        <w:rPr>
          <w:w w:val="105"/>
        </w:rPr>
        <w:t>route</w:t>
      </w:r>
      <w:r w:rsidR="00FE0601">
        <w:rPr>
          <w:w w:val="105"/>
        </w:rPr>
        <w:t>, whether</w:t>
      </w:r>
      <w:r w:rsidRPr="0053001E">
        <w:rPr>
          <w:spacing w:val="-29"/>
          <w:w w:val="105"/>
        </w:rPr>
        <w:t xml:space="preserve"> </w:t>
      </w:r>
      <w:r w:rsidR="006815B0" w:rsidRPr="004E2F40">
        <w:rPr>
          <w:rFonts w:eastAsia="Calibri"/>
          <w:color w:val="000000" w:themeColor="text1"/>
        </w:rPr>
        <w:t xml:space="preserve">10 CFR </w:t>
      </w:r>
      <w:r>
        <w:rPr>
          <w:spacing w:val="-29"/>
          <w:w w:val="105"/>
        </w:rPr>
        <w:t>35.50</w:t>
      </w:r>
      <w:r w:rsidRPr="0053001E">
        <w:rPr>
          <w:w w:val="105"/>
        </w:rPr>
        <w:t>(a),</w:t>
      </w:r>
      <w:r w:rsidRPr="0053001E">
        <w:rPr>
          <w:spacing w:val="-8"/>
          <w:w w:val="105"/>
        </w:rPr>
        <w:t xml:space="preserve"> </w:t>
      </w:r>
      <w:r w:rsidRPr="0053001E">
        <w:rPr>
          <w:w w:val="105"/>
        </w:rPr>
        <w:t>(b),</w:t>
      </w:r>
      <w:r w:rsidRPr="0053001E">
        <w:rPr>
          <w:spacing w:val="-9"/>
          <w:w w:val="105"/>
        </w:rPr>
        <w:t xml:space="preserve"> </w:t>
      </w:r>
      <w:r w:rsidRPr="0053001E">
        <w:rPr>
          <w:w w:val="105"/>
        </w:rPr>
        <w:t>(c)(</w:t>
      </w:r>
      <w:r w:rsidRPr="0053001E">
        <w:rPr>
          <w:spacing w:val="-38"/>
          <w:w w:val="105"/>
        </w:rPr>
        <w:t xml:space="preserve"> </w:t>
      </w:r>
      <w:r w:rsidRPr="0053001E">
        <w:rPr>
          <w:w w:val="105"/>
        </w:rPr>
        <w:t>l</w:t>
      </w:r>
      <w:r w:rsidRPr="0053001E">
        <w:rPr>
          <w:spacing w:val="-35"/>
          <w:w w:val="105"/>
        </w:rPr>
        <w:t xml:space="preserve"> </w:t>
      </w:r>
      <w:r w:rsidRPr="0053001E">
        <w:rPr>
          <w:w w:val="105"/>
        </w:rPr>
        <w:t>),</w:t>
      </w:r>
      <w:r w:rsidRPr="0053001E">
        <w:rPr>
          <w:spacing w:val="24"/>
          <w:w w:val="102"/>
        </w:rPr>
        <w:t xml:space="preserve"> </w:t>
      </w:r>
      <w:r w:rsidRPr="0053001E">
        <w:rPr>
          <w:spacing w:val="-2"/>
          <w:w w:val="105"/>
        </w:rPr>
        <w:t>(c</w:t>
      </w:r>
      <w:r w:rsidRPr="0053001E">
        <w:rPr>
          <w:spacing w:val="-3"/>
          <w:w w:val="105"/>
        </w:rPr>
        <w:t>)(2),</w:t>
      </w:r>
      <w:r w:rsidRPr="0053001E">
        <w:rPr>
          <w:spacing w:val="-13"/>
          <w:w w:val="105"/>
        </w:rPr>
        <w:t xml:space="preserve"> </w:t>
      </w:r>
      <w:r w:rsidRPr="0053001E">
        <w:rPr>
          <w:w w:val="105"/>
        </w:rPr>
        <w:t>and</w:t>
      </w:r>
      <w:r w:rsidRPr="0053001E">
        <w:rPr>
          <w:spacing w:val="-1"/>
          <w:w w:val="105"/>
        </w:rPr>
        <w:t xml:space="preserve"> </w:t>
      </w:r>
      <w:r w:rsidRPr="0053001E">
        <w:rPr>
          <w:w w:val="105"/>
        </w:rPr>
        <w:t>(c)(3)</w:t>
      </w:r>
      <w:r w:rsidR="00FE0601">
        <w:rPr>
          <w:w w:val="105"/>
        </w:rPr>
        <w:t xml:space="preserve">, </w:t>
      </w:r>
      <w:r>
        <w:rPr>
          <w:w w:val="105"/>
        </w:rPr>
        <w:t>designat</w:t>
      </w:r>
      <w:r w:rsidR="00FE0601">
        <w:rPr>
          <w:w w:val="105"/>
        </w:rPr>
        <w:t>ing</w:t>
      </w:r>
      <w:r>
        <w:rPr>
          <w:w w:val="105"/>
        </w:rPr>
        <w:t xml:space="preserve"> what </w:t>
      </w:r>
      <w:r>
        <w:rPr>
          <w:spacing w:val="-7"/>
          <w:w w:val="105"/>
        </w:rPr>
        <w:t>need</w:t>
      </w:r>
      <w:r w:rsidR="00E8579D">
        <w:rPr>
          <w:spacing w:val="-7"/>
          <w:w w:val="105"/>
        </w:rPr>
        <w:t>s to</w:t>
      </w:r>
      <w:r>
        <w:rPr>
          <w:spacing w:val="-7"/>
          <w:w w:val="105"/>
        </w:rPr>
        <w:t xml:space="preserve"> be </w:t>
      </w:r>
      <w:r w:rsidRPr="0053001E">
        <w:rPr>
          <w:w w:val="105"/>
        </w:rPr>
        <w:t>submitted</w:t>
      </w:r>
      <w:r w:rsidRPr="0053001E">
        <w:rPr>
          <w:spacing w:val="4"/>
          <w:w w:val="105"/>
        </w:rPr>
        <w:t xml:space="preserve"> </w:t>
      </w:r>
      <w:r w:rsidRPr="0053001E">
        <w:rPr>
          <w:w w:val="105"/>
        </w:rPr>
        <w:t>(copy</w:t>
      </w:r>
      <w:r w:rsidRPr="0053001E">
        <w:rPr>
          <w:spacing w:val="-7"/>
          <w:w w:val="105"/>
        </w:rPr>
        <w:t xml:space="preserve"> </w:t>
      </w:r>
      <w:r w:rsidRPr="0053001E">
        <w:rPr>
          <w:w w:val="105"/>
        </w:rPr>
        <w:t>of</w:t>
      </w:r>
      <w:r w:rsidRPr="0053001E">
        <w:rPr>
          <w:spacing w:val="-13"/>
          <w:w w:val="105"/>
        </w:rPr>
        <w:t xml:space="preserve"> </w:t>
      </w:r>
      <w:r w:rsidRPr="0053001E">
        <w:rPr>
          <w:w w:val="105"/>
        </w:rPr>
        <w:t>board</w:t>
      </w:r>
      <w:r w:rsidRPr="0053001E">
        <w:rPr>
          <w:spacing w:val="27"/>
          <w:w w:val="98"/>
        </w:rPr>
        <w:t xml:space="preserve"> </w:t>
      </w:r>
      <w:r w:rsidRPr="0053001E">
        <w:rPr>
          <w:w w:val="105"/>
        </w:rPr>
        <w:t>certificate,</w:t>
      </w:r>
      <w:r w:rsidRPr="0053001E">
        <w:rPr>
          <w:spacing w:val="-18"/>
          <w:w w:val="105"/>
        </w:rPr>
        <w:t xml:space="preserve"> </w:t>
      </w:r>
      <w:r w:rsidRPr="0053001E">
        <w:rPr>
          <w:w w:val="105"/>
        </w:rPr>
        <w:t>training</w:t>
      </w:r>
      <w:r w:rsidRPr="0053001E">
        <w:rPr>
          <w:spacing w:val="-13"/>
          <w:w w:val="105"/>
        </w:rPr>
        <w:t xml:space="preserve"> </w:t>
      </w:r>
      <w:r w:rsidRPr="0053001E">
        <w:rPr>
          <w:w w:val="105"/>
        </w:rPr>
        <w:t>documentation</w:t>
      </w:r>
      <w:r w:rsidRPr="0053001E">
        <w:rPr>
          <w:spacing w:val="-10"/>
          <w:w w:val="105"/>
        </w:rPr>
        <w:t xml:space="preserve"> </w:t>
      </w:r>
      <w:r w:rsidRPr="0053001E">
        <w:rPr>
          <w:w w:val="105"/>
        </w:rPr>
        <w:t>pursuant</w:t>
      </w:r>
      <w:r w:rsidRPr="0053001E">
        <w:rPr>
          <w:spacing w:val="-8"/>
          <w:w w:val="105"/>
        </w:rPr>
        <w:t xml:space="preserve"> </w:t>
      </w:r>
      <w:r w:rsidRPr="0053001E">
        <w:rPr>
          <w:w w:val="105"/>
        </w:rPr>
        <w:t>to</w:t>
      </w:r>
      <w:r w:rsidRPr="0053001E">
        <w:rPr>
          <w:spacing w:val="-23"/>
          <w:w w:val="105"/>
        </w:rPr>
        <w:t xml:space="preserve"> </w:t>
      </w:r>
      <w:r w:rsidRPr="0053001E">
        <w:rPr>
          <w:w w:val="105"/>
        </w:rPr>
        <w:t>paragraph</w:t>
      </w:r>
      <w:r w:rsidRPr="0053001E">
        <w:rPr>
          <w:spacing w:val="1"/>
          <w:w w:val="105"/>
        </w:rPr>
        <w:t xml:space="preserve"> </w:t>
      </w:r>
      <w:r w:rsidRPr="0053001E">
        <w:rPr>
          <w:spacing w:val="-2"/>
          <w:w w:val="105"/>
        </w:rPr>
        <w:t>(b</w:t>
      </w:r>
      <w:r w:rsidRPr="0053001E">
        <w:rPr>
          <w:spacing w:val="-3"/>
          <w:w w:val="105"/>
        </w:rPr>
        <w:t>),</w:t>
      </w:r>
      <w:r w:rsidRPr="0053001E">
        <w:rPr>
          <w:spacing w:val="-24"/>
          <w:w w:val="105"/>
        </w:rPr>
        <w:t xml:space="preserve"> </w:t>
      </w:r>
      <w:r w:rsidRPr="0053001E">
        <w:rPr>
          <w:w w:val="105"/>
        </w:rPr>
        <w:t>radiation</w:t>
      </w:r>
      <w:r w:rsidRPr="0053001E">
        <w:rPr>
          <w:spacing w:val="-7"/>
          <w:w w:val="105"/>
        </w:rPr>
        <w:t xml:space="preserve"> </w:t>
      </w:r>
      <w:r w:rsidRPr="0053001E">
        <w:rPr>
          <w:w w:val="105"/>
        </w:rPr>
        <w:t>safety</w:t>
      </w:r>
      <w:r w:rsidRPr="0053001E">
        <w:rPr>
          <w:spacing w:val="-14"/>
          <w:w w:val="105"/>
        </w:rPr>
        <w:t xml:space="preserve"> </w:t>
      </w:r>
      <w:r w:rsidRPr="0053001E">
        <w:rPr>
          <w:w w:val="105"/>
        </w:rPr>
        <w:t>aspects</w:t>
      </w:r>
      <w:r w:rsidRPr="0053001E">
        <w:rPr>
          <w:spacing w:val="-20"/>
          <w:w w:val="105"/>
        </w:rPr>
        <w:t xml:space="preserve"> </w:t>
      </w:r>
      <w:r w:rsidRPr="0053001E">
        <w:rPr>
          <w:w w:val="105"/>
        </w:rPr>
        <w:t>training,</w:t>
      </w:r>
      <w:r w:rsidRPr="0053001E">
        <w:rPr>
          <w:spacing w:val="20"/>
          <w:w w:val="102"/>
        </w:rPr>
        <w:t xml:space="preserve"> </w:t>
      </w:r>
      <w:r w:rsidRPr="0053001E">
        <w:rPr>
          <w:w w:val="105"/>
        </w:rPr>
        <w:t>paragraph</w:t>
      </w:r>
      <w:r w:rsidRPr="0053001E">
        <w:rPr>
          <w:spacing w:val="10"/>
          <w:w w:val="105"/>
        </w:rPr>
        <w:t xml:space="preserve"> </w:t>
      </w:r>
      <w:r w:rsidRPr="0053001E">
        <w:rPr>
          <w:spacing w:val="-3"/>
          <w:w w:val="105"/>
        </w:rPr>
        <w:t>(d)</w:t>
      </w:r>
      <w:r w:rsidRPr="0053001E">
        <w:rPr>
          <w:spacing w:val="-19"/>
          <w:w w:val="105"/>
        </w:rPr>
        <w:t xml:space="preserve"> </w:t>
      </w:r>
      <w:r w:rsidRPr="0053001E">
        <w:rPr>
          <w:w w:val="105"/>
        </w:rPr>
        <w:t>training</w:t>
      </w:r>
      <w:r w:rsidRPr="0053001E">
        <w:rPr>
          <w:spacing w:val="8"/>
          <w:w w:val="105"/>
        </w:rPr>
        <w:t xml:space="preserve"> </w:t>
      </w:r>
      <w:r w:rsidRPr="0053001E">
        <w:rPr>
          <w:w w:val="105"/>
        </w:rPr>
        <w:t>and</w:t>
      </w:r>
      <w:r w:rsidRPr="0053001E">
        <w:rPr>
          <w:spacing w:val="-8"/>
          <w:w w:val="105"/>
        </w:rPr>
        <w:t xml:space="preserve"> </w:t>
      </w:r>
      <w:r w:rsidRPr="0053001E">
        <w:rPr>
          <w:w w:val="105"/>
        </w:rPr>
        <w:t>experience,</w:t>
      </w:r>
      <w:r w:rsidRPr="0053001E">
        <w:rPr>
          <w:spacing w:val="5"/>
          <w:w w:val="105"/>
        </w:rPr>
        <w:t xml:space="preserve"> </w:t>
      </w:r>
      <w:r w:rsidRPr="0053001E">
        <w:rPr>
          <w:w w:val="105"/>
        </w:rPr>
        <w:t>and</w:t>
      </w:r>
      <w:r w:rsidR="00FE0601">
        <w:rPr>
          <w:w w:val="105"/>
        </w:rPr>
        <w:t>/or</w:t>
      </w:r>
      <w:r w:rsidRPr="0053001E">
        <w:rPr>
          <w:spacing w:val="-9"/>
          <w:w w:val="105"/>
        </w:rPr>
        <w:t xml:space="preserve"> </w:t>
      </w:r>
      <w:r w:rsidRPr="0053001E">
        <w:rPr>
          <w:w w:val="105"/>
        </w:rPr>
        <w:t>preceptor</w:t>
      </w:r>
      <w:r w:rsidRPr="0053001E">
        <w:rPr>
          <w:spacing w:val="8"/>
          <w:w w:val="105"/>
        </w:rPr>
        <w:t xml:space="preserve"> </w:t>
      </w:r>
      <w:r w:rsidRPr="0053001E">
        <w:rPr>
          <w:w w:val="105"/>
        </w:rPr>
        <w:t>attestation).</w:t>
      </w:r>
      <w:r w:rsidRPr="0053001E">
        <w:rPr>
          <w:spacing w:val="55"/>
          <w:w w:val="105"/>
        </w:rPr>
        <w:t xml:space="preserve"> </w:t>
      </w:r>
    </w:p>
    <w:p w14:paraId="608F2E2E" w14:textId="77777777" w:rsidR="00594554" w:rsidRDefault="00594554" w:rsidP="00594554">
      <w:pPr>
        <w:kinsoku w:val="0"/>
        <w:overflowPunct w:val="0"/>
        <w:autoSpaceDE w:val="0"/>
        <w:autoSpaceDN w:val="0"/>
        <w:adjustRightInd w:val="0"/>
        <w:spacing w:line="251" w:lineRule="auto"/>
        <w:ind w:right="208"/>
        <w:rPr>
          <w:spacing w:val="55"/>
          <w:w w:val="105"/>
        </w:rPr>
      </w:pPr>
    </w:p>
    <w:p w14:paraId="6FEB7D3D" w14:textId="77777777" w:rsidR="00594554" w:rsidRDefault="00594554" w:rsidP="00594554">
      <w:pPr>
        <w:kinsoku w:val="0"/>
        <w:overflowPunct w:val="0"/>
        <w:autoSpaceDE w:val="0"/>
        <w:autoSpaceDN w:val="0"/>
        <w:adjustRightInd w:val="0"/>
        <w:spacing w:line="251" w:lineRule="auto"/>
        <w:ind w:right="208"/>
      </w:pPr>
      <w:r w:rsidRPr="00D0322A">
        <w:rPr>
          <w:b/>
        </w:rPr>
        <w:t>Response:</w:t>
      </w:r>
      <w:r w:rsidRPr="00823F7B">
        <w:t xml:space="preserve"> </w:t>
      </w:r>
    </w:p>
    <w:p w14:paraId="383087E5" w14:textId="77777777" w:rsidR="00594554" w:rsidRDefault="00594554" w:rsidP="00594554">
      <w:pPr>
        <w:kinsoku w:val="0"/>
        <w:overflowPunct w:val="0"/>
        <w:autoSpaceDE w:val="0"/>
        <w:autoSpaceDN w:val="0"/>
        <w:adjustRightInd w:val="0"/>
        <w:spacing w:line="251" w:lineRule="auto"/>
        <w:ind w:right="208"/>
      </w:pPr>
    </w:p>
    <w:p w14:paraId="19575D45" w14:textId="3CCBBC4E" w:rsidR="00FE0601" w:rsidRDefault="00FE0601" w:rsidP="00594554">
      <w:pPr>
        <w:kinsoku w:val="0"/>
        <w:overflowPunct w:val="0"/>
        <w:autoSpaceDE w:val="0"/>
        <w:autoSpaceDN w:val="0"/>
        <w:adjustRightInd w:val="0"/>
        <w:spacing w:line="251" w:lineRule="auto"/>
        <w:ind w:right="208"/>
      </w:pPr>
      <w:r>
        <w:t>The NRC staff agrees with this comment, and has modified its guidance to provide such a table</w:t>
      </w:r>
      <w:r w:rsidR="00001C56">
        <w:t xml:space="preserve"> found in </w:t>
      </w:r>
      <w:r w:rsidR="00A324A9">
        <w:t>Appendix D of NUREG-1556, Volume 9</w:t>
      </w:r>
      <w:r>
        <w:t>, which is reproduced below.</w:t>
      </w:r>
    </w:p>
    <w:p w14:paraId="278D9E0A" w14:textId="77777777" w:rsidR="00FE0601" w:rsidRDefault="00FE0601" w:rsidP="00594554">
      <w:pPr>
        <w:kinsoku w:val="0"/>
        <w:overflowPunct w:val="0"/>
        <w:autoSpaceDE w:val="0"/>
        <w:autoSpaceDN w:val="0"/>
        <w:adjustRightInd w:val="0"/>
        <w:spacing w:line="251" w:lineRule="auto"/>
        <w:ind w:right="208"/>
      </w:pPr>
    </w:p>
    <w:p w14:paraId="38DA240C" w14:textId="47A1DC4F" w:rsidR="00594554" w:rsidRDefault="00594554" w:rsidP="00594554">
      <w:pPr>
        <w:kinsoku w:val="0"/>
        <w:overflowPunct w:val="0"/>
        <w:autoSpaceDE w:val="0"/>
        <w:autoSpaceDN w:val="0"/>
        <w:adjustRightInd w:val="0"/>
        <w:spacing w:line="251" w:lineRule="auto"/>
        <w:ind w:right="208"/>
        <w:rPr>
          <w:b/>
        </w:rPr>
      </w:pPr>
      <w:r w:rsidRPr="00823F7B">
        <w:rPr>
          <w:b/>
        </w:rPr>
        <w:t>Documentation needed to meet the Requirements to be an RSO or ARSO</w:t>
      </w:r>
    </w:p>
    <w:p w14:paraId="23A5C19E" w14:textId="77777777" w:rsidR="00594554" w:rsidRDefault="00594554" w:rsidP="00594554">
      <w:pPr>
        <w:kinsoku w:val="0"/>
        <w:overflowPunct w:val="0"/>
        <w:autoSpaceDE w:val="0"/>
        <w:autoSpaceDN w:val="0"/>
        <w:adjustRightInd w:val="0"/>
        <w:spacing w:line="251" w:lineRule="auto"/>
        <w:ind w:right="208"/>
        <w:rPr>
          <w:b/>
        </w:rPr>
      </w:pPr>
    </w:p>
    <w:tbl>
      <w:tblPr>
        <w:tblStyle w:val="TableGrid"/>
        <w:tblpPr w:leftFromText="180" w:rightFromText="180" w:vertAnchor="text" w:horzAnchor="margin" w:tblpXSpec="center" w:tblpY="136"/>
        <w:tblW w:w="10620" w:type="dxa"/>
        <w:tblLook w:val="04A0" w:firstRow="1" w:lastRow="0" w:firstColumn="1" w:lastColumn="0" w:noHBand="0" w:noVBand="1"/>
      </w:tblPr>
      <w:tblGrid>
        <w:gridCol w:w="2506"/>
        <w:gridCol w:w="1352"/>
        <w:gridCol w:w="1352"/>
        <w:gridCol w:w="1353"/>
        <w:gridCol w:w="1352"/>
        <w:gridCol w:w="1352"/>
        <w:gridCol w:w="1353"/>
      </w:tblGrid>
      <w:tr w:rsidR="00594554" w14:paraId="0307C47D" w14:textId="77777777" w:rsidTr="00594554">
        <w:tc>
          <w:tcPr>
            <w:tcW w:w="2506" w:type="dxa"/>
          </w:tcPr>
          <w:p w14:paraId="29019B66" w14:textId="77777777" w:rsidR="00594554" w:rsidRPr="003A3C7E" w:rsidRDefault="00594554" w:rsidP="00594554">
            <w:pPr>
              <w:kinsoku w:val="0"/>
              <w:overflowPunct w:val="0"/>
              <w:autoSpaceDE w:val="0"/>
              <w:autoSpaceDN w:val="0"/>
              <w:adjustRightInd w:val="0"/>
              <w:rPr>
                <w:sz w:val="20"/>
                <w:szCs w:val="20"/>
              </w:rPr>
            </w:pPr>
            <w:r w:rsidRPr="003A3C7E">
              <w:rPr>
                <w:b/>
                <w:sz w:val="20"/>
                <w:szCs w:val="20"/>
              </w:rPr>
              <w:t>Regulation</w:t>
            </w:r>
          </w:p>
        </w:tc>
        <w:tc>
          <w:tcPr>
            <w:tcW w:w="1352" w:type="dxa"/>
          </w:tcPr>
          <w:p w14:paraId="3DB35918" w14:textId="77777777" w:rsidR="00594554" w:rsidRDefault="00594554" w:rsidP="00594554">
            <w:pPr>
              <w:kinsoku w:val="0"/>
              <w:overflowPunct w:val="0"/>
              <w:autoSpaceDE w:val="0"/>
              <w:autoSpaceDN w:val="0"/>
              <w:adjustRightInd w:val="0"/>
            </w:pPr>
            <w:r>
              <w:rPr>
                <w:b/>
              </w:rPr>
              <w:t>35.50(a)</w:t>
            </w:r>
          </w:p>
        </w:tc>
        <w:tc>
          <w:tcPr>
            <w:tcW w:w="1352" w:type="dxa"/>
          </w:tcPr>
          <w:p w14:paraId="246DBAAC" w14:textId="77777777" w:rsidR="00594554" w:rsidRDefault="00594554" w:rsidP="00594554">
            <w:pPr>
              <w:kinsoku w:val="0"/>
              <w:overflowPunct w:val="0"/>
              <w:autoSpaceDE w:val="0"/>
              <w:autoSpaceDN w:val="0"/>
              <w:adjustRightInd w:val="0"/>
            </w:pPr>
            <w:r w:rsidRPr="0040578C">
              <w:rPr>
                <w:b/>
              </w:rPr>
              <w:t>35.50(b)</w:t>
            </w:r>
          </w:p>
        </w:tc>
        <w:tc>
          <w:tcPr>
            <w:tcW w:w="1353" w:type="dxa"/>
          </w:tcPr>
          <w:p w14:paraId="209F20DE" w14:textId="77777777" w:rsidR="00594554" w:rsidRDefault="00594554" w:rsidP="00594554">
            <w:pPr>
              <w:kinsoku w:val="0"/>
              <w:overflowPunct w:val="0"/>
              <w:autoSpaceDE w:val="0"/>
              <w:autoSpaceDN w:val="0"/>
              <w:adjustRightInd w:val="0"/>
            </w:pPr>
            <w:r w:rsidRPr="0040578C">
              <w:rPr>
                <w:b/>
              </w:rPr>
              <w:t>35.50(c)(1)</w:t>
            </w:r>
          </w:p>
        </w:tc>
        <w:tc>
          <w:tcPr>
            <w:tcW w:w="1352" w:type="dxa"/>
          </w:tcPr>
          <w:p w14:paraId="13BCA9F6" w14:textId="77777777" w:rsidR="00594554" w:rsidRDefault="00594554" w:rsidP="00594554">
            <w:pPr>
              <w:kinsoku w:val="0"/>
              <w:overflowPunct w:val="0"/>
              <w:autoSpaceDE w:val="0"/>
              <w:autoSpaceDN w:val="0"/>
              <w:adjustRightInd w:val="0"/>
            </w:pPr>
            <w:r w:rsidRPr="0040578C">
              <w:rPr>
                <w:b/>
              </w:rPr>
              <w:t>35.50(c)(2)</w:t>
            </w:r>
          </w:p>
        </w:tc>
        <w:tc>
          <w:tcPr>
            <w:tcW w:w="1352" w:type="dxa"/>
          </w:tcPr>
          <w:p w14:paraId="47D0F684" w14:textId="77777777" w:rsidR="00594554" w:rsidRDefault="00594554" w:rsidP="00594554">
            <w:pPr>
              <w:kinsoku w:val="0"/>
              <w:overflowPunct w:val="0"/>
              <w:autoSpaceDE w:val="0"/>
              <w:autoSpaceDN w:val="0"/>
              <w:adjustRightInd w:val="0"/>
            </w:pPr>
            <w:r w:rsidRPr="0040578C">
              <w:rPr>
                <w:b/>
              </w:rPr>
              <w:t>35.50(c)(3)</w:t>
            </w:r>
          </w:p>
        </w:tc>
        <w:tc>
          <w:tcPr>
            <w:tcW w:w="1353" w:type="dxa"/>
          </w:tcPr>
          <w:p w14:paraId="368E0FFA" w14:textId="77777777" w:rsidR="00594554" w:rsidRDefault="00594554" w:rsidP="00594554">
            <w:pPr>
              <w:kinsoku w:val="0"/>
              <w:overflowPunct w:val="0"/>
              <w:autoSpaceDE w:val="0"/>
              <w:autoSpaceDN w:val="0"/>
              <w:adjustRightInd w:val="0"/>
            </w:pPr>
            <w:r w:rsidRPr="0040578C">
              <w:rPr>
                <w:b/>
              </w:rPr>
              <w:t>35.57(a)(2)</w:t>
            </w:r>
          </w:p>
        </w:tc>
      </w:tr>
      <w:tr w:rsidR="00594554" w14:paraId="7FD66401" w14:textId="77777777" w:rsidTr="00594554">
        <w:tc>
          <w:tcPr>
            <w:tcW w:w="2506" w:type="dxa"/>
          </w:tcPr>
          <w:p w14:paraId="5C099AA4" w14:textId="77777777" w:rsidR="00594554" w:rsidRPr="003A3C7E" w:rsidRDefault="00594554" w:rsidP="00594554">
            <w:pPr>
              <w:kinsoku w:val="0"/>
              <w:overflowPunct w:val="0"/>
              <w:autoSpaceDE w:val="0"/>
              <w:autoSpaceDN w:val="0"/>
              <w:adjustRightInd w:val="0"/>
              <w:rPr>
                <w:b/>
                <w:sz w:val="20"/>
                <w:szCs w:val="20"/>
              </w:rPr>
            </w:pPr>
          </w:p>
          <w:p w14:paraId="777E7E5D"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Board Certification</w:t>
            </w:r>
          </w:p>
          <w:p w14:paraId="4AC29F22" w14:textId="77777777" w:rsidR="00594554" w:rsidRPr="003A3C7E" w:rsidRDefault="00594554" w:rsidP="00594554">
            <w:pPr>
              <w:kinsoku w:val="0"/>
              <w:overflowPunct w:val="0"/>
              <w:autoSpaceDE w:val="0"/>
              <w:autoSpaceDN w:val="0"/>
              <w:adjustRightInd w:val="0"/>
              <w:rPr>
                <w:sz w:val="20"/>
                <w:szCs w:val="20"/>
              </w:rPr>
            </w:pPr>
          </w:p>
        </w:tc>
        <w:tc>
          <w:tcPr>
            <w:tcW w:w="1352" w:type="dxa"/>
          </w:tcPr>
          <w:p w14:paraId="275FC42E" w14:textId="77777777" w:rsidR="00594554" w:rsidRDefault="00594554" w:rsidP="00594554">
            <w:pPr>
              <w:kinsoku w:val="0"/>
              <w:overflowPunct w:val="0"/>
              <w:autoSpaceDE w:val="0"/>
              <w:autoSpaceDN w:val="0"/>
              <w:adjustRightInd w:val="0"/>
              <w:jc w:val="center"/>
            </w:pPr>
          </w:p>
          <w:p w14:paraId="1FF5D09C" w14:textId="77777777" w:rsidR="00594554" w:rsidRDefault="00594554" w:rsidP="00594554">
            <w:pPr>
              <w:kinsoku w:val="0"/>
              <w:overflowPunct w:val="0"/>
              <w:autoSpaceDE w:val="0"/>
              <w:autoSpaceDN w:val="0"/>
              <w:adjustRightInd w:val="0"/>
              <w:jc w:val="center"/>
            </w:pPr>
            <w:r>
              <w:t>X</w:t>
            </w:r>
          </w:p>
          <w:p w14:paraId="3450B77B" w14:textId="77777777" w:rsidR="00594554" w:rsidRDefault="00594554" w:rsidP="00594554">
            <w:pPr>
              <w:kinsoku w:val="0"/>
              <w:overflowPunct w:val="0"/>
              <w:autoSpaceDE w:val="0"/>
              <w:autoSpaceDN w:val="0"/>
              <w:adjustRightInd w:val="0"/>
              <w:jc w:val="center"/>
            </w:pPr>
          </w:p>
        </w:tc>
        <w:tc>
          <w:tcPr>
            <w:tcW w:w="1352" w:type="dxa"/>
          </w:tcPr>
          <w:p w14:paraId="179BB61D" w14:textId="77777777" w:rsidR="00594554" w:rsidRDefault="00594554" w:rsidP="00594554">
            <w:pPr>
              <w:kinsoku w:val="0"/>
              <w:overflowPunct w:val="0"/>
              <w:autoSpaceDE w:val="0"/>
              <w:autoSpaceDN w:val="0"/>
              <w:adjustRightInd w:val="0"/>
              <w:jc w:val="center"/>
            </w:pPr>
          </w:p>
        </w:tc>
        <w:tc>
          <w:tcPr>
            <w:tcW w:w="1353" w:type="dxa"/>
          </w:tcPr>
          <w:p w14:paraId="4BA63480" w14:textId="77777777" w:rsidR="00594554" w:rsidRDefault="00594554" w:rsidP="00594554">
            <w:pPr>
              <w:kinsoku w:val="0"/>
              <w:overflowPunct w:val="0"/>
              <w:autoSpaceDE w:val="0"/>
              <w:autoSpaceDN w:val="0"/>
              <w:adjustRightInd w:val="0"/>
              <w:jc w:val="center"/>
            </w:pPr>
          </w:p>
          <w:p w14:paraId="4238F4A8" w14:textId="77777777" w:rsidR="00594554" w:rsidRDefault="00594554" w:rsidP="00594554">
            <w:pPr>
              <w:kinsoku w:val="0"/>
              <w:overflowPunct w:val="0"/>
              <w:autoSpaceDE w:val="0"/>
              <w:autoSpaceDN w:val="0"/>
              <w:adjustRightInd w:val="0"/>
              <w:jc w:val="center"/>
            </w:pPr>
            <w:r>
              <w:t>X</w:t>
            </w:r>
          </w:p>
          <w:p w14:paraId="1E0EA8ED" w14:textId="77777777" w:rsidR="00594554" w:rsidRDefault="00594554" w:rsidP="00594554">
            <w:pPr>
              <w:kinsoku w:val="0"/>
              <w:overflowPunct w:val="0"/>
              <w:autoSpaceDE w:val="0"/>
              <w:autoSpaceDN w:val="0"/>
              <w:adjustRightInd w:val="0"/>
              <w:jc w:val="center"/>
            </w:pPr>
          </w:p>
        </w:tc>
        <w:tc>
          <w:tcPr>
            <w:tcW w:w="1352" w:type="dxa"/>
          </w:tcPr>
          <w:p w14:paraId="3373420C" w14:textId="77777777" w:rsidR="00594554" w:rsidRDefault="00594554" w:rsidP="00594554">
            <w:pPr>
              <w:kinsoku w:val="0"/>
              <w:overflowPunct w:val="0"/>
              <w:autoSpaceDE w:val="0"/>
              <w:autoSpaceDN w:val="0"/>
              <w:adjustRightInd w:val="0"/>
              <w:jc w:val="center"/>
            </w:pPr>
          </w:p>
        </w:tc>
        <w:tc>
          <w:tcPr>
            <w:tcW w:w="1352" w:type="dxa"/>
          </w:tcPr>
          <w:p w14:paraId="67B997CE" w14:textId="77777777" w:rsidR="00594554" w:rsidRDefault="00594554" w:rsidP="00594554">
            <w:pPr>
              <w:kinsoku w:val="0"/>
              <w:overflowPunct w:val="0"/>
              <w:autoSpaceDE w:val="0"/>
              <w:autoSpaceDN w:val="0"/>
              <w:adjustRightInd w:val="0"/>
              <w:jc w:val="center"/>
            </w:pPr>
          </w:p>
        </w:tc>
        <w:tc>
          <w:tcPr>
            <w:tcW w:w="1353" w:type="dxa"/>
          </w:tcPr>
          <w:p w14:paraId="5601A4AF" w14:textId="77777777" w:rsidR="00594554" w:rsidRDefault="00594554" w:rsidP="00594554">
            <w:pPr>
              <w:kinsoku w:val="0"/>
              <w:overflowPunct w:val="0"/>
              <w:autoSpaceDE w:val="0"/>
              <w:autoSpaceDN w:val="0"/>
              <w:adjustRightInd w:val="0"/>
              <w:jc w:val="center"/>
            </w:pPr>
          </w:p>
          <w:p w14:paraId="1817A82A" w14:textId="77777777" w:rsidR="00594554" w:rsidRDefault="00594554" w:rsidP="00594554">
            <w:pPr>
              <w:kinsoku w:val="0"/>
              <w:overflowPunct w:val="0"/>
              <w:autoSpaceDE w:val="0"/>
              <w:autoSpaceDN w:val="0"/>
              <w:adjustRightInd w:val="0"/>
              <w:jc w:val="center"/>
            </w:pPr>
            <w:r>
              <w:t>X</w:t>
            </w:r>
          </w:p>
          <w:p w14:paraId="5E9B1DE3" w14:textId="77777777" w:rsidR="00594554" w:rsidRDefault="00594554" w:rsidP="00594554">
            <w:pPr>
              <w:kinsoku w:val="0"/>
              <w:overflowPunct w:val="0"/>
              <w:autoSpaceDE w:val="0"/>
              <w:autoSpaceDN w:val="0"/>
              <w:adjustRightInd w:val="0"/>
            </w:pPr>
          </w:p>
        </w:tc>
      </w:tr>
      <w:tr w:rsidR="00594554" w14:paraId="7D24FDBF" w14:textId="77777777" w:rsidTr="00594554">
        <w:tc>
          <w:tcPr>
            <w:tcW w:w="2506" w:type="dxa"/>
          </w:tcPr>
          <w:p w14:paraId="5EC772B2" w14:textId="77777777" w:rsidR="00594554" w:rsidRPr="003A3C7E" w:rsidRDefault="00594554" w:rsidP="00594554">
            <w:pPr>
              <w:kinsoku w:val="0"/>
              <w:overflowPunct w:val="0"/>
              <w:autoSpaceDE w:val="0"/>
              <w:autoSpaceDN w:val="0"/>
              <w:adjustRightInd w:val="0"/>
              <w:rPr>
                <w:b/>
                <w:sz w:val="20"/>
                <w:szCs w:val="20"/>
              </w:rPr>
            </w:pPr>
          </w:p>
          <w:p w14:paraId="24880C14" w14:textId="77777777" w:rsidR="00594554" w:rsidRDefault="00594554" w:rsidP="00594554">
            <w:pPr>
              <w:kinsoku w:val="0"/>
              <w:overflowPunct w:val="0"/>
              <w:autoSpaceDE w:val="0"/>
              <w:autoSpaceDN w:val="0"/>
              <w:adjustRightInd w:val="0"/>
              <w:rPr>
                <w:b/>
                <w:sz w:val="20"/>
                <w:szCs w:val="20"/>
              </w:rPr>
            </w:pPr>
            <w:r w:rsidRPr="003A3C7E">
              <w:rPr>
                <w:b/>
                <w:sz w:val="20"/>
                <w:szCs w:val="20"/>
              </w:rPr>
              <w:t>Used requested Materials on or before October 24, 2005</w:t>
            </w:r>
          </w:p>
          <w:p w14:paraId="124426F2" w14:textId="77777777" w:rsidR="00594554" w:rsidRPr="003A3C7E" w:rsidRDefault="00594554" w:rsidP="00594554">
            <w:pPr>
              <w:kinsoku w:val="0"/>
              <w:overflowPunct w:val="0"/>
              <w:autoSpaceDE w:val="0"/>
              <w:autoSpaceDN w:val="0"/>
              <w:adjustRightInd w:val="0"/>
              <w:rPr>
                <w:b/>
                <w:sz w:val="20"/>
                <w:szCs w:val="20"/>
              </w:rPr>
            </w:pPr>
          </w:p>
        </w:tc>
        <w:tc>
          <w:tcPr>
            <w:tcW w:w="1352" w:type="dxa"/>
          </w:tcPr>
          <w:p w14:paraId="5B96D6EC" w14:textId="77777777" w:rsidR="00594554" w:rsidRDefault="00594554" w:rsidP="00594554">
            <w:pPr>
              <w:kinsoku w:val="0"/>
              <w:overflowPunct w:val="0"/>
              <w:autoSpaceDE w:val="0"/>
              <w:autoSpaceDN w:val="0"/>
              <w:adjustRightInd w:val="0"/>
              <w:jc w:val="center"/>
            </w:pPr>
          </w:p>
        </w:tc>
        <w:tc>
          <w:tcPr>
            <w:tcW w:w="1352" w:type="dxa"/>
          </w:tcPr>
          <w:p w14:paraId="44C000BD" w14:textId="77777777" w:rsidR="00594554" w:rsidRDefault="00594554" w:rsidP="00594554">
            <w:pPr>
              <w:kinsoku w:val="0"/>
              <w:overflowPunct w:val="0"/>
              <w:autoSpaceDE w:val="0"/>
              <w:autoSpaceDN w:val="0"/>
              <w:adjustRightInd w:val="0"/>
              <w:jc w:val="center"/>
            </w:pPr>
          </w:p>
        </w:tc>
        <w:tc>
          <w:tcPr>
            <w:tcW w:w="1353" w:type="dxa"/>
          </w:tcPr>
          <w:p w14:paraId="14E926CF" w14:textId="77777777" w:rsidR="00594554" w:rsidRDefault="00594554" w:rsidP="00594554">
            <w:pPr>
              <w:kinsoku w:val="0"/>
              <w:overflowPunct w:val="0"/>
              <w:autoSpaceDE w:val="0"/>
              <w:autoSpaceDN w:val="0"/>
              <w:adjustRightInd w:val="0"/>
              <w:jc w:val="center"/>
            </w:pPr>
          </w:p>
        </w:tc>
        <w:tc>
          <w:tcPr>
            <w:tcW w:w="1352" w:type="dxa"/>
          </w:tcPr>
          <w:p w14:paraId="4F828600" w14:textId="77777777" w:rsidR="00594554" w:rsidRDefault="00594554" w:rsidP="00594554">
            <w:pPr>
              <w:kinsoku w:val="0"/>
              <w:overflowPunct w:val="0"/>
              <w:autoSpaceDE w:val="0"/>
              <w:autoSpaceDN w:val="0"/>
              <w:adjustRightInd w:val="0"/>
              <w:jc w:val="center"/>
            </w:pPr>
          </w:p>
        </w:tc>
        <w:tc>
          <w:tcPr>
            <w:tcW w:w="1352" w:type="dxa"/>
          </w:tcPr>
          <w:p w14:paraId="5D5B8DAF" w14:textId="77777777" w:rsidR="00594554" w:rsidRDefault="00594554" w:rsidP="00594554">
            <w:pPr>
              <w:kinsoku w:val="0"/>
              <w:overflowPunct w:val="0"/>
              <w:autoSpaceDE w:val="0"/>
              <w:autoSpaceDN w:val="0"/>
              <w:adjustRightInd w:val="0"/>
              <w:jc w:val="center"/>
            </w:pPr>
          </w:p>
        </w:tc>
        <w:tc>
          <w:tcPr>
            <w:tcW w:w="1353" w:type="dxa"/>
          </w:tcPr>
          <w:p w14:paraId="1C574AB1" w14:textId="77777777" w:rsidR="00594554" w:rsidRDefault="00594554" w:rsidP="00594554">
            <w:pPr>
              <w:kinsoku w:val="0"/>
              <w:overflowPunct w:val="0"/>
              <w:autoSpaceDE w:val="0"/>
              <w:autoSpaceDN w:val="0"/>
              <w:adjustRightInd w:val="0"/>
              <w:jc w:val="center"/>
            </w:pPr>
          </w:p>
          <w:p w14:paraId="5BD93327" w14:textId="77777777" w:rsidR="00594554" w:rsidRDefault="00594554" w:rsidP="00594554">
            <w:pPr>
              <w:kinsoku w:val="0"/>
              <w:overflowPunct w:val="0"/>
              <w:autoSpaceDE w:val="0"/>
              <w:autoSpaceDN w:val="0"/>
              <w:adjustRightInd w:val="0"/>
              <w:jc w:val="center"/>
            </w:pPr>
          </w:p>
          <w:p w14:paraId="368C4A9E" w14:textId="77777777" w:rsidR="00594554" w:rsidRDefault="00594554" w:rsidP="00594554">
            <w:pPr>
              <w:kinsoku w:val="0"/>
              <w:overflowPunct w:val="0"/>
              <w:autoSpaceDE w:val="0"/>
              <w:autoSpaceDN w:val="0"/>
              <w:adjustRightInd w:val="0"/>
              <w:jc w:val="center"/>
            </w:pPr>
            <w:r>
              <w:t>X</w:t>
            </w:r>
          </w:p>
          <w:p w14:paraId="3F175502" w14:textId="77777777" w:rsidR="00594554" w:rsidRDefault="00594554" w:rsidP="00594554">
            <w:pPr>
              <w:kinsoku w:val="0"/>
              <w:overflowPunct w:val="0"/>
              <w:autoSpaceDE w:val="0"/>
              <w:autoSpaceDN w:val="0"/>
              <w:adjustRightInd w:val="0"/>
              <w:jc w:val="center"/>
            </w:pPr>
          </w:p>
        </w:tc>
      </w:tr>
      <w:tr w:rsidR="00594554" w14:paraId="309DD1F6" w14:textId="77777777" w:rsidTr="00594554">
        <w:tc>
          <w:tcPr>
            <w:tcW w:w="2506" w:type="dxa"/>
          </w:tcPr>
          <w:p w14:paraId="0F27884B" w14:textId="77777777" w:rsidR="00594554" w:rsidRPr="003A3C7E" w:rsidRDefault="00594554" w:rsidP="00594554">
            <w:pPr>
              <w:kinsoku w:val="0"/>
              <w:overflowPunct w:val="0"/>
              <w:autoSpaceDE w:val="0"/>
              <w:autoSpaceDN w:val="0"/>
              <w:adjustRightInd w:val="0"/>
              <w:rPr>
                <w:b/>
                <w:sz w:val="20"/>
                <w:szCs w:val="20"/>
              </w:rPr>
            </w:pPr>
          </w:p>
          <w:p w14:paraId="7AA45B1E"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License or Permit</w:t>
            </w:r>
          </w:p>
          <w:p w14:paraId="0E487EBE" w14:textId="77777777" w:rsidR="00594554" w:rsidRPr="003A3C7E" w:rsidRDefault="00594554" w:rsidP="00594554">
            <w:pPr>
              <w:kinsoku w:val="0"/>
              <w:overflowPunct w:val="0"/>
              <w:autoSpaceDE w:val="0"/>
              <w:autoSpaceDN w:val="0"/>
              <w:adjustRightInd w:val="0"/>
              <w:rPr>
                <w:b/>
                <w:sz w:val="20"/>
                <w:szCs w:val="20"/>
              </w:rPr>
            </w:pPr>
          </w:p>
        </w:tc>
        <w:tc>
          <w:tcPr>
            <w:tcW w:w="1352" w:type="dxa"/>
          </w:tcPr>
          <w:p w14:paraId="0E3307C8" w14:textId="77777777" w:rsidR="00594554" w:rsidRDefault="00594554" w:rsidP="00594554">
            <w:pPr>
              <w:kinsoku w:val="0"/>
              <w:overflowPunct w:val="0"/>
              <w:autoSpaceDE w:val="0"/>
              <w:autoSpaceDN w:val="0"/>
              <w:adjustRightInd w:val="0"/>
              <w:jc w:val="center"/>
            </w:pPr>
          </w:p>
        </w:tc>
        <w:tc>
          <w:tcPr>
            <w:tcW w:w="1352" w:type="dxa"/>
          </w:tcPr>
          <w:p w14:paraId="56BE4571" w14:textId="77777777" w:rsidR="00594554" w:rsidRDefault="00594554" w:rsidP="00594554">
            <w:pPr>
              <w:kinsoku w:val="0"/>
              <w:overflowPunct w:val="0"/>
              <w:autoSpaceDE w:val="0"/>
              <w:autoSpaceDN w:val="0"/>
              <w:adjustRightInd w:val="0"/>
              <w:jc w:val="center"/>
            </w:pPr>
          </w:p>
        </w:tc>
        <w:tc>
          <w:tcPr>
            <w:tcW w:w="1353" w:type="dxa"/>
          </w:tcPr>
          <w:p w14:paraId="5C7AEC52" w14:textId="77777777" w:rsidR="00594554" w:rsidRDefault="00594554" w:rsidP="00594554">
            <w:pPr>
              <w:kinsoku w:val="0"/>
              <w:overflowPunct w:val="0"/>
              <w:autoSpaceDE w:val="0"/>
              <w:autoSpaceDN w:val="0"/>
              <w:adjustRightInd w:val="0"/>
              <w:jc w:val="center"/>
            </w:pPr>
          </w:p>
        </w:tc>
        <w:tc>
          <w:tcPr>
            <w:tcW w:w="1352" w:type="dxa"/>
          </w:tcPr>
          <w:p w14:paraId="72C8F1AF" w14:textId="77777777" w:rsidR="00594554" w:rsidRDefault="00594554" w:rsidP="00594554">
            <w:pPr>
              <w:kinsoku w:val="0"/>
              <w:overflowPunct w:val="0"/>
              <w:autoSpaceDE w:val="0"/>
              <w:autoSpaceDN w:val="0"/>
              <w:adjustRightInd w:val="0"/>
              <w:jc w:val="center"/>
            </w:pPr>
          </w:p>
          <w:p w14:paraId="21ECB5FF" w14:textId="77777777" w:rsidR="00594554" w:rsidRDefault="00594554" w:rsidP="00594554">
            <w:pPr>
              <w:kinsoku w:val="0"/>
              <w:overflowPunct w:val="0"/>
              <w:autoSpaceDE w:val="0"/>
              <w:autoSpaceDN w:val="0"/>
              <w:adjustRightInd w:val="0"/>
              <w:jc w:val="center"/>
            </w:pPr>
            <w:r>
              <w:t>X</w:t>
            </w:r>
          </w:p>
        </w:tc>
        <w:tc>
          <w:tcPr>
            <w:tcW w:w="1352" w:type="dxa"/>
          </w:tcPr>
          <w:p w14:paraId="110EAF03" w14:textId="77777777" w:rsidR="00594554" w:rsidRDefault="00594554" w:rsidP="00594554">
            <w:pPr>
              <w:kinsoku w:val="0"/>
              <w:overflowPunct w:val="0"/>
              <w:autoSpaceDE w:val="0"/>
              <w:autoSpaceDN w:val="0"/>
              <w:adjustRightInd w:val="0"/>
              <w:jc w:val="center"/>
            </w:pPr>
          </w:p>
        </w:tc>
        <w:tc>
          <w:tcPr>
            <w:tcW w:w="1353" w:type="dxa"/>
          </w:tcPr>
          <w:p w14:paraId="7B5CC27B" w14:textId="77777777" w:rsidR="00594554" w:rsidRDefault="00594554" w:rsidP="00594554">
            <w:pPr>
              <w:kinsoku w:val="0"/>
              <w:overflowPunct w:val="0"/>
              <w:autoSpaceDE w:val="0"/>
              <w:autoSpaceDN w:val="0"/>
              <w:adjustRightInd w:val="0"/>
              <w:jc w:val="center"/>
            </w:pPr>
          </w:p>
        </w:tc>
      </w:tr>
      <w:tr w:rsidR="00594554" w14:paraId="242F0702" w14:textId="77777777" w:rsidTr="00594554">
        <w:tc>
          <w:tcPr>
            <w:tcW w:w="2506" w:type="dxa"/>
          </w:tcPr>
          <w:p w14:paraId="318C85C9" w14:textId="77777777" w:rsidR="00594554" w:rsidRPr="003A3C7E" w:rsidRDefault="00594554" w:rsidP="00594554">
            <w:pPr>
              <w:kinsoku w:val="0"/>
              <w:overflowPunct w:val="0"/>
              <w:autoSpaceDE w:val="0"/>
              <w:autoSpaceDN w:val="0"/>
              <w:adjustRightInd w:val="0"/>
              <w:rPr>
                <w:b/>
                <w:sz w:val="20"/>
                <w:szCs w:val="20"/>
              </w:rPr>
            </w:pPr>
          </w:p>
          <w:p w14:paraId="76F54B6E" w14:textId="77777777" w:rsidR="00594554" w:rsidRPr="003A3C7E" w:rsidRDefault="00594554" w:rsidP="00594554">
            <w:pPr>
              <w:kinsoku w:val="0"/>
              <w:overflowPunct w:val="0"/>
              <w:autoSpaceDE w:val="0"/>
              <w:autoSpaceDN w:val="0"/>
              <w:adjustRightInd w:val="0"/>
              <w:rPr>
                <w:sz w:val="20"/>
                <w:szCs w:val="20"/>
              </w:rPr>
            </w:pPr>
            <w:r w:rsidRPr="003A3C7E">
              <w:rPr>
                <w:b/>
                <w:sz w:val="20"/>
                <w:szCs w:val="20"/>
              </w:rPr>
              <w:t>Experience with the Radiation Safety Aspects of the Types of Use</w:t>
            </w:r>
          </w:p>
        </w:tc>
        <w:tc>
          <w:tcPr>
            <w:tcW w:w="1352" w:type="dxa"/>
          </w:tcPr>
          <w:p w14:paraId="3B5BABE1" w14:textId="77777777" w:rsidR="00594554" w:rsidRDefault="00594554" w:rsidP="00594554">
            <w:pPr>
              <w:kinsoku w:val="0"/>
              <w:overflowPunct w:val="0"/>
              <w:autoSpaceDE w:val="0"/>
              <w:autoSpaceDN w:val="0"/>
              <w:adjustRightInd w:val="0"/>
              <w:jc w:val="center"/>
            </w:pPr>
          </w:p>
        </w:tc>
        <w:tc>
          <w:tcPr>
            <w:tcW w:w="1352" w:type="dxa"/>
          </w:tcPr>
          <w:p w14:paraId="46DDA663" w14:textId="77777777" w:rsidR="00594554" w:rsidRDefault="00594554" w:rsidP="00594554">
            <w:pPr>
              <w:kinsoku w:val="0"/>
              <w:overflowPunct w:val="0"/>
              <w:autoSpaceDE w:val="0"/>
              <w:autoSpaceDN w:val="0"/>
              <w:adjustRightInd w:val="0"/>
              <w:jc w:val="center"/>
            </w:pPr>
          </w:p>
          <w:p w14:paraId="40450107" w14:textId="77777777" w:rsidR="00594554" w:rsidRDefault="00594554" w:rsidP="00594554">
            <w:pPr>
              <w:kinsoku w:val="0"/>
              <w:overflowPunct w:val="0"/>
              <w:autoSpaceDE w:val="0"/>
              <w:autoSpaceDN w:val="0"/>
              <w:adjustRightInd w:val="0"/>
              <w:jc w:val="center"/>
            </w:pPr>
          </w:p>
          <w:p w14:paraId="324533F3" w14:textId="77777777" w:rsidR="00594554" w:rsidRDefault="00594554" w:rsidP="00594554">
            <w:pPr>
              <w:kinsoku w:val="0"/>
              <w:overflowPunct w:val="0"/>
              <w:autoSpaceDE w:val="0"/>
              <w:autoSpaceDN w:val="0"/>
              <w:adjustRightInd w:val="0"/>
              <w:jc w:val="center"/>
            </w:pPr>
          </w:p>
          <w:p w14:paraId="23E6B2EB" w14:textId="77777777" w:rsidR="00594554" w:rsidRDefault="00594554" w:rsidP="00594554">
            <w:pPr>
              <w:kinsoku w:val="0"/>
              <w:overflowPunct w:val="0"/>
              <w:autoSpaceDE w:val="0"/>
              <w:autoSpaceDN w:val="0"/>
              <w:adjustRightInd w:val="0"/>
              <w:jc w:val="center"/>
            </w:pPr>
          </w:p>
          <w:p w14:paraId="646A9957" w14:textId="77777777" w:rsidR="00594554" w:rsidRDefault="00594554" w:rsidP="00594554">
            <w:pPr>
              <w:kinsoku w:val="0"/>
              <w:overflowPunct w:val="0"/>
              <w:autoSpaceDE w:val="0"/>
              <w:autoSpaceDN w:val="0"/>
              <w:adjustRightInd w:val="0"/>
              <w:jc w:val="center"/>
            </w:pPr>
          </w:p>
        </w:tc>
        <w:tc>
          <w:tcPr>
            <w:tcW w:w="1353" w:type="dxa"/>
          </w:tcPr>
          <w:p w14:paraId="688992BE" w14:textId="77777777" w:rsidR="00594554" w:rsidRDefault="00594554" w:rsidP="00594554">
            <w:pPr>
              <w:kinsoku w:val="0"/>
              <w:overflowPunct w:val="0"/>
              <w:autoSpaceDE w:val="0"/>
              <w:autoSpaceDN w:val="0"/>
              <w:adjustRightInd w:val="0"/>
              <w:jc w:val="center"/>
            </w:pPr>
          </w:p>
          <w:p w14:paraId="00CF71B2" w14:textId="77777777" w:rsidR="00594554" w:rsidRDefault="00594554" w:rsidP="00594554">
            <w:pPr>
              <w:kinsoku w:val="0"/>
              <w:overflowPunct w:val="0"/>
              <w:autoSpaceDE w:val="0"/>
              <w:autoSpaceDN w:val="0"/>
              <w:adjustRightInd w:val="0"/>
              <w:jc w:val="center"/>
            </w:pPr>
          </w:p>
          <w:p w14:paraId="31497801" w14:textId="77777777" w:rsidR="00594554" w:rsidRDefault="00594554" w:rsidP="00594554">
            <w:pPr>
              <w:kinsoku w:val="0"/>
              <w:overflowPunct w:val="0"/>
              <w:autoSpaceDE w:val="0"/>
              <w:autoSpaceDN w:val="0"/>
              <w:adjustRightInd w:val="0"/>
              <w:jc w:val="center"/>
            </w:pPr>
          </w:p>
          <w:p w14:paraId="6A8D9CFF" w14:textId="77777777" w:rsidR="00594554" w:rsidRDefault="00594554" w:rsidP="00594554">
            <w:pPr>
              <w:kinsoku w:val="0"/>
              <w:overflowPunct w:val="0"/>
              <w:autoSpaceDE w:val="0"/>
              <w:autoSpaceDN w:val="0"/>
              <w:adjustRightInd w:val="0"/>
              <w:jc w:val="center"/>
            </w:pPr>
            <w:r>
              <w:t>X</w:t>
            </w:r>
          </w:p>
        </w:tc>
        <w:tc>
          <w:tcPr>
            <w:tcW w:w="1352" w:type="dxa"/>
          </w:tcPr>
          <w:p w14:paraId="55CCD7C9" w14:textId="77777777" w:rsidR="00594554" w:rsidRDefault="00594554" w:rsidP="00594554">
            <w:pPr>
              <w:kinsoku w:val="0"/>
              <w:overflowPunct w:val="0"/>
              <w:autoSpaceDE w:val="0"/>
              <w:autoSpaceDN w:val="0"/>
              <w:adjustRightInd w:val="0"/>
              <w:jc w:val="center"/>
            </w:pPr>
          </w:p>
          <w:p w14:paraId="2E7F26D1" w14:textId="77777777" w:rsidR="00594554" w:rsidRDefault="00594554" w:rsidP="00594554">
            <w:pPr>
              <w:kinsoku w:val="0"/>
              <w:overflowPunct w:val="0"/>
              <w:autoSpaceDE w:val="0"/>
              <w:autoSpaceDN w:val="0"/>
              <w:adjustRightInd w:val="0"/>
              <w:jc w:val="center"/>
            </w:pPr>
          </w:p>
          <w:p w14:paraId="5F00EFDF" w14:textId="77777777" w:rsidR="00594554" w:rsidRDefault="00594554" w:rsidP="00594554">
            <w:pPr>
              <w:kinsoku w:val="0"/>
              <w:overflowPunct w:val="0"/>
              <w:autoSpaceDE w:val="0"/>
              <w:autoSpaceDN w:val="0"/>
              <w:adjustRightInd w:val="0"/>
              <w:jc w:val="center"/>
            </w:pPr>
          </w:p>
          <w:p w14:paraId="41FF36F2" w14:textId="77777777" w:rsidR="00594554" w:rsidRDefault="00594554" w:rsidP="00594554">
            <w:pPr>
              <w:kinsoku w:val="0"/>
              <w:overflowPunct w:val="0"/>
              <w:autoSpaceDE w:val="0"/>
              <w:autoSpaceDN w:val="0"/>
              <w:adjustRightInd w:val="0"/>
              <w:jc w:val="center"/>
            </w:pPr>
            <w:r>
              <w:t>X</w:t>
            </w:r>
          </w:p>
        </w:tc>
        <w:tc>
          <w:tcPr>
            <w:tcW w:w="1352" w:type="dxa"/>
          </w:tcPr>
          <w:p w14:paraId="76EBC232" w14:textId="77777777" w:rsidR="00594554" w:rsidRDefault="00594554" w:rsidP="00594554">
            <w:pPr>
              <w:kinsoku w:val="0"/>
              <w:overflowPunct w:val="0"/>
              <w:autoSpaceDE w:val="0"/>
              <w:autoSpaceDN w:val="0"/>
              <w:adjustRightInd w:val="0"/>
              <w:jc w:val="center"/>
            </w:pPr>
          </w:p>
        </w:tc>
        <w:tc>
          <w:tcPr>
            <w:tcW w:w="1353" w:type="dxa"/>
          </w:tcPr>
          <w:p w14:paraId="4D85E1AA" w14:textId="77777777" w:rsidR="00594554" w:rsidRDefault="00594554" w:rsidP="00594554">
            <w:pPr>
              <w:kinsoku w:val="0"/>
              <w:overflowPunct w:val="0"/>
              <w:autoSpaceDE w:val="0"/>
              <w:autoSpaceDN w:val="0"/>
              <w:adjustRightInd w:val="0"/>
              <w:jc w:val="center"/>
            </w:pPr>
          </w:p>
        </w:tc>
      </w:tr>
      <w:tr w:rsidR="00594554" w14:paraId="22795C0B" w14:textId="77777777" w:rsidTr="00594554">
        <w:tc>
          <w:tcPr>
            <w:tcW w:w="2506" w:type="dxa"/>
          </w:tcPr>
          <w:p w14:paraId="3B2C9FCF" w14:textId="77777777" w:rsidR="00594554" w:rsidRPr="003A3C7E" w:rsidRDefault="00594554" w:rsidP="00594554">
            <w:pPr>
              <w:kinsoku w:val="0"/>
              <w:overflowPunct w:val="0"/>
              <w:autoSpaceDE w:val="0"/>
              <w:autoSpaceDN w:val="0"/>
              <w:adjustRightInd w:val="0"/>
              <w:rPr>
                <w:b/>
                <w:sz w:val="20"/>
                <w:szCs w:val="20"/>
              </w:rPr>
            </w:pPr>
          </w:p>
          <w:p w14:paraId="39FB9800"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Classroom and Laboratory Training</w:t>
            </w:r>
          </w:p>
          <w:p w14:paraId="0402FCA3" w14:textId="77777777" w:rsidR="00594554" w:rsidRPr="003A3C7E" w:rsidRDefault="00594554" w:rsidP="00594554">
            <w:pPr>
              <w:kinsoku w:val="0"/>
              <w:overflowPunct w:val="0"/>
              <w:autoSpaceDE w:val="0"/>
              <w:autoSpaceDN w:val="0"/>
              <w:adjustRightInd w:val="0"/>
              <w:rPr>
                <w:b/>
                <w:sz w:val="20"/>
                <w:szCs w:val="20"/>
              </w:rPr>
            </w:pPr>
          </w:p>
        </w:tc>
        <w:tc>
          <w:tcPr>
            <w:tcW w:w="1352" w:type="dxa"/>
          </w:tcPr>
          <w:p w14:paraId="01A2BB61" w14:textId="77777777" w:rsidR="00594554" w:rsidRDefault="00594554" w:rsidP="00594554">
            <w:pPr>
              <w:kinsoku w:val="0"/>
              <w:overflowPunct w:val="0"/>
              <w:autoSpaceDE w:val="0"/>
              <w:autoSpaceDN w:val="0"/>
              <w:adjustRightInd w:val="0"/>
              <w:jc w:val="center"/>
            </w:pPr>
          </w:p>
        </w:tc>
        <w:tc>
          <w:tcPr>
            <w:tcW w:w="1352" w:type="dxa"/>
          </w:tcPr>
          <w:p w14:paraId="5AFB3AA0" w14:textId="77777777" w:rsidR="00594554" w:rsidRDefault="00594554" w:rsidP="00594554">
            <w:pPr>
              <w:kinsoku w:val="0"/>
              <w:overflowPunct w:val="0"/>
              <w:autoSpaceDE w:val="0"/>
              <w:autoSpaceDN w:val="0"/>
              <w:adjustRightInd w:val="0"/>
              <w:jc w:val="center"/>
            </w:pPr>
          </w:p>
          <w:p w14:paraId="7304E36A" w14:textId="77777777" w:rsidR="00594554" w:rsidRDefault="00594554" w:rsidP="00594554">
            <w:pPr>
              <w:kinsoku w:val="0"/>
              <w:overflowPunct w:val="0"/>
              <w:autoSpaceDE w:val="0"/>
              <w:autoSpaceDN w:val="0"/>
              <w:adjustRightInd w:val="0"/>
              <w:jc w:val="center"/>
            </w:pPr>
          </w:p>
          <w:p w14:paraId="1D955644" w14:textId="77777777" w:rsidR="00594554" w:rsidRDefault="00594554" w:rsidP="00594554">
            <w:pPr>
              <w:kinsoku w:val="0"/>
              <w:overflowPunct w:val="0"/>
              <w:autoSpaceDE w:val="0"/>
              <w:autoSpaceDN w:val="0"/>
              <w:adjustRightInd w:val="0"/>
              <w:jc w:val="center"/>
            </w:pPr>
            <w:r>
              <w:t>X</w:t>
            </w:r>
          </w:p>
        </w:tc>
        <w:tc>
          <w:tcPr>
            <w:tcW w:w="1353" w:type="dxa"/>
          </w:tcPr>
          <w:p w14:paraId="051B32D1" w14:textId="77777777" w:rsidR="00594554" w:rsidRDefault="00594554" w:rsidP="00594554">
            <w:pPr>
              <w:kinsoku w:val="0"/>
              <w:overflowPunct w:val="0"/>
              <w:autoSpaceDE w:val="0"/>
              <w:autoSpaceDN w:val="0"/>
              <w:adjustRightInd w:val="0"/>
              <w:jc w:val="center"/>
            </w:pPr>
          </w:p>
        </w:tc>
        <w:tc>
          <w:tcPr>
            <w:tcW w:w="1352" w:type="dxa"/>
          </w:tcPr>
          <w:p w14:paraId="7F7933AB" w14:textId="77777777" w:rsidR="00594554" w:rsidRDefault="00594554" w:rsidP="00594554">
            <w:pPr>
              <w:kinsoku w:val="0"/>
              <w:overflowPunct w:val="0"/>
              <w:autoSpaceDE w:val="0"/>
              <w:autoSpaceDN w:val="0"/>
              <w:adjustRightInd w:val="0"/>
              <w:jc w:val="center"/>
            </w:pPr>
          </w:p>
        </w:tc>
        <w:tc>
          <w:tcPr>
            <w:tcW w:w="1352" w:type="dxa"/>
          </w:tcPr>
          <w:p w14:paraId="67C02CB7" w14:textId="77777777" w:rsidR="00594554" w:rsidRDefault="00594554" w:rsidP="00594554">
            <w:pPr>
              <w:kinsoku w:val="0"/>
              <w:overflowPunct w:val="0"/>
              <w:autoSpaceDE w:val="0"/>
              <w:autoSpaceDN w:val="0"/>
              <w:adjustRightInd w:val="0"/>
              <w:jc w:val="center"/>
            </w:pPr>
          </w:p>
        </w:tc>
        <w:tc>
          <w:tcPr>
            <w:tcW w:w="1353" w:type="dxa"/>
          </w:tcPr>
          <w:p w14:paraId="52806396" w14:textId="77777777" w:rsidR="00594554" w:rsidRDefault="00594554" w:rsidP="00594554">
            <w:pPr>
              <w:kinsoku w:val="0"/>
              <w:overflowPunct w:val="0"/>
              <w:autoSpaceDE w:val="0"/>
              <w:autoSpaceDN w:val="0"/>
              <w:adjustRightInd w:val="0"/>
              <w:jc w:val="center"/>
            </w:pPr>
          </w:p>
        </w:tc>
      </w:tr>
      <w:tr w:rsidR="00594554" w14:paraId="2558EE6E" w14:textId="77777777" w:rsidTr="00594554">
        <w:tc>
          <w:tcPr>
            <w:tcW w:w="2506" w:type="dxa"/>
          </w:tcPr>
          <w:p w14:paraId="24CCD0B7" w14:textId="77777777" w:rsidR="00594554" w:rsidRPr="003A3C7E" w:rsidRDefault="00594554" w:rsidP="00594554">
            <w:pPr>
              <w:kinsoku w:val="0"/>
              <w:overflowPunct w:val="0"/>
              <w:autoSpaceDE w:val="0"/>
              <w:autoSpaceDN w:val="0"/>
              <w:adjustRightInd w:val="0"/>
              <w:rPr>
                <w:b/>
                <w:sz w:val="20"/>
                <w:szCs w:val="20"/>
              </w:rPr>
            </w:pPr>
          </w:p>
          <w:p w14:paraId="606FB13A"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Supervised Work Experience</w:t>
            </w:r>
          </w:p>
          <w:p w14:paraId="37EEF97A" w14:textId="77777777" w:rsidR="00594554" w:rsidRPr="003A3C7E" w:rsidRDefault="00594554" w:rsidP="00594554">
            <w:pPr>
              <w:kinsoku w:val="0"/>
              <w:overflowPunct w:val="0"/>
              <w:autoSpaceDE w:val="0"/>
              <w:autoSpaceDN w:val="0"/>
              <w:adjustRightInd w:val="0"/>
              <w:rPr>
                <w:b/>
                <w:sz w:val="20"/>
                <w:szCs w:val="20"/>
              </w:rPr>
            </w:pPr>
          </w:p>
        </w:tc>
        <w:tc>
          <w:tcPr>
            <w:tcW w:w="1352" w:type="dxa"/>
          </w:tcPr>
          <w:p w14:paraId="65E59D60" w14:textId="77777777" w:rsidR="00594554" w:rsidRDefault="00594554" w:rsidP="00594554">
            <w:pPr>
              <w:kinsoku w:val="0"/>
              <w:overflowPunct w:val="0"/>
              <w:autoSpaceDE w:val="0"/>
              <w:autoSpaceDN w:val="0"/>
              <w:adjustRightInd w:val="0"/>
              <w:jc w:val="center"/>
            </w:pPr>
          </w:p>
        </w:tc>
        <w:tc>
          <w:tcPr>
            <w:tcW w:w="1352" w:type="dxa"/>
          </w:tcPr>
          <w:p w14:paraId="34D366D5" w14:textId="77777777" w:rsidR="00594554" w:rsidRDefault="00594554" w:rsidP="00594554">
            <w:pPr>
              <w:kinsoku w:val="0"/>
              <w:overflowPunct w:val="0"/>
              <w:autoSpaceDE w:val="0"/>
              <w:autoSpaceDN w:val="0"/>
              <w:adjustRightInd w:val="0"/>
              <w:jc w:val="center"/>
            </w:pPr>
          </w:p>
          <w:p w14:paraId="2D1CD5FE" w14:textId="77777777" w:rsidR="00594554" w:rsidRDefault="00594554" w:rsidP="00594554">
            <w:pPr>
              <w:kinsoku w:val="0"/>
              <w:overflowPunct w:val="0"/>
              <w:autoSpaceDE w:val="0"/>
              <w:autoSpaceDN w:val="0"/>
              <w:adjustRightInd w:val="0"/>
              <w:jc w:val="center"/>
            </w:pPr>
          </w:p>
          <w:p w14:paraId="464A383B" w14:textId="77777777" w:rsidR="00594554" w:rsidRDefault="00594554" w:rsidP="00594554">
            <w:pPr>
              <w:kinsoku w:val="0"/>
              <w:overflowPunct w:val="0"/>
              <w:autoSpaceDE w:val="0"/>
              <w:autoSpaceDN w:val="0"/>
              <w:adjustRightInd w:val="0"/>
              <w:jc w:val="center"/>
            </w:pPr>
            <w:r>
              <w:t>X</w:t>
            </w:r>
          </w:p>
        </w:tc>
        <w:tc>
          <w:tcPr>
            <w:tcW w:w="1353" w:type="dxa"/>
          </w:tcPr>
          <w:p w14:paraId="285C09CD" w14:textId="77777777" w:rsidR="00594554" w:rsidRDefault="00594554" w:rsidP="00594554">
            <w:pPr>
              <w:kinsoku w:val="0"/>
              <w:overflowPunct w:val="0"/>
              <w:autoSpaceDE w:val="0"/>
              <w:autoSpaceDN w:val="0"/>
              <w:adjustRightInd w:val="0"/>
              <w:jc w:val="center"/>
            </w:pPr>
          </w:p>
        </w:tc>
        <w:tc>
          <w:tcPr>
            <w:tcW w:w="1352" w:type="dxa"/>
          </w:tcPr>
          <w:p w14:paraId="6DF0B332" w14:textId="77777777" w:rsidR="00594554" w:rsidRDefault="00594554" w:rsidP="00594554">
            <w:pPr>
              <w:kinsoku w:val="0"/>
              <w:overflowPunct w:val="0"/>
              <w:autoSpaceDE w:val="0"/>
              <w:autoSpaceDN w:val="0"/>
              <w:adjustRightInd w:val="0"/>
              <w:jc w:val="center"/>
            </w:pPr>
          </w:p>
        </w:tc>
        <w:tc>
          <w:tcPr>
            <w:tcW w:w="1352" w:type="dxa"/>
          </w:tcPr>
          <w:p w14:paraId="46176812" w14:textId="77777777" w:rsidR="00594554" w:rsidRDefault="00594554" w:rsidP="00594554">
            <w:pPr>
              <w:kinsoku w:val="0"/>
              <w:overflowPunct w:val="0"/>
              <w:autoSpaceDE w:val="0"/>
              <w:autoSpaceDN w:val="0"/>
              <w:adjustRightInd w:val="0"/>
              <w:jc w:val="center"/>
            </w:pPr>
          </w:p>
        </w:tc>
        <w:tc>
          <w:tcPr>
            <w:tcW w:w="1353" w:type="dxa"/>
          </w:tcPr>
          <w:p w14:paraId="0B004B64" w14:textId="77777777" w:rsidR="00594554" w:rsidRDefault="00594554" w:rsidP="00594554">
            <w:pPr>
              <w:kinsoku w:val="0"/>
              <w:overflowPunct w:val="0"/>
              <w:autoSpaceDE w:val="0"/>
              <w:autoSpaceDN w:val="0"/>
              <w:adjustRightInd w:val="0"/>
              <w:jc w:val="center"/>
            </w:pPr>
          </w:p>
        </w:tc>
      </w:tr>
      <w:tr w:rsidR="00594554" w14:paraId="572A5D41" w14:textId="77777777" w:rsidTr="00594554">
        <w:trPr>
          <w:trHeight w:val="1295"/>
        </w:trPr>
        <w:tc>
          <w:tcPr>
            <w:tcW w:w="2506" w:type="dxa"/>
          </w:tcPr>
          <w:p w14:paraId="5FBFC727" w14:textId="77777777" w:rsidR="00594554" w:rsidRPr="003A3C7E" w:rsidRDefault="00594554" w:rsidP="00594554">
            <w:pPr>
              <w:kinsoku w:val="0"/>
              <w:overflowPunct w:val="0"/>
              <w:autoSpaceDE w:val="0"/>
              <w:autoSpaceDN w:val="0"/>
              <w:adjustRightInd w:val="0"/>
              <w:rPr>
                <w:b/>
                <w:sz w:val="20"/>
                <w:szCs w:val="20"/>
              </w:rPr>
            </w:pPr>
          </w:p>
          <w:p w14:paraId="5B481129" w14:textId="77777777" w:rsidR="00594554" w:rsidRPr="003A3C7E" w:rsidRDefault="00594554" w:rsidP="00594554">
            <w:pPr>
              <w:kinsoku w:val="0"/>
              <w:overflowPunct w:val="0"/>
              <w:autoSpaceDE w:val="0"/>
              <w:autoSpaceDN w:val="0"/>
              <w:adjustRightInd w:val="0"/>
              <w:rPr>
                <w:sz w:val="20"/>
                <w:szCs w:val="20"/>
              </w:rPr>
            </w:pPr>
            <w:r w:rsidRPr="003A3C7E">
              <w:rPr>
                <w:b/>
                <w:sz w:val="20"/>
                <w:szCs w:val="20"/>
              </w:rPr>
              <w:t>Training in Radiation Safety, Regulatory Issues and Emergency Procedures</w:t>
            </w:r>
          </w:p>
        </w:tc>
        <w:tc>
          <w:tcPr>
            <w:tcW w:w="1352" w:type="dxa"/>
          </w:tcPr>
          <w:p w14:paraId="76C7449B" w14:textId="77777777" w:rsidR="00594554" w:rsidRDefault="00594554" w:rsidP="00594554">
            <w:pPr>
              <w:kinsoku w:val="0"/>
              <w:overflowPunct w:val="0"/>
              <w:autoSpaceDE w:val="0"/>
              <w:autoSpaceDN w:val="0"/>
              <w:adjustRightInd w:val="0"/>
              <w:jc w:val="center"/>
            </w:pPr>
          </w:p>
          <w:p w14:paraId="559FF208" w14:textId="77777777" w:rsidR="00594554" w:rsidRDefault="00594554" w:rsidP="00594554">
            <w:pPr>
              <w:kinsoku w:val="0"/>
              <w:overflowPunct w:val="0"/>
              <w:autoSpaceDE w:val="0"/>
              <w:autoSpaceDN w:val="0"/>
              <w:adjustRightInd w:val="0"/>
              <w:jc w:val="center"/>
            </w:pPr>
          </w:p>
          <w:p w14:paraId="74150355" w14:textId="77777777" w:rsidR="00594554" w:rsidRDefault="00594554" w:rsidP="00594554">
            <w:pPr>
              <w:kinsoku w:val="0"/>
              <w:overflowPunct w:val="0"/>
              <w:autoSpaceDE w:val="0"/>
              <w:autoSpaceDN w:val="0"/>
              <w:adjustRightInd w:val="0"/>
              <w:jc w:val="center"/>
            </w:pPr>
          </w:p>
          <w:p w14:paraId="652DB954" w14:textId="77777777" w:rsidR="00594554" w:rsidRDefault="00594554" w:rsidP="00594554">
            <w:pPr>
              <w:kinsoku w:val="0"/>
              <w:overflowPunct w:val="0"/>
              <w:autoSpaceDE w:val="0"/>
              <w:autoSpaceDN w:val="0"/>
              <w:adjustRightInd w:val="0"/>
              <w:jc w:val="center"/>
            </w:pPr>
            <w:r>
              <w:t>X</w:t>
            </w:r>
          </w:p>
          <w:p w14:paraId="262BC99F" w14:textId="77777777" w:rsidR="00594554" w:rsidRDefault="00594554" w:rsidP="00594554">
            <w:pPr>
              <w:kinsoku w:val="0"/>
              <w:overflowPunct w:val="0"/>
              <w:autoSpaceDE w:val="0"/>
              <w:autoSpaceDN w:val="0"/>
              <w:adjustRightInd w:val="0"/>
              <w:jc w:val="center"/>
            </w:pPr>
          </w:p>
        </w:tc>
        <w:tc>
          <w:tcPr>
            <w:tcW w:w="1352" w:type="dxa"/>
          </w:tcPr>
          <w:p w14:paraId="78E2A722" w14:textId="77777777" w:rsidR="00594554" w:rsidRDefault="00594554" w:rsidP="00594554">
            <w:pPr>
              <w:kinsoku w:val="0"/>
              <w:overflowPunct w:val="0"/>
              <w:autoSpaceDE w:val="0"/>
              <w:autoSpaceDN w:val="0"/>
              <w:adjustRightInd w:val="0"/>
              <w:jc w:val="center"/>
            </w:pPr>
          </w:p>
          <w:p w14:paraId="2A32C368" w14:textId="77777777" w:rsidR="00594554" w:rsidRDefault="00594554" w:rsidP="00594554">
            <w:pPr>
              <w:kinsoku w:val="0"/>
              <w:overflowPunct w:val="0"/>
              <w:autoSpaceDE w:val="0"/>
              <w:autoSpaceDN w:val="0"/>
              <w:adjustRightInd w:val="0"/>
              <w:jc w:val="center"/>
            </w:pPr>
          </w:p>
          <w:p w14:paraId="787F3097" w14:textId="77777777" w:rsidR="00594554" w:rsidRDefault="00594554" w:rsidP="00594554">
            <w:pPr>
              <w:kinsoku w:val="0"/>
              <w:overflowPunct w:val="0"/>
              <w:autoSpaceDE w:val="0"/>
              <w:autoSpaceDN w:val="0"/>
              <w:adjustRightInd w:val="0"/>
              <w:jc w:val="center"/>
            </w:pPr>
          </w:p>
          <w:p w14:paraId="4277F975" w14:textId="77777777" w:rsidR="00594554" w:rsidRDefault="00594554" w:rsidP="00594554">
            <w:pPr>
              <w:kinsoku w:val="0"/>
              <w:overflowPunct w:val="0"/>
              <w:autoSpaceDE w:val="0"/>
              <w:autoSpaceDN w:val="0"/>
              <w:adjustRightInd w:val="0"/>
              <w:jc w:val="center"/>
            </w:pPr>
            <w:r>
              <w:t>X</w:t>
            </w:r>
          </w:p>
          <w:p w14:paraId="0FA9C6DD" w14:textId="77777777" w:rsidR="00594554" w:rsidRDefault="00594554" w:rsidP="00594554">
            <w:pPr>
              <w:kinsoku w:val="0"/>
              <w:overflowPunct w:val="0"/>
              <w:autoSpaceDE w:val="0"/>
              <w:autoSpaceDN w:val="0"/>
              <w:adjustRightInd w:val="0"/>
              <w:jc w:val="center"/>
            </w:pPr>
          </w:p>
        </w:tc>
        <w:tc>
          <w:tcPr>
            <w:tcW w:w="1353" w:type="dxa"/>
          </w:tcPr>
          <w:p w14:paraId="7F3EB917" w14:textId="77777777" w:rsidR="00594554" w:rsidRDefault="00594554" w:rsidP="00594554">
            <w:pPr>
              <w:kinsoku w:val="0"/>
              <w:overflowPunct w:val="0"/>
              <w:autoSpaceDE w:val="0"/>
              <w:autoSpaceDN w:val="0"/>
              <w:adjustRightInd w:val="0"/>
              <w:jc w:val="center"/>
            </w:pPr>
          </w:p>
          <w:p w14:paraId="244F9906" w14:textId="77777777" w:rsidR="00594554" w:rsidRDefault="00594554" w:rsidP="00594554">
            <w:pPr>
              <w:kinsoku w:val="0"/>
              <w:overflowPunct w:val="0"/>
              <w:autoSpaceDE w:val="0"/>
              <w:autoSpaceDN w:val="0"/>
              <w:adjustRightInd w:val="0"/>
              <w:jc w:val="center"/>
            </w:pPr>
          </w:p>
          <w:p w14:paraId="1CAE43CA" w14:textId="77777777" w:rsidR="00594554" w:rsidRDefault="00594554" w:rsidP="00594554">
            <w:pPr>
              <w:kinsoku w:val="0"/>
              <w:overflowPunct w:val="0"/>
              <w:autoSpaceDE w:val="0"/>
              <w:autoSpaceDN w:val="0"/>
              <w:adjustRightInd w:val="0"/>
              <w:jc w:val="center"/>
            </w:pPr>
          </w:p>
          <w:p w14:paraId="646B503B" w14:textId="77777777" w:rsidR="00594554" w:rsidRDefault="00594554" w:rsidP="00594554">
            <w:pPr>
              <w:kinsoku w:val="0"/>
              <w:overflowPunct w:val="0"/>
              <w:autoSpaceDE w:val="0"/>
              <w:autoSpaceDN w:val="0"/>
              <w:adjustRightInd w:val="0"/>
              <w:jc w:val="center"/>
            </w:pPr>
            <w:r>
              <w:t>X</w:t>
            </w:r>
          </w:p>
        </w:tc>
        <w:tc>
          <w:tcPr>
            <w:tcW w:w="1352" w:type="dxa"/>
          </w:tcPr>
          <w:p w14:paraId="03F1DBF3" w14:textId="77777777" w:rsidR="00594554" w:rsidRDefault="00594554" w:rsidP="00594554">
            <w:pPr>
              <w:kinsoku w:val="0"/>
              <w:overflowPunct w:val="0"/>
              <w:autoSpaceDE w:val="0"/>
              <w:autoSpaceDN w:val="0"/>
              <w:adjustRightInd w:val="0"/>
              <w:jc w:val="center"/>
            </w:pPr>
          </w:p>
          <w:p w14:paraId="708FBE0F" w14:textId="77777777" w:rsidR="00594554" w:rsidRDefault="00594554" w:rsidP="00594554">
            <w:pPr>
              <w:kinsoku w:val="0"/>
              <w:overflowPunct w:val="0"/>
              <w:autoSpaceDE w:val="0"/>
              <w:autoSpaceDN w:val="0"/>
              <w:adjustRightInd w:val="0"/>
              <w:jc w:val="center"/>
            </w:pPr>
          </w:p>
          <w:p w14:paraId="557B3BE9" w14:textId="77777777" w:rsidR="00594554" w:rsidRDefault="00594554" w:rsidP="00594554">
            <w:pPr>
              <w:kinsoku w:val="0"/>
              <w:overflowPunct w:val="0"/>
              <w:autoSpaceDE w:val="0"/>
              <w:autoSpaceDN w:val="0"/>
              <w:adjustRightInd w:val="0"/>
              <w:jc w:val="center"/>
            </w:pPr>
          </w:p>
          <w:p w14:paraId="73B63A39" w14:textId="77777777" w:rsidR="00594554" w:rsidRDefault="00594554" w:rsidP="00594554">
            <w:pPr>
              <w:kinsoku w:val="0"/>
              <w:overflowPunct w:val="0"/>
              <w:autoSpaceDE w:val="0"/>
              <w:autoSpaceDN w:val="0"/>
              <w:adjustRightInd w:val="0"/>
              <w:jc w:val="center"/>
            </w:pPr>
            <w:r>
              <w:t>X</w:t>
            </w:r>
          </w:p>
        </w:tc>
        <w:tc>
          <w:tcPr>
            <w:tcW w:w="1352" w:type="dxa"/>
          </w:tcPr>
          <w:p w14:paraId="30E4A215" w14:textId="77777777" w:rsidR="00594554" w:rsidRDefault="00594554" w:rsidP="00594554">
            <w:pPr>
              <w:kinsoku w:val="0"/>
              <w:overflowPunct w:val="0"/>
              <w:autoSpaceDE w:val="0"/>
              <w:autoSpaceDN w:val="0"/>
              <w:adjustRightInd w:val="0"/>
              <w:jc w:val="center"/>
            </w:pPr>
          </w:p>
          <w:p w14:paraId="4E2ABF64" w14:textId="77777777" w:rsidR="00594554" w:rsidRDefault="00594554" w:rsidP="00594554">
            <w:pPr>
              <w:kinsoku w:val="0"/>
              <w:overflowPunct w:val="0"/>
              <w:autoSpaceDE w:val="0"/>
              <w:autoSpaceDN w:val="0"/>
              <w:adjustRightInd w:val="0"/>
              <w:jc w:val="center"/>
            </w:pPr>
          </w:p>
          <w:p w14:paraId="58FD4F45" w14:textId="77777777" w:rsidR="00594554" w:rsidRDefault="00594554" w:rsidP="00594554">
            <w:pPr>
              <w:kinsoku w:val="0"/>
              <w:overflowPunct w:val="0"/>
              <w:autoSpaceDE w:val="0"/>
              <w:autoSpaceDN w:val="0"/>
              <w:adjustRightInd w:val="0"/>
              <w:jc w:val="center"/>
            </w:pPr>
          </w:p>
          <w:p w14:paraId="08D6F225" w14:textId="77777777" w:rsidR="00594554" w:rsidRDefault="00594554" w:rsidP="00594554">
            <w:pPr>
              <w:kinsoku w:val="0"/>
              <w:overflowPunct w:val="0"/>
              <w:autoSpaceDE w:val="0"/>
              <w:autoSpaceDN w:val="0"/>
              <w:adjustRightInd w:val="0"/>
              <w:jc w:val="center"/>
            </w:pPr>
            <w:r>
              <w:t>X</w:t>
            </w:r>
          </w:p>
        </w:tc>
        <w:tc>
          <w:tcPr>
            <w:tcW w:w="1353" w:type="dxa"/>
          </w:tcPr>
          <w:p w14:paraId="39143462" w14:textId="77777777" w:rsidR="00594554" w:rsidRDefault="00594554" w:rsidP="00594554">
            <w:pPr>
              <w:kinsoku w:val="0"/>
              <w:overflowPunct w:val="0"/>
              <w:autoSpaceDE w:val="0"/>
              <w:autoSpaceDN w:val="0"/>
              <w:adjustRightInd w:val="0"/>
              <w:jc w:val="center"/>
            </w:pPr>
          </w:p>
        </w:tc>
      </w:tr>
      <w:tr w:rsidR="00594554" w14:paraId="2D0B424D" w14:textId="77777777" w:rsidTr="00594554">
        <w:tc>
          <w:tcPr>
            <w:tcW w:w="2506" w:type="dxa"/>
          </w:tcPr>
          <w:p w14:paraId="0F4875A9" w14:textId="77777777" w:rsidR="00594554" w:rsidRPr="003A3C7E" w:rsidRDefault="00594554" w:rsidP="00594554">
            <w:pPr>
              <w:kinsoku w:val="0"/>
              <w:overflowPunct w:val="0"/>
              <w:autoSpaceDE w:val="0"/>
              <w:autoSpaceDN w:val="0"/>
              <w:adjustRightInd w:val="0"/>
              <w:rPr>
                <w:b/>
                <w:sz w:val="20"/>
                <w:szCs w:val="20"/>
              </w:rPr>
            </w:pPr>
          </w:p>
          <w:p w14:paraId="69D68F36"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NRC Form 313A(AUD)</w:t>
            </w:r>
          </w:p>
          <w:p w14:paraId="6740FB02"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313A(AUT) or</w:t>
            </w:r>
          </w:p>
          <w:p w14:paraId="42EA6740"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313A(AUS</w:t>
            </w:r>
          </w:p>
        </w:tc>
        <w:tc>
          <w:tcPr>
            <w:tcW w:w="1352" w:type="dxa"/>
          </w:tcPr>
          <w:p w14:paraId="3587CED4" w14:textId="77777777" w:rsidR="00594554" w:rsidRDefault="00594554" w:rsidP="00594554">
            <w:pPr>
              <w:kinsoku w:val="0"/>
              <w:overflowPunct w:val="0"/>
              <w:autoSpaceDE w:val="0"/>
              <w:autoSpaceDN w:val="0"/>
              <w:adjustRightInd w:val="0"/>
              <w:jc w:val="center"/>
            </w:pPr>
          </w:p>
        </w:tc>
        <w:tc>
          <w:tcPr>
            <w:tcW w:w="1352" w:type="dxa"/>
          </w:tcPr>
          <w:p w14:paraId="361666EB" w14:textId="77777777" w:rsidR="00594554" w:rsidRDefault="00594554" w:rsidP="00594554">
            <w:pPr>
              <w:kinsoku w:val="0"/>
              <w:overflowPunct w:val="0"/>
              <w:autoSpaceDE w:val="0"/>
              <w:autoSpaceDN w:val="0"/>
              <w:adjustRightInd w:val="0"/>
              <w:jc w:val="center"/>
            </w:pPr>
          </w:p>
          <w:p w14:paraId="14771F4A" w14:textId="77777777" w:rsidR="00594554" w:rsidRDefault="00594554" w:rsidP="00594554">
            <w:pPr>
              <w:kinsoku w:val="0"/>
              <w:overflowPunct w:val="0"/>
              <w:autoSpaceDE w:val="0"/>
              <w:autoSpaceDN w:val="0"/>
              <w:adjustRightInd w:val="0"/>
              <w:jc w:val="center"/>
            </w:pPr>
          </w:p>
          <w:p w14:paraId="38F80C29" w14:textId="77777777" w:rsidR="00594554" w:rsidRDefault="00594554" w:rsidP="00594554">
            <w:pPr>
              <w:kinsoku w:val="0"/>
              <w:overflowPunct w:val="0"/>
              <w:autoSpaceDE w:val="0"/>
              <w:autoSpaceDN w:val="0"/>
              <w:adjustRightInd w:val="0"/>
              <w:jc w:val="center"/>
            </w:pPr>
          </w:p>
        </w:tc>
        <w:tc>
          <w:tcPr>
            <w:tcW w:w="1353" w:type="dxa"/>
          </w:tcPr>
          <w:p w14:paraId="1EF7562A" w14:textId="77777777" w:rsidR="00594554" w:rsidRDefault="00594554" w:rsidP="00594554">
            <w:pPr>
              <w:kinsoku w:val="0"/>
              <w:overflowPunct w:val="0"/>
              <w:autoSpaceDE w:val="0"/>
              <w:autoSpaceDN w:val="0"/>
              <w:adjustRightInd w:val="0"/>
              <w:jc w:val="center"/>
            </w:pPr>
          </w:p>
        </w:tc>
        <w:tc>
          <w:tcPr>
            <w:tcW w:w="1352" w:type="dxa"/>
          </w:tcPr>
          <w:p w14:paraId="11B157DC" w14:textId="77777777" w:rsidR="00594554" w:rsidRDefault="00594554" w:rsidP="00594554">
            <w:pPr>
              <w:kinsoku w:val="0"/>
              <w:overflowPunct w:val="0"/>
              <w:autoSpaceDE w:val="0"/>
              <w:autoSpaceDN w:val="0"/>
              <w:adjustRightInd w:val="0"/>
              <w:jc w:val="center"/>
            </w:pPr>
          </w:p>
        </w:tc>
        <w:tc>
          <w:tcPr>
            <w:tcW w:w="1352" w:type="dxa"/>
          </w:tcPr>
          <w:p w14:paraId="5B845B27" w14:textId="77777777" w:rsidR="00594554" w:rsidRDefault="00594554" w:rsidP="00594554">
            <w:pPr>
              <w:kinsoku w:val="0"/>
              <w:overflowPunct w:val="0"/>
              <w:autoSpaceDE w:val="0"/>
              <w:autoSpaceDN w:val="0"/>
              <w:adjustRightInd w:val="0"/>
              <w:jc w:val="center"/>
            </w:pPr>
          </w:p>
          <w:p w14:paraId="7FA9C4E6" w14:textId="77777777" w:rsidR="00594554" w:rsidRDefault="00594554" w:rsidP="00594554">
            <w:pPr>
              <w:kinsoku w:val="0"/>
              <w:overflowPunct w:val="0"/>
              <w:autoSpaceDE w:val="0"/>
              <w:autoSpaceDN w:val="0"/>
              <w:adjustRightInd w:val="0"/>
              <w:jc w:val="center"/>
            </w:pPr>
          </w:p>
          <w:p w14:paraId="2EF3B4AD" w14:textId="77777777" w:rsidR="00594554" w:rsidRDefault="00594554" w:rsidP="00594554">
            <w:pPr>
              <w:kinsoku w:val="0"/>
              <w:overflowPunct w:val="0"/>
              <w:autoSpaceDE w:val="0"/>
              <w:autoSpaceDN w:val="0"/>
              <w:adjustRightInd w:val="0"/>
              <w:jc w:val="center"/>
            </w:pPr>
            <w:r>
              <w:t>X</w:t>
            </w:r>
          </w:p>
          <w:p w14:paraId="566713E8" w14:textId="77777777" w:rsidR="00594554" w:rsidRDefault="00594554" w:rsidP="00594554">
            <w:pPr>
              <w:kinsoku w:val="0"/>
              <w:overflowPunct w:val="0"/>
              <w:autoSpaceDE w:val="0"/>
              <w:autoSpaceDN w:val="0"/>
              <w:adjustRightInd w:val="0"/>
              <w:jc w:val="center"/>
            </w:pPr>
          </w:p>
        </w:tc>
        <w:tc>
          <w:tcPr>
            <w:tcW w:w="1353" w:type="dxa"/>
          </w:tcPr>
          <w:p w14:paraId="4B739AED" w14:textId="77777777" w:rsidR="00594554" w:rsidRDefault="00594554" w:rsidP="00594554">
            <w:pPr>
              <w:kinsoku w:val="0"/>
              <w:overflowPunct w:val="0"/>
              <w:autoSpaceDE w:val="0"/>
              <w:autoSpaceDN w:val="0"/>
              <w:adjustRightInd w:val="0"/>
              <w:jc w:val="center"/>
            </w:pPr>
          </w:p>
        </w:tc>
      </w:tr>
      <w:tr w:rsidR="00594554" w14:paraId="7A4AD185" w14:textId="77777777" w:rsidTr="00594554">
        <w:tc>
          <w:tcPr>
            <w:tcW w:w="2506" w:type="dxa"/>
          </w:tcPr>
          <w:p w14:paraId="23FB5366" w14:textId="77777777" w:rsidR="00594554" w:rsidRPr="003A3C7E" w:rsidRDefault="00594554" w:rsidP="00594554">
            <w:pPr>
              <w:kinsoku w:val="0"/>
              <w:overflowPunct w:val="0"/>
              <w:autoSpaceDE w:val="0"/>
              <w:autoSpaceDN w:val="0"/>
              <w:adjustRightInd w:val="0"/>
              <w:rPr>
                <w:b/>
                <w:sz w:val="20"/>
                <w:szCs w:val="20"/>
              </w:rPr>
            </w:pPr>
          </w:p>
          <w:p w14:paraId="7BBB3835" w14:textId="77777777" w:rsidR="00594554" w:rsidRDefault="00594554" w:rsidP="00594554">
            <w:pPr>
              <w:kinsoku w:val="0"/>
              <w:overflowPunct w:val="0"/>
              <w:autoSpaceDE w:val="0"/>
              <w:autoSpaceDN w:val="0"/>
              <w:adjustRightInd w:val="0"/>
              <w:rPr>
                <w:b/>
                <w:sz w:val="20"/>
                <w:szCs w:val="20"/>
              </w:rPr>
            </w:pPr>
            <w:r>
              <w:rPr>
                <w:b/>
                <w:sz w:val="20"/>
                <w:szCs w:val="20"/>
              </w:rPr>
              <w:t>35.50</w:t>
            </w:r>
          </w:p>
          <w:p w14:paraId="58684662" w14:textId="77777777" w:rsidR="00594554" w:rsidRPr="003A3C7E" w:rsidRDefault="00594554" w:rsidP="00594554">
            <w:pPr>
              <w:kinsoku w:val="0"/>
              <w:overflowPunct w:val="0"/>
              <w:autoSpaceDE w:val="0"/>
              <w:autoSpaceDN w:val="0"/>
              <w:adjustRightInd w:val="0"/>
              <w:rPr>
                <w:b/>
                <w:sz w:val="20"/>
                <w:szCs w:val="20"/>
              </w:rPr>
            </w:pPr>
            <w:r w:rsidRPr="003A3C7E">
              <w:rPr>
                <w:b/>
                <w:sz w:val="20"/>
                <w:szCs w:val="20"/>
              </w:rPr>
              <w:t>Preceptor Statement</w:t>
            </w:r>
          </w:p>
        </w:tc>
        <w:tc>
          <w:tcPr>
            <w:tcW w:w="1352" w:type="dxa"/>
          </w:tcPr>
          <w:p w14:paraId="336104A1" w14:textId="77777777" w:rsidR="00594554" w:rsidRDefault="00594554" w:rsidP="00594554">
            <w:pPr>
              <w:kinsoku w:val="0"/>
              <w:overflowPunct w:val="0"/>
              <w:autoSpaceDE w:val="0"/>
              <w:autoSpaceDN w:val="0"/>
              <w:adjustRightInd w:val="0"/>
              <w:jc w:val="center"/>
            </w:pPr>
          </w:p>
        </w:tc>
        <w:tc>
          <w:tcPr>
            <w:tcW w:w="1352" w:type="dxa"/>
          </w:tcPr>
          <w:p w14:paraId="2BFB64F6" w14:textId="77777777" w:rsidR="00594554" w:rsidRDefault="00594554" w:rsidP="00594554">
            <w:pPr>
              <w:kinsoku w:val="0"/>
              <w:overflowPunct w:val="0"/>
              <w:autoSpaceDE w:val="0"/>
              <w:autoSpaceDN w:val="0"/>
              <w:adjustRightInd w:val="0"/>
              <w:jc w:val="center"/>
            </w:pPr>
          </w:p>
          <w:p w14:paraId="665D0E5A" w14:textId="77777777" w:rsidR="00594554" w:rsidRDefault="00594554" w:rsidP="00594554">
            <w:pPr>
              <w:kinsoku w:val="0"/>
              <w:overflowPunct w:val="0"/>
              <w:autoSpaceDE w:val="0"/>
              <w:autoSpaceDN w:val="0"/>
              <w:adjustRightInd w:val="0"/>
              <w:jc w:val="center"/>
            </w:pPr>
            <w:r>
              <w:t>X</w:t>
            </w:r>
          </w:p>
        </w:tc>
        <w:tc>
          <w:tcPr>
            <w:tcW w:w="1353" w:type="dxa"/>
          </w:tcPr>
          <w:p w14:paraId="1AFC7C7F" w14:textId="77777777" w:rsidR="00594554" w:rsidRDefault="00594554" w:rsidP="00594554">
            <w:pPr>
              <w:kinsoku w:val="0"/>
              <w:overflowPunct w:val="0"/>
              <w:autoSpaceDE w:val="0"/>
              <w:autoSpaceDN w:val="0"/>
              <w:adjustRightInd w:val="0"/>
              <w:jc w:val="center"/>
              <w:rPr>
                <w:b/>
              </w:rPr>
            </w:pPr>
          </w:p>
          <w:p w14:paraId="6340D9E5" w14:textId="77777777" w:rsidR="00594554" w:rsidRPr="00F96ACF" w:rsidRDefault="00594554" w:rsidP="00594554">
            <w:pPr>
              <w:kinsoku w:val="0"/>
              <w:overflowPunct w:val="0"/>
              <w:autoSpaceDE w:val="0"/>
              <w:autoSpaceDN w:val="0"/>
              <w:adjustRightInd w:val="0"/>
              <w:jc w:val="center"/>
              <w:rPr>
                <w:b/>
              </w:rPr>
            </w:pPr>
            <w:r>
              <w:rPr>
                <w:b/>
              </w:rPr>
              <w:t>*</w:t>
            </w:r>
          </w:p>
        </w:tc>
        <w:tc>
          <w:tcPr>
            <w:tcW w:w="1352" w:type="dxa"/>
          </w:tcPr>
          <w:p w14:paraId="49F40427" w14:textId="77777777" w:rsidR="00594554" w:rsidRDefault="00594554" w:rsidP="00594554">
            <w:pPr>
              <w:kinsoku w:val="0"/>
              <w:overflowPunct w:val="0"/>
              <w:autoSpaceDE w:val="0"/>
              <w:autoSpaceDN w:val="0"/>
              <w:adjustRightInd w:val="0"/>
              <w:jc w:val="center"/>
            </w:pPr>
          </w:p>
          <w:p w14:paraId="31501D77" w14:textId="77777777" w:rsidR="00594554" w:rsidRDefault="00594554" w:rsidP="00594554">
            <w:pPr>
              <w:kinsoku w:val="0"/>
              <w:overflowPunct w:val="0"/>
              <w:autoSpaceDE w:val="0"/>
              <w:autoSpaceDN w:val="0"/>
              <w:adjustRightInd w:val="0"/>
              <w:jc w:val="center"/>
            </w:pPr>
            <w:r>
              <w:t>*</w:t>
            </w:r>
          </w:p>
        </w:tc>
        <w:tc>
          <w:tcPr>
            <w:tcW w:w="1352" w:type="dxa"/>
          </w:tcPr>
          <w:p w14:paraId="69873B24" w14:textId="77777777" w:rsidR="00594554" w:rsidRDefault="00594554" w:rsidP="00594554">
            <w:pPr>
              <w:kinsoku w:val="0"/>
              <w:overflowPunct w:val="0"/>
              <w:autoSpaceDE w:val="0"/>
              <w:autoSpaceDN w:val="0"/>
              <w:adjustRightInd w:val="0"/>
              <w:jc w:val="center"/>
            </w:pPr>
          </w:p>
          <w:p w14:paraId="03F4B6EA" w14:textId="77777777" w:rsidR="00594554" w:rsidRDefault="00594554" w:rsidP="00594554">
            <w:pPr>
              <w:kinsoku w:val="0"/>
              <w:overflowPunct w:val="0"/>
              <w:autoSpaceDE w:val="0"/>
              <w:autoSpaceDN w:val="0"/>
              <w:adjustRightInd w:val="0"/>
              <w:jc w:val="center"/>
            </w:pPr>
            <w:r>
              <w:t>*</w:t>
            </w:r>
          </w:p>
        </w:tc>
        <w:tc>
          <w:tcPr>
            <w:tcW w:w="1353" w:type="dxa"/>
          </w:tcPr>
          <w:p w14:paraId="5E19D286" w14:textId="77777777" w:rsidR="00594554" w:rsidRDefault="00594554" w:rsidP="00594554">
            <w:pPr>
              <w:kinsoku w:val="0"/>
              <w:overflowPunct w:val="0"/>
              <w:autoSpaceDE w:val="0"/>
              <w:autoSpaceDN w:val="0"/>
              <w:adjustRightInd w:val="0"/>
              <w:jc w:val="center"/>
            </w:pPr>
          </w:p>
          <w:p w14:paraId="1FAE3C44" w14:textId="77777777" w:rsidR="00594554" w:rsidRDefault="00594554" w:rsidP="00594554">
            <w:pPr>
              <w:kinsoku w:val="0"/>
              <w:overflowPunct w:val="0"/>
              <w:autoSpaceDE w:val="0"/>
              <w:autoSpaceDN w:val="0"/>
              <w:adjustRightInd w:val="0"/>
              <w:jc w:val="center"/>
            </w:pPr>
            <w:r>
              <w:t>*</w:t>
            </w:r>
          </w:p>
        </w:tc>
      </w:tr>
    </w:tbl>
    <w:p w14:paraId="2354CCD6" w14:textId="77777777" w:rsidR="00594554" w:rsidRPr="00823F7B" w:rsidRDefault="00594554" w:rsidP="00594554">
      <w:pPr>
        <w:kinsoku w:val="0"/>
        <w:overflowPunct w:val="0"/>
        <w:autoSpaceDE w:val="0"/>
        <w:autoSpaceDN w:val="0"/>
        <w:adjustRightInd w:val="0"/>
        <w:spacing w:line="251" w:lineRule="auto"/>
        <w:ind w:right="208"/>
        <w:rPr>
          <w:b/>
        </w:rPr>
      </w:pPr>
      <w:r w:rsidRPr="00823F7B">
        <w:rPr>
          <w:b/>
        </w:rPr>
        <w:t>•</w:t>
      </w:r>
      <w:r w:rsidRPr="00823F7B">
        <w:rPr>
          <w:b/>
        </w:rPr>
        <w:tab/>
        <w:t>Only needed if individual is not board certified by a Board recognized by NRC or listed in 10 CFR 35.57</w:t>
      </w:r>
    </w:p>
    <w:p w14:paraId="0742E86A" w14:textId="77777777" w:rsidR="00594554" w:rsidRPr="00823F7B" w:rsidRDefault="00594554" w:rsidP="00594554">
      <w:pPr>
        <w:kinsoku w:val="0"/>
        <w:overflowPunct w:val="0"/>
        <w:autoSpaceDE w:val="0"/>
        <w:autoSpaceDN w:val="0"/>
        <w:adjustRightInd w:val="0"/>
        <w:spacing w:line="251" w:lineRule="auto"/>
        <w:ind w:right="208"/>
        <w:rPr>
          <w:b/>
        </w:rPr>
      </w:pPr>
    </w:p>
    <w:p w14:paraId="2CDAE69A" w14:textId="77777777" w:rsidR="00594554" w:rsidRDefault="00594554" w:rsidP="00594554"/>
    <w:p w14:paraId="64CD6F58" w14:textId="77777777" w:rsidR="00594554" w:rsidRPr="0078645D" w:rsidRDefault="00594554" w:rsidP="0078645D">
      <w:pPr>
        <w:spacing w:line="240" w:lineRule="auto"/>
        <w:rPr>
          <w:i/>
          <w:iCs/>
        </w:rPr>
      </w:pPr>
    </w:p>
    <w:p w14:paraId="38357529" w14:textId="77777777" w:rsidR="0078645D" w:rsidRPr="0078645D" w:rsidRDefault="0078645D" w:rsidP="0078645D">
      <w:pPr>
        <w:spacing w:line="240" w:lineRule="auto"/>
        <w:rPr>
          <w:i/>
          <w:iCs/>
        </w:rPr>
      </w:pPr>
      <w:r w:rsidRPr="0078645D">
        <w:rPr>
          <w:i/>
          <w:iCs/>
        </w:rPr>
        <w:t xml:space="preserve">   </w:t>
      </w:r>
    </w:p>
    <w:p w14:paraId="75DC78D6" w14:textId="77777777" w:rsidR="0078645D" w:rsidRPr="005277B7" w:rsidRDefault="0078645D" w:rsidP="005A2919">
      <w:pPr>
        <w:rPr>
          <w:b/>
        </w:rPr>
      </w:pPr>
    </w:p>
    <w:sectPr w:rsidR="0078645D" w:rsidRPr="005277B7" w:rsidSect="00DF1E28">
      <w:footerReference w:type="defaul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4ABD0" w14:textId="77777777" w:rsidR="00F37C4C" w:rsidRDefault="00F37C4C" w:rsidP="00DF1E28">
      <w:pPr>
        <w:spacing w:line="240" w:lineRule="auto"/>
      </w:pPr>
      <w:r>
        <w:separator/>
      </w:r>
    </w:p>
  </w:endnote>
  <w:endnote w:type="continuationSeparator" w:id="0">
    <w:p w14:paraId="57EF6FE0" w14:textId="77777777" w:rsidR="00F37C4C" w:rsidRDefault="00F37C4C" w:rsidP="00DF1E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552966"/>
      <w:docPartObj>
        <w:docPartGallery w:val="Page Numbers (Bottom of Page)"/>
        <w:docPartUnique/>
      </w:docPartObj>
    </w:sdtPr>
    <w:sdtEndPr>
      <w:rPr>
        <w:noProof/>
      </w:rPr>
    </w:sdtEndPr>
    <w:sdtContent>
      <w:p w14:paraId="351FD40B" w14:textId="77777777" w:rsidR="00F37C4C" w:rsidRDefault="00F37C4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11670E1" w14:textId="77777777" w:rsidR="00F37C4C" w:rsidRDefault="00F37C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616025"/>
      <w:docPartObj>
        <w:docPartGallery w:val="Page Numbers (Bottom of Page)"/>
        <w:docPartUnique/>
      </w:docPartObj>
    </w:sdtPr>
    <w:sdtEndPr>
      <w:rPr>
        <w:noProof/>
      </w:rPr>
    </w:sdtEndPr>
    <w:sdtContent>
      <w:p w14:paraId="7EEA678E" w14:textId="77777777" w:rsidR="00F37C4C" w:rsidRDefault="00F37C4C">
        <w:pPr>
          <w:pStyle w:val="Footer"/>
          <w:jc w:val="center"/>
        </w:pPr>
        <w:r>
          <w:fldChar w:fldCharType="begin"/>
        </w:r>
        <w:r>
          <w:instrText xml:space="preserve"> PAGE   \* MERGEFORMAT </w:instrText>
        </w:r>
        <w:r>
          <w:fldChar w:fldCharType="separate"/>
        </w:r>
        <w:r w:rsidR="000F43DE">
          <w:rPr>
            <w:noProof/>
          </w:rPr>
          <w:t>1</w:t>
        </w:r>
        <w:r>
          <w:rPr>
            <w:noProof/>
          </w:rPr>
          <w:fldChar w:fldCharType="end"/>
        </w:r>
      </w:p>
    </w:sdtContent>
  </w:sdt>
  <w:p w14:paraId="0193BB7C" w14:textId="77777777" w:rsidR="00F37C4C" w:rsidRDefault="00F37C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BEAA9" w14:textId="77777777" w:rsidR="00F37C4C" w:rsidRDefault="00F37C4C">
    <w:pPr>
      <w:pStyle w:val="Footer"/>
      <w:jc w:val="center"/>
    </w:pPr>
  </w:p>
  <w:p w14:paraId="03165676" w14:textId="77777777" w:rsidR="00F37C4C" w:rsidRDefault="00F37C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169733"/>
      <w:docPartObj>
        <w:docPartGallery w:val="Page Numbers (Bottom of Page)"/>
        <w:docPartUnique/>
      </w:docPartObj>
    </w:sdtPr>
    <w:sdtEndPr>
      <w:rPr>
        <w:noProof/>
      </w:rPr>
    </w:sdtEndPr>
    <w:sdtContent>
      <w:p w14:paraId="0DE4C88F" w14:textId="77777777" w:rsidR="00F37C4C" w:rsidRDefault="00F37C4C">
        <w:pPr>
          <w:pStyle w:val="Footer"/>
          <w:jc w:val="center"/>
        </w:pPr>
        <w:r>
          <w:fldChar w:fldCharType="begin"/>
        </w:r>
        <w:r>
          <w:instrText xml:space="preserve"> PAGE   \* MERGEFORMAT </w:instrText>
        </w:r>
        <w:r>
          <w:fldChar w:fldCharType="separate"/>
        </w:r>
        <w:r w:rsidR="001D552A">
          <w:rPr>
            <w:noProof/>
          </w:rPr>
          <w:t>5</w:t>
        </w:r>
        <w:r>
          <w:rPr>
            <w:noProof/>
          </w:rPr>
          <w:fldChar w:fldCharType="end"/>
        </w:r>
      </w:p>
    </w:sdtContent>
  </w:sdt>
  <w:p w14:paraId="1CEEBFC1" w14:textId="77777777" w:rsidR="00F37C4C" w:rsidRDefault="00F37C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92612" w14:textId="77777777" w:rsidR="00F37C4C" w:rsidRDefault="00F37C4C" w:rsidP="00DF1E28">
      <w:pPr>
        <w:spacing w:line="240" w:lineRule="auto"/>
      </w:pPr>
      <w:r>
        <w:separator/>
      </w:r>
    </w:p>
  </w:footnote>
  <w:footnote w:type="continuationSeparator" w:id="0">
    <w:p w14:paraId="29FC9BCD" w14:textId="77777777" w:rsidR="00F37C4C" w:rsidRDefault="00F37C4C" w:rsidP="00DF1E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F7B46" w14:textId="77777777" w:rsidR="00F37C4C" w:rsidRDefault="00F37C4C" w:rsidP="00E257FD">
    <w:pPr>
      <w:pStyle w:val="Header"/>
      <w:tabs>
        <w:tab w:val="clear" w:pos="4680"/>
        <w:tab w:val="clear" w:pos="9360"/>
        <w:tab w:val="left" w:pos="307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605"/>
    <w:multiLevelType w:val="multilevel"/>
    <w:tmpl w:val="C250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3772B"/>
    <w:multiLevelType w:val="multilevel"/>
    <w:tmpl w:val="E6DA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A24C18"/>
    <w:multiLevelType w:val="multilevel"/>
    <w:tmpl w:val="1628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807464"/>
    <w:multiLevelType w:val="multilevel"/>
    <w:tmpl w:val="0056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E85C1F"/>
    <w:multiLevelType w:val="multilevel"/>
    <w:tmpl w:val="97F2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A66A23"/>
    <w:multiLevelType w:val="multilevel"/>
    <w:tmpl w:val="0C7E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1161F3"/>
    <w:multiLevelType w:val="multilevel"/>
    <w:tmpl w:val="CEE6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D13EFF"/>
    <w:multiLevelType w:val="hybridMultilevel"/>
    <w:tmpl w:val="D09ED0FC"/>
    <w:lvl w:ilvl="0" w:tplc="07CED106">
      <w:start w:val="1"/>
      <w:numFmt w:val="lowerLetter"/>
      <w:lvlText w:val="%1."/>
      <w:lvlJc w:val="left"/>
      <w:pPr>
        <w:ind w:left="720" w:hanging="360"/>
      </w:pPr>
      <w:rPr>
        <w:rFonts w:hint="default"/>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CB7DD8"/>
    <w:multiLevelType w:val="multilevel"/>
    <w:tmpl w:val="4AAE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DE748B"/>
    <w:multiLevelType w:val="multilevel"/>
    <w:tmpl w:val="90EA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FF6388"/>
    <w:multiLevelType w:val="multilevel"/>
    <w:tmpl w:val="404C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80B42"/>
    <w:multiLevelType w:val="multilevel"/>
    <w:tmpl w:val="0D64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883A2A"/>
    <w:multiLevelType w:val="multilevel"/>
    <w:tmpl w:val="3A8C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E17302"/>
    <w:multiLevelType w:val="multilevel"/>
    <w:tmpl w:val="D3D0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C50D60"/>
    <w:multiLevelType w:val="multilevel"/>
    <w:tmpl w:val="B39A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400174"/>
    <w:multiLevelType w:val="multilevel"/>
    <w:tmpl w:val="EB36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F528BC"/>
    <w:multiLevelType w:val="multilevel"/>
    <w:tmpl w:val="D1A4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1801E8"/>
    <w:multiLevelType w:val="multilevel"/>
    <w:tmpl w:val="AA36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C01108"/>
    <w:multiLevelType w:val="multilevel"/>
    <w:tmpl w:val="4286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F35025"/>
    <w:multiLevelType w:val="multilevel"/>
    <w:tmpl w:val="E430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A5669E"/>
    <w:multiLevelType w:val="multilevel"/>
    <w:tmpl w:val="F88C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DA5526"/>
    <w:multiLevelType w:val="hybridMultilevel"/>
    <w:tmpl w:val="B144F18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E72701"/>
    <w:multiLevelType w:val="multilevel"/>
    <w:tmpl w:val="0A6E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465254"/>
    <w:multiLevelType w:val="multilevel"/>
    <w:tmpl w:val="4290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880DD8"/>
    <w:multiLevelType w:val="multilevel"/>
    <w:tmpl w:val="7112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0D67D6"/>
    <w:multiLevelType w:val="multilevel"/>
    <w:tmpl w:val="722C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061B82"/>
    <w:multiLevelType w:val="multilevel"/>
    <w:tmpl w:val="0A2C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7C2A12"/>
    <w:multiLevelType w:val="multilevel"/>
    <w:tmpl w:val="77F6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E97435"/>
    <w:multiLevelType w:val="multilevel"/>
    <w:tmpl w:val="B008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6639F0"/>
    <w:multiLevelType w:val="hybridMultilevel"/>
    <w:tmpl w:val="C5FC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415157"/>
    <w:multiLevelType w:val="multilevel"/>
    <w:tmpl w:val="7C02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88C56CF"/>
    <w:multiLevelType w:val="multilevel"/>
    <w:tmpl w:val="117A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8A94290"/>
    <w:multiLevelType w:val="multilevel"/>
    <w:tmpl w:val="BBD8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96858CA"/>
    <w:multiLevelType w:val="multilevel"/>
    <w:tmpl w:val="036C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D34D85"/>
    <w:multiLevelType w:val="hybridMultilevel"/>
    <w:tmpl w:val="7768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E4A4307"/>
    <w:multiLevelType w:val="multilevel"/>
    <w:tmpl w:val="392E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1CB1865"/>
    <w:multiLevelType w:val="hybridMultilevel"/>
    <w:tmpl w:val="BA6A17BA"/>
    <w:lvl w:ilvl="0" w:tplc="04090019">
      <w:start w:val="1"/>
      <w:numFmt w:val="lowerLetter"/>
      <w:lvlText w:val="%1."/>
      <w:lvlJc w:val="left"/>
      <w:pPr>
        <w:ind w:left="720" w:hanging="360"/>
      </w:pPr>
      <w:rPr>
        <w:rFonts w:hint="default"/>
      </w:rPr>
    </w:lvl>
    <w:lvl w:ilvl="1" w:tplc="8C700BA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C45FAD"/>
    <w:multiLevelType w:val="multilevel"/>
    <w:tmpl w:val="7DD0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5BD762D"/>
    <w:multiLevelType w:val="multilevel"/>
    <w:tmpl w:val="C558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6C21533"/>
    <w:multiLevelType w:val="multilevel"/>
    <w:tmpl w:val="F340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79F42E5"/>
    <w:multiLevelType w:val="multilevel"/>
    <w:tmpl w:val="3BAE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8056FAB"/>
    <w:multiLevelType w:val="multilevel"/>
    <w:tmpl w:val="7B78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8E8741B"/>
    <w:multiLevelType w:val="multilevel"/>
    <w:tmpl w:val="18FC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99C0CBD"/>
    <w:multiLevelType w:val="multilevel"/>
    <w:tmpl w:val="C3AC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C91669E"/>
    <w:multiLevelType w:val="multilevel"/>
    <w:tmpl w:val="127EA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D69461B"/>
    <w:multiLevelType w:val="multilevel"/>
    <w:tmpl w:val="5BDE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D6B11BD"/>
    <w:multiLevelType w:val="multilevel"/>
    <w:tmpl w:val="631A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D8A45AB"/>
    <w:multiLevelType w:val="multilevel"/>
    <w:tmpl w:val="E8EA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1CE5A03"/>
    <w:multiLevelType w:val="multilevel"/>
    <w:tmpl w:val="BCFA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23961BB"/>
    <w:multiLevelType w:val="multilevel"/>
    <w:tmpl w:val="3402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3CF3B30"/>
    <w:multiLevelType w:val="multilevel"/>
    <w:tmpl w:val="9FC8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56E0032"/>
    <w:multiLevelType w:val="multilevel"/>
    <w:tmpl w:val="7C92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5C03144"/>
    <w:multiLevelType w:val="multilevel"/>
    <w:tmpl w:val="5642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8A249F8"/>
    <w:multiLevelType w:val="multilevel"/>
    <w:tmpl w:val="D5EE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A6038BD"/>
    <w:multiLevelType w:val="multilevel"/>
    <w:tmpl w:val="C014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CC461EE"/>
    <w:multiLevelType w:val="multilevel"/>
    <w:tmpl w:val="530A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D9D75D0"/>
    <w:multiLevelType w:val="multilevel"/>
    <w:tmpl w:val="DFF4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EE7655E"/>
    <w:multiLevelType w:val="multilevel"/>
    <w:tmpl w:val="4558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FAE3746"/>
    <w:multiLevelType w:val="multilevel"/>
    <w:tmpl w:val="49AA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11D3A38"/>
    <w:multiLevelType w:val="multilevel"/>
    <w:tmpl w:val="6C94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2480E6B"/>
    <w:multiLevelType w:val="multilevel"/>
    <w:tmpl w:val="7D16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7787B35"/>
    <w:multiLevelType w:val="multilevel"/>
    <w:tmpl w:val="F1DE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8A23F95"/>
    <w:multiLevelType w:val="multilevel"/>
    <w:tmpl w:val="D284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B82051D"/>
    <w:multiLevelType w:val="multilevel"/>
    <w:tmpl w:val="D39A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B9E227A"/>
    <w:multiLevelType w:val="hybridMultilevel"/>
    <w:tmpl w:val="A110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CE815BD"/>
    <w:multiLevelType w:val="multilevel"/>
    <w:tmpl w:val="455A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D8E11D5"/>
    <w:multiLevelType w:val="multilevel"/>
    <w:tmpl w:val="92EC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37"/>
  </w:num>
  <w:num w:numId="4">
    <w:abstractNumId w:val="6"/>
  </w:num>
  <w:num w:numId="5">
    <w:abstractNumId w:val="1"/>
  </w:num>
  <w:num w:numId="6">
    <w:abstractNumId w:val="49"/>
  </w:num>
  <w:num w:numId="7">
    <w:abstractNumId w:val="19"/>
  </w:num>
  <w:num w:numId="8">
    <w:abstractNumId w:val="53"/>
  </w:num>
  <w:num w:numId="9">
    <w:abstractNumId w:val="30"/>
  </w:num>
  <w:num w:numId="10">
    <w:abstractNumId w:val="9"/>
  </w:num>
  <w:num w:numId="11">
    <w:abstractNumId w:val="55"/>
  </w:num>
  <w:num w:numId="12">
    <w:abstractNumId w:val="0"/>
  </w:num>
  <w:num w:numId="13">
    <w:abstractNumId w:val="59"/>
  </w:num>
  <w:num w:numId="14">
    <w:abstractNumId w:val="28"/>
  </w:num>
  <w:num w:numId="15">
    <w:abstractNumId w:val="15"/>
  </w:num>
  <w:num w:numId="16">
    <w:abstractNumId w:val="3"/>
  </w:num>
  <w:num w:numId="17">
    <w:abstractNumId w:val="46"/>
  </w:num>
  <w:num w:numId="18">
    <w:abstractNumId w:val="51"/>
  </w:num>
  <w:num w:numId="19">
    <w:abstractNumId w:val="62"/>
  </w:num>
  <w:num w:numId="20">
    <w:abstractNumId w:val="32"/>
  </w:num>
  <w:num w:numId="21">
    <w:abstractNumId w:val="31"/>
  </w:num>
  <w:num w:numId="22">
    <w:abstractNumId w:val="13"/>
  </w:num>
  <w:num w:numId="23">
    <w:abstractNumId w:val="20"/>
  </w:num>
  <w:num w:numId="24">
    <w:abstractNumId w:val="2"/>
  </w:num>
  <w:num w:numId="25">
    <w:abstractNumId w:val="23"/>
  </w:num>
  <w:num w:numId="26">
    <w:abstractNumId w:val="66"/>
  </w:num>
  <w:num w:numId="27">
    <w:abstractNumId w:val="27"/>
  </w:num>
  <w:num w:numId="28">
    <w:abstractNumId w:val="50"/>
  </w:num>
  <w:num w:numId="29">
    <w:abstractNumId w:val="33"/>
  </w:num>
  <w:num w:numId="30">
    <w:abstractNumId w:val="8"/>
  </w:num>
  <w:num w:numId="31">
    <w:abstractNumId w:val="12"/>
  </w:num>
  <w:num w:numId="32">
    <w:abstractNumId w:val="5"/>
  </w:num>
  <w:num w:numId="33">
    <w:abstractNumId w:val="47"/>
  </w:num>
  <w:num w:numId="34">
    <w:abstractNumId w:val="41"/>
  </w:num>
  <w:num w:numId="35">
    <w:abstractNumId w:val="61"/>
  </w:num>
  <w:num w:numId="36">
    <w:abstractNumId w:val="18"/>
  </w:num>
  <w:num w:numId="37">
    <w:abstractNumId w:val="10"/>
  </w:num>
  <w:num w:numId="38">
    <w:abstractNumId w:val="42"/>
  </w:num>
  <w:num w:numId="39">
    <w:abstractNumId w:val="17"/>
  </w:num>
  <w:num w:numId="40">
    <w:abstractNumId w:val="63"/>
  </w:num>
  <w:num w:numId="41">
    <w:abstractNumId w:val="45"/>
  </w:num>
  <w:num w:numId="42">
    <w:abstractNumId w:val="38"/>
  </w:num>
  <w:num w:numId="43">
    <w:abstractNumId w:val="54"/>
  </w:num>
  <w:num w:numId="44">
    <w:abstractNumId w:val="26"/>
  </w:num>
  <w:num w:numId="45">
    <w:abstractNumId w:val="43"/>
  </w:num>
  <w:num w:numId="46">
    <w:abstractNumId w:val="52"/>
  </w:num>
  <w:num w:numId="47">
    <w:abstractNumId w:val="40"/>
  </w:num>
  <w:num w:numId="48">
    <w:abstractNumId w:val="4"/>
  </w:num>
  <w:num w:numId="49">
    <w:abstractNumId w:val="58"/>
  </w:num>
  <w:num w:numId="50">
    <w:abstractNumId w:val="11"/>
  </w:num>
  <w:num w:numId="51">
    <w:abstractNumId w:val="39"/>
  </w:num>
  <w:num w:numId="52">
    <w:abstractNumId w:val="35"/>
  </w:num>
  <w:num w:numId="53">
    <w:abstractNumId w:val="60"/>
  </w:num>
  <w:num w:numId="54">
    <w:abstractNumId w:val="65"/>
  </w:num>
  <w:num w:numId="55">
    <w:abstractNumId w:val="57"/>
  </w:num>
  <w:num w:numId="56">
    <w:abstractNumId w:val="14"/>
  </w:num>
  <w:num w:numId="57">
    <w:abstractNumId w:val="44"/>
  </w:num>
  <w:num w:numId="58">
    <w:abstractNumId w:val="48"/>
  </w:num>
  <w:num w:numId="59">
    <w:abstractNumId w:val="22"/>
  </w:num>
  <w:num w:numId="60">
    <w:abstractNumId w:val="24"/>
  </w:num>
  <w:num w:numId="61">
    <w:abstractNumId w:val="56"/>
  </w:num>
  <w:num w:numId="62">
    <w:abstractNumId w:val="29"/>
  </w:num>
  <w:num w:numId="63">
    <w:abstractNumId w:val="34"/>
  </w:num>
  <w:num w:numId="64">
    <w:abstractNumId w:val="64"/>
  </w:num>
  <w:num w:numId="65">
    <w:abstractNumId w:val="7"/>
  </w:num>
  <w:num w:numId="66">
    <w:abstractNumId w:val="36"/>
  </w:num>
  <w:num w:numId="67">
    <w:abstractNumId w:val="21"/>
  </w:num>
  <w:numIdMacAtCleanup w:val="6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ogunde, Maryann">
    <w15:presenceInfo w15:providerId="AD" w15:userId="S-1-5-21-1922771939-1581663855-1617787245-46059"/>
  </w15:person>
  <w15:person w15:author="Adam Gendelman">
    <w15:presenceInfo w15:providerId="None" w15:userId="Adam Gendelman"/>
  </w15:person>
  <w15:person w15:author="Fuller, Michael">
    <w15:presenceInfo w15:providerId="AD" w15:userId="S-1-5-21-1922771939-1581663855-1617787245-33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hideGrammaticalError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B08"/>
    <w:rsid w:val="0000042C"/>
    <w:rsid w:val="0000178C"/>
    <w:rsid w:val="00001C56"/>
    <w:rsid w:val="00012C4A"/>
    <w:rsid w:val="00020996"/>
    <w:rsid w:val="00021F74"/>
    <w:rsid w:val="00022235"/>
    <w:rsid w:val="000226C1"/>
    <w:rsid w:val="00024503"/>
    <w:rsid w:val="00027044"/>
    <w:rsid w:val="00031376"/>
    <w:rsid w:val="000316D3"/>
    <w:rsid w:val="00031CA5"/>
    <w:rsid w:val="00032D5C"/>
    <w:rsid w:val="00034D28"/>
    <w:rsid w:val="00041CBE"/>
    <w:rsid w:val="00043DEF"/>
    <w:rsid w:val="0005091F"/>
    <w:rsid w:val="00052E66"/>
    <w:rsid w:val="000531C1"/>
    <w:rsid w:val="0005353E"/>
    <w:rsid w:val="00067222"/>
    <w:rsid w:val="00067378"/>
    <w:rsid w:val="00081F06"/>
    <w:rsid w:val="00084B94"/>
    <w:rsid w:val="00094219"/>
    <w:rsid w:val="000A49DE"/>
    <w:rsid w:val="000A61AE"/>
    <w:rsid w:val="000B24B5"/>
    <w:rsid w:val="000B493A"/>
    <w:rsid w:val="000C3C44"/>
    <w:rsid w:val="000C555E"/>
    <w:rsid w:val="000D0114"/>
    <w:rsid w:val="000D16B2"/>
    <w:rsid w:val="000E6D6B"/>
    <w:rsid w:val="000F2614"/>
    <w:rsid w:val="000F43DE"/>
    <w:rsid w:val="000F4ED7"/>
    <w:rsid w:val="00100D74"/>
    <w:rsid w:val="00102921"/>
    <w:rsid w:val="00104A8F"/>
    <w:rsid w:val="00104F20"/>
    <w:rsid w:val="00111AE9"/>
    <w:rsid w:val="0011452B"/>
    <w:rsid w:val="00114D7A"/>
    <w:rsid w:val="0011547B"/>
    <w:rsid w:val="00127000"/>
    <w:rsid w:val="001270F8"/>
    <w:rsid w:val="00127AF3"/>
    <w:rsid w:val="00141C98"/>
    <w:rsid w:val="00141EE8"/>
    <w:rsid w:val="001511C3"/>
    <w:rsid w:val="00163471"/>
    <w:rsid w:val="0017607C"/>
    <w:rsid w:val="0018025D"/>
    <w:rsid w:val="00180B08"/>
    <w:rsid w:val="001838F0"/>
    <w:rsid w:val="00190375"/>
    <w:rsid w:val="00194677"/>
    <w:rsid w:val="00195069"/>
    <w:rsid w:val="001A1AE2"/>
    <w:rsid w:val="001A4C3A"/>
    <w:rsid w:val="001A5E7A"/>
    <w:rsid w:val="001B5879"/>
    <w:rsid w:val="001B58D4"/>
    <w:rsid w:val="001B620A"/>
    <w:rsid w:val="001B749B"/>
    <w:rsid w:val="001C0456"/>
    <w:rsid w:val="001C09CB"/>
    <w:rsid w:val="001C7FEB"/>
    <w:rsid w:val="001D2B47"/>
    <w:rsid w:val="001D552A"/>
    <w:rsid w:val="001D7B1C"/>
    <w:rsid w:val="001E1F62"/>
    <w:rsid w:val="001E24AE"/>
    <w:rsid w:val="001E5485"/>
    <w:rsid w:val="001E572B"/>
    <w:rsid w:val="001F4AA9"/>
    <w:rsid w:val="00205416"/>
    <w:rsid w:val="00206B97"/>
    <w:rsid w:val="002070C1"/>
    <w:rsid w:val="00210545"/>
    <w:rsid w:val="00212237"/>
    <w:rsid w:val="002124D4"/>
    <w:rsid w:val="00212667"/>
    <w:rsid w:val="0021289B"/>
    <w:rsid w:val="00220D97"/>
    <w:rsid w:val="00222129"/>
    <w:rsid w:val="00224F40"/>
    <w:rsid w:val="002336FC"/>
    <w:rsid w:val="002379AC"/>
    <w:rsid w:val="0024169D"/>
    <w:rsid w:val="00243716"/>
    <w:rsid w:val="002516E4"/>
    <w:rsid w:val="00253140"/>
    <w:rsid w:val="00253F7A"/>
    <w:rsid w:val="00254DC1"/>
    <w:rsid w:val="002564FB"/>
    <w:rsid w:val="00257C2F"/>
    <w:rsid w:val="00261E78"/>
    <w:rsid w:val="00262306"/>
    <w:rsid w:val="00263202"/>
    <w:rsid w:val="00264BB2"/>
    <w:rsid w:val="00265696"/>
    <w:rsid w:val="00272732"/>
    <w:rsid w:val="00276C02"/>
    <w:rsid w:val="00281C26"/>
    <w:rsid w:val="00292127"/>
    <w:rsid w:val="002A2450"/>
    <w:rsid w:val="002B04EE"/>
    <w:rsid w:val="002B1D71"/>
    <w:rsid w:val="002C0D46"/>
    <w:rsid w:val="002C423C"/>
    <w:rsid w:val="002C5844"/>
    <w:rsid w:val="002C5CC6"/>
    <w:rsid w:val="002D1B90"/>
    <w:rsid w:val="002D3CE3"/>
    <w:rsid w:val="002D4F0D"/>
    <w:rsid w:val="002D63D4"/>
    <w:rsid w:val="002E0110"/>
    <w:rsid w:val="002E2DB3"/>
    <w:rsid w:val="002E79A0"/>
    <w:rsid w:val="002F0798"/>
    <w:rsid w:val="002F0FBC"/>
    <w:rsid w:val="002F48FC"/>
    <w:rsid w:val="0030000B"/>
    <w:rsid w:val="003008F4"/>
    <w:rsid w:val="003035D5"/>
    <w:rsid w:val="003131D1"/>
    <w:rsid w:val="00314EEA"/>
    <w:rsid w:val="00316CCA"/>
    <w:rsid w:val="00317380"/>
    <w:rsid w:val="003178CD"/>
    <w:rsid w:val="00320361"/>
    <w:rsid w:val="00322CAD"/>
    <w:rsid w:val="0032358B"/>
    <w:rsid w:val="00324D90"/>
    <w:rsid w:val="003275C9"/>
    <w:rsid w:val="003358EF"/>
    <w:rsid w:val="00336D13"/>
    <w:rsid w:val="0034099B"/>
    <w:rsid w:val="0034274C"/>
    <w:rsid w:val="003432B7"/>
    <w:rsid w:val="0034459D"/>
    <w:rsid w:val="003472A4"/>
    <w:rsid w:val="00356AB6"/>
    <w:rsid w:val="003621CF"/>
    <w:rsid w:val="003635BE"/>
    <w:rsid w:val="00370A35"/>
    <w:rsid w:val="00375CA9"/>
    <w:rsid w:val="003772FA"/>
    <w:rsid w:val="00377B25"/>
    <w:rsid w:val="00382FD3"/>
    <w:rsid w:val="0038503B"/>
    <w:rsid w:val="00385C6E"/>
    <w:rsid w:val="00386567"/>
    <w:rsid w:val="00391759"/>
    <w:rsid w:val="00393107"/>
    <w:rsid w:val="003945D9"/>
    <w:rsid w:val="00396F1F"/>
    <w:rsid w:val="003A2541"/>
    <w:rsid w:val="003B5AC2"/>
    <w:rsid w:val="003C3A4D"/>
    <w:rsid w:val="003C622A"/>
    <w:rsid w:val="003D1F12"/>
    <w:rsid w:val="003D62EB"/>
    <w:rsid w:val="003D6E88"/>
    <w:rsid w:val="003E05F3"/>
    <w:rsid w:val="003E2087"/>
    <w:rsid w:val="003E2530"/>
    <w:rsid w:val="003E2C7D"/>
    <w:rsid w:val="003E7958"/>
    <w:rsid w:val="003F2EC5"/>
    <w:rsid w:val="003F3462"/>
    <w:rsid w:val="003F46DB"/>
    <w:rsid w:val="003F7C33"/>
    <w:rsid w:val="00412005"/>
    <w:rsid w:val="00414E6C"/>
    <w:rsid w:val="00425B3A"/>
    <w:rsid w:val="00426813"/>
    <w:rsid w:val="004311C9"/>
    <w:rsid w:val="00432871"/>
    <w:rsid w:val="00436B0E"/>
    <w:rsid w:val="0044124D"/>
    <w:rsid w:val="004419FF"/>
    <w:rsid w:val="00443027"/>
    <w:rsid w:val="004432B4"/>
    <w:rsid w:val="004432BE"/>
    <w:rsid w:val="004527F6"/>
    <w:rsid w:val="00456E2A"/>
    <w:rsid w:val="00464E12"/>
    <w:rsid w:val="00465E4C"/>
    <w:rsid w:val="00481250"/>
    <w:rsid w:val="0048201E"/>
    <w:rsid w:val="00484C7D"/>
    <w:rsid w:val="004928E3"/>
    <w:rsid w:val="00497E35"/>
    <w:rsid w:val="004A3F84"/>
    <w:rsid w:val="004B01EB"/>
    <w:rsid w:val="004B0435"/>
    <w:rsid w:val="004B1887"/>
    <w:rsid w:val="004B40E8"/>
    <w:rsid w:val="004C1F31"/>
    <w:rsid w:val="004C2764"/>
    <w:rsid w:val="004C4885"/>
    <w:rsid w:val="004C5905"/>
    <w:rsid w:val="004C68ED"/>
    <w:rsid w:val="004C7A7C"/>
    <w:rsid w:val="004D0FC6"/>
    <w:rsid w:val="004D5765"/>
    <w:rsid w:val="004F1D9B"/>
    <w:rsid w:val="004F3F82"/>
    <w:rsid w:val="004F72B0"/>
    <w:rsid w:val="005018DE"/>
    <w:rsid w:val="00504948"/>
    <w:rsid w:val="0051045D"/>
    <w:rsid w:val="005149C9"/>
    <w:rsid w:val="00521504"/>
    <w:rsid w:val="00522359"/>
    <w:rsid w:val="005249E4"/>
    <w:rsid w:val="00526D10"/>
    <w:rsid w:val="00527205"/>
    <w:rsid w:val="005277B7"/>
    <w:rsid w:val="005300AA"/>
    <w:rsid w:val="0053156A"/>
    <w:rsid w:val="00535268"/>
    <w:rsid w:val="005367CF"/>
    <w:rsid w:val="00537659"/>
    <w:rsid w:val="00540152"/>
    <w:rsid w:val="005432DF"/>
    <w:rsid w:val="005437DA"/>
    <w:rsid w:val="00544D05"/>
    <w:rsid w:val="00545167"/>
    <w:rsid w:val="00545B40"/>
    <w:rsid w:val="00551A3F"/>
    <w:rsid w:val="00555857"/>
    <w:rsid w:val="00556E7F"/>
    <w:rsid w:val="00557574"/>
    <w:rsid w:val="00560AD1"/>
    <w:rsid w:val="00561158"/>
    <w:rsid w:val="00561D87"/>
    <w:rsid w:val="00566E01"/>
    <w:rsid w:val="005718DE"/>
    <w:rsid w:val="00574B66"/>
    <w:rsid w:val="0057544B"/>
    <w:rsid w:val="005770F2"/>
    <w:rsid w:val="00577631"/>
    <w:rsid w:val="0058377F"/>
    <w:rsid w:val="00585288"/>
    <w:rsid w:val="00591F67"/>
    <w:rsid w:val="00594554"/>
    <w:rsid w:val="00595E67"/>
    <w:rsid w:val="005A0782"/>
    <w:rsid w:val="005A1A68"/>
    <w:rsid w:val="005A2919"/>
    <w:rsid w:val="005A40BA"/>
    <w:rsid w:val="005A728A"/>
    <w:rsid w:val="005C43E4"/>
    <w:rsid w:val="005D45D2"/>
    <w:rsid w:val="005D4F3D"/>
    <w:rsid w:val="005E0E62"/>
    <w:rsid w:val="005E2EA4"/>
    <w:rsid w:val="005E3893"/>
    <w:rsid w:val="005E3D97"/>
    <w:rsid w:val="005E51CF"/>
    <w:rsid w:val="005E574F"/>
    <w:rsid w:val="005F0780"/>
    <w:rsid w:val="005F1C87"/>
    <w:rsid w:val="00600B5C"/>
    <w:rsid w:val="006035C8"/>
    <w:rsid w:val="006043A9"/>
    <w:rsid w:val="00613459"/>
    <w:rsid w:val="00636A15"/>
    <w:rsid w:val="00640038"/>
    <w:rsid w:val="0064372F"/>
    <w:rsid w:val="00644B66"/>
    <w:rsid w:val="0064514A"/>
    <w:rsid w:val="0065345F"/>
    <w:rsid w:val="00653680"/>
    <w:rsid w:val="006547B1"/>
    <w:rsid w:val="00657C37"/>
    <w:rsid w:val="00660A08"/>
    <w:rsid w:val="00663E4D"/>
    <w:rsid w:val="00664C1C"/>
    <w:rsid w:val="00664E83"/>
    <w:rsid w:val="00673DC6"/>
    <w:rsid w:val="00674AC4"/>
    <w:rsid w:val="00680F0F"/>
    <w:rsid w:val="006815B0"/>
    <w:rsid w:val="00684CC2"/>
    <w:rsid w:val="00685FC0"/>
    <w:rsid w:val="006974D6"/>
    <w:rsid w:val="006B02EA"/>
    <w:rsid w:val="006B0378"/>
    <w:rsid w:val="006B330C"/>
    <w:rsid w:val="006B351A"/>
    <w:rsid w:val="006B62DC"/>
    <w:rsid w:val="006B7FC6"/>
    <w:rsid w:val="006C1715"/>
    <w:rsid w:val="006D0483"/>
    <w:rsid w:val="006D1AA2"/>
    <w:rsid w:val="006D1D37"/>
    <w:rsid w:val="006E0AA4"/>
    <w:rsid w:val="006E162C"/>
    <w:rsid w:val="006E1FE0"/>
    <w:rsid w:val="006E7C52"/>
    <w:rsid w:val="006F12F1"/>
    <w:rsid w:val="006F61F0"/>
    <w:rsid w:val="0070091A"/>
    <w:rsid w:val="00701253"/>
    <w:rsid w:val="0070156B"/>
    <w:rsid w:val="007027C9"/>
    <w:rsid w:val="00703A72"/>
    <w:rsid w:val="00713D79"/>
    <w:rsid w:val="00715CD2"/>
    <w:rsid w:val="007171F3"/>
    <w:rsid w:val="0072195C"/>
    <w:rsid w:val="007260F2"/>
    <w:rsid w:val="00731A18"/>
    <w:rsid w:val="00734A0C"/>
    <w:rsid w:val="00734CD9"/>
    <w:rsid w:val="007372E7"/>
    <w:rsid w:val="00737E30"/>
    <w:rsid w:val="007441E9"/>
    <w:rsid w:val="00746184"/>
    <w:rsid w:val="00757F63"/>
    <w:rsid w:val="00764B39"/>
    <w:rsid w:val="007712DF"/>
    <w:rsid w:val="00771C40"/>
    <w:rsid w:val="00775418"/>
    <w:rsid w:val="00776296"/>
    <w:rsid w:val="007777DC"/>
    <w:rsid w:val="0078042E"/>
    <w:rsid w:val="0078645D"/>
    <w:rsid w:val="00790318"/>
    <w:rsid w:val="0079211D"/>
    <w:rsid w:val="007955B0"/>
    <w:rsid w:val="00795A13"/>
    <w:rsid w:val="00797893"/>
    <w:rsid w:val="007A2BEB"/>
    <w:rsid w:val="007A4DF9"/>
    <w:rsid w:val="007A5F8C"/>
    <w:rsid w:val="007B25A6"/>
    <w:rsid w:val="007B52A6"/>
    <w:rsid w:val="007B5FF5"/>
    <w:rsid w:val="007B7672"/>
    <w:rsid w:val="007C40B1"/>
    <w:rsid w:val="007C6368"/>
    <w:rsid w:val="007C6BD9"/>
    <w:rsid w:val="007D2254"/>
    <w:rsid w:val="007F574E"/>
    <w:rsid w:val="007F6950"/>
    <w:rsid w:val="00803EB6"/>
    <w:rsid w:val="0080614F"/>
    <w:rsid w:val="00806BC6"/>
    <w:rsid w:val="00811986"/>
    <w:rsid w:val="00812180"/>
    <w:rsid w:val="008240B4"/>
    <w:rsid w:val="008271FC"/>
    <w:rsid w:val="00827A97"/>
    <w:rsid w:val="0083162D"/>
    <w:rsid w:val="00832565"/>
    <w:rsid w:val="00842C22"/>
    <w:rsid w:val="008502E9"/>
    <w:rsid w:val="00850FA6"/>
    <w:rsid w:val="00854910"/>
    <w:rsid w:val="00854AAC"/>
    <w:rsid w:val="0085534A"/>
    <w:rsid w:val="00860A70"/>
    <w:rsid w:val="00860D90"/>
    <w:rsid w:val="00861A54"/>
    <w:rsid w:val="0086214C"/>
    <w:rsid w:val="00862920"/>
    <w:rsid w:val="00862AF7"/>
    <w:rsid w:val="008630CF"/>
    <w:rsid w:val="008634B5"/>
    <w:rsid w:val="00867DE9"/>
    <w:rsid w:val="00875DC7"/>
    <w:rsid w:val="00877652"/>
    <w:rsid w:val="008806FA"/>
    <w:rsid w:val="00880921"/>
    <w:rsid w:val="00884E79"/>
    <w:rsid w:val="00885670"/>
    <w:rsid w:val="0089027C"/>
    <w:rsid w:val="008950BB"/>
    <w:rsid w:val="008A09F5"/>
    <w:rsid w:val="008A6F1A"/>
    <w:rsid w:val="008B1494"/>
    <w:rsid w:val="008B24A8"/>
    <w:rsid w:val="008B25C8"/>
    <w:rsid w:val="008B4A9C"/>
    <w:rsid w:val="008B55A9"/>
    <w:rsid w:val="008C5BCB"/>
    <w:rsid w:val="008E050D"/>
    <w:rsid w:val="008E0780"/>
    <w:rsid w:val="008E1E9E"/>
    <w:rsid w:val="008E5F19"/>
    <w:rsid w:val="008F2595"/>
    <w:rsid w:val="008F57F5"/>
    <w:rsid w:val="008F5CB5"/>
    <w:rsid w:val="008F743A"/>
    <w:rsid w:val="0090045F"/>
    <w:rsid w:val="009054C9"/>
    <w:rsid w:val="009225D4"/>
    <w:rsid w:val="0092436E"/>
    <w:rsid w:val="00930B6F"/>
    <w:rsid w:val="00934A66"/>
    <w:rsid w:val="00936AB4"/>
    <w:rsid w:val="0093769B"/>
    <w:rsid w:val="0094214E"/>
    <w:rsid w:val="009428FC"/>
    <w:rsid w:val="00942E38"/>
    <w:rsid w:val="00947751"/>
    <w:rsid w:val="00957468"/>
    <w:rsid w:val="00961EBF"/>
    <w:rsid w:val="00962EEF"/>
    <w:rsid w:val="009660BA"/>
    <w:rsid w:val="00966343"/>
    <w:rsid w:val="0097055A"/>
    <w:rsid w:val="009801D5"/>
    <w:rsid w:val="0098134B"/>
    <w:rsid w:val="0098751E"/>
    <w:rsid w:val="00990B44"/>
    <w:rsid w:val="0099161B"/>
    <w:rsid w:val="0099435C"/>
    <w:rsid w:val="00996ACB"/>
    <w:rsid w:val="009A1DC1"/>
    <w:rsid w:val="009A33AB"/>
    <w:rsid w:val="009A565B"/>
    <w:rsid w:val="009B21C5"/>
    <w:rsid w:val="009B3696"/>
    <w:rsid w:val="009B5629"/>
    <w:rsid w:val="009B7267"/>
    <w:rsid w:val="009C28C0"/>
    <w:rsid w:val="009C41A9"/>
    <w:rsid w:val="009C5137"/>
    <w:rsid w:val="009D1A54"/>
    <w:rsid w:val="009D3B76"/>
    <w:rsid w:val="009D4150"/>
    <w:rsid w:val="009D44C9"/>
    <w:rsid w:val="009E2F51"/>
    <w:rsid w:val="009E35ED"/>
    <w:rsid w:val="009F11A5"/>
    <w:rsid w:val="009F286F"/>
    <w:rsid w:val="009F4D38"/>
    <w:rsid w:val="00A0314F"/>
    <w:rsid w:val="00A041D3"/>
    <w:rsid w:val="00A14C45"/>
    <w:rsid w:val="00A14CBF"/>
    <w:rsid w:val="00A17233"/>
    <w:rsid w:val="00A20118"/>
    <w:rsid w:val="00A324A9"/>
    <w:rsid w:val="00A32693"/>
    <w:rsid w:val="00A3270C"/>
    <w:rsid w:val="00A35BE4"/>
    <w:rsid w:val="00A35E9A"/>
    <w:rsid w:val="00A4042E"/>
    <w:rsid w:val="00A44A99"/>
    <w:rsid w:val="00A53B79"/>
    <w:rsid w:val="00A568C8"/>
    <w:rsid w:val="00A57CA0"/>
    <w:rsid w:val="00A623C3"/>
    <w:rsid w:val="00A67D33"/>
    <w:rsid w:val="00A71B62"/>
    <w:rsid w:val="00A7298A"/>
    <w:rsid w:val="00A72F2B"/>
    <w:rsid w:val="00A73258"/>
    <w:rsid w:val="00A73EB8"/>
    <w:rsid w:val="00A75752"/>
    <w:rsid w:val="00A821E3"/>
    <w:rsid w:val="00A82A41"/>
    <w:rsid w:val="00A8392E"/>
    <w:rsid w:val="00A83BF9"/>
    <w:rsid w:val="00A868F3"/>
    <w:rsid w:val="00A87F45"/>
    <w:rsid w:val="00A9123E"/>
    <w:rsid w:val="00A92E3B"/>
    <w:rsid w:val="00A93D84"/>
    <w:rsid w:val="00A94E58"/>
    <w:rsid w:val="00A95DF0"/>
    <w:rsid w:val="00A96609"/>
    <w:rsid w:val="00AA073B"/>
    <w:rsid w:val="00AA696C"/>
    <w:rsid w:val="00AA75E4"/>
    <w:rsid w:val="00AC32C1"/>
    <w:rsid w:val="00AC49CE"/>
    <w:rsid w:val="00AC59D7"/>
    <w:rsid w:val="00AD1A8D"/>
    <w:rsid w:val="00AD2D9F"/>
    <w:rsid w:val="00AE0EC7"/>
    <w:rsid w:val="00AE35EC"/>
    <w:rsid w:val="00AE522B"/>
    <w:rsid w:val="00AE7D27"/>
    <w:rsid w:val="00AF2DE2"/>
    <w:rsid w:val="00AF5489"/>
    <w:rsid w:val="00AF56DE"/>
    <w:rsid w:val="00AF5A85"/>
    <w:rsid w:val="00B004AF"/>
    <w:rsid w:val="00B02F1E"/>
    <w:rsid w:val="00B05DF3"/>
    <w:rsid w:val="00B06022"/>
    <w:rsid w:val="00B06787"/>
    <w:rsid w:val="00B1358B"/>
    <w:rsid w:val="00B20BE2"/>
    <w:rsid w:val="00B22AAE"/>
    <w:rsid w:val="00B239DA"/>
    <w:rsid w:val="00B251A0"/>
    <w:rsid w:val="00B314C1"/>
    <w:rsid w:val="00B36C36"/>
    <w:rsid w:val="00B45B93"/>
    <w:rsid w:val="00B53295"/>
    <w:rsid w:val="00B53CA0"/>
    <w:rsid w:val="00B55EAE"/>
    <w:rsid w:val="00B57E2E"/>
    <w:rsid w:val="00B674D1"/>
    <w:rsid w:val="00B71844"/>
    <w:rsid w:val="00B720F8"/>
    <w:rsid w:val="00B733A9"/>
    <w:rsid w:val="00B7355E"/>
    <w:rsid w:val="00B81389"/>
    <w:rsid w:val="00B81E4D"/>
    <w:rsid w:val="00BA1D8D"/>
    <w:rsid w:val="00BA2669"/>
    <w:rsid w:val="00BA6AD7"/>
    <w:rsid w:val="00BA7F68"/>
    <w:rsid w:val="00BB0FEB"/>
    <w:rsid w:val="00BB509B"/>
    <w:rsid w:val="00BB75D8"/>
    <w:rsid w:val="00BC53C5"/>
    <w:rsid w:val="00BC569D"/>
    <w:rsid w:val="00BC74F7"/>
    <w:rsid w:val="00BD05F5"/>
    <w:rsid w:val="00BD5FD1"/>
    <w:rsid w:val="00BE02E7"/>
    <w:rsid w:val="00BE3057"/>
    <w:rsid w:val="00BE6443"/>
    <w:rsid w:val="00BF5626"/>
    <w:rsid w:val="00BF6ED2"/>
    <w:rsid w:val="00BF78CB"/>
    <w:rsid w:val="00C00A2B"/>
    <w:rsid w:val="00C01911"/>
    <w:rsid w:val="00C04BB7"/>
    <w:rsid w:val="00C058A4"/>
    <w:rsid w:val="00C062D2"/>
    <w:rsid w:val="00C06670"/>
    <w:rsid w:val="00C12B89"/>
    <w:rsid w:val="00C16B3B"/>
    <w:rsid w:val="00C16B5D"/>
    <w:rsid w:val="00C23429"/>
    <w:rsid w:val="00C2511E"/>
    <w:rsid w:val="00C27FC8"/>
    <w:rsid w:val="00C3341B"/>
    <w:rsid w:val="00C344DF"/>
    <w:rsid w:val="00C375B3"/>
    <w:rsid w:val="00C41AF1"/>
    <w:rsid w:val="00C43E6C"/>
    <w:rsid w:val="00C536AC"/>
    <w:rsid w:val="00C579F2"/>
    <w:rsid w:val="00C61B4F"/>
    <w:rsid w:val="00C62A36"/>
    <w:rsid w:val="00C8527D"/>
    <w:rsid w:val="00C86A88"/>
    <w:rsid w:val="00C923F0"/>
    <w:rsid w:val="00C93C5F"/>
    <w:rsid w:val="00CA00BB"/>
    <w:rsid w:val="00CA0858"/>
    <w:rsid w:val="00CA3AD2"/>
    <w:rsid w:val="00CA65D4"/>
    <w:rsid w:val="00CA78BB"/>
    <w:rsid w:val="00CA7E14"/>
    <w:rsid w:val="00CB1FF7"/>
    <w:rsid w:val="00CB32BC"/>
    <w:rsid w:val="00CB48BC"/>
    <w:rsid w:val="00CB7AF7"/>
    <w:rsid w:val="00CC6D4C"/>
    <w:rsid w:val="00CD22EC"/>
    <w:rsid w:val="00CE3758"/>
    <w:rsid w:val="00CE594B"/>
    <w:rsid w:val="00CE5E8B"/>
    <w:rsid w:val="00CE63F3"/>
    <w:rsid w:val="00CE703D"/>
    <w:rsid w:val="00CF2E08"/>
    <w:rsid w:val="00CF444A"/>
    <w:rsid w:val="00CF6CD8"/>
    <w:rsid w:val="00CF74FA"/>
    <w:rsid w:val="00D014C0"/>
    <w:rsid w:val="00D10428"/>
    <w:rsid w:val="00D133AE"/>
    <w:rsid w:val="00D223C8"/>
    <w:rsid w:val="00D2291F"/>
    <w:rsid w:val="00D3337C"/>
    <w:rsid w:val="00D34D6E"/>
    <w:rsid w:val="00D41C30"/>
    <w:rsid w:val="00D44E57"/>
    <w:rsid w:val="00D458F4"/>
    <w:rsid w:val="00D51A31"/>
    <w:rsid w:val="00D542FB"/>
    <w:rsid w:val="00D54582"/>
    <w:rsid w:val="00D605FC"/>
    <w:rsid w:val="00D6152F"/>
    <w:rsid w:val="00D64FBF"/>
    <w:rsid w:val="00D739FE"/>
    <w:rsid w:val="00D74803"/>
    <w:rsid w:val="00D77151"/>
    <w:rsid w:val="00D8283D"/>
    <w:rsid w:val="00D82CD1"/>
    <w:rsid w:val="00D86F2A"/>
    <w:rsid w:val="00D94542"/>
    <w:rsid w:val="00D9514A"/>
    <w:rsid w:val="00D95713"/>
    <w:rsid w:val="00D97C8A"/>
    <w:rsid w:val="00DA4E3C"/>
    <w:rsid w:val="00DA5E00"/>
    <w:rsid w:val="00DB35F6"/>
    <w:rsid w:val="00DB4EB1"/>
    <w:rsid w:val="00DC03D9"/>
    <w:rsid w:val="00DC068E"/>
    <w:rsid w:val="00DC4669"/>
    <w:rsid w:val="00DC6620"/>
    <w:rsid w:val="00DD1D4B"/>
    <w:rsid w:val="00DD35FF"/>
    <w:rsid w:val="00DD4450"/>
    <w:rsid w:val="00DD579D"/>
    <w:rsid w:val="00DD6FA0"/>
    <w:rsid w:val="00DE17A9"/>
    <w:rsid w:val="00DF046F"/>
    <w:rsid w:val="00DF1E28"/>
    <w:rsid w:val="00DF3086"/>
    <w:rsid w:val="00DF35A1"/>
    <w:rsid w:val="00DF7CC2"/>
    <w:rsid w:val="00E0003E"/>
    <w:rsid w:val="00E027F9"/>
    <w:rsid w:val="00E04E7F"/>
    <w:rsid w:val="00E07036"/>
    <w:rsid w:val="00E07751"/>
    <w:rsid w:val="00E138CE"/>
    <w:rsid w:val="00E14E99"/>
    <w:rsid w:val="00E1756B"/>
    <w:rsid w:val="00E22648"/>
    <w:rsid w:val="00E228B4"/>
    <w:rsid w:val="00E2363E"/>
    <w:rsid w:val="00E256F2"/>
    <w:rsid w:val="00E257FD"/>
    <w:rsid w:val="00E2669C"/>
    <w:rsid w:val="00E30DBA"/>
    <w:rsid w:val="00E320D0"/>
    <w:rsid w:val="00E37B1D"/>
    <w:rsid w:val="00E37B8C"/>
    <w:rsid w:val="00E408FD"/>
    <w:rsid w:val="00E41348"/>
    <w:rsid w:val="00E421C5"/>
    <w:rsid w:val="00E47392"/>
    <w:rsid w:val="00E53F2B"/>
    <w:rsid w:val="00E579E7"/>
    <w:rsid w:val="00E6438B"/>
    <w:rsid w:val="00E651A9"/>
    <w:rsid w:val="00E664B3"/>
    <w:rsid w:val="00E66ED8"/>
    <w:rsid w:val="00E67514"/>
    <w:rsid w:val="00E704C6"/>
    <w:rsid w:val="00E74590"/>
    <w:rsid w:val="00E75ED8"/>
    <w:rsid w:val="00E81A01"/>
    <w:rsid w:val="00E824EE"/>
    <w:rsid w:val="00E84102"/>
    <w:rsid w:val="00E8579D"/>
    <w:rsid w:val="00E87994"/>
    <w:rsid w:val="00E87B7C"/>
    <w:rsid w:val="00E87EF5"/>
    <w:rsid w:val="00E91BE9"/>
    <w:rsid w:val="00E92AFB"/>
    <w:rsid w:val="00E9572A"/>
    <w:rsid w:val="00E970EB"/>
    <w:rsid w:val="00EA1223"/>
    <w:rsid w:val="00EA4FB5"/>
    <w:rsid w:val="00EA7EC0"/>
    <w:rsid w:val="00EB3345"/>
    <w:rsid w:val="00EB4D84"/>
    <w:rsid w:val="00EB5ABF"/>
    <w:rsid w:val="00EC2D3C"/>
    <w:rsid w:val="00EC6893"/>
    <w:rsid w:val="00EC762B"/>
    <w:rsid w:val="00ED16BA"/>
    <w:rsid w:val="00ED2295"/>
    <w:rsid w:val="00EE1113"/>
    <w:rsid w:val="00EE5D18"/>
    <w:rsid w:val="00EE7986"/>
    <w:rsid w:val="00EF4744"/>
    <w:rsid w:val="00F02FD9"/>
    <w:rsid w:val="00F04940"/>
    <w:rsid w:val="00F07484"/>
    <w:rsid w:val="00F1295E"/>
    <w:rsid w:val="00F14121"/>
    <w:rsid w:val="00F21332"/>
    <w:rsid w:val="00F223AA"/>
    <w:rsid w:val="00F24419"/>
    <w:rsid w:val="00F24550"/>
    <w:rsid w:val="00F25B6D"/>
    <w:rsid w:val="00F3009A"/>
    <w:rsid w:val="00F32211"/>
    <w:rsid w:val="00F34DD8"/>
    <w:rsid w:val="00F3552A"/>
    <w:rsid w:val="00F37C4C"/>
    <w:rsid w:val="00F42C42"/>
    <w:rsid w:val="00F445DD"/>
    <w:rsid w:val="00F44ED7"/>
    <w:rsid w:val="00F5159B"/>
    <w:rsid w:val="00F617AE"/>
    <w:rsid w:val="00F645B6"/>
    <w:rsid w:val="00F6664F"/>
    <w:rsid w:val="00F67A29"/>
    <w:rsid w:val="00F72341"/>
    <w:rsid w:val="00F72A06"/>
    <w:rsid w:val="00F749A2"/>
    <w:rsid w:val="00F76E06"/>
    <w:rsid w:val="00F83DCB"/>
    <w:rsid w:val="00F86355"/>
    <w:rsid w:val="00F9031B"/>
    <w:rsid w:val="00F94FFD"/>
    <w:rsid w:val="00FA0561"/>
    <w:rsid w:val="00FA0909"/>
    <w:rsid w:val="00FA1820"/>
    <w:rsid w:val="00FA27FC"/>
    <w:rsid w:val="00FA406F"/>
    <w:rsid w:val="00FA4173"/>
    <w:rsid w:val="00FA50D8"/>
    <w:rsid w:val="00FA539C"/>
    <w:rsid w:val="00FB679A"/>
    <w:rsid w:val="00FB6F44"/>
    <w:rsid w:val="00FC0041"/>
    <w:rsid w:val="00FC0DEF"/>
    <w:rsid w:val="00FC339D"/>
    <w:rsid w:val="00FC5206"/>
    <w:rsid w:val="00FC5C0B"/>
    <w:rsid w:val="00FD05EC"/>
    <w:rsid w:val="00FD0AF5"/>
    <w:rsid w:val="00FD77FF"/>
    <w:rsid w:val="00FE0601"/>
    <w:rsid w:val="00FE1F48"/>
    <w:rsid w:val="00FE534F"/>
    <w:rsid w:val="00FE539E"/>
    <w:rsid w:val="00FF09B6"/>
    <w:rsid w:val="00FF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719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20A"/>
  </w:style>
  <w:style w:type="paragraph" w:styleId="Heading2">
    <w:name w:val="heading 2"/>
    <w:basedOn w:val="Normal"/>
    <w:next w:val="Normal"/>
    <w:link w:val="Heading2Char"/>
    <w:uiPriority w:val="9"/>
    <w:unhideWhenUsed/>
    <w:qFormat/>
    <w:rsid w:val="00A729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F61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B48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B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0B08"/>
    <w:rPr>
      <w:b/>
      <w:bCs/>
    </w:rPr>
  </w:style>
  <w:style w:type="character" w:styleId="Emphasis">
    <w:name w:val="Emphasis"/>
    <w:basedOn w:val="DefaultParagraphFont"/>
    <w:uiPriority w:val="20"/>
    <w:qFormat/>
    <w:rsid w:val="00180B08"/>
    <w:rPr>
      <w:i/>
      <w:iCs/>
    </w:rPr>
  </w:style>
  <w:style w:type="character" w:customStyle="1" w:styleId="Heading3Char">
    <w:name w:val="Heading 3 Char"/>
    <w:basedOn w:val="DefaultParagraphFont"/>
    <w:link w:val="Heading3"/>
    <w:uiPriority w:val="9"/>
    <w:rsid w:val="006F61F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F61F0"/>
    <w:rPr>
      <w:color w:val="0000FF"/>
      <w:u w:val="single"/>
    </w:rPr>
  </w:style>
  <w:style w:type="paragraph" w:styleId="BalloonText">
    <w:name w:val="Balloon Text"/>
    <w:basedOn w:val="Normal"/>
    <w:link w:val="BalloonTextChar"/>
    <w:uiPriority w:val="99"/>
    <w:semiHidden/>
    <w:unhideWhenUsed/>
    <w:rsid w:val="006F61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1F0"/>
    <w:rPr>
      <w:rFonts w:ascii="Tahoma" w:hAnsi="Tahoma" w:cs="Tahoma"/>
      <w:sz w:val="16"/>
      <w:szCs w:val="16"/>
    </w:rPr>
  </w:style>
  <w:style w:type="character" w:customStyle="1" w:styleId="Heading2Char">
    <w:name w:val="Heading 2 Char"/>
    <w:basedOn w:val="DefaultParagraphFont"/>
    <w:link w:val="Heading2"/>
    <w:uiPriority w:val="9"/>
    <w:rsid w:val="00A7298A"/>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A7298A"/>
    <w:rPr>
      <w:color w:val="800080"/>
      <w:u w:val="single"/>
    </w:rPr>
  </w:style>
  <w:style w:type="paragraph" w:styleId="z-TopofForm">
    <w:name w:val="HTML Top of Form"/>
    <w:basedOn w:val="Normal"/>
    <w:next w:val="Normal"/>
    <w:link w:val="z-TopofFormChar"/>
    <w:hidden/>
    <w:uiPriority w:val="99"/>
    <w:semiHidden/>
    <w:unhideWhenUsed/>
    <w:rsid w:val="00A7298A"/>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A7298A"/>
    <w:rPr>
      <w:rFonts w:eastAsia="Times New Roman"/>
      <w:vanish/>
      <w:sz w:val="16"/>
      <w:szCs w:val="16"/>
    </w:rPr>
  </w:style>
  <w:style w:type="paragraph" w:styleId="z-BottomofForm">
    <w:name w:val="HTML Bottom of Form"/>
    <w:basedOn w:val="Normal"/>
    <w:next w:val="Normal"/>
    <w:link w:val="z-BottomofFormChar"/>
    <w:hidden/>
    <w:uiPriority w:val="99"/>
    <w:unhideWhenUsed/>
    <w:rsid w:val="00A7298A"/>
    <w:pPr>
      <w:pBdr>
        <w:top w:val="single" w:sz="6" w:space="1" w:color="auto"/>
      </w:pBdr>
      <w:spacing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rsid w:val="00A7298A"/>
    <w:rPr>
      <w:rFonts w:eastAsia="Times New Roman"/>
      <w:vanish/>
      <w:sz w:val="16"/>
      <w:szCs w:val="16"/>
    </w:rPr>
  </w:style>
  <w:style w:type="paragraph" w:styleId="ListParagraph">
    <w:name w:val="List Paragraph"/>
    <w:basedOn w:val="Normal"/>
    <w:uiPriority w:val="34"/>
    <w:qFormat/>
    <w:rsid w:val="003432B7"/>
    <w:pPr>
      <w:ind w:left="720"/>
      <w:contextualSpacing/>
    </w:pPr>
  </w:style>
  <w:style w:type="character" w:customStyle="1" w:styleId="Heading4Char">
    <w:name w:val="Heading 4 Char"/>
    <w:basedOn w:val="DefaultParagraphFont"/>
    <w:link w:val="Heading4"/>
    <w:uiPriority w:val="9"/>
    <w:semiHidden/>
    <w:rsid w:val="00CB48BC"/>
    <w:rPr>
      <w:rFonts w:asciiTheme="majorHAnsi" w:eastAsiaTheme="majorEastAsia" w:hAnsiTheme="majorHAnsi" w:cstheme="majorBidi"/>
      <w:b/>
      <w:bCs/>
      <w:i/>
      <w:iCs/>
      <w:color w:val="4F81BD" w:themeColor="accent1"/>
    </w:rPr>
  </w:style>
  <w:style w:type="paragraph" w:customStyle="1" w:styleId="default">
    <w:name w:val="default"/>
    <w:basedOn w:val="Normal"/>
    <w:rsid w:val="00561D8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1E28"/>
    <w:pPr>
      <w:tabs>
        <w:tab w:val="center" w:pos="4680"/>
        <w:tab w:val="right" w:pos="9360"/>
      </w:tabs>
      <w:spacing w:line="240" w:lineRule="auto"/>
    </w:pPr>
  </w:style>
  <w:style w:type="character" w:customStyle="1" w:styleId="HeaderChar">
    <w:name w:val="Header Char"/>
    <w:basedOn w:val="DefaultParagraphFont"/>
    <w:link w:val="Header"/>
    <w:uiPriority w:val="99"/>
    <w:rsid w:val="00DF1E28"/>
  </w:style>
  <w:style w:type="paragraph" w:styleId="Footer">
    <w:name w:val="footer"/>
    <w:basedOn w:val="Normal"/>
    <w:link w:val="FooterChar"/>
    <w:uiPriority w:val="99"/>
    <w:unhideWhenUsed/>
    <w:rsid w:val="00DF1E28"/>
    <w:pPr>
      <w:tabs>
        <w:tab w:val="center" w:pos="4680"/>
        <w:tab w:val="right" w:pos="9360"/>
      </w:tabs>
      <w:spacing w:line="240" w:lineRule="auto"/>
    </w:pPr>
  </w:style>
  <w:style w:type="character" w:customStyle="1" w:styleId="FooterChar">
    <w:name w:val="Footer Char"/>
    <w:basedOn w:val="DefaultParagraphFont"/>
    <w:link w:val="Footer"/>
    <w:uiPriority w:val="99"/>
    <w:rsid w:val="00DF1E28"/>
  </w:style>
  <w:style w:type="numbering" w:customStyle="1" w:styleId="NoList1">
    <w:name w:val="No List1"/>
    <w:next w:val="NoList"/>
    <w:uiPriority w:val="99"/>
    <w:semiHidden/>
    <w:unhideWhenUsed/>
    <w:rsid w:val="0078645D"/>
  </w:style>
  <w:style w:type="paragraph" w:customStyle="1" w:styleId="text">
    <w:name w:val="text"/>
    <w:uiPriority w:val="99"/>
    <w:rsid w:val="0078645D"/>
    <w:pPr>
      <w:autoSpaceDE w:val="0"/>
      <w:autoSpaceDN w:val="0"/>
      <w:adjustRightInd w:val="0"/>
      <w:spacing w:after="240" w:line="240" w:lineRule="auto"/>
    </w:pPr>
    <w:rPr>
      <w:rFonts w:ascii="Times New Roman" w:hAnsi="Times New Roman" w:cs="Times New Roman"/>
      <w:sz w:val="24"/>
      <w:szCs w:val="24"/>
    </w:rPr>
  </w:style>
  <w:style w:type="character" w:customStyle="1" w:styleId="sectnosection-sectno">
    <w:name w:val="sectno section-sectno"/>
    <w:basedOn w:val="DefaultParagraphFont"/>
    <w:rsid w:val="0078645D"/>
  </w:style>
  <w:style w:type="character" w:customStyle="1" w:styleId="p1">
    <w:name w:val="p1"/>
    <w:basedOn w:val="DefaultParagraphFont"/>
    <w:rsid w:val="0078645D"/>
    <w:rPr>
      <w:vanish w:val="0"/>
      <w:webHidden w:val="0"/>
      <w:specVanish w:val="0"/>
    </w:rPr>
  </w:style>
  <w:style w:type="paragraph" w:customStyle="1" w:styleId="Default0">
    <w:name w:val="Default"/>
    <w:rsid w:val="0078645D"/>
    <w:pPr>
      <w:autoSpaceDE w:val="0"/>
      <w:autoSpaceDN w:val="0"/>
      <w:adjustRightInd w:val="0"/>
      <w:spacing w:line="240" w:lineRule="auto"/>
    </w:pPr>
    <w:rPr>
      <w:color w:val="000000"/>
      <w:sz w:val="24"/>
      <w:szCs w:val="24"/>
    </w:rPr>
  </w:style>
  <w:style w:type="character" w:styleId="CommentReference">
    <w:name w:val="annotation reference"/>
    <w:basedOn w:val="DefaultParagraphFont"/>
    <w:uiPriority w:val="99"/>
    <w:semiHidden/>
    <w:unhideWhenUsed/>
    <w:rsid w:val="0078645D"/>
    <w:rPr>
      <w:sz w:val="16"/>
      <w:szCs w:val="16"/>
    </w:rPr>
  </w:style>
  <w:style w:type="paragraph" w:styleId="CommentText">
    <w:name w:val="annotation text"/>
    <w:basedOn w:val="Normal"/>
    <w:link w:val="CommentTextChar"/>
    <w:uiPriority w:val="99"/>
    <w:semiHidden/>
    <w:unhideWhenUsed/>
    <w:rsid w:val="0078645D"/>
    <w:pPr>
      <w:spacing w:line="240" w:lineRule="auto"/>
    </w:pPr>
    <w:rPr>
      <w:sz w:val="20"/>
      <w:szCs w:val="20"/>
    </w:rPr>
  </w:style>
  <w:style w:type="character" w:customStyle="1" w:styleId="CommentTextChar">
    <w:name w:val="Comment Text Char"/>
    <w:basedOn w:val="DefaultParagraphFont"/>
    <w:link w:val="CommentText"/>
    <w:uiPriority w:val="99"/>
    <w:semiHidden/>
    <w:rsid w:val="0078645D"/>
    <w:rPr>
      <w:sz w:val="20"/>
      <w:szCs w:val="20"/>
    </w:rPr>
  </w:style>
  <w:style w:type="paragraph" w:styleId="CommentSubject">
    <w:name w:val="annotation subject"/>
    <w:basedOn w:val="CommentText"/>
    <w:next w:val="CommentText"/>
    <w:link w:val="CommentSubjectChar"/>
    <w:uiPriority w:val="99"/>
    <w:semiHidden/>
    <w:unhideWhenUsed/>
    <w:rsid w:val="0078645D"/>
    <w:rPr>
      <w:b/>
      <w:bCs/>
    </w:rPr>
  </w:style>
  <w:style w:type="character" w:customStyle="1" w:styleId="CommentSubjectChar">
    <w:name w:val="Comment Subject Char"/>
    <w:basedOn w:val="CommentTextChar"/>
    <w:link w:val="CommentSubject"/>
    <w:uiPriority w:val="99"/>
    <w:semiHidden/>
    <w:rsid w:val="0078645D"/>
    <w:rPr>
      <w:b/>
      <w:bCs/>
      <w:sz w:val="20"/>
      <w:szCs w:val="20"/>
    </w:rPr>
  </w:style>
  <w:style w:type="paragraph" w:styleId="FootnoteText">
    <w:name w:val="footnote text"/>
    <w:basedOn w:val="Normal"/>
    <w:link w:val="FootnoteTextChar"/>
    <w:uiPriority w:val="99"/>
    <w:semiHidden/>
    <w:unhideWhenUsed/>
    <w:rsid w:val="0078645D"/>
    <w:pPr>
      <w:spacing w:line="240" w:lineRule="auto"/>
    </w:pPr>
    <w:rPr>
      <w:sz w:val="20"/>
      <w:szCs w:val="20"/>
    </w:rPr>
  </w:style>
  <w:style w:type="character" w:customStyle="1" w:styleId="FootnoteTextChar">
    <w:name w:val="Footnote Text Char"/>
    <w:basedOn w:val="DefaultParagraphFont"/>
    <w:link w:val="FootnoteText"/>
    <w:uiPriority w:val="99"/>
    <w:semiHidden/>
    <w:rsid w:val="0078645D"/>
    <w:rPr>
      <w:sz w:val="20"/>
      <w:szCs w:val="20"/>
    </w:rPr>
  </w:style>
  <w:style w:type="character" w:styleId="FootnoteReference">
    <w:name w:val="footnote reference"/>
    <w:basedOn w:val="DefaultParagraphFont"/>
    <w:uiPriority w:val="99"/>
    <w:semiHidden/>
    <w:unhideWhenUsed/>
    <w:rsid w:val="0078645D"/>
    <w:rPr>
      <w:vertAlign w:val="superscript"/>
    </w:rPr>
  </w:style>
  <w:style w:type="table" w:styleId="TableGrid">
    <w:name w:val="Table Grid"/>
    <w:basedOn w:val="TableNormal"/>
    <w:uiPriority w:val="59"/>
    <w:rsid w:val="005945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20A"/>
  </w:style>
  <w:style w:type="paragraph" w:styleId="Heading2">
    <w:name w:val="heading 2"/>
    <w:basedOn w:val="Normal"/>
    <w:next w:val="Normal"/>
    <w:link w:val="Heading2Char"/>
    <w:uiPriority w:val="9"/>
    <w:unhideWhenUsed/>
    <w:qFormat/>
    <w:rsid w:val="00A729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F61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B48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B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0B08"/>
    <w:rPr>
      <w:b/>
      <w:bCs/>
    </w:rPr>
  </w:style>
  <w:style w:type="character" w:styleId="Emphasis">
    <w:name w:val="Emphasis"/>
    <w:basedOn w:val="DefaultParagraphFont"/>
    <w:uiPriority w:val="20"/>
    <w:qFormat/>
    <w:rsid w:val="00180B08"/>
    <w:rPr>
      <w:i/>
      <w:iCs/>
    </w:rPr>
  </w:style>
  <w:style w:type="character" w:customStyle="1" w:styleId="Heading3Char">
    <w:name w:val="Heading 3 Char"/>
    <w:basedOn w:val="DefaultParagraphFont"/>
    <w:link w:val="Heading3"/>
    <w:uiPriority w:val="9"/>
    <w:rsid w:val="006F61F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F61F0"/>
    <w:rPr>
      <w:color w:val="0000FF"/>
      <w:u w:val="single"/>
    </w:rPr>
  </w:style>
  <w:style w:type="paragraph" w:styleId="BalloonText">
    <w:name w:val="Balloon Text"/>
    <w:basedOn w:val="Normal"/>
    <w:link w:val="BalloonTextChar"/>
    <w:uiPriority w:val="99"/>
    <w:semiHidden/>
    <w:unhideWhenUsed/>
    <w:rsid w:val="006F61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1F0"/>
    <w:rPr>
      <w:rFonts w:ascii="Tahoma" w:hAnsi="Tahoma" w:cs="Tahoma"/>
      <w:sz w:val="16"/>
      <w:szCs w:val="16"/>
    </w:rPr>
  </w:style>
  <w:style w:type="character" w:customStyle="1" w:styleId="Heading2Char">
    <w:name w:val="Heading 2 Char"/>
    <w:basedOn w:val="DefaultParagraphFont"/>
    <w:link w:val="Heading2"/>
    <w:uiPriority w:val="9"/>
    <w:rsid w:val="00A7298A"/>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A7298A"/>
    <w:rPr>
      <w:color w:val="800080"/>
      <w:u w:val="single"/>
    </w:rPr>
  </w:style>
  <w:style w:type="paragraph" w:styleId="z-TopofForm">
    <w:name w:val="HTML Top of Form"/>
    <w:basedOn w:val="Normal"/>
    <w:next w:val="Normal"/>
    <w:link w:val="z-TopofFormChar"/>
    <w:hidden/>
    <w:uiPriority w:val="99"/>
    <w:semiHidden/>
    <w:unhideWhenUsed/>
    <w:rsid w:val="00A7298A"/>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A7298A"/>
    <w:rPr>
      <w:rFonts w:eastAsia="Times New Roman"/>
      <w:vanish/>
      <w:sz w:val="16"/>
      <w:szCs w:val="16"/>
    </w:rPr>
  </w:style>
  <w:style w:type="paragraph" w:styleId="z-BottomofForm">
    <w:name w:val="HTML Bottom of Form"/>
    <w:basedOn w:val="Normal"/>
    <w:next w:val="Normal"/>
    <w:link w:val="z-BottomofFormChar"/>
    <w:hidden/>
    <w:uiPriority w:val="99"/>
    <w:unhideWhenUsed/>
    <w:rsid w:val="00A7298A"/>
    <w:pPr>
      <w:pBdr>
        <w:top w:val="single" w:sz="6" w:space="1" w:color="auto"/>
      </w:pBdr>
      <w:spacing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rsid w:val="00A7298A"/>
    <w:rPr>
      <w:rFonts w:eastAsia="Times New Roman"/>
      <w:vanish/>
      <w:sz w:val="16"/>
      <w:szCs w:val="16"/>
    </w:rPr>
  </w:style>
  <w:style w:type="paragraph" w:styleId="ListParagraph">
    <w:name w:val="List Paragraph"/>
    <w:basedOn w:val="Normal"/>
    <w:uiPriority w:val="34"/>
    <w:qFormat/>
    <w:rsid w:val="003432B7"/>
    <w:pPr>
      <w:ind w:left="720"/>
      <w:contextualSpacing/>
    </w:pPr>
  </w:style>
  <w:style w:type="character" w:customStyle="1" w:styleId="Heading4Char">
    <w:name w:val="Heading 4 Char"/>
    <w:basedOn w:val="DefaultParagraphFont"/>
    <w:link w:val="Heading4"/>
    <w:uiPriority w:val="9"/>
    <w:semiHidden/>
    <w:rsid w:val="00CB48BC"/>
    <w:rPr>
      <w:rFonts w:asciiTheme="majorHAnsi" w:eastAsiaTheme="majorEastAsia" w:hAnsiTheme="majorHAnsi" w:cstheme="majorBidi"/>
      <w:b/>
      <w:bCs/>
      <w:i/>
      <w:iCs/>
      <w:color w:val="4F81BD" w:themeColor="accent1"/>
    </w:rPr>
  </w:style>
  <w:style w:type="paragraph" w:customStyle="1" w:styleId="default">
    <w:name w:val="default"/>
    <w:basedOn w:val="Normal"/>
    <w:rsid w:val="00561D8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1E28"/>
    <w:pPr>
      <w:tabs>
        <w:tab w:val="center" w:pos="4680"/>
        <w:tab w:val="right" w:pos="9360"/>
      </w:tabs>
      <w:spacing w:line="240" w:lineRule="auto"/>
    </w:pPr>
  </w:style>
  <w:style w:type="character" w:customStyle="1" w:styleId="HeaderChar">
    <w:name w:val="Header Char"/>
    <w:basedOn w:val="DefaultParagraphFont"/>
    <w:link w:val="Header"/>
    <w:uiPriority w:val="99"/>
    <w:rsid w:val="00DF1E28"/>
  </w:style>
  <w:style w:type="paragraph" w:styleId="Footer">
    <w:name w:val="footer"/>
    <w:basedOn w:val="Normal"/>
    <w:link w:val="FooterChar"/>
    <w:uiPriority w:val="99"/>
    <w:unhideWhenUsed/>
    <w:rsid w:val="00DF1E28"/>
    <w:pPr>
      <w:tabs>
        <w:tab w:val="center" w:pos="4680"/>
        <w:tab w:val="right" w:pos="9360"/>
      </w:tabs>
      <w:spacing w:line="240" w:lineRule="auto"/>
    </w:pPr>
  </w:style>
  <w:style w:type="character" w:customStyle="1" w:styleId="FooterChar">
    <w:name w:val="Footer Char"/>
    <w:basedOn w:val="DefaultParagraphFont"/>
    <w:link w:val="Footer"/>
    <w:uiPriority w:val="99"/>
    <w:rsid w:val="00DF1E28"/>
  </w:style>
  <w:style w:type="numbering" w:customStyle="1" w:styleId="NoList1">
    <w:name w:val="No List1"/>
    <w:next w:val="NoList"/>
    <w:uiPriority w:val="99"/>
    <w:semiHidden/>
    <w:unhideWhenUsed/>
    <w:rsid w:val="0078645D"/>
  </w:style>
  <w:style w:type="paragraph" w:customStyle="1" w:styleId="text">
    <w:name w:val="text"/>
    <w:uiPriority w:val="99"/>
    <w:rsid w:val="0078645D"/>
    <w:pPr>
      <w:autoSpaceDE w:val="0"/>
      <w:autoSpaceDN w:val="0"/>
      <w:adjustRightInd w:val="0"/>
      <w:spacing w:after="240" w:line="240" w:lineRule="auto"/>
    </w:pPr>
    <w:rPr>
      <w:rFonts w:ascii="Times New Roman" w:hAnsi="Times New Roman" w:cs="Times New Roman"/>
      <w:sz w:val="24"/>
      <w:szCs w:val="24"/>
    </w:rPr>
  </w:style>
  <w:style w:type="character" w:customStyle="1" w:styleId="sectnosection-sectno">
    <w:name w:val="sectno section-sectno"/>
    <w:basedOn w:val="DefaultParagraphFont"/>
    <w:rsid w:val="0078645D"/>
  </w:style>
  <w:style w:type="character" w:customStyle="1" w:styleId="p1">
    <w:name w:val="p1"/>
    <w:basedOn w:val="DefaultParagraphFont"/>
    <w:rsid w:val="0078645D"/>
    <w:rPr>
      <w:vanish w:val="0"/>
      <w:webHidden w:val="0"/>
      <w:specVanish w:val="0"/>
    </w:rPr>
  </w:style>
  <w:style w:type="paragraph" w:customStyle="1" w:styleId="Default0">
    <w:name w:val="Default"/>
    <w:rsid w:val="0078645D"/>
    <w:pPr>
      <w:autoSpaceDE w:val="0"/>
      <w:autoSpaceDN w:val="0"/>
      <w:adjustRightInd w:val="0"/>
      <w:spacing w:line="240" w:lineRule="auto"/>
    </w:pPr>
    <w:rPr>
      <w:color w:val="000000"/>
      <w:sz w:val="24"/>
      <w:szCs w:val="24"/>
    </w:rPr>
  </w:style>
  <w:style w:type="character" w:styleId="CommentReference">
    <w:name w:val="annotation reference"/>
    <w:basedOn w:val="DefaultParagraphFont"/>
    <w:uiPriority w:val="99"/>
    <w:semiHidden/>
    <w:unhideWhenUsed/>
    <w:rsid w:val="0078645D"/>
    <w:rPr>
      <w:sz w:val="16"/>
      <w:szCs w:val="16"/>
    </w:rPr>
  </w:style>
  <w:style w:type="paragraph" w:styleId="CommentText">
    <w:name w:val="annotation text"/>
    <w:basedOn w:val="Normal"/>
    <w:link w:val="CommentTextChar"/>
    <w:uiPriority w:val="99"/>
    <w:semiHidden/>
    <w:unhideWhenUsed/>
    <w:rsid w:val="0078645D"/>
    <w:pPr>
      <w:spacing w:line="240" w:lineRule="auto"/>
    </w:pPr>
    <w:rPr>
      <w:sz w:val="20"/>
      <w:szCs w:val="20"/>
    </w:rPr>
  </w:style>
  <w:style w:type="character" w:customStyle="1" w:styleId="CommentTextChar">
    <w:name w:val="Comment Text Char"/>
    <w:basedOn w:val="DefaultParagraphFont"/>
    <w:link w:val="CommentText"/>
    <w:uiPriority w:val="99"/>
    <w:semiHidden/>
    <w:rsid w:val="0078645D"/>
    <w:rPr>
      <w:sz w:val="20"/>
      <w:szCs w:val="20"/>
    </w:rPr>
  </w:style>
  <w:style w:type="paragraph" w:styleId="CommentSubject">
    <w:name w:val="annotation subject"/>
    <w:basedOn w:val="CommentText"/>
    <w:next w:val="CommentText"/>
    <w:link w:val="CommentSubjectChar"/>
    <w:uiPriority w:val="99"/>
    <w:semiHidden/>
    <w:unhideWhenUsed/>
    <w:rsid w:val="0078645D"/>
    <w:rPr>
      <w:b/>
      <w:bCs/>
    </w:rPr>
  </w:style>
  <w:style w:type="character" w:customStyle="1" w:styleId="CommentSubjectChar">
    <w:name w:val="Comment Subject Char"/>
    <w:basedOn w:val="CommentTextChar"/>
    <w:link w:val="CommentSubject"/>
    <w:uiPriority w:val="99"/>
    <w:semiHidden/>
    <w:rsid w:val="0078645D"/>
    <w:rPr>
      <w:b/>
      <w:bCs/>
      <w:sz w:val="20"/>
      <w:szCs w:val="20"/>
    </w:rPr>
  </w:style>
  <w:style w:type="paragraph" w:styleId="FootnoteText">
    <w:name w:val="footnote text"/>
    <w:basedOn w:val="Normal"/>
    <w:link w:val="FootnoteTextChar"/>
    <w:uiPriority w:val="99"/>
    <w:semiHidden/>
    <w:unhideWhenUsed/>
    <w:rsid w:val="0078645D"/>
    <w:pPr>
      <w:spacing w:line="240" w:lineRule="auto"/>
    </w:pPr>
    <w:rPr>
      <w:sz w:val="20"/>
      <w:szCs w:val="20"/>
    </w:rPr>
  </w:style>
  <w:style w:type="character" w:customStyle="1" w:styleId="FootnoteTextChar">
    <w:name w:val="Footnote Text Char"/>
    <w:basedOn w:val="DefaultParagraphFont"/>
    <w:link w:val="FootnoteText"/>
    <w:uiPriority w:val="99"/>
    <w:semiHidden/>
    <w:rsid w:val="0078645D"/>
    <w:rPr>
      <w:sz w:val="20"/>
      <w:szCs w:val="20"/>
    </w:rPr>
  </w:style>
  <w:style w:type="character" w:styleId="FootnoteReference">
    <w:name w:val="footnote reference"/>
    <w:basedOn w:val="DefaultParagraphFont"/>
    <w:uiPriority w:val="99"/>
    <w:semiHidden/>
    <w:unhideWhenUsed/>
    <w:rsid w:val="0078645D"/>
    <w:rPr>
      <w:vertAlign w:val="superscript"/>
    </w:rPr>
  </w:style>
  <w:style w:type="table" w:styleId="TableGrid">
    <w:name w:val="Table Grid"/>
    <w:basedOn w:val="TableNormal"/>
    <w:uiPriority w:val="59"/>
    <w:rsid w:val="005945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4496">
      <w:bodyDiv w:val="1"/>
      <w:marLeft w:val="0"/>
      <w:marRight w:val="0"/>
      <w:marTop w:val="0"/>
      <w:marBottom w:val="0"/>
      <w:divBdr>
        <w:top w:val="none" w:sz="0" w:space="0" w:color="auto"/>
        <w:left w:val="none" w:sz="0" w:space="0" w:color="auto"/>
        <w:bottom w:val="none" w:sz="0" w:space="0" w:color="auto"/>
        <w:right w:val="none" w:sz="0" w:space="0" w:color="auto"/>
      </w:divBdr>
      <w:divsChild>
        <w:div w:id="943001521">
          <w:marLeft w:val="0"/>
          <w:marRight w:val="0"/>
          <w:marTop w:val="0"/>
          <w:marBottom w:val="0"/>
          <w:divBdr>
            <w:top w:val="none" w:sz="0" w:space="0" w:color="auto"/>
            <w:left w:val="none" w:sz="0" w:space="0" w:color="auto"/>
            <w:bottom w:val="none" w:sz="0" w:space="0" w:color="auto"/>
            <w:right w:val="none" w:sz="0" w:space="0" w:color="auto"/>
          </w:divBdr>
          <w:divsChild>
            <w:div w:id="15431226">
              <w:marLeft w:val="0"/>
              <w:marRight w:val="0"/>
              <w:marTop w:val="0"/>
              <w:marBottom w:val="0"/>
              <w:divBdr>
                <w:top w:val="none" w:sz="0" w:space="0" w:color="auto"/>
                <w:left w:val="none" w:sz="0" w:space="0" w:color="auto"/>
                <w:bottom w:val="none" w:sz="0" w:space="0" w:color="auto"/>
                <w:right w:val="none" w:sz="0" w:space="0" w:color="auto"/>
              </w:divBdr>
              <w:divsChild>
                <w:div w:id="1438408150">
                  <w:marLeft w:val="0"/>
                  <w:marRight w:val="0"/>
                  <w:marTop w:val="0"/>
                  <w:marBottom w:val="0"/>
                  <w:divBdr>
                    <w:top w:val="none" w:sz="0" w:space="0" w:color="auto"/>
                    <w:left w:val="none" w:sz="0" w:space="0" w:color="auto"/>
                    <w:bottom w:val="none" w:sz="0" w:space="0" w:color="auto"/>
                    <w:right w:val="none" w:sz="0" w:space="0" w:color="auto"/>
                  </w:divBdr>
                  <w:divsChild>
                    <w:div w:id="459811915">
                      <w:marLeft w:val="0"/>
                      <w:marRight w:val="0"/>
                      <w:marTop w:val="0"/>
                      <w:marBottom w:val="0"/>
                      <w:divBdr>
                        <w:top w:val="none" w:sz="0" w:space="0" w:color="auto"/>
                        <w:left w:val="none" w:sz="0" w:space="0" w:color="auto"/>
                        <w:bottom w:val="none" w:sz="0" w:space="0" w:color="auto"/>
                        <w:right w:val="none" w:sz="0" w:space="0" w:color="auto"/>
                      </w:divBdr>
                      <w:divsChild>
                        <w:div w:id="121004827">
                          <w:marLeft w:val="0"/>
                          <w:marRight w:val="0"/>
                          <w:marTop w:val="0"/>
                          <w:marBottom w:val="0"/>
                          <w:divBdr>
                            <w:top w:val="none" w:sz="0" w:space="0" w:color="auto"/>
                            <w:left w:val="none" w:sz="0" w:space="0" w:color="auto"/>
                            <w:bottom w:val="none" w:sz="0" w:space="0" w:color="auto"/>
                            <w:right w:val="none" w:sz="0" w:space="0" w:color="auto"/>
                          </w:divBdr>
                          <w:divsChild>
                            <w:div w:id="45679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46193">
      <w:bodyDiv w:val="1"/>
      <w:marLeft w:val="0"/>
      <w:marRight w:val="0"/>
      <w:marTop w:val="0"/>
      <w:marBottom w:val="0"/>
      <w:divBdr>
        <w:top w:val="none" w:sz="0" w:space="0" w:color="auto"/>
        <w:left w:val="none" w:sz="0" w:space="0" w:color="auto"/>
        <w:bottom w:val="none" w:sz="0" w:space="0" w:color="auto"/>
        <w:right w:val="none" w:sz="0" w:space="0" w:color="auto"/>
      </w:divBdr>
      <w:divsChild>
        <w:div w:id="1692220163">
          <w:marLeft w:val="0"/>
          <w:marRight w:val="0"/>
          <w:marTop w:val="0"/>
          <w:marBottom w:val="0"/>
          <w:divBdr>
            <w:top w:val="none" w:sz="0" w:space="0" w:color="auto"/>
            <w:left w:val="none" w:sz="0" w:space="0" w:color="auto"/>
            <w:bottom w:val="none" w:sz="0" w:space="0" w:color="auto"/>
            <w:right w:val="none" w:sz="0" w:space="0" w:color="auto"/>
          </w:divBdr>
          <w:divsChild>
            <w:div w:id="227543113">
              <w:marLeft w:val="0"/>
              <w:marRight w:val="0"/>
              <w:marTop w:val="0"/>
              <w:marBottom w:val="0"/>
              <w:divBdr>
                <w:top w:val="none" w:sz="0" w:space="0" w:color="auto"/>
                <w:left w:val="none" w:sz="0" w:space="0" w:color="auto"/>
                <w:bottom w:val="none" w:sz="0" w:space="0" w:color="auto"/>
                <w:right w:val="none" w:sz="0" w:space="0" w:color="auto"/>
              </w:divBdr>
              <w:divsChild>
                <w:div w:id="1001815666">
                  <w:marLeft w:val="0"/>
                  <w:marRight w:val="0"/>
                  <w:marTop w:val="0"/>
                  <w:marBottom w:val="0"/>
                  <w:divBdr>
                    <w:top w:val="none" w:sz="0" w:space="0" w:color="auto"/>
                    <w:left w:val="none" w:sz="0" w:space="0" w:color="auto"/>
                    <w:bottom w:val="none" w:sz="0" w:space="0" w:color="auto"/>
                    <w:right w:val="none" w:sz="0" w:space="0" w:color="auto"/>
                  </w:divBdr>
                  <w:divsChild>
                    <w:div w:id="1956709314">
                      <w:marLeft w:val="0"/>
                      <w:marRight w:val="0"/>
                      <w:marTop w:val="0"/>
                      <w:marBottom w:val="0"/>
                      <w:divBdr>
                        <w:top w:val="none" w:sz="0" w:space="0" w:color="auto"/>
                        <w:left w:val="none" w:sz="0" w:space="0" w:color="auto"/>
                        <w:bottom w:val="none" w:sz="0" w:space="0" w:color="auto"/>
                        <w:right w:val="none" w:sz="0" w:space="0" w:color="auto"/>
                      </w:divBdr>
                      <w:divsChild>
                        <w:div w:id="4236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19052">
      <w:bodyDiv w:val="1"/>
      <w:marLeft w:val="0"/>
      <w:marRight w:val="0"/>
      <w:marTop w:val="0"/>
      <w:marBottom w:val="0"/>
      <w:divBdr>
        <w:top w:val="none" w:sz="0" w:space="0" w:color="auto"/>
        <w:left w:val="none" w:sz="0" w:space="0" w:color="auto"/>
        <w:bottom w:val="none" w:sz="0" w:space="0" w:color="auto"/>
        <w:right w:val="none" w:sz="0" w:space="0" w:color="auto"/>
      </w:divBdr>
      <w:divsChild>
        <w:div w:id="1325814013">
          <w:marLeft w:val="0"/>
          <w:marRight w:val="0"/>
          <w:marTop w:val="0"/>
          <w:marBottom w:val="0"/>
          <w:divBdr>
            <w:top w:val="none" w:sz="0" w:space="0" w:color="auto"/>
            <w:left w:val="none" w:sz="0" w:space="0" w:color="auto"/>
            <w:bottom w:val="none" w:sz="0" w:space="0" w:color="auto"/>
            <w:right w:val="none" w:sz="0" w:space="0" w:color="auto"/>
          </w:divBdr>
          <w:divsChild>
            <w:div w:id="1790708832">
              <w:marLeft w:val="0"/>
              <w:marRight w:val="0"/>
              <w:marTop w:val="0"/>
              <w:marBottom w:val="0"/>
              <w:divBdr>
                <w:top w:val="none" w:sz="0" w:space="0" w:color="auto"/>
                <w:left w:val="none" w:sz="0" w:space="0" w:color="auto"/>
                <w:bottom w:val="none" w:sz="0" w:space="0" w:color="auto"/>
                <w:right w:val="none" w:sz="0" w:space="0" w:color="auto"/>
              </w:divBdr>
              <w:divsChild>
                <w:div w:id="2117367055">
                  <w:marLeft w:val="0"/>
                  <w:marRight w:val="0"/>
                  <w:marTop w:val="0"/>
                  <w:marBottom w:val="0"/>
                  <w:divBdr>
                    <w:top w:val="none" w:sz="0" w:space="0" w:color="auto"/>
                    <w:left w:val="none" w:sz="0" w:space="0" w:color="auto"/>
                    <w:bottom w:val="none" w:sz="0" w:space="0" w:color="auto"/>
                    <w:right w:val="none" w:sz="0" w:space="0" w:color="auto"/>
                  </w:divBdr>
                  <w:divsChild>
                    <w:div w:id="1903980388">
                      <w:marLeft w:val="0"/>
                      <w:marRight w:val="0"/>
                      <w:marTop w:val="0"/>
                      <w:marBottom w:val="0"/>
                      <w:divBdr>
                        <w:top w:val="none" w:sz="0" w:space="0" w:color="auto"/>
                        <w:left w:val="none" w:sz="0" w:space="0" w:color="auto"/>
                        <w:bottom w:val="none" w:sz="0" w:space="0" w:color="auto"/>
                        <w:right w:val="none" w:sz="0" w:space="0" w:color="auto"/>
                      </w:divBdr>
                      <w:divsChild>
                        <w:div w:id="47757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91947">
      <w:bodyDiv w:val="1"/>
      <w:marLeft w:val="0"/>
      <w:marRight w:val="0"/>
      <w:marTop w:val="0"/>
      <w:marBottom w:val="0"/>
      <w:divBdr>
        <w:top w:val="none" w:sz="0" w:space="0" w:color="auto"/>
        <w:left w:val="none" w:sz="0" w:space="0" w:color="auto"/>
        <w:bottom w:val="none" w:sz="0" w:space="0" w:color="auto"/>
        <w:right w:val="none" w:sz="0" w:space="0" w:color="auto"/>
      </w:divBdr>
      <w:divsChild>
        <w:div w:id="2130975353">
          <w:marLeft w:val="0"/>
          <w:marRight w:val="0"/>
          <w:marTop w:val="0"/>
          <w:marBottom w:val="0"/>
          <w:divBdr>
            <w:top w:val="none" w:sz="0" w:space="0" w:color="auto"/>
            <w:left w:val="none" w:sz="0" w:space="0" w:color="auto"/>
            <w:bottom w:val="none" w:sz="0" w:space="0" w:color="auto"/>
            <w:right w:val="none" w:sz="0" w:space="0" w:color="auto"/>
          </w:divBdr>
          <w:divsChild>
            <w:div w:id="1840610936">
              <w:marLeft w:val="0"/>
              <w:marRight w:val="0"/>
              <w:marTop w:val="0"/>
              <w:marBottom w:val="0"/>
              <w:divBdr>
                <w:top w:val="none" w:sz="0" w:space="0" w:color="auto"/>
                <w:left w:val="none" w:sz="0" w:space="0" w:color="auto"/>
                <w:bottom w:val="none" w:sz="0" w:space="0" w:color="auto"/>
                <w:right w:val="none" w:sz="0" w:space="0" w:color="auto"/>
              </w:divBdr>
              <w:divsChild>
                <w:div w:id="2017489647">
                  <w:marLeft w:val="0"/>
                  <w:marRight w:val="0"/>
                  <w:marTop w:val="0"/>
                  <w:marBottom w:val="0"/>
                  <w:divBdr>
                    <w:top w:val="none" w:sz="0" w:space="0" w:color="auto"/>
                    <w:left w:val="none" w:sz="0" w:space="0" w:color="auto"/>
                    <w:bottom w:val="none" w:sz="0" w:space="0" w:color="auto"/>
                    <w:right w:val="none" w:sz="0" w:space="0" w:color="auto"/>
                  </w:divBdr>
                  <w:divsChild>
                    <w:div w:id="794446603">
                      <w:marLeft w:val="0"/>
                      <w:marRight w:val="0"/>
                      <w:marTop w:val="0"/>
                      <w:marBottom w:val="0"/>
                      <w:divBdr>
                        <w:top w:val="none" w:sz="0" w:space="0" w:color="auto"/>
                        <w:left w:val="none" w:sz="0" w:space="0" w:color="auto"/>
                        <w:bottom w:val="none" w:sz="0" w:space="0" w:color="auto"/>
                        <w:right w:val="none" w:sz="0" w:space="0" w:color="auto"/>
                      </w:divBdr>
                      <w:divsChild>
                        <w:div w:id="20584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7450">
      <w:bodyDiv w:val="1"/>
      <w:marLeft w:val="0"/>
      <w:marRight w:val="0"/>
      <w:marTop w:val="0"/>
      <w:marBottom w:val="0"/>
      <w:divBdr>
        <w:top w:val="none" w:sz="0" w:space="0" w:color="auto"/>
        <w:left w:val="none" w:sz="0" w:space="0" w:color="auto"/>
        <w:bottom w:val="none" w:sz="0" w:space="0" w:color="auto"/>
        <w:right w:val="none" w:sz="0" w:space="0" w:color="auto"/>
      </w:divBdr>
      <w:divsChild>
        <w:div w:id="801461666">
          <w:marLeft w:val="0"/>
          <w:marRight w:val="0"/>
          <w:marTop w:val="0"/>
          <w:marBottom w:val="0"/>
          <w:divBdr>
            <w:top w:val="none" w:sz="0" w:space="0" w:color="auto"/>
            <w:left w:val="none" w:sz="0" w:space="0" w:color="auto"/>
            <w:bottom w:val="none" w:sz="0" w:space="0" w:color="auto"/>
            <w:right w:val="none" w:sz="0" w:space="0" w:color="auto"/>
          </w:divBdr>
          <w:divsChild>
            <w:div w:id="230501941">
              <w:marLeft w:val="0"/>
              <w:marRight w:val="0"/>
              <w:marTop w:val="0"/>
              <w:marBottom w:val="0"/>
              <w:divBdr>
                <w:top w:val="none" w:sz="0" w:space="0" w:color="auto"/>
                <w:left w:val="none" w:sz="0" w:space="0" w:color="auto"/>
                <w:bottom w:val="none" w:sz="0" w:space="0" w:color="auto"/>
                <w:right w:val="none" w:sz="0" w:space="0" w:color="auto"/>
              </w:divBdr>
              <w:divsChild>
                <w:div w:id="832721085">
                  <w:marLeft w:val="0"/>
                  <w:marRight w:val="0"/>
                  <w:marTop w:val="0"/>
                  <w:marBottom w:val="0"/>
                  <w:divBdr>
                    <w:top w:val="none" w:sz="0" w:space="0" w:color="auto"/>
                    <w:left w:val="none" w:sz="0" w:space="0" w:color="auto"/>
                    <w:bottom w:val="none" w:sz="0" w:space="0" w:color="auto"/>
                    <w:right w:val="none" w:sz="0" w:space="0" w:color="auto"/>
                  </w:divBdr>
                  <w:divsChild>
                    <w:div w:id="1638337531">
                      <w:marLeft w:val="0"/>
                      <w:marRight w:val="0"/>
                      <w:marTop w:val="0"/>
                      <w:marBottom w:val="0"/>
                      <w:divBdr>
                        <w:top w:val="none" w:sz="0" w:space="0" w:color="auto"/>
                        <w:left w:val="none" w:sz="0" w:space="0" w:color="auto"/>
                        <w:bottom w:val="none" w:sz="0" w:space="0" w:color="auto"/>
                        <w:right w:val="none" w:sz="0" w:space="0" w:color="auto"/>
                      </w:divBdr>
                      <w:divsChild>
                        <w:div w:id="13083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587609">
      <w:bodyDiv w:val="1"/>
      <w:marLeft w:val="0"/>
      <w:marRight w:val="0"/>
      <w:marTop w:val="0"/>
      <w:marBottom w:val="0"/>
      <w:divBdr>
        <w:top w:val="none" w:sz="0" w:space="0" w:color="auto"/>
        <w:left w:val="none" w:sz="0" w:space="0" w:color="auto"/>
        <w:bottom w:val="none" w:sz="0" w:space="0" w:color="auto"/>
        <w:right w:val="none" w:sz="0" w:space="0" w:color="auto"/>
      </w:divBdr>
      <w:divsChild>
        <w:div w:id="462306139">
          <w:marLeft w:val="0"/>
          <w:marRight w:val="0"/>
          <w:marTop w:val="0"/>
          <w:marBottom w:val="0"/>
          <w:divBdr>
            <w:top w:val="none" w:sz="0" w:space="0" w:color="auto"/>
            <w:left w:val="none" w:sz="0" w:space="0" w:color="auto"/>
            <w:bottom w:val="none" w:sz="0" w:space="0" w:color="auto"/>
            <w:right w:val="none" w:sz="0" w:space="0" w:color="auto"/>
          </w:divBdr>
          <w:divsChild>
            <w:div w:id="1454863412">
              <w:marLeft w:val="0"/>
              <w:marRight w:val="0"/>
              <w:marTop w:val="0"/>
              <w:marBottom w:val="0"/>
              <w:divBdr>
                <w:top w:val="none" w:sz="0" w:space="0" w:color="auto"/>
                <w:left w:val="none" w:sz="0" w:space="0" w:color="auto"/>
                <w:bottom w:val="none" w:sz="0" w:space="0" w:color="auto"/>
                <w:right w:val="none" w:sz="0" w:space="0" w:color="auto"/>
              </w:divBdr>
              <w:divsChild>
                <w:div w:id="2095080310">
                  <w:marLeft w:val="0"/>
                  <w:marRight w:val="0"/>
                  <w:marTop w:val="0"/>
                  <w:marBottom w:val="0"/>
                  <w:divBdr>
                    <w:top w:val="none" w:sz="0" w:space="0" w:color="auto"/>
                    <w:left w:val="none" w:sz="0" w:space="0" w:color="auto"/>
                    <w:bottom w:val="none" w:sz="0" w:space="0" w:color="auto"/>
                    <w:right w:val="none" w:sz="0" w:space="0" w:color="auto"/>
                  </w:divBdr>
                  <w:divsChild>
                    <w:div w:id="1359699214">
                      <w:marLeft w:val="0"/>
                      <w:marRight w:val="0"/>
                      <w:marTop w:val="0"/>
                      <w:marBottom w:val="0"/>
                      <w:divBdr>
                        <w:top w:val="none" w:sz="0" w:space="0" w:color="auto"/>
                        <w:left w:val="none" w:sz="0" w:space="0" w:color="auto"/>
                        <w:bottom w:val="none" w:sz="0" w:space="0" w:color="auto"/>
                        <w:right w:val="none" w:sz="0" w:space="0" w:color="auto"/>
                      </w:divBdr>
                      <w:divsChild>
                        <w:div w:id="12502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175787">
      <w:bodyDiv w:val="1"/>
      <w:marLeft w:val="0"/>
      <w:marRight w:val="0"/>
      <w:marTop w:val="0"/>
      <w:marBottom w:val="0"/>
      <w:divBdr>
        <w:top w:val="none" w:sz="0" w:space="0" w:color="auto"/>
        <w:left w:val="none" w:sz="0" w:space="0" w:color="auto"/>
        <w:bottom w:val="none" w:sz="0" w:space="0" w:color="auto"/>
        <w:right w:val="none" w:sz="0" w:space="0" w:color="auto"/>
      </w:divBdr>
      <w:divsChild>
        <w:div w:id="2109766740">
          <w:marLeft w:val="0"/>
          <w:marRight w:val="0"/>
          <w:marTop w:val="0"/>
          <w:marBottom w:val="0"/>
          <w:divBdr>
            <w:top w:val="none" w:sz="0" w:space="0" w:color="auto"/>
            <w:left w:val="none" w:sz="0" w:space="0" w:color="auto"/>
            <w:bottom w:val="none" w:sz="0" w:space="0" w:color="auto"/>
            <w:right w:val="none" w:sz="0" w:space="0" w:color="auto"/>
          </w:divBdr>
          <w:divsChild>
            <w:div w:id="586616412">
              <w:marLeft w:val="0"/>
              <w:marRight w:val="0"/>
              <w:marTop w:val="0"/>
              <w:marBottom w:val="0"/>
              <w:divBdr>
                <w:top w:val="none" w:sz="0" w:space="0" w:color="auto"/>
                <w:left w:val="none" w:sz="0" w:space="0" w:color="auto"/>
                <w:bottom w:val="none" w:sz="0" w:space="0" w:color="auto"/>
                <w:right w:val="none" w:sz="0" w:space="0" w:color="auto"/>
              </w:divBdr>
              <w:divsChild>
                <w:div w:id="1518470962">
                  <w:marLeft w:val="0"/>
                  <w:marRight w:val="0"/>
                  <w:marTop w:val="0"/>
                  <w:marBottom w:val="0"/>
                  <w:divBdr>
                    <w:top w:val="none" w:sz="0" w:space="0" w:color="auto"/>
                    <w:left w:val="none" w:sz="0" w:space="0" w:color="auto"/>
                    <w:bottom w:val="none" w:sz="0" w:space="0" w:color="auto"/>
                    <w:right w:val="none" w:sz="0" w:space="0" w:color="auto"/>
                  </w:divBdr>
                  <w:divsChild>
                    <w:div w:id="1287813841">
                      <w:marLeft w:val="0"/>
                      <w:marRight w:val="0"/>
                      <w:marTop w:val="0"/>
                      <w:marBottom w:val="0"/>
                      <w:divBdr>
                        <w:top w:val="none" w:sz="0" w:space="0" w:color="auto"/>
                        <w:left w:val="none" w:sz="0" w:space="0" w:color="auto"/>
                        <w:bottom w:val="none" w:sz="0" w:space="0" w:color="auto"/>
                        <w:right w:val="none" w:sz="0" w:space="0" w:color="auto"/>
                      </w:divBdr>
                      <w:divsChild>
                        <w:div w:id="5267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988467">
      <w:bodyDiv w:val="1"/>
      <w:marLeft w:val="0"/>
      <w:marRight w:val="0"/>
      <w:marTop w:val="0"/>
      <w:marBottom w:val="0"/>
      <w:divBdr>
        <w:top w:val="none" w:sz="0" w:space="0" w:color="auto"/>
        <w:left w:val="none" w:sz="0" w:space="0" w:color="auto"/>
        <w:bottom w:val="none" w:sz="0" w:space="0" w:color="auto"/>
        <w:right w:val="none" w:sz="0" w:space="0" w:color="auto"/>
      </w:divBdr>
      <w:divsChild>
        <w:div w:id="1416590610">
          <w:marLeft w:val="0"/>
          <w:marRight w:val="0"/>
          <w:marTop w:val="0"/>
          <w:marBottom w:val="0"/>
          <w:divBdr>
            <w:top w:val="none" w:sz="0" w:space="0" w:color="auto"/>
            <w:left w:val="none" w:sz="0" w:space="0" w:color="auto"/>
            <w:bottom w:val="none" w:sz="0" w:space="0" w:color="auto"/>
            <w:right w:val="none" w:sz="0" w:space="0" w:color="auto"/>
          </w:divBdr>
          <w:divsChild>
            <w:div w:id="1053189893">
              <w:marLeft w:val="0"/>
              <w:marRight w:val="0"/>
              <w:marTop w:val="0"/>
              <w:marBottom w:val="0"/>
              <w:divBdr>
                <w:top w:val="none" w:sz="0" w:space="0" w:color="auto"/>
                <w:left w:val="none" w:sz="0" w:space="0" w:color="auto"/>
                <w:bottom w:val="none" w:sz="0" w:space="0" w:color="auto"/>
                <w:right w:val="none" w:sz="0" w:space="0" w:color="auto"/>
              </w:divBdr>
              <w:divsChild>
                <w:div w:id="1530683424">
                  <w:marLeft w:val="0"/>
                  <w:marRight w:val="0"/>
                  <w:marTop w:val="0"/>
                  <w:marBottom w:val="0"/>
                  <w:divBdr>
                    <w:top w:val="none" w:sz="0" w:space="0" w:color="auto"/>
                    <w:left w:val="none" w:sz="0" w:space="0" w:color="auto"/>
                    <w:bottom w:val="none" w:sz="0" w:space="0" w:color="auto"/>
                    <w:right w:val="none" w:sz="0" w:space="0" w:color="auto"/>
                  </w:divBdr>
                  <w:divsChild>
                    <w:div w:id="1987396104">
                      <w:marLeft w:val="0"/>
                      <w:marRight w:val="0"/>
                      <w:marTop w:val="0"/>
                      <w:marBottom w:val="0"/>
                      <w:divBdr>
                        <w:top w:val="none" w:sz="0" w:space="0" w:color="auto"/>
                        <w:left w:val="none" w:sz="0" w:space="0" w:color="auto"/>
                        <w:bottom w:val="none" w:sz="0" w:space="0" w:color="auto"/>
                        <w:right w:val="none" w:sz="0" w:space="0" w:color="auto"/>
                      </w:divBdr>
                      <w:divsChild>
                        <w:div w:id="14213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122921">
      <w:bodyDiv w:val="1"/>
      <w:marLeft w:val="0"/>
      <w:marRight w:val="0"/>
      <w:marTop w:val="0"/>
      <w:marBottom w:val="0"/>
      <w:divBdr>
        <w:top w:val="none" w:sz="0" w:space="0" w:color="auto"/>
        <w:left w:val="none" w:sz="0" w:space="0" w:color="auto"/>
        <w:bottom w:val="none" w:sz="0" w:space="0" w:color="auto"/>
        <w:right w:val="none" w:sz="0" w:space="0" w:color="auto"/>
      </w:divBdr>
      <w:divsChild>
        <w:div w:id="1243761191">
          <w:marLeft w:val="0"/>
          <w:marRight w:val="0"/>
          <w:marTop w:val="0"/>
          <w:marBottom w:val="0"/>
          <w:divBdr>
            <w:top w:val="none" w:sz="0" w:space="0" w:color="auto"/>
            <w:left w:val="none" w:sz="0" w:space="0" w:color="auto"/>
            <w:bottom w:val="none" w:sz="0" w:space="0" w:color="auto"/>
            <w:right w:val="none" w:sz="0" w:space="0" w:color="auto"/>
          </w:divBdr>
          <w:divsChild>
            <w:div w:id="1624729446">
              <w:marLeft w:val="0"/>
              <w:marRight w:val="0"/>
              <w:marTop w:val="0"/>
              <w:marBottom w:val="0"/>
              <w:divBdr>
                <w:top w:val="none" w:sz="0" w:space="0" w:color="auto"/>
                <w:left w:val="none" w:sz="0" w:space="0" w:color="auto"/>
                <w:bottom w:val="none" w:sz="0" w:space="0" w:color="auto"/>
                <w:right w:val="none" w:sz="0" w:space="0" w:color="auto"/>
              </w:divBdr>
              <w:divsChild>
                <w:div w:id="1578831325">
                  <w:marLeft w:val="0"/>
                  <w:marRight w:val="0"/>
                  <w:marTop w:val="0"/>
                  <w:marBottom w:val="0"/>
                  <w:divBdr>
                    <w:top w:val="none" w:sz="0" w:space="0" w:color="auto"/>
                    <w:left w:val="none" w:sz="0" w:space="0" w:color="auto"/>
                    <w:bottom w:val="none" w:sz="0" w:space="0" w:color="auto"/>
                    <w:right w:val="none" w:sz="0" w:space="0" w:color="auto"/>
                  </w:divBdr>
                  <w:divsChild>
                    <w:div w:id="1046375687">
                      <w:marLeft w:val="0"/>
                      <w:marRight w:val="0"/>
                      <w:marTop w:val="0"/>
                      <w:marBottom w:val="0"/>
                      <w:divBdr>
                        <w:top w:val="none" w:sz="0" w:space="0" w:color="auto"/>
                        <w:left w:val="none" w:sz="0" w:space="0" w:color="auto"/>
                        <w:bottom w:val="none" w:sz="0" w:space="0" w:color="auto"/>
                        <w:right w:val="none" w:sz="0" w:space="0" w:color="auto"/>
                      </w:divBdr>
                      <w:divsChild>
                        <w:div w:id="4764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031429">
      <w:bodyDiv w:val="1"/>
      <w:marLeft w:val="0"/>
      <w:marRight w:val="0"/>
      <w:marTop w:val="0"/>
      <w:marBottom w:val="0"/>
      <w:divBdr>
        <w:top w:val="none" w:sz="0" w:space="0" w:color="auto"/>
        <w:left w:val="none" w:sz="0" w:space="0" w:color="auto"/>
        <w:bottom w:val="none" w:sz="0" w:space="0" w:color="auto"/>
        <w:right w:val="none" w:sz="0" w:space="0" w:color="auto"/>
      </w:divBdr>
      <w:divsChild>
        <w:div w:id="2074694825">
          <w:marLeft w:val="0"/>
          <w:marRight w:val="0"/>
          <w:marTop w:val="0"/>
          <w:marBottom w:val="0"/>
          <w:divBdr>
            <w:top w:val="none" w:sz="0" w:space="0" w:color="auto"/>
            <w:left w:val="none" w:sz="0" w:space="0" w:color="auto"/>
            <w:bottom w:val="none" w:sz="0" w:space="0" w:color="auto"/>
            <w:right w:val="none" w:sz="0" w:space="0" w:color="auto"/>
          </w:divBdr>
          <w:divsChild>
            <w:div w:id="1593583899">
              <w:marLeft w:val="0"/>
              <w:marRight w:val="0"/>
              <w:marTop w:val="0"/>
              <w:marBottom w:val="0"/>
              <w:divBdr>
                <w:top w:val="none" w:sz="0" w:space="0" w:color="auto"/>
                <w:left w:val="none" w:sz="0" w:space="0" w:color="auto"/>
                <w:bottom w:val="none" w:sz="0" w:space="0" w:color="auto"/>
                <w:right w:val="none" w:sz="0" w:space="0" w:color="auto"/>
              </w:divBdr>
              <w:divsChild>
                <w:div w:id="1507136342">
                  <w:marLeft w:val="0"/>
                  <w:marRight w:val="0"/>
                  <w:marTop w:val="0"/>
                  <w:marBottom w:val="0"/>
                  <w:divBdr>
                    <w:top w:val="none" w:sz="0" w:space="0" w:color="auto"/>
                    <w:left w:val="none" w:sz="0" w:space="0" w:color="auto"/>
                    <w:bottom w:val="none" w:sz="0" w:space="0" w:color="auto"/>
                    <w:right w:val="none" w:sz="0" w:space="0" w:color="auto"/>
                  </w:divBdr>
                  <w:divsChild>
                    <w:div w:id="1586038126">
                      <w:marLeft w:val="0"/>
                      <w:marRight w:val="0"/>
                      <w:marTop w:val="0"/>
                      <w:marBottom w:val="0"/>
                      <w:divBdr>
                        <w:top w:val="none" w:sz="0" w:space="0" w:color="auto"/>
                        <w:left w:val="none" w:sz="0" w:space="0" w:color="auto"/>
                        <w:bottom w:val="none" w:sz="0" w:space="0" w:color="auto"/>
                        <w:right w:val="none" w:sz="0" w:space="0" w:color="auto"/>
                      </w:divBdr>
                      <w:divsChild>
                        <w:div w:id="4742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974299">
      <w:bodyDiv w:val="1"/>
      <w:marLeft w:val="0"/>
      <w:marRight w:val="0"/>
      <w:marTop w:val="0"/>
      <w:marBottom w:val="0"/>
      <w:divBdr>
        <w:top w:val="none" w:sz="0" w:space="0" w:color="auto"/>
        <w:left w:val="none" w:sz="0" w:space="0" w:color="auto"/>
        <w:bottom w:val="none" w:sz="0" w:space="0" w:color="auto"/>
        <w:right w:val="none" w:sz="0" w:space="0" w:color="auto"/>
      </w:divBdr>
      <w:divsChild>
        <w:div w:id="83190897">
          <w:marLeft w:val="0"/>
          <w:marRight w:val="0"/>
          <w:marTop w:val="0"/>
          <w:marBottom w:val="0"/>
          <w:divBdr>
            <w:top w:val="none" w:sz="0" w:space="0" w:color="auto"/>
            <w:left w:val="none" w:sz="0" w:space="0" w:color="auto"/>
            <w:bottom w:val="none" w:sz="0" w:space="0" w:color="auto"/>
            <w:right w:val="none" w:sz="0" w:space="0" w:color="auto"/>
          </w:divBdr>
          <w:divsChild>
            <w:div w:id="2127969885">
              <w:marLeft w:val="0"/>
              <w:marRight w:val="0"/>
              <w:marTop w:val="0"/>
              <w:marBottom w:val="0"/>
              <w:divBdr>
                <w:top w:val="none" w:sz="0" w:space="0" w:color="auto"/>
                <w:left w:val="none" w:sz="0" w:space="0" w:color="auto"/>
                <w:bottom w:val="none" w:sz="0" w:space="0" w:color="auto"/>
                <w:right w:val="none" w:sz="0" w:space="0" w:color="auto"/>
              </w:divBdr>
              <w:divsChild>
                <w:div w:id="1143086405">
                  <w:marLeft w:val="0"/>
                  <w:marRight w:val="0"/>
                  <w:marTop w:val="0"/>
                  <w:marBottom w:val="0"/>
                  <w:divBdr>
                    <w:top w:val="none" w:sz="0" w:space="0" w:color="auto"/>
                    <w:left w:val="none" w:sz="0" w:space="0" w:color="auto"/>
                    <w:bottom w:val="none" w:sz="0" w:space="0" w:color="auto"/>
                    <w:right w:val="none" w:sz="0" w:space="0" w:color="auto"/>
                  </w:divBdr>
                  <w:divsChild>
                    <w:div w:id="657222325">
                      <w:marLeft w:val="0"/>
                      <w:marRight w:val="0"/>
                      <w:marTop w:val="0"/>
                      <w:marBottom w:val="0"/>
                      <w:divBdr>
                        <w:top w:val="none" w:sz="0" w:space="0" w:color="auto"/>
                        <w:left w:val="none" w:sz="0" w:space="0" w:color="auto"/>
                        <w:bottom w:val="none" w:sz="0" w:space="0" w:color="auto"/>
                        <w:right w:val="none" w:sz="0" w:space="0" w:color="auto"/>
                      </w:divBdr>
                      <w:divsChild>
                        <w:div w:id="2786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746655">
      <w:bodyDiv w:val="1"/>
      <w:marLeft w:val="0"/>
      <w:marRight w:val="0"/>
      <w:marTop w:val="0"/>
      <w:marBottom w:val="0"/>
      <w:divBdr>
        <w:top w:val="none" w:sz="0" w:space="0" w:color="auto"/>
        <w:left w:val="none" w:sz="0" w:space="0" w:color="auto"/>
        <w:bottom w:val="none" w:sz="0" w:space="0" w:color="auto"/>
        <w:right w:val="none" w:sz="0" w:space="0" w:color="auto"/>
      </w:divBdr>
      <w:divsChild>
        <w:div w:id="1654530914">
          <w:marLeft w:val="0"/>
          <w:marRight w:val="0"/>
          <w:marTop w:val="0"/>
          <w:marBottom w:val="0"/>
          <w:divBdr>
            <w:top w:val="none" w:sz="0" w:space="0" w:color="auto"/>
            <w:left w:val="none" w:sz="0" w:space="0" w:color="auto"/>
            <w:bottom w:val="none" w:sz="0" w:space="0" w:color="auto"/>
            <w:right w:val="none" w:sz="0" w:space="0" w:color="auto"/>
          </w:divBdr>
          <w:divsChild>
            <w:div w:id="305626417">
              <w:marLeft w:val="0"/>
              <w:marRight w:val="0"/>
              <w:marTop w:val="0"/>
              <w:marBottom w:val="0"/>
              <w:divBdr>
                <w:top w:val="none" w:sz="0" w:space="0" w:color="auto"/>
                <w:left w:val="none" w:sz="0" w:space="0" w:color="auto"/>
                <w:bottom w:val="none" w:sz="0" w:space="0" w:color="auto"/>
                <w:right w:val="none" w:sz="0" w:space="0" w:color="auto"/>
              </w:divBdr>
              <w:divsChild>
                <w:div w:id="760294076">
                  <w:marLeft w:val="0"/>
                  <w:marRight w:val="0"/>
                  <w:marTop w:val="0"/>
                  <w:marBottom w:val="0"/>
                  <w:divBdr>
                    <w:top w:val="none" w:sz="0" w:space="0" w:color="auto"/>
                    <w:left w:val="none" w:sz="0" w:space="0" w:color="auto"/>
                    <w:bottom w:val="none" w:sz="0" w:space="0" w:color="auto"/>
                    <w:right w:val="none" w:sz="0" w:space="0" w:color="auto"/>
                  </w:divBdr>
                  <w:divsChild>
                    <w:div w:id="1433165321">
                      <w:marLeft w:val="0"/>
                      <w:marRight w:val="0"/>
                      <w:marTop w:val="0"/>
                      <w:marBottom w:val="0"/>
                      <w:divBdr>
                        <w:top w:val="none" w:sz="0" w:space="0" w:color="auto"/>
                        <w:left w:val="none" w:sz="0" w:space="0" w:color="auto"/>
                        <w:bottom w:val="none" w:sz="0" w:space="0" w:color="auto"/>
                        <w:right w:val="none" w:sz="0" w:space="0" w:color="auto"/>
                      </w:divBdr>
                      <w:divsChild>
                        <w:div w:id="380985710">
                          <w:marLeft w:val="0"/>
                          <w:marRight w:val="0"/>
                          <w:marTop w:val="0"/>
                          <w:marBottom w:val="0"/>
                          <w:divBdr>
                            <w:top w:val="none" w:sz="0" w:space="0" w:color="auto"/>
                            <w:left w:val="none" w:sz="0" w:space="0" w:color="auto"/>
                            <w:bottom w:val="none" w:sz="0" w:space="0" w:color="auto"/>
                            <w:right w:val="none" w:sz="0" w:space="0" w:color="auto"/>
                          </w:divBdr>
                          <w:divsChild>
                            <w:div w:id="165363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32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14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711870">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72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23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554122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142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03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gme.org/acgmeweb/tabid/126/About/AMAGreenBooks.aspx" TargetMode="External"/><Relationship Id="rId18" Type="http://schemas.openxmlformats.org/officeDocument/2006/relationships/hyperlink" Target="http://www.aapm.org"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acgme.org/%20" TargetMode="External"/><Relationship Id="rId17" Type="http://schemas.openxmlformats.org/officeDocument/2006/relationships/hyperlink" Target="http://www.nrc.gov/materials/miau/med-use-toolkit.html" TargetMode="External"/><Relationship Id="rId2" Type="http://schemas.openxmlformats.org/officeDocument/2006/relationships/numbering" Target="numbering.xml"/><Relationship Id="rId16" Type="http://schemas.openxmlformats.org/officeDocument/2006/relationships/hyperlink" Target="http://www.nrc.gov/materials/miau/med-use-toolkit/spec-board-cert.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rc.gov/materials/miau/med-use-toolkit.html"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osteopathic.org/%20"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rcpsc.medical.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F442E-8D19-4FC6-9823-8CF98159C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9819</Words>
  <Characters>55974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DBH</dc:creator>
  <cp:lastModifiedBy>SYSTEM</cp:lastModifiedBy>
  <cp:revision>2</cp:revision>
  <cp:lastPrinted>2014-02-11T16:55:00Z</cp:lastPrinted>
  <dcterms:created xsi:type="dcterms:W3CDTF">2017-11-16T20:33:00Z</dcterms:created>
  <dcterms:modified xsi:type="dcterms:W3CDTF">2017-11-16T20:33:00Z</dcterms:modified>
</cp:coreProperties>
</file>