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42C19" w14:textId="77777777" w:rsidR="00D73EE7" w:rsidRDefault="00D73EE7">
      <w:pPr>
        <w:pStyle w:val="Heading1"/>
        <w:rPr>
          <w:rFonts w:ascii="Times New Roman" w:hAnsi="Times New Roman"/>
        </w:rPr>
      </w:pPr>
      <w:bookmarkStart w:id="0" w:name="_GoBack"/>
      <w:bookmarkEnd w:id="0"/>
      <w:r w:rsidRPr="00105854">
        <w:rPr>
          <w:rFonts w:ascii="Times New Roman" w:hAnsi="Times New Roman"/>
        </w:rPr>
        <w:t>Supporting Statement for Paperwork Reduction Act Submissions</w:t>
      </w:r>
    </w:p>
    <w:p w14:paraId="19DCBAD6" w14:textId="5EDEC9C9" w:rsidR="00C67E1F" w:rsidRPr="00C67E1F" w:rsidRDefault="00C67E1F" w:rsidP="00C67E1F">
      <w:pPr>
        <w:jc w:val="center"/>
      </w:pPr>
      <w:r>
        <w:t>(OMB No. 2506-</w:t>
      </w:r>
      <w:r w:rsidR="000B1CC4">
        <w:t>new</w:t>
      </w:r>
      <w:r>
        <w:t>)</w:t>
      </w:r>
    </w:p>
    <w:p w14:paraId="43F8720B" w14:textId="77777777" w:rsidR="00D73EE7" w:rsidRPr="00105854" w:rsidRDefault="00D73E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2D3BE2B8" w14:textId="77777777" w:rsidR="00D73EE7" w:rsidRPr="00105854" w:rsidRDefault="00D73E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r w:rsidRPr="00105854">
        <w:rPr>
          <w:b/>
        </w:rPr>
        <w:t xml:space="preserve">A. </w:t>
      </w:r>
      <w:r w:rsidRPr="00105854">
        <w:rPr>
          <w:b/>
        </w:rPr>
        <w:tab/>
        <w:t>Justi</w:t>
      </w:r>
      <w:r w:rsidRPr="00105854">
        <w:rPr>
          <w:b/>
          <w:color w:val="000000"/>
        </w:rPr>
        <w:t>fication</w:t>
      </w:r>
    </w:p>
    <w:p w14:paraId="6D7574B3" w14:textId="77777777" w:rsidR="00D73EE7" w:rsidRPr="00105854" w:rsidRDefault="00D73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p>
    <w:p w14:paraId="3354F34F" w14:textId="2D99723F" w:rsidR="00415A07" w:rsidRDefault="00D73EE7" w:rsidP="005824D5">
      <w:pPr>
        <w:pStyle w:val="BodyTextIndent"/>
        <w:numPr>
          <w:ilvl w:val="0"/>
          <w:numId w:val="13"/>
        </w:numPr>
        <w:spacing w:after="0"/>
        <w:rPr>
          <w:sz w:val="24"/>
        </w:rPr>
      </w:pPr>
      <w:r w:rsidRPr="00105854">
        <w:rPr>
          <w:sz w:val="24"/>
        </w:rPr>
        <w:t xml:space="preserve">Why is the information necessary? </w:t>
      </w:r>
    </w:p>
    <w:p w14:paraId="60F4E246" w14:textId="77777777" w:rsidR="005824D5" w:rsidRPr="00415A07" w:rsidRDefault="005824D5" w:rsidP="005824D5">
      <w:pPr>
        <w:pStyle w:val="BodyTextIndent"/>
        <w:spacing w:after="0"/>
        <w:ind w:left="720" w:firstLine="0"/>
        <w:rPr>
          <w:sz w:val="24"/>
        </w:rPr>
      </w:pPr>
    </w:p>
    <w:p w14:paraId="69692418" w14:textId="51D8943C" w:rsidR="00595EE4" w:rsidRPr="00415A07" w:rsidRDefault="00415A07" w:rsidP="005824D5">
      <w:pPr>
        <w:pStyle w:val="BodyTextIndent"/>
        <w:spacing w:after="0"/>
        <w:ind w:left="0" w:firstLine="0"/>
        <w:rPr>
          <w:sz w:val="24"/>
        </w:rPr>
      </w:pPr>
      <w:r>
        <w:rPr>
          <w:sz w:val="24"/>
        </w:rPr>
        <w:t>T</w:t>
      </w:r>
      <w:r w:rsidRPr="00415A07">
        <w:rPr>
          <w:sz w:val="24"/>
        </w:rPr>
        <w:t xml:space="preserve">he Housing Trust Fund (HTF) program </w:t>
      </w:r>
      <w:r>
        <w:rPr>
          <w:sz w:val="24"/>
        </w:rPr>
        <w:t xml:space="preserve">was </w:t>
      </w:r>
      <w:r w:rsidRPr="00415A07">
        <w:rPr>
          <w:sz w:val="24"/>
        </w:rPr>
        <w:t>es</w:t>
      </w:r>
      <w:r>
        <w:rPr>
          <w:sz w:val="24"/>
        </w:rPr>
        <w:t xml:space="preserve">tablished under section 1338 of </w:t>
      </w:r>
      <w:r w:rsidRPr="00415A07">
        <w:rPr>
          <w:sz w:val="24"/>
        </w:rPr>
        <w:t xml:space="preserve">the Federal Housing Enterprises Financial Safety and Soundness Act of 1992, as amended. In general, under the HTF program, </w:t>
      </w:r>
      <w:r w:rsidR="00FF6290">
        <w:rPr>
          <w:sz w:val="24"/>
        </w:rPr>
        <w:t xml:space="preserve">the U.S. </w:t>
      </w:r>
      <w:r w:rsidR="0099446E">
        <w:rPr>
          <w:sz w:val="24"/>
        </w:rPr>
        <w:t>Department of Housing and Urban Development (</w:t>
      </w:r>
      <w:r w:rsidRPr="00415A07">
        <w:rPr>
          <w:sz w:val="24"/>
        </w:rPr>
        <w:t>HUD</w:t>
      </w:r>
      <w:r w:rsidR="0099446E">
        <w:rPr>
          <w:sz w:val="24"/>
        </w:rPr>
        <w:t>)</w:t>
      </w:r>
      <w:r w:rsidRPr="00415A07">
        <w:rPr>
          <w:sz w:val="24"/>
        </w:rPr>
        <w:t xml:space="preserve"> allocates funds by formula to eligible </w:t>
      </w:r>
      <w:r w:rsidR="00D86827">
        <w:rPr>
          <w:sz w:val="24"/>
        </w:rPr>
        <w:t>s</w:t>
      </w:r>
      <w:r w:rsidRPr="00415A07">
        <w:rPr>
          <w:sz w:val="24"/>
        </w:rPr>
        <w:t>tates to increase and preserve the supply of decent, safe, sanitary, and affordable housing, with primary attention to rental housing for extremely low-income and very low-income households, including homeless families.</w:t>
      </w:r>
    </w:p>
    <w:p w14:paraId="482584EB" w14:textId="77777777" w:rsidR="00415A07" w:rsidRDefault="00415A07" w:rsidP="00595EE4">
      <w:pPr>
        <w:pStyle w:val="BodyTextIndent"/>
        <w:tabs>
          <w:tab w:val="clear" w:pos="360"/>
          <w:tab w:val="left" w:pos="0"/>
          <w:tab w:val="left" w:pos="720"/>
          <w:tab w:val="left" w:pos="1080"/>
        </w:tabs>
        <w:ind w:left="0" w:firstLine="0"/>
        <w:rPr>
          <w:sz w:val="24"/>
        </w:rPr>
      </w:pPr>
    </w:p>
    <w:p w14:paraId="019A97CC" w14:textId="3B36AEEE" w:rsidR="00595EE4" w:rsidRPr="00105854" w:rsidRDefault="00595EE4" w:rsidP="00595EE4">
      <w:pPr>
        <w:pStyle w:val="BodyTextIndent"/>
        <w:tabs>
          <w:tab w:val="clear" w:pos="360"/>
          <w:tab w:val="left" w:pos="0"/>
          <w:tab w:val="left" w:pos="720"/>
          <w:tab w:val="left" w:pos="1080"/>
        </w:tabs>
        <w:ind w:left="0" w:firstLine="0"/>
        <w:rPr>
          <w:sz w:val="24"/>
        </w:rPr>
      </w:pPr>
      <w:r w:rsidRPr="00105854">
        <w:rPr>
          <w:sz w:val="24"/>
        </w:rPr>
        <w:t>T</w:t>
      </w:r>
      <w:r w:rsidR="00415A07">
        <w:rPr>
          <w:sz w:val="24"/>
        </w:rPr>
        <w:t>he HTF</w:t>
      </w:r>
      <w:r w:rsidRPr="00105854">
        <w:rPr>
          <w:sz w:val="24"/>
        </w:rPr>
        <w:t xml:space="preserve"> statute imposes </w:t>
      </w:r>
      <w:r w:rsidR="002E6102" w:rsidRPr="00105854">
        <w:rPr>
          <w:sz w:val="24"/>
        </w:rPr>
        <w:t>many</w:t>
      </w:r>
      <w:r w:rsidRPr="00105854">
        <w:rPr>
          <w:sz w:val="24"/>
        </w:rPr>
        <w:t xml:space="preserve"> data collection and reporting requirements on the Department and on program participants.  Information on assisted properties as well as on the owners or tenants of the properties is needed to fulfill the statutory requirements.  This burden includes making the information available to HUD for monitoring the performance of the program participants and ensuring compliance with all program requirements.  </w:t>
      </w:r>
    </w:p>
    <w:p w14:paraId="22BE0FE1" w14:textId="77777777" w:rsidR="00595EE4" w:rsidRPr="00105854" w:rsidRDefault="00595EE4" w:rsidP="00595EE4">
      <w:pPr>
        <w:pStyle w:val="BodyTextIndent"/>
        <w:tabs>
          <w:tab w:val="clear" w:pos="360"/>
          <w:tab w:val="left" w:pos="0"/>
          <w:tab w:val="left" w:pos="720"/>
          <w:tab w:val="left" w:pos="1080"/>
        </w:tabs>
        <w:ind w:left="0" w:firstLine="0"/>
        <w:rPr>
          <w:sz w:val="24"/>
        </w:rPr>
      </w:pPr>
    </w:p>
    <w:p w14:paraId="29BEAE88" w14:textId="6A6EBC75" w:rsidR="00D73EE7" w:rsidRDefault="00595EE4" w:rsidP="00415A07">
      <w:pPr>
        <w:pStyle w:val="BodyTextIndent"/>
        <w:tabs>
          <w:tab w:val="clear" w:pos="360"/>
          <w:tab w:val="left" w:pos="0"/>
          <w:tab w:val="left" w:pos="720"/>
          <w:tab w:val="left" w:pos="1080"/>
        </w:tabs>
        <w:ind w:left="0" w:firstLine="0"/>
        <w:rPr>
          <w:sz w:val="24"/>
        </w:rPr>
      </w:pPr>
      <w:r w:rsidRPr="00105854">
        <w:rPr>
          <w:sz w:val="24"/>
        </w:rPr>
        <w:t>The data collection elements add</w:t>
      </w:r>
      <w:r w:rsidR="00415A07">
        <w:rPr>
          <w:sz w:val="24"/>
        </w:rPr>
        <w:t xml:space="preserve">ressed in this document are from </w:t>
      </w:r>
      <w:r w:rsidRPr="00105854">
        <w:rPr>
          <w:sz w:val="24"/>
        </w:rPr>
        <w:t>the H</w:t>
      </w:r>
      <w:r w:rsidR="00415A07">
        <w:rPr>
          <w:sz w:val="24"/>
        </w:rPr>
        <w:t>TF</w:t>
      </w:r>
      <w:r w:rsidRPr="00105854">
        <w:rPr>
          <w:sz w:val="24"/>
        </w:rPr>
        <w:t xml:space="preserve"> program regulations in 24 CFR part 9</w:t>
      </w:r>
      <w:r w:rsidR="00415A07">
        <w:rPr>
          <w:sz w:val="24"/>
        </w:rPr>
        <w:t>3</w:t>
      </w:r>
      <w:r w:rsidRPr="00105854">
        <w:rPr>
          <w:sz w:val="24"/>
        </w:rPr>
        <w:t xml:space="preserve">. </w:t>
      </w:r>
    </w:p>
    <w:p w14:paraId="43934BCE" w14:textId="77777777" w:rsidR="00C67E1F" w:rsidRPr="00105854" w:rsidRDefault="00C67E1F" w:rsidP="00595EE4">
      <w:pPr>
        <w:pStyle w:val="BodyTextIndent"/>
        <w:rPr>
          <w:sz w:val="24"/>
        </w:rPr>
      </w:pPr>
    </w:p>
    <w:p w14:paraId="04CFFFB2" w14:textId="77777777" w:rsidR="00D73EE7" w:rsidRDefault="00D73EE7" w:rsidP="005824D5">
      <w:pPr>
        <w:keepLines/>
        <w:tabs>
          <w:tab w:val="left" w:pos="360"/>
        </w:tabs>
        <w:ind w:left="360" w:hanging="360"/>
        <w:rPr>
          <w:color w:val="000000"/>
        </w:rPr>
      </w:pPr>
      <w:r w:rsidRPr="00105854">
        <w:rPr>
          <w:color w:val="000000"/>
        </w:rPr>
        <w:t>2.</w:t>
      </w:r>
      <w:r w:rsidRPr="00105854">
        <w:rPr>
          <w:color w:val="000000"/>
        </w:rPr>
        <w:tab/>
        <w:t>What information is to be collected?</w:t>
      </w:r>
    </w:p>
    <w:p w14:paraId="54DBE1D1" w14:textId="77777777" w:rsidR="00415A07" w:rsidRPr="00105854" w:rsidRDefault="00415A07" w:rsidP="005824D5">
      <w:pPr>
        <w:keepLines/>
        <w:tabs>
          <w:tab w:val="left" w:pos="360"/>
        </w:tabs>
        <w:ind w:left="360" w:hanging="360"/>
        <w:rPr>
          <w:color w:val="000000"/>
        </w:rPr>
      </w:pPr>
    </w:p>
    <w:p w14:paraId="3A910BAF" w14:textId="495173FF" w:rsidR="00595EE4" w:rsidRPr="00105854" w:rsidRDefault="00415A07" w:rsidP="005824D5">
      <w:pPr>
        <w:pStyle w:val="BodyTextIndent"/>
        <w:tabs>
          <w:tab w:val="clear" w:pos="360"/>
          <w:tab w:val="left" w:pos="0"/>
          <w:tab w:val="left" w:pos="720"/>
        </w:tabs>
        <w:spacing w:after="0"/>
        <w:ind w:left="0" w:firstLine="0"/>
        <w:rPr>
          <w:sz w:val="24"/>
        </w:rPr>
      </w:pPr>
      <w:r>
        <w:rPr>
          <w:sz w:val="24"/>
        </w:rPr>
        <w:t>HUD requires state grantees</w:t>
      </w:r>
      <w:r w:rsidR="00595EE4" w:rsidRPr="00105854">
        <w:rPr>
          <w:sz w:val="24"/>
        </w:rPr>
        <w:t xml:space="preserve"> to collect information on the </w:t>
      </w:r>
      <w:r>
        <w:rPr>
          <w:sz w:val="24"/>
        </w:rPr>
        <w:t xml:space="preserve">activities undertaken with HTF </w:t>
      </w:r>
      <w:r w:rsidR="00595EE4" w:rsidRPr="00105854">
        <w:rPr>
          <w:sz w:val="24"/>
        </w:rPr>
        <w:t xml:space="preserve">funds.  </w:t>
      </w:r>
    </w:p>
    <w:p w14:paraId="6979FF01" w14:textId="77777777" w:rsidR="00595EE4" w:rsidRPr="00105854" w:rsidRDefault="00595EE4" w:rsidP="00595EE4"/>
    <w:p w14:paraId="041E226C" w14:textId="2E7FD9E8" w:rsidR="00595EE4" w:rsidRDefault="00595EE4" w:rsidP="00595EE4">
      <w:r w:rsidRPr="00105854">
        <w:t>Section § 91.320</w:t>
      </w:r>
      <w:r w:rsidR="00216D79">
        <w:t>(k)(5)</w:t>
      </w:r>
      <w:r w:rsidRPr="00105854">
        <w:t xml:space="preserve"> requires </w:t>
      </w:r>
      <w:r w:rsidR="007018BB">
        <w:t xml:space="preserve">that if </w:t>
      </w:r>
      <w:r w:rsidRPr="00105854">
        <w:t xml:space="preserve">a </w:t>
      </w:r>
      <w:r w:rsidR="00A0772B">
        <w:t>grantee</w:t>
      </w:r>
      <w:r w:rsidRPr="00105854">
        <w:t xml:space="preserve"> </w:t>
      </w:r>
      <w:r w:rsidR="007018BB">
        <w:t xml:space="preserve">intends to use HTF funds for homebuyer assistance and does not use the HTF affordable homeownership limits for the area provided by HUD, it must </w:t>
      </w:r>
      <w:r w:rsidRPr="00105854">
        <w:t>include in its action plan its calculation of 95 percent of the median area purchase, in accordance with the criteria and formula provided in § 9</w:t>
      </w:r>
      <w:r w:rsidR="00562364">
        <w:t>3</w:t>
      </w:r>
      <w:r w:rsidRPr="00105854">
        <w:t>.</w:t>
      </w:r>
      <w:r w:rsidR="00562364">
        <w:t>305</w:t>
      </w:r>
      <w:r w:rsidRPr="00105854">
        <w:t>(a)(</w:t>
      </w:r>
      <w:r w:rsidR="007018BB">
        <w:t>2</w:t>
      </w:r>
      <w:r w:rsidRPr="00105854">
        <w:t>)</w:t>
      </w:r>
      <w:r w:rsidR="00725C80">
        <w:t xml:space="preserve">. </w:t>
      </w:r>
    </w:p>
    <w:p w14:paraId="46BCD273" w14:textId="77777777" w:rsidR="00725C80" w:rsidRPr="00105854" w:rsidRDefault="00725C80" w:rsidP="00595EE4"/>
    <w:p w14:paraId="131B4328" w14:textId="564222D8" w:rsidR="00595EE4" w:rsidRPr="00105854" w:rsidRDefault="00725C80" w:rsidP="00595EE4">
      <w:r>
        <w:t>Terminated projects are defined,</w:t>
      </w:r>
      <w:r w:rsidR="00595EE4" w:rsidRPr="00105854">
        <w:t xml:space="preserve"> at </w:t>
      </w:r>
      <w:r w:rsidRPr="00725C80">
        <w:t>§ 93.200(d)</w:t>
      </w:r>
      <w:r w:rsidR="00595EE4" w:rsidRPr="00105854">
        <w:t xml:space="preserve">, </w:t>
      </w:r>
      <w:r>
        <w:t>as</w:t>
      </w:r>
      <w:r w:rsidRPr="00725C80">
        <w:t xml:space="preserve"> HTF-assisted project that </w:t>
      </w:r>
      <w:r>
        <w:t>are</w:t>
      </w:r>
      <w:r w:rsidRPr="00725C80">
        <w:t xml:space="preserve"> terminated before completion, either volun</w:t>
      </w:r>
      <w:r>
        <w:t>tarily or otherwise. T</w:t>
      </w:r>
      <w:r w:rsidRPr="00725C80">
        <w:t>he grantee must repay any HTF funds invested in the project to its HTF account from which the funds were drawn (i.e., local or Treasury account), in accordance with § 93.403(b</w:t>
      </w:r>
      <w:r w:rsidR="00C45919" w:rsidRPr="00725C80">
        <w:t>).</w:t>
      </w:r>
      <w:r w:rsidR="00595EE4" w:rsidRPr="00105854">
        <w:t xml:space="preserve"> </w:t>
      </w:r>
    </w:p>
    <w:p w14:paraId="2AC88C98" w14:textId="77777777" w:rsidR="00595EE4" w:rsidRPr="00105854" w:rsidRDefault="00595EE4" w:rsidP="00595EE4"/>
    <w:p w14:paraId="6AC67304" w14:textId="5BE77B7F" w:rsidR="00595EE4" w:rsidRPr="00105854" w:rsidRDefault="00725C80" w:rsidP="00595EE4">
      <w:r>
        <w:t>Section § 93.304(m) requires the grantee</w:t>
      </w:r>
      <w:r w:rsidR="00595EE4" w:rsidRPr="00105854">
        <w:t xml:space="preserve"> have and follow written policies for underwriting standards for homeownership assistance, anti-predatory lending, and </w:t>
      </w:r>
      <w:r>
        <w:t xml:space="preserve">refinancing loans to which HTF </w:t>
      </w:r>
      <w:r w:rsidR="00595EE4" w:rsidRPr="00105854">
        <w:t xml:space="preserve">loans are subordinated to ensure that the terms of the new loan are reasonable. </w:t>
      </w:r>
    </w:p>
    <w:p w14:paraId="5A374B73" w14:textId="77777777" w:rsidR="00595EE4" w:rsidRPr="00105854" w:rsidRDefault="00595EE4" w:rsidP="00595EE4"/>
    <w:p w14:paraId="1656634E" w14:textId="1480EE7C" w:rsidR="00595EE4" w:rsidRPr="00105854" w:rsidRDefault="00725C80" w:rsidP="00595EE4">
      <w:r>
        <w:t>Section § 93</w:t>
      </w:r>
      <w:r w:rsidR="00595EE4" w:rsidRPr="00105854">
        <w:t>.35</w:t>
      </w:r>
      <w:r>
        <w:t>0</w:t>
      </w:r>
      <w:r w:rsidR="00595EE4" w:rsidRPr="00105854">
        <w:t xml:space="preserve"> requires documentatio</w:t>
      </w:r>
      <w:r w:rsidR="00A0772B">
        <w:t>n by grantees</w:t>
      </w:r>
      <w:r w:rsidR="0025479D" w:rsidRPr="00105854">
        <w:t xml:space="preserve"> that</w:t>
      </w:r>
      <w:r>
        <w:t xml:space="preserve"> HTF</w:t>
      </w:r>
      <w:r w:rsidR="00595EE4" w:rsidRPr="00105854">
        <w:t xml:space="preserve"> assisted rental housing must be affirmatively marketed </w:t>
      </w:r>
      <w:r w:rsidR="00F713EE">
        <w:t xml:space="preserve">by taking actions to provide information and otherwise attract eligible persons in the housing market area to the available housing without regard to race, color, national origin, sex, religion, familial status, or </w:t>
      </w:r>
      <w:r w:rsidR="00D731FC">
        <w:t>disability.</w:t>
      </w:r>
      <w:r w:rsidR="00595EE4" w:rsidRPr="00105854">
        <w:t xml:space="preserve"> </w:t>
      </w:r>
    </w:p>
    <w:p w14:paraId="0B2C69BA" w14:textId="77777777" w:rsidR="00595EE4" w:rsidRPr="00105854" w:rsidRDefault="00595EE4" w:rsidP="00595EE4"/>
    <w:p w14:paraId="41E0B580" w14:textId="5D7BA905" w:rsidR="00595EE4" w:rsidRPr="00105854" w:rsidRDefault="00595EE4" w:rsidP="00595EE4">
      <w:r w:rsidRPr="00105854">
        <w:t xml:space="preserve">Section </w:t>
      </w:r>
      <w:r w:rsidR="00725C80">
        <w:t xml:space="preserve">§ 93.300 establishes </w:t>
      </w:r>
      <w:r w:rsidRPr="00105854">
        <w:t xml:space="preserve">the requirements for </w:t>
      </w:r>
      <w:r w:rsidR="00C93D31">
        <w:t xml:space="preserve">maximum per-unit development subsidy amounts, </w:t>
      </w:r>
      <w:r w:rsidRPr="00105854">
        <w:t>subsidy layering</w:t>
      </w:r>
      <w:r w:rsidR="00C93D31">
        <w:t xml:space="preserve"> review standards</w:t>
      </w:r>
      <w:r w:rsidRPr="00105854">
        <w:t xml:space="preserve"> and underwriting</w:t>
      </w:r>
      <w:r w:rsidR="00C93D31">
        <w:t xml:space="preserve"> requirements</w:t>
      </w:r>
      <w:r w:rsidRPr="00105854">
        <w:t xml:space="preserve">. </w:t>
      </w:r>
    </w:p>
    <w:p w14:paraId="15CF3F32" w14:textId="77777777" w:rsidR="00595EE4" w:rsidRPr="00105854" w:rsidRDefault="00595EE4" w:rsidP="00595EE4"/>
    <w:p w14:paraId="11D77672" w14:textId="27C6E6B1" w:rsidR="00595EE4" w:rsidRDefault="002F087C" w:rsidP="00595EE4">
      <w:r>
        <w:t>L</w:t>
      </w:r>
      <w:r w:rsidRPr="00105854">
        <w:t xml:space="preserve">anguage </w:t>
      </w:r>
      <w:r>
        <w:t>at</w:t>
      </w:r>
      <w:r w:rsidRPr="00105854">
        <w:t xml:space="preserve"> </w:t>
      </w:r>
      <w:r>
        <w:t>§ 93.302</w:t>
      </w:r>
      <w:r w:rsidRPr="00105854">
        <w:t xml:space="preserve"> </w:t>
      </w:r>
      <w:r>
        <w:t xml:space="preserve">describes the </w:t>
      </w:r>
      <w:r w:rsidRPr="00DD3AE3">
        <w:t>qualification</w:t>
      </w:r>
      <w:r>
        <w:t>s</w:t>
      </w:r>
      <w:r w:rsidRPr="00DD3AE3">
        <w:t xml:space="preserve"> </w:t>
      </w:r>
      <w:r>
        <w:t xml:space="preserve">of </w:t>
      </w:r>
      <w:r w:rsidRPr="00DD3AE3">
        <w:t>affordable rental housing</w:t>
      </w:r>
      <w:r>
        <w:t>;</w:t>
      </w:r>
      <w:r w:rsidRPr="00DD3AE3">
        <w:t xml:space="preserve"> including tenant eligibility, rent limitations and utility allowance, periods of affordability, tenant income determination, onsite inspections, and financial oversight</w:t>
      </w:r>
      <w:r>
        <w:t xml:space="preserve">. </w:t>
      </w:r>
    </w:p>
    <w:p w14:paraId="148CEBF8" w14:textId="77777777" w:rsidR="00D86827" w:rsidRPr="00105854" w:rsidRDefault="00D86827" w:rsidP="00595EE4"/>
    <w:p w14:paraId="7B5C4BF5" w14:textId="21F42CBA" w:rsidR="00F75827" w:rsidRDefault="00466225" w:rsidP="00F75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Section </w:t>
      </w:r>
      <w:r w:rsidR="002E6102" w:rsidRPr="002E6102">
        <w:t>§</w:t>
      </w:r>
      <w:r w:rsidR="002E6102">
        <w:t xml:space="preserve"> </w:t>
      </w:r>
      <w:r>
        <w:t>93.404</w:t>
      </w:r>
      <w:r w:rsidR="00595EE4" w:rsidRPr="00105854">
        <w:t xml:space="preserve"> require</w:t>
      </w:r>
      <w:r>
        <w:t>s grantees</w:t>
      </w:r>
      <w:r w:rsidR="00595EE4" w:rsidRPr="00105854">
        <w:t xml:space="preserve"> to develop and follow written policies, procedures, and systems, including a system for assessing risk of activities and projects and a system for monitoring entities, to ensure that the requirements of </w:t>
      </w:r>
      <w:r w:rsidR="009F6370">
        <w:t>Part 93</w:t>
      </w:r>
      <w:r w:rsidR="00595EE4" w:rsidRPr="00105854">
        <w:t xml:space="preserve"> are met. While the existence of such written policies and procedures does not guarantee t</w:t>
      </w:r>
      <w:r>
        <w:t>hat a grantee</w:t>
      </w:r>
      <w:r w:rsidR="005824D5">
        <w:t>’</w:t>
      </w:r>
      <w:r>
        <w:t>s</w:t>
      </w:r>
      <w:r w:rsidR="00595EE4" w:rsidRPr="00105854">
        <w:t xml:space="preserve"> program will be compliant and efficient, HUD’s monitoring has shown that the absence of or failure to follow systemic program procedures for assessing risk and monitoring participating entities is strongly correlated with poor perform</w:t>
      </w:r>
      <w:r>
        <w:t>ance and noncompliance with HUD</w:t>
      </w:r>
      <w:r w:rsidR="00595EE4" w:rsidRPr="00105854">
        <w:t xml:space="preserve"> regulations. </w:t>
      </w:r>
    </w:p>
    <w:p w14:paraId="51D0993E" w14:textId="6DA6275D" w:rsidR="00F75827" w:rsidRDefault="00F75827" w:rsidP="00F75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F2967B2" w14:textId="377FA8A6" w:rsidR="00F75827" w:rsidRDefault="00EE3CEB" w:rsidP="00B85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SF-424 and </w:t>
      </w:r>
      <w:r w:rsidR="00454567">
        <w:rPr>
          <w:bCs/>
        </w:rPr>
        <w:t>SF-</w:t>
      </w:r>
      <w:r>
        <w:rPr>
          <w:bCs/>
        </w:rPr>
        <w:t xml:space="preserve">425: </w:t>
      </w:r>
      <w:r w:rsidR="001073F1" w:rsidRPr="003D69DA">
        <w:rPr>
          <w:bCs/>
        </w:rPr>
        <w:t xml:space="preserve">2 C.F.R. § 200.200 requires </w:t>
      </w:r>
      <w:r w:rsidR="003D69DA" w:rsidRPr="003D69DA">
        <w:rPr>
          <w:bCs/>
        </w:rPr>
        <w:t>“</w:t>
      </w:r>
      <w:r w:rsidR="00033B72" w:rsidRPr="003D69DA">
        <w:t xml:space="preserve">the Federal awarding agency must manage and administer the Federal award in a manner so as to ensure that Federal funding is expended and associated programs are implemented in full accordance with U.S. statutory and public policy requirements, including, but not limited to, those protecting public welfare, the environment, and prohibiting discrimination.  The Federal awarding agency must communicate to the non-federal entity all relevant public policy requirements, including those in general appropriations provisions, and incorporate them either directly or in the terms and conditions of the Federal award.”  </w:t>
      </w:r>
      <w:r w:rsidR="001F20DA" w:rsidRPr="00870D29">
        <w:t xml:space="preserve">HTF grantees are therefore required </w:t>
      </w:r>
      <w:r w:rsidR="003D69DA" w:rsidRPr="00EE3CEB">
        <w:t xml:space="preserve">to </w:t>
      </w:r>
      <w:r w:rsidR="003D69DA" w:rsidRPr="003D69DA">
        <w:rPr>
          <w:bCs/>
        </w:rPr>
        <w:t>submit</w:t>
      </w:r>
      <w:r w:rsidR="00033B72" w:rsidRPr="003D69DA">
        <w:rPr>
          <w:bCs/>
        </w:rPr>
        <w:t xml:space="preserve"> the entire SF-424 </w:t>
      </w:r>
      <w:r w:rsidR="005824D5">
        <w:rPr>
          <w:bCs/>
        </w:rPr>
        <w:t>f</w:t>
      </w:r>
      <w:r w:rsidR="00033B72" w:rsidRPr="003D69DA">
        <w:rPr>
          <w:bCs/>
        </w:rPr>
        <w:t>amily of f</w:t>
      </w:r>
      <w:r w:rsidR="005824D5">
        <w:rPr>
          <w:bCs/>
        </w:rPr>
        <w:t>orms</w:t>
      </w:r>
      <w:r w:rsidR="001F20DA" w:rsidRPr="003D69DA">
        <w:rPr>
          <w:bCs/>
        </w:rPr>
        <w:t xml:space="preserve"> as well as </w:t>
      </w:r>
      <w:r w:rsidR="005824D5">
        <w:rPr>
          <w:bCs/>
        </w:rPr>
        <w:t xml:space="preserve">the </w:t>
      </w:r>
      <w:r w:rsidR="001F20DA" w:rsidRPr="003D69DA">
        <w:rPr>
          <w:bCs/>
        </w:rPr>
        <w:t>SF-425</w:t>
      </w:r>
      <w:r w:rsidR="003D69DA" w:rsidRPr="003D69DA">
        <w:rPr>
          <w:bCs/>
        </w:rPr>
        <w:t xml:space="preserve"> on an annual basis</w:t>
      </w:r>
      <w:r w:rsidR="00907294" w:rsidRPr="003D69DA">
        <w:rPr>
          <w:bCs/>
        </w:rPr>
        <w:t xml:space="preserve">. </w:t>
      </w:r>
    </w:p>
    <w:p w14:paraId="3775C07F" w14:textId="77777777" w:rsidR="00B85DF7" w:rsidRDefault="00B85DF7" w:rsidP="00B85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E36E8F" w14:textId="72C5988C" w:rsidR="00811A14" w:rsidRDefault="000A56FB" w:rsidP="00595EE4">
      <w:r w:rsidRPr="009B5E5F">
        <w:t>HUD Form 27055</w:t>
      </w:r>
      <w:r>
        <w:rPr>
          <w:b/>
        </w:rPr>
        <w:t>:</w:t>
      </w:r>
      <w:r>
        <w:t xml:space="preserve"> </w:t>
      </w:r>
      <w:r w:rsidR="00870D29">
        <w:t xml:space="preserve">Public Law 97-255, Financial Integrity Act, 31 U.S.C. 3512, authorizes the Department of Housing and Urban Development (HUD) to collect information which will be used by HUD to protect disbursement data from fraudulent </w:t>
      </w:r>
      <w:r w:rsidR="00775F08">
        <w:t>actions. The</w:t>
      </w:r>
      <w:r w:rsidR="00870D29">
        <w:t xml:space="preserve"> purpose of the data is to safeguard the Integrated Disbursement and Information System (IDIS) from unauthorized access. This information will not be otherwise disclosed or released outside of HUD, except as permitted or required by law. </w:t>
      </w:r>
      <w:r w:rsidR="005824D5">
        <w:t>I</w:t>
      </w:r>
      <w:r w:rsidR="00870D29">
        <w:t xml:space="preserve">nformation requested on </w:t>
      </w:r>
      <w:r w:rsidR="00775F08">
        <w:t>HUD Form 27055</w:t>
      </w:r>
      <w:r w:rsidR="009B5E5F">
        <w:t xml:space="preserve"> is required</w:t>
      </w:r>
      <w:r w:rsidR="00870D29">
        <w:t xml:space="preserve"> for access to IDIS. Public Reporting burden for this information collection is estimated to average 30 minutes including time for collecting, reviewing, and reporting data. </w:t>
      </w:r>
    </w:p>
    <w:p w14:paraId="67EE0E39" w14:textId="77777777" w:rsidR="00811A14" w:rsidRPr="00105854" w:rsidRDefault="00811A14" w:rsidP="00595EE4"/>
    <w:p w14:paraId="56C1D8ED" w14:textId="10CDF061" w:rsidR="00D73EE7" w:rsidRDefault="00D73EE7" w:rsidP="005824D5">
      <w:pPr>
        <w:pStyle w:val="BodyTextIndent"/>
        <w:spacing w:after="0"/>
        <w:rPr>
          <w:sz w:val="24"/>
        </w:rPr>
      </w:pPr>
      <w:r w:rsidRPr="00105854">
        <w:rPr>
          <w:sz w:val="24"/>
        </w:rPr>
        <w:t>3.</w:t>
      </w:r>
      <w:r w:rsidRPr="00105854">
        <w:rPr>
          <w:sz w:val="24"/>
        </w:rPr>
        <w:tab/>
        <w:t xml:space="preserve">Is the information submitted electronically?  If not, why?  </w:t>
      </w:r>
    </w:p>
    <w:p w14:paraId="478B62AC" w14:textId="77777777" w:rsidR="005824D5" w:rsidRPr="00105854" w:rsidRDefault="005824D5" w:rsidP="005824D5">
      <w:pPr>
        <w:pStyle w:val="BodyTextIndent"/>
        <w:spacing w:after="0"/>
        <w:rPr>
          <w:sz w:val="24"/>
        </w:rPr>
      </w:pPr>
    </w:p>
    <w:p w14:paraId="65ABD88F" w14:textId="217A1D09" w:rsidR="00595EE4" w:rsidRDefault="00595EE4" w:rsidP="005824D5">
      <w:pPr>
        <w:pStyle w:val="BodyText"/>
        <w:tabs>
          <w:tab w:val="left" w:pos="0"/>
          <w:tab w:val="left" w:pos="720"/>
          <w:tab w:val="left" w:pos="840"/>
        </w:tabs>
        <w:spacing w:after="0"/>
        <w:rPr>
          <w:noProof/>
        </w:rPr>
      </w:pPr>
      <w:r w:rsidRPr="00105854">
        <w:t>T</w:t>
      </w:r>
      <w:r w:rsidR="00466225">
        <w:rPr>
          <w:noProof/>
        </w:rPr>
        <w:t>he collection of HTF program</w:t>
      </w:r>
      <w:r w:rsidRPr="00105854">
        <w:rPr>
          <w:noProof/>
        </w:rPr>
        <w:t xml:space="preserve"> information (collection of data on funds management, project and tenant characteristics, and owner data) has been automated by IDIS.  </w:t>
      </w:r>
      <w:r w:rsidR="00466225">
        <w:rPr>
          <w:noProof/>
        </w:rPr>
        <w:t>IDIS eliminates the need for grantees</w:t>
      </w:r>
      <w:r w:rsidRPr="00105854">
        <w:rPr>
          <w:noProof/>
        </w:rPr>
        <w:t xml:space="preserve"> to submit paper reports.  The submission of Acti</w:t>
      </w:r>
      <w:r w:rsidR="00466225">
        <w:rPr>
          <w:noProof/>
        </w:rPr>
        <w:t>on Plan related documents by grantees</w:t>
      </w:r>
      <w:r w:rsidRPr="00105854">
        <w:rPr>
          <w:noProof/>
        </w:rPr>
        <w:t xml:space="preserve"> to the Field Office is also automated.  All of the data elements of the IDIS systems and Consolidated Plan are required under Title II or related authorities.</w:t>
      </w:r>
    </w:p>
    <w:p w14:paraId="70470930" w14:textId="77777777" w:rsidR="005824D5" w:rsidRDefault="005824D5" w:rsidP="005824D5">
      <w:pPr>
        <w:keepLines/>
        <w:tabs>
          <w:tab w:val="left" w:pos="360"/>
        </w:tabs>
        <w:ind w:left="360" w:hanging="360"/>
        <w:rPr>
          <w:color w:val="000000"/>
        </w:rPr>
      </w:pPr>
    </w:p>
    <w:p w14:paraId="0C9FD3B9" w14:textId="0004D414" w:rsidR="00D73EE7" w:rsidRDefault="00D73EE7" w:rsidP="005824D5">
      <w:pPr>
        <w:keepLines/>
        <w:tabs>
          <w:tab w:val="left" w:pos="360"/>
        </w:tabs>
        <w:ind w:left="360" w:hanging="360"/>
        <w:rPr>
          <w:color w:val="000000"/>
        </w:rPr>
      </w:pPr>
      <w:r w:rsidRPr="00105854">
        <w:rPr>
          <w:color w:val="000000"/>
        </w:rPr>
        <w:t>4.</w:t>
      </w:r>
      <w:r w:rsidRPr="00105854">
        <w:rPr>
          <w:color w:val="000000"/>
        </w:rPr>
        <w:tab/>
        <w:t>Is this information collected elsewhere?  Review current information collection packages for potential consolidation.</w:t>
      </w:r>
    </w:p>
    <w:p w14:paraId="5448AE46" w14:textId="77777777" w:rsidR="005824D5" w:rsidRPr="00105854" w:rsidRDefault="005824D5" w:rsidP="005824D5">
      <w:pPr>
        <w:keepLines/>
        <w:tabs>
          <w:tab w:val="left" w:pos="360"/>
        </w:tabs>
        <w:ind w:left="360" w:hanging="360"/>
        <w:rPr>
          <w:color w:val="000000"/>
        </w:rPr>
      </w:pPr>
    </w:p>
    <w:p w14:paraId="6A8A17A7" w14:textId="609104BB" w:rsidR="00595EE4" w:rsidRPr="00105854" w:rsidRDefault="00595EE4" w:rsidP="005824D5">
      <w:pPr>
        <w:pStyle w:val="BodyText3"/>
        <w:tabs>
          <w:tab w:val="left" w:pos="840"/>
        </w:tabs>
        <w:overflowPunct w:val="0"/>
        <w:spacing w:after="0"/>
        <w:textAlignment w:val="baseline"/>
        <w:rPr>
          <w:b/>
          <w:sz w:val="24"/>
          <w:szCs w:val="24"/>
        </w:rPr>
      </w:pPr>
      <w:r w:rsidRPr="00105854">
        <w:rPr>
          <w:sz w:val="24"/>
          <w:szCs w:val="24"/>
        </w:rPr>
        <w:t>No similar information exists.  The information collected through IDIS is project-specific and</w:t>
      </w:r>
      <w:r w:rsidR="00466225">
        <w:rPr>
          <w:sz w:val="24"/>
          <w:szCs w:val="24"/>
        </w:rPr>
        <w:t>, therefore, unique to each grantee</w:t>
      </w:r>
      <w:r w:rsidR="002E6102">
        <w:rPr>
          <w:sz w:val="24"/>
          <w:szCs w:val="24"/>
        </w:rPr>
        <w:t>’</w:t>
      </w:r>
      <w:r w:rsidR="00466225">
        <w:rPr>
          <w:sz w:val="24"/>
          <w:szCs w:val="24"/>
        </w:rPr>
        <w:t>s HTF</w:t>
      </w:r>
      <w:r w:rsidRPr="00105854">
        <w:rPr>
          <w:sz w:val="24"/>
          <w:szCs w:val="24"/>
        </w:rPr>
        <w:t xml:space="preserve"> program.  Other recordkeeping requirements (e.g., property standards, written agreements, tenant protections) are project- or program-s</w:t>
      </w:r>
      <w:r w:rsidR="00466225">
        <w:rPr>
          <w:sz w:val="24"/>
          <w:szCs w:val="24"/>
        </w:rPr>
        <w:t>pecific and unique to local HTF</w:t>
      </w:r>
      <w:r w:rsidRPr="00105854">
        <w:rPr>
          <w:sz w:val="24"/>
          <w:szCs w:val="24"/>
        </w:rPr>
        <w:t xml:space="preserve"> programs.  Documentation relating to nondiscrimination, displacement and relocation and lead-based paint are unique to individual program designs and do not result in duplication of effort.</w:t>
      </w:r>
    </w:p>
    <w:p w14:paraId="4EBA4B64" w14:textId="77777777" w:rsidR="00D73EE7" w:rsidRPr="00105854" w:rsidRDefault="00D73EE7">
      <w:pPr>
        <w:tabs>
          <w:tab w:val="left" w:pos="360"/>
        </w:tabs>
        <w:ind w:left="360" w:hanging="360"/>
        <w:rPr>
          <w:color w:val="000000"/>
        </w:rPr>
      </w:pPr>
    </w:p>
    <w:p w14:paraId="5BEB207B" w14:textId="6DC46485" w:rsidR="00D73EE7" w:rsidRDefault="00D73EE7" w:rsidP="005824D5">
      <w:pPr>
        <w:keepLines/>
        <w:tabs>
          <w:tab w:val="left" w:pos="360"/>
        </w:tabs>
        <w:ind w:left="360" w:hanging="360"/>
        <w:rPr>
          <w:color w:val="000000"/>
        </w:rPr>
      </w:pPr>
      <w:r w:rsidRPr="00105854">
        <w:rPr>
          <w:color w:val="000000"/>
        </w:rPr>
        <w:lastRenderedPageBreak/>
        <w:t>5.</w:t>
      </w:r>
      <w:r w:rsidRPr="00105854">
        <w:rPr>
          <w:color w:val="000000"/>
        </w:rPr>
        <w:tab/>
        <w:t>Does the collection of information impact small businesses or other small entities (item 5 of OMB form 83-i)?  Describe any methods used to minimize burden.</w:t>
      </w:r>
    </w:p>
    <w:p w14:paraId="22512D3E" w14:textId="77777777" w:rsidR="005824D5" w:rsidRPr="00105854" w:rsidRDefault="005824D5" w:rsidP="005824D5">
      <w:pPr>
        <w:keepLines/>
        <w:tabs>
          <w:tab w:val="left" w:pos="360"/>
        </w:tabs>
        <w:ind w:left="360" w:hanging="360"/>
        <w:rPr>
          <w:color w:val="000000"/>
        </w:rPr>
      </w:pPr>
    </w:p>
    <w:p w14:paraId="11AAE23B" w14:textId="77777777" w:rsidR="000C72EF" w:rsidRPr="000C72EF" w:rsidRDefault="000C72EF" w:rsidP="000C72EF">
      <w:pPr>
        <w:rPr>
          <w:color w:val="000000"/>
        </w:rPr>
      </w:pPr>
      <w:bookmarkStart w:id="1" w:name="_Hlk5280868"/>
      <w:r w:rsidRPr="000C72EF">
        <w:rPr>
          <w:color w:val="000000"/>
        </w:rPr>
        <w:t xml:space="preserve">There is no burden to small businesses as grantees are exclusively states. To minimize burden on small states, states can use 10% of their allocation for administration costs. Because each grant is at least $3,000,000, that amounts to at least $300,000 per grantee for program administration. Additionally, grantees who administer the HTF program also administer the HOME Investment Partnerships program, which uses many of the same reporting requirements and the same information and funds disbursement system.  </w:t>
      </w:r>
    </w:p>
    <w:p w14:paraId="2F6F4AB6" w14:textId="77777777" w:rsidR="000C72EF" w:rsidRDefault="000C72EF" w:rsidP="00D34EAF">
      <w:pPr>
        <w:tabs>
          <w:tab w:val="left" w:pos="360"/>
        </w:tabs>
        <w:rPr>
          <w:color w:val="000000"/>
        </w:rPr>
      </w:pPr>
    </w:p>
    <w:bookmarkEnd w:id="1"/>
    <w:p w14:paraId="6C83EC85" w14:textId="64D7FD17" w:rsidR="00D73EE7" w:rsidRPr="00105854" w:rsidRDefault="00D73EE7" w:rsidP="00E02B4A">
      <w:pPr>
        <w:pStyle w:val="BodyTextIndent"/>
      </w:pPr>
      <w:r w:rsidRPr="00105854">
        <w:rPr>
          <w:sz w:val="24"/>
        </w:rPr>
        <w:t>6.</w:t>
      </w:r>
      <w:r w:rsidRPr="00105854">
        <w:rPr>
          <w:sz w:val="24"/>
        </w:rPr>
        <w:tab/>
      </w:r>
      <w:r w:rsidRPr="00E02B4A">
        <w:rPr>
          <w:sz w:val="24"/>
        </w:rPr>
        <w:t>Why can’t the information be collected less frequently – or not at all?  Describe the consequence to Federal program or policy activities if the collection is not conducted or is conducted less frequently, as well as any technical or legal obstacles to reducing burden.</w:t>
      </w:r>
    </w:p>
    <w:p w14:paraId="1C1598B0" w14:textId="77777777" w:rsidR="00D73EE7" w:rsidRPr="00105854" w:rsidRDefault="00D73EE7">
      <w:pPr>
        <w:tabs>
          <w:tab w:val="left" w:pos="360"/>
        </w:tabs>
        <w:ind w:left="360" w:hanging="360"/>
        <w:rPr>
          <w:color w:val="000000"/>
        </w:rPr>
      </w:pPr>
    </w:p>
    <w:p w14:paraId="038F60D9" w14:textId="0C364E90" w:rsidR="00595EE4" w:rsidRPr="00A43649" w:rsidRDefault="00595EE4" w:rsidP="005824D5">
      <w:pPr>
        <w:pStyle w:val="BodyText3"/>
        <w:tabs>
          <w:tab w:val="left" w:pos="840"/>
        </w:tabs>
        <w:overflowPunct w:val="0"/>
        <w:spacing w:after="0"/>
        <w:textAlignment w:val="baseline"/>
        <w:rPr>
          <w:sz w:val="24"/>
          <w:szCs w:val="24"/>
        </w:rPr>
      </w:pPr>
      <w:r w:rsidRPr="00105854">
        <w:rPr>
          <w:sz w:val="24"/>
          <w:szCs w:val="24"/>
        </w:rPr>
        <w:t>The information is collected on a projec</w:t>
      </w:r>
      <w:r w:rsidR="00466225">
        <w:rPr>
          <w:sz w:val="24"/>
          <w:szCs w:val="24"/>
        </w:rPr>
        <w:t xml:space="preserve">t-by-project basis to permit grantees to draw down HTF </w:t>
      </w:r>
      <w:r w:rsidRPr="00105854">
        <w:rPr>
          <w:sz w:val="24"/>
          <w:szCs w:val="24"/>
        </w:rPr>
        <w:t>funds from the U.S. Treasury</w:t>
      </w:r>
      <w:r w:rsidR="00C54353">
        <w:rPr>
          <w:sz w:val="24"/>
          <w:szCs w:val="24"/>
        </w:rPr>
        <w:t xml:space="preserve"> in accordance to the HTF statute. </w:t>
      </w:r>
      <w:r w:rsidRPr="00105854">
        <w:rPr>
          <w:sz w:val="24"/>
          <w:szCs w:val="24"/>
        </w:rPr>
        <w:t xml:space="preserve"> </w:t>
      </w:r>
      <w:r w:rsidR="00C54353">
        <w:rPr>
          <w:sz w:val="24"/>
          <w:szCs w:val="24"/>
        </w:rPr>
        <w:t>Additional, data collected will be used</w:t>
      </w:r>
      <w:r w:rsidRPr="00105854">
        <w:rPr>
          <w:sz w:val="24"/>
          <w:szCs w:val="24"/>
        </w:rPr>
        <w:t xml:space="preserve"> to ensure that H</w:t>
      </w:r>
      <w:r w:rsidR="00466225">
        <w:rPr>
          <w:sz w:val="24"/>
          <w:szCs w:val="24"/>
        </w:rPr>
        <w:t>TF</w:t>
      </w:r>
      <w:r w:rsidRPr="00105854">
        <w:rPr>
          <w:sz w:val="24"/>
          <w:szCs w:val="24"/>
        </w:rPr>
        <w:t xml:space="preserve"> funds are used for eligible purposes</w:t>
      </w:r>
      <w:r w:rsidR="00C54353">
        <w:rPr>
          <w:sz w:val="24"/>
          <w:szCs w:val="24"/>
        </w:rPr>
        <w:t xml:space="preserve"> and comply with the HTF regulations.</w:t>
      </w:r>
      <w:r w:rsidRPr="00105854">
        <w:rPr>
          <w:sz w:val="24"/>
          <w:szCs w:val="24"/>
        </w:rPr>
        <w:t xml:space="preserve"> </w:t>
      </w:r>
      <w:r w:rsidR="00F20A9A">
        <w:rPr>
          <w:sz w:val="24"/>
          <w:szCs w:val="24"/>
        </w:rPr>
        <w:t xml:space="preserve">If the data is collected less frequently, HUD and the grantees will be potentially in violation of HTF statute and/or </w:t>
      </w:r>
      <w:r w:rsidR="00F20A9A" w:rsidRPr="00F20A9A">
        <w:rPr>
          <w:sz w:val="24"/>
          <w:szCs w:val="24"/>
        </w:rPr>
        <w:t xml:space="preserve">2 C.F.R. Part 200, the Uniform Administrative Requirements, </w:t>
      </w:r>
      <w:r w:rsidR="00F20A9A" w:rsidRPr="00A43649">
        <w:rPr>
          <w:sz w:val="24"/>
          <w:szCs w:val="24"/>
        </w:rPr>
        <w:t xml:space="preserve">Cost Principles, and Audit Requirements for Federal Awards. </w:t>
      </w:r>
    </w:p>
    <w:p w14:paraId="1D4E9433" w14:textId="77777777" w:rsidR="005824D5" w:rsidRPr="00A43649" w:rsidRDefault="005824D5" w:rsidP="005824D5">
      <w:pPr>
        <w:tabs>
          <w:tab w:val="left" w:pos="360"/>
        </w:tabs>
        <w:rPr>
          <w:color w:val="000000"/>
        </w:rPr>
      </w:pPr>
    </w:p>
    <w:p w14:paraId="2E830E32" w14:textId="0CC9304C" w:rsidR="00D73EE7" w:rsidRPr="00A43649" w:rsidRDefault="00D73EE7">
      <w:pPr>
        <w:tabs>
          <w:tab w:val="left" w:pos="360"/>
        </w:tabs>
        <w:rPr>
          <w:color w:val="000000"/>
        </w:rPr>
      </w:pPr>
      <w:r w:rsidRPr="00A43649">
        <w:rPr>
          <w:color w:val="000000"/>
        </w:rPr>
        <w:t>7.</w:t>
      </w:r>
      <w:r w:rsidRPr="00A43649">
        <w:rPr>
          <w:b/>
          <w:bCs/>
          <w:color w:val="000000"/>
        </w:rPr>
        <w:tab/>
      </w:r>
      <w:r w:rsidRPr="00A43649">
        <w:rPr>
          <w:color w:val="000000"/>
        </w:rPr>
        <w:t xml:space="preserve">Explain any special circumstances requiring: </w:t>
      </w:r>
    </w:p>
    <w:p w14:paraId="74C451D4" w14:textId="77777777" w:rsidR="00D73EE7" w:rsidRPr="00A43649" w:rsidRDefault="00D73EE7">
      <w:pPr>
        <w:tabs>
          <w:tab w:val="left" w:pos="360"/>
        </w:tabs>
        <w:ind w:left="360" w:hanging="360"/>
        <w:rPr>
          <w:color w:val="000000"/>
        </w:rPr>
      </w:pPr>
    </w:p>
    <w:p w14:paraId="2A841EAA" w14:textId="77777777" w:rsidR="00D1735E" w:rsidRPr="00A43649" w:rsidRDefault="00D1735E" w:rsidP="00D1735E">
      <w:pPr>
        <w:numPr>
          <w:ilvl w:val="0"/>
          <w:numId w:val="1"/>
        </w:numPr>
        <w:tabs>
          <w:tab w:val="left" w:pos="600"/>
        </w:tabs>
        <w:ind w:left="144"/>
        <w:rPr>
          <w:color w:val="000000"/>
        </w:rPr>
      </w:pPr>
      <w:r w:rsidRPr="00A43649">
        <w:rPr>
          <w:color w:val="000000"/>
        </w:rPr>
        <w:t>response more than quarterly; N/A</w:t>
      </w:r>
    </w:p>
    <w:p w14:paraId="299921EC" w14:textId="77777777" w:rsidR="00D1735E" w:rsidRPr="00A43649" w:rsidRDefault="00D1735E" w:rsidP="00D1735E">
      <w:pPr>
        <w:numPr>
          <w:ilvl w:val="0"/>
          <w:numId w:val="1"/>
        </w:numPr>
        <w:tabs>
          <w:tab w:val="left" w:pos="600"/>
        </w:tabs>
        <w:ind w:left="144"/>
        <w:rPr>
          <w:color w:val="000000"/>
        </w:rPr>
      </w:pPr>
      <w:r w:rsidRPr="00A43649">
        <w:rPr>
          <w:color w:val="000000"/>
        </w:rPr>
        <w:t>response in fewer than 30 days; N/A</w:t>
      </w:r>
    </w:p>
    <w:p w14:paraId="72B71D1E" w14:textId="77777777" w:rsidR="00D1735E" w:rsidRPr="00A43649" w:rsidRDefault="00D1735E" w:rsidP="00D1735E">
      <w:pPr>
        <w:numPr>
          <w:ilvl w:val="0"/>
          <w:numId w:val="1"/>
        </w:numPr>
        <w:tabs>
          <w:tab w:val="left" w:pos="600"/>
        </w:tabs>
        <w:ind w:left="144"/>
        <w:rPr>
          <w:color w:val="000000"/>
        </w:rPr>
      </w:pPr>
      <w:r w:rsidRPr="00A43649">
        <w:rPr>
          <w:color w:val="000000"/>
        </w:rPr>
        <w:t>more than an original and two copies of any document; N/A</w:t>
      </w:r>
    </w:p>
    <w:p w14:paraId="75E5058D" w14:textId="77777777" w:rsidR="00D1735E" w:rsidRPr="00A43649" w:rsidRDefault="00D1735E" w:rsidP="00D1735E">
      <w:pPr>
        <w:numPr>
          <w:ilvl w:val="0"/>
          <w:numId w:val="1"/>
        </w:numPr>
        <w:tabs>
          <w:tab w:val="left" w:pos="600"/>
        </w:tabs>
        <w:ind w:left="144"/>
        <w:rPr>
          <w:color w:val="000000"/>
        </w:rPr>
      </w:pPr>
      <w:r w:rsidRPr="00A43649">
        <w:rPr>
          <w:color w:val="000000"/>
        </w:rPr>
        <w:t xml:space="preserve">retain records for more than three years </w:t>
      </w:r>
      <w:r w:rsidRPr="00A43649">
        <w:rPr>
          <w:i/>
          <w:iCs/>
          <w:color w:val="000000"/>
        </w:rPr>
        <w:t>(other than health, medical, government contract, grant-in-aid, or tax records)</w:t>
      </w:r>
      <w:r w:rsidRPr="00A43649">
        <w:rPr>
          <w:color w:val="000000"/>
        </w:rPr>
        <w:t>; N/A</w:t>
      </w:r>
    </w:p>
    <w:p w14:paraId="6E12E396" w14:textId="77777777" w:rsidR="00D1735E" w:rsidRPr="00A43649" w:rsidRDefault="00D1735E" w:rsidP="00D1735E">
      <w:pPr>
        <w:numPr>
          <w:ilvl w:val="0"/>
          <w:numId w:val="1"/>
        </w:numPr>
        <w:tabs>
          <w:tab w:val="left" w:pos="600"/>
        </w:tabs>
        <w:ind w:left="144"/>
        <w:rPr>
          <w:color w:val="000000"/>
        </w:rPr>
      </w:pPr>
      <w:r w:rsidRPr="00A43649">
        <w:rPr>
          <w:color w:val="000000"/>
        </w:rPr>
        <w:t>statistical surveys not designed to produce results than can be generalized to the universe of study; N/A</w:t>
      </w:r>
    </w:p>
    <w:p w14:paraId="65B1EAF3" w14:textId="77777777" w:rsidR="00D1735E" w:rsidRPr="00A43649" w:rsidRDefault="00D1735E" w:rsidP="00D1735E">
      <w:pPr>
        <w:numPr>
          <w:ilvl w:val="0"/>
          <w:numId w:val="1"/>
        </w:numPr>
        <w:tabs>
          <w:tab w:val="left" w:pos="600"/>
        </w:tabs>
        <w:ind w:left="144"/>
        <w:rPr>
          <w:color w:val="000000"/>
        </w:rPr>
      </w:pPr>
      <w:r w:rsidRPr="00A43649">
        <w:rPr>
          <w:color w:val="000000"/>
        </w:rPr>
        <w:t>statistical data classification not been approved by OMB; N/A</w:t>
      </w:r>
    </w:p>
    <w:p w14:paraId="758F570C" w14:textId="77777777" w:rsidR="00D1735E" w:rsidRPr="00A43649" w:rsidRDefault="00D1735E" w:rsidP="00D1735E">
      <w:pPr>
        <w:numPr>
          <w:ilvl w:val="0"/>
          <w:numId w:val="1"/>
        </w:numPr>
        <w:tabs>
          <w:tab w:val="left" w:pos="600"/>
        </w:tabs>
        <w:ind w:left="144"/>
        <w:rPr>
          <w:color w:val="000000"/>
        </w:rPr>
      </w:pPr>
      <w:r w:rsidRPr="00A43649">
        <w:rPr>
          <w:color w:val="000000"/>
        </w:rPr>
        <w:t xml:space="preserve">a pledge of confidentiality that is not supported by statute or regulation, that is not supported by disclosure and data security policies that are consistent with the pledge, or which unnecessarily impedes sharing of data with other agencies for compatible confidential use; N/A </w:t>
      </w:r>
    </w:p>
    <w:p w14:paraId="170B6158" w14:textId="77777777" w:rsidR="00D1735E" w:rsidRPr="00A43649" w:rsidRDefault="00D1735E" w:rsidP="00D1735E">
      <w:pPr>
        <w:numPr>
          <w:ilvl w:val="0"/>
          <w:numId w:val="1"/>
        </w:numPr>
        <w:tabs>
          <w:tab w:val="left" w:pos="600"/>
        </w:tabs>
        <w:ind w:left="144"/>
        <w:rPr>
          <w:color w:val="000000"/>
        </w:rPr>
      </w:pPr>
      <w:r w:rsidRPr="00A43649">
        <w:rPr>
          <w:color w:val="000000"/>
        </w:rPr>
        <w:t>respondents to submit proprietary trade secret, or other confidential information: N/A</w:t>
      </w:r>
    </w:p>
    <w:p w14:paraId="2AA23BB8" w14:textId="77777777" w:rsidR="00595EE4" w:rsidRPr="00A43649" w:rsidRDefault="00595EE4">
      <w:pPr>
        <w:tabs>
          <w:tab w:val="left" w:pos="360"/>
        </w:tabs>
        <w:ind w:left="360" w:hanging="360"/>
        <w:rPr>
          <w:color w:val="000000"/>
        </w:rPr>
      </w:pPr>
    </w:p>
    <w:p w14:paraId="2CD9D803" w14:textId="77777777" w:rsidR="00C67E1F" w:rsidRPr="00A43649" w:rsidRDefault="00D73EE7" w:rsidP="00C67E1F">
      <w:pPr>
        <w:keepLines/>
        <w:tabs>
          <w:tab w:val="left" w:pos="360"/>
        </w:tabs>
        <w:ind w:left="360" w:hanging="360"/>
        <w:rPr>
          <w:color w:val="000000"/>
        </w:rPr>
      </w:pPr>
      <w:r w:rsidRPr="00A43649">
        <w:rPr>
          <w:color w:val="000000"/>
        </w:rPr>
        <w:t>8.</w:t>
      </w:r>
      <w:r w:rsidRPr="00A43649">
        <w:rPr>
          <w:color w:val="000000"/>
        </w:rPr>
        <w:tab/>
        <w:t xml:space="preserve">Date and page number of the </w:t>
      </w:r>
      <w:r w:rsidRPr="00A43649">
        <w:rPr>
          <w:i/>
          <w:iCs/>
          <w:color w:val="000000"/>
        </w:rPr>
        <w:t>Federal Register</w:t>
      </w:r>
      <w:r w:rsidRPr="00A43649">
        <w:rPr>
          <w:color w:val="000000"/>
        </w:rPr>
        <w:t xml:space="preserve"> notice (provide a copy) soliciting comments and public input</w:t>
      </w:r>
      <w:r w:rsidR="00687842" w:rsidRPr="00A43649">
        <w:rPr>
          <w:color w:val="000000"/>
        </w:rPr>
        <w:t>.</w:t>
      </w:r>
      <w:r w:rsidRPr="00A43649">
        <w:rPr>
          <w:color w:val="000000"/>
        </w:rPr>
        <w:t xml:space="preserve">  Summarize any public comments and describe response to comments.  </w:t>
      </w:r>
    </w:p>
    <w:p w14:paraId="1B28F7A3" w14:textId="626D9F20" w:rsidR="00D73EE7" w:rsidRPr="00A43649" w:rsidRDefault="005E72A9">
      <w:pPr>
        <w:keepLines/>
        <w:tabs>
          <w:tab w:val="left" w:pos="360"/>
        </w:tabs>
        <w:spacing w:after="80"/>
        <w:ind w:left="360" w:hanging="360"/>
        <w:rPr>
          <w:color w:val="000000"/>
        </w:rPr>
      </w:pPr>
      <w:r w:rsidRPr="00A43649">
        <w:rPr>
          <w:color w:val="000000"/>
        </w:rPr>
        <w:tab/>
      </w:r>
      <w:r w:rsidR="00D73EE7" w:rsidRPr="00A43649">
        <w:rPr>
          <w:color w:val="000000"/>
        </w:rPr>
        <w:t xml:space="preserve">Describe all efforts to consult with persons outside the agency to obtain their input. </w:t>
      </w:r>
    </w:p>
    <w:p w14:paraId="0DB0E416" w14:textId="77777777" w:rsidR="00D73EE7" w:rsidRPr="00A43649" w:rsidRDefault="00D73EE7" w:rsidP="00DC20CD">
      <w:pPr>
        <w:tabs>
          <w:tab w:val="left" w:pos="360"/>
        </w:tabs>
        <w:ind w:left="360" w:hanging="360"/>
        <w:rPr>
          <w:color w:val="000000"/>
        </w:rPr>
      </w:pPr>
    </w:p>
    <w:p w14:paraId="562AD87D" w14:textId="442C6F6F" w:rsidR="00D1735E" w:rsidRPr="00CB55AA" w:rsidRDefault="00DE6EED" w:rsidP="00CB55AA">
      <w:pPr>
        <w:rPr>
          <w:rFonts w:eastAsia="Calibri"/>
        </w:rPr>
      </w:pPr>
      <w:r w:rsidRPr="00CB55AA">
        <w:rPr>
          <w:rFonts w:eastAsia="Calibri"/>
        </w:rPr>
        <w:t>This information collection was announced in the Federal Register,</w:t>
      </w:r>
      <w:r w:rsidR="00CE3031" w:rsidRPr="00CB55AA">
        <w:rPr>
          <w:rFonts w:eastAsia="Calibri"/>
        </w:rPr>
        <w:t xml:space="preserve"> Volume </w:t>
      </w:r>
      <w:r w:rsidR="00172622">
        <w:rPr>
          <w:rFonts w:eastAsia="Calibri"/>
        </w:rPr>
        <w:t xml:space="preserve">83 </w:t>
      </w:r>
      <w:r w:rsidR="00CB55AA" w:rsidRPr="00CB55AA">
        <w:rPr>
          <w:rFonts w:eastAsia="Calibri"/>
        </w:rPr>
        <w:t xml:space="preserve">Number </w:t>
      </w:r>
      <w:r w:rsidR="00172622">
        <w:rPr>
          <w:rFonts w:eastAsia="Calibri"/>
        </w:rPr>
        <w:t>129</w:t>
      </w:r>
      <w:r w:rsidR="00CB55AA" w:rsidRPr="00CB55AA">
        <w:rPr>
          <w:rFonts w:eastAsia="Calibri"/>
        </w:rPr>
        <w:t xml:space="preserve">; </w:t>
      </w:r>
      <w:r w:rsidR="00172622">
        <w:rPr>
          <w:rFonts w:eastAsia="Calibri"/>
        </w:rPr>
        <w:t>page, 31413</w:t>
      </w:r>
      <w:r w:rsidRPr="00CB55AA">
        <w:rPr>
          <w:rFonts w:eastAsia="Calibri"/>
        </w:rPr>
        <w:t xml:space="preserve"> </w:t>
      </w:r>
      <w:r w:rsidR="00172622">
        <w:rPr>
          <w:rFonts w:eastAsia="Calibri"/>
        </w:rPr>
        <w:t>on July 5, 2018</w:t>
      </w:r>
      <w:r w:rsidRPr="00CB55AA">
        <w:rPr>
          <w:rFonts w:eastAsia="Calibri"/>
        </w:rPr>
        <w:t>.</w:t>
      </w:r>
      <w:r w:rsidR="00172622">
        <w:rPr>
          <w:rFonts w:eastAsia="Calibri"/>
        </w:rPr>
        <w:t xml:space="preserve"> No comments have been received. </w:t>
      </w:r>
      <w:r w:rsidRPr="00CB55AA">
        <w:rPr>
          <w:rFonts w:eastAsia="Calibri"/>
        </w:rPr>
        <w:t xml:space="preserve"> </w:t>
      </w:r>
    </w:p>
    <w:p w14:paraId="44C00B9A" w14:textId="77777777" w:rsidR="00DE6EED" w:rsidRPr="00CB55AA" w:rsidRDefault="00DE6EED" w:rsidP="00CB55AA"/>
    <w:p w14:paraId="1689E4C5" w14:textId="77777777" w:rsidR="00D73EE7" w:rsidRPr="00105854" w:rsidRDefault="00D73EE7">
      <w:pPr>
        <w:keepLines/>
        <w:tabs>
          <w:tab w:val="left" w:pos="360"/>
        </w:tabs>
        <w:spacing w:after="80"/>
        <w:ind w:left="360" w:hanging="360"/>
        <w:rPr>
          <w:color w:val="000000"/>
        </w:rPr>
      </w:pPr>
      <w:r w:rsidRPr="00105854">
        <w:rPr>
          <w:color w:val="000000"/>
        </w:rPr>
        <w:t>9.</w:t>
      </w:r>
      <w:r w:rsidRPr="00105854">
        <w:rPr>
          <w:color w:val="000000"/>
        </w:rPr>
        <w:tab/>
        <w:t>Explain any payments or gifts to respondents, other than remuneration of contractors or grantees.</w:t>
      </w:r>
    </w:p>
    <w:p w14:paraId="431A1A88" w14:textId="77777777" w:rsidR="00D73EE7" w:rsidRPr="00105854" w:rsidRDefault="00D73EE7">
      <w:pPr>
        <w:tabs>
          <w:tab w:val="left" w:pos="360"/>
        </w:tabs>
        <w:ind w:left="360" w:hanging="360"/>
        <w:rPr>
          <w:color w:val="000000"/>
        </w:rPr>
      </w:pPr>
    </w:p>
    <w:p w14:paraId="5B789963" w14:textId="77777777" w:rsidR="00F05084" w:rsidRPr="00105854" w:rsidRDefault="00F05084">
      <w:pPr>
        <w:tabs>
          <w:tab w:val="left" w:pos="360"/>
        </w:tabs>
        <w:ind w:left="360" w:hanging="360"/>
        <w:rPr>
          <w:color w:val="000000"/>
        </w:rPr>
      </w:pPr>
      <w:r w:rsidRPr="00105854">
        <w:rPr>
          <w:color w:val="000000"/>
        </w:rPr>
        <w:t xml:space="preserve">There have been no gifts or payments in association with this program </w:t>
      </w:r>
    </w:p>
    <w:p w14:paraId="5F2F0C1A" w14:textId="77777777" w:rsidR="005E72A9" w:rsidRDefault="005E72A9" w:rsidP="005824D5">
      <w:pPr>
        <w:keepLines/>
        <w:tabs>
          <w:tab w:val="left" w:pos="360"/>
        </w:tabs>
        <w:ind w:left="360" w:hanging="360"/>
        <w:rPr>
          <w:color w:val="000000"/>
        </w:rPr>
      </w:pPr>
    </w:p>
    <w:p w14:paraId="33BC670B" w14:textId="77777777" w:rsidR="005E72A9" w:rsidRDefault="00D73EE7" w:rsidP="005E72A9">
      <w:pPr>
        <w:keepLines/>
        <w:tabs>
          <w:tab w:val="left" w:pos="360"/>
        </w:tabs>
        <w:ind w:left="360" w:hanging="360"/>
        <w:rPr>
          <w:color w:val="000000"/>
        </w:rPr>
      </w:pPr>
      <w:r w:rsidRPr="00105854">
        <w:rPr>
          <w:color w:val="000000"/>
        </w:rPr>
        <w:t>10.</w:t>
      </w:r>
      <w:r w:rsidRPr="00105854">
        <w:rPr>
          <w:color w:val="000000"/>
        </w:rPr>
        <w:tab/>
        <w:t>Describe any assurance of confidentiality provided to respondents and the basis for assurance in statute, regulation or agency policy.</w:t>
      </w:r>
    </w:p>
    <w:p w14:paraId="274B5985" w14:textId="77777777" w:rsidR="005E72A9" w:rsidRDefault="005E72A9" w:rsidP="005E72A9">
      <w:pPr>
        <w:keepLines/>
        <w:tabs>
          <w:tab w:val="left" w:pos="360"/>
        </w:tabs>
        <w:ind w:left="360" w:hanging="360"/>
        <w:rPr>
          <w:color w:val="000000"/>
        </w:rPr>
      </w:pPr>
    </w:p>
    <w:p w14:paraId="1093E9F1" w14:textId="5DC9F1BA" w:rsidR="005824D5" w:rsidRDefault="002B3E51" w:rsidP="005E72A9">
      <w:pPr>
        <w:keepLines/>
        <w:tabs>
          <w:tab w:val="left" w:pos="90"/>
        </w:tabs>
      </w:pPr>
      <w:r w:rsidRPr="002B3E51">
        <w:t>We assure confidentiality to respondents in accordance with the Freedom of Information Act (FOIA), 5 U.S.C.§.  The Privacy Threshold Analysis (PTA) for this collection has been approved by the Privacy Branch</w:t>
      </w:r>
      <w:r w:rsidR="005E72A9">
        <w:t>.</w:t>
      </w:r>
    </w:p>
    <w:p w14:paraId="682F5B3E" w14:textId="7BCC4CAF" w:rsidR="005E72A9" w:rsidRDefault="005E72A9" w:rsidP="005824D5">
      <w:pPr>
        <w:pStyle w:val="BodyText"/>
        <w:keepNext/>
        <w:tabs>
          <w:tab w:val="left" w:pos="0"/>
          <w:tab w:val="left" w:pos="720"/>
          <w:tab w:val="left" w:pos="840"/>
        </w:tabs>
        <w:spacing w:after="0"/>
      </w:pPr>
    </w:p>
    <w:p w14:paraId="67A6DCBE" w14:textId="77777777" w:rsidR="005E72A9" w:rsidRDefault="005E72A9" w:rsidP="005824D5">
      <w:pPr>
        <w:pStyle w:val="BodyText"/>
        <w:keepNext/>
        <w:tabs>
          <w:tab w:val="left" w:pos="0"/>
          <w:tab w:val="left" w:pos="720"/>
          <w:tab w:val="left" w:pos="840"/>
        </w:tabs>
        <w:spacing w:after="0"/>
      </w:pPr>
    </w:p>
    <w:p w14:paraId="2E6F2759" w14:textId="3FD5394E" w:rsidR="00D73EE7" w:rsidRPr="00105854" w:rsidRDefault="00D73EE7">
      <w:pPr>
        <w:keepLines/>
        <w:tabs>
          <w:tab w:val="left" w:pos="360"/>
          <w:tab w:val="left" w:pos="720"/>
        </w:tabs>
        <w:ind w:left="360" w:hanging="360"/>
        <w:rPr>
          <w:color w:val="000000"/>
        </w:rPr>
      </w:pPr>
      <w:r w:rsidRPr="00105854">
        <w:rPr>
          <w:color w:val="000000"/>
        </w:rPr>
        <w:t>11.</w:t>
      </w:r>
      <w:r w:rsidRPr="00105854">
        <w:rPr>
          <w:color w:val="000000"/>
        </w:rPr>
        <w:tab/>
        <w:t>Justify any questions of a sensitive nature, such as sexual, religious beliefs, and other matters that are commonly considered private</w:t>
      </w:r>
    </w:p>
    <w:p w14:paraId="79455A1E" w14:textId="77777777" w:rsidR="00F05084" w:rsidRPr="00105854" w:rsidRDefault="00F05084">
      <w:pPr>
        <w:keepLines/>
        <w:tabs>
          <w:tab w:val="left" w:pos="360"/>
          <w:tab w:val="left" w:pos="720"/>
        </w:tabs>
        <w:ind w:left="360" w:hanging="360"/>
        <w:rPr>
          <w:color w:val="000000"/>
        </w:rPr>
      </w:pPr>
    </w:p>
    <w:p w14:paraId="749F3A77" w14:textId="77777777" w:rsidR="00F05084" w:rsidRPr="00105854" w:rsidRDefault="00F05084">
      <w:pPr>
        <w:keepLines/>
        <w:tabs>
          <w:tab w:val="left" w:pos="360"/>
          <w:tab w:val="left" w:pos="720"/>
        </w:tabs>
        <w:ind w:left="360" w:hanging="360"/>
        <w:rPr>
          <w:color w:val="000000"/>
        </w:rPr>
      </w:pPr>
      <w:r w:rsidRPr="00105854">
        <w:rPr>
          <w:color w:val="000000"/>
        </w:rPr>
        <w:t xml:space="preserve">There are no questions of a sensitive nature in association with this program. </w:t>
      </w:r>
    </w:p>
    <w:p w14:paraId="1B92D3F4" w14:textId="77777777" w:rsidR="00D73EE7" w:rsidRDefault="00D73EE7">
      <w:pPr>
        <w:keepLines/>
        <w:tabs>
          <w:tab w:val="left" w:pos="360"/>
        </w:tabs>
        <w:ind w:left="360" w:hanging="360"/>
        <w:rPr>
          <w:color w:val="000000"/>
        </w:rPr>
      </w:pPr>
    </w:p>
    <w:p w14:paraId="1E15723F" w14:textId="3EBA18A6" w:rsidR="00D73EE7" w:rsidRPr="00105854" w:rsidRDefault="00D73EE7">
      <w:pPr>
        <w:keepLines/>
        <w:tabs>
          <w:tab w:val="left" w:pos="360"/>
          <w:tab w:val="left" w:pos="720"/>
        </w:tabs>
        <w:ind w:left="360" w:hanging="360"/>
        <w:rPr>
          <w:color w:val="000000"/>
        </w:rPr>
      </w:pPr>
      <w:r w:rsidRPr="00105854">
        <w:rPr>
          <w:color w:val="000000"/>
        </w:rPr>
        <w:t>12.</w:t>
      </w:r>
      <w:r w:rsidRPr="00105854">
        <w:rPr>
          <w:color w:val="000000"/>
        </w:rPr>
        <w:tab/>
        <w:t xml:space="preserve">Estimate public burden: </w:t>
      </w:r>
    </w:p>
    <w:p w14:paraId="0FC365BF" w14:textId="4F3B2FCC" w:rsidR="00E1685C" w:rsidRPr="00105854" w:rsidRDefault="00E1685C" w:rsidP="00E1685C">
      <w:pPr>
        <w:rPr>
          <w:b/>
          <w:sz w:val="18"/>
          <w:szCs w:val="18"/>
        </w:rPr>
      </w:pPr>
    </w:p>
    <w:tbl>
      <w:tblPr>
        <w:tblW w:w="117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42"/>
        <w:gridCol w:w="2595"/>
        <w:gridCol w:w="1275"/>
        <w:gridCol w:w="1068"/>
        <w:gridCol w:w="990"/>
        <w:gridCol w:w="987"/>
        <w:gridCol w:w="990"/>
        <w:gridCol w:w="990"/>
        <w:gridCol w:w="1320"/>
      </w:tblGrid>
      <w:tr w:rsidR="00C6398B" w:rsidRPr="006A2BE6" w14:paraId="43FC7267" w14:textId="77777777" w:rsidTr="00D86827">
        <w:trPr>
          <w:trHeight w:val="754"/>
          <w:tblHeader/>
          <w:jc w:val="center"/>
        </w:trPr>
        <w:tc>
          <w:tcPr>
            <w:tcW w:w="1542" w:type="dxa"/>
            <w:shd w:val="clear" w:color="auto" w:fill="BFBFBF" w:themeFill="background1" w:themeFillShade="BF"/>
            <w:vAlign w:val="center"/>
            <w:hideMark/>
          </w:tcPr>
          <w:p w14:paraId="0D52E492" w14:textId="0C01B958" w:rsidR="00736FE8" w:rsidRPr="006A2BE6" w:rsidRDefault="00736FE8" w:rsidP="00EF1619">
            <w:pPr>
              <w:ind w:left="219" w:hanging="129"/>
              <w:rPr>
                <w:rFonts w:ascii="Calibri" w:hAnsi="Calibri" w:cs="Calibri"/>
                <w:color w:val="000000"/>
                <w:sz w:val="18"/>
                <w:szCs w:val="20"/>
              </w:rPr>
            </w:pPr>
            <w:r w:rsidRPr="006A2BE6">
              <w:rPr>
                <w:rFonts w:ascii="Calibri" w:hAnsi="Calibri" w:cs="Calibri"/>
                <w:color w:val="000000"/>
                <w:sz w:val="18"/>
                <w:szCs w:val="20"/>
              </w:rPr>
              <w:t>Reg</w:t>
            </w:r>
            <w:r w:rsidR="00C6398B">
              <w:rPr>
                <w:rFonts w:ascii="Calibri" w:hAnsi="Calibri" w:cs="Calibri"/>
                <w:color w:val="000000"/>
                <w:sz w:val="18"/>
                <w:szCs w:val="20"/>
              </w:rPr>
              <w:t>ulatory</w:t>
            </w:r>
            <w:r w:rsidRPr="006A2BE6">
              <w:rPr>
                <w:rFonts w:ascii="Calibri" w:hAnsi="Calibri" w:cs="Calibri"/>
                <w:color w:val="000000"/>
                <w:sz w:val="18"/>
                <w:szCs w:val="20"/>
              </w:rPr>
              <w:t xml:space="preserve"> Section</w:t>
            </w:r>
          </w:p>
        </w:tc>
        <w:tc>
          <w:tcPr>
            <w:tcW w:w="2595" w:type="dxa"/>
            <w:shd w:val="clear" w:color="auto" w:fill="BFBFBF" w:themeFill="background1" w:themeFillShade="BF"/>
            <w:vAlign w:val="center"/>
            <w:hideMark/>
          </w:tcPr>
          <w:p w14:paraId="401762F8" w14:textId="77777777" w:rsidR="00736FE8" w:rsidRPr="006A2BE6" w:rsidRDefault="00736FE8">
            <w:pPr>
              <w:jc w:val="center"/>
              <w:rPr>
                <w:rFonts w:ascii="Calibri" w:hAnsi="Calibri" w:cs="Calibri"/>
                <w:color w:val="000000"/>
                <w:sz w:val="18"/>
                <w:szCs w:val="20"/>
              </w:rPr>
            </w:pPr>
            <w:r w:rsidRPr="006A2BE6">
              <w:rPr>
                <w:rFonts w:ascii="Calibri" w:hAnsi="Calibri" w:cs="Calibri"/>
                <w:color w:val="000000"/>
                <w:sz w:val="18"/>
                <w:szCs w:val="20"/>
              </w:rPr>
              <w:t>Information Collection</w:t>
            </w:r>
          </w:p>
        </w:tc>
        <w:tc>
          <w:tcPr>
            <w:tcW w:w="1275" w:type="dxa"/>
            <w:shd w:val="clear" w:color="auto" w:fill="BFBFBF" w:themeFill="background1" w:themeFillShade="BF"/>
            <w:vAlign w:val="center"/>
            <w:hideMark/>
          </w:tcPr>
          <w:p w14:paraId="5C3CAB32" w14:textId="77777777" w:rsidR="00736FE8" w:rsidRPr="006A2BE6" w:rsidRDefault="00736FE8">
            <w:pPr>
              <w:jc w:val="center"/>
              <w:rPr>
                <w:rFonts w:ascii="Calibri" w:hAnsi="Calibri" w:cs="Calibri"/>
                <w:color w:val="000000"/>
                <w:sz w:val="18"/>
                <w:szCs w:val="20"/>
              </w:rPr>
            </w:pPr>
            <w:r w:rsidRPr="006A2BE6">
              <w:rPr>
                <w:rFonts w:ascii="Calibri" w:hAnsi="Calibri" w:cs="Calibri"/>
                <w:color w:val="000000"/>
                <w:sz w:val="18"/>
                <w:szCs w:val="20"/>
              </w:rPr>
              <w:t>Number of Jurisdictions / Respondents</w:t>
            </w:r>
          </w:p>
        </w:tc>
        <w:tc>
          <w:tcPr>
            <w:tcW w:w="1068" w:type="dxa"/>
            <w:shd w:val="clear" w:color="auto" w:fill="BFBFBF" w:themeFill="background1" w:themeFillShade="BF"/>
            <w:vAlign w:val="center"/>
            <w:hideMark/>
          </w:tcPr>
          <w:p w14:paraId="1E80749C" w14:textId="77777777" w:rsidR="00736FE8" w:rsidRPr="006A2BE6" w:rsidRDefault="00736FE8">
            <w:pPr>
              <w:jc w:val="center"/>
              <w:rPr>
                <w:rFonts w:ascii="Calibri" w:hAnsi="Calibri" w:cs="Calibri"/>
                <w:color w:val="000000"/>
                <w:sz w:val="18"/>
                <w:szCs w:val="20"/>
              </w:rPr>
            </w:pPr>
            <w:r w:rsidRPr="006A2BE6">
              <w:rPr>
                <w:rFonts w:ascii="Calibri" w:hAnsi="Calibri" w:cs="Calibri"/>
                <w:color w:val="000000"/>
                <w:sz w:val="18"/>
                <w:szCs w:val="20"/>
              </w:rPr>
              <w:t>Frequency of Response</w:t>
            </w:r>
          </w:p>
        </w:tc>
        <w:tc>
          <w:tcPr>
            <w:tcW w:w="990" w:type="dxa"/>
            <w:shd w:val="clear" w:color="auto" w:fill="BFBFBF" w:themeFill="background1" w:themeFillShade="BF"/>
            <w:vAlign w:val="center"/>
            <w:hideMark/>
          </w:tcPr>
          <w:p w14:paraId="4106372C" w14:textId="77777777" w:rsidR="00736FE8" w:rsidRPr="006A2BE6" w:rsidRDefault="00736FE8">
            <w:pPr>
              <w:jc w:val="center"/>
              <w:rPr>
                <w:rFonts w:ascii="Calibri" w:hAnsi="Calibri" w:cs="Calibri"/>
                <w:color w:val="000000"/>
                <w:sz w:val="18"/>
                <w:szCs w:val="20"/>
              </w:rPr>
            </w:pPr>
            <w:r w:rsidRPr="006A2BE6">
              <w:rPr>
                <w:rFonts w:ascii="Calibri" w:hAnsi="Calibri" w:cs="Calibri"/>
                <w:color w:val="000000"/>
                <w:sz w:val="18"/>
                <w:szCs w:val="20"/>
              </w:rPr>
              <w:t>Responses Per Annum</w:t>
            </w:r>
          </w:p>
        </w:tc>
        <w:tc>
          <w:tcPr>
            <w:tcW w:w="987" w:type="dxa"/>
            <w:shd w:val="clear" w:color="auto" w:fill="BFBFBF" w:themeFill="background1" w:themeFillShade="BF"/>
            <w:vAlign w:val="center"/>
            <w:hideMark/>
          </w:tcPr>
          <w:p w14:paraId="267F7D29" w14:textId="77777777" w:rsidR="00736FE8" w:rsidRPr="006A2BE6" w:rsidRDefault="00736FE8">
            <w:pPr>
              <w:jc w:val="center"/>
              <w:rPr>
                <w:rFonts w:ascii="Calibri" w:hAnsi="Calibri" w:cs="Calibri"/>
                <w:color w:val="000000"/>
                <w:sz w:val="18"/>
                <w:szCs w:val="20"/>
              </w:rPr>
            </w:pPr>
            <w:r w:rsidRPr="006A2BE6">
              <w:rPr>
                <w:rFonts w:ascii="Calibri" w:hAnsi="Calibri" w:cs="Calibri"/>
                <w:color w:val="000000"/>
                <w:sz w:val="18"/>
                <w:szCs w:val="20"/>
              </w:rPr>
              <w:t>Burden Hour Per Response</w:t>
            </w:r>
          </w:p>
        </w:tc>
        <w:tc>
          <w:tcPr>
            <w:tcW w:w="990" w:type="dxa"/>
            <w:shd w:val="clear" w:color="auto" w:fill="BFBFBF" w:themeFill="background1" w:themeFillShade="BF"/>
            <w:vAlign w:val="center"/>
            <w:hideMark/>
          </w:tcPr>
          <w:p w14:paraId="03F15023" w14:textId="77777777" w:rsidR="00736FE8" w:rsidRPr="006A2BE6" w:rsidRDefault="00736FE8">
            <w:pPr>
              <w:jc w:val="center"/>
              <w:rPr>
                <w:rFonts w:ascii="Calibri" w:hAnsi="Calibri" w:cs="Calibri"/>
                <w:color w:val="000000"/>
                <w:sz w:val="18"/>
                <w:szCs w:val="20"/>
              </w:rPr>
            </w:pPr>
            <w:r w:rsidRPr="006A2BE6">
              <w:rPr>
                <w:rFonts w:ascii="Calibri" w:hAnsi="Calibri" w:cs="Calibri"/>
                <w:color w:val="000000"/>
                <w:sz w:val="18"/>
                <w:szCs w:val="20"/>
              </w:rPr>
              <w:t>Annual Burden Hours</w:t>
            </w:r>
          </w:p>
        </w:tc>
        <w:tc>
          <w:tcPr>
            <w:tcW w:w="990" w:type="dxa"/>
            <w:shd w:val="clear" w:color="auto" w:fill="BFBFBF" w:themeFill="background1" w:themeFillShade="BF"/>
            <w:vAlign w:val="center"/>
            <w:hideMark/>
          </w:tcPr>
          <w:p w14:paraId="5B9BF1B4" w14:textId="77777777" w:rsidR="00736FE8" w:rsidRPr="006A2BE6" w:rsidRDefault="00736FE8">
            <w:pPr>
              <w:jc w:val="center"/>
              <w:rPr>
                <w:rFonts w:ascii="Calibri" w:hAnsi="Calibri" w:cs="Calibri"/>
                <w:color w:val="000000"/>
                <w:sz w:val="18"/>
                <w:szCs w:val="20"/>
              </w:rPr>
            </w:pPr>
            <w:r w:rsidRPr="006A2BE6">
              <w:rPr>
                <w:rFonts w:ascii="Calibri" w:hAnsi="Calibri" w:cs="Calibri"/>
                <w:color w:val="000000"/>
                <w:sz w:val="18"/>
                <w:szCs w:val="20"/>
              </w:rPr>
              <w:t>Hourly Cost Per Response</w:t>
            </w:r>
          </w:p>
        </w:tc>
        <w:tc>
          <w:tcPr>
            <w:tcW w:w="1320" w:type="dxa"/>
            <w:shd w:val="clear" w:color="auto" w:fill="BFBFBF" w:themeFill="background1" w:themeFillShade="BF"/>
            <w:vAlign w:val="center"/>
            <w:hideMark/>
          </w:tcPr>
          <w:p w14:paraId="08947FEE" w14:textId="77777777" w:rsidR="00736FE8" w:rsidRPr="006A2BE6" w:rsidRDefault="00736FE8">
            <w:pPr>
              <w:jc w:val="center"/>
              <w:rPr>
                <w:rFonts w:ascii="Calibri" w:hAnsi="Calibri" w:cs="Calibri"/>
                <w:color w:val="000000"/>
                <w:sz w:val="18"/>
                <w:szCs w:val="20"/>
              </w:rPr>
            </w:pPr>
            <w:r w:rsidRPr="006A2BE6">
              <w:rPr>
                <w:rFonts w:ascii="Calibri" w:hAnsi="Calibri" w:cs="Calibri"/>
                <w:color w:val="000000"/>
                <w:sz w:val="18"/>
                <w:szCs w:val="20"/>
              </w:rPr>
              <w:t>Annual Cost</w:t>
            </w:r>
          </w:p>
        </w:tc>
      </w:tr>
      <w:tr w:rsidR="00453E0D" w:rsidRPr="006A2BE6" w14:paraId="1C56EDB5" w14:textId="77777777" w:rsidTr="00D86827">
        <w:trPr>
          <w:trHeight w:val="600"/>
          <w:jc w:val="center"/>
        </w:trPr>
        <w:tc>
          <w:tcPr>
            <w:tcW w:w="1542" w:type="dxa"/>
            <w:shd w:val="clear" w:color="auto" w:fill="auto"/>
            <w:vAlign w:val="center"/>
            <w:hideMark/>
          </w:tcPr>
          <w:p w14:paraId="46BDA1F3"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93.100(a)</w:t>
            </w:r>
          </w:p>
        </w:tc>
        <w:tc>
          <w:tcPr>
            <w:tcW w:w="2595" w:type="dxa"/>
            <w:shd w:val="clear" w:color="auto" w:fill="auto"/>
            <w:vAlign w:val="center"/>
            <w:hideMark/>
          </w:tcPr>
          <w:p w14:paraId="73FABA85"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Notification of intent to participate</w:t>
            </w:r>
          </w:p>
        </w:tc>
        <w:tc>
          <w:tcPr>
            <w:tcW w:w="1275" w:type="dxa"/>
            <w:shd w:val="clear" w:color="auto" w:fill="auto"/>
            <w:vAlign w:val="center"/>
            <w:hideMark/>
          </w:tcPr>
          <w:p w14:paraId="74D278F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4976ED3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72769F2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4BC4B55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auto"/>
            <w:vAlign w:val="center"/>
            <w:hideMark/>
          </w:tcPr>
          <w:p w14:paraId="546ED07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auto"/>
            <w:noWrap/>
            <w:vAlign w:val="center"/>
            <w:hideMark/>
          </w:tcPr>
          <w:p w14:paraId="3A3FF54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42B1069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A135F1" w:rsidRPr="006A2BE6" w14:paraId="2DBAA881" w14:textId="77777777" w:rsidTr="00D86827">
        <w:trPr>
          <w:trHeight w:val="600"/>
          <w:jc w:val="center"/>
        </w:trPr>
        <w:tc>
          <w:tcPr>
            <w:tcW w:w="1542" w:type="dxa"/>
            <w:shd w:val="clear" w:color="auto" w:fill="D9D9D9" w:themeFill="background1" w:themeFillShade="D9"/>
            <w:noWrap/>
            <w:vAlign w:val="center"/>
            <w:hideMark/>
          </w:tcPr>
          <w:p w14:paraId="4DE9EF3A"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2 CFR § 200.200</w:t>
            </w:r>
          </w:p>
        </w:tc>
        <w:tc>
          <w:tcPr>
            <w:tcW w:w="2595" w:type="dxa"/>
            <w:shd w:val="clear" w:color="auto" w:fill="D9D9D9" w:themeFill="background1" w:themeFillShade="D9"/>
            <w:vAlign w:val="center"/>
            <w:hideMark/>
          </w:tcPr>
          <w:p w14:paraId="228B5FEF"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Form SF-424 Family</w:t>
            </w:r>
          </w:p>
        </w:tc>
        <w:tc>
          <w:tcPr>
            <w:tcW w:w="1275" w:type="dxa"/>
            <w:shd w:val="clear" w:color="auto" w:fill="D9D9D9" w:themeFill="background1" w:themeFillShade="D9"/>
            <w:vAlign w:val="center"/>
            <w:hideMark/>
          </w:tcPr>
          <w:p w14:paraId="57EC21D3" w14:textId="2F385FE5"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w:t>
            </w:r>
            <w:r w:rsidR="005E72A9">
              <w:rPr>
                <w:rFonts w:ascii="Calibri" w:hAnsi="Calibri" w:cs="Calibri"/>
                <w:color w:val="000000"/>
                <w:sz w:val="18"/>
                <w:szCs w:val="20"/>
              </w:rPr>
              <w:t>.00</w:t>
            </w:r>
          </w:p>
        </w:tc>
        <w:tc>
          <w:tcPr>
            <w:tcW w:w="1068" w:type="dxa"/>
            <w:shd w:val="clear" w:color="auto" w:fill="D9D9D9" w:themeFill="background1" w:themeFillShade="D9"/>
            <w:vAlign w:val="center"/>
            <w:hideMark/>
          </w:tcPr>
          <w:p w14:paraId="18DA78DE" w14:textId="792FFA93"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w:t>
            </w:r>
            <w:r w:rsidR="005E72A9">
              <w:rPr>
                <w:rFonts w:ascii="Calibri" w:hAnsi="Calibri" w:cs="Calibri"/>
                <w:color w:val="000000"/>
                <w:sz w:val="18"/>
                <w:szCs w:val="20"/>
              </w:rPr>
              <w:t>.00</w:t>
            </w:r>
          </w:p>
        </w:tc>
        <w:tc>
          <w:tcPr>
            <w:tcW w:w="990" w:type="dxa"/>
            <w:shd w:val="clear" w:color="auto" w:fill="D9D9D9" w:themeFill="background1" w:themeFillShade="D9"/>
            <w:vAlign w:val="center"/>
            <w:hideMark/>
          </w:tcPr>
          <w:p w14:paraId="105B8EA1" w14:textId="02173A46"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w:t>
            </w:r>
            <w:r w:rsidR="005E72A9">
              <w:rPr>
                <w:rFonts w:ascii="Calibri" w:hAnsi="Calibri" w:cs="Calibri"/>
                <w:color w:val="000000"/>
                <w:sz w:val="18"/>
                <w:szCs w:val="20"/>
              </w:rPr>
              <w:t>.00</w:t>
            </w:r>
          </w:p>
        </w:tc>
        <w:tc>
          <w:tcPr>
            <w:tcW w:w="987" w:type="dxa"/>
            <w:shd w:val="clear" w:color="auto" w:fill="D9D9D9" w:themeFill="background1" w:themeFillShade="D9"/>
            <w:vAlign w:val="center"/>
            <w:hideMark/>
          </w:tcPr>
          <w:p w14:paraId="237B6FE3" w14:textId="589AD5C8" w:rsidR="00736FE8" w:rsidRPr="006A2BE6" w:rsidRDefault="005E72A9">
            <w:pPr>
              <w:jc w:val="right"/>
              <w:rPr>
                <w:rFonts w:ascii="Calibri" w:hAnsi="Calibri" w:cs="Calibri"/>
                <w:color w:val="000000"/>
                <w:sz w:val="18"/>
                <w:szCs w:val="20"/>
              </w:rPr>
            </w:pPr>
            <w:r>
              <w:rPr>
                <w:rFonts w:ascii="Calibri" w:hAnsi="Calibri" w:cs="Calibri"/>
                <w:color w:val="000000"/>
                <w:sz w:val="18"/>
                <w:szCs w:val="20"/>
              </w:rPr>
              <w:t>0.0</w:t>
            </w:r>
            <w:r w:rsidR="00736FE8" w:rsidRPr="006A2BE6">
              <w:rPr>
                <w:rFonts w:ascii="Calibri" w:hAnsi="Calibri" w:cs="Calibri"/>
                <w:color w:val="000000"/>
                <w:sz w:val="18"/>
                <w:szCs w:val="20"/>
              </w:rPr>
              <w:t>0</w:t>
            </w:r>
          </w:p>
        </w:tc>
        <w:tc>
          <w:tcPr>
            <w:tcW w:w="990" w:type="dxa"/>
            <w:shd w:val="clear" w:color="auto" w:fill="D9D9D9" w:themeFill="background1" w:themeFillShade="D9"/>
            <w:vAlign w:val="center"/>
            <w:hideMark/>
          </w:tcPr>
          <w:p w14:paraId="5180102F" w14:textId="42F34588" w:rsidR="00736FE8" w:rsidRPr="006A2BE6" w:rsidRDefault="006B3BC6">
            <w:pPr>
              <w:jc w:val="right"/>
              <w:rPr>
                <w:rFonts w:ascii="Calibri" w:hAnsi="Calibri" w:cs="Calibri"/>
                <w:color w:val="000000"/>
                <w:sz w:val="18"/>
                <w:szCs w:val="20"/>
              </w:rPr>
            </w:pPr>
            <w:r>
              <w:rPr>
                <w:rFonts w:ascii="Calibri" w:hAnsi="Calibri" w:cs="Calibri"/>
                <w:color w:val="000000"/>
                <w:sz w:val="18"/>
                <w:szCs w:val="20"/>
              </w:rPr>
              <w:t>0</w:t>
            </w:r>
            <w:r w:rsidR="005E72A9">
              <w:rPr>
                <w:rFonts w:ascii="Calibri" w:hAnsi="Calibri" w:cs="Calibri"/>
                <w:color w:val="000000"/>
                <w:sz w:val="18"/>
                <w:szCs w:val="20"/>
              </w:rPr>
              <w:t>.00</w:t>
            </w:r>
          </w:p>
        </w:tc>
        <w:tc>
          <w:tcPr>
            <w:tcW w:w="990" w:type="dxa"/>
            <w:shd w:val="clear" w:color="auto" w:fill="D9D9D9" w:themeFill="background1" w:themeFillShade="D9"/>
            <w:noWrap/>
            <w:vAlign w:val="center"/>
            <w:hideMark/>
          </w:tcPr>
          <w:p w14:paraId="38F9C82C" w14:textId="098DF7D5"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w:t>
            </w:r>
            <w:r w:rsidR="004D5E4D">
              <w:rPr>
                <w:rFonts w:ascii="Calibri" w:hAnsi="Calibri" w:cs="Calibri"/>
                <w:color w:val="000000"/>
                <w:sz w:val="18"/>
                <w:szCs w:val="20"/>
              </w:rPr>
              <w:t>0</w:t>
            </w:r>
            <w:r w:rsidR="005E72A9">
              <w:rPr>
                <w:rFonts w:ascii="Calibri" w:hAnsi="Calibri" w:cs="Calibri"/>
                <w:color w:val="000000"/>
                <w:sz w:val="18"/>
                <w:szCs w:val="20"/>
              </w:rPr>
              <w:t>.00</w:t>
            </w:r>
            <w:r w:rsidRPr="006A2BE6">
              <w:rPr>
                <w:rFonts w:ascii="Calibri" w:hAnsi="Calibri" w:cs="Calibri"/>
                <w:color w:val="000000"/>
                <w:sz w:val="18"/>
                <w:szCs w:val="20"/>
              </w:rPr>
              <w:t xml:space="preserve"> </w:t>
            </w:r>
          </w:p>
        </w:tc>
        <w:tc>
          <w:tcPr>
            <w:tcW w:w="1320" w:type="dxa"/>
            <w:shd w:val="clear" w:color="auto" w:fill="D9D9D9" w:themeFill="background1" w:themeFillShade="D9"/>
            <w:vAlign w:val="center"/>
            <w:hideMark/>
          </w:tcPr>
          <w:p w14:paraId="61810571" w14:textId="5E84FCBC" w:rsidR="00736FE8" w:rsidRPr="006A2BE6" w:rsidRDefault="006B3BC6">
            <w:pPr>
              <w:jc w:val="right"/>
              <w:rPr>
                <w:rFonts w:ascii="Calibri" w:hAnsi="Calibri" w:cs="Calibri"/>
                <w:color w:val="000000"/>
                <w:sz w:val="18"/>
                <w:szCs w:val="20"/>
              </w:rPr>
            </w:pPr>
            <w:r>
              <w:rPr>
                <w:rFonts w:ascii="Calibri" w:hAnsi="Calibri" w:cs="Calibri"/>
                <w:color w:val="000000"/>
                <w:sz w:val="18"/>
                <w:szCs w:val="20"/>
              </w:rPr>
              <w:t>$0.00</w:t>
            </w:r>
          </w:p>
        </w:tc>
      </w:tr>
      <w:tr w:rsidR="00453E0D" w:rsidRPr="006A2BE6" w14:paraId="75BCA18C" w14:textId="77777777" w:rsidTr="00D86827">
        <w:trPr>
          <w:trHeight w:val="600"/>
          <w:jc w:val="center"/>
        </w:trPr>
        <w:tc>
          <w:tcPr>
            <w:tcW w:w="1542" w:type="dxa"/>
            <w:shd w:val="clear" w:color="auto" w:fill="auto"/>
            <w:noWrap/>
            <w:vAlign w:val="center"/>
            <w:hideMark/>
          </w:tcPr>
          <w:p w14:paraId="6CDF1847"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2 CFR § 200.200</w:t>
            </w:r>
          </w:p>
        </w:tc>
        <w:tc>
          <w:tcPr>
            <w:tcW w:w="2595" w:type="dxa"/>
            <w:shd w:val="clear" w:color="auto" w:fill="auto"/>
            <w:vAlign w:val="center"/>
            <w:hideMark/>
          </w:tcPr>
          <w:p w14:paraId="45B35D92"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Form SF-425</w:t>
            </w:r>
          </w:p>
        </w:tc>
        <w:tc>
          <w:tcPr>
            <w:tcW w:w="1275" w:type="dxa"/>
            <w:shd w:val="clear" w:color="auto" w:fill="auto"/>
            <w:vAlign w:val="center"/>
            <w:hideMark/>
          </w:tcPr>
          <w:p w14:paraId="0D197499" w14:textId="03BB8D7D" w:rsidR="00736FE8" w:rsidRPr="006A2BE6" w:rsidRDefault="005E72A9">
            <w:pPr>
              <w:jc w:val="right"/>
              <w:rPr>
                <w:rFonts w:ascii="Calibri" w:hAnsi="Calibri" w:cs="Calibri"/>
                <w:color w:val="000000"/>
                <w:sz w:val="18"/>
                <w:szCs w:val="20"/>
              </w:rPr>
            </w:pPr>
            <w:r>
              <w:rPr>
                <w:rFonts w:ascii="Calibri" w:hAnsi="Calibri" w:cs="Calibri"/>
                <w:color w:val="000000"/>
                <w:sz w:val="18"/>
                <w:szCs w:val="20"/>
              </w:rPr>
              <w:t>0.00</w:t>
            </w:r>
          </w:p>
        </w:tc>
        <w:tc>
          <w:tcPr>
            <w:tcW w:w="1068" w:type="dxa"/>
            <w:shd w:val="clear" w:color="auto" w:fill="auto"/>
            <w:vAlign w:val="center"/>
            <w:hideMark/>
          </w:tcPr>
          <w:p w14:paraId="249ABACB" w14:textId="1133778A" w:rsidR="00736FE8" w:rsidRPr="006A2BE6" w:rsidRDefault="005E72A9">
            <w:pPr>
              <w:jc w:val="right"/>
              <w:rPr>
                <w:rFonts w:ascii="Calibri" w:hAnsi="Calibri" w:cs="Calibri"/>
                <w:color w:val="000000"/>
                <w:sz w:val="18"/>
                <w:szCs w:val="20"/>
              </w:rPr>
            </w:pPr>
            <w:r>
              <w:rPr>
                <w:rFonts w:ascii="Calibri" w:hAnsi="Calibri" w:cs="Calibri"/>
                <w:color w:val="000000"/>
                <w:sz w:val="18"/>
                <w:szCs w:val="20"/>
              </w:rPr>
              <w:t>0.00</w:t>
            </w:r>
          </w:p>
        </w:tc>
        <w:tc>
          <w:tcPr>
            <w:tcW w:w="990" w:type="dxa"/>
            <w:shd w:val="clear" w:color="auto" w:fill="auto"/>
            <w:vAlign w:val="center"/>
            <w:hideMark/>
          </w:tcPr>
          <w:p w14:paraId="5EFCD3D6" w14:textId="5F095104" w:rsidR="00736FE8" w:rsidRPr="006A2BE6" w:rsidRDefault="005E72A9">
            <w:pPr>
              <w:jc w:val="right"/>
              <w:rPr>
                <w:rFonts w:ascii="Calibri" w:hAnsi="Calibri" w:cs="Calibri"/>
                <w:color w:val="000000"/>
                <w:sz w:val="18"/>
                <w:szCs w:val="20"/>
              </w:rPr>
            </w:pPr>
            <w:r>
              <w:rPr>
                <w:rFonts w:ascii="Calibri" w:hAnsi="Calibri" w:cs="Calibri"/>
                <w:color w:val="000000"/>
                <w:sz w:val="18"/>
                <w:szCs w:val="20"/>
              </w:rPr>
              <w:t>0.00</w:t>
            </w:r>
          </w:p>
        </w:tc>
        <w:tc>
          <w:tcPr>
            <w:tcW w:w="987" w:type="dxa"/>
            <w:shd w:val="clear" w:color="auto" w:fill="auto"/>
            <w:vAlign w:val="center"/>
            <w:hideMark/>
          </w:tcPr>
          <w:p w14:paraId="2457ADA2" w14:textId="1487DF4D"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w:t>
            </w:r>
            <w:r w:rsidR="005E72A9">
              <w:rPr>
                <w:rFonts w:ascii="Calibri" w:hAnsi="Calibri" w:cs="Calibri"/>
                <w:color w:val="000000"/>
                <w:sz w:val="18"/>
                <w:szCs w:val="20"/>
              </w:rPr>
              <w:t>.00</w:t>
            </w:r>
          </w:p>
        </w:tc>
        <w:tc>
          <w:tcPr>
            <w:tcW w:w="990" w:type="dxa"/>
            <w:shd w:val="clear" w:color="auto" w:fill="auto"/>
            <w:vAlign w:val="center"/>
            <w:hideMark/>
          </w:tcPr>
          <w:p w14:paraId="52ACE11D" w14:textId="41A0BA4F" w:rsidR="00736FE8" w:rsidRPr="006A2BE6" w:rsidRDefault="006B3BC6">
            <w:pPr>
              <w:jc w:val="right"/>
              <w:rPr>
                <w:rFonts w:ascii="Calibri" w:hAnsi="Calibri" w:cs="Calibri"/>
                <w:color w:val="000000"/>
                <w:sz w:val="18"/>
                <w:szCs w:val="20"/>
              </w:rPr>
            </w:pPr>
            <w:r>
              <w:rPr>
                <w:rFonts w:ascii="Calibri" w:hAnsi="Calibri" w:cs="Calibri"/>
                <w:color w:val="000000"/>
                <w:sz w:val="18"/>
                <w:szCs w:val="20"/>
              </w:rPr>
              <w:t>0</w:t>
            </w:r>
            <w:r w:rsidR="005E72A9">
              <w:rPr>
                <w:rFonts w:ascii="Calibri" w:hAnsi="Calibri" w:cs="Calibri"/>
                <w:color w:val="000000"/>
                <w:sz w:val="18"/>
                <w:szCs w:val="20"/>
              </w:rPr>
              <w:t>.00</w:t>
            </w:r>
          </w:p>
        </w:tc>
        <w:tc>
          <w:tcPr>
            <w:tcW w:w="990" w:type="dxa"/>
            <w:shd w:val="clear" w:color="auto" w:fill="auto"/>
            <w:noWrap/>
            <w:vAlign w:val="center"/>
            <w:hideMark/>
          </w:tcPr>
          <w:p w14:paraId="4D44F764" w14:textId="5B974F33"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w:t>
            </w:r>
            <w:r w:rsidR="005E72A9">
              <w:rPr>
                <w:rFonts w:ascii="Calibri" w:hAnsi="Calibri" w:cs="Calibri"/>
                <w:color w:val="000000"/>
                <w:sz w:val="18"/>
                <w:szCs w:val="20"/>
              </w:rPr>
              <w:t>0.00</w:t>
            </w:r>
            <w:r w:rsidRPr="006A2BE6">
              <w:rPr>
                <w:rFonts w:ascii="Calibri" w:hAnsi="Calibri" w:cs="Calibri"/>
                <w:color w:val="000000"/>
                <w:sz w:val="18"/>
                <w:szCs w:val="20"/>
              </w:rPr>
              <w:t xml:space="preserve"> </w:t>
            </w:r>
          </w:p>
        </w:tc>
        <w:tc>
          <w:tcPr>
            <w:tcW w:w="1320" w:type="dxa"/>
            <w:shd w:val="clear" w:color="auto" w:fill="auto"/>
            <w:vAlign w:val="center"/>
            <w:hideMark/>
          </w:tcPr>
          <w:p w14:paraId="69D399B5" w14:textId="2EE0B2A8" w:rsidR="00736FE8" w:rsidRPr="006A2BE6" w:rsidRDefault="006B3BC6">
            <w:pPr>
              <w:jc w:val="right"/>
              <w:rPr>
                <w:rFonts w:ascii="Calibri" w:hAnsi="Calibri" w:cs="Calibri"/>
                <w:color w:val="000000"/>
                <w:sz w:val="18"/>
                <w:szCs w:val="20"/>
              </w:rPr>
            </w:pPr>
            <w:r>
              <w:rPr>
                <w:rFonts w:ascii="Calibri" w:hAnsi="Calibri" w:cs="Calibri"/>
                <w:color w:val="000000"/>
                <w:sz w:val="18"/>
                <w:szCs w:val="20"/>
              </w:rPr>
              <w:t>$0.00</w:t>
            </w:r>
          </w:p>
        </w:tc>
      </w:tr>
      <w:tr w:rsidR="00A135F1" w:rsidRPr="006A2BE6" w14:paraId="4AAFEB88" w14:textId="77777777" w:rsidTr="00D86827">
        <w:trPr>
          <w:trHeight w:val="600"/>
          <w:jc w:val="center"/>
        </w:trPr>
        <w:tc>
          <w:tcPr>
            <w:tcW w:w="1542" w:type="dxa"/>
            <w:shd w:val="clear" w:color="auto" w:fill="D9D9D9" w:themeFill="background1" w:themeFillShade="D9"/>
            <w:vAlign w:val="center"/>
            <w:hideMark/>
          </w:tcPr>
          <w:p w14:paraId="608E6E2B" w14:textId="77777777" w:rsidR="00736FE8" w:rsidRPr="006A2BE6" w:rsidRDefault="00736FE8">
            <w:pPr>
              <w:rPr>
                <w:rFonts w:ascii="Calibri" w:hAnsi="Calibri" w:cs="Calibri"/>
                <w:sz w:val="18"/>
                <w:szCs w:val="20"/>
              </w:rPr>
            </w:pPr>
            <w:r w:rsidRPr="006A2BE6">
              <w:rPr>
                <w:rFonts w:ascii="Calibri" w:hAnsi="Calibri" w:cs="Calibri"/>
                <w:sz w:val="18"/>
                <w:szCs w:val="20"/>
              </w:rPr>
              <w:t>31 USC § 3512</w:t>
            </w:r>
          </w:p>
        </w:tc>
        <w:tc>
          <w:tcPr>
            <w:tcW w:w="2595" w:type="dxa"/>
            <w:shd w:val="clear" w:color="auto" w:fill="D9D9D9" w:themeFill="background1" w:themeFillShade="D9"/>
            <w:vAlign w:val="center"/>
            <w:hideMark/>
          </w:tcPr>
          <w:p w14:paraId="532560A1" w14:textId="77777777" w:rsidR="00736FE8" w:rsidRPr="006A2BE6" w:rsidRDefault="00736FE8">
            <w:pPr>
              <w:rPr>
                <w:rFonts w:ascii="Calibri" w:hAnsi="Calibri" w:cs="Calibri"/>
                <w:sz w:val="18"/>
                <w:szCs w:val="20"/>
              </w:rPr>
            </w:pPr>
            <w:r w:rsidRPr="006A2BE6">
              <w:rPr>
                <w:rFonts w:ascii="Calibri" w:hAnsi="Calibri" w:cs="Calibri"/>
                <w:sz w:val="18"/>
                <w:szCs w:val="20"/>
              </w:rPr>
              <w:t>HUD Form 27055</w:t>
            </w:r>
          </w:p>
        </w:tc>
        <w:tc>
          <w:tcPr>
            <w:tcW w:w="1275" w:type="dxa"/>
            <w:shd w:val="clear" w:color="auto" w:fill="D9D9D9" w:themeFill="background1" w:themeFillShade="D9"/>
            <w:vAlign w:val="center"/>
            <w:hideMark/>
          </w:tcPr>
          <w:p w14:paraId="5BF8E7B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76DF230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6950074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D9D9D9" w:themeFill="background1" w:themeFillShade="D9"/>
            <w:vAlign w:val="center"/>
            <w:hideMark/>
          </w:tcPr>
          <w:p w14:paraId="3E33338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0.50</w:t>
            </w:r>
          </w:p>
        </w:tc>
        <w:tc>
          <w:tcPr>
            <w:tcW w:w="990" w:type="dxa"/>
            <w:shd w:val="clear" w:color="auto" w:fill="D9D9D9" w:themeFill="background1" w:themeFillShade="D9"/>
            <w:vAlign w:val="center"/>
            <w:hideMark/>
          </w:tcPr>
          <w:p w14:paraId="4D4CF05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28.00</w:t>
            </w:r>
          </w:p>
        </w:tc>
        <w:tc>
          <w:tcPr>
            <w:tcW w:w="990" w:type="dxa"/>
            <w:shd w:val="clear" w:color="auto" w:fill="D9D9D9" w:themeFill="background1" w:themeFillShade="D9"/>
            <w:noWrap/>
            <w:vAlign w:val="center"/>
            <w:hideMark/>
          </w:tcPr>
          <w:p w14:paraId="1BAC8D0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45AAF61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$1,093.96</w:t>
            </w:r>
          </w:p>
        </w:tc>
      </w:tr>
      <w:tr w:rsidR="00453E0D" w:rsidRPr="006A2BE6" w14:paraId="13210CE8" w14:textId="77777777" w:rsidTr="00D86827">
        <w:trPr>
          <w:trHeight w:val="600"/>
          <w:jc w:val="center"/>
        </w:trPr>
        <w:tc>
          <w:tcPr>
            <w:tcW w:w="1542" w:type="dxa"/>
            <w:shd w:val="clear" w:color="auto" w:fill="auto"/>
            <w:vAlign w:val="center"/>
            <w:hideMark/>
          </w:tcPr>
          <w:p w14:paraId="59EBA110"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93.100(b)</w:t>
            </w:r>
          </w:p>
        </w:tc>
        <w:tc>
          <w:tcPr>
            <w:tcW w:w="2595" w:type="dxa"/>
            <w:shd w:val="clear" w:color="auto" w:fill="auto"/>
            <w:vAlign w:val="center"/>
            <w:hideMark/>
          </w:tcPr>
          <w:p w14:paraId="3F8EC8CA"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Submission of Consolidated Plan</w:t>
            </w:r>
          </w:p>
        </w:tc>
        <w:tc>
          <w:tcPr>
            <w:tcW w:w="1275" w:type="dxa"/>
            <w:shd w:val="clear" w:color="auto" w:fill="auto"/>
            <w:vAlign w:val="center"/>
            <w:hideMark/>
          </w:tcPr>
          <w:p w14:paraId="63B9CF6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6A55F94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0.20</w:t>
            </w:r>
          </w:p>
        </w:tc>
        <w:tc>
          <w:tcPr>
            <w:tcW w:w="990" w:type="dxa"/>
            <w:shd w:val="clear" w:color="auto" w:fill="auto"/>
            <w:vAlign w:val="center"/>
            <w:hideMark/>
          </w:tcPr>
          <w:p w14:paraId="7F4923B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11.20</w:t>
            </w:r>
          </w:p>
        </w:tc>
        <w:tc>
          <w:tcPr>
            <w:tcW w:w="987" w:type="dxa"/>
            <w:shd w:val="clear" w:color="auto" w:fill="auto"/>
            <w:vAlign w:val="center"/>
            <w:hideMark/>
          </w:tcPr>
          <w:p w14:paraId="33EBCDD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40.00</w:t>
            </w:r>
          </w:p>
        </w:tc>
        <w:tc>
          <w:tcPr>
            <w:tcW w:w="990" w:type="dxa"/>
            <w:shd w:val="clear" w:color="auto" w:fill="auto"/>
            <w:vAlign w:val="center"/>
            <w:hideMark/>
          </w:tcPr>
          <w:p w14:paraId="7843968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448.00</w:t>
            </w:r>
          </w:p>
        </w:tc>
        <w:tc>
          <w:tcPr>
            <w:tcW w:w="990" w:type="dxa"/>
            <w:shd w:val="clear" w:color="auto" w:fill="auto"/>
            <w:noWrap/>
            <w:vAlign w:val="center"/>
            <w:hideMark/>
          </w:tcPr>
          <w:p w14:paraId="53F29D7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1D8F078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$17,503.36</w:t>
            </w:r>
          </w:p>
        </w:tc>
      </w:tr>
      <w:tr w:rsidR="00A135F1" w:rsidRPr="006A2BE6" w14:paraId="75CF4477" w14:textId="77777777" w:rsidTr="00D86827">
        <w:trPr>
          <w:trHeight w:val="600"/>
          <w:jc w:val="center"/>
        </w:trPr>
        <w:tc>
          <w:tcPr>
            <w:tcW w:w="1542" w:type="dxa"/>
            <w:shd w:val="clear" w:color="auto" w:fill="D9D9D9" w:themeFill="background1" w:themeFillShade="D9"/>
            <w:vAlign w:val="center"/>
            <w:hideMark/>
          </w:tcPr>
          <w:p w14:paraId="75F8D69A"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91.220</w:t>
            </w:r>
          </w:p>
        </w:tc>
        <w:tc>
          <w:tcPr>
            <w:tcW w:w="2595" w:type="dxa"/>
            <w:shd w:val="clear" w:color="auto" w:fill="D9D9D9" w:themeFill="background1" w:themeFillShade="D9"/>
            <w:vAlign w:val="center"/>
            <w:hideMark/>
          </w:tcPr>
          <w:p w14:paraId="664DC63B"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Action Plan</w:t>
            </w:r>
          </w:p>
        </w:tc>
        <w:tc>
          <w:tcPr>
            <w:tcW w:w="1275" w:type="dxa"/>
            <w:shd w:val="clear" w:color="auto" w:fill="D9D9D9" w:themeFill="background1" w:themeFillShade="D9"/>
            <w:vAlign w:val="center"/>
            <w:hideMark/>
          </w:tcPr>
          <w:p w14:paraId="50BAC20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27B2D61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12CC361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D9D9D9" w:themeFill="background1" w:themeFillShade="D9"/>
            <w:vAlign w:val="center"/>
            <w:hideMark/>
          </w:tcPr>
          <w:p w14:paraId="3F44660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10.00</w:t>
            </w:r>
          </w:p>
        </w:tc>
        <w:tc>
          <w:tcPr>
            <w:tcW w:w="990" w:type="dxa"/>
            <w:shd w:val="clear" w:color="auto" w:fill="D9D9D9" w:themeFill="background1" w:themeFillShade="D9"/>
            <w:vAlign w:val="center"/>
            <w:hideMark/>
          </w:tcPr>
          <w:p w14:paraId="3E0BDC1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560.00</w:t>
            </w:r>
          </w:p>
        </w:tc>
        <w:tc>
          <w:tcPr>
            <w:tcW w:w="990" w:type="dxa"/>
            <w:shd w:val="clear" w:color="auto" w:fill="D9D9D9" w:themeFill="background1" w:themeFillShade="D9"/>
            <w:noWrap/>
            <w:vAlign w:val="center"/>
            <w:hideMark/>
          </w:tcPr>
          <w:p w14:paraId="6806156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4C6FBDC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$21,879.20</w:t>
            </w:r>
          </w:p>
        </w:tc>
      </w:tr>
      <w:tr w:rsidR="00453E0D" w:rsidRPr="006A2BE6" w14:paraId="278C2C3B" w14:textId="77777777" w:rsidTr="00D86827">
        <w:trPr>
          <w:trHeight w:val="600"/>
          <w:jc w:val="center"/>
        </w:trPr>
        <w:tc>
          <w:tcPr>
            <w:tcW w:w="1542" w:type="dxa"/>
            <w:shd w:val="clear" w:color="auto" w:fill="auto"/>
            <w:vAlign w:val="center"/>
            <w:hideMark/>
          </w:tcPr>
          <w:p w14:paraId="2B8281A4"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 93.101</w:t>
            </w:r>
          </w:p>
        </w:tc>
        <w:tc>
          <w:tcPr>
            <w:tcW w:w="2595" w:type="dxa"/>
            <w:shd w:val="clear" w:color="auto" w:fill="auto"/>
            <w:vAlign w:val="center"/>
            <w:hideMark/>
          </w:tcPr>
          <w:p w14:paraId="48B44685"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Distribution of assistance</w:t>
            </w:r>
          </w:p>
        </w:tc>
        <w:tc>
          <w:tcPr>
            <w:tcW w:w="1275" w:type="dxa"/>
            <w:shd w:val="clear" w:color="auto" w:fill="auto"/>
            <w:vAlign w:val="center"/>
            <w:hideMark/>
          </w:tcPr>
          <w:p w14:paraId="4702434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3CDB779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4A86FD2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37AA5DD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auto"/>
            <w:vAlign w:val="center"/>
            <w:hideMark/>
          </w:tcPr>
          <w:p w14:paraId="1DDFD6E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auto"/>
            <w:noWrap/>
            <w:vAlign w:val="center"/>
            <w:hideMark/>
          </w:tcPr>
          <w:p w14:paraId="2F4534A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0D022D2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A135F1" w:rsidRPr="006A2BE6" w14:paraId="1987C05E" w14:textId="77777777" w:rsidTr="00D86827">
        <w:trPr>
          <w:trHeight w:val="600"/>
          <w:jc w:val="center"/>
        </w:trPr>
        <w:tc>
          <w:tcPr>
            <w:tcW w:w="1542" w:type="dxa"/>
            <w:shd w:val="clear" w:color="auto" w:fill="D9D9D9" w:themeFill="background1" w:themeFillShade="D9"/>
            <w:vAlign w:val="center"/>
            <w:hideMark/>
          </w:tcPr>
          <w:p w14:paraId="4789AA33"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 93.150(a)</w:t>
            </w:r>
          </w:p>
        </w:tc>
        <w:tc>
          <w:tcPr>
            <w:tcW w:w="2595" w:type="dxa"/>
            <w:shd w:val="clear" w:color="auto" w:fill="D9D9D9" w:themeFill="background1" w:themeFillShade="D9"/>
            <w:vAlign w:val="center"/>
            <w:hideMark/>
          </w:tcPr>
          <w:p w14:paraId="07534D68" w14:textId="77777777" w:rsidR="00736FE8" w:rsidRPr="00A43649" w:rsidRDefault="00736FE8">
            <w:pPr>
              <w:rPr>
                <w:rFonts w:ascii="Calibri" w:hAnsi="Calibri" w:cs="Calibri"/>
                <w:sz w:val="18"/>
                <w:szCs w:val="20"/>
              </w:rPr>
            </w:pPr>
            <w:r w:rsidRPr="00A43649">
              <w:rPr>
                <w:rFonts w:ascii="Calibri" w:hAnsi="Calibri" w:cs="Calibri"/>
                <w:sz w:val="18"/>
                <w:szCs w:val="20"/>
              </w:rPr>
              <w:t xml:space="preserve">Site and Neighborhood Standards </w:t>
            </w:r>
          </w:p>
        </w:tc>
        <w:tc>
          <w:tcPr>
            <w:tcW w:w="1275" w:type="dxa"/>
            <w:shd w:val="clear" w:color="auto" w:fill="D9D9D9" w:themeFill="background1" w:themeFillShade="D9"/>
            <w:vAlign w:val="center"/>
            <w:hideMark/>
          </w:tcPr>
          <w:p w14:paraId="21CD515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5CB575A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386F70B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D9D9D9" w:themeFill="background1" w:themeFillShade="D9"/>
            <w:vAlign w:val="center"/>
            <w:hideMark/>
          </w:tcPr>
          <w:p w14:paraId="26440FA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D9D9D9" w:themeFill="background1" w:themeFillShade="D9"/>
            <w:vAlign w:val="center"/>
            <w:hideMark/>
          </w:tcPr>
          <w:p w14:paraId="1C190DC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D9D9D9" w:themeFill="background1" w:themeFillShade="D9"/>
            <w:noWrap/>
            <w:vAlign w:val="center"/>
            <w:hideMark/>
          </w:tcPr>
          <w:p w14:paraId="08314C4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6648FFB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453E0D" w:rsidRPr="006A2BE6" w14:paraId="7AF32B67" w14:textId="77777777" w:rsidTr="00D86827">
        <w:trPr>
          <w:trHeight w:val="600"/>
          <w:jc w:val="center"/>
        </w:trPr>
        <w:tc>
          <w:tcPr>
            <w:tcW w:w="1542" w:type="dxa"/>
            <w:shd w:val="clear" w:color="auto" w:fill="auto"/>
            <w:vAlign w:val="center"/>
            <w:hideMark/>
          </w:tcPr>
          <w:p w14:paraId="07EB8D4D"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 93.150(b)</w:t>
            </w:r>
          </w:p>
        </w:tc>
        <w:tc>
          <w:tcPr>
            <w:tcW w:w="2595" w:type="dxa"/>
            <w:shd w:val="clear" w:color="auto" w:fill="auto"/>
            <w:vAlign w:val="center"/>
            <w:hideMark/>
          </w:tcPr>
          <w:p w14:paraId="72986A75" w14:textId="77777777" w:rsidR="00736FE8" w:rsidRPr="00A43649" w:rsidRDefault="00736FE8">
            <w:pPr>
              <w:rPr>
                <w:rFonts w:ascii="Calibri" w:hAnsi="Calibri" w:cs="Calibri"/>
                <w:sz w:val="18"/>
                <w:szCs w:val="20"/>
              </w:rPr>
            </w:pPr>
            <w:r w:rsidRPr="00A43649">
              <w:rPr>
                <w:rFonts w:ascii="Calibri" w:hAnsi="Calibri" w:cs="Calibri"/>
                <w:sz w:val="18"/>
                <w:szCs w:val="20"/>
              </w:rPr>
              <w:t>New rental housing site and neighborhood requirements</w:t>
            </w:r>
          </w:p>
        </w:tc>
        <w:tc>
          <w:tcPr>
            <w:tcW w:w="1275" w:type="dxa"/>
            <w:shd w:val="clear" w:color="auto" w:fill="auto"/>
            <w:vAlign w:val="center"/>
            <w:hideMark/>
          </w:tcPr>
          <w:p w14:paraId="5C39002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11C745D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24CE032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0E5B805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5.00</w:t>
            </w:r>
          </w:p>
        </w:tc>
        <w:tc>
          <w:tcPr>
            <w:tcW w:w="990" w:type="dxa"/>
            <w:shd w:val="clear" w:color="auto" w:fill="auto"/>
            <w:vAlign w:val="center"/>
            <w:hideMark/>
          </w:tcPr>
          <w:p w14:paraId="6756E0D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280.00</w:t>
            </w:r>
          </w:p>
        </w:tc>
        <w:tc>
          <w:tcPr>
            <w:tcW w:w="990" w:type="dxa"/>
            <w:shd w:val="clear" w:color="auto" w:fill="auto"/>
            <w:noWrap/>
            <w:vAlign w:val="center"/>
            <w:hideMark/>
          </w:tcPr>
          <w:p w14:paraId="0AFC9F8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187FD3F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$10,939.60</w:t>
            </w:r>
          </w:p>
        </w:tc>
      </w:tr>
      <w:tr w:rsidR="00A135F1" w:rsidRPr="006A2BE6" w14:paraId="4D5B8369" w14:textId="77777777" w:rsidTr="00D86827">
        <w:trPr>
          <w:trHeight w:val="600"/>
          <w:jc w:val="center"/>
        </w:trPr>
        <w:tc>
          <w:tcPr>
            <w:tcW w:w="1542" w:type="dxa"/>
            <w:shd w:val="clear" w:color="auto" w:fill="D9D9D9" w:themeFill="background1" w:themeFillShade="D9"/>
            <w:noWrap/>
            <w:vAlign w:val="center"/>
            <w:hideMark/>
          </w:tcPr>
          <w:p w14:paraId="5DD5009B"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 93.200(b)</w:t>
            </w:r>
          </w:p>
        </w:tc>
        <w:tc>
          <w:tcPr>
            <w:tcW w:w="2595" w:type="dxa"/>
            <w:shd w:val="clear" w:color="auto" w:fill="D9D9D9" w:themeFill="background1" w:themeFillShade="D9"/>
            <w:vAlign w:val="center"/>
            <w:hideMark/>
          </w:tcPr>
          <w:p w14:paraId="4F85339E"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Establishment of terms of assistance</w:t>
            </w:r>
          </w:p>
        </w:tc>
        <w:tc>
          <w:tcPr>
            <w:tcW w:w="1275" w:type="dxa"/>
            <w:shd w:val="clear" w:color="auto" w:fill="D9D9D9" w:themeFill="background1" w:themeFillShade="D9"/>
            <w:vAlign w:val="center"/>
            <w:hideMark/>
          </w:tcPr>
          <w:p w14:paraId="441A112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371126C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2809E58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D9D9D9" w:themeFill="background1" w:themeFillShade="D9"/>
            <w:vAlign w:val="center"/>
            <w:hideMark/>
          </w:tcPr>
          <w:p w14:paraId="1EB662B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D9D9D9" w:themeFill="background1" w:themeFillShade="D9"/>
            <w:vAlign w:val="center"/>
            <w:hideMark/>
          </w:tcPr>
          <w:p w14:paraId="55F548E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D9D9D9" w:themeFill="background1" w:themeFillShade="D9"/>
            <w:noWrap/>
            <w:vAlign w:val="center"/>
            <w:hideMark/>
          </w:tcPr>
          <w:p w14:paraId="3DFA20D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3FCA423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453E0D" w:rsidRPr="006A2BE6" w14:paraId="6CECB404" w14:textId="77777777" w:rsidTr="00D86827">
        <w:trPr>
          <w:trHeight w:val="600"/>
          <w:jc w:val="center"/>
        </w:trPr>
        <w:tc>
          <w:tcPr>
            <w:tcW w:w="1542" w:type="dxa"/>
            <w:shd w:val="clear" w:color="auto" w:fill="auto"/>
            <w:noWrap/>
            <w:vAlign w:val="center"/>
            <w:hideMark/>
          </w:tcPr>
          <w:p w14:paraId="4ACD32E7"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 93.200(d)</w:t>
            </w:r>
          </w:p>
        </w:tc>
        <w:tc>
          <w:tcPr>
            <w:tcW w:w="2595" w:type="dxa"/>
            <w:shd w:val="clear" w:color="auto" w:fill="auto"/>
            <w:vAlign w:val="center"/>
            <w:hideMark/>
          </w:tcPr>
          <w:p w14:paraId="3D26A701"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Terminated projects</w:t>
            </w:r>
          </w:p>
        </w:tc>
        <w:tc>
          <w:tcPr>
            <w:tcW w:w="1275" w:type="dxa"/>
            <w:shd w:val="clear" w:color="auto" w:fill="auto"/>
            <w:vAlign w:val="center"/>
            <w:hideMark/>
          </w:tcPr>
          <w:p w14:paraId="0EE1981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1068" w:type="dxa"/>
            <w:shd w:val="clear" w:color="auto" w:fill="auto"/>
            <w:vAlign w:val="center"/>
            <w:hideMark/>
          </w:tcPr>
          <w:p w14:paraId="7F94BC8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0811E29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87" w:type="dxa"/>
            <w:shd w:val="clear" w:color="auto" w:fill="auto"/>
            <w:vAlign w:val="center"/>
            <w:hideMark/>
          </w:tcPr>
          <w:p w14:paraId="312E501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20.00</w:t>
            </w:r>
          </w:p>
        </w:tc>
        <w:tc>
          <w:tcPr>
            <w:tcW w:w="990" w:type="dxa"/>
            <w:shd w:val="clear" w:color="auto" w:fill="auto"/>
            <w:vAlign w:val="center"/>
            <w:hideMark/>
          </w:tcPr>
          <w:p w14:paraId="58C238C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20.00</w:t>
            </w:r>
          </w:p>
        </w:tc>
        <w:tc>
          <w:tcPr>
            <w:tcW w:w="990" w:type="dxa"/>
            <w:shd w:val="clear" w:color="auto" w:fill="auto"/>
            <w:noWrap/>
            <w:vAlign w:val="center"/>
            <w:hideMark/>
          </w:tcPr>
          <w:p w14:paraId="2E09D2C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49E8395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$781.40</w:t>
            </w:r>
          </w:p>
        </w:tc>
      </w:tr>
      <w:tr w:rsidR="00191F98" w:rsidRPr="006A2BE6" w14:paraId="2A9BC574" w14:textId="77777777" w:rsidTr="00D86827">
        <w:trPr>
          <w:trHeight w:val="600"/>
          <w:jc w:val="center"/>
        </w:trPr>
        <w:tc>
          <w:tcPr>
            <w:tcW w:w="1542" w:type="dxa"/>
            <w:shd w:val="clear" w:color="auto" w:fill="D9D9D9" w:themeFill="background1" w:themeFillShade="D9"/>
            <w:vAlign w:val="center"/>
            <w:hideMark/>
          </w:tcPr>
          <w:p w14:paraId="4FC2EF7E"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 93.201(b)(2)</w:t>
            </w:r>
          </w:p>
        </w:tc>
        <w:tc>
          <w:tcPr>
            <w:tcW w:w="2595" w:type="dxa"/>
            <w:shd w:val="clear" w:color="auto" w:fill="D9D9D9" w:themeFill="background1" w:themeFillShade="D9"/>
            <w:vAlign w:val="center"/>
            <w:hideMark/>
          </w:tcPr>
          <w:p w14:paraId="046AA04D"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Establish refinancing guidelines </w:t>
            </w:r>
          </w:p>
        </w:tc>
        <w:tc>
          <w:tcPr>
            <w:tcW w:w="1275" w:type="dxa"/>
            <w:shd w:val="clear" w:color="auto" w:fill="D9D9D9" w:themeFill="background1" w:themeFillShade="D9"/>
            <w:vAlign w:val="center"/>
            <w:hideMark/>
          </w:tcPr>
          <w:p w14:paraId="0994503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19D50D5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1D6D9C8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D9D9D9" w:themeFill="background1" w:themeFillShade="D9"/>
            <w:vAlign w:val="center"/>
            <w:hideMark/>
          </w:tcPr>
          <w:p w14:paraId="111A72F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D9D9D9" w:themeFill="background1" w:themeFillShade="D9"/>
            <w:vAlign w:val="center"/>
            <w:hideMark/>
          </w:tcPr>
          <w:p w14:paraId="3EB8F64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D9D9D9" w:themeFill="background1" w:themeFillShade="D9"/>
            <w:noWrap/>
            <w:vAlign w:val="center"/>
            <w:hideMark/>
          </w:tcPr>
          <w:p w14:paraId="58CCAA0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3EA3BD2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453E0D" w:rsidRPr="006A2BE6" w14:paraId="526E88D5" w14:textId="77777777" w:rsidTr="00D86827">
        <w:trPr>
          <w:trHeight w:val="600"/>
          <w:jc w:val="center"/>
        </w:trPr>
        <w:tc>
          <w:tcPr>
            <w:tcW w:w="1542" w:type="dxa"/>
            <w:shd w:val="clear" w:color="auto" w:fill="auto"/>
            <w:vAlign w:val="center"/>
            <w:hideMark/>
          </w:tcPr>
          <w:p w14:paraId="34F2AF89"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93.300(a)</w:t>
            </w:r>
          </w:p>
        </w:tc>
        <w:tc>
          <w:tcPr>
            <w:tcW w:w="2595" w:type="dxa"/>
            <w:shd w:val="clear" w:color="auto" w:fill="auto"/>
            <w:vAlign w:val="center"/>
            <w:hideMark/>
          </w:tcPr>
          <w:p w14:paraId="5D44DDAE"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Establish maximum per-unit development subsidy amount</w:t>
            </w:r>
          </w:p>
        </w:tc>
        <w:tc>
          <w:tcPr>
            <w:tcW w:w="1275" w:type="dxa"/>
            <w:shd w:val="clear" w:color="auto" w:fill="auto"/>
            <w:vAlign w:val="center"/>
            <w:hideMark/>
          </w:tcPr>
          <w:p w14:paraId="35F93DE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35C934D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02FC049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1949572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auto"/>
            <w:vAlign w:val="center"/>
            <w:hideMark/>
          </w:tcPr>
          <w:p w14:paraId="2DA1000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auto"/>
            <w:noWrap/>
            <w:vAlign w:val="center"/>
            <w:hideMark/>
          </w:tcPr>
          <w:p w14:paraId="148C133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5CCA280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191F98" w:rsidRPr="006A2BE6" w14:paraId="3AD2AC0C" w14:textId="77777777" w:rsidTr="00D86827">
        <w:trPr>
          <w:trHeight w:val="600"/>
          <w:jc w:val="center"/>
        </w:trPr>
        <w:tc>
          <w:tcPr>
            <w:tcW w:w="1542" w:type="dxa"/>
            <w:shd w:val="clear" w:color="auto" w:fill="D9D9D9" w:themeFill="background1" w:themeFillShade="D9"/>
            <w:vAlign w:val="center"/>
            <w:hideMark/>
          </w:tcPr>
          <w:p w14:paraId="7584299E"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93.300(b)</w:t>
            </w:r>
          </w:p>
        </w:tc>
        <w:tc>
          <w:tcPr>
            <w:tcW w:w="2595" w:type="dxa"/>
            <w:shd w:val="clear" w:color="auto" w:fill="D9D9D9" w:themeFill="background1" w:themeFillShade="D9"/>
            <w:vAlign w:val="center"/>
            <w:hideMark/>
          </w:tcPr>
          <w:p w14:paraId="6A3D9539"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Underwriting and subsidy layering</w:t>
            </w:r>
          </w:p>
        </w:tc>
        <w:tc>
          <w:tcPr>
            <w:tcW w:w="1275" w:type="dxa"/>
            <w:shd w:val="clear" w:color="auto" w:fill="D9D9D9" w:themeFill="background1" w:themeFillShade="D9"/>
            <w:vAlign w:val="center"/>
            <w:hideMark/>
          </w:tcPr>
          <w:p w14:paraId="57928B3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1068" w:type="dxa"/>
            <w:shd w:val="clear" w:color="auto" w:fill="D9D9D9" w:themeFill="background1" w:themeFillShade="D9"/>
            <w:vAlign w:val="center"/>
            <w:hideMark/>
          </w:tcPr>
          <w:p w14:paraId="2BF493B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60D3337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87" w:type="dxa"/>
            <w:shd w:val="clear" w:color="auto" w:fill="D9D9D9" w:themeFill="background1" w:themeFillShade="D9"/>
            <w:vAlign w:val="center"/>
            <w:hideMark/>
          </w:tcPr>
          <w:p w14:paraId="216B06B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D9D9D9" w:themeFill="background1" w:themeFillShade="D9"/>
            <w:vAlign w:val="center"/>
            <w:hideMark/>
          </w:tcPr>
          <w:p w14:paraId="21EE9A0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672.00</w:t>
            </w:r>
          </w:p>
        </w:tc>
        <w:tc>
          <w:tcPr>
            <w:tcW w:w="990" w:type="dxa"/>
            <w:shd w:val="clear" w:color="auto" w:fill="D9D9D9" w:themeFill="background1" w:themeFillShade="D9"/>
            <w:noWrap/>
            <w:vAlign w:val="center"/>
            <w:hideMark/>
          </w:tcPr>
          <w:p w14:paraId="5998448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4188DEA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$26,255.04</w:t>
            </w:r>
          </w:p>
        </w:tc>
      </w:tr>
      <w:tr w:rsidR="00453E0D" w:rsidRPr="006A2BE6" w14:paraId="55570C3C" w14:textId="77777777" w:rsidTr="00D86827">
        <w:trPr>
          <w:trHeight w:val="600"/>
          <w:jc w:val="center"/>
        </w:trPr>
        <w:tc>
          <w:tcPr>
            <w:tcW w:w="1542" w:type="dxa"/>
            <w:shd w:val="clear" w:color="auto" w:fill="auto"/>
            <w:vAlign w:val="center"/>
            <w:hideMark/>
          </w:tcPr>
          <w:p w14:paraId="3F1F1A1B"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93.301(a)</w:t>
            </w:r>
          </w:p>
        </w:tc>
        <w:tc>
          <w:tcPr>
            <w:tcW w:w="2595" w:type="dxa"/>
            <w:shd w:val="clear" w:color="auto" w:fill="auto"/>
            <w:vAlign w:val="center"/>
            <w:hideMark/>
          </w:tcPr>
          <w:p w14:paraId="27395E2B"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xml:space="preserve">Property standards - New construction </w:t>
            </w:r>
          </w:p>
        </w:tc>
        <w:tc>
          <w:tcPr>
            <w:tcW w:w="1275" w:type="dxa"/>
            <w:shd w:val="clear" w:color="auto" w:fill="auto"/>
            <w:vAlign w:val="center"/>
            <w:hideMark/>
          </w:tcPr>
          <w:p w14:paraId="5EDE61B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1457E8B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0B86E37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50D1D85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3.00</w:t>
            </w:r>
          </w:p>
        </w:tc>
        <w:tc>
          <w:tcPr>
            <w:tcW w:w="990" w:type="dxa"/>
            <w:shd w:val="clear" w:color="auto" w:fill="auto"/>
            <w:vAlign w:val="center"/>
            <w:hideMark/>
          </w:tcPr>
          <w:p w14:paraId="1D64BE8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90" w:type="dxa"/>
            <w:shd w:val="clear" w:color="auto" w:fill="auto"/>
            <w:noWrap/>
            <w:vAlign w:val="center"/>
            <w:hideMark/>
          </w:tcPr>
          <w:p w14:paraId="3CEEC4E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2F045C5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$6,563.76</w:t>
            </w:r>
          </w:p>
        </w:tc>
      </w:tr>
      <w:tr w:rsidR="00191F98" w:rsidRPr="006A2BE6" w14:paraId="1D6DBDE7" w14:textId="77777777" w:rsidTr="00D86827">
        <w:trPr>
          <w:trHeight w:val="600"/>
          <w:jc w:val="center"/>
        </w:trPr>
        <w:tc>
          <w:tcPr>
            <w:tcW w:w="1542" w:type="dxa"/>
            <w:shd w:val="clear" w:color="auto" w:fill="D9D9D9" w:themeFill="background1" w:themeFillShade="D9"/>
            <w:vAlign w:val="center"/>
            <w:hideMark/>
          </w:tcPr>
          <w:p w14:paraId="077D2E18"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93.302(b)</w:t>
            </w:r>
          </w:p>
        </w:tc>
        <w:tc>
          <w:tcPr>
            <w:tcW w:w="2595" w:type="dxa"/>
            <w:shd w:val="clear" w:color="auto" w:fill="D9D9D9" w:themeFill="background1" w:themeFillShade="D9"/>
            <w:vAlign w:val="center"/>
            <w:hideMark/>
          </w:tcPr>
          <w:p w14:paraId="685E0F74"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xml:space="preserve">Establish rent limitations </w:t>
            </w:r>
          </w:p>
        </w:tc>
        <w:tc>
          <w:tcPr>
            <w:tcW w:w="1275" w:type="dxa"/>
            <w:shd w:val="clear" w:color="auto" w:fill="D9D9D9" w:themeFill="background1" w:themeFillShade="D9"/>
            <w:vAlign w:val="center"/>
            <w:hideMark/>
          </w:tcPr>
          <w:p w14:paraId="7B83D2F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0B4066C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40B3CA9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D9D9D9" w:themeFill="background1" w:themeFillShade="D9"/>
            <w:vAlign w:val="center"/>
            <w:hideMark/>
          </w:tcPr>
          <w:p w14:paraId="4C70DF9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D9D9D9" w:themeFill="background1" w:themeFillShade="D9"/>
            <w:vAlign w:val="center"/>
            <w:hideMark/>
          </w:tcPr>
          <w:p w14:paraId="213DCB8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D9D9D9" w:themeFill="background1" w:themeFillShade="D9"/>
            <w:noWrap/>
            <w:vAlign w:val="center"/>
            <w:hideMark/>
          </w:tcPr>
          <w:p w14:paraId="5AB55AD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7A6C07A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453E0D" w:rsidRPr="006A2BE6" w14:paraId="04C5A640" w14:textId="77777777" w:rsidTr="00D86827">
        <w:trPr>
          <w:trHeight w:val="600"/>
          <w:jc w:val="center"/>
        </w:trPr>
        <w:tc>
          <w:tcPr>
            <w:tcW w:w="1542" w:type="dxa"/>
            <w:shd w:val="clear" w:color="auto" w:fill="auto"/>
            <w:vAlign w:val="center"/>
            <w:hideMark/>
          </w:tcPr>
          <w:p w14:paraId="161AF7B3"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93.302(c)</w:t>
            </w:r>
          </w:p>
        </w:tc>
        <w:tc>
          <w:tcPr>
            <w:tcW w:w="2595" w:type="dxa"/>
            <w:shd w:val="clear" w:color="auto" w:fill="auto"/>
            <w:vAlign w:val="center"/>
            <w:hideMark/>
          </w:tcPr>
          <w:p w14:paraId="239D4B05"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Establish utility allowance</w:t>
            </w:r>
          </w:p>
        </w:tc>
        <w:tc>
          <w:tcPr>
            <w:tcW w:w="1275" w:type="dxa"/>
            <w:shd w:val="clear" w:color="auto" w:fill="auto"/>
            <w:vAlign w:val="center"/>
            <w:hideMark/>
          </w:tcPr>
          <w:p w14:paraId="6453D31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7ED6C04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0F9B14E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4B7C87F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auto"/>
            <w:vAlign w:val="center"/>
            <w:hideMark/>
          </w:tcPr>
          <w:p w14:paraId="0378666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auto"/>
            <w:noWrap/>
            <w:vAlign w:val="center"/>
            <w:hideMark/>
          </w:tcPr>
          <w:p w14:paraId="3CFDFB5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76A0756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191F98" w:rsidRPr="006A2BE6" w14:paraId="1B47936B" w14:textId="77777777" w:rsidTr="00D86827">
        <w:trPr>
          <w:trHeight w:val="600"/>
          <w:jc w:val="center"/>
        </w:trPr>
        <w:tc>
          <w:tcPr>
            <w:tcW w:w="1542" w:type="dxa"/>
            <w:shd w:val="clear" w:color="auto" w:fill="D9D9D9" w:themeFill="background1" w:themeFillShade="D9"/>
            <w:vAlign w:val="center"/>
            <w:hideMark/>
          </w:tcPr>
          <w:p w14:paraId="2D879C06"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93.302(d)(1)</w:t>
            </w:r>
          </w:p>
        </w:tc>
        <w:tc>
          <w:tcPr>
            <w:tcW w:w="2595" w:type="dxa"/>
            <w:shd w:val="clear" w:color="auto" w:fill="D9D9D9" w:themeFill="background1" w:themeFillShade="D9"/>
            <w:vAlign w:val="center"/>
            <w:hideMark/>
          </w:tcPr>
          <w:p w14:paraId="4679638D"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Establish affordability requirements</w:t>
            </w:r>
          </w:p>
        </w:tc>
        <w:tc>
          <w:tcPr>
            <w:tcW w:w="1275" w:type="dxa"/>
            <w:shd w:val="clear" w:color="auto" w:fill="D9D9D9" w:themeFill="background1" w:themeFillShade="D9"/>
            <w:vAlign w:val="center"/>
            <w:hideMark/>
          </w:tcPr>
          <w:p w14:paraId="39ECFC1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5390502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625FD8C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D9D9D9" w:themeFill="background1" w:themeFillShade="D9"/>
            <w:vAlign w:val="center"/>
            <w:hideMark/>
          </w:tcPr>
          <w:p w14:paraId="120C711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D9D9D9" w:themeFill="background1" w:themeFillShade="D9"/>
            <w:vAlign w:val="center"/>
            <w:hideMark/>
          </w:tcPr>
          <w:p w14:paraId="025B193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D9D9D9" w:themeFill="background1" w:themeFillShade="D9"/>
            <w:noWrap/>
            <w:vAlign w:val="center"/>
            <w:hideMark/>
          </w:tcPr>
          <w:p w14:paraId="7BE2D34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47D0408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453E0D" w:rsidRPr="006A2BE6" w14:paraId="4A2FCB8B" w14:textId="77777777" w:rsidTr="00D86827">
        <w:trPr>
          <w:trHeight w:val="600"/>
          <w:jc w:val="center"/>
        </w:trPr>
        <w:tc>
          <w:tcPr>
            <w:tcW w:w="1542" w:type="dxa"/>
            <w:shd w:val="clear" w:color="auto" w:fill="auto"/>
            <w:vAlign w:val="center"/>
            <w:hideMark/>
          </w:tcPr>
          <w:p w14:paraId="23EF41B2"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93.302(d)(3)</w:t>
            </w:r>
          </w:p>
        </w:tc>
        <w:tc>
          <w:tcPr>
            <w:tcW w:w="2595" w:type="dxa"/>
            <w:shd w:val="clear" w:color="auto" w:fill="auto"/>
            <w:vAlign w:val="center"/>
            <w:hideMark/>
          </w:tcPr>
          <w:p w14:paraId="2CB80AA1"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xml:space="preserve">Establish preemptive procedures before foreclosure </w:t>
            </w:r>
          </w:p>
        </w:tc>
        <w:tc>
          <w:tcPr>
            <w:tcW w:w="1275" w:type="dxa"/>
            <w:shd w:val="clear" w:color="auto" w:fill="auto"/>
            <w:vAlign w:val="center"/>
            <w:hideMark/>
          </w:tcPr>
          <w:p w14:paraId="2B7C887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638C567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19DDB1C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68FAE38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auto"/>
            <w:vAlign w:val="center"/>
            <w:hideMark/>
          </w:tcPr>
          <w:p w14:paraId="7BF6CA7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auto"/>
            <w:noWrap/>
            <w:vAlign w:val="center"/>
            <w:hideMark/>
          </w:tcPr>
          <w:p w14:paraId="45C31C9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692BA39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191F98" w:rsidRPr="006A2BE6" w14:paraId="1ED6D61F" w14:textId="77777777" w:rsidTr="00D86827">
        <w:trPr>
          <w:trHeight w:val="600"/>
          <w:jc w:val="center"/>
        </w:trPr>
        <w:tc>
          <w:tcPr>
            <w:tcW w:w="1542" w:type="dxa"/>
            <w:shd w:val="clear" w:color="auto" w:fill="D9D9D9" w:themeFill="background1" w:themeFillShade="D9"/>
            <w:vAlign w:val="center"/>
            <w:hideMark/>
          </w:tcPr>
          <w:p w14:paraId="26A07EB8"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93.302(e)(1)</w:t>
            </w:r>
          </w:p>
        </w:tc>
        <w:tc>
          <w:tcPr>
            <w:tcW w:w="2595" w:type="dxa"/>
            <w:shd w:val="clear" w:color="auto" w:fill="D9D9D9" w:themeFill="background1" w:themeFillShade="D9"/>
            <w:vAlign w:val="center"/>
            <w:hideMark/>
          </w:tcPr>
          <w:p w14:paraId="762A2FE8"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Initial income determination</w:t>
            </w:r>
          </w:p>
        </w:tc>
        <w:tc>
          <w:tcPr>
            <w:tcW w:w="1275" w:type="dxa"/>
            <w:shd w:val="clear" w:color="auto" w:fill="D9D9D9" w:themeFill="background1" w:themeFillShade="D9"/>
            <w:vAlign w:val="center"/>
            <w:hideMark/>
          </w:tcPr>
          <w:p w14:paraId="4B7CDA08" w14:textId="5D348054"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w:t>
            </w:r>
            <w:r w:rsidR="00945882">
              <w:rPr>
                <w:rFonts w:ascii="Calibri" w:hAnsi="Calibri" w:cs="Calibri"/>
                <w:color w:val="000000"/>
                <w:sz w:val="18"/>
                <w:szCs w:val="20"/>
              </w:rPr>
              <w:t>,</w:t>
            </w:r>
            <w:r w:rsidRPr="006A2BE6">
              <w:rPr>
                <w:rFonts w:ascii="Calibri" w:hAnsi="Calibri" w:cs="Calibri"/>
                <w:color w:val="000000"/>
                <w:sz w:val="18"/>
                <w:szCs w:val="20"/>
              </w:rPr>
              <w:t>821.00</w:t>
            </w:r>
          </w:p>
        </w:tc>
        <w:tc>
          <w:tcPr>
            <w:tcW w:w="1068" w:type="dxa"/>
            <w:shd w:val="clear" w:color="auto" w:fill="D9D9D9" w:themeFill="background1" w:themeFillShade="D9"/>
            <w:vAlign w:val="center"/>
            <w:hideMark/>
          </w:tcPr>
          <w:p w14:paraId="0FC53D6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1CD13964" w14:textId="422C039D"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w:t>
            </w:r>
            <w:r w:rsidR="00945882">
              <w:rPr>
                <w:rFonts w:ascii="Calibri" w:hAnsi="Calibri" w:cs="Calibri"/>
                <w:color w:val="000000"/>
                <w:sz w:val="18"/>
                <w:szCs w:val="20"/>
              </w:rPr>
              <w:t>,</w:t>
            </w:r>
            <w:r w:rsidRPr="006A2BE6">
              <w:rPr>
                <w:rFonts w:ascii="Calibri" w:hAnsi="Calibri" w:cs="Calibri"/>
                <w:color w:val="000000"/>
                <w:sz w:val="18"/>
                <w:szCs w:val="20"/>
              </w:rPr>
              <w:t>821.00</w:t>
            </w:r>
          </w:p>
        </w:tc>
        <w:tc>
          <w:tcPr>
            <w:tcW w:w="987" w:type="dxa"/>
            <w:shd w:val="clear" w:color="auto" w:fill="D9D9D9" w:themeFill="background1" w:themeFillShade="D9"/>
            <w:vAlign w:val="center"/>
            <w:hideMark/>
          </w:tcPr>
          <w:p w14:paraId="219361C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2E1C09AF" w14:textId="2D93637F"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w:t>
            </w:r>
            <w:r w:rsidR="00945882">
              <w:rPr>
                <w:rFonts w:ascii="Calibri" w:hAnsi="Calibri" w:cs="Calibri"/>
                <w:color w:val="000000"/>
                <w:sz w:val="18"/>
                <w:szCs w:val="20"/>
              </w:rPr>
              <w:t>,</w:t>
            </w:r>
            <w:r w:rsidRPr="006A2BE6">
              <w:rPr>
                <w:rFonts w:ascii="Calibri" w:hAnsi="Calibri" w:cs="Calibri"/>
                <w:color w:val="000000"/>
                <w:sz w:val="18"/>
                <w:szCs w:val="20"/>
              </w:rPr>
              <w:t>821.00</w:t>
            </w:r>
          </w:p>
        </w:tc>
        <w:tc>
          <w:tcPr>
            <w:tcW w:w="990" w:type="dxa"/>
            <w:shd w:val="clear" w:color="auto" w:fill="D9D9D9" w:themeFill="background1" w:themeFillShade="D9"/>
            <w:noWrap/>
            <w:vAlign w:val="center"/>
            <w:hideMark/>
          </w:tcPr>
          <w:p w14:paraId="04AC3CF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5EAC9B8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$71,146.47</w:t>
            </w:r>
          </w:p>
        </w:tc>
      </w:tr>
      <w:tr w:rsidR="00453E0D" w:rsidRPr="006A2BE6" w14:paraId="609AF598" w14:textId="77777777" w:rsidTr="00D86827">
        <w:trPr>
          <w:trHeight w:val="600"/>
          <w:jc w:val="center"/>
        </w:trPr>
        <w:tc>
          <w:tcPr>
            <w:tcW w:w="1542" w:type="dxa"/>
            <w:shd w:val="clear" w:color="auto" w:fill="auto"/>
            <w:vAlign w:val="center"/>
            <w:hideMark/>
          </w:tcPr>
          <w:p w14:paraId="32E11B76"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93.302(e)(1)</w:t>
            </w:r>
          </w:p>
        </w:tc>
        <w:tc>
          <w:tcPr>
            <w:tcW w:w="2595" w:type="dxa"/>
            <w:shd w:val="clear" w:color="auto" w:fill="auto"/>
            <w:vAlign w:val="center"/>
            <w:hideMark/>
          </w:tcPr>
          <w:p w14:paraId="00E73A30"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Annual income determination</w:t>
            </w:r>
          </w:p>
        </w:tc>
        <w:tc>
          <w:tcPr>
            <w:tcW w:w="1275" w:type="dxa"/>
            <w:shd w:val="clear" w:color="auto" w:fill="auto"/>
            <w:vAlign w:val="center"/>
            <w:hideMark/>
          </w:tcPr>
          <w:p w14:paraId="41AFFF61" w14:textId="2B7FB44C"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w:t>
            </w:r>
            <w:r w:rsidR="00945882">
              <w:rPr>
                <w:rFonts w:ascii="Calibri" w:hAnsi="Calibri" w:cs="Calibri"/>
                <w:color w:val="000000"/>
                <w:sz w:val="18"/>
                <w:szCs w:val="20"/>
              </w:rPr>
              <w:t>,</w:t>
            </w:r>
            <w:r w:rsidRPr="006A2BE6">
              <w:rPr>
                <w:rFonts w:ascii="Calibri" w:hAnsi="Calibri" w:cs="Calibri"/>
                <w:color w:val="000000"/>
                <w:sz w:val="18"/>
                <w:szCs w:val="20"/>
              </w:rPr>
              <w:t>600.00</w:t>
            </w:r>
          </w:p>
        </w:tc>
        <w:tc>
          <w:tcPr>
            <w:tcW w:w="1068" w:type="dxa"/>
            <w:shd w:val="clear" w:color="auto" w:fill="auto"/>
            <w:vAlign w:val="center"/>
            <w:hideMark/>
          </w:tcPr>
          <w:p w14:paraId="17E5121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49F2F5B6" w14:textId="739EBB2D"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w:t>
            </w:r>
            <w:r w:rsidR="00945882">
              <w:rPr>
                <w:rFonts w:ascii="Calibri" w:hAnsi="Calibri" w:cs="Calibri"/>
                <w:color w:val="000000"/>
                <w:sz w:val="18"/>
                <w:szCs w:val="20"/>
              </w:rPr>
              <w:t>,</w:t>
            </w:r>
            <w:r w:rsidRPr="006A2BE6">
              <w:rPr>
                <w:rFonts w:ascii="Calibri" w:hAnsi="Calibri" w:cs="Calibri"/>
                <w:color w:val="000000"/>
                <w:sz w:val="18"/>
                <w:szCs w:val="20"/>
              </w:rPr>
              <w:t>600.00</w:t>
            </w:r>
          </w:p>
        </w:tc>
        <w:tc>
          <w:tcPr>
            <w:tcW w:w="987" w:type="dxa"/>
            <w:shd w:val="clear" w:color="auto" w:fill="auto"/>
            <w:vAlign w:val="center"/>
            <w:hideMark/>
          </w:tcPr>
          <w:p w14:paraId="08C9114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0.25</w:t>
            </w:r>
          </w:p>
        </w:tc>
        <w:tc>
          <w:tcPr>
            <w:tcW w:w="990" w:type="dxa"/>
            <w:shd w:val="clear" w:color="auto" w:fill="auto"/>
            <w:vAlign w:val="center"/>
            <w:hideMark/>
          </w:tcPr>
          <w:p w14:paraId="24A963B5" w14:textId="0A5CC13A"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w:t>
            </w:r>
            <w:r w:rsidR="00945882">
              <w:rPr>
                <w:rFonts w:ascii="Calibri" w:hAnsi="Calibri" w:cs="Calibri"/>
                <w:color w:val="000000"/>
                <w:sz w:val="18"/>
                <w:szCs w:val="20"/>
              </w:rPr>
              <w:t>,</w:t>
            </w:r>
            <w:r w:rsidRPr="006A2BE6">
              <w:rPr>
                <w:rFonts w:ascii="Calibri" w:hAnsi="Calibri" w:cs="Calibri"/>
                <w:color w:val="000000"/>
                <w:sz w:val="18"/>
                <w:szCs w:val="20"/>
              </w:rPr>
              <w:t>400.00</w:t>
            </w:r>
          </w:p>
        </w:tc>
        <w:tc>
          <w:tcPr>
            <w:tcW w:w="990" w:type="dxa"/>
            <w:shd w:val="clear" w:color="auto" w:fill="auto"/>
            <w:noWrap/>
            <w:vAlign w:val="center"/>
            <w:hideMark/>
          </w:tcPr>
          <w:p w14:paraId="1162DB1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187BCE0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$54,698.00</w:t>
            </w:r>
          </w:p>
        </w:tc>
      </w:tr>
      <w:tr w:rsidR="00191F98" w:rsidRPr="006A2BE6" w14:paraId="79632FCF" w14:textId="77777777" w:rsidTr="00D86827">
        <w:trPr>
          <w:trHeight w:val="600"/>
          <w:jc w:val="center"/>
        </w:trPr>
        <w:tc>
          <w:tcPr>
            <w:tcW w:w="1542" w:type="dxa"/>
            <w:shd w:val="clear" w:color="auto" w:fill="D9D9D9" w:themeFill="background1" w:themeFillShade="D9"/>
            <w:vAlign w:val="center"/>
            <w:hideMark/>
          </w:tcPr>
          <w:p w14:paraId="33CCC460"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93.304(f)</w:t>
            </w:r>
          </w:p>
        </w:tc>
        <w:tc>
          <w:tcPr>
            <w:tcW w:w="2595" w:type="dxa"/>
            <w:shd w:val="clear" w:color="auto" w:fill="D9D9D9" w:themeFill="background1" w:themeFillShade="D9"/>
            <w:vAlign w:val="center"/>
            <w:hideMark/>
          </w:tcPr>
          <w:p w14:paraId="51966FE4"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Establish resale or recapture provisions</w:t>
            </w:r>
          </w:p>
        </w:tc>
        <w:tc>
          <w:tcPr>
            <w:tcW w:w="1275" w:type="dxa"/>
            <w:shd w:val="clear" w:color="auto" w:fill="D9D9D9" w:themeFill="background1" w:themeFillShade="D9"/>
            <w:vAlign w:val="center"/>
            <w:hideMark/>
          </w:tcPr>
          <w:p w14:paraId="134F4F9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1068" w:type="dxa"/>
            <w:shd w:val="clear" w:color="auto" w:fill="D9D9D9" w:themeFill="background1" w:themeFillShade="D9"/>
            <w:vAlign w:val="center"/>
            <w:hideMark/>
          </w:tcPr>
          <w:p w14:paraId="64AC9AC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4CB9F4F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987" w:type="dxa"/>
            <w:shd w:val="clear" w:color="auto" w:fill="D9D9D9" w:themeFill="background1" w:themeFillShade="D9"/>
            <w:vAlign w:val="center"/>
            <w:hideMark/>
          </w:tcPr>
          <w:p w14:paraId="14F6B40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5.00</w:t>
            </w:r>
          </w:p>
        </w:tc>
        <w:tc>
          <w:tcPr>
            <w:tcW w:w="990" w:type="dxa"/>
            <w:shd w:val="clear" w:color="auto" w:fill="D9D9D9" w:themeFill="background1" w:themeFillShade="D9"/>
            <w:vAlign w:val="center"/>
            <w:hideMark/>
          </w:tcPr>
          <w:p w14:paraId="5765D27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990" w:type="dxa"/>
            <w:shd w:val="clear" w:color="auto" w:fill="D9D9D9" w:themeFill="background1" w:themeFillShade="D9"/>
            <w:noWrap/>
            <w:vAlign w:val="center"/>
            <w:hideMark/>
          </w:tcPr>
          <w:p w14:paraId="7847786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68E3774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r>
      <w:tr w:rsidR="00453E0D" w:rsidRPr="006A2BE6" w14:paraId="6BD05ABB" w14:textId="77777777" w:rsidTr="00D86827">
        <w:trPr>
          <w:trHeight w:val="600"/>
          <w:jc w:val="center"/>
        </w:trPr>
        <w:tc>
          <w:tcPr>
            <w:tcW w:w="1542" w:type="dxa"/>
            <w:shd w:val="clear" w:color="auto" w:fill="auto"/>
            <w:vAlign w:val="center"/>
            <w:hideMark/>
          </w:tcPr>
          <w:p w14:paraId="6D2E1CAC"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93.304(m)(1)</w:t>
            </w:r>
          </w:p>
        </w:tc>
        <w:tc>
          <w:tcPr>
            <w:tcW w:w="2595" w:type="dxa"/>
            <w:shd w:val="clear" w:color="auto" w:fill="auto"/>
            <w:vAlign w:val="center"/>
            <w:hideMark/>
          </w:tcPr>
          <w:p w14:paraId="1D0ED1B8"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Underwriting standards for homeownership assistance</w:t>
            </w:r>
          </w:p>
        </w:tc>
        <w:tc>
          <w:tcPr>
            <w:tcW w:w="1275" w:type="dxa"/>
            <w:shd w:val="clear" w:color="auto" w:fill="auto"/>
            <w:vAlign w:val="center"/>
            <w:hideMark/>
          </w:tcPr>
          <w:p w14:paraId="5C90549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1068" w:type="dxa"/>
            <w:shd w:val="clear" w:color="auto" w:fill="auto"/>
            <w:vAlign w:val="center"/>
            <w:hideMark/>
          </w:tcPr>
          <w:p w14:paraId="2809E90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1F3E09B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987" w:type="dxa"/>
            <w:shd w:val="clear" w:color="auto" w:fill="auto"/>
            <w:vAlign w:val="center"/>
            <w:hideMark/>
          </w:tcPr>
          <w:p w14:paraId="2A07663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6.00</w:t>
            </w:r>
          </w:p>
        </w:tc>
        <w:tc>
          <w:tcPr>
            <w:tcW w:w="990" w:type="dxa"/>
            <w:shd w:val="clear" w:color="auto" w:fill="auto"/>
            <w:vAlign w:val="center"/>
            <w:hideMark/>
          </w:tcPr>
          <w:p w14:paraId="78E9BA7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990" w:type="dxa"/>
            <w:shd w:val="clear" w:color="auto" w:fill="auto"/>
            <w:noWrap/>
            <w:vAlign w:val="center"/>
            <w:hideMark/>
          </w:tcPr>
          <w:p w14:paraId="39A3BA6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5931EFF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r>
      <w:tr w:rsidR="00191F98" w:rsidRPr="006A2BE6" w14:paraId="543E7634" w14:textId="77777777" w:rsidTr="00D86827">
        <w:trPr>
          <w:trHeight w:val="600"/>
          <w:jc w:val="center"/>
        </w:trPr>
        <w:tc>
          <w:tcPr>
            <w:tcW w:w="1542" w:type="dxa"/>
            <w:shd w:val="clear" w:color="auto" w:fill="D9D9D9" w:themeFill="background1" w:themeFillShade="D9"/>
            <w:vAlign w:val="center"/>
            <w:hideMark/>
          </w:tcPr>
          <w:p w14:paraId="33359D03"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93.304(m)(2)</w:t>
            </w:r>
          </w:p>
        </w:tc>
        <w:tc>
          <w:tcPr>
            <w:tcW w:w="2595" w:type="dxa"/>
            <w:shd w:val="clear" w:color="auto" w:fill="D9D9D9" w:themeFill="background1" w:themeFillShade="D9"/>
            <w:vAlign w:val="center"/>
            <w:hideMark/>
          </w:tcPr>
          <w:p w14:paraId="2AD55747"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Establish policies for anti-predatory lending</w:t>
            </w:r>
          </w:p>
        </w:tc>
        <w:tc>
          <w:tcPr>
            <w:tcW w:w="1275" w:type="dxa"/>
            <w:shd w:val="clear" w:color="auto" w:fill="D9D9D9" w:themeFill="background1" w:themeFillShade="D9"/>
            <w:vAlign w:val="center"/>
            <w:hideMark/>
          </w:tcPr>
          <w:p w14:paraId="55821AC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1068" w:type="dxa"/>
            <w:shd w:val="clear" w:color="auto" w:fill="D9D9D9" w:themeFill="background1" w:themeFillShade="D9"/>
            <w:vAlign w:val="center"/>
            <w:hideMark/>
          </w:tcPr>
          <w:p w14:paraId="7B4B2CC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0E017CE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987" w:type="dxa"/>
            <w:shd w:val="clear" w:color="auto" w:fill="D9D9D9" w:themeFill="background1" w:themeFillShade="D9"/>
            <w:vAlign w:val="center"/>
            <w:hideMark/>
          </w:tcPr>
          <w:p w14:paraId="6A215CC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D9D9D9" w:themeFill="background1" w:themeFillShade="D9"/>
            <w:vAlign w:val="center"/>
            <w:hideMark/>
          </w:tcPr>
          <w:p w14:paraId="1CF1BE6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990" w:type="dxa"/>
            <w:shd w:val="clear" w:color="auto" w:fill="D9D9D9" w:themeFill="background1" w:themeFillShade="D9"/>
            <w:noWrap/>
            <w:vAlign w:val="center"/>
            <w:hideMark/>
          </w:tcPr>
          <w:p w14:paraId="0122230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15A774F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r>
      <w:tr w:rsidR="00453E0D" w:rsidRPr="006A2BE6" w14:paraId="621F8608" w14:textId="77777777" w:rsidTr="00D86827">
        <w:trPr>
          <w:trHeight w:val="600"/>
          <w:jc w:val="center"/>
        </w:trPr>
        <w:tc>
          <w:tcPr>
            <w:tcW w:w="1542" w:type="dxa"/>
            <w:shd w:val="clear" w:color="auto" w:fill="auto"/>
            <w:vAlign w:val="center"/>
            <w:hideMark/>
          </w:tcPr>
          <w:p w14:paraId="7B498BC1"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93.304(m)(3)</w:t>
            </w:r>
          </w:p>
        </w:tc>
        <w:tc>
          <w:tcPr>
            <w:tcW w:w="2595" w:type="dxa"/>
            <w:shd w:val="clear" w:color="auto" w:fill="auto"/>
            <w:vAlign w:val="center"/>
            <w:hideMark/>
          </w:tcPr>
          <w:p w14:paraId="4F8371FC"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Establish reasonable refinancing for subordinated HTF loans</w:t>
            </w:r>
          </w:p>
        </w:tc>
        <w:tc>
          <w:tcPr>
            <w:tcW w:w="1275" w:type="dxa"/>
            <w:shd w:val="clear" w:color="auto" w:fill="auto"/>
            <w:vAlign w:val="center"/>
            <w:hideMark/>
          </w:tcPr>
          <w:p w14:paraId="00B8A89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1068" w:type="dxa"/>
            <w:shd w:val="clear" w:color="auto" w:fill="auto"/>
            <w:vAlign w:val="center"/>
            <w:hideMark/>
          </w:tcPr>
          <w:p w14:paraId="47286CB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74E07E3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987" w:type="dxa"/>
            <w:shd w:val="clear" w:color="auto" w:fill="auto"/>
            <w:vAlign w:val="center"/>
            <w:hideMark/>
          </w:tcPr>
          <w:p w14:paraId="63576E2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auto"/>
            <w:vAlign w:val="center"/>
            <w:hideMark/>
          </w:tcPr>
          <w:p w14:paraId="2C28D9F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990" w:type="dxa"/>
            <w:shd w:val="clear" w:color="auto" w:fill="auto"/>
            <w:noWrap/>
            <w:vAlign w:val="center"/>
            <w:hideMark/>
          </w:tcPr>
          <w:p w14:paraId="363E4A0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0EAB712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r>
      <w:tr w:rsidR="00191F98" w:rsidRPr="006A2BE6" w14:paraId="5A07AFE4" w14:textId="77777777" w:rsidTr="00D86827">
        <w:trPr>
          <w:trHeight w:val="600"/>
          <w:jc w:val="center"/>
        </w:trPr>
        <w:tc>
          <w:tcPr>
            <w:tcW w:w="1542" w:type="dxa"/>
            <w:shd w:val="clear" w:color="auto" w:fill="D9D9D9" w:themeFill="background1" w:themeFillShade="D9"/>
            <w:vAlign w:val="center"/>
            <w:hideMark/>
          </w:tcPr>
          <w:p w14:paraId="6E65BD97"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93.305(1)</w:t>
            </w:r>
          </w:p>
        </w:tc>
        <w:tc>
          <w:tcPr>
            <w:tcW w:w="2595" w:type="dxa"/>
            <w:shd w:val="clear" w:color="auto" w:fill="D9D9D9" w:themeFill="background1" w:themeFillShade="D9"/>
            <w:vAlign w:val="center"/>
            <w:hideMark/>
          </w:tcPr>
          <w:p w14:paraId="50273E25"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Establish modest housing guidelines</w:t>
            </w:r>
          </w:p>
        </w:tc>
        <w:tc>
          <w:tcPr>
            <w:tcW w:w="1275" w:type="dxa"/>
            <w:shd w:val="clear" w:color="auto" w:fill="D9D9D9" w:themeFill="background1" w:themeFillShade="D9"/>
            <w:vAlign w:val="center"/>
            <w:hideMark/>
          </w:tcPr>
          <w:p w14:paraId="0C87E7B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1068" w:type="dxa"/>
            <w:shd w:val="clear" w:color="auto" w:fill="D9D9D9" w:themeFill="background1" w:themeFillShade="D9"/>
            <w:vAlign w:val="center"/>
            <w:hideMark/>
          </w:tcPr>
          <w:p w14:paraId="54D0010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4AC495A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987" w:type="dxa"/>
            <w:shd w:val="clear" w:color="auto" w:fill="D9D9D9" w:themeFill="background1" w:themeFillShade="D9"/>
            <w:vAlign w:val="center"/>
            <w:hideMark/>
          </w:tcPr>
          <w:p w14:paraId="72AE0A4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5.00</w:t>
            </w:r>
          </w:p>
        </w:tc>
        <w:tc>
          <w:tcPr>
            <w:tcW w:w="990" w:type="dxa"/>
            <w:shd w:val="clear" w:color="auto" w:fill="D9D9D9" w:themeFill="background1" w:themeFillShade="D9"/>
            <w:vAlign w:val="center"/>
            <w:hideMark/>
          </w:tcPr>
          <w:p w14:paraId="19CCFAC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c>
          <w:tcPr>
            <w:tcW w:w="990" w:type="dxa"/>
            <w:shd w:val="clear" w:color="auto" w:fill="D9D9D9" w:themeFill="background1" w:themeFillShade="D9"/>
            <w:noWrap/>
            <w:vAlign w:val="center"/>
            <w:hideMark/>
          </w:tcPr>
          <w:p w14:paraId="67BD1B3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5CCA5AB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$0.00</w:t>
            </w:r>
          </w:p>
        </w:tc>
      </w:tr>
      <w:tr w:rsidR="00453E0D" w:rsidRPr="006A2BE6" w14:paraId="6A5E7870" w14:textId="77777777" w:rsidTr="00D86827">
        <w:trPr>
          <w:trHeight w:val="600"/>
          <w:jc w:val="center"/>
        </w:trPr>
        <w:tc>
          <w:tcPr>
            <w:tcW w:w="1542" w:type="dxa"/>
            <w:shd w:val="clear" w:color="auto" w:fill="auto"/>
            <w:vAlign w:val="center"/>
            <w:hideMark/>
          </w:tcPr>
          <w:p w14:paraId="73F3B69C"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93.350(a)</w:t>
            </w:r>
          </w:p>
        </w:tc>
        <w:tc>
          <w:tcPr>
            <w:tcW w:w="2595" w:type="dxa"/>
            <w:shd w:val="clear" w:color="auto" w:fill="auto"/>
            <w:vAlign w:val="center"/>
            <w:hideMark/>
          </w:tcPr>
          <w:p w14:paraId="67B17761" w14:textId="3563BD10"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xml:space="preserve">Nondiscrimination and equal opportunity </w:t>
            </w:r>
            <w:r w:rsidR="006D65BE" w:rsidRPr="006A2BE6">
              <w:rPr>
                <w:rFonts w:ascii="Calibri" w:hAnsi="Calibri" w:cs="Calibri"/>
                <w:color w:val="000000"/>
                <w:sz w:val="18"/>
                <w:szCs w:val="20"/>
              </w:rPr>
              <w:t>procedures</w:t>
            </w:r>
          </w:p>
        </w:tc>
        <w:tc>
          <w:tcPr>
            <w:tcW w:w="1275" w:type="dxa"/>
            <w:shd w:val="clear" w:color="auto" w:fill="auto"/>
            <w:vAlign w:val="center"/>
            <w:hideMark/>
          </w:tcPr>
          <w:p w14:paraId="1E3DB60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407E0D8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3EDACB9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6AC132E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8.00</w:t>
            </w:r>
          </w:p>
        </w:tc>
        <w:tc>
          <w:tcPr>
            <w:tcW w:w="990" w:type="dxa"/>
            <w:shd w:val="clear" w:color="auto" w:fill="auto"/>
            <w:vAlign w:val="center"/>
            <w:hideMark/>
          </w:tcPr>
          <w:p w14:paraId="10C99F1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448.00</w:t>
            </w:r>
          </w:p>
        </w:tc>
        <w:tc>
          <w:tcPr>
            <w:tcW w:w="990" w:type="dxa"/>
            <w:shd w:val="clear" w:color="auto" w:fill="auto"/>
            <w:noWrap/>
            <w:vAlign w:val="center"/>
            <w:hideMark/>
          </w:tcPr>
          <w:p w14:paraId="21E99F9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1A9BE9A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$17,503.36</w:t>
            </w:r>
          </w:p>
        </w:tc>
      </w:tr>
      <w:tr w:rsidR="00191F98" w:rsidRPr="006A2BE6" w14:paraId="7B75EE19" w14:textId="77777777" w:rsidTr="00D86827">
        <w:trPr>
          <w:trHeight w:val="600"/>
          <w:jc w:val="center"/>
        </w:trPr>
        <w:tc>
          <w:tcPr>
            <w:tcW w:w="1542" w:type="dxa"/>
            <w:shd w:val="clear" w:color="auto" w:fill="D9D9D9" w:themeFill="background1" w:themeFillShade="D9"/>
            <w:vAlign w:val="center"/>
            <w:hideMark/>
          </w:tcPr>
          <w:p w14:paraId="453F4E4F"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93.350(b)(1)</w:t>
            </w:r>
          </w:p>
        </w:tc>
        <w:tc>
          <w:tcPr>
            <w:tcW w:w="2595" w:type="dxa"/>
            <w:shd w:val="clear" w:color="auto" w:fill="D9D9D9" w:themeFill="background1" w:themeFillShade="D9"/>
            <w:vAlign w:val="center"/>
            <w:hideMark/>
          </w:tcPr>
          <w:p w14:paraId="28ABFC93"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xml:space="preserve">Affirmative marketing procedures </w:t>
            </w:r>
          </w:p>
        </w:tc>
        <w:tc>
          <w:tcPr>
            <w:tcW w:w="1275" w:type="dxa"/>
            <w:shd w:val="clear" w:color="auto" w:fill="D9D9D9" w:themeFill="background1" w:themeFillShade="D9"/>
            <w:vAlign w:val="center"/>
            <w:hideMark/>
          </w:tcPr>
          <w:p w14:paraId="69055F0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0E1A8DC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2BBD815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D9D9D9" w:themeFill="background1" w:themeFillShade="D9"/>
            <w:vAlign w:val="center"/>
            <w:hideMark/>
          </w:tcPr>
          <w:p w14:paraId="2017474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10.00</w:t>
            </w:r>
          </w:p>
        </w:tc>
        <w:tc>
          <w:tcPr>
            <w:tcW w:w="990" w:type="dxa"/>
            <w:shd w:val="clear" w:color="auto" w:fill="D9D9D9" w:themeFill="background1" w:themeFillShade="D9"/>
            <w:vAlign w:val="center"/>
            <w:hideMark/>
          </w:tcPr>
          <w:p w14:paraId="3816983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560.00</w:t>
            </w:r>
          </w:p>
        </w:tc>
        <w:tc>
          <w:tcPr>
            <w:tcW w:w="990" w:type="dxa"/>
            <w:shd w:val="clear" w:color="auto" w:fill="D9D9D9" w:themeFill="background1" w:themeFillShade="D9"/>
            <w:noWrap/>
            <w:vAlign w:val="center"/>
            <w:hideMark/>
          </w:tcPr>
          <w:p w14:paraId="55D9F72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25EC75F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$21,879.20</w:t>
            </w:r>
          </w:p>
        </w:tc>
      </w:tr>
      <w:tr w:rsidR="00453E0D" w:rsidRPr="006A2BE6" w14:paraId="67151F60" w14:textId="77777777" w:rsidTr="00D86827">
        <w:trPr>
          <w:trHeight w:val="600"/>
          <w:jc w:val="center"/>
        </w:trPr>
        <w:tc>
          <w:tcPr>
            <w:tcW w:w="1542" w:type="dxa"/>
            <w:shd w:val="clear" w:color="auto" w:fill="auto"/>
            <w:noWrap/>
            <w:vAlign w:val="center"/>
            <w:hideMark/>
          </w:tcPr>
          <w:p w14:paraId="763C3AD3" w14:textId="77777777" w:rsidR="00736FE8" w:rsidRPr="006A2BE6" w:rsidRDefault="00736FE8">
            <w:pPr>
              <w:rPr>
                <w:rFonts w:ascii="Calibri" w:hAnsi="Calibri" w:cs="Calibri"/>
                <w:color w:val="333333"/>
                <w:sz w:val="18"/>
                <w:szCs w:val="20"/>
              </w:rPr>
            </w:pPr>
            <w:r w:rsidRPr="006A2BE6">
              <w:rPr>
                <w:rFonts w:ascii="Calibri" w:hAnsi="Calibri" w:cs="Calibri"/>
                <w:color w:val="333333"/>
                <w:sz w:val="18"/>
                <w:szCs w:val="20"/>
              </w:rPr>
              <w:t xml:space="preserve">§ 93.351 </w:t>
            </w:r>
          </w:p>
        </w:tc>
        <w:tc>
          <w:tcPr>
            <w:tcW w:w="2595" w:type="dxa"/>
            <w:shd w:val="clear" w:color="auto" w:fill="auto"/>
            <w:vAlign w:val="center"/>
            <w:hideMark/>
          </w:tcPr>
          <w:p w14:paraId="7FA9B9B1"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Lead-based paint</w:t>
            </w:r>
          </w:p>
        </w:tc>
        <w:tc>
          <w:tcPr>
            <w:tcW w:w="1275" w:type="dxa"/>
            <w:shd w:val="clear" w:color="auto" w:fill="auto"/>
            <w:vAlign w:val="center"/>
            <w:hideMark/>
          </w:tcPr>
          <w:p w14:paraId="2D45C40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687EC6D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62A0099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309BCE2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643F824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90" w:type="dxa"/>
            <w:shd w:val="clear" w:color="auto" w:fill="auto"/>
            <w:noWrap/>
            <w:vAlign w:val="center"/>
            <w:hideMark/>
          </w:tcPr>
          <w:p w14:paraId="7375EA2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0DA3FC5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$2,187.92</w:t>
            </w:r>
          </w:p>
        </w:tc>
      </w:tr>
      <w:tr w:rsidR="00191F98" w:rsidRPr="006A2BE6" w14:paraId="3E729104" w14:textId="77777777" w:rsidTr="00D86827">
        <w:trPr>
          <w:trHeight w:val="600"/>
          <w:jc w:val="center"/>
        </w:trPr>
        <w:tc>
          <w:tcPr>
            <w:tcW w:w="1542" w:type="dxa"/>
            <w:shd w:val="clear" w:color="auto" w:fill="D9D9D9" w:themeFill="background1" w:themeFillShade="D9"/>
            <w:vAlign w:val="center"/>
            <w:hideMark/>
          </w:tcPr>
          <w:p w14:paraId="30618A6E"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xml:space="preserve">§ 93.352 </w:t>
            </w:r>
          </w:p>
        </w:tc>
        <w:tc>
          <w:tcPr>
            <w:tcW w:w="2595" w:type="dxa"/>
            <w:shd w:val="clear" w:color="auto" w:fill="D9D9D9" w:themeFill="background1" w:themeFillShade="D9"/>
            <w:vAlign w:val="center"/>
            <w:hideMark/>
          </w:tcPr>
          <w:p w14:paraId="29086EA9"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Displacement, relocation, and acquisition procedures</w:t>
            </w:r>
          </w:p>
        </w:tc>
        <w:tc>
          <w:tcPr>
            <w:tcW w:w="1275" w:type="dxa"/>
            <w:shd w:val="clear" w:color="auto" w:fill="D9D9D9" w:themeFill="background1" w:themeFillShade="D9"/>
            <w:vAlign w:val="center"/>
            <w:hideMark/>
          </w:tcPr>
          <w:p w14:paraId="438A14E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23517F2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088881D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D9D9D9" w:themeFill="background1" w:themeFillShade="D9"/>
            <w:vAlign w:val="center"/>
            <w:hideMark/>
          </w:tcPr>
          <w:p w14:paraId="77EAF50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D9D9D9" w:themeFill="background1" w:themeFillShade="D9"/>
            <w:vAlign w:val="center"/>
            <w:hideMark/>
          </w:tcPr>
          <w:p w14:paraId="0BC7873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D9D9D9" w:themeFill="background1" w:themeFillShade="D9"/>
            <w:noWrap/>
            <w:vAlign w:val="center"/>
            <w:hideMark/>
          </w:tcPr>
          <w:p w14:paraId="009AB86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4AA1DB9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453E0D" w:rsidRPr="006A2BE6" w14:paraId="3CD58040" w14:textId="77777777" w:rsidTr="00D86827">
        <w:trPr>
          <w:trHeight w:val="600"/>
          <w:jc w:val="center"/>
        </w:trPr>
        <w:tc>
          <w:tcPr>
            <w:tcW w:w="1542" w:type="dxa"/>
            <w:shd w:val="clear" w:color="auto" w:fill="auto"/>
            <w:vAlign w:val="center"/>
            <w:hideMark/>
          </w:tcPr>
          <w:p w14:paraId="4C32253D"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93.353</w:t>
            </w:r>
          </w:p>
        </w:tc>
        <w:tc>
          <w:tcPr>
            <w:tcW w:w="2595" w:type="dxa"/>
            <w:shd w:val="clear" w:color="auto" w:fill="auto"/>
            <w:vAlign w:val="center"/>
            <w:hideMark/>
          </w:tcPr>
          <w:p w14:paraId="3ACB6662"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Conflict of interest adjudication</w:t>
            </w:r>
          </w:p>
        </w:tc>
        <w:tc>
          <w:tcPr>
            <w:tcW w:w="1275" w:type="dxa"/>
            <w:shd w:val="clear" w:color="auto" w:fill="auto"/>
            <w:vAlign w:val="center"/>
            <w:hideMark/>
          </w:tcPr>
          <w:p w14:paraId="2823938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1068" w:type="dxa"/>
            <w:shd w:val="clear" w:color="auto" w:fill="auto"/>
            <w:vAlign w:val="center"/>
            <w:hideMark/>
          </w:tcPr>
          <w:p w14:paraId="77E0227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6C965F4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987" w:type="dxa"/>
            <w:shd w:val="clear" w:color="auto" w:fill="auto"/>
            <w:vAlign w:val="center"/>
            <w:hideMark/>
          </w:tcPr>
          <w:p w14:paraId="5FD22E5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auto"/>
            <w:vAlign w:val="center"/>
            <w:hideMark/>
          </w:tcPr>
          <w:p w14:paraId="1D4889B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8.00</w:t>
            </w:r>
          </w:p>
        </w:tc>
        <w:tc>
          <w:tcPr>
            <w:tcW w:w="990" w:type="dxa"/>
            <w:shd w:val="clear" w:color="auto" w:fill="auto"/>
            <w:noWrap/>
            <w:vAlign w:val="center"/>
            <w:hideMark/>
          </w:tcPr>
          <w:p w14:paraId="02D7D74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2D69545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$312.56</w:t>
            </w:r>
          </w:p>
        </w:tc>
      </w:tr>
      <w:tr w:rsidR="00191F98" w:rsidRPr="006A2BE6" w14:paraId="7B063993" w14:textId="77777777" w:rsidTr="00D86827">
        <w:trPr>
          <w:trHeight w:val="600"/>
          <w:jc w:val="center"/>
        </w:trPr>
        <w:tc>
          <w:tcPr>
            <w:tcW w:w="1542" w:type="dxa"/>
            <w:shd w:val="clear" w:color="auto" w:fill="D9D9D9" w:themeFill="background1" w:themeFillShade="D9"/>
            <w:vAlign w:val="center"/>
            <w:hideMark/>
          </w:tcPr>
          <w:p w14:paraId="65A5DE48"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93.354</w:t>
            </w:r>
          </w:p>
        </w:tc>
        <w:tc>
          <w:tcPr>
            <w:tcW w:w="2595" w:type="dxa"/>
            <w:shd w:val="clear" w:color="auto" w:fill="D9D9D9" w:themeFill="background1" w:themeFillShade="D9"/>
            <w:vAlign w:val="center"/>
            <w:hideMark/>
          </w:tcPr>
          <w:p w14:paraId="274D517D"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Funding Accountability and Transparency Act</w:t>
            </w:r>
          </w:p>
        </w:tc>
        <w:tc>
          <w:tcPr>
            <w:tcW w:w="1275" w:type="dxa"/>
            <w:shd w:val="clear" w:color="auto" w:fill="D9D9D9" w:themeFill="background1" w:themeFillShade="D9"/>
            <w:vAlign w:val="center"/>
            <w:hideMark/>
          </w:tcPr>
          <w:p w14:paraId="5C3C006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04E7462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12.00</w:t>
            </w:r>
          </w:p>
        </w:tc>
        <w:tc>
          <w:tcPr>
            <w:tcW w:w="990" w:type="dxa"/>
            <w:shd w:val="clear" w:color="auto" w:fill="D9D9D9" w:themeFill="background1" w:themeFillShade="D9"/>
            <w:vAlign w:val="center"/>
            <w:hideMark/>
          </w:tcPr>
          <w:p w14:paraId="377B39D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672.00</w:t>
            </w:r>
          </w:p>
        </w:tc>
        <w:tc>
          <w:tcPr>
            <w:tcW w:w="987" w:type="dxa"/>
            <w:shd w:val="clear" w:color="auto" w:fill="D9D9D9" w:themeFill="background1" w:themeFillShade="D9"/>
            <w:vAlign w:val="center"/>
            <w:hideMark/>
          </w:tcPr>
          <w:p w14:paraId="0D6771C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5484DCB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672.00</w:t>
            </w:r>
          </w:p>
        </w:tc>
        <w:tc>
          <w:tcPr>
            <w:tcW w:w="990" w:type="dxa"/>
            <w:shd w:val="clear" w:color="auto" w:fill="D9D9D9" w:themeFill="background1" w:themeFillShade="D9"/>
            <w:noWrap/>
            <w:vAlign w:val="center"/>
            <w:hideMark/>
          </w:tcPr>
          <w:p w14:paraId="0814819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15BC7CA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$26,255.04</w:t>
            </w:r>
          </w:p>
        </w:tc>
      </w:tr>
      <w:tr w:rsidR="00453E0D" w:rsidRPr="006A2BE6" w14:paraId="45E93B16" w14:textId="77777777" w:rsidTr="00D86827">
        <w:trPr>
          <w:trHeight w:val="600"/>
          <w:jc w:val="center"/>
        </w:trPr>
        <w:tc>
          <w:tcPr>
            <w:tcW w:w="1542" w:type="dxa"/>
            <w:shd w:val="clear" w:color="auto" w:fill="auto"/>
            <w:vAlign w:val="center"/>
            <w:hideMark/>
          </w:tcPr>
          <w:p w14:paraId="38DBBDBB"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93.356(b)</w:t>
            </w:r>
          </w:p>
        </w:tc>
        <w:tc>
          <w:tcPr>
            <w:tcW w:w="2595" w:type="dxa"/>
            <w:shd w:val="clear" w:color="auto" w:fill="auto"/>
            <w:vAlign w:val="center"/>
            <w:hideMark/>
          </w:tcPr>
          <w:p w14:paraId="610A7630"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VAWA notification requirements</w:t>
            </w:r>
          </w:p>
        </w:tc>
        <w:tc>
          <w:tcPr>
            <w:tcW w:w="1275" w:type="dxa"/>
            <w:shd w:val="clear" w:color="auto" w:fill="auto"/>
            <w:vAlign w:val="center"/>
            <w:hideMark/>
          </w:tcPr>
          <w:p w14:paraId="696505A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6397897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4780E52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36E4FED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auto"/>
            <w:vAlign w:val="center"/>
            <w:hideMark/>
          </w:tcPr>
          <w:p w14:paraId="0A112B8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auto"/>
            <w:noWrap/>
            <w:vAlign w:val="center"/>
            <w:hideMark/>
          </w:tcPr>
          <w:p w14:paraId="4FBF1D4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71D2FAB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191F98" w:rsidRPr="006A2BE6" w14:paraId="0605F9F4" w14:textId="77777777" w:rsidTr="00D86827">
        <w:trPr>
          <w:trHeight w:val="600"/>
          <w:jc w:val="center"/>
        </w:trPr>
        <w:tc>
          <w:tcPr>
            <w:tcW w:w="1542" w:type="dxa"/>
            <w:shd w:val="clear" w:color="auto" w:fill="D9D9D9" w:themeFill="background1" w:themeFillShade="D9"/>
            <w:vAlign w:val="center"/>
            <w:hideMark/>
          </w:tcPr>
          <w:p w14:paraId="1F8C9788"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93.356(d)</w:t>
            </w:r>
          </w:p>
        </w:tc>
        <w:tc>
          <w:tcPr>
            <w:tcW w:w="2595" w:type="dxa"/>
            <w:shd w:val="clear" w:color="auto" w:fill="D9D9D9" w:themeFill="background1" w:themeFillShade="D9"/>
            <w:vAlign w:val="center"/>
            <w:hideMark/>
          </w:tcPr>
          <w:p w14:paraId="6F9DFC64"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VAWA lease term/addendum</w:t>
            </w:r>
          </w:p>
        </w:tc>
        <w:tc>
          <w:tcPr>
            <w:tcW w:w="1275" w:type="dxa"/>
            <w:shd w:val="clear" w:color="auto" w:fill="D9D9D9" w:themeFill="background1" w:themeFillShade="D9"/>
            <w:vAlign w:val="center"/>
            <w:hideMark/>
          </w:tcPr>
          <w:p w14:paraId="1AE88D2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667CD32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5DBCACB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D9D9D9" w:themeFill="background1" w:themeFillShade="D9"/>
            <w:vAlign w:val="center"/>
            <w:hideMark/>
          </w:tcPr>
          <w:p w14:paraId="2A3BFCB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D9D9D9" w:themeFill="background1" w:themeFillShade="D9"/>
            <w:vAlign w:val="center"/>
            <w:hideMark/>
          </w:tcPr>
          <w:p w14:paraId="5A5AF6C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D9D9D9" w:themeFill="background1" w:themeFillShade="D9"/>
            <w:noWrap/>
            <w:vAlign w:val="center"/>
            <w:hideMark/>
          </w:tcPr>
          <w:p w14:paraId="6EBB467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218BAA0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453E0D" w:rsidRPr="006A2BE6" w14:paraId="3471FABC" w14:textId="77777777" w:rsidTr="00D86827">
        <w:trPr>
          <w:trHeight w:val="600"/>
          <w:jc w:val="center"/>
        </w:trPr>
        <w:tc>
          <w:tcPr>
            <w:tcW w:w="1542" w:type="dxa"/>
            <w:shd w:val="clear" w:color="auto" w:fill="auto"/>
            <w:vAlign w:val="center"/>
            <w:hideMark/>
          </w:tcPr>
          <w:p w14:paraId="2E52B658"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93.356(f)</w:t>
            </w:r>
          </w:p>
        </w:tc>
        <w:tc>
          <w:tcPr>
            <w:tcW w:w="2595" w:type="dxa"/>
            <w:shd w:val="clear" w:color="auto" w:fill="auto"/>
            <w:vAlign w:val="center"/>
            <w:hideMark/>
          </w:tcPr>
          <w:p w14:paraId="362A2A5B"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VAWA Emergency transfer plan</w:t>
            </w:r>
          </w:p>
        </w:tc>
        <w:tc>
          <w:tcPr>
            <w:tcW w:w="1275" w:type="dxa"/>
            <w:shd w:val="clear" w:color="auto" w:fill="auto"/>
            <w:vAlign w:val="center"/>
            <w:hideMark/>
          </w:tcPr>
          <w:p w14:paraId="0AA7BD7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601CB1A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47D9618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797FB23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auto"/>
            <w:vAlign w:val="center"/>
            <w:hideMark/>
          </w:tcPr>
          <w:p w14:paraId="32E5B67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auto"/>
            <w:noWrap/>
            <w:vAlign w:val="center"/>
            <w:hideMark/>
          </w:tcPr>
          <w:p w14:paraId="3195A0B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544349C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191F98" w:rsidRPr="006A2BE6" w14:paraId="15FA9D87" w14:textId="77777777" w:rsidTr="00D86827">
        <w:trPr>
          <w:trHeight w:val="600"/>
          <w:jc w:val="center"/>
        </w:trPr>
        <w:tc>
          <w:tcPr>
            <w:tcW w:w="1542" w:type="dxa"/>
            <w:shd w:val="clear" w:color="auto" w:fill="D9D9D9" w:themeFill="background1" w:themeFillShade="D9"/>
            <w:vAlign w:val="center"/>
            <w:hideMark/>
          </w:tcPr>
          <w:p w14:paraId="13ACD4EB"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93.402(b)(1)</w:t>
            </w:r>
          </w:p>
        </w:tc>
        <w:tc>
          <w:tcPr>
            <w:tcW w:w="2595" w:type="dxa"/>
            <w:shd w:val="clear" w:color="auto" w:fill="D9D9D9" w:themeFill="background1" w:themeFillShade="D9"/>
            <w:vAlign w:val="center"/>
            <w:hideMark/>
          </w:tcPr>
          <w:p w14:paraId="6870EDF2"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IDIS - Project set-up</w:t>
            </w:r>
          </w:p>
        </w:tc>
        <w:tc>
          <w:tcPr>
            <w:tcW w:w="1275" w:type="dxa"/>
            <w:shd w:val="clear" w:color="auto" w:fill="D9D9D9" w:themeFill="background1" w:themeFillShade="D9"/>
            <w:vAlign w:val="center"/>
            <w:hideMark/>
          </w:tcPr>
          <w:p w14:paraId="4F654E0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1068" w:type="dxa"/>
            <w:shd w:val="clear" w:color="auto" w:fill="D9D9D9" w:themeFill="background1" w:themeFillShade="D9"/>
            <w:vAlign w:val="center"/>
            <w:hideMark/>
          </w:tcPr>
          <w:p w14:paraId="7C70539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7C42AB6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87" w:type="dxa"/>
            <w:shd w:val="clear" w:color="auto" w:fill="D9D9D9" w:themeFill="background1" w:themeFillShade="D9"/>
            <w:vAlign w:val="center"/>
            <w:hideMark/>
          </w:tcPr>
          <w:p w14:paraId="24B6846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09034D1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90" w:type="dxa"/>
            <w:shd w:val="clear" w:color="auto" w:fill="D9D9D9" w:themeFill="background1" w:themeFillShade="D9"/>
            <w:noWrap/>
            <w:vAlign w:val="center"/>
            <w:hideMark/>
          </w:tcPr>
          <w:p w14:paraId="5EB1897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5BF30B0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$6,563.76</w:t>
            </w:r>
          </w:p>
        </w:tc>
      </w:tr>
      <w:tr w:rsidR="00453E0D" w:rsidRPr="006A2BE6" w14:paraId="6F1CF924" w14:textId="77777777" w:rsidTr="00D86827">
        <w:trPr>
          <w:trHeight w:val="600"/>
          <w:jc w:val="center"/>
        </w:trPr>
        <w:tc>
          <w:tcPr>
            <w:tcW w:w="1542" w:type="dxa"/>
            <w:shd w:val="clear" w:color="auto" w:fill="auto"/>
            <w:vAlign w:val="center"/>
            <w:hideMark/>
          </w:tcPr>
          <w:p w14:paraId="4A7A0E4C"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93.402(c)(1)</w:t>
            </w:r>
          </w:p>
        </w:tc>
        <w:tc>
          <w:tcPr>
            <w:tcW w:w="2595" w:type="dxa"/>
            <w:shd w:val="clear" w:color="auto" w:fill="auto"/>
            <w:vAlign w:val="center"/>
            <w:hideMark/>
          </w:tcPr>
          <w:p w14:paraId="478353AC"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IDIS - HTF drawdowns</w:t>
            </w:r>
          </w:p>
        </w:tc>
        <w:tc>
          <w:tcPr>
            <w:tcW w:w="1275" w:type="dxa"/>
            <w:shd w:val="clear" w:color="auto" w:fill="auto"/>
            <w:vAlign w:val="center"/>
            <w:hideMark/>
          </w:tcPr>
          <w:p w14:paraId="142DD41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1068" w:type="dxa"/>
            <w:shd w:val="clear" w:color="auto" w:fill="auto"/>
            <w:vAlign w:val="center"/>
            <w:hideMark/>
          </w:tcPr>
          <w:p w14:paraId="3D2D36D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0A9DA57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87" w:type="dxa"/>
            <w:shd w:val="clear" w:color="auto" w:fill="auto"/>
            <w:vAlign w:val="center"/>
            <w:hideMark/>
          </w:tcPr>
          <w:p w14:paraId="5CE13AB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4795733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90" w:type="dxa"/>
            <w:shd w:val="clear" w:color="auto" w:fill="auto"/>
            <w:noWrap/>
            <w:vAlign w:val="center"/>
            <w:hideMark/>
          </w:tcPr>
          <w:p w14:paraId="4B70DEF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4425899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$6,563.76</w:t>
            </w:r>
          </w:p>
        </w:tc>
      </w:tr>
      <w:tr w:rsidR="00191F98" w:rsidRPr="006A2BE6" w14:paraId="6876300C" w14:textId="77777777" w:rsidTr="00D86827">
        <w:trPr>
          <w:trHeight w:val="600"/>
          <w:jc w:val="center"/>
        </w:trPr>
        <w:tc>
          <w:tcPr>
            <w:tcW w:w="1542" w:type="dxa"/>
            <w:shd w:val="clear" w:color="auto" w:fill="D9D9D9" w:themeFill="background1" w:themeFillShade="D9"/>
            <w:vAlign w:val="center"/>
            <w:hideMark/>
          </w:tcPr>
          <w:p w14:paraId="458EC141"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93.402(d)(1)</w:t>
            </w:r>
          </w:p>
        </w:tc>
        <w:tc>
          <w:tcPr>
            <w:tcW w:w="2595" w:type="dxa"/>
            <w:shd w:val="clear" w:color="auto" w:fill="D9D9D9" w:themeFill="background1" w:themeFillShade="D9"/>
            <w:vAlign w:val="center"/>
            <w:hideMark/>
          </w:tcPr>
          <w:p w14:paraId="1098B91A"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xml:space="preserve">IDIS - Project completion </w:t>
            </w:r>
          </w:p>
        </w:tc>
        <w:tc>
          <w:tcPr>
            <w:tcW w:w="1275" w:type="dxa"/>
            <w:shd w:val="clear" w:color="auto" w:fill="D9D9D9" w:themeFill="background1" w:themeFillShade="D9"/>
            <w:vAlign w:val="center"/>
            <w:hideMark/>
          </w:tcPr>
          <w:p w14:paraId="4E01CFC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1068" w:type="dxa"/>
            <w:shd w:val="clear" w:color="auto" w:fill="D9D9D9" w:themeFill="background1" w:themeFillShade="D9"/>
            <w:vAlign w:val="center"/>
            <w:hideMark/>
          </w:tcPr>
          <w:p w14:paraId="368D852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6E3ACE6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87" w:type="dxa"/>
            <w:shd w:val="clear" w:color="auto" w:fill="D9D9D9" w:themeFill="background1" w:themeFillShade="D9"/>
            <w:vAlign w:val="center"/>
            <w:hideMark/>
          </w:tcPr>
          <w:p w14:paraId="610E764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02DC68A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90" w:type="dxa"/>
            <w:shd w:val="clear" w:color="auto" w:fill="D9D9D9" w:themeFill="background1" w:themeFillShade="D9"/>
            <w:noWrap/>
            <w:vAlign w:val="center"/>
            <w:hideMark/>
          </w:tcPr>
          <w:p w14:paraId="5CA8510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4039120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$6,563.76</w:t>
            </w:r>
          </w:p>
        </w:tc>
      </w:tr>
      <w:tr w:rsidR="00453E0D" w:rsidRPr="006A2BE6" w14:paraId="682FC32C" w14:textId="77777777" w:rsidTr="00D86827">
        <w:trPr>
          <w:trHeight w:val="600"/>
          <w:jc w:val="center"/>
        </w:trPr>
        <w:tc>
          <w:tcPr>
            <w:tcW w:w="1542" w:type="dxa"/>
            <w:shd w:val="clear" w:color="auto" w:fill="auto"/>
            <w:vAlign w:val="center"/>
            <w:hideMark/>
          </w:tcPr>
          <w:p w14:paraId="191E2676"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93.403(a)</w:t>
            </w:r>
          </w:p>
        </w:tc>
        <w:tc>
          <w:tcPr>
            <w:tcW w:w="2595" w:type="dxa"/>
            <w:shd w:val="clear" w:color="auto" w:fill="auto"/>
            <w:vAlign w:val="center"/>
            <w:hideMark/>
          </w:tcPr>
          <w:p w14:paraId="34B63823"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Program income administration</w:t>
            </w:r>
          </w:p>
        </w:tc>
        <w:tc>
          <w:tcPr>
            <w:tcW w:w="1275" w:type="dxa"/>
            <w:shd w:val="clear" w:color="auto" w:fill="auto"/>
            <w:vAlign w:val="center"/>
            <w:hideMark/>
          </w:tcPr>
          <w:p w14:paraId="4D94643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50D47E9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0309826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1EDCACE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auto"/>
            <w:vAlign w:val="center"/>
            <w:hideMark/>
          </w:tcPr>
          <w:p w14:paraId="12E284C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auto"/>
            <w:noWrap/>
            <w:vAlign w:val="center"/>
            <w:hideMark/>
          </w:tcPr>
          <w:p w14:paraId="170B67E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2B9E04E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191F98" w:rsidRPr="006A2BE6" w14:paraId="19503DE1" w14:textId="77777777" w:rsidTr="00D86827">
        <w:trPr>
          <w:trHeight w:val="600"/>
          <w:jc w:val="center"/>
        </w:trPr>
        <w:tc>
          <w:tcPr>
            <w:tcW w:w="1542" w:type="dxa"/>
            <w:shd w:val="clear" w:color="auto" w:fill="D9D9D9" w:themeFill="background1" w:themeFillShade="D9"/>
            <w:vAlign w:val="center"/>
            <w:hideMark/>
          </w:tcPr>
          <w:p w14:paraId="0B5F6F57"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93.403(b)(1)</w:t>
            </w:r>
          </w:p>
        </w:tc>
        <w:tc>
          <w:tcPr>
            <w:tcW w:w="2595" w:type="dxa"/>
            <w:shd w:val="clear" w:color="auto" w:fill="D9D9D9" w:themeFill="background1" w:themeFillShade="D9"/>
            <w:vAlign w:val="center"/>
            <w:hideMark/>
          </w:tcPr>
          <w:p w14:paraId="673F15D9"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Repayment for ineligible activities</w:t>
            </w:r>
          </w:p>
        </w:tc>
        <w:tc>
          <w:tcPr>
            <w:tcW w:w="1275" w:type="dxa"/>
            <w:shd w:val="clear" w:color="auto" w:fill="D9D9D9" w:themeFill="background1" w:themeFillShade="D9"/>
            <w:vAlign w:val="center"/>
            <w:hideMark/>
          </w:tcPr>
          <w:p w14:paraId="7A361D5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1068" w:type="dxa"/>
            <w:shd w:val="clear" w:color="auto" w:fill="D9D9D9" w:themeFill="background1" w:themeFillShade="D9"/>
            <w:vAlign w:val="center"/>
            <w:hideMark/>
          </w:tcPr>
          <w:p w14:paraId="091087F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5A3C13C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987" w:type="dxa"/>
            <w:shd w:val="clear" w:color="auto" w:fill="D9D9D9" w:themeFill="background1" w:themeFillShade="D9"/>
            <w:vAlign w:val="center"/>
            <w:hideMark/>
          </w:tcPr>
          <w:p w14:paraId="4DCF69F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5.00</w:t>
            </w:r>
          </w:p>
        </w:tc>
        <w:tc>
          <w:tcPr>
            <w:tcW w:w="990" w:type="dxa"/>
            <w:shd w:val="clear" w:color="auto" w:fill="D9D9D9" w:themeFill="background1" w:themeFillShade="D9"/>
            <w:vAlign w:val="center"/>
            <w:hideMark/>
          </w:tcPr>
          <w:p w14:paraId="2922380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10.00</w:t>
            </w:r>
          </w:p>
        </w:tc>
        <w:tc>
          <w:tcPr>
            <w:tcW w:w="990" w:type="dxa"/>
            <w:shd w:val="clear" w:color="auto" w:fill="D9D9D9" w:themeFill="background1" w:themeFillShade="D9"/>
            <w:noWrap/>
            <w:vAlign w:val="center"/>
            <w:hideMark/>
          </w:tcPr>
          <w:p w14:paraId="20CC169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508BABF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$390.70</w:t>
            </w:r>
          </w:p>
        </w:tc>
      </w:tr>
      <w:tr w:rsidR="00453E0D" w:rsidRPr="006A2BE6" w14:paraId="6D00B04B" w14:textId="77777777" w:rsidTr="00D86827">
        <w:trPr>
          <w:trHeight w:val="600"/>
          <w:jc w:val="center"/>
        </w:trPr>
        <w:tc>
          <w:tcPr>
            <w:tcW w:w="1542" w:type="dxa"/>
            <w:shd w:val="clear" w:color="auto" w:fill="auto"/>
            <w:vAlign w:val="center"/>
            <w:hideMark/>
          </w:tcPr>
          <w:p w14:paraId="3662A7D9"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93.404(b)</w:t>
            </w:r>
          </w:p>
        </w:tc>
        <w:tc>
          <w:tcPr>
            <w:tcW w:w="2595" w:type="dxa"/>
            <w:shd w:val="clear" w:color="auto" w:fill="auto"/>
            <w:vAlign w:val="center"/>
            <w:hideMark/>
          </w:tcPr>
          <w:p w14:paraId="01CDF1C6"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Written agreement</w:t>
            </w:r>
          </w:p>
        </w:tc>
        <w:tc>
          <w:tcPr>
            <w:tcW w:w="1275" w:type="dxa"/>
            <w:shd w:val="clear" w:color="auto" w:fill="auto"/>
            <w:vAlign w:val="center"/>
            <w:hideMark/>
          </w:tcPr>
          <w:p w14:paraId="54C0E66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1068" w:type="dxa"/>
            <w:shd w:val="clear" w:color="auto" w:fill="auto"/>
            <w:vAlign w:val="center"/>
            <w:hideMark/>
          </w:tcPr>
          <w:p w14:paraId="07542DC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436DF24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87" w:type="dxa"/>
            <w:shd w:val="clear" w:color="auto" w:fill="auto"/>
            <w:vAlign w:val="center"/>
            <w:hideMark/>
          </w:tcPr>
          <w:p w14:paraId="6BF481B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990" w:type="dxa"/>
            <w:shd w:val="clear" w:color="auto" w:fill="auto"/>
            <w:vAlign w:val="center"/>
            <w:hideMark/>
          </w:tcPr>
          <w:p w14:paraId="1E20D68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336.00</w:t>
            </w:r>
          </w:p>
        </w:tc>
        <w:tc>
          <w:tcPr>
            <w:tcW w:w="990" w:type="dxa"/>
            <w:shd w:val="clear" w:color="auto" w:fill="auto"/>
            <w:noWrap/>
            <w:vAlign w:val="center"/>
            <w:hideMark/>
          </w:tcPr>
          <w:p w14:paraId="6CD2772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6132981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$13,127.52</w:t>
            </w:r>
          </w:p>
        </w:tc>
      </w:tr>
      <w:tr w:rsidR="00191F98" w:rsidRPr="006A2BE6" w14:paraId="5A1607E1" w14:textId="77777777" w:rsidTr="00D86827">
        <w:trPr>
          <w:trHeight w:val="600"/>
          <w:jc w:val="center"/>
        </w:trPr>
        <w:tc>
          <w:tcPr>
            <w:tcW w:w="1542" w:type="dxa"/>
            <w:shd w:val="clear" w:color="auto" w:fill="D9D9D9" w:themeFill="background1" w:themeFillShade="D9"/>
            <w:vAlign w:val="center"/>
            <w:hideMark/>
          </w:tcPr>
          <w:p w14:paraId="4E783192"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93.404(d)(1)</w:t>
            </w:r>
          </w:p>
        </w:tc>
        <w:tc>
          <w:tcPr>
            <w:tcW w:w="2595" w:type="dxa"/>
            <w:shd w:val="clear" w:color="auto" w:fill="D9D9D9" w:themeFill="background1" w:themeFillShade="D9"/>
            <w:vAlign w:val="center"/>
            <w:hideMark/>
          </w:tcPr>
          <w:p w14:paraId="74127F7C"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xml:space="preserve">Project completion inspection </w:t>
            </w:r>
          </w:p>
        </w:tc>
        <w:tc>
          <w:tcPr>
            <w:tcW w:w="1275" w:type="dxa"/>
            <w:shd w:val="clear" w:color="auto" w:fill="D9D9D9" w:themeFill="background1" w:themeFillShade="D9"/>
            <w:vAlign w:val="center"/>
            <w:hideMark/>
          </w:tcPr>
          <w:p w14:paraId="04B1A2E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1068" w:type="dxa"/>
            <w:shd w:val="clear" w:color="auto" w:fill="D9D9D9" w:themeFill="background1" w:themeFillShade="D9"/>
            <w:vAlign w:val="center"/>
            <w:hideMark/>
          </w:tcPr>
          <w:p w14:paraId="2DC305E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2DC7540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87" w:type="dxa"/>
            <w:shd w:val="clear" w:color="auto" w:fill="D9D9D9" w:themeFill="background1" w:themeFillShade="D9"/>
            <w:vAlign w:val="center"/>
            <w:hideMark/>
          </w:tcPr>
          <w:p w14:paraId="52EF5ED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990" w:type="dxa"/>
            <w:shd w:val="clear" w:color="auto" w:fill="D9D9D9" w:themeFill="background1" w:themeFillShade="D9"/>
            <w:vAlign w:val="center"/>
            <w:hideMark/>
          </w:tcPr>
          <w:p w14:paraId="4416573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336.00</w:t>
            </w:r>
          </w:p>
        </w:tc>
        <w:tc>
          <w:tcPr>
            <w:tcW w:w="990" w:type="dxa"/>
            <w:shd w:val="clear" w:color="auto" w:fill="D9D9D9" w:themeFill="background1" w:themeFillShade="D9"/>
            <w:noWrap/>
            <w:vAlign w:val="center"/>
            <w:hideMark/>
          </w:tcPr>
          <w:p w14:paraId="281BBAA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4AD4A04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$13,127.52</w:t>
            </w:r>
          </w:p>
        </w:tc>
      </w:tr>
      <w:tr w:rsidR="00453E0D" w:rsidRPr="006A2BE6" w14:paraId="600ECAEF" w14:textId="77777777" w:rsidTr="00D86827">
        <w:trPr>
          <w:trHeight w:val="600"/>
          <w:jc w:val="center"/>
        </w:trPr>
        <w:tc>
          <w:tcPr>
            <w:tcW w:w="1542" w:type="dxa"/>
            <w:shd w:val="clear" w:color="auto" w:fill="auto"/>
            <w:vAlign w:val="center"/>
            <w:hideMark/>
          </w:tcPr>
          <w:p w14:paraId="1A392A24"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93.404(d)(2)(i)</w:t>
            </w:r>
          </w:p>
        </w:tc>
        <w:tc>
          <w:tcPr>
            <w:tcW w:w="2595" w:type="dxa"/>
            <w:shd w:val="clear" w:color="auto" w:fill="auto"/>
            <w:vAlign w:val="center"/>
            <w:hideMark/>
          </w:tcPr>
          <w:p w14:paraId="1E127408"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Onsite inspection upon completion</w:t>
            </w:r>
          </w:p>
        </w:tc>
        <w:tc>
          <w:tcPr>
            <w:tcW w:w="1275" w:type="dxa"/>
            <w:shd w:val="clear" w:color="auto" w:fill="auto"/>
            <w:vAlign w:val="center"/>
            <w:hideMark/>
          </w:tcPr>
          <w:p w14:paraId="44FA1F4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560.00</w:t>
            </w:r>
          </w:p>
        </w:tc>
        <w:tc>
          <w:tcPr>
            <w:tcW w:w="1068" w:type="dxa"/>
            <w:shd w:val="clear" w:color="auto" w:fill="auto"/>
            <w:vAlign w:val="center"/>
            <w:hideMark/>
          </w:tcPr>
          <w:p w14:paraId="4A8F1F3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6FAC755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560.00</w:t>
            </w:r>
          </w:p>
        </w:tc>
        <w:tc>
          <w:tcPr>
            <w:tcW w:w="987" w:type="dxa"/>
            <w:shd w:val="clear" w:color="auto" w:fill="auto"/>
            <w:vAlign w:val="center"/>
            <w:hideMark/>
          </w:tcPr>
          <w:p w14:paraId="461D681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990" w:type="dxa"/>
            <w:shd w:val="clear" w:color="auto" w:fill="auto"/>
            <w:vAlign w:val="center"/>
            <w:hideMark/>
          </w:tcPr>
          <w:p w14:paraId="712EEEBA" w14:textId="647F586F"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w:t>
            </w:r>
            <w:r w:rsidR="00AC409C">
              <w:rPr>
                <w:rFonts w:ascii="Calibri" w:hAnsi="Calibri" w:cs="Calibri"/>
                <w:color w:val="000000"/>
                <w:sz w:val="18"/>
                <w:szCs w:val="20"/>
              </w:rPr>
              <w:t>,</w:t>
            </w:r>
            <w:r w:rsidRPr="006A2BE6">
              <w:rPr>
                <w:rFonts w:ascii="Calibri" w:hAnsi="Calibri" w:cs="Calibri"/>
                <w:color w:val="000000"/>
                <w:sz w:val="18"/>
                <w:szCs w:val="20"/>
              </w:rPr>
              <w:t>120.00</w:t>
            </w:r>
          </w:p>
        </w:tc>
        <w:tc>
          <w:tcPr>
            <w:tcW w:w="990" w:type="dxa"/>
            <w:shd w:val="clear" w:color="auto" w:fill="auto"/>
            <w:noWrap/>
            <w:vAlign w:val="center"/>
            <w:hideMark/>
          </w:tcPr>
          <w:p w14:paraId="3089548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1F7B80F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$43,758.40</w:t>
            </w:r>
          </w:p>
        </w:tc>
      </w:tr>
      <w:tr w:rsidR="00191F98" w:rsidRPr="006A2BE6" w14:paraId="2AB75E84" w14:textId="77777777" w:rsidTr="00D86827">
        <w:trPr>
          <w:trHeight w:val="600"/>
          <w:jc w:val="center"/>
        </w:trPr>
        <w:tc>
          <w:tcPr>
            <w:tcW w:w="1542" w:type="dxa"/>
            <w:shd w:val="clear" w:color="auto" w:fill="D9D9D9" w:themeFill="background1" w:themeFillShade="D9"/>
            <w:vAlign w:val="center"/>
            <w:hideMark/>
          </w:tcPr>
          <w:p w14:paraId="328C18CE"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93.404(d)(2)(ii)</w:t>
            </w:r>
          </w:p>
        </w:tc>
        <w:tc>
          <w:tcPr>
            <w:tcW w:w="2595" w:type="dxa"/>
            <w:shd w:val="clear" w:color="auto" w:fill="D9D9D9" w:themeFill="background1" w:themeFillShade="D9"/>
            <w:vAlign w:val="center"/>
            <w:hideMark/>
          </w:tcPr>
          <w:p w14:paraId="43A0527B"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Onsite inspections post completion</w:t>
            </w:r>
          </w:p>
        </w:tc>
        <w:tc>
          <w:tcPr>
            <w:tcW w:w="1275" w:type="dxa"/>
            <w:shd w:val="clear" w:color="auto" w:fill="D9D9D9" w:themeFill="background1" w:themeFillShade="D9"/>
            <w:vAlign w:val="center"/>
            <w:hideMark/>
          </w:tcPr>
          <w:p w14:paraId="788902A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504.00</w:t>
            </w:r>
          </w:p>
        </w:tc>
        <w:tc>
          <w:tcPr>
            <w:tcW w:w="1068" w:type="dxa"/>
            <w:shd w:val="clear" w:color="auto" w:fill="D9D9D9" w:themeFill="background1" w:themeFillShade="D9"/>
            <w:vAlign w:val="center"/>
            <w:hideMark/>
          </w:tcPr>
          <w:p w14:paraId="3B370BC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49CB556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504.00</w:t>
            </w:r>
          </w:p>
        </w:tc>
        <w:tc>
          <w:tcPr>
            <w:tcW w:w="987" w:type="dxa"/>
            <w:shd w:val="clear" w:color="auto" w:fill="D9D9D9" w:themeFill="background1" w:themeFillShade="D9"/>
            <w:vAlign w:val="center"/>
            <w:hideMark/>
          </w:tcPr>
          <w:p w14:paraId="18989CFA"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990" w:type="dxa"/>
            <w:shd w:val="clear" w:color="auto" w:fill="D9D9D9" w:themeFill="background1" w:themeFillShade="D9"/>
            <w:vAlign w:val="center"/>
            <w:hideMark/>
          </w:tcPr>
          <w:p w14:paraId="31CAD1A7" w14:textId="047093DD"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w:t>
            </w:r>
            <w:r w:rsidR="00AC409C">
              <w:rPr>
                <w:rFonts w:ascii="Calibri" w:hAnsi="Calibri" w:cs="Calibri"/>
                <w:color w:val="000000"/>
                <w:sz w:val="18"/>
                <w:szCs w:val="20"/>
              </w:rPr>
              <w:t>,</w:t>
            </w:r>
            <w:r w:rsidRPr="006A2BE6">
              <w:rPr>
                <w:rFonts w:ascii="Calibri" w:hAnsi="Calibri" w:cs="Calibri"/>
                <w:color w:val="000000"/>
                <w:sz w:val="18"/>
                <w:szCs w:val="20"/>
              </w:rPr>
              <w:t>008.00</w:t>
            </w:r>
          </w:p>
        </w:tc>
        <w:tc>
          <w:tcPr>
            <w:tcW w:w="990" w:type="dxa"/>
            <w:shd w:val="clear" w:color="auto" w:fill="D9D9D9" w:themeFill="background1" w:themeFillShade="D9"/>
            <w:noWrap/>
            <w:vAlign w:val="center"/>
            <w:hideMark/>
          </w:tcPr>
          <w:p w14:paraId="4CD9BB4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57F3455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$39,382.56</w:t>
            </w:r>
          </w:p>
        </w:tc>
      </w:tr>
      <w:tr w:rsidR="00453E0D" w:rsidRPr="006A2BE6" w14:paraId="4940941E" w14:textId="77777777" w:rsidTr="00D86827">
        <w:trPr>
          <w:trHeight w:val="600"/>
          <w:jc w:val="center"/>
        </w:trPr>
        <w:tc>
          <w:tcPr>
            <w:tcW w:w="1542" w:type="dxa"/>
            <w:shd w:val="clear" w:color="auto" w:fill="auto"/>
            <w:vAlign w:val="center"/>
            <w:hideMark/>
          </w:tcPr>
          <w:p w14:paraId="57B1ADDE"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93.404(d)(2)(iv)</w:t>
            </w:r>
          </w:p>
        </w:tc>
        <w:tc>
          <w:tcPr>
            <w:tcW w:w="2595" w:type="dxa"/>
            <w:shd w:val="clear" w:color="auto" w:fill="auto"/>
            <w:vAlign w:val="center"/>
            <w:hideMark/>
          </w:tcPr>
          <w:p w14:paraId="5667F52A"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Project owner annual certification</w:t>
            </w:r>
          </w:p>
        </w:tc>
        <w:tc>
          <w:tcPr>
            <w:tcW w:w="1275" w:type="dxa"/>
            <w:shd w:val="clear" w:color="auto" w:fill="auto"/>
            <w:vAlign w:val="center"/>
            <w:hideMark/>
          </w:tcPr>
          <w:p w14:paraId="6D352C1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1068" w:type="dxa"/>
            <w:shd w:val="clear" w:color="auto" w:fill="auto"/>
            <w:vAlign w:val="center"/>
            <w:hideMark/>
          </w:tcPr>
          <w:p w14:paraId="2BE9546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315802E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87" w:type="dxa"/>
            <w:shd w:val="clear" w:color="auto" w:fill="auto"/>
            <w:vAlign w:val="center"/>
            <w:hideMark/>
          </w:tcPr>
          <w:p w14:paraId="1874520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990" w:type="dxa"/>
            <w:shd w:val="clear" w:color="auto" w:fill="auto"/>
            <w:vAlign w:val="center"/>
            <w:hideMark/>
          </w:tcPr>
          <w:p w14:paraId="417C996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336.00</w:t>
            </w:r>
          </w:p>
        </w:tc>
        <w:tc>
          <w:tcPr>
            <w:tcW w:w="990" w:type="dxa"/>
            <w:shd w:val="clear" w:color="auto" w:fill="auto"/>
            <w:noWrap/>
            <w:vAlign w:val="center"/>
            <w:hideMark/>
          </w:tcPr>
          <w:p w14:paraId="64161F1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3FB2CBC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$13,127.52</w:t>
            </w:r>
          </w:p>
        </w:tc>
      </w:tr>
      <w:tr w:rsidR="00191F98" w:rsidRPr="006A2BE6" w14:paraId="3AA7B024" w14:textId="77777777" w:rsidTr="00D86827">
        <w:trPr>
          <w:trHeight w:val="600"/>
          <w:jc w:val="center"/>
        </w:trPr>
        <w:tc>
          <w:tcPr>
            <w:tcW w:w="1542" w:type="dxa"/>
            <w:shd w:val="clear" w:color="auto" w:fill="D9D9D9" w:themeFill="background1" w:themeFillShade="D9"/>
            <w:vAlign w:val="center"/>
            <w:hideMark/>
          </w:tcPr>
          <w:p w14:paraId="4D7F2248"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93.404(e)</w:t>
            </w:r>
          </w:p>
        </w:tc>
        <w:tc>
          <w:tcPr>
            <w:tcW w:w="2595" w:type="dxa"/>
            <w:shd w:val="clear" w:color="auto" w:fill="D9D9D9" w:themeFill="background1" w:themeFillShade="D9"/>
            <w:vAlign w:val="center"/>
            <w:hideMark/>
          </w:tcPr>
          <w:p w14:paraId="215306C4"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xml:space="preserve">Annual financial oversight of 10 or more units </w:t>
            </w:r>
          </w:p>
        </w:tc>
        <w:tc>
          <w:tcPr>
            <w:tcW w:w="1275" w:type="dxa"/>
            <w:shd w:val="clear" w:color="auto" w:fill="D9D9D9" w:themeFill="background1" w:themeFillShade="D9"/>
            <w:vAlign w:val="center"/>
            <w:hideMark/>
          </w:tcPr>
          <w:p w14:paraId="0937422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1068" w:type="dxa"/>
            <w:shd w:val="clear" w:color="auto" w:fill="D9D9D9" w:themeFill="background1" w:themeFillShade="D9"/>
            <w:vAlign w:val="center"/>
            <w:hideMark/>
          </w:tcPr>
          <w:p w14:paraId="27F2A24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2249114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168.00</w:t>
            </w:r>
          </w:p>
        </w:tc>
        <w:tc>
          <w:tcPr>
            <w:tcW w:w="987" w:type="dxa"/>
            <w:shd w:val="clear" w:color="auto" w:fill="D9D9D9" w:themeFill="background1" w:themeFillShade="D9"/>
            <w:vAlign w:val="center"/>
            <w:hideMark/>
          </w:tcPr>
          <w:p w14:paraId="6829B30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990" w:type="dxa"/>
            <w:shd w:val="clear" w:color="auto" w:fill="D9D9D9" w:themeFill="background1" w:themeFillShade="D9"/>
            <w:vAlign w:val="center"/>
            <w:hideMark/>
          </w:tcPr>
          <w:p w14:paraId="22C6F22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336.00</w:t>
            </w:r>
          </w:p>
        </w:tc>
        <w:tc>
          <w:tcPr>
            <w:tcW w:w="990" w:type="dxa"/>
            <w:shd w:val="clear" w:color="auto" w:fill="D9D9D9" w:themeFill="background1" w:themeFillShade="D9"/>
            <w:noWrap/>
            <w:vAlign w:val="center"/>
            <w:hideMark/>
          </w:tcPr>
          <w:p w14:paraId="4543D83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56CABC5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$13,127.52</w:t>
            </w:r>
          </w:p>
        </w:tc>
      </w:tr>
      <w:tr w:rsidR="00453E0D" w:rsidRPr="006A2BE6" w14:paraId="1090412A" w14:textId="77777777" w:rsidTr="00D86827">
        <w:trPr>
          <w:trHeight w:val="600"/>
          <w:jc w:val="center"/>
        </w:trPr>
        <w:tc>
          <w:tcPr>
            <w:tcW w:w="1542" w:type="dxa"/>
            <w:shd w:val="clear" w:color="auto" w:fill="auto"/>
            <w:vAlign w:val="center"/>
            <w:hideMark/>
          </w:tcPr>
          <w:p w14:paraId="4E1D35CF"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93.405</w:t>
            </w:r>
          </w:p>
        </w:tc>
        <w:tc>
          <w:tcPr>
            <w:tcW w:w="2595" w:type="dxa"/>
            <w:shd w:val="clear" w:color="auto" w:fill="auto"/>
            <w:vAlign w:val="center"/>
            <w:hideMark/>
          </w:tcPr>
          <w:p w14:paraId="51A63325"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Uniform administrative requirements</w:t>
            </w:r>
          </w:p>
        </w:tc>
        <w:tc>
          <w:tcPr>
            <w:tcW w:w="1275" w:type="dxa"/>
            <w:shd w:val="clear" w:color="auto" w:fill="auto"/>
            <w:vAlign w:val="center"/>
            <w:hideMark/>
          </w:tcPr>
          <w:p w14:paraId="7004F05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088490D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60B58F8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304F03F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4.00</w:t>
            </w:r>
          </w:p>
        </w:tc>
        <w:tc>
          <w:tcPr>
            <w:tcW w:w="990" w:type="dxa"/>
            <w:shd w:val="clear" w:color="auto" w:fill="auto"/>
            <w:vAlign w:val="center"/>
            <w:hideMark/>
          </w:tcPr>
          <w:p w14:paraId="62579B67"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224.00</w:t>
            </w:r>
          </w:p>
        </w:tc>
        <w:tc>
          <w:tcPr>
            <w:tcW w:w="990" w:type="dxa"/>
            <w:shd w:val="clear" w:color="auto" w:fill="auto"/>
            <w:noWrap/>
            <w:vAlign w:val="center"/>
            <w:hideMark/>
          </w:tcPr>
          <w:p w14:paraId="55F1B09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3411239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$8,751.68</w:t>
            </w:r>
          </w:p>
        </w:tc>
      </w:tr>
      <w:tr w:rsidR="00191F98" w:rsidRPr="006A2BE6" w14:paraId="1119DE95" w14:textId="77777777" w:rsidTr="00D86827">
        <w:trPr>
          <w:trHeight w:val="600"/>
          <w:jc w:val="center"/>
        </w:trPr>
        <w:tc>
          <w:tcPr>
            <w:tcW w:w="1542" w:type="dxa"/>
            <w:shd w:val="clear" w:color="auto" w:fill="D9D9D9" w:themeFill="background1" w:themeFillShade="D9"/>
            <w:vAlign w:val="center"/>
            <w:hideMark/>
          </w:tcPr>
          <w:p w14:paraId="092096CB"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93.406 (a)</w:t>
            </w:r>
          </w:p>
        </w:tc>
        <w:tc>
          <w:tcPr>
            <w:tcW w:w="2595" w:type="dxa"/>
            <w:shd w:val="clear" w:color="auto" w:fill="D9D9D9" w:themeFill="background1" w:themeFillShade="D9"/>
            <w:vAlign w:val="center"/>
            <w:hideMark/>
          </w:tcPr>
          <w:p w14:paraId="42459581"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Annual CFR 200 audit</w:t>
            </w:r>
          </w:p>
        </w:tc>
        <w:tc>
          <w:tcPr>
            <w:tcW w:w="1275" w:type="dxa"/>
            <w:shd w:val="clear" w:color="auto" w:fill="D9D9D9" w:themeFill="background1" w:themeFillShade="D9"/>
            <w:vAlign w:val="center"/>
            <w:hideMark/>
          </w:tcPr>
          <w:p w14:paraId="028552B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4FC278E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72A490D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D9D9D9" w:themeFill="background1" w:themeFillShade="D9"/>
            <w:vAlign w:val="center"/>
            <w:hideMark/>
          </w:tcPr>
          <w:p w14:paraId="2E55093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10.00</w:t>
            </w:r>
          </w:p>
        </w:tc>
        <w:tc>
          <w:tcPr>
            <w:tcW w:w="990" w:type="dxa"/>
            <w:shd w:val="clear" w:color="auto" w:fill="D9D9D9" w:themeFill="background1" w:themeFillShade="D9"/>
            <w:vAlign w:val="center"/>
            <w:hideMark/>
          </w:tcPr>
          <w:p w14:paraId="0F4FEBC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560.00</w:t>
            </w:r>
          </w:p>
        </w:tc>
        <w:tc>
          <w:tcPr>
            <w:tcW w:w="990" w:type="dxa"/>
            <w:shd w:val="clear" w:color="auto" w:fill="D9D9D9" w:themeFill="background1" w:themeFillShade="D9"/>
            <w:noWrap/>
            <w:vAlign w:val="center"/>
            <w:hideMark/>
          </w:tcPr>
          <w:p w14:paraId="08153F3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3226AF2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$21,879.20</w:t>
            </w:r>
          </w:p>
        </w:tc>
      </w:tr>
      <w:tr w:rsidR="00453E0D" w:rsidRPr="006A2BE6" w14:paraId="63EA3756" w14:textId="77777777" w:rsidTr="00D86827">
        <w:trPr>
          <w:trHeight w:val="600"/>
          <w:jc w:val="center"/>
        </w:trPr>
        <w:tc>
          <w:tcPr>
            <w:tcW w:w="1542" w:type="dxa"/>
            <w:shd w:val="clear" w:color="auto" w:fill="auto"/>
            <w:vAlign w:val="center"/>
            <w:hideMark/>
          </w:tcPr>
          <w:p w14:paraId="287CC030"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93.407 (a)(1)</w:t>
            </w:r>
          </w:p>
        </w:tc>
        <w:tc>
          <w:tcPr>
            <w:tcW w:w="2595" w:type="dxa"/>
            <w:shd w:val="clear" w:color="auto" w:fill="auto"/>
            <w:vAlign w:val="center"/>
            <w:hideMark/>
          </w:tcPr>
          <w:p w14:paraId="54E5C4E8"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Program recordkeeping</w:t>
            </w:r>
          </w:p>
        </w:tc>
        <w:tc>
          <w:tcPr>
            <w:tcW w:w="1275" w:type="dxa"/>
            <w:shd w:val="clear" w:color="auto" w:fill="auto"/>
            <w:vAlign w:val="center"/>
            <w:hideMark/>
          </w:tcPr>
          <w:p w14:paraId="0DBFDF7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14EC69E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4CA80AC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65B1524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8.00</w:t>
            </w:r>
          </w:p>
        </w:tc>
        <w:tc>
          <w:tcPr>
            <w:tcW w:w="990" w:type="dxa"/>
            <w:shd w:val="clear" w:color="auto" w:fill="auto"/>
            <w:vAlign w:val="center"/>
            <w:hideMark/>
          </w:tcPr>
          <w:p w14:paraId="5EAF12B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448.00</w:t>
            </w:r>
          </w:p>
        </w:tc>
        <w:tc>
          <w:tcPr>
            <w:tcW w:w="990" w:type="dxa"/>
            <w:shd w:val="clear" w:color="auto" w:fill="auto"/>
            <w:noWrap/>
            <w:vAlign w:val="center"/>
            <w:hideMark/>
          </w:tcPr>
          <w:p w14:paraId="7D6CC50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50D058C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$17,503.36</w:t>
            </w:r>
          </w:p>
        </w:tc>
      </w:tr>
      <w:tr w:rsidR="00191F98" w:rsidRPr="006A2BE6" w14:paraId="7CA00DDC" w14:textId="77777777" w:rsidTr="00D86827">
        <w:trPr>
          <w:trHeight w:val="600"/>
          <w:jc w:val="center"/>
        </w:trPr>
        <w:tc>
          <w:tcPr>
            <w:tcW w:w="1542" w:type="dxa"/>
            <w:shd w:val="clear" w:color="auto" w:fill="D9D9D9" w:themeFill="background1" w:themeFillShade="D9"/>
            <w:vAlign w:val="center"/>
            <w:hideMark/>
          </w:tcPr>
          <w:p w14:paraId="2B59B9CE"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93.407 (a)(2)</w:t>
            </w:r>
          </w:p>
        </w:tc>
        <w:tc>
          <w:tcPr>
            <w:tcW w:w="2595" w:type="dxa"/>
            <w:shd w:val="clear" w:color="auto" w:fill="D9D9D9" w:themeFill="background1" w:themeFillShade="D9"/>
            <w:vAlign w:val="center"/>
            <w:hideMark/>
          </w:tcPr>
          <w:p w14:paraId="2C39EC54"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Project recordkeeping</w:t>
            </w:r>
          </w:p>
        </w:tc>
        <w:tc>
          <w:tcPr>
            <w:tcW w:w="1275" w:type="dxa"/>
            <w:shd w:val="clear" w:color="auto" w:fill="D9D9D9" w:themeFill="background1" w:themeFillShade="D9"/>
            <w:vAlign w:val="center"/>
            <w:hideMark/>
          </w:tcPr>
          <w:p w14:paraId="452C19D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560.00</w:t>
            </w:r>
          </w:p>
        </w:tc>
        <w:tc>
          <w:tcPr>
            <w:tcW w:w="1068" w:type="dxa"/>
            <w:shd w:val="clear" w:color="auto" w:fill="D9D9D9" w:themeFill="background1" w:themeFillShade="D9"/>
            <w:vAlign w:val="center"/>
            <w:hideMark/>
          </w:tcPr>
          <w:p w14:paraId="47E870A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D9D9D9" w:themeFill="background1" w:themeFillShade="D9"/>
            <w:vAlign w:val="center"/>
            <w:hideMark/>
          </w:tcPr>
          <w:p w14:paraId="3B37645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560.00</w:t>
            </w:r>
          </w:p>
        </w:tc>
        <w:tc>
          <w:tcPr>
            <w:tcW w:w="987" w:type="dxa"/>
            <w:shd w:val="clear" w:color="auto" w:fill="D9D9D9" w:themeFill="background1" w:themeFillShade="D9"/>
            <w:vAlign w:val="center"/>
            <w:hideMark/>
          </w:tcPr>
          <w:p w14:paraId="5710CF4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990" w:type="dxa"/>
            <w:shd w:val="clear" w:color="auto" w:fill="D9D9D9" w:themeFill="background1" w:themeFillShade="D9"/>
            <w:vAlign w:val="center"/>
            <w:hideMark/>
          </w:tcPr>
          <w:p w14:paraId="3AED55D9" w14:textId="6DE52A39"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w:t>
            </w:r>
            <w:r w:rsidR="00AC409C">
              <w:rPr>
                <w:rFonts w:ascii="Calibri" w:hAnsi="Calibri" w:cs="Calibri"/>
                <w:color w:val="000000"/>
                <w:sz w:val="18"/>
                <w:szCs w:val="20"/>
              </w:rPr>
              <w:t>,</w:t>
            </w:r>
            <w:r w:rsidRPr="006A2BE6">
              <w:rPr>
                <w:rFonts w:ascii="Calibri" w:hAnsi="Calibri" w:cs="Calibri"/>
                <w:color w:val="000000"/>
                <w:sz w:val="18"/>
                <w:szCs w:val="20"/>
              </w:rPr>
              <w:t>120.00</w:t>
            </w:r>
          </w:p>
        </w:tc>
        <w:tc>
          <w:tcPr>
            <w:tcW w:w="990" w:type="dxa"/>
            <w:shd w:val="clear" w:color="auto" w:fill="D9D9D9" w:themeFill="background1" w:themeFillShade="D9"/>
            <w:noWrap/>
            <w:vAlign w:val="center"/>
            <w:hideMark/>
          </w:tcPr>
          <w:p w14:paraId="3E034B5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1F6EE6F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$43,758.40</w:t>
            </w:r>
          </w:p>
        </w:tc>
      </w:tr>
      <w:tr w:rsidR="00453E0D" w:rsidRPr="006A2BE6" w14:paraId="190FAB2A" w14:textId="77777777" w:rsidTr="00D86827">
        <w:trPr>
          <w:trHeight w:val="600"/>
          <w:jc w:val="center"/>
        </w:trPr>
        <w:tc>
          <w:tcPr>
            <w:tcW w:w="1542" w:type="dxa"/>
            <w:shd w:val="clear" w:color="auto" w:fill="auto"/>
            <w:vAlign w:val="center"/>
            <w:hideMark/>
          </w:tcPr>
          <w:p w14:paraId="2340B998"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93.407 (a)(3)</w:t>
            </w:r>
          </w:p>
        </w:tc>
        <w:tc>
          <w:tcPr>
            <w:tcW w:w="2595" w:type="dxa"/>
            <w:shd w:val="clear" w:color="auto" w:fill="auto"/>
            <w:vAlign w:val="center"/>
            <w:hideMark/>
          </w:tcPr>
          <w:p w14:paraId="051CBBB0"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Financial recordkeeping</w:t>
            </w:r>
          </w:p>
        </w:tc>
        <w:tc>
          <w:tcPr>
            <w:tcW w:w="1275" w:type="dxa"/>
            <w:shd w:val="clear" w:color="auto" w:fill="auto"/>
            <w:vAlign w:val="center"/>
            <w:hideMark/>
          </w:tcPr>
          <w:p w14:paraId="3A58FCA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02E1182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12.00</w:t>
            </w:r>
          </w:p>
        </w:tc>
        <w:tc>
          <w:tcPr>
            <w:tcW w:w="990" w:type="dxa"/>
            <w:shd w:val="clear" w:color="auto" w:fill="auto"/>
            <w:vAlign w:val="center"/>
            <w:hideMark/>
          </w:tcPr>
          <w:p w14:paraId="1067DA8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672.00</w:t>
            </w:r>
          </w:p>
        </w:tc>
        <w:tc>
          <w:tcPr>
            <w:tcW w:w="987" w:type="dxa"/>
            <w:shd w:val="clear" w:color="auto" w:fill="auto"/>
            <w:vAlign w:val="center"/>
            <w:hideMark/>
          </w:tcPr>
          <w:p w14:paraId="7B36F80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2.00</w:t>
            </w:r>
          </w:p>
        </w:tc>
        <w:tc>
          <w:tcPr>
            <w:tcW w:w="990" w:type="dxa"/>
            <w:shd w:val="clear" w:color="auto" w:fill="auto"/>
            <w:vAlign w:val="center"/>
            <w:hideMark/>
          </w:tcPr>
          <w:p w14:paraId="06D73CD5" w14:textId="0B91BB9B"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w:t>
            </w:r>
            <w:r w:rsidR="00AC409C">
              <w:rPr>
                <w:rFonts w:ascii="Calibri" w:hAnsi="Calibri" w:cs="Calibri"/>
                <w:color w:val="000000"/>
                <w:sz w:val="18"/>
                <w:szCs w:val="20"/>
              </w:rPr>
              <w:t>,</w:t>
            </w:r>
            <w:r w:rsidRPr="006A2BE6">
              <w:rPr>
                <w:rFonts w:ascii="Calibri" w:hAnsi="Calibri" w:cs="Calibri"/>
                <w:color w:val="000000"/>
                <w:sz w:val="18"/>
                <w:szCs w:val="20"/>
              </w:rPr>
              <w:t>344.00</w:t>
            </w:r>
          </w:p>
        </w:tc>
        <w:tc>
          <w:tcPr>
            <w:tcW w:w="990" w:type="dxa"/>
            <w:shd w:val="clear" w:color="auto" w:fill="auto"/>
            <w:noWrap/>
            <w:vAlign w:val="center"/>
            <w:hideMark/>
          </w:tcPr>
          <w:p w14:paraId="0A4561B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22C2750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$52,510.08</w:t>
            </w:r>
          </w:p>
        </w:tc>
      </w:tr>
      <w:tr w:rsidR="00191F98" w:rsidRPr="006A2BE6" w14:paraId="0C180758" w14:textId="77777777" w:rsidTr="00D86827">
        <w:trPr>
          <w:trHeight w:val="600"/>
          <w:jc w:val="center"/>
        </w:trPr>
        <w:tc>
          <w:tcPr>
            <w:tcW w:w="1542" w:type="dxa"/>
            <w:shd w:val="clear" w:color="auto" w:fill="D9D9D9" w:themeFill="background1" w:themeFillShade="D9"/>
            <w:vAlign w:val="center"/>
            <w:hideMark/>
          </w:tcPr>
          <w:p w14:paraId="09263125"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93.407 (a)(4)</w:t>
            </w:r>
          </w:p>
        </w:tc>
        <w:tc>
          <w:tcPr>
            <w:tcW w:w="2595" w:type="dxa"/>
            <w:shd w:val="clear" w:color="auto" w:fill="D9D9D9" w:themeFill="background1" w:themeFillShade="D9"/>
            <w:vAlign w:val="center"/>
            <w:hideMark/>
          </w:tcPr>
          <w:p w14:paraId="1938057A"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Program administration records</w:t>
            </w:r>
          </w:p>
        </w:tc>
        <w:tc>
          <w:tcPr>
            <w:tcW w:w="1275" w:type="dxa"/>
            <w:shd w:val="clear" w:color="auto" w:fill="D9D9D9" w:themeFill="background1" w:themeFillShade="D9"/>
            <w:vAlign w:val="center"/>
            <w:hideMark/>
          </w:tcPr>
          <w:p w14:paraId="1536D32B"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734FD4C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12.00</w:t>
            </w:r>
          </w:p>
        </w:tc>
        <w:tc>
          <w:tcPr>
            <w:tcW w:w="990" w:type="dxa"/>
            <w:shd w:val="clear" w:color="auto" w:fill="D9D9D9" w:themeFill="background1" w:themeFillShade="D9"/>
            <w:vAlign w:val="center"/>
            <w:hideMark/>
          </w:tcPr>
          <w:p w14:paraId="58A31DC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672.00</w:t>
            </w:r>
          </w:p>
        </w:tc>
        <w:tc>
          <w:tcPr>
            <w:tcW w:w="987" w:type="dxa"/>
            <w:shd w:val="clear" w:color="auto" w:fill="D9D9D9" w:themeFill="background1" w:themeFillShade="D9"/>
            <w:vAlign w:val="center"/>
            <w:hideMark/>
          </w:tcPr>
          <w:p w14:paraId="04B93CF9"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8.00</w:t>
            </w:r>
          </w:p>
        </w:tc>
        <w:tc>
          <w:tcPr>
            <w:tcW w:w="990" w:type="dxa"/>
            <w:shd w:val="clear" w:color="auto" w:fill="D9D9D9" w:themeFill="background1" w:themeFillShade="D9"/>
            <w:vAlign w:val="center"/>
            <w:hideMark/>
          </w:tcPr>
          <w:p w14:paraId="5164D75A" w14:textId="70D6D630"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w:t>
            </w:r>
            <w:r w:rsidR="00AC409C">
              <w:rPr>
                <w:rFonts w:ascii="Calibri" w:hAnsi="Calibri" w:cs="Calibri"/>
                <w:color w:val="000000"/>
                <w:sz w:val="18"/>
                <w:szCs w:val="20"/>
              </w:rPr>
              <w:t>,</w:t>
            </w:r>
            <w:r w:rsidRPr="006A2BE6">
              <w:rPr>
                <w:rFonts w:ascii="Calibri" w:hAnsi="Calibri" w:cs="Calibri"/>
                <w:color w:val="000000"/>
                <w:sz w:val="18"/>
                <w:szCs w:val="20"/>
              </w:rPr>
              <w:t>376.00</w:t>
            </w:r>
          </w:p>
        </w:tc>
        <w:tc>
          <w:tcPr>
            <w:tcW w:w="990" w:type="dxa"/>
            <w:shd w:val="clear" w:color="auto" w:fill="D9D9D9" w:themeFill="background1" w:themeFillShade="D9"/>
            <w:noWrap/>
            <w:vAlign w:val="center"/>
            <w:hideMark/>
          </w:tcPr>
          <w:p w14:paraId="24A668B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1F0B35B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$210,040.32</w:t>
            </w:r>
          </w:p>
        </w:tc>
      </w:tr>
      <w:tr w:rsidR="00453E0D" w:rsidRPr="006A2BE6" w14:paraId="073FCAFC" w14:textId="77777777" w:rsidTr="00D86827">
        <w:trPr>
          <w:trHeight w:val="600"/>
          <w:jc w:val="center"/>
        </w:trPr>
        <w:tc>
          <w:tcPr>
            <w:tcW w:w="1542" w:type="dxa"/>
            <w:shd w:val="clear" w:color="auto" w:fill="auto"/>
            <w:vAlign w:val="center"/>
            <w:hideMark/>
          </w:tcPr>
          <w:p w14:paraId="10DE835A"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93.407 (a)(5)</w:t>
            </w:r>
          </w:p>
        </w:tc>
        <w:tc>
          <w:tcPr>
            <w:tcW w:w="2595" w:type="dxa"/>
            <w:shd w:val="clear" w:color="auto" w:fill="auto"/>
            <w:vAlign w:val="center"/>
            <w:hideMark/>
          </w:tcPr>
          <w:p w14:paraId="4361D901"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Records concerning other Federal requirements</w:t>
            </w:r>
          </w:p>
        </w:tc>
        <w:tc>
          <w:tcPr>
            <w:tcW w:w="1275" w:type="dxa"/>
            <w:shd w:val="clear" w:color="auto" w:fill="auto"/>
            <w:vAlign w:val="center"/>
            <w:hideMark/>
          </w:tcPr>
          <w:p w14:paraId="1BCED5E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68EFDC6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54E70FB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3F52D771"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10.00</w:t>
            </w:r>
          </w:p>
        </w:tc>
        <w:tc>
          <w:tcPr>
            <w:tcW w:w="990" w:type="dxa"/>
            <w:shd w:val="clear" w:color="auto" w:fill="auto"/>
            <w:vAlign w:val="center"/>
            <w:hideMark/>
          </w:tcPr>
          <w:p w14:paraId="681FDC78"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560.00</w:t>
            </w:r>
          </w:p>
        </w:tc>
        <w:tc>
          <w:tcPr>
            <w:tcW w:w="990" w:type="dxa"/>
            <w:shd w:val="clear" w:color="auto" w:fill="auto"/>
            <w:noWrap/>
            <w:vAlign w:val="center"/>
            <w:hideMark/>
          </w:tcPr>
          <w:p w14:paraId="2959E04E"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77FEDBB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$21,879.20</w:t>
            </w:r>
          </w:p>
        </w:tc>
      </w:tr>
      <w:tr w:rsidR="00191F98" w:rsidRPr="006A2BE6" w14:paraId="31441120" w14:textId="77777777" w:rsidTr="00D86827">
        <w:trPr>
          <w:trHeight w:val="600"/>
          <w:jc w:val="center"/>
        </w:trPr>
        <w:tc>
          <w:tcPr>
            <w:tcW w:w="1542" w:type="dxa"/>
            <w:shd w:val="clear" w:color="auto" w:fill="D9D9D9" w:themeFill="background1" w:themeFillShade="D9"/>
            <w:vAlign w:val="center"/>
            <w:hideMark/>
          </w:tcPr>
          <w:p w14:paraId="355ACE62"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93.408</w:t>
            </w:r>
          </w:p>
        </w:tc>
        <w:tc>
          <w:tcPr>
            <w:tcW w:w="2595" w:type="dxa"/>
            <w:shd w:val="clear" w:color="auto" w:fill="D9D9D9" w:themeFill="background1" w:themeFillShade="D9"/>
            <w:vAlign w:val="center"/>
            <w:hideMark/>
          </w:tcPr>
          <w:p w14:paraId="77AC5F36"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Performance reports</w:t>
            </w:r>
          </w:p>
        </w:tc>
        <w:tc>
          <w:tcPr>
            <w:tcW w:w="1275" w:type="dxa"/>
            <w:shd w:val="clear" w:color="auto" w:fill="D9D9D9" w:themeFill="background1" w:themeFillShade="D9"/>
            <w:vAlign w:val="center"/>
            <w:hideMark/>
          </w:tcPr>
          <w:p w14:paraId="2ACDA41D"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D9D9D9" w:themeFill="background1" w:themeFillShade="D9"/>
            <w:vAlign w:val="center"/>
            <w:hideMark/>
          </w:tcPr>
          <w:p w14:paraId="2E1DAC0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12.00</w:t>
            </w:r>
          </w:p>
        </w:tc>
        <w:tc>
          <w:tcPr>
            <w:tcW w:w="990" w:type="dxa"/>
            <w:shd w:val="clear" w:color="auto" w:fill="D9D9D9" w:themeFill="background1" w:themeFillShade="D9"/>
            <w:vAlign w:val="center"/>
            <w:hideMark/>
          </w:tcPr>
          <w:p w14:paraId="435C5012"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672.00</w:t>
            </w:r>
          </w:p>
        </w:tc>
        <w:tc>
          <w:tcPr>
            <w:tcW w:w="987" w:type="dxa"/>
            <w:shd w:val="clear" w:color="auto" w:fill="D9D9D9" w:themeFill="background1" w:themeFillShade="D9"/>
            <w:vAlign w:val="center"/>
            <w:hideMark/>
          </w:tcPr>
          <w:p w14:paraId="477894B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2.50</w:t>
            </w:r>
          </w:p>
        </w:tc>
        <w:tc>
          <w:tcPr>
            <w:tcW w:w="990" w:type="dxa"/>
            <w:shd w:val="clear" w:color="auto" w:fill="D9D9D9" w:themeFill="background1" w:themeFillShade="D9"/>
            <w:vAlign w:val="center"/>
            <w:hideMark/>
          </w:tcPr>
          <w:p w14:paraId="77EED419" w14:textId="7CE3E812"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w:t>
            </w:r>
            <w:r w:rsidR="00AC409C">
              <w:rPr>
                <w:rFonts w:ascii="Calibri" w:hAnsi="Calibri" w:cs="Calibri"/>
                <w:color w:val="000000"/>
                <w:sz w:val="18"/>
                <w:szCs w:val="20"/>
              </w:rPr>
              <w:t>,</w:t>
            </w:r>
            <w:r w:rsidRPr="006A2BE6">
              <w:rPr>
                <w:rFonts w:ascii="Calibri" w:hAnsi="Calibri" w:cs="Calibri"/>
                <w:color w:val="000000"/>
                <w:sz w:val="18"/>
                <w:szCs w:val="20"/>
              </w:rPr>
              <w:t>680.00</w:t>
            </w:r>
          </w:p>
        </w:tc>
        <w:tc>
          <w:tcPr>
            <w:tcW w:w="990" w:type="dxa"/>
            <w:shd w:val="clear" w:color="auto" w:fill="D9D9D9" w:themeFill="background1" w:themeFillShade="D9"/>
            <w:noWrap/>
            <w:vAlign w:val="center"/>
            <w:hideMark/>
          </w:tcPr>
          <w:p w14:paraId="204BC130"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D9D9D9" w:themeFill="background1" w:themeFillShade="D9"/>
            <w:vAlign w:val="center"/>
            <w:hideMark/>
          </w:tcPr>
          <w:p w14:paraId="153F1CE4"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$65,637.60</w:t>
            </w:r>
          </w:p>
        </w:tc>
      </w:tr>
      <w:tr w:rsidR="00453E0D" w:rsidRPr="006A2BE6" w14:paraId="76E43263" w14:textId="77777777" w:rsidTr="00D86827">
        <w:trPr>
          <w:trHeight w:val="600"/>
          <w:jc w:val="center"/>
        </w:trPr>
        <w:tc>
          <w:tcPr>
            <w:tcW w:w="1542" w:type="dxa"/>
            <w:shd w:val="clear" w:color="auto" w:fill="auto"/>
            <w:vAlign w:val="center"/>
            <w:hideMark/>
          </w:tcPr>
          <w:p w14:paraId="1B51B83E"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93.451</w:t>
            </w:r>
          </w:p>
        </w:tc>
        <w:tc>
          <w:tcPr>
            <w:tcW w:w="2595" w:type="dxa"/>
            <w:shd w:val="clear" w:color="auto" w:fill="auto"/>
            <w:vAlign w:val="center"/>
            <w:hideMark/>
          </w:tcPr>
          <w:p w14:paraId="2915DE2B"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Annual performance reviews</w:t>
            </w:r>
          </w:p>
        </w:tc>
        <w:tc>
          <w:tcPr>
            <w:tcW w:w="1275" w:type="dxa"/>
            <w:shd w:val="clear" w:color="auto" w:fill="auto"/>
            <w:vAlign w:val="center"/>
            <w:hideMark/>
          </w:tcPr>
          <w:p w14:paraId="46F8E19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1068" w:type="dxa"/>
            <w:shd w:val="clear" w:color="auto" w:fill="auto"/>
            <w:vAlign w:val="center"/>
            <w:hideMark/>
          </w:tcPr>
          <w:p w14:paraId="54F2A8F5"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1.00</w:t>
            </w:r>
          </w:p>
        </w:tc>
        <w:tc>
          <w:tcPr>
            <w:tcW w:w="990" w:type="dxa"/>
            <w:shd w:val="clear" w:color="auto" w:fill="auto"/>
            <w:vAlign w:val="center"/>
            <w:hideMark/>
          </w:tcPr>
          <w:p w14:paraId="7C488FB3"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56.00</w:t>
            </w:r>
          </w:p>
        </w:tc>
        <w:tc>
          <w:tcPr>
            <w:tcW w:w="987" w:type="dxa"/>
            <w:shd w:val="clear" w:color="auto" w:fill="auto"/>
            <w:vAlign w:val="center"/>
            <w:hideMark/>
          </w:tcPr>
          <w:p w14:paraId="06BDB7EC"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8.00</w:t>
            </w:r>
          </w:p>
        </w:tc>
        <w:tc>
          <w:tcPr>
            <w:tcW w:w="990" w:type="dxa"/>
            <w:shd w:val="clear" w:color="auto" w:fill="auto"/>
            <w:vAlign w:val="center"/>
            <w:hideMark/>
          </w:tcPr>
          <w:p w14:paraId="37458FCF"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448.00</w:t>
            </w:r>
          </w:p>
        </w:tc>
        <w:tc>
          <w:tcPr>
            <w:tcW w:w="990" w:type="dxa"/>
            <w:shd w:val="clear" w:color="auto" w:fill="auto"/>
            <w:noWrap/>
            <w:vAlign w:val="center"/>
            <w:hideMark/>
          </w:tcPr>
          <w:p w14:paraId="02AABF1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 xml:space="preserve">$39.07 </w:t>
            </w:r>
          </w:p>
        </w:tc>
        <w:tc>
          <w:tcPr>
            <w:tcW w:w="1320" w:type="dxa"/>
            <w:shd w:val="clear" w:color="auto" w:fill="auto"/>
            <w:vAlign w:val="center"/>
            <w:hideMark/>
          </w:tcPr>
          <w:p w14:paraId="6B715C06" w14:textId="77777777" w:rsidR="00736FE8" w:rsidRPr="006A2BE6" w:rsidRDefault="00736FE8">
            <w:pPr>
              <w:jc w:val="right"/>
              <w:rPr>
                <w:rFonts w:ascii="Calibri" w:hAnsi="Calibri" w:cs="Calibri"/>
                <w:color w:val="000000"/>
                <w:sz w:val="18"/>
                <w:szCs w:val="20"/>
              </w:rPr>
            </w:pPr>
            <w:r w:rsidRPr="006A2BE6">
              <w:rPr>
                <w:rFonts w:ascii="Calibri" w:hAnsi="Calibri" w:cs="Calibri"/>
                <w:color w:val="000000"/>
                <w:sz w:val="18"/>
                <w:szCs w:val="20"/>
              </w:rPr>
              <w:t>$17,503.36</w:t>
            </w:r>
          </w:p>
        </w:tc>
      </w:tr>
      <w:tr w:rsidR="00F77130" w:rsidRPr="006A2BE6" w14:paraId="2CD58DA3" w14:textId="77777777" w:rsidTr="00D86827">
        <w:trPr>
          <w:trHeight w:val="600"/>
          <w:jc w:val="center"/>
        </w:trPr>
        <w:tc>
          <w:tcPr>
            <w:tcW w:w="1542" w:type="dxa"/>
            <w:shd w:val="clear" w:color="auto" w:fill="D9D9D9" w:themeFill="background1" w:themeFillShade="D9"/>
            <w:vAlign w:val="center"/>
            <w:hideMark/>
          </w:tcPr>
          <w:p w14:paraId="2B6DF993" w14:textId="77777777" w:rsidR="00736FE8" w:rsidRPr="006A2BE6" w:rsidRDefault="00736FE8">
            <w:pPr>
              <w:rPr>
                <w:rFonts w:ascii="Calibri" w:hAnsi="Calibri" w:cs="Calibri"/>
                <w:color w:val="000000"/>
                <w:sz w:val="18"/>
                <w:szCs w:val="20"/>
              </w:rPr>
            </w:pPr>
            <w:r w:rsidRPr="006A2BE6">
              <w:rPr>
                <w:rFonts w:ascii="Calibri" w:hAnsi="Calibri" w:cs="Calibri"/>
                <w:color w:val="000000"/>
                <w:sz w:val="18"/>
                <w:szCs w:val="20"/>
              </w:rPr>
              <w:t> </w:t>
            </w:r>
          </w:p>
        </w:tc>
        <w:tc>
          <w:tcPr>
            <w:tcW w:w="2595" w:type="dxa"/>
            <w:shd w:val="clear" w:color="auto" w:fill="D9D9D9" w:themeFill="background1" w:themeFillShade="D9"/>
            <w:vAlign w:val="center"/>
            <w:hideMark/>
          </w:tcPr>
          <w:p w14:paraId="350C4EC0" w14:textId="77777777" w:rsidR="00736FE8" w:rsidRPr="00D86827" w:rsidRDefault="00736FE8">
            <w:pPr>
              <w:jc w:val="right"/>
              <w:rPr>
                <w:rFonts w:ascii="Calibri" w:hAnsi="Calibri" w:cs="Calibri"/>
                <w:b/>
                <w:bCs/>
                <w:color w:val="000000"/>
                <w:sz w:val="18"/>
                <w:szCs w:val="20"/>
              </w:rPr>
            </w:pPr>
            <w:r w:rsidRPr="00D86827">
              <w:rPr>
                <w:rFonts w:ascii="Calibri" w:hAnsi="Calibri" w:cs="Calibri"/>
                <w:b/>
                <w:bCs/>
                <w:color w:val="000000"/>
                <w:sz w:val="18"/>
                <w:szCs w:val="20"/>
              </w:rPr>
              <w:t>TOTAL</w:t>
            </w:r>
          </w:p>
        </w:tc>
        <w:tc>
          <w:tcPr>
            <w:tcW w:w="1275" w:type="dxa"/>
            <w:shd w:val="clear" w:color="auto" w:fill="D9D9D9" w:themeFill="background1" w:themeFillShade="D9"/>
            <w:vAlign w:val="center"/>
            <w:hideMark/>
          </w:tcPr>
          <w:p w14:paraId="3435E721" w14:textId="78B87536" w:rsidR="00736FE8" w:rsidRPr="00D86827" w:rsidRDefault="00736FE8">
            <w:pPr>
              <w:jc w:val="right"/>
              <w:rPr>
                <w:rFonts w:ascii="Calibri" w:hAnsi="Calibri" w:cs="Calibri"/>
                <w:b/>
                <w:color w:val="000000"/>
                <w:sz w:val="18"/>
                <w:szCs w:val="20"/>
              </w:rPr>
            </w:pPr>
            <w:r w:rsidRPr="00D86827">
              <w:rPr>
                <w:rFonts w:ascii="Calibri" w:hAnsi="Calibri" w:cs="Calibri"/>
                <w:b/>
                <w:color w:val="000000"/>
                <w:sz w:val="18"/>
                <w:szCs w:val="20"/>
              </w:rPr>
              <w:t>12</w:t>
            </w:r>
            <w:r w:rsidR="008C1531" w:rsidRPr="00D86827">
              <w:rPr>
                <w:rFonts w:ascii="Calibri" w:hAnsi="Calibri" w:cs="Calibri"/>
                <w:b/>
                <w:color w:val="000000"/>
                <w:sz w:val="18"/>
                <w:szCs w:val="20"/>
              </w:rPr>
              <w:t>,</w:t>
            </w:r>
            <w:r w:rsidR="006B50D4">
              <w:rPr>
                <w:rFonts w:ascii="Calibri" w:hAnsi="Calibri" w:cs="Calibri"/>
                <w:b/>
                <w:color w:val="000000"/>
                <w:sz w:val="18"/>
                <w:szCs w:val="20"/>
              </w:rPr>
              <w:t>186</w:t>
            </w:r>
            <w:r w:rsidRPr="00D86827">
              <w:rPr>
                <w:rFonts w:ascii="Calibri" w:hAnsi="Calibri" w:cs="Calibri"/>
                <w:b/>
                <w:color w:val="000000"/>
                <w:sz w:val="18"/>
                <w:szCs w:val="20"/>
              </w:rPr>
              <w:t>.00</w:t>
            </w:r>
          </w:p>
        </w:tc>
        <w:tc>
          <w:tcPr>
            <w:tcW w:w="1068" w:type="dxa"/>
            <w:shd w:val="clear" w:color="auto" w:fill="D9D9D9" w:themeFill="background1" w:themeFillShade="D9"/>
            <w:vAlign w:val="center"/>
            <w:hideMark/>
          </w:tcPr>
          <w:p w14:paraId="12F0AC7E" w14:textId="77777777" w:rsidR="00736FE8" w:rsidRPr="00D86827" w:rsidRDefault="00736FE8">
            <w:pPr>
              <w:rPr>
                <w:rFonts w:ascii="Calibri" w:hAnsi="Calibri" w:cs="Calibri"/>
                <w:b/>
                <w:color w:val="000000"/>
                <w:sz w:val="18"/>
                <w:szCs w:val="20"/>
              </w:rPr>
            </w:pPr>
            <w:r w:rsidRPr="00D86827">
              <w:rPr>
                <w:rFonts w:ascii="Calibri" w:hAnsi="Calibri" w:cs="Calibri"/>
                <w:b/>
                <w:color w:val="000000"/>
                <w:sz w:val="18"/>
                <w:szCs w:val="20"/>
              </w:rPr>
              <w:t> </w:t>
            </w:r>
          </w:p>
        </w:tc>
        <w:tc>
          <w:tcPr>
            <w:tcW w:w="990" w:type="dxa"/>
            <w:shd w:val="clear" w:color="auto" w:fill="D9D9D9" w:themeFill="background1" w:themeFillShade="D9"/>
            <w:vAlign w:val="center"/>
            <w:hideMark/>
          </w:tcPr>
          <w:p w14:paraId="36160689" w14:textId="04181EF5" w:rsidR="00736FE8" w:rsidRPr="00D86827" w:rsidRDefault="00736FE8">
            <w:pPr>
              <w:jc w:val="right"/>
              <w:rPr>
                <w:rFonts w:ascii="Calibri" w:hAnsi="Calibri" w:cs="Calibri"/>
                <w:b/>
                <w:color w:val="000000"/>
                <w:sz w:val="18"/>
                <w:szCs w:val="20"/>
              </w:rPr>
            </w:pPr>
            <w:r w:rsidRPr="00D86827">
              <w:rPr>
                <w:rFonts w:ascii="Calibri" w:hAnsi="Calibri" w:cs="Calibri"/>
                <w:b/>
                <w:color w:val="000000"/>
                <w:sz w:val="18"/>
                <w:szCs w:val="20"/>
              </w:rPr>
              <w:t>14</w:t>
            </w:r>
            <w:r w:rsidR="008C1531" w:rsidRPr="00D86827">
              <w:rPr>
                <w:rFonts w:ascii="Calibri" w:hAnsi="Calibri" w:cs="Calibri"/>
                <w:b/>
                <w:color w:val="000000"/>
                <w:sz w:val="18"/>
                <w:szCs w:val="20"/>
              </w:rPr>
              <w:t>,</w:t>
            </w:r>
            <w:r w:rsidR="00E92DE5">
              <w:rPr>
                <w:rFonts w:ascii="Calibri" w:hAnsi="Calibri" w:cs="Calibri"/>
                <w:b/>
                <w:color w:val="000000"/>
                <w:sz w:val="18"/>
                <w:szCs w:val="20"/>
              </w:rPr>
              <w:t>605</w:t>
            </w:r>
            <w:r w:rsidRPr="00D86827">
              <w:rPr>
                <w:rFonts w:ascii="Calibri" w:hAnsi="Calibri" w:cs="Calibri"/>
                <w:b/>
                <w:color w:val="000000"/>
                <w:sz w:val="18"/>
                <w:szCs w:val="20"/>
              </w:rPr>
              <w:t>.20</w:t>
            </w:r>
          </w:p>
        </w:tc>
        <w:tc>
          <w:tcPr>
            <w:tcW w:w="987" w:type="dxa"/>
            <w:shd w:val="clear" w:color="auto" w:fill="D9D9D9" w:themeFill="background1" w:themeFillShade="D9"/>
            <w:vAlign w:val="center"/>
            <w:hideMark/>
          </w:tcPr>
          <w:p w14:paraId="0605886B" w14:textId="77777777" w:rsidR="00736FE8" w:rsidRPr="00D86827" w:rsidRDefault="00736FE8">
            <w:pPr>
              <w:rPr>
                <w:rFonts w:ascii="Calibri" w:hAnsi="Calibri" w:cs="Calibri"/>
                <w:b/>
                <w:color w:val="000000"/>
                <w:sz w:val="18"/>
                <w:szCs w:val="20"/>
              </w:rPr>
            </w:pPr>
            <w:r w:rsidRPr="00D86827">
              <w:rPr>
                <w:rFonts w:ascii="Calibri" w:hAnsi="Calibri" w:cs="Calibri"/>
                <w:b/>
                <w:color w:val="000000"/>
                <w:sz w:val="18"/>
                <w:szCs w:val="20"/>
              </w:rPr>
              <w:t> </w:t>
            </w:r>
          </w:p>
        </w:tc>
        <w:tc>
          <w:tcPr>
            <w:tcW w:w="990" w:type="dxa"/>
            <w:shd w:val="clear" w:color="auto" w:fill="D9D9D9" w:themeFill="background1" w:themeFillShade="D9"/>
            <w:vAlign w:val="center"/>
            <w:hideMark/>
          </w:tcPr>
          <w:p w14:paraId="1D4F31C3" w14:textId="45A9DD82" w:rsidR="00736FE8" w:rsidRPr="00D86827" w:rsidRDefault="00736FE8">
            <w:pPr>
              <w:jc w:val="right"/>
              <w:rPr>
                <w:rFonts w:ascii="Calibri" w:hAnsi="Calibri" w:cs="Calibri"/>
                <w:b/>
                <w:color w:val="000000"/>
                <w:sz w:val="18"/>
                <w:szCs w:val="20"/>
              </w:rPr>
            </w:pPr>
            <w:r w:rsidRPr="00D86827">
              <w:rPr>
                <w:rFonts w:ascii="Calibri" w:hAnsi="Calibri" w:cs="Calibri"/>
                <w:b/>
                <w:color w:val="000000"/>
                <w:sz w:val="18"/>
                <w:szCs w:val="20"/>
              </w:rPr>
              <w:t>26</w:t>
            </w:r>
            <w:r w:rsidR="008C1531" w:rsidRPr="00D86827">
              <w:rPr>
                <w:rFonts w:ascii="Calibri" w:hAnsi="Calibri" w:cs="Calibri"/>
                <w:b/>
                <w:color w:val="000000"/>
                <w:sz w:val="18"/>
                <w:szCs w:val="20"/>
              </w:rPr>
              <w:t>,</w:t>
            </w:r>
            <w:r w:rsidR="004554C0">
              <w:rPr>
                <w:rFonts w:ascii="Calibri" w:hAnsi="Calibri" w:cs="Calibri"/>
                <w:b/>
                <w:color w:val="000000"/>
                <w:sz w:val="18"/>
                <w:szCs w:val="20"/>
              </w:rPr>
              <w:t>247</w:t>
            </w:r>
            <w:r w:rsidRPr="00D86827">
              <w:rPr>
                <w:rFonts w:ascii="Calibri" w:hAnsi="Calibri" w:cs="Calibri"/>
                <w:b/>
                <w:color w:val="000000"/>
                <w:sz w:val="18"/>
                <w:szCs w:val="20"/>
              </w:rPr>
              <w:t>.00</w:t>
            </w:r>
          </w:p>
        </w:tc>
        <w:tc>
          <w:tcPr>
            <w:tcW w:w="990" w:type="dxa"/>
            <w:shd w:val="clear" w:color="auto" w:fill="D9D9D9" w:themeFill="background1" w:themeFillShade="D9"/>
            <w:vAlign w:val="center"/>
            <w:hideMark/>
          </w:tcPr>
          <w:p w14:paraId="0234C4DC" w14:textId="77777777" w:rsidR="00736FE8" w:rsidRPr="00D86827" w:rsidRDefault="00736FE8">
            <w:pPr>
              <w:rPr>
                <w:rFonts w:ascii="Calibri" w:hAnsi="Calibri" w:cs="Calibri"/>
                <w:b/>
                <w:color w:val="000000"/>
                <w:sz w:val="18"/>
                <w:szCs w:val="20"/>
              </w:rPr>
            </w:pPr>
            <w:r w:rsidRPr="00D86827">
              <w:rPr>
                <w:rFonts w:ascii="Calibri" w:hAnsi="Calibri" w:cs="Calibri"/>
                <w:b/>
                <w:color w:val="000000"/>
                <w:sz w:val="18"/>
                <w:szCs w:val="20"/>
              </w:rPr>
              <w:t> </w:t>
            </w:r>
          </w:p>
        </w:tc>
        <w:tc>
          <w:tcPr>
            <w:tcW w:w="1320" w:type="dxa"/>
            <w:shd w:val="clear" w:color="auto" w:fill="D9D9D9" w:themeFill="background1" w:themeFillShade="D9"/>
            <w:vAlign w:val="center"/>
            <w:hideMark/>
          </w:tcPr>
          <w:p w14:paraId="3D70D62F" w14:textId="7433C0BF" w:rsidR="00736FE8" w:rsidRPr="00D86827" w:rsidRDefault="001846A2">
            <w:pPr>
              <w:jc w:val="right"/>
              <w:rPr>
                <w:rFonts w:ascii="Calibri" w:hAnsi="Calibri" w:cs="Calibri"/>
                <w:b/>
                <w:color w:val="000000"/>
                <w:sz w:val="18"/>
                <w:szCs w:val="20"/>
              </w:rPr>
            </w:pPr>
            <w:r w:rsidRPr="00D86827">
              <w:rPr>
                <w:rFonts w:ascii="Calibri" w:hAnsi="Calibri" w:cs="Calibri"/>
                <w:b/>
                <w:color w:val="000000"/>
                <w:sz w:val="18"/>
                <w:szCs w:val="20"/>
              </w:rPr>
              <w:t>$</w:t>
            </w:r>
            <w:r w:rsidR="003836B8" w:rsidRPr="003836B8">
              <w:rPr>
                <w:rFonts w:ascii="Calibri" w:hAnsi="Calibri" w:cs="Calibri"/>
                <w:b/>
                <w:color w:val="000000"/>
                <w:sz w:val="18"/>
                <w:szCs w:val="20"/>
              </w:rPr>
              <w:t>1</w:t>
            </w:r>
            <w:r w:rsidR="003836B8">
              <w:rPr>
                <w:rFonts w:ascii="Calibri" w:hAnsi="Calibri" w:cs="Calibri"/>
                <w:b/>
                <w:color w:val="000000"/>
                <w:sz w:val="18"/>
                <w:szCs w:val="20"/>
              </w:rPr>
              <w:t>,</w:t>
            </w:r>
            <w:r w:rsidR="003836B8" w:rsidRPr="003836B8">
              <w:rPr>
                <w:rFonts w:ascii="Calibri" w:hAnsi="Calibri" w:cs="Calibri"/>
                <w:b/>
                <w:color w:val="000000"/>
                <w:sz w:val="18"/>
                <w:szCs w:val="20"/>
              </w:rPr>
              <w:t>025</w:t>
            </w:r>
            <w:r w:rsidR="003836B8">
              <w:rPr>
                <w:rFonts w:ascii="Calibri" w:hAnsi="Calibri" w:cs="Calibri"/>
                <w:b/>
                <w:color w:val="000000"/>
                <w:sz w:val="18"/>
                <w:szCs w:val="20"/>
              </w:rPr>
              <w:t>,</w:t>
            </w:r>
            <w:r w:rsidR="003836B8" w:rsidRPr="003836B8">
              <w:rPr>
                <w:rFonts w:ascii="Calibri" w:hAnsi="Calibri" w:cs="Calibri"/>
                <w:b/>
                <w:color w:val="000000"/>
                <w:sz w:val="18"/>
                <w:szCs w:val="20"/>
              </w:rPr>
              <w:t>470.29</w:t>
            </w:r>
          </w:p>
        </w:tc>
      </w:tr>
      <w:tr w:rsidR="006A2BE6" w:rsidRPr="006A2BE6" w14:paraId="0943ACA5" w14:textId="77777777" w:rsidTr="00C6398B">
        <w:trPr>
          <w:trHeight w:val="187"/>
          <w:jc w:val="center"/>
        </w:trPr>
        <w:tc>
          <w:tcPr>
            <w:tcW w:w="11757" w:type="dxa"/>
            <w:gridSpan w:val="9"/>
            <w:shd w:val="clear" w:color="auto" w:fill="auto"/>
            <w:vAlign w:val="bottom"/>
            <w:hideMark/>
          </w:tcPr>
          <w:p w14:paraId="72463D04" w14:textId="6547F079" w:rsidR="006A2BE6" w:rsidRPr="006A2BE6" w:rsidRDefault="006A2BE6">
            <w:pPr>
              <w:jc w:val="center"/>
              <w:rPr>
                <w:rFonts w:ascii="Calibri" w:hAnsi="Calibri" w:cs="Calibri"/>
                <w:color w:val="000000"/>
                <w:sz w:val="18"/>
                <w:szCs w:val="20"/>
              </w:rPr>
            </w:pPr>
            <w:r w:rsidRPr="006A2BE6">
              <w:rPr>
                <w:rFonts w:ascii="Calibri" w:hAnsi="Calibri" w:cs="Calibri"/>
                <w:color w:val="000000"/>
                <w:sz w:val="18"/>
                <w:szCs w:val="20"/>
              </w:rPr>
              <w:t>Total cost: 26</w:t>
            </w:r>
            <w:r w:rsidR="00F20AFE">
              <w:rPr>
                <w:rFonts w:ascii="Calibri" w:hAnsi="Calibri" w:cs="Calibri"/>
                <w:color w:val="000000"/>
                <w:sz w:val="18"/>
                <w:szCs w:val="20"/>
              </w:rPr>
              <w:t>,</w:t>
            </w:r>
            <w:r w:rsidRPr="006A2BE6">
              <w:rPr>
                <w:rFonts w:ascii="Calibri" w:hAnsi="Calibri" w:cs="Calibri"/>
                <w:color w:val="000000"/>
                <w:sz w:val="18"/>
                <w:szCs w:val="20"/>
              </w:rPr>
              <w:t>835.00 hours * $39.07 (Hourly rate for GS12)</w:t>
            </w:r>
          </w:p>
        </w:tc>
      </w:tr>
    </w:tbl>
    <w:p w14:paraId="56231C23" w14:textId="77777777" w:rsidR="00E127A9" w:rsidRPr="00105854" w:rsidRDefault="00E127A9">
      <w:pPr>
        <w:keepLines/>
        <w:tabs>
          <w:tab w:val="left" w:pos="360"/>
          <w:tab w:val="left" w:pos="720"/>
        </w:tabs>
        <w:ind w:left="360" w:hanging="360"/>
        <w:rPr>
          <w:color w:val="000000"/>
        </w:rPr>
      </w:pPr>
    </w:p>
    <w:p w14:paraId="636B742B" w14:textId="77777777" w:rsidR="00A43649" w:rsidRDefault="00A43649">
      <w:pPr>
        <w:tabs>
          <w:tab w:val="left" w:pos="360"/>
        </w:tabs>
        <w:ind w:left="360" w:hanging="360"/>
        <w:rPr>
          <w:color w:val="000000"/>
        </w:rPr>
      </w:pPr>
    </w:p>
    <w:p w14:paraId="4377B7A9" w14:textId="77777777" w:rsidR="00A43649" w:rsidRDefault="00A43649">
      <w:pPr>
        <w:tabs>
          <w:tab w:val="left" w:pos="360"/>
        </w:tabs>
        <w:ind w:left="360" w:hanging="360"/>
        <w:rPr>
          <w:color w:val="000000"/>
        </w:rPr>
      </w:pPr>
    </w:p>
    <w:p w14:paraId="1BFB5D0F" w14:textId="2C549227" w:rsidR="00D73EE7" w:rsidRPr="00105854" w:rsidRDefault="00D73EE7">
      <w:pPr>
        <w:tabs>
          <w:tab w:val="left" w:pos="360"/>
        </w:tabs>
        <w:ind w:left="360" w:hanging="360"/>
        <w:rPr>
          <w:color w:val="000000"/>
        </w:rPr>
      </w:pPr>
      <w:r w:rsidRPr="00105854">
        <w:rPr>
          <w:color w:val="000000"/>
        </w:rPr>
        <w:t>13.</w:t>
      </w:r>
      <w:r w:rsidRPr="00105854">
        <w:rPr>
          <w:color w:val="000000"/>
        </w:rPr>
        <w:tab/>
        <w:t xml:space="preserve">Estimate of the average, annual cost beyond the cost of hour burden shown in Items 12.  Read the complete instructions on the form 83i.  </w:t>
      </w:r>
    </w:p>
    <w:p w14:paraId="152DC2F9" w14:textId="77777777" w:rsidR="00E1685C" w:rsidRPr="00105854" w:rsidRDefault="00E1685C">
      <w:pPr>
        <w:tabs>
          <w:tab w:val="left" w:pos="360"/>
        </w:tabs>
        <w:ind w:left="360" w:hanging="360"/>
      </w:pPr>
    </w:p>
    <w:p w14:paraId="179D789E" w14:textId="77777777" w:rsidR="00E1685C" w:rsidRPr="00105854" w:rsidRDefault="00105854">
      <w:pPr>
        <w:tabs>
          <w:tab w:val="left" w:pos="360"/>
        </w:tabs>
        <w:ind w:left="360" w:hanging="360"/>
        <w:rPr>
          <w:color w:val="000000"/>
        </w:rPr>
      </w:pPr>
      <w:r>
        <w:tab/>
      </w:r>
      <w:r w:rsidR="00E1685C" w:rsidRPr="00105854">
        <w:t>There are no additional costs to the respondents (other than the cost shown in item 12 above</w:t>
      </w:r>
      <w:r w:rsidR="008C6149" w:rsidRPr="00105854">
        <w:t>)</w:t>
      </w:r>
    </w:p>
    <w:p w14:paraId="0F28F4AE" w14:textId="77777777" w:rsidR="00105854" w:rsidRPr="00105854" w:rsidRDefault="00105854">
      <w:pPr>
        <w:tabs>
          <w:tab w:val="left" w:pos="360"/>
        </w:tabs>
        <w:ind w:left="360" w:hanging="360"/>
        <w:rPr>
          <w:color w:val="000000"/>
        </w:rPr>
      </w:pPr>
    </w:p>
    <w:p w14:paraId="313F824A" w14:textId="77777777" w:rsidR="00D73EE7" w:rsidRPr="00105854" w:rsidRDefault="00D73EE7">
      <w:pPr>
        <w:keepLines/>
        <w:tabs>
          <w:tab w:val="left" w:pos="360"/>
        </w:tabs>
        <w:spacing w:after="80"/>
        <w:ind w:left="360" w:hanging="360"/>
        <w:rPr>
          <w:color w:val="000000"/>
        </w:rPr>
      </w:pPr>
      <w:r w:rsidRPr="00105854">
        <w:rPr>
          <w:color w:val="000000"/>
        </w:rPr>
        <w:t>14.</w:t>
      </w:r>
      <w:r w:rsidRPr="00105854">
        <w:rPr>
          <w:color w:val="000000"/>
        </w:rPr>
        <w:tab/>
        <w:t xml:space="preserve">Estimate annualized costs to HUD of collecting the information, including processing the information. </w:t>
      </w:r>
    </w:p>
    <w:p w14:paraId="405DBECB" w14:textId="77777777" w:rsidR="00E1685C" w:rsidRDefault="00E1685C">
      <w:pPr>
        <w:tabs>
          <w:tab w:val="left" w:pos="360"/>
        </w:tabs>
        <w:ind w:left="360" w:hanging="360"/>
        <w:rPr>
          <w:color w:val="000000"/>
          <w:sz w:val="22"/>
          <w:szCs w:val="22"/>
        </w:rPr>
      </w:pPr>
    </w:p>
    <w:tbl>
      <w:tblPr>
        <w:tblW w:w="11520" w:type="dxa"/>
        <w:tblInd w:w="-993" w:type="dxa"/>
        <w:tblLayout w:type="fixed"/>
        <w:tblLook w:val="04A0" w:firstRow="1" w:lastRow="0" w:firstColumn="1" w:lastColumn="0" w:noHBand="0" w:noVBand="1"/>
      </w:tblPr>
      <w:tblGrid>
        <w:gridCol w:w="1080"/>
        <w:gridCol w:w="3060"/>
        <w:gridCol w:w="1260"/>
        <w:gridCol w:w="990"/>
        <w:gridCol w:w="990"/>
        <w:gridCol w:w="978"/>
        <w:gridCol w:w="1002"/>
        <w:gridCol w:w="990"/>
        <w:gridCol w:w="1170"/>
      </w:tblGrid>
      <w:tr w:rsidR="00282FDE" w14:paraId="3494E521" w14:textId="77777777" w:rsidTr="00EE5F26">
        <w:trPr>
          <w:trHeight w:val="1128"/>
        </w:trPr>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35EA3E13" w14:textId="77777777" w:rsidR="00014752" w:rsidRPr="00282FDE" w:rsidRDefault="00014752">
            <w:pPr>
              <w:jc w:val="center"/>
              <w:rPr>
                <w:rFonts w:asciiTheme="minorHAnsi" w:hAnsiTheme="minorHAnsi"/>
                <w:color w:val="000000"/>
                <w:sz w:val="18"/>
                <w:szCs w:val="20"/>
              </w:rPr>
            </w:pPr>
            <w:r w:rsidRPr="00282FDE">
              <w:rPr>
                <w:rFonts w:asciiTheme="minorHAnsi" w:hAnsiTheme="minorHAnsi"/>
                <w:color w:val="000000"/>
                <w:sz w:val="18"/>
                <w:szCs w:val="20"/>
              </w:rPr>
              <w:t>Regulatory Section</w:t>
            </w:r>
          </w:p>
        </w:tc>
        <w:tc>
          <w:tcPr>
            <w:tcW w:w="306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765C40D5" w14:textId="77777777" w:rsidR="00014752" w:rsidRPr="00282FDE" w:rsidRDefault="00014752">
            <w:pPr>
              <w:jc w:val="center"/>
              <w:rPr>
                <w:rFonts w:asciiTheme="minorHAnsi" w:hAnsiTheme="minorHAnsi"/>
                <w:color w:val="000000"/>
                <w:sz w:val="18"/>
                <w:szCs w:val="20"/>
              </w:rPr>
            </w:pPr>
            <w:r w:rsidRPr="00282FDE">
              <w:rPr>
                <w:rFonts w:asciiTheme="minorHAnsi" w:hAnsiTheme="minorHAnsi"/>
                <w:color w:val="000000"/>
                <w:sz w:val="18"/>
                <w:szCs w:val="20"/>
              </w:rPr>
              <w:t>Information Collection</w:t>
            </w:r>
          </w:p>
        </w:tc>
        <w:tc>
          <w:tcPr>
            <w:tcW w:w="126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4C3014BA" w14:textId="77777777" w:rsidR="00014752" w:rsidRPr="00282FDE" w:rsidRDefault="00014752">
            <w:pPr>
              <w:jc w:val="center"/>
              <w:rPr>
                <w:rFonts w:asciiTheme="minorHAnsi" w:hAnsiTheme="minorHAnsi"/>
                <w:color w:val="000000"/>
                <w:sz w:val="18"/>
                <w:szCs w:val="20"/>
              </w:rPr>
            </w:pPr>
            <w:r w:rsidRPr="00282FDE">
              <w:rPr>
                <w:rFonts w:asciiTheme="minorHAnsi" w:hAnsiTheme="minorHAnsi"/>
                <w:color w:val="000000"/>
                <w:sz w:val="18"/>
                <w:szCs w:val="20"/>
              </w:rPr>
              <w:t>Number of Jurisdictions / Respondents</w:t>
            </w:r>
          </w:p>
        </w:tc>
        <w:tc>
          <w:tcPr>
            <w:tcW w:w="99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6B980C65" w14:textId="77777777" w:rsidR="00014752" w:rsidRPr="00282FDE" w:rsidRDefault="00014752">
            <w:pPr>
              <w:jc w:val="center"/>
              <w:rPr>
                <w:rFonts w:asciiTheme="minorHAnsi" w:hAnsiTheme="minorHAnsi"/>
                <w:color w:val="000000"/>
                <w:sz w:val="18"/>
                <w:szCs w:val="20"/>
              </w:rPr>
            </w:pPr>
            <w:r w:rsidRPr="00282FDE">
              <w:rPr>
                <w:rFonts w:asciiTheme="minorHAnsi" w:hAnsiTheme="minorHAnsi"/>
                <w:color w:val="000000"/>
                <w:sz w:val="18"/>
                <w:szCs w:val="20"/>
              </w:rPr>
              <w:t>Frequency of Response</w:t>
            </w:r>
          </w:p>
        </w:tc>
        <w:tc>
          <w:tcPr>
            <w:tcW w:w="99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43205CF4" w14:textId="77777777" w:rsidR="00014752" w:rsidRPr="00282FDE" w:rsidRDefault="00014752">
            <w:pPr>
              <w:jc w:val="center"/>
              <w:rPr>
                <w:rFonts w:asciiTheme="minorHAnsi" w:hAnsiTheme="minorHAnsi"/>
                <w:color w:val="000000"/>
                <w:sz w:val="18"/>
                <w:szCs w:val="20"/>
              </w:rPr>
            </w:pPr>
            <w:r w:rsidRPr="00282FDE">
              <w:rPr>
                <w:rFonts w:asciiTheme="minorHAnsi" w:hAnsiTheme="minorHAnsi"/>
                <w:color w:val="000000"/>
                <w:sz w:val="18"/>
                <w:szCs w:val="20"/>
              </w:rPr>
              <w:t>Responses Per Annum</w:t>
            </w:r>
          </w:p>
        </w:tc>
        <w:tc>
          <w:tcPr>
            <w:tcW w:w="978"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4B9AC399" w14:textId="77777777" w:rsidR="00014752" w:rsidRPr="00282FDE" w:rsidRDefault="00014752">
            <w:pPr>
              <w:jc w:val="center"/>
              <w:rPr>
                <w:rFonts w:asciiTheme="minorHAnsi" w:hAnsiTheme="minorHAnsi"/>
                <w:color w:val="000000"/>
                <w:sz w:val="18"/>
                <w:szCs w:val="20"/>
              </w:rPr>
            </w:pPr>
            <w:r w:rsidRPr="00282FDE">
              <w:rPr>
                <w:rFonts w:asciiTheme="minorHAnsi" w:hAnsiTheme="minorHAnsi"/>
                <w:color w:val="000000"/>
                <w:sz w:val="18"/>
                <w:szCs w:val="20"/>
              </w:rPr>
              <w:t>Burden Hour Per Response</w:t>
            </w:r>
          </w:p>
        </w:tc>
        <w:tc>
          <w:tcPr>
            <w:tcW w:w="1002"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0B4E9EF3" w14:textId="77777777" w:rsidR="00014752" w:rsidRPr="00282FDE" w:rsidRDefault="00014752">
            <w:pPr>
              <w:jc w:val="center"/>
              <w:rPr>
                <w:rFonts w:asciiTheme="minorHAnsi" w:hAnsiTheme="minorHAnsi"/>
                <w:color w:val="000000"/>
                <w:sz w:val="18"/>
                <w:szCs w:val="20"/>
              </w:rPr>
            </w:pPr>
            <w:r w:rsidRPr="00282FDE">
              <w:rPr>
                <w:rFonts w:asciiTheme="minorHAnsi" w:hAnsiTheme="minorHAnsi"/>
                <w:color w:val="000000"/>
                <w:sz w:val="18"/>
                <w:szCs w:val="20"/>
              </w:rPr>
              <w:t>Annual Burden Hours</w:t>
            </w:r>
          </w:p>
        </w:tc>
        <w:tc>
          <w:tcPr>
            <w:tcW w:w="99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62348600" w14:textId="77777777" w:rsidR="00014752" w:rsidRPr="00282FDE" w:rsidRDefault="00014752">
            <w:pPr>
              <w:jc w:val="center"/>
              <w:rPr>
                <w:rFonts w:asciiTheme="minorHAnsi" w:hAnsiTheme="minorHAnsi"/>
                <w:color w:val="000000"/>
                <w:sz w:val="18"/>
                <w:szCs w:val="20"/>
              </w:rPr>
            </w:pPr>
            <w:r w:rsidRPr="00282FDE">
              <w:rPr>
                <w:rFonts w:asciiTheme="minorHAnsi" w:hAnsiTheme="minorHAnsi"/>
                <w:color w:val="000000"/>
                <w:sz w:val="18"/>
                <w:szCs w:val="20"/>
              </w:rPr>
              <w:t>Hourly Cost Per Response</w:t>
            </w:r>
          </w:p>
        </w:tc>
        <w:tc>
          <w:tcPr>
            <w:tcW w:w="117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140590E9" w14:textId="77777777" w:rsidR="00014752" w:rsidRPr="00282FDE" w:rsidRDefault="00014752">
            <w:pPr>
              <w:jc w:val="center"/>
              <w:rPr>
                <w:rFonts w:asciiTheme="minorHAnsi" w:hAnsiTheme="minorHAnsi"/>
                <w:color w:val="000000"/>
                <w:sz w:val="18"/>
                <w:szCs w:val="20"/>
              </w:rPr>
            </w:pPr>
            <w:r w:rsidRPr="00282FDE">
              <w:rPr>
                <w:rFonts w:asciiTheme="minorHAnsi" w:hAnsiTheme="minorHAnsi"/>
                <w:color w:val="000000"/>
                <w:sz w:val="18"/>
                <w:szCs w:val="20"/>
              </w:rPr>
              <w:t>Annual Cost</w:t>
            </w:r>
          </w:p>
        </w:tc>
      </w:tr>
      <w:tr w:rsidR="00282FDE" w14:paraId="771989AF" w14:textId="77777777" w:rsidTr="00EE5F26">
        <w:trPr>
          <w:trHeight w:val="576"/>
        </w:trPr>
        <w:tc>
          <w:tcPr>
            <w:tcW w:w="108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F26FC74"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 xml:space="preserve">§ 93.100(b) </w:t>
            </w:r>
          </w:p>
        </w:tc>
        <w:tc>
          <w:tcPr>
            <w:tcW w:w="30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5AFC356"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Consolidated Plan and Action Plan Review</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2E581DF"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56.00</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9B43ABB"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1.00</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23DCEEF"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56.00</w:t>
            </w:r>
          </w:p>
        </w:tc>
        <w:tc>
          <w:tcPr>
            <w:tcW w:w="97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83866BE"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2.00</w:t>
            </w:r>
          </w:p>
        </w:tc>
        <w:tc>
          <w:tcPr>
            <w:tcW w:w="10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6CA382C"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112.00</w:t>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6D9F62E"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$46.46</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2C628D7"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$5,203.52</w:t>
            </w:r>
          </w:p>
        </w:tc>
      </w:tr>
      <w:tr w:rsidR="00282FDE" w14:paraId="46CA988F" w14:textId="77777777" w:rsidTr="00EE5F26">
        <w:trPr>
          <w:trHeight w:val="312"/>
        </w:trPr>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9C3E6A7" w14:textId="7EA4677C"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w:t>
            </w:r>
            <w:r w:rsidR="00C17BF5">
              <w:rPr>
                <w:rFonts w:asciiTheme="minorHAnsi" w:hAnsiTheme="minorHAnsi"/>
                <w:color w:val="000000"/>
                <w:sz w:val="18"/>
                <w:szCs w:val="20"/>
              </w:rPr>
              <w:t xml:space="preserve"> </w:t>
            </w:r>
            <w:r w:rsidRPr="00282FDE">
              <w:rPr>
                <w:rFonts w:asciiTheme="minorHAnsi" w:hAnsiTheme="minorHAnsi"/>
                <w:color w:val="000000"/>
                <w:sz w:val="18"/>
                <w:szCs w:val="20"/>
              </w:rPr>
              <w:t>93.401</w:t>
            </w:r>
          </w:p>
        </w:tc>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B7453AE"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HTF Grant Agreement</w:t>
            </w:r>
          </w:p>
        </w:tc>
        <w:tc>
          <w:tcPr>
            <w:tcW w:w="126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8BB3133"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56.00</w:t>
            </w:r>
          </w:p>
        </w:tc>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05B3616"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1.00</w:t>
            </w:r>
          </w:p>
        </w:tc>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636CB8D"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56.00</w:t>
            </w:r>
          </w:p>
        </w:tc>
        <w:tc>
          <w:tcPr>
            <w:tcW w:w="9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F2BA6BC"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1.00</w:t>
            </w:r>
          </w:p>
        </w:tc>
        <w:tc>
          <w:tcPr>
            <w:tcW w:w="10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8A82AD9"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56.00</w:t>
            </w:r>
          </w:p>
        </w:tc>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1680BBA6"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$46.46</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3AB8999"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$2,601.76</w:t>
            </w:r>
          </w:p>
        </w:tc>
      </w:tr>
      <w:tr w:rsidR="00282FDE" w14:paraId="0B9FBA22" w14:textId="77777777" w:rsidTr="00EE5F26">
        <w:trPr>
          <w:trHeight w:val="576"/>
        </w:trPr>
        <w:tc>
          <w:tcPr>
            <w:tcW w:w="108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54B87F4"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 93.408</w:t>
            </w:r>
          </w:p>
        </w:tc>
        <w:tc>
          <w:tcPr>
            <w:tcW w:w="30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DAB8BF6"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IDIS Program Management Reports - Field Office</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9251A8E"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56.00</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F78B0A5"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12.00</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41D9BD5"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672.00</w:t>
            </w:r>
          </w:p>
        </w:tc>
        <w:tc>
          <w:tcPr>
            <w:tcW w:w="97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EF017D1"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14.00</w:t>
            </w:r>
          </w:p>
        </w:tc>
        <w:tc>
          <w:tcPr>
            <w:tcW w:w="10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BCE73CF" w14:textId="214D070D"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9</w:t>
            </w:r>
            <w:r w:rsidR="0008360F">
              <w:rPr>
                <w:rFonts w:asciiTheme="minorHAnsi" w:hAnsiTheme="minorHAnsi"/>
                <w:color w:val="000000"/>
                <w:sz w:val="18"/>
                <w:szCs w:val="20"/>
              </w:rPr>
              <w:t>,</w:t>
            </w:r>
            <w:r w:rsidRPr="00282FDE">
              <w:rPr>
                <w:rFonts w:asciiTheme="minorHAnsi" w:hAnsiTheme="minorHAnsi"/>
                <w:color w:val="000000"/>
                <w:sz w:val="18"/>
                <w:szCs w:val="20"/>
              </w:rPr>
              <w:t>408.00</w:t>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A3D9F99"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$46.46</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9206A6E"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$437,095.68</w:t>
            </w:r>
          </w:p>
        </w:tc>
      </w:tr>
      <w:tr w:rsidR="00282FDE" w14:paraId="6454B67C" w14:textId="77777777" w:rsidTr="00EE5F26">
        <w:trPr>
          <w:trHeight w:val="576"/>
        </w:trPr>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9B4585C"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 93.408</w:t>
            </w:r>
          </w:p>
        </w:tc>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6AE8920"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IDIS Program Management Reports - Headquarters</w:t>
            </w:r>
          </w:p>
        </w:tc>
        <w:tc>
          <w:tcPr>
            <w:tcW w:w="126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0CF8A4F"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1.00</w:t>
            </w:r>
          </w:p>
        </w:tc>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44F9D1F0"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12.00</w:t>
            </w:r>
          </w:p>
        </w:tc>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EF7CAD7"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12.00</w:t>
            </w:r>
          </w:p>
        </w:tc>
        <w:tc>
          <w:tcPr>
            <w:tcW w:w="9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432D6E1A"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40.00</w:t>
            </w:r>
          </w:p>
        </w:tc>
        <w:tc>
          <w:tcPr>
            <w:tcW w:w="10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40E5A6AC"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480.00</w:t>
            </w:r>
          </w:p>
        </w:tc>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537FC69"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$46.46</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FDB1F84"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$22,300.80</w:t>
            </w:r>
          </w:p>
        </w:tc>
      </w:tr>
      <w:tr w:rsidR="00282FDE" w14:paraId="48C4A908" w14:textId="77777777" w:rsidTr="00EE5F26">
        <w:trPr>
          <w:trHeight w:val="816"/>
        </w:trPr>
        <w:tc>
          <w:tcPr>
            <w:tcW w:w="108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0E9A158"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 93.451</w:t>
            </w:r>
          </w:p>
        </w:tc>
        <w:tc>
          <w:tcPr>
            <w:tcW w:w="30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DDF6ED5"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Consolidated Annual Performance and Evaluation Report - Field Office</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FABAE41"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56.00</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848DB64"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1.00</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E1554C2"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56.00</w:t>
            </w:r>
          </w:p>
        </w:tc>
        <w:tc>
          <w:tcPr>
            <w:tcW w:w="97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361709D"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2.00</w:t>
            </w:r>
          </w:p>
        </w:tc>
        <w:tc>
          <w:tcPr>
            <w:tcW w:w="10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C2A2494"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112.00</w:t>
            </w:r>
          </w:p>
        </w:tc>
        <w:tc>
          <w:tcPr>
            <w:tcW w:w="99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7CA312E"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$46.46</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2CDB5D0"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$5,203.52</w:t>
            </w:r>
          </w:p>
        </w:tc>
      </w:tr>
      <w:tr w:rsidR="00282FDE" w14:paraId="653425AC" w14:textId="77777777" w:rsidTr="00EE5F26">
        <w:trPr>
          <w:trHeight w:val="816"/>
        </w:trPr>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B9561C9"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 93.451</w:t>
            </w:r>
          </w:p>
        </w:tc>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CD5399A"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Consolidated Annual Performance and Evaluation Report - Headquarters</w:t>
            </w:r>
          </w:p>
        </w:tc>
        <w:tc>
          <w:tcPr>
            <w:tcW w:w="126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4B0FC421"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56.00</w:t>
            </w:r>
          </w:p>
        </w:tc>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6E3F124"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1.00</w:t>
            </w:r>
          </w:p>
        </w:tc>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1A6D309"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56.00</w:t>
            </w:r>
          </w:p>
        </w:tc>
        <w:tc>
          <w:tcPr>
            <w:tcW w:w="9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7FADBC1"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1.00</w:t>
            </w:r>
          </w:p>
        </w:tc>
        <w:tc>
          <w:tcPr>
            <w:tcW w:w="10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4DCD72FF"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56.00</w:t>
            </w:r>
          </w:p>
        </w:tc>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5DC19274"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$46.46</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61C429B" w14:textId="77777777" w:rsidR="00014752" w:rsidRPr="00282FDE" w:rsidRDefault="00014752">
            <w:pPr>
              <w:jc w:val="right"/>
              <w:rPr>
                <w:rFonts w:asciiTheme="minorHAnsi" w:hAnsiTheme="minorHAnsi"/>
                <w:color w:val="000000"/>
                <w:sz w:val="18"/>
                <w:szCs w:val="20"/>
              </w:rPr>
            </w:pPr>
            <w:r w:rsidRPr="00282FDE">
              <w:rPr>
                <w:rFonts w:asciiTheme="minorHAnsi" w:hAnsiTheme="minorHAnsi"/>
                <w:color w:val="000000"/>
                <w:sz w:val="18"/>
                <w:szCs w:val="20"/>
              </w:rPr>
              <w:t>$2,601.76</w:t>
            </w:r>
          </w:p>
        </w:tc>
      </w:tr>
      <w:tr w:rsidR="00282FDE" w14:paraId="24A30326" w14:textId="77777777" w:rsidTr="00EE5F26">
        <w:trPr>
          <w:trHeight w:val="312"/>
        </w:trPr>
        <w:tc>
          <w:tcPr>
            <w:tcW w:w="108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C9630DF" w14:textId="77777777" w:rsidR="00014752" w:rsidRPr="00282FDE" w:rsidRDefault="00014752">
            <w:pPr>
              <w:rPr>
                <w:rFonts w:asciiTheme="minorHAnsi" w:hAnsiTheme="minorHAnsi"/>
                <w:color w:val="000000"/>
                <w:sz w:val="18"/>
                <w:szCs w:val="20"/>
              </w:rPr>
            </w:pPr>
            <w:r w:rsidRPr="00282FDE">
              <w:rPr>
                <w:rFonts w:asciiTheme="minorHAnsi" w:hAnsiTheme="minorHAnsi"/>
                <w:color w:val="000000"/>
                <w:sz w:val="18"/>
                <w:szCs w:val="20"/>
              </w:rPr>
              <w:t> </w:t>
            </w:r>
          </w:p>
        </w:tc>
        <w:tc>
          <w:tcPr>
            <w:tcW w:w="30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8DD9861" w14:textId="77777777" w:rsidR="00014752" w:rsidRPr="00C17BF5" w:rsidRDefault="00014752">
            <w:pPr>
              <w:jc w:val="right"/>
              <w:rPr>
                <w:rFonts w:asciiTheme="minorHAnsi" w:hAnsiTheme="minorHAnsi"/>
                <w:b/>
                <w:bCs/>
                <w:color w:val="000000"/>
                <w:sz w:val="18"/>
                <w:szCs w:val="20"/>
              </w:rPr>
            </w:pPr>
            <w:r w:rsidRPr="00C17BF5">
              <w:rPr>
                <w:rFonts w:asciiTheme="minorHAnsi" w:hAnsiTheme="minorHAnsi"/>
                <w:b/>
                <w:bCs/>
                <w:color w:val="000000"/>
                <w:sz w:val="18"/>
                <w:szCs w:val="20"/>
              </w:rPr>
              <w:t>TOTAL</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82B9202" w14:textId="77777777" w:rsidR="00014752" w:rsidRPr="00C17BF5" w:rsidRDefault="00014752">
            <w:pPr>
              <w:jc w:val="right"/>
              <w:rPr>
                <w:rFonts w:asciiTheme="minorHAnsi" w:hAnsiTheme="minorHAnsi"/>
                <w:b/>
                <w:color w:val="000000"/>
                <w:sz w:val="18"/>
                <w:szCs w:val="20"/>
              </w:rPr>
            </w:pPr>
            <w:r w:rsidRPr="00C17BF5">
              <w:rPr>
                <w:rFonts w:asciiTheme="minorHAnsi" w:hAnsiTheme="minorHAnsi"/>
                <w:b/>
                <w:color w:val="000000"/>
                <w:sz w:val="18"/>
                <w:szCs w:val="20"/>
              </w:rPr>
              <w:t>281.00</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A8D4F96" w14:textId="77777777" w:rsidR="00014752" w:rsidRPr="00C17BF5" w:rsidRDefault="00014752">
            <w:pPr>
              <w:rPr>
                <w:rFonts w:asciiTheme="minorHAnsi" w:hAnsiTheme="minorHAnsi"/>
                <w:b/>
                <w:color w:val="000000"/>
                <w:sz w:val="18"/>
                <w:szCs w:val="20"/>
              </w:rPr>
            </w:pPr>
            <w:r w:rsidRPr="00C17BF5">
              <w:rPr>
                <w:rFonts w:asciiTheme="minorHAnsi" w:hAnsiTheme="minorHAnsi"/>
                <w:b/>
                <w:color w:val="000000"/>
                <w:sz w:val="18"/>
                <w:szCs w:val="20"/>
              </w:rPr>
              <w:t> </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A3306E1" w14:textId="77777777" w:rsidR="00014752" w:rsidRPr="00C17BF5" w:rsidRDefault="00014752">
            <w:pPr>
              <w:jc w:val="right"/>
              <w:rPr>
                <w:rFonts w:asciiTheme="minorHAnsi" w:hAnsiTheme="minorHAnsi"/>
                <w:b/>
                <w:color w:val="000000"/>
                <w:sz w:val="18"/>
                <w:szCs w:val="20"/>
              </w:rPr>
            </w:pPr>
            <w:r w:rsidRPr="00C17BF5">
              <w:rPr>
                <w:rFonts w:asciiTheme="minorHAnsi" w:hAnsiTheme="minorHAnsi"/>
                <w:b/>
                <w:color w:val="000000"/>
                <w:sz w:val="18"/>
                <w:szCs w:val="20"/>
              </w:rPr>
              <w:t>908.00</w:t>
            </w:r>
          </w:p>
        </w:tc>
        <w:tc>
          <w:tcPr>
            <w:tcW w:w="97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29BDA53" w14:textId="77777777" w:rsidR="00014752" w:rsidRPr="00C17BF5" w:rsidRDefault="00014752">
            <w:pPr>
              <w:rPr>
                <w:rFonts w:asciiTheme="minorHAnsi" w:hAnsiTheme="minorHAnsi"/>
                <w:b/>
                <w:color w:val="000000"/>
                <w:sz w:val="18"/>
                <w:szCs w:val="20"/>
              </w:rPr>
            </w:pPr>
            <w:r w:rsidRPr="00C17BF5">
              <w:rPr>
                <w:rFonts w:asciiTheme="minorHAnsi" w:hAnsiTheme="minorHAnsi"/>
                <w:b/>
                <w:color w:val="000000"/>
                <w:sz w:val="18"/>
                <w:szCs w:val="20"/>
              </w:rPr>
              <w:t> </w:t>
            </w:r>
          </w:p>
        </w:tc>
        <w:tc>
          <w:tcPr>
            <w:tcW w:w="10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0139444" w14:textId="7B7168FE" w:rsidR="00014752" w:rsidRPr="00C17BF5" w:rsidRDefault="00014752">
            <w:pPr>
              <w:jc w:val="right"/>
              <w:rPr>
                <w:rFonts w:asciiTheme="minorHAnsi" w:hAnsiTheme="minorHAnsi"/>
                <w:b/>
                <w:color w:val="000000"/>
                <w:sz w:val="18"/>
                <w:szCs w:val="20"/>
              </w:rPr>
            </w:pPr>
            <w:r w:rsidRPr="00C17BF5">
              <w:rPr>
                <w:rFonts w:asciiTheme="minorHAnsi" w:hAnsiTheme="minorHAnsi"/>
                <w:b/>
                <w:color w:val="000000"/>
                <w:sz w:val="18"/>
                <w:szCs w:val="20"/>
              </w:rPr>
              <w:t>10</w:t>
            </w:r>
            <w:r w:rsidR="008C1531">
              <w:rPr>
                <w:rFonts w:asciiTheme="minorHAnsi" w:hAnsiTheme="minorHAnsi"/>
                <w:b/>
                <w:color w:val="000000"/>
                <w:sz w:val="18"/>
                <w:szCs w:val="20"/>
              </w:rPr>
              <w:t>,</w:t>
            </w:r>
            <w:r w:rsidRPr="00C17BF5">
              <w:rPr>
                <w:rFonts w:asciiTheme="minorHAnsi" w:hAnsiTheme="minorHAnsi"/>
                <w:b/>
                <w:color w:val="000000"/>
                <w:sz w:val="18"/>
                <w:szCs w:val="20"/>
              </w:rPr>
              <w:t>224.00</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A2BE71E" w14:textId="77777777" w:rsidR="00014752" w:rsidRPr="00C17BF5" w:rsidRDefault="00014752">
            <w:pPr>
              <w:rPr>
                <w:rFonts w:asciiTheme="minorHAnsi" w:hAnsiTheme="minorHAnsi"/>
                <w:b/>
                <w:color w:val="000000"/>
                <w:sz w:val="18"/>
                <w:szCs w:val="20"/>
              </w:rPr>
            </w:pPr>
            <w:r w:rsidRPr="00C17BF5">
              <w:rPr>
                <w:rFonts w:asciiTheme="minorHAnsi" w:hAnsiTheme="minorHAnsi"/>
                <w:b/>
                <w:color w:val="000000"/>
                <w:sz w:val="18"/>
                <w:szCs w:val="20"/>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14E51C0" w14:textId="77777777" w:rsidR="00014752" w:rsidRPr="00C17BF5" w:rsidRDefault="00014752">
            <w:pPr>
              <w:jc w:val="right"/>
              <w:rPr>
                <w:rFonts w:asciiTheme="minorHAnsi" w:hAnsiTheme="minorHAnsi"/>
                <w:b/>
                <w:color w:val="000000"/>
                <w:sz w:val="18"/>
                <w:szCs w:val="20"/>
              </w:rPr>
            </w:pPr>
            <w:r w:rsidRPr="00C17BF5">
              <w:rPr>
                <w:rFonts w:asciiTheme="minorHAnsi" w:hAnsiTheme="minorHAnsi"/>
                <w:b/>
                <w:color w:val="000000"/>
                <w:sz w:val="18"/>
                <w:szCs w:val="20"/>
              </w:rPr>
              <w:t>$475,007.04</w:t>
            </w:r>
          </w:p>
        </w:tc>
      </w:tr>
      <w:tr w:rsidR="00014752" w14:paraId="0B25CC36" w14:textId="77777777" w:rsidTr="00EE5F26">
        <w:trPr>
          <w:trHeight w:val="151"/>
        </w:trPr>
        <w:tc>
          <w:tcPr>
            <w:tcW w:w="11520" w:type="dxa"/>
            <w:gridSpan w:val="9"/>
            <w:tcBorders>
              <w:top w:val="single" w:sz="2" w:space="0" w:color="auto"/>
              <w:left w:val="single" w:sz="2" w:space="0" w:color="auto"/>
              <w:bottom w:val="single" w:sz="2" w:space="0" w:color="auto"/>
              <w:right w:val="single" w:sz="2" w:space="0" w:color="auto"/>
            </w:tcBorders>
            <w:shd w:val="clear" w:color="auto" w:fill="auto"/>
            <w:vAlign w:val="bottom"/>
            <w:hideMark/>
          </w:tcPr>
          <w:p w14:paraId="1CBC9ED3" w14:textId="4D2FB539" w:rsidR="00014752" w:rsidRPr="00282FDE" w:rsidRDefault="00014752">
            <w:pPr>
              <w:jc w:val="center"/>
              <w:rPr>
                <w:rFonts w:asciiTheme="minorHAnsi" w:hAnsiTheme="minorHAnsi"/>
                <w:color w:val="000000"/>
                <w:sz w:val="18"/>
                <w:szCs w:val="20"/>
              </w:rPr>
            </w:pPr>
            <w:r w:rsidRPr="00282FDE">
              <w:rPr>
                <w:rFonts w:asciiTheme="minorHAnsi" w:hAnsiTheme="minorHAnsi"/>
                <w:color w:val="000000"/>
                <w:sz w:val="18"/>
                <w:szCs w:val="20"/>
              </w:rPr>
              <w:t>Total cost: 10,224.00 hours * $46.46 (Hourly rate for GS</w:t>
            </w:r>
            <w:r w:rsidR="005E72A9">
              <w:rPr>
                <w:rFonts w:asciiTheme="minorHAnsi" w:hAnsiTheme="minorHAnsi"/>
                <w:color w:val="000000"/>
                <w:sz w:val="18"/>
                <w:szCs w:val="20"/>
              </w:rPr>
              <w:t>-</w:t>
            </w:r>
            <w:r w:rsidRPr="00282FDE">
              <w:rPr>
                <w:rFonts w:asciiTheme="minorHAnsi" w:hAnsiTheme="minorHAnsi"/>
                <w:color w:val="000000"/>
                <w:sz w:val="18"/>
                <w:szCs w:val="20"/>
              </w:rPr>
              <w:t>13)</w:t>
            </w:r>
          </w:p>
        </w:tc>
      </w:tr>
    </w:tbl>
    <w:p w14:paraId="65E87773" w14:textId="77777777" w:rsidR="00DE6EED" w:rsidRPr="00C67E1F" w:rsidRDefault="00DE6EED">
      <w:pPr>
        <w:tabs>
          <w:tab w:val="left" w:pos="360"/>
        </w:tabs>
        <w:ind w:left="360" w:hanging="360"/>
        <w:rPr>
          <w:color w:val="000000"/>
          <w:sz w:val="22"/>
          <w:szCs w:val="22"/>
        </w:rPr>
      </w:pPr>
    </w:p>
    <w:p w14:paraId="223B5809" w14:textId="15827462" w:rsidR="00D73EE7" w:rsidRDefault="00D73EE7" w:rsidP="005824D5">
      <w:pPr>
        <w:pStyle w:val="BodyTextIndent"/>
        <w:spacing w:after="0"/>
        <w:rPr>
          <w:sz w:val="24"/>
        </w:rPr>
      </w:pPr>
      <w:r w:rsidRPr="00105854">
        <w:rPr>
          <w:sz w:val="24"/>
        </w:rPr>
        <w:t>15.</w:t>
      </w:r>
      <w:r w:rsidRPr="00105854">
        <w:rPr>
          <w:sz w:val="24"/>
        </w:rPr>
        <w:tab/>
        <w:t>Explain any program changes or adjustments reported in items 13 and 14 of the OMB Form 83i.</w:t>
      </w:r>
    </w:p>
    <w:p w14:paraId="48B77F0F" w14:textId="77777777" w:rsidR="005824D5" w:rsidRPr="00105854" w:rsidRDefault="005824D5" w:rsidP="005824D5">
      <w:pPr>
        <w:pStyle w:val="BodyTextIndent"/>
        <w:spacing w:after="0"/>
        <w:rPr>
          <w:sz w:val="24"/>
        </w:rPr>
      </w:pPr>
    </w:p>
    <w:p w14:paraId="59AD2244" w14:textId="1DCC6873" w:rsidR="00D73EE7" w:rsidRPr="00105854" w:rsidRDefault="008E7B0F" w:rsidP="005824D5">
      <w:pPr>
        <w:tabs>
          <w:tab w:val="left" w:pos="90"/>
        </w:tabs>
        <w:rPr>
          <w:color w:val="000000"/>
        </w:rPr>
      </w:pPr>
      <w:r>
        <w:rPr>
          <w:color w:val="000000"/>
        </w:rPr>
        <w:t>This is the initial PRA submission for this program.</w:t>
      </w:r>
    </w:p>
    <w:p w14:paraId="6208721A" w14:textId="77777777" w:rsidR="00E1685C" w:rsidRPr="00105854" w:rsidRDefault="00E1685C">
      <w:pPr>
        <w:tabs>
          <w:tab w:val="left" w:pos="360"/>
        </w:tabs>
        <w:ind w:left="360" w:hanging="360"/>
        <w:rPr>
          <w:color w:val="000000"/>
        </w:rPr>
      </w:pPr>
    </w:p>
    <w:p w14:paraId="790E42C2" w14:textId="77777777" w:rsidR="00D73EE7" w:rsidRPr="00105854" w:rsidRDefault="00D73EE7">
      <w:pPr>
        <w:keepLines/>
        <w:tabs>
          <w:tab w:val="left" w:pos="360"/>
          <w:tab w:val="left" w:pos="720"/>
        </w:tabs>
        <w:ind w:left="360" w:hanging="360"/>
        <w:rPr>
          <w:color w:val="000000"/>
        </w:rPr>
      </w:pPr>
      <w:r w:rsidRPr="00105854">
        <w:rPr>
          <w:color w:val="000000"/>
        </w:rPr>
        <w:t>16.</w:t>
      </w:r>
      <w:r w:rsidRPr="00105854">
        <w:rPr>
          <w:color w:val="000000"/>
        </w:rPr>
        <w:tab/>
        <w:t xml:space="preserve">If the information will be published, outline plans for tabulation and publication.  </w:t>
      </w:r>
    </w:p>
    <w:p w14:paraId="3323FB39" w14:textId="77777777" w:rsidR="00D73EE7" w:rsidRPr="00105854" w:rsidRDefault="00D73EE7" w:rsidP="00A50DBE">
      <w:pPr>
        <w:tabs>
          <w:tab w:val="left" w:pos="360"/>
        </w:tabs>
        <w:ind w:left="360" w:hanging="360"/>
        <w:rPr>
          <w:color w:val="000000"/>
        </w:rPr>
      </w:pPr>
    </w:p>
    <w:p w14:paraId="06697F2B" w14:textId="594F50E2" w:rsidR="00E1685C" w:rsidRPr="00105854" w:rsidRDefault="007C2E8A" w:rsidP="005824D5">
      <w:pPr>
        <w:pStyle w:val="BodyTextIndent"/>
        <w:tabs>
          <w:tab w:val="clear" w:pos="360"/>
          <w:tab w:val="left" w:pos="0"/>
          <w:tab w:val="left" w:pos="720"/>
        </w:tabs>
        <w:spacing w:after="0"/>
        <w:ind w:left="0" w:firstLine="0"/>
        <w:rPr>
          <w:sz w:val="24"/>
        </w:rPr>
      </w:pPr>
      <w:r>
        <w:rPr>
          <w:sz w:val="24"/>
        </w:rPr>
        <w:t xml:space="preserve">HUD publishes each grantee’s 5 Year Consolidated Plan, Annual Action Plan, and </w:t>
      </w:r>
      <w:r w:rsidR="00A50DBE">
        <w:rPr>
          <w:sz w:val="24"/>
        </w:rPr>
        <w:t>Consolidated</w:t>
      </w:r>
      <w:r>
        <w:rPr>
          <w:sz w:val="24"/>
        </w:rPr>
        <w:t xml:space="preserve"> Annual Performance and </w:t>
      </w:r>
      <w:r w:rsidR="00A50DBE">
        <w:rPr>
          <w:sz w:val="24"/>
        </w:rPr>
        <w:t>E</w:t>
      </w:r>
      <w:r>
        <w:rPr>
          <w:sz w:val="24"/>
        </w:rPr>
        <w:t>valuation Report on its website.</w:t>
      </w:r>
      <w:r w:rsidR="00F63DBF">
        <w:rPr>
          <w:sz w:val="24"/>
        </w:rPr>
        <w:t xml:space="preserve"> </w:t>
      </w:r>
      <w:r w:rsidR="00A01955">
        <w:rPr>
          <w:sz w:val="24"/>
        </w:rPr>
        <w:t>Each grantee has specific dates in which their plans are due based on the grantee program year. Upon receipt</w:t>
      </w:r>
      <w:r w:rsidR="00166D7A">
        <w:rPr>
          <w:sz w:val="24"/>
        </w:rPr>
        <w:t xml:space="preserve"> of each plan,</w:t>
      </w:r>
      <w:r w:rsidR="00A01955">
        <w:rPr>
          <w:sz w:val="24"/>
        </w:rPr>
        <w:t xml:space="preserve"> the HUD Field Office </w:t>
      </w:r>
      <w:r w:rsidR="00166D7A">
        <w:rPr>
          <w:sz w:val="24"/>
        </w:rPr>
        <w:t>reviews</w:t>
      </w:r>
      <w:r w:rsidR="00A01955">
        <w:rPr>
          <w:sz w:val="24"/>
        </w:rPr>
        <w:t xml:space="preserve"> the grantee submission and then publishes the approved plan on the HUD website. </w:t>
      </w:r>
    </w:p>
    <w:p w14:paraId="184056B6" w14:textId="77777777" w:rsidR="00C67E1F" w:rsidRDefault="00C67E1F" w:rsidP="005824D5">
      <w:pPr>
        <w:keepLines/>
        <w:tabs>
          <w:tab w:val="left" w:pos="360"/>
          <w:tab w:val="left" w:pos="720"/>
        </w:tabs>
        <w:ind w:left="360" w:hanging="360"/>
        <w:rPr>
          <w:color w:val="000000"/>
        </w:rPr>
      </w:pPr>
    </w:p>
    <w:p w14:paraId="774B3F88" w14:textId="77777777" w:rsidR="00D73EE7" w:rsidRPr="00105854" w:rsidRDefault="00D73EE7" w:rsidP="005824D5">
      <w:pPr>
        <w:keepLines/>
        <w:tabs>
          <w:tab w:val="left" w:pos="360"/>
          <w:tab w:val="left" w:pos="720"/>
        </w:tabs>
        <w:ind w:left="360" w:hanging="360"/>
        <w:rPr>
          <w:color w:val="000000"/>
        </w:rPr>
      </w:pPr>
      <w:r w:rsidRPr="00105854">
        <w:rPr>
          <w:color w:val="000000"/>
        </w:rPr>
        <w:t>17.</w:t>
      </w:r>
      <w:r w:rsidRPr="00105854">
        <w:rPr>
          <w:color w:val="000000"/>
        </w:rPr>
        <w:tab/>
        <w:t xml:space="preserve">Explain any request to not display the expiration date. </w:t>
      </w:r>
    </w:p>
    <w:p w14:paraId="1CD1462F" w14:textId="77777777" w:rsidR="00E1685C" w:rsidRPr="00105854" w:rsidRDefault="00E1685C">
      <w:pPr>
        <w:keepLines/>
        <w:tabs>
          <w:tab w:val="left" w:pos="360"/>
          <w:tab w:val="left" w:pos="720"/>
        </w:tabs>
        <w:ind w:left="360" w:hanging="360"/>
        <w:rPr>
          <w:color w:val="000000"/>
        </w:rPr>
      </w:pPr>
    </w:p>
    <w:p w14:paraId="237E43A1" w14:textId="77777777" w:rsidR="00E1685C" w:rsidRPr="00105854" w:rsidRDefault="00A53477">
      <w:pPr>
        <w:keepLines/>
        <w:tabs>
          <w:tab w:val="left" w:pos="360"/>
          <w:tab w:val="left" w:pos="720"/>
        </w:tabs>
        <w:ind w:left="360" w:hanging="360"/>
        <w:rPr>
          <w:color w:val="000000"/>
        </w:rPr>
      </w:pPr>
      <w:r w:rsidRPr="00105854">
        <w:rPr>
          <w:color w:val="000000"/>
        </w:rPr>
        <w:t>There is no request to not display the expiration date.</w:t>
      </w:r>
    </w:p>
    <w:p w14:paraId="3DF54710" w14:textId="77777777" w:rsidR="00D73EE7" w:rsidRPr="00105854" w:rsidRDefault="00D73EE7">
      <w:pPr>
        <w:tabs>
          <w:tab w:val="left" w:pos="360"/>
        </w:tabs>
        <w:ind w:left="360" w:hanging="360"/>
        <w:rPr>
          <w:color w:val="000000"/>
        </w:rPr>
      </w:pPr>
    </w:p>
    <w:p w14:paraId="05B406E9" w14:textId="77777777" w:rsidR="00D73EE7" w:rsidRPr="00105854" w:rsidRDefault="00D73EE7">
      <w:pPr>
        <w:pStyle w:val="BodyTextIndent"/>
        <w:keepLines w:val="0"/>
        <w:spacing w:after="0"/>
        <w:rPr>
          <w:sz w:val="24"/>
        </w:rPr>
      </w:pPr>
      <w:r w:rsidRPr="00105854">
        <w:rPr>
          <w:sz w:val="24"/>
        </w:rPr>
        <w:t>18.</w:t>
      </w:r>
      <w:r w:rsidRPr="00105854">
        <w:rPr>
          <w:sz w:val="24"/>
        </w:rPr>
        <w:tab/>
        <w:t xml:space="preserve">Explain each exception to the certification statement identified in item 83i-19.  </w:t>
      </w:r>
    </w:p>
    <w:p w14:paraId="6679C0CE" w14:textId="77777777" w:rsidR="00D73EE7" w:rsidRPr="00105854" w:rsidRDefault="00D73EE7">
      <w:pPr>
        <w:tabs>
          <w:tab w:val="left" w:pos="360"/>
        </w:tabs>
        <w:ind w:left="360"/>
      </w:pPr>
      <w:r w:rsidRPr="00105854">
        <w:t>This includes, specifically, providing the required information to respondents:</w:t>
      </w:r>
    </w:p>
    <w:p w14:paraId="67E68676" w14:textId="77777777" w:rsidR="00C67E1F" w:rsidRDefault="00C67E1F" w:rsidP="008C6149"/>
    <w:p w14:paraId="11C13EBA" w14:textId="77777777" w:rsidR="00A53477" w:rsidRPr="00105854" w:rsidRDefault="00A53477" w:rsidP="008C6149">
      <w:r w:rsidRPr="00105854">
        <w:t>There are no exceptions being requested for the certification statements.</w:t>
      </w:r>
    </w:p>
    <w:sectPr w:rsidR="00A53477" w:rsidRPr="00105854">
      <w:pgSz w:w="12240" w:h="15840"/>
      <w:pgMar w:top="960" w:right="1440" w:bottom="9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4A523" w14:textId="77777777" w:rsidR="00E24272" w:rsidRDefault="00E24272" w:rsidP="00D83534">
      <w:r>
        <w:separator/>
      </w:r>
    </w:p>
  </w:endnote>
  <w:endnote w:type="continuationSeparator" w:id="0">
    <w:p w14:paraId="79288489" w14:textId="77777777" w:rsidR="00E24272" w:rsidRDefault="00E24272" w:rsidP="00D8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1C356" w14:textId="77777777" w:rsidR="00E24272" w:rsidRDefault="00E24272" w:rsidP="00D83534">
      <w:r>
        <w:separator/>
      </w:r>
    </w:p>
  </w:footnote>
  <w:footnote w:type="continuationSeparator" w:id="0">
    <w:p w14:paraId="67D2518B" w14:textId="77777777" w:rsidR="00E24272" w:rsidRDefault="00E24272" w:rsidP="00D83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7FC7495"/>
    <w:multiLevelType w:val="hybridMultilevel"/>
    <w:tmpl w:val="E2C40664"/>
    <w:lvl w:ilvl="0" w:tplc="77708098">
      <w:start w:val="18"/>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035601"/>
    <w:multiLevelType w:val="hybridMultilevel"/>
    <w:tmpl w:val="294C9ABA"/>
    <w:lvl w:ilvl="0" w:tplc="DEC8596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82209"/>
    <w:multiLevelType w:val="hybridMultilevel"/>
    <w:tmpl w:val="BA249918"/>
    <w:lvl w:ilvl="0" w:tplc="42DECB1E">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9D59FC"/>
    <w:multiLevelType w:val="hybridMultilevel"/>
    <w:tmpl w:val="A8AC6B02"/>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F0B2A"/>
    <w:multiLevelType w:val="hybridMultilevel"/>
    <w:tmpl w:val="F8A09B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E77525"/>
    <w:multiLevelType w:val="hybridMultilevel"/>
    <w:tmpl w:val="757698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1D3F69"/>
    <w:multiLevelType w:val="hybridMultilevel"/>
    <w:tmpl w:val="298652C2"/>
    <w:lvl w:ilvl="0" w:tplc="78C6D55E">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7C37CA"/>
    <w:multiLevelType w:val="hybridMultilevel"/>
    <w:tmpl w:val="71007460"/>
    <w:lvl w:ilvl="0" w:tplc="9BEC3D5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27333B"/>
    <w:multiLevelType w:val="hybridMultilevel"/>
    <w:tmpl w:val="C8E47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BF60FC"/>
    <w:multiLevelType w:val="hybridMultilevel"/>
    <w:tmpl w:val="9E78C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9"/>
  </w:num>
  <w:num w:numId="3">
    <w:abstractNumId w:val="3"/>
  </w:num>
  <w:num w:numId="4">
    <w:abstractNumId w:val="8"/>
  </w:num>
  <w:num w:numId="5">
    <w:abstractNumId w:val="6"/>
  </w:num>
  <w:num w:numId="6">
    <w:abstractNumId w:val="5"/>
  </w:num>
  <w:num w:numId="7">
    <w:abstractNumId w:val="1"/>
  </w:num>
  <w:num w:numId="8">
    <w:abstractNumId w:val="12"/>
  </w:num>
  <w:num w:numId="9">
    <w:abstractNumId w:val="7"/>
  </w:num>
  <w:num w:numId="10">
    <w:abstractNumId w:val="4"/>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5F"/>
    <w:rsid w:val="00012A7A"/>
    <w:rsid w:val="00014752"/>
    <w:rsid w:val="00025C62"/>
    <w:rsid w:val="00031440"/>
    <w:rsid w:val="00033B72"/>
    <w:rsid w:val="00040D7B"/>
    <w:rsid w:val="000668F4"/>
    <w:rsid w:val="00076AAE"/>
    <w:rsid w:val="0008360F"/>
    <w:rsid w:val="000A4D78"/>
    <w:rsid w:val="000A56FB"/>
    <w:rsid w:val="000B1CC4"/>
    <w:rsid w:val="000B7245"/>
    <w:rsid w:val="000C72EF"/>
    <w:rsid w:val="000D598D"/>
    <w:rsid w:val="000E2B24"/>
    <w:rsid w:val="000E60C0"/>
    <w:rsid w:val="00103725"/>
    <w:rsid w:val="00105854"/>
    <w:rsid w:val="001073F1"/>
    <w:rsid w:val="00162098"/>
    <w:rsid w:val="00166D7A"/>
    <w:rsid w:val="0016797F"/>
    <w:rsid w:val="00172622"/>
    <w:rsid w:val="001846A2"/>
    <w:rsid w:val="00191F98"/>
    <w:rsid w:val="00194F4E"/>
    <w:rsid w:val="001A5A38"/>
    <w:rsid w:val="001B0A02"/>
    <w:rsid w:val="001E77AD"/>
    <w:rsid w:val="001F20DA"/>
    <w:rsid w:val="00211B63"/>
    <w:rsid w:val="00216D79"/>
    <w:rsid w:val="002260F4"/>
    <w:rsid w:val="0025479D"/>
    <w:rsid w:val="00282FDE"/>
    <w:rsid w:val="002A124C"/>
    <w:rsid w:val="002B3E51"/>
    <w:rsid w:val="002D4998"/>
    <w:rsid w:val="002E6102"/>
    <w:rsid w:val="002F087C"/>
    <w:rsid w:val="002F6843"/>
    <w:rsid w:val="00304A29"/>
    <w:rsid w:val="0030706D"/>
    <w:rsid w:val="00313A2D"/>
    <w:rsid w:val="00331DDC"/>
    <w:rsid w:val="003433D6"/>
    <w:rsid w:val="00345984"/>
    <w:rsid w:val="00355FD6"/>
    <w:rsid w:val="0037266C"/>
    <w:rsid w:val="003836B8"/>
    <w:rsid w:val="0038607B"/>
    <w:rsid w:val="003C1641"/>
    <w:rsid w:val="003C2B2F"/>
    <w:rsid w:val="003D5D25"/>
    <w:rsid w:val="003D69DA"/>
    <w:rsid w:val="003D7C41"/>
    <w:rsid w:val="003F4120"/>
    <w:rsid w:val="003F578E"/>
    <w:rsid w:val="003F5C7C"/>
    <w:rsid w:val="00415A07"/>
    <w:rsid w:val="00453E0D"/>
    <w:rsid w:val="00454567"/>
    <w:rsid w:val="004554C0"/>
    <w:rsid w:val="00466225"/>
    <w:rsid w:val="00473F66"/>
    <w:rsid w:val="004921AE"/>
    <w:rsid w:val="004D5E4D"/>
    <w:rsid w:val="004D7D7A"/>
    <w:rsid w:val="00526AC0"/>
    <w:rsid w:val="00562364"/>
    <w:rsid w:val="0056564B"/>
    <w:rsid w:val="005772FC"/>
    <w:rsid w:val="005824D5"/>
    <w:rsid w:val="00595EE4"/>
    <w:rsid w:val="005D623E"/>
    <w:rsid w:val="005E72A9"/>
    <w:rsid w:val="00624D79"/>
    <w:rsid w:val="0062713E"/>
    <w:rsid w:val="006434E0"/>
    <w:rsid w:val="006502EC"/>
    <w:rsid w:val="00653FB6"/>
    <w:rsid w:val="006554B2"/>
    <w:rsid w:val="00687842"/>
    <w:rsid w:val="006A2BE6"/>
    <w:rsid w:val="006A47AC"/>
    <w:rsid w:val="006B3BC6"/>
    <w:rsid w:val="006B50D4"/>
    <w:rsid w:val="006D65BE"/>
    <w:rsid w:val="006E53D2"/>
    <w:rsid w:val="006E5B74"/>
    <w:rsid w:val="00700B6D"/>
    <w:rsid w:val="007018BB"/>
    <w:rsid w:val="00710F43"/>
    <w:rsid w:val="00725C80"/>
    <w:rsid w:val="00736FE8"/>
    <w:rsid w:val="007523B3"/>
    <w:rsid w:val="00773BE0"/>
    <w:rsid w:val="00775F08"/>
    <w:rsid w:val="00796281"/>
    <w:rsid w:val="007C2E8A"/>
    <w:rsid w:val="007D61AC"/>
    <w:rsid w:val="007F14EC"/>
    <w:rsid w:val="00811A14"/>
    <w:rsid w:val="0081407A"/>
    <w:rsid w:val="00860D99"/>
    <w:rsid w:val="00870D29"/>
    <w:rsid w:val="00890BDE"/>
    <w:rsid w:val="00891EB2"/>
    <w:rsid w:val="00893474"/>
    <w:rsid w:val="00896935"/>
    <w:rsid w:val="008A2858"/>
    <w:rsid w:val="008A66D5"/>
    <w:rsid w:val="008C1531"/>
    <w:rsid w:val="008C6149"/>
    <w:rsid w:val="008D1FC5"/>
    <w:rsid w:val="008E7B0F"/>
    <w:rsid w:val="00907294"/>
    <w:rsid w:val="009355F5"/>
    <w:rsid w:val="00945882"/>
    <w:rsid w:val="0095133D"/>
    <w:rsid w:val="0099446E"/>
    <w:rsid w:val="00994D5F"/>
    <w:rsid w:val="009B5E5F"/>
    <w:rsid w:val="009F6370"/>
    <w:rsid w:val="00A01955"/>
    <w:rsid w:val="00A0772B"/>
    <w:rsid w:val="00A135F1"/>
    <w:rsid w:val="00A1609B"/>
    <w:rsid w:val="00A43509"/>
    <w:rsid w:val="00A43649"/>
    <w:rsid w:val="00A50DBE"/>
    <w:rsid w:val="00A53477"/>
    <w:rsid w:val="00A677DD"/>
    <w:rsid w:val="00A96C98"/>
    <w:rsid w:val="00AA4CCB"/>
    <w:rsid w:val="00AA598B"/>
    <w:rsid w:val="00AB25E3"/>
    <w:rsid w:val="00AB4C14"/>
    <w:rsid w:val="00AC0A68"/>
    <w:rsid w:val="00AC409C"/>
    <w:rsid w:val="00AE5A37"/>
    <w:rsid w:val="00B01ECF"/>
    <w:rsid w:val="00B64BA5"/>
    <w:rsid w:val="00B85DF7"/>
    <w:rsid w:val="00B8772A"/>
    <w:rsid w:val="00BB44BA"/>
    <w:rsid w:val="00C0025E"/>
    <w:rsid w:val="00C17BF5"/>
    <w:rsid w:val="00C45919"/>
    <w:rsid w:val="00C4766E"/>
    <w:rsid w:val="00C54353"/>
    <w:rsid w:val="00C6398B"/>
    <w:rsid w:val="00C67E1F"/>
    <w:rsid w:val="00C77E1A"/>
    <w:rsid w:val="00C919A1"/>
    <w:rsid w:val="00C91A80"/>
    <w:rsid w:val="00C93428"/>
    <w:rsid w:val="00C93D31"/>
    <w:rsid w:val="00CA2A26"/>
    <w:rsid w:val="00CB36A1"/>
    <w:rsid w:val="00CB55AA"/>
    <w:rsid w:val="00CE3031"/>
    <w:rsid w:val="00D07A05"/>
    <w:rsid w:val="00D1735E"/>
    <w:rsid w:val="00D34EAF"/>
    <w:rsid w:val="00D42E74"/>
    <w:rsid w:val="00D549D3"/>
    <w:rsid w:val="00D731FC"/>
    <w:rsid w:val="00D73EE7"/>
    <w:rsid w:val="00D80E92"/>
    <w:rsid w:val="00D83534"/>
    <w:rsid w:val="00D86827"/>
    <w:rsid w:val="00DC20CD"/>
    <w:rsid w:val="00DC7588"/>
    <w:rsid w:val="00DD4500"/>
    <w:rsid w:val="00DE18A4"/>
    <w:rsid w:val="00DE6EED"/>
    <w:rsid w:val="00E0004B"/>
    <w:rsid w:val="00E02B4A"/>
    <w:rsid w:val="00E127A9"/>
    <w:rsid w:val="00E1685C"/>
    <w:rsid w:val="00E223F4"/>
    <w:rsid w:val="00E23005"/>
    <w:rsid w:val="00E24272"/>
    <w:rsid w:val="00E5285F"/>
    <w:rsid w:val="00E650D9"/>
    <w:rsid w:val="00E92DE5"/>
    <w:rsid w:val="00EB561B"/>
    <w:rsid w:val="00EB65D5"/>
    <w:rsid w:val="00EB69AF"/>
    <w:rsid w:val="00EE3CEB"/>
    <w:rsid w:val="00EE5F26"/>
    <w:rsid w:val="00EF1619"/>
    <w:rsid w:val="00F05084"/>
    <w:rsid w:val="00F20A9A"/>
    <w:rsid w:val="00F20AFE"/>
    <w:rsid w:val="00F618A0"/>
    <w:rsid w:val="00F63DBF"/>
    <w:rsid w:val="00F67C15"/>
    <w:rsid w:val="00F713EE"/>
    <w:rsid w:val="00F75827"/>
    <w:rsid w:val="00F77130"/>
    <w:rsid w:val="00F870B2"/>
    <w:rsid w:val="00FA49C9"/>
    <w:rsid w:val="00FC4A34"/>
    <w:rsid w:val="00FE3A81"/>
    <w:rsid w:val="00FF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79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paragraph" w:styleId="BodyText">
    <w:name w:val="Body Text"/>
    <w:basedOn w:val="Normal"/>
    <w:link w:val="BodyTextChar"/>
    <w:uiPriority w:val="99"/>
    <w:semiHidden/>
    <w:unhideWhenUsed/>
    <w:rsid w:val="00595EE4"/>
    <w:pPr>
      <w:spacing w:after="120"/>
    </w:pPr>
  </w:style>
  <w:style w:type="character" w:customStyle="1" w:styleId="BodyTextChar">
    <w:name w:val="Body Text Char"/>
    <w:basedOn w:val="DefaultParagraphFont"/>
    <w:link w:val="BodyText"/>
    <w:uiPriority w:val="99"/>
    <w:semiHidden/>
    <w:rsid w:val="00595EE4"/>
    <w:rPr>
      <w:sz w:val="24"/>
      <w:szCs w:val="24"/>
    </w:rPr>
  </w:style>
  <w:style w:type="paragraph" w:styleId="BodyText3">
    <w:name w:val="Body Text 3"/>
    <w:basedOn w:val="Normal"/>
    <w:link w:val="BodyText3Char"/>
    <w:uiPriority w:val="99"/>
    <w:semiHidden/>
    <w:unhideWhenUsed/>
    <w:rsid w:val="00595EE4"/>
    <w:pPr>
      <w:spacing w:after="120"/>
    </w:pPr>
    <w:rPr>
      <w:sz w:val="16"/>
      <w:szCs w:val="16"/>
    </w:rPr>
  </w:style>
  <w:style w:type="character" w:customStyle="1" w:styleId="BodyText3Char">
    <w:name w:val="Body Text 3 Char"/>
    <w:basedOn w:val="DefaultParagraphFont"/>
    <w:link w:val="BodyText3"/>
    <w:uiPriority w:val="99"/>
    <w:semiHidden/>
    <w:rsid w:val="00595EE4"/>
    <w:rPr>
      <w:sz w:val="16"/>
      <w:szCs w:val="16"/>
    </w:rPr>
  </w:style>
  <w:style w:type="character" w:styleId="CommentReference">
    <w:name w:val="annotation reference"/>
    <w:basedOn w:val="DefaultParagraphFont"/>
    <w:uiPriority w:val="99"/>
    <w:semiHidden/>
    <w:unhideWhenUsed/>
    <w:rsid w:val="008C6149"/>
    <w:rPr>
      <w:sz w:val="16"/>
      <w:szCs w:val="16"/>
    </w:rPr>
  </w:style>
  <w:style w:type="paragraph" w:styleId="CommentText">
    <w:name w:val="annotation text"/>
    <w:basedOn w:val="Normal"/>
    <w:link w:val="CommentTextChar"/>
    <w:uiPriority w:val="99"/>
    <w:semiHidden/>
    <w:unhideWhenUsed/>
    <w:rsid w:val="008C6149"/>
    <w:rPr>
      <w:sz w:val="20"/>
      <w:szCs w:val="20"/>
    </w:rPr>
  </w:style>
  <w:style w:type="character" w:customStyle="1" w:styleId="CommentTextChar">
    <w:name w:val="Comment Text Char"/>
    <w:basedOn w:val="DefaultParagraphFont"/>
    <w:link w:val="CommentText"/>
    <w:uiPriority w:val="99"/>
    <w:semiHidden/>
    <w:rsid w:val="008C6149"/>
  </w:style>
  <w:style w:type="paragraph" w:styleId="CommentSubject">
    <w:name w:val="annotation subject"/>
    <w:basedOn w:val="CommentText"/>
    <w:next w:val="CommentText"/>
    <w:link w:val="CommentSubjectChar"/>
    <w:uiPriority w:val="99"/>
    <w:semiHidden/>
    <w:unhideWhenUsed/>
    <w:rsid w:val="008C6149"/>
    <w:rPr>
      <w:b/>
      <w:bCs/>
    </w:rPr>
  </w:style>
  <w:style w:type="character" w:customStyle="1" w:styleId="CommentSubjectChar">
    <w:name w:val="Comment Subject Char"/>
    <w:basedOn w:val="CommentTextChar"/>
    <w:link w:val="CommentSubject"/>
    <w:uiPriority w:val="99"/>
    <w:semiHidden/>
    <w:rsid w:val="008C6149"/>
    <w:rPr>
      <w:b/>
      <w:bCs/>
    </w:rPr>
  </w:style>
  <w:style w:type="paragraph" w:styleId="BalloonText">
    <w:name w:val="Balloon Text"/>
    <w:basedOn w:val="Normal"/>
    <w:link w:val="BalloonTextChar"/>
    <w:uiPriority w:val="99"/>
    <w:semiHidden/>
    <w:unhideWhenUsed/>
    <w:rsid w:val="008C6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49"/>
    <w:rPr>
      <w:rFonts w:ascii="Segoe UI" w:hAnsi="Segoe UI" w:cs="Segoe UI"/>
      <w:sz w:val="18"/>
      <w:szCs w:val="18"/>
    </w:rPr>
  </w:style>
  <w:style w:type="paragraph" w:styleId="NoSpacing">
    <w:name w:val="No Spacing"/>
    <w:uiPriority w:val="1"/>
    <w:qFormat/>
    <w:rsid w:val="00C67E1F"/>
    <w:rPr>
      <w:sz w:val="24"/>
      <w:szCs w:val="24"/>
    </w:rPr>
  </w:style>
  <w:style w:type="paragraph" w:styleId="Header">
    <w:name w:val="header"/>
    <w:basedOn w:val="Normal"/>
    <w:link w:val="HeaderChar"/>
    <w:uiPriority w:val="99"/>
    <w:unhideWhenUsed/>
    <w:rsid w:val="00D83534"/>
    <w:pPr>
      <w:tabs>
        <w:tab w:val="center" w:pos="4680"/>
        <w:tab w:val="right" w:pos="9360"/>
      </w:tabs>
    </w:pPr>
  </w:style>
  <w:style w:type="character" w:customStyle="1" w:styleId="HeaderChar">
    <w:name w:val="Header Char"/>
    <w:basedOn w:val="DefaultParagraphFont"/>
    <w:link w:val="Header"/>
    <w:uiPriority w:val="99"/>
    <w:rsid w:val="00D83534"/>
    <w:rPr>
      <w:sz w:val="24"/>
      <w:szCs w:val="24"/>
    </w:rPr>
  </w:style>
  <w:style w:type="paragraph" w:styleId="Footer">
    <w:name w:val="footer"/>
    <w:basedOn w:val="Normal"/>
    <w:link w:val="FooterChar"/>
    <w:uiPriority w:val="99"/>
    <w:unhideWhenUsed/>
    <w:rsid w:val="00D83534"/>
    <w:pPr>
      <w:tabs>
        <w:tab w:val="center" w:pos="4680"/>
        <w:tab w:val="right" w:pos="9360"/>
      </w:tabs>
    </w:pPr>
  </w:style>
  <w:style w:type="character" w:customStyle="1" w:styleId="FooterChar">
    <w:name w:val="Footer Char"/>
    <w:basedOn w:val="DefaultParagraphFont"/>
    <w:link w:val="Footer"/>
    <w:uiPriority w:val="99"/>
    <w:rsid w:val="00D83534"/>
    <w:rPr>
      <w:sz w:val="24"/>
      <w:szCs w:val="24"/>
    </w:rPr>
  </w:style>
  <w:style w:type="paragraph" w:styleId="ListParagraph">
    <w:name w:val="List Paragraph"/>
    <w:basedOn w:val="Normal"/>
    <w:uiPriority w:val="34"/>
    <w:qFormat/>
    <w:rsid w:val="004921AE"/>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rsid w:val="00F75827"/>
    <w:rPr>
      <w:color w:val="0000FF"/>
      <w:u w:val="single"/>
    </w:rPr>
  </w:style>
  <w:style w:type="paragraph" w:styleId="Revision">
    <w:name w:val="Revision"/>
    <w:hidden/>
    <w:uiPriority w:val="99"/>
    <w:semiHidden/>
    <w:rsid w:val="003F41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paragraph" w:styleId="BodyText">
    <w:name w:val="Body Text"/>
    <w:basedOn w:val="Normal"/>
    <w:link w:val="BodyTextChar"/>
    <w:uiPriority w:val="99"/>
    <w:semiHidden/>
    <w:unhideWhenUsed/>
    <w:rsid w:val="00595EE4"/>
    <w:pPr>
      <w:spacing w:after="120"/>
    </w:pPr>
  </w:style>
  <w:style w:type="character" w:customStyle="1" w:styleId="BodyTextChar">
    <w:name w:val="Body Text Char"/>
    <w:basedOn w:val="DefaultParagraphFont"/>
    <w:link w:val="BodyText"/>
    <w:uiPriority w:val="99"/>
    <w:semiHidden/>
    <w:rsid w:val="00595EE4"/>
    <w:rPr>
      <w:sz w:val="24"/>
      <w:szCs w:val="24"/>
    </w:rPr>
  </w:style>
  <w:style w:type="paragraph" w:styleId="BodyText3">
    <w:name w:val="Body Text 3"/>
    <w:basedOn w:val="Normal"/>
    <w:link w:val="BodyText3Char"/>
    <w:uiPriority w:val="99"/>
    <w:semiHidden/>
    <w:unhideWhenUsed/>
    <w:rsid w:val="00595EE4"/>
    <w:pPr>
      <w:spacing w:after="120"/>
    </w:pPr>
    <w:rPr>
      <w:sz w:val="16"/>
      <w:szCs w:val="16"/>
    </w:rPr>
  </w:style>
  <w:style w:type="character" w:customStyle="1" w:styleId="BodyText3Char">
    <w:name w:val="Body Text 3 Char"/>
    <w:basedOn w:val="DefaultParagraphFont"/>
    <w:link w:val="BodyText3"/>
    <w:uiPriority w:val="99"/>
    <w:semiHidden/>
    <w:rsid w:val="00595EE4"/>
    <w:rPr>
      <w:sz w:val="16"/>
      <w:szCs w:val="16"/>
    </w:rPr>
  </w:style>
  <w:style w:type="character" w:styleId="CommentReference">
    <w:name w:val="annotation reference"/>
    <w:basedOn w:val="DefaultParagraphFont"/>
    <w:uiPriority w:val="99"/>
    <w:semiHidden/>
    <w:unhideWhenUsed/>
    <w:rsid w:val="008C6149"/>
    <w:rPr>
      <w:sz w:val="16"/>
      <w:szCs w:val="16"/>
    </w:rPr>
  </w:style>
  <w:style w:type="paragraph" w:styleId="CommentText">
    <w:name w:val="annotation text"/>
    <w:basedOn w:val="Normal"/>
    <w:link w:val="CommentTextChar"/>
    <w:uiPriority w:val="99"/>
    <w:semiHidden/>
    <w:unhideWhenUsed/>
    <w:rsid w:val="008C6149"/>
    <w:rPr>
      <w:sz w:val="20"/>
      <w:szCs w:val="20"/>
    </w:rPr>
  </w:style>
  <w:style w:type="character" w:customStyle="1" w:styleId="CommentTextChar">
    <w:name w:val="Comment Text Char"/>
    <w:basedOn w:val="DefaultParagraphFont"/>
    <w:link w:val="CommentText"/>
    <w:uiPriority w:val="99"/>
    <w:semiHidden/>
    <w:rsid w:val="008C6149"/>
  </w:style>
  <w:style w:type="paragraph" w:styleId="CommentSubject">
    <w:name w:val="annotation subject"/>
    <w:basedOn w:val="CommentText"/>
    <w:next w:val="CommentText"/>
    <w:link w:val="CommentSubjectChar"/>
    <w:uiPriority w:val="99"/>
    <w:semiHidden/>
    <w:unhideWhenUsed/>
    <w:rsid w:val="008C6149"/>
    <w:rPr>
      <w:b/>
      <w:bCs/>
    </w:rPr>
  </w:style>
  <w:style w:type="character" w:customStyle="1" w:styleId="CommentSubjectChar">
    <w:name w:val="Comment Subject Char"/>
    <w:basedOn w:val="CommentTextChar"/>
    <w:link w:val="CommentSubject"/>
    <w:uiPriority w:val="99"/>
    <w:semiHidden/>
    <w:rsid w:val="008C6149"/>
    <w:rPr>
      <w:b/>
      <w:bCs/>
    </w:rPr>
  </w:style>
  <w:style w:type="paragraph" w:styleId="BalloonText">
    <w:name w:val="Balloon Text"/>
    <w:basedOn w:val="Normal"/>
    <w:link w:val="BalloonTextChar"/>
    <w:uiPriority w:val="99"/>
    <w:semiHidden/>
    <w:unhideWhenUsed/>
    <w:rsid w:val="008C6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49"/>
    <w:rPr>
      <w:rFonts w:ascii="Segoe UI" w:hAnsi="Segoe UI" w:cs="Segoe UI"/>
      <w:sz w:val="18"/>
      <w:szCs w:val="18"/>
    </w:rPr>
  </w:style>
  <w:style w:type="paragraph" w:styleId="NoSpacing">
    <w:name w:val="No Spacing"/>
    <w:uiPriority w:val="1"/>
    <w:qFormat/>
    <w:rsid w:val="00C67E1F"/>
    <w:rPr>
      <w:sz w:val="24"/>
      <w:szCs w:val="24"/>
    </w:rPr>
  </w:style>
  <w:style w:type="paragraph" w:styleId="Header">
    <w:name w:val="header"/>
    <w:basedOn w:val="Normal"/>
    <w:link w:val="HeaderChar"/>
    <w:uiPriority w:val="99"/>
    <w:unhideWhenUsed/>
    <w:rsid w:val="00D83534"/>
    <w:pPr>
      <w:tabs>
        <w:tab w:val="center" w:pos="4680"/>
        <w:tab w:val="right" w:pos="9360"/>
      </w:tabs>
    </w:pPr>
  </w:style>
  <w:style w:type="character" w:customStyle="1" w:styleId="HeaderChar">
    <w:name w:val="Header Char"/>
    <w:basedOn w:val="DefaultParagraphFont"/>
    <w:link w:val="Header"/>
    <w:uiPriority w:val="99"/>
    <w:rsid w:val="00D83534"/>
    <w:rPr>
      <w:sz w:val="24"/>
      <w:szCs w:val="24"/>
    </w:rPr>
  </w:style>
  <w:style w:type="paragraph" w:styleId="Footer">
    <w:name w:val="footer"/>
    <w:basedOn w:val="Normal"/>
    <w:link w:val="FooterChar"/>
    <w:uiPriority w:val="99"/>
    <w:unhideWhenUsed/>
    <w:rsid w:val="00D83534"/>
    <w:pPr>
      <w:tabs>
        <w:tab w:val="center" w:pos="4680"/>
        <w:tab w:val="right" w:pos="9360"/>
      </w:tabs>
    </w:pPr>
  </w:style>
  <w:style w:type="character" w:customStyle="1" w:styleId="FooterChar">
    <w:name w:val="Footer Char"/>
    <w:basedOn w:val="DefaultParagraphFont"/>
    <w:link w:val="Footer"/>
    <w:uiPriority w:val="99"/>
    <w:rsid w:val="00D83534"/>
    <w:rPr>
      <w:sz w:val="24"/>
      <w:szCs w:val="24"/>
    </w:rPr>
  </w:style>
  <w:style w:type="paragraph" w:styleId="ListParagraph">
    <w:name w:val="List Paragraph"/>
    <w:basedOn w:val="Normal"/>
    <w:uiPriority w:val="34"/>
    <w:qFormat/>
    <w:rsid w:val="004921AE"/>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rsid w:val="00F75827"/>
    <w:rPr>
      <w:color w:val="0000FF"/>
      <w:u w:val="single"/>
    </w:rPr>
  </w:style>
  <w:style w:type="paragraph" w:styleId="Revision">
    <w:name w:val="Revision"/>
    <w:hidden/>
    <w:uiPriority w:val="99"/>
    <w:semiHidden/>
    <w:rsid w:val="003F41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435476">
      <w:bodyDiv w:val="1"/>
      <w:marLeft w:val="0"/>
      <w:marRight w:val="0"/>
      <w:marTop w:val="0"/>
      <w:marBottom w:val="0"/>
      <w:divBdr>
        <w:top w:val="none" w:sz="0" w:space="0" w:color="auto"/>
        <w:left w:val="none" w:sz="0" w:space="0" w:color="auto"/>
        <w:bottom w:val="none" w:sz="0" w:space="0" w:color="auto"/>
        <w:right w:val="none" w:sz="0" w:space="0" w:color="auto"/>
      </w:divBdr>
    </w:div>
    <w:div w:id="1432973008">
      <w:bodyDiv w:val="1"/>
      <w:marLeft w:val="0"/>
      <w:marRight w:val="0"/>
      <w:marTop w:val="0"/>
      <w:marBottom w:val="0"/>
      <w:divBdr>
        <w:top w:val="none" w:sz="0" w:space="0" w:color="auto"/>
        <w:left w:val="none" w:sz="0" w:space="0" w:color="auto"/>
        <w:bottom w:val="none" w:sz="0" w:space="0" w:color="auto"/>
        <w:right w:val="none" w:sz="0" w:space="0" w:color="auto"/>
      </w:divBdr>
    </w:div>
    <w:div w:id="1440098827">
      <w:bodyDiv w:val="1"/>
      <w:marLeft w:val="0"/>
      <w:marRight w:val="0"/>
      <w:marTop w:val="0"/>
      <w:marBottom w:val="0"/>
      <w:divBdr>
        <w:top w:val="none" w:sz="0" w:space="0" w:color="auto"/>
        <w:left w:val="none" w:sz="0" w:space="0" w:color="auto"/>
        <w:bottom w:val="none" w:sz="0" w:space="0" w:color="auto"/>
        <w:right w:val="none" w:sz="0" w:space="0" w:color="auto"/>
      </w:divBdr>
    </w:div>
    <w:div w:id="1600986826">
      <w:bodyDiv w:val="1"/>
      <w:marLeft w:val="0"/>
      <w:marRight w:val="0"/>
      <w:marTop w:val="0"/>
      <w:marBottom w:val="0"/>
      <w:divBdr>
        <w:top w:val="none" w:sz="0" w:space="0" w:color="auto"/>
        <w:left w:val="none" w:sz="0" w:space="0" w:color="auto"/>
        <w:bottom w:val="none" w:sz="0" w:space="0" w:color="auto"/>
        <w:right w:val="none" w:sz="0" w:space="0" w:color="auto"/>
      </w:divBdr>
    </w:div>
    <w:div w:id="1663972871">
      <w:bodyDiv w:val="1"/>
      <w:marLeft w:val="0"/>
      <w:marRight w:val="0"/>
      <w:marTop w:val="0"/>
      <w:marBottom w:val="0"/>
      <w:divBdr>
        <w:top w:val="none" w:sz="0" w:space="0" w:color="auto"/>
        <w:left w:val="none" w:sz="0" w:space="0" w:color="auto"/>
        <w:bottom w:val="none" w:sz="0" w:space="0" w:color="auto"/>
        <w:right w:val="none" w:sz="0" w:space="0" w:color="auto"/>
      </w:divBdr>
    </w:div>
    <w:div w:id="21025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64AD9-1CB4-4DB6-BE8E-6184D125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2019-04-10T14:54:00Z</dcterms:created>
  <dcterms:modified xsi:type="dcterms:W3CDTF">2019-04-10T14:54:00Z</dcterms:modified>
</cp:coreProperties>
</file>