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98B02" w14:textId="77777777" w:rsidR="00285868" w:rsidRDefault="00285868" w:rsidP="0096581D">
      <w:pPr>
        <w:rPr>
          <w:sz w:val="18"/>
          <w:szCs w:val="18"/>
        </w:rPr>
      </w:pPr>
      <w:bookmarkStart w:id="0" w:name="_GoBack"/>
      <w:bookmarkEnd w:id="0"/>
    </w:p>
    <w:p w14:paraId="434ED17E" w14:textId="77777777" w:rsidR="00965F22" w:rsidRPr="00285868" w:rsidRDefault="00965F22" w:rsidP="0096581D">
      <w:pPr>
        <w:rPr>
          <w:sz w:val="18"/>
          <w:szCs w:val="18"/>
        </w:rPr>
      </w:pPr>
      <w:r w:rsidRPr="00285868">
        <w:rPr>
          <w:sz w:val="18"/>
          <w:szCs w:val="18"/>
        </w:rPr>
        <w:t xml:space="preserve">Month XX, </w:t>
      </w:r>
      <w:r w:rsidR="00630488" w:rsidRPr="00285868">
        <w:rPr>
          <w:sz w:val="18"/>
          <w:szCs w:val="18"/>
        </w:rPr>
        <w:t>2018</w:t>
      </w:r>
      <w:r w:rsidR="00F249AA" w:rsidRPr="00285868">
        <w:rPr>
          <w:sz w:val="18"/>
          <w:szCs w:val="18"/>
        </w:rPr>
        <w:tab/>
      </w:r>
      <w:r w:rsidR="00F249AA" w:rsidRPr="00285868">
        <w:rPr>
          <w:sz w:val="18"/>
          <w:szCs w:val="18"/>
        </w:rPr>
        <w:tab/>
      </w:r>
      <w:r w:rsidR="00F249AA" w:rsidRPr="00285868">
        <w:rPr>
          <w:sz w:val="18"/>
          <w:szCs w:val="18"/>
        </w:rPr>
        <w:tab/>
      </w:r>
      <w:r w:rsidR="00F249AA" w:rsidRPr="00285868">
        <w:rPr>
          <w:sz w:val="18"/>
          <w:szCs w:val="18"/>
        </w:rPr>
        <w:tab/>
      </w:r>
      <w:r w:rsidR="00F249AA" w:rsidRPr="00285868">
        <w:rPr>
          <w:sz w:val="18"/>
          <w:szCs w:val="18"/>
        </w:rPr>
        <w:tab/>
      </w:r>
      <w:r w:rsidR="00F249AA" w:rsidRPr="00285868">
        <w:rPr>
          <w:sz w:val="18"/>
          <w:szCs w:val="18"/>
        </w:rPr>
        <w:tab/>
      </w:r>
      <w:r w:rsidR="00F249AA" w:rsidRPr="00285868">
        <w:rPr>
          <w:sz w:val="18"/>
          <w:szCs w:val="18"/>
        </w:rPr>
        <w:tab/>
      </w:r>
      <w:r w:rsidR="00F249AA" w:rsidRPr="00285868">
        <w:rPr>
          <w:sz w:val="18"/>
          <w:szCs w:val="18"/>
        </w:rPr>
        <w:tab/>
        <w:t>OMB Approval No. 1905-0169</w:t>
      </w:r>
    </w:p>
    <w:p w14:paraId="41C7AF22" w14:textId="77777777" w:rsidR="00965F22" w:rsidRPr="00285868" w:rsidRDefault="00965F22" w:rsidP="0096581D">
      <w:pPr>
        <w:rPr>
          <w:sz w:val="18"/>
          <w:szCs w:val="18"/>
        </w:rPr>
      </w:pPr>
    </w:p>
    <w:p w14:paraId="24967575" w14:textId="77777777" w:rsidR="00CA5FF6" w:rsidRPr="00285868" w:rsidRDefault="00CA5FF6" w:rsidP="0096581D">
      <w:pPr>
        <w:rPr>
          <w:sz w:val="18"/>
          <w:szCs w:val="18"/>
        </w:rPr>
      </w:pPr>
    </w:p>
    <w:p w14:paraId="3B24D5A2" w14:textId="77777777" w:rsidR="00632763" w:rsidRPr="00285868" w:rsidRDefault="00632763" w:rsidP="0096581D">
      <w:pPr>
        <w:rPr>
          <w:sz w:val="18"/>
          <w:szCs w:val="18"/>
        </w:rPr>
      </w:pPr>
      <w:r w:rsidRPr="00285868">
        <w:rPr>
          <w:sz w:val="18"/>
          <w:szCs w:val="18"/>
        </w:rPr>
        <w:t>Dear Manufacturer,</w:t>
      </w:r>
    </w:p>
    <w:p w14:paraId="0F24704F" w14:textId="77777777" w:rsidR="00632763" w:rsidRPr="00285868" w:rsidRDefault="00632763" w:rsidP="0096581D">
      <w:pPr>
        <w:rPr>
          <w:sz w:val="18"/>
          <w:szCs w:val="18"/>
        </w:rPr>
      </w:pPr>
    </w:p>
    <w:p w14:paraId="03F552FB" w14:textId="2C1C4801" w:rsidR="00350DB4" w:rsidRPr="00285868" w:rsidRDefault="00632763" w:rsidP="0096581D">
      <w:pPr>
        <w:rPr>
          <w:sz w:val="18"/>
          <w:szCs w:val="18"/>
        </w:rPr>
      </w:pPr>
      <w:r w:rsidRPr="00285868">
        <w:rPr>
          <w:sz w:val="18"/>
          <w:szCs w:val="18"/>
        </w:rPr>
        <w:t xml:space="preserve">In </w:t>
      </w:r>
      <w:r w:rsidR="00AE33F3" w:rsidRPr="00285868">
        <w:rPr>
          <w:b/>
          <w:sz w:val="18"/>
          <w:szCs w:val="18"/>
        </w:rPr>
        <w:t>MONTH YYYY</w:t>
      </w:r>
      <w:r w:rsidRPr="00285868">
        <w:rPr>
          <w:sz w:val="18"/>
          <w:szCs w:val="18"/>
        </w:rPr>
        <w:t xml:space="preserve">, we notified you of your </w:t>
      </w:r>
      <w:r w:rsidR="00AC2FDD" w:rsidRPr="00285868">
        <w:rPr>
          <w:b/>
          <w:sz w:val="18"/>
          <w:szCs w:val="18"/>
        </w:rPr>
        <w:t>mandatory</w:t>
      </w:r>
      <w:r w:rsidR="00350DB4" w:rsidRPr="00285868">
        <w:rPr>
          <w:sz w:val="18"/>
          <w:szCs w:val="18"/>
        </w:rPr>
        <w:t xml:space="preserve"> participation</w:t>
      </w:r>
      <w:r w:rsidRPr="00285868">
        <w:rPr>
          <w:sz w:val="18"/>
          <w:szCs w:val="18"/>
        </w:rPr>
        <w:t xml:space="preserve"> in our </w:t>
      </w:r>
      <w:r w:rsidR="00630488" w:rsidRPr="00285868">
        <w:rPr>
          <w:sz w:val="18"/>
          <w:szCs w:val="18"/>
        </w:rPr>
        <w:t>2018</w:t>
      </w:r>
      <w:r w:rsidRPr="00285868">
        <w:rPr>
          <w:sz w:val="18"/>
          <w:szCs w:val="18"/>
        </w:rPr>
        <w:t xml:space="preserve"> Manufacturing Energy Consumption Survey (MECS).</w:t>
      </w:r>
      <w:r w:rsidR="00CC4AEE" w:rsidRPr="00285868">
        <w:rPr>
          <w:sz w:val="18"/>
          <w:szCs w:val="18"/>
        </w:rPr>
        <w:t xml:space="preserve"> </w:t>
      </w:r>
      <w:r w:rsidRPr="00285868">
        <w:rPr>
          <w:sz w:val="18"/>
          <w:szCs w:val="18"/>
        </w:rPr>
        <w:t xml:space="preserve">We now ask that you </w:t>
      </w:r>
      <w:r w:rsidRPr="00285868">
        <w:rPr>
          <w:b/>
          <w:bCs/>
          <w:sz w:val="18"/>
          <w:szCs w:val="18"/>
        </w:rPr>
        <w:t xml:space="preserve">access, complete, and </w:t>
      </w:r>
      <w:r w:rsidR="00D46CB6" w:rsidRPr="00285868">
        <w:rPr>
          <w:b/>
          <w:bCs/>
          <w:sz w:val="18"/>
          <w:szCs w:val="18"/>
        </w:rPr>
        <w:t xml:space="preserve">submit </w:t>
      </w:r>
      <w:r w:rsidRPr="00285868">
        <w:rPr>
          <w:b/>
          <w:bCs/>
          <w:sz w:val="18"/>
          <w:szCs w:val="18"/>
        </w:rPr>
        <w:t xml:space="preserve">your report by </w:t>
      </w:r>
      <w:r w:rsidR="00D612FD" w:rsidRPr="00285868">
        <w:rPr>
          <w:b/>
          <w:bCs/>
          <w:sz w:val="18"/>
          <w:szCs w:val="18"/>
        </w:rPr>
        <w:t>M</w:t>
      </w:r>
      <w:r w:rsidR="00D46CB6" w:rsidRPr="00285868">
        <w:rPr>
          <w:b/>
          <w:bCs/>
          <w:sz w:val="18"/>
          <w:szCs w:val="18"/>
        </w:rPr>
        <w:t>M</w:t>
      </w:r>
      <w:r w:rsidR="00D612FD" w:rsidRPr="00285868">
        <w:rPr>
          <w:b/>
          <w:bCs/>
          <w:sz w:val="18"/>
          <w:szCs w:val="18"/>
        </w:rPr>
        <w:t xml:space="preserve"> DD</w:t>
      </w:r>
      <w:r w:rsidRPr="00285868">
        <w:rPr>
          <w:b/>
          <w:bCs/>
          <w:sz w:val="18"/>
          <w:szCs w:val="18"/>
        </w:rPr>
        <w:t xml:space="preserve">, </w:t>
      </w:r>
      <w:r w:rsidR="00D612FD" w:rsidRPr="00285868">
        <w:rPr>
          <w:b/>
          <w:bCs/>
          <w:sz w:val="18"/>
          <w:szCs w:val="18"/>
        </w:rPr>
        <w:t>YYYY</w:t>
      </w:r>
      <w:r w:rsidRPr="00285868">
        <w:rPr>
          <w:sz w:val="18"/>
          <w:szCs w:val="18"/>
        </w:rPr>
        <w:t>.</w:t>
      </w:r>
      <w:r w:rsidR="00CC4AEE" w:rsidRPr="00285868">
        <w:rPr>
          <w:sz w:val="18"/>
          <w:szCs w:val="18"/>
        </w:rPr>
        <w:t xml:space="preserve">     </w:t>
      </w:r>
    </w:p>
    <w:p w14:paraId="757D1736" w14:textId="77777777" w:rsidR="00350DB4" w:rsidRPr="00285868" w:rsidRDefault="00350DB4" w:rsidP="0096581D">
      <w:pPr>
        <w:rPr>
          <w:sz w:val="18"/>
          <w:szCs w:val="18"/>
        </w:rPr>
      </w:pPr>
    </w:p>
    <w:p w14:paraId="5AF05D04" w14:textId="788C5F72" w:rsidR="0015015F" w:rsidRPr="00285868" w:rsidRDefault="0015015F" w:rsidP="0096581D">
      <w:pPr>
        <w:pStyle w:val="BodyText"/>
        <w:spacing w:after="0"/>
        <w:ind w:right="850"/>
        <w:rPr>
          <w:sz w:val="18"/>
          <w:szCs w:val="18"/>
        </w:rPr>
      </w:pPr>
      <w:r w:rsidRPr="00285868">
        <w:rPr>
          <w:sz w:val="18"/>
          <w:szCs w:val="18"/>
        </w:rPr>
        <w:t xml:space="preserve">The MECS is the Federal Government’s only systematic survey that gauges energy impacts on various parts of the </w:t>
      </w:r>
      <w:r w:rsidR="00D74FF8">
        <w:rPr>
          <w:sz w:val="18"/>
          <w:szCs w:val="18"/>
        </w:rPr>
        <w:t xml:space="preserve">manufacturing </w:t>
      </w:r>
      <w:r w:rsidRPr="00285868">
        <w:rPr>
          <w:sz w:val="18"/>
          <w:szCs w:val="18"/>
        </w:rPr>
        <w:t>sector.</w:t>
      </w:r>
      <w:r w:rsidR="00CC4AEE" w:rsidRPr="00285868">
        <w:rPr>
          <w:sz w:val="18"/>
          <w:szCs w:val="18"/>
        </w:rPr>
        <w:t xml:space="preserve"> </w:t>
      </w:r>
      <w:r w:rsidRPr="00285868">
        <w:rPr>
          <w:sz w:val="18"/>
          <w:szCs w:val="18"/>
        </w:rPr>
        <w:t>It measures energy consumption and related manufacturing characteristics and behaviors; provides industry, policymakers</w:t>
      </w:r>
      <w:r w:rsidR="00D74FF8">
        <w:rPr>
          <w:sz w:val="18"/>
          <w:szCs w:val="18"/>
        </w:rPr>
        <w:t>,</w:t>
      </w:r>
      <w:r w:rsidRPr="00285868">
        <w:rPr>
          <w:sz w:val="18"/>
          <w:szCs w:val="18"/>
        </w:rPr>
        <w:t xml:space="preserve"> and the public with unbiased and accurate data; and evaluates manufacturing demands in the face of rising energy prices and national security concerns.</w:t>
      </w:r>
      <w:r w:rsidR="00CC4AEE" w:rsidRPr="00285868">
        <w:rPr>
          <w:sz w:val="18"/>
          <w:szCs w:val="18"/>
        </w:rPr>
        <w:t xml:space="preserve"> </w:t>
      </w:r>
      <w:r w:rsidRPr="00285868">
        <w:rPr>
          <w:sz w:val="18"/>
          <w:szCs w:val="18"/>
        </w:rPr>
        <w:t>Because your establishment represents other establishments of similar size and kind of business, it is essential that your company responds to ensure reliable and unbiased estimates of manufacturing energy consumption.</w:t>
      </w:r>
      <w:r w:rsidR="00CC4AEE" w:rsidRPr="00285868">
        <w:rPr>
          <w:sz w:val="18"/>
          <w:szCs w:val="18"/>
        </w:rPr>
        <w:t xml:space="preserve"> </w:t>
      </w:r>
      <w:r w:rsidR="00DF64EB" w:rsidRPr="00285868">
        <w:rPr>
          <w:sz w:val="18"/>
          <w:szCs w:val="18"/>
        </w:rPr>
        <w:t xml:space="preserve">Please note this survey is best completed by a Plant </w:t>
      </w:r>
      <w:r w:rsidR="00A13E1D">
        <w:rPr>
          <w:sz w:val="18"/>
          <w:szCs w:val="18"/>
        </w:rPr>
        <w:t xml:space="preserve">Manager </w:t>
      </w:r>
      <w:r w:rsidR="00DF64EB" w:rsidRPr="00285868">
        <w:rPr>
          <w:sz w:val="18"/>
          <w:szCs w:val="18"/>
        </w:rPr>
        <w:t>or Operations Manager.</w:t>
      </w:r>
      <w:r w:rsidR="00CC4AEE" w:rsidRPr="00285868">
        <w:rPr>
          <w:sz w:val="18"/>
          <w:szCs w:val="18"/>
        </w:rPr>
        <w:t xml:space="preserve">     </w:t>
      </w:r>
      <w:r w:rsidRPr="00285868">
        <w:rPr>
          <w:sz w:val="18"/>
          <w:szCs w:val="18"/>
        </w:rPr>
        <w:t xml:space="preserve"> </w:t>
      </w:r>
    </w:p>
    <w:p w14:paraId="522D3998" w14:textId="77777777" w:rsidR="00632763" w:rsidRPr="00285868" w:rsidRDefault="00632763" w:rsidP="0096581D">
      <w:pPr>
        <w:rPr>
          <w:sz w:val="18"/>
          <w:szCs w:val="18"/>
        </w:rPr>
      </w:pPr>
    </w:p>
    <w:p w14:paraId="2C075F93" w14:textId="048CF899" w:rsidR="00AC2FDD" w:rsidRPr="00285868" w:rsidRDefault="00350DB4" w:rsidP="0096581D">
      <w:pPr>
        <w:rPr>
          <w:sz w:val="18"/>
          <w:szCs w:val="18"/>
        </w:rPr>
      </w:pPr>
      <w:r w:rsidRPr="00285868">
        <w:rPr>
          <w:sz w:val="18"/>
          <w:szCs w:val="18"/>
        </w:rPr>
        <w:t xml:space="preserve">Based on </w:t>
      </w:r>
      <w:r w:rsidR="000F4BC3" w:rsidRPr="00285868">
        <w:rPr>
          <w:sz w:val="18"/>
          <w:szCs w:val="18"/>
        </w:rPr>
        <w:t>previous iterations of the MECS</w:t>
      </w:r>
      <w:r w:rsidRPr="00285868">
        <w:rPr>
          <w:sz w:val="18"/>
          <w:szCs w:val="18"/>
        </w:rPr>
        <w:t xml:space="preserve">, we have </w:t>
      </w:r>
      <w:r w:rsidR="00632763" w:rsidRPr="00285868">
        <w:rPr>
          <w:sz w:val="18"/>
          <w:szCs w:val="18"/>
        </w:rPr>
        <w:t xml:space="preserve">found that </w:t>
      </w:r>
      <w:r w:rsidR="00A13E1D">
        <w:rPr>
          <w:sz w:val="18"/>
          <w:szCs w:val="18"/>
        </w:rPr>
        <w:t>respondents</w:t>
      </w:r>
      <w:r w:rsidR="00A13E1D" w:rsidRPr="00285868">
        <w:rPr>
          <w:sz w:val="18"/>
          <w:szCs w:val="18"/>
        </w:rPr>
        <w:t xml:space="preserve"> </w:t>
      </w:r>
      <w:r w:rsidR="00632763" w:rsidRPr="00285868">
        <w:rPr>
          <w:sz w:val="18"/>
          <w:szCs w:val="18"/>
        </w:rPr>
        <w:t xml:space="preserve">prefer to answer the MECS </w:t>
      </w:r>
      <w:r w:rsidR="00AC2FDD" w:rsidRPr="00285868">
        <w:rPr>
          <w:sz w:val="18"/>
          <w:szCs w:val="18"/>
        </w:rPr>
        <w:t>using</w:t>
      </w:r>
      <w:r w:rsidR="00632763" w:rsidRPr="00285868">
        <w:rPr>
          <w:sz w:val="18"/>
          <w:szCs w:val="18"/>
        </w:rPr>
        <w:t xml:space="preserve"> our online reporting system, Centurion.</w:t>
      </w:r>
      <w:r w:rsidR="00CC4AEE" w:rsidRPr="00285868">
        <w:rPr>
          <w:sz w:val="18"/>
          <w:szCs w:val="18"/>
        </w:rPr>
        <w:t xml:space="preserve"> </w:t>
      </w:r>
      <w:r w:rsidR="00632763" w:rsidRPr="00285868">
        <w:rPr>
          <w:sz w:val="18"/>
          <w:szCs w:val="18"/>
        </w:rPr>
        <w:t xml:space="preserve">This reporting method is </w:t>
      </w:r>
      <w:r w:rsidR="002250C6" w:rsidRPr="00285868">
        <w:rPr>
          <w:sz w:val="18"/>
          <w:szCs w:val="18"/>
        </w:rPr>
        <w:t xml:space="preserve">fast, </w:t>
      </w:r>
      <w:r w:rsidR="00632763" w:rsidRPr="00285868">
        <w:rPr>
          <w:sz w:val="18"/>
          <w:szCs w:val="18"/>
        </w:rPr>
        <w:t xml:space="preserve">reliable, </w:t>
      </w:r>
      <w:r w:rsidR="002250C6" w:rsidRPr="00285868">
        <w:rPr>
          <w:sz w:val="18"/>
          <w:szCs w:val="18"/>
        </w:rPr>
        <w:t xml:space="preserve">and </w:t>
      </w:r>
      <w:r w:rsidR="00632763" w:rsidRPr="00285868">
        <w:rPr>
          <w:sz w:val="18"/>
          <w:szCs w:val="18"/>
        </w:rPr>
        <w:t>s</w:t>
      </w:r>
      <w:r w:rsidR="00C15E61">
        <w:rPr>
          <w:sz w:val="18"/>
          <w:szCs w:val="18"/>
        </w:rPr>
        <w:t>ecure</w:t>
      </w:r>
      <w:r w:rsidR="00632763" w:rsidRPr="00285868">
        <w:rPr>
          <w:sz w:val="18"/>
          <w:szCs w:val="18"/>
        </w:rPr>
        <w:t>.</w:t>
      </w:r>
      <w:r w:rsidR="00CC4AEE" w:rsidRPr="00285868">
        <w:rPr>
          <w:sz w:val="18"/>
          <w:szCs w:val="18"/>
        </w:rPr>
        <w:t xml:space="preserve"> </w:t>
      </w:r>
      <w:r w:rsidR="00AC2FDD" w:rsidRPr="00285868">
        <w:rPr>
          <w:sz w:val="18"/>
          <w:szCs w:val="18"/>
        </w:rPr>
        <w:t>We ask that individuals most familiar with the establishment’s energy systems and operations</w:t>
      </w:r>
      <w:r w:rsidR="00ED5EB3" w:rsidRPr="00285868">
        <w:rPr>
          <w:sz w:val="18"/>
          <w:szCs w:val="18"/>
        </w:rPr>
        <w:t>, such as a Plant Manage</w:t>
      </w:r>
      <w:r w:rsidR="00B8697A" w:rsidRPr="00285868">
        <w:rPr>
          <w:sz w:val="18"/>
          <w:szCs w:val="18"/>
        </w:rPr>
        <w:t>r</w:t>
      </w:r>
      <w:r w:rsidR="00ED5EB3" w:rsidRPr="00285868">
        <w:rPr>
          <w:sz w:val="18"/>
          <w:szCs w:val="18"/>
        </w:rPr>
        <w:t xml:space="preserve"> or Operations Manager,</w:t>
      </w:r>
      <w:r w:rsidR="00AC2FDD" w:rsidRPr="00285868">
        <w:rPr>
          <w:sz w:val="18"/>
          <w:szCs w:val="18"/>
        </w:rPr>
        <w:t xml:space="preserve"> complete the MECS. This person can complete the survey by:</w:t>
      </w:r>
    </w:p>
    <w:p w14:paraId="31EA5EB3" w14:textId="77777777" w:rsidR="00AC2FDD" w:rsidRPr="00285868" w:rsidRDefault="00AC2FDD" w:rsidP="0096581D">
      <w:pPr>
        <w:rPr>
          <w:sz w:val="18"/>
          <w:szCs w:val="18"/>
        </w:rPr>
      </w:pPr>
    </w:p>
    <w:p w14:paraId="073FB9C5" w14:textId="77777777" w:rsidR="00AC2FDD" w:rsidRPr="00285868" w:rsidRDefault="00AC2FDD" w:rsidP="0096581D">
      <w:pPr>
        <w:numPr>
          <w:ilvl w:val="0"/>
          <w:numId w:val="2"/>
        </w:numPr>
        <w:rPr>
          <w:sz w:val="18"/>
          <w:szCs w:val="18"/>
        </w:rPr>
      </w:pPr>
      <w:r w:rsidRPr="00285868">
        <w:rPr>
          <w:sz w:val="18"/>
          <w:szCs w:val="18"/>
        </w:rPr>
        <w:t xml:space="preserve">Going to </w:t>
      </w:r>
      <w:hyperlink r:id="rId9" w:history="1">
        <w:r w:rsidRPr="00285868">
          <w:rPr>
            <w:rStyle w:val="Hyperlink"/>
            <w:sz w:val="18"/>
            <w:szCs w:val="18"/>
          </w:rPr>
          <w:t>www.census.gov/econshelp/mecs</w:t>
        </w:r>
      </w:hyperlink>
      <w:r w:rsidRPr="00285868">
        <w:rPr>
          <w:sz w:val="18"/>
          <w:szCs w:val="18"/>
        </w:rPr>
        <w:t>. Click on the Centurion link.</w:t>
      </w:r>
    </w:p>
    <w:p w14:paraId="32C66BA5" w14:textId="77777777" w:rsidR="00AC2FDD" w:rsidRPr="00285868" w:rsidRDefault="00AC2FDD" w:rsidP="0096581D">
      <w:pPr>
        <w:numPr>
          <w:ilvl w:val="0"/>
          <w:numId w:val="2"/>
        </w:numPr>
        <w:rPr>
          <w:sz w:val="18"/>
          <w:szCs w:val="18"/>
        </w:rPr>
      </w:pPr>
      <w:r w:rsidRPr="00285868">
        <w:rPr>
          <w:sz w:val="18"/>
          <w:szCs w:val="18"/>
        </w:rPr>
        <w:t>Enter the given “User Name” and “User Password” found to the right of the label above and click “Submit.”</w:t>
      </w:r>
    </w:p>
    <w:p w14:paraId="011C71CF" w14:textId="77777777" w:rsidR="00AC2FDD" w:rsidRPr="00285868" w:rsidRDefault="00AC2FDD" w:rsidP="0096581D">
      <w:pPr>
        <w:numPr>
          <w:ilvl w:val="0"/>
          <w:numId w:val="2"/>
        </w:numPr>
        <w:rPr>
          <w:sz w:val="18"/>
          <w:szCs w:val="18"/>
        </w:rPr>
      </w:pPr>
      <w:r w:rsidRPr="00285868">
        <w:rPr>
          <w:sz w:val="18"/>
          <w:szCs w:val="18"/>
        </w:rPr>
        <w:t>Click the button of the respective establishment you want to complete.</w:t>
      </w:r>
    </w:p>
    <w:p w14:paraId="3B46D603" w14:textId="77777777" w:rsidR="00AC2FDD" w:rsidRPr="00285868" w:rsidRDefault="00AC2FDD" w:rsidP="0096581D">
      <w:pPr>
        <w:numPr>
          <w:ilvl w:val="0"/>
          <w:numId w:val="2"/>
        </w:numPr>
        <w:rPr>
          <w:sz w:val="18"/>
          <w:szCs w:val="18"/>
        </w:rPr>
      </w:pPr>
      <w:r w:rsidRPr="00285868">
        <w:rPr>
          <w:sz w:val="18"/>
          <w:szCs w:val="18"/>
        </w:rPr>
        <w:t xml:space="preserve">Click “Start Form.” </w:t>
      </w:r>
    </w:p>
    <w:p w14:paraId="278CF354" w14:textId="77777777" w:rsidR="00ED5EB3" w:rsidRPr="00285868" w:rsidRDefault="00ED5EB3" w:rsidP="00ED5EB3">
      <w:pPr>
        <w:ind w:left="720"/>
        <w:rPr>
          <w:sz w:val="18"/>
          <w:szCs w:val="18"/>
        </w:rPr>
      </w:pPr>
    </w:p>
    <w:p w14:paraId="655FB255" w14:textId="6D7C93D4" w:rsidR="0015015F" w:rsidRPr="00285868" w:rsidRDefault="00484899" w:rsidP="0096581D">
      <w:pPr>
        <w:rPr>
          <w:sz w:val="18"/>
          <w:szCs w:val="18"/>
        </w:rPr>
      </w:pPr>
      <w:r>
        <w:rPr>
          <w:sz w:val="18"/>
          <w:szCs w:val="18"/>
        </w:rPr>
        <w:t xml:space="preserve">EIA </w:t>
      </w:r>
      <w:r w:rsidR="00285868" w:rsidRPr="00285868">
        <w:rPr>
          <w:sz w:val="18"/>
          <w:szCs w:val="18"/>
        </w:rPr>
        <w:t>estimate</w:t>
      </w:r>
      <w:r>
        <w:rPr>
          <w:sz w:val="18"/>
          <w:szCs w:val="18"/>
        </w:rPr>
        <w:t>s</w:t>
      </w:r>
      <w:r w:rsidR="00285868" w:rsidRPr="00285868">
        <w:rPr>
          <w:sz w:val="18"/>
          <w:szCs w:val="18"/>
        </w:rPr>
        <w:t xml:space="preserve"> it will take approximately 9.2 hours to complete your survey, but ma</w:t>
      </w:r>
      <w:r w:rsidR="00285868">
        <w:rPr>
          <w:sz w:val="18"/>
          <w:szCs w:val="18"/>
        </w:rPr>
        <w:t>y</w:t>
      </w:r>
      <w:r w:rsidR="00285868" w:rsidRPr="00285868">
        <w:rPr>
          <w:sz w:val="18"/>
          <w:szCs w:val="18"/>
        </w:rPr>
        <w:t xml:space="preserve"> take less time if it’s completed on</w:t>
      </w:r>
      <w:r w:rsidR="00D90166">
        <w:rPr>
          <w:sz w:val="18"/>
          <w:szCs w:val="18"/>
        </w:rPr>
        <w:t>-</w:t>
      </w:r>
      <w:r w:rsidR="00285868" w:rsidRPr="00285868">
        <w:rPr>
          <w:sz w:val="18"/>
          <w:szCs w:val="18"/>
        </w:rPr>
        <w:t xml:space="preserve">line using </w:t>
      </w:r>
      <w:r w:rsidR="00A13E1D">
        <w:rPr>
          <w:sz w:val="18"/>
          <w:szCs w:val="18"/>
        </w:rPr>
        <w:t xml:space="preserve">the </w:t>
      </w:r>
      <w:r w:rsidR="00285868" w:rsidRPr="00285868">
        <w:rPr>
          <w:sz w:val="18"/>
          <w:szCs w:val="18"/>
        </w:rPr>
        <w:t>Centurion</w:t>
      </w:r>
      <w:r w:rsidR="00A13E1D">
        <w:rPr>
          <w:sz w:val="18"/>
          <w:szCs w:val="18"/>
        </w:rPr>
        <w:t xml:space="preserve"> online reporting system</w:t>
      </w:r>
      <w:r w:rsidR="00285868" w:rsidRPr="00285868">
        <w:rPr>
          <w:sz w:val="18"/>
          <w:szCs w:val="18"/>
        </w:rPr>
        <w:t xml:space="preserve">. </w:t>
      </w:r>
      <w:r w:rsidR="00CC4AEE" w:rsidRPr="00285868">
        <w:rPr>
          <w:sz w:val="18"/>
          <w:szCs w:val="18"/>
        </w:rPr>
        <w:t>I</w:t>
      </w:r>
      <w:r w:rsidR="0015015F" w:rsidRPr="00285868">
        <w:rPr>
          <w:sz w:val="18"/>
          <w:szCs w:val="18"/>
        </w:rPr>
        <w:t xml:space="preserve">nstructions on how to complete your </w:t>
      </w:r>
      <w:r w:rsidR="00630488" w:rsidRPr="00285868">
        <w:rPr>
          <w:sz w:val="18"/>
          <w:szCs w:val="18"/>
        </w:rPr>
        <w:t>2018</w:t>
      </w:r>
      <w:r w:rsidR="0015015F" w:rsidRPr="00285868">
        <w:rPr>
          <w:sz w:val="18"/>
          <w:szCs w:val="18"/>
        </w:rPr>
        <w:t xml:space="preserve"> MECS are located on the yellow flier enclosed with this letter.</w:t>
      </w:r>
    </w:p>
    <w:p w14:paraId="23495866" w14:textId="77777777" w:rsidR="00632763" w:rsidRPr="00285868" w:rsidRDefault="00632763" w:rsidP="0096581D">
      <w:pPr>
        <w:ind w:left="720"/>
        <w:rPr>
          <w:sz w:val="18"/>
          <w:szCs w:val="18"/>
        </w:rPr>
      </w:pPr>
    </w:p>
    <w:p w14:paraId="4FD0FBA6" w14:textId="5F40143D" w:rsidR="00632763" w:rsidRPr="00285868" w:rsidRDefault="00632763" w:rsidP="0096581D">
      <w:pPr>
        <w:pStyle w:val="BodyText2"/>
        <w:spacing w:after="0" w:line="240" w:lineRule="auto"/>
        <w:rPr>
          <w:sz w:val="18"/>
          <w:szCs w:val="18"/>
        </w:rPr>
      </w:pPr>
      <w:r w:rsidRPr="00285868">
        <w:rPr>
          <w:sz w:val="18"/>
          <w:szCs w:val="18"/>
        </w:rPr>
        <w:t xml:space="preserve">If you have questions concerning the MECS, </w:t>
      </w:r>
      <w:r w:rsidR="00A13E1D">
        <w:rPr>
          <w:sz w:val="18"/>
          <w:szCs w:val="18"/>
        </w:rPr>
        <w:t xml:space="preserve">please </w:t>
      </w:r>
      <w:r w:rsidRPr="00285868">
        <w:rPr>
          <w:sz w:val="18"/>
          <w:szCs w:val="18"/>
        </w:rPr>
        <w:t xml:space="preserve">go to </w:t>
      </w:r>
      <w:hyperlink r:id="rId10" w:history="1">
        <w:r w:rsidR="00BF74C8" w:rsidRPr="00285868">
          <w:rPr>
            <w:rStyle w:val="Hyperlink"/>
            <w:sz w:val="18"/>
            <w:szCs w:val="18"/>
          </w:rPr>
          <w:t>www.census.gov/econhelp/mecs</w:t>
        </w:r>
      </w:hyperlink>
      <w:r w:rsidRPr="00285868">
        <w:rPr>
          <w:sz w:val="18"/>
          <w:szCs w:val="18"/>
        </w:rPr>
        <w:t xml:space="preserve"> to access on-line services, find answers about the survey, and get tips on how to use Centurion.</w:t>
      </w:r>
      <w:r w:rsidR="00CC4AEE" w:rsidRPr="00285868">
        <w:rPr>
          <w:sz w:val="18"/>
          <w:szCs w:val="18"/>
        </w:rPr>
        <w:t xml:space="preserve"> </w:t>
      </w:r>
      <w:r w:rsidRPr="00285868">
        <w:rPr>
          <w:sz w:val="18"/>
          <w:szCs w:val="18"/>
        </w:rPr>
        <w:t>If you cannot find an answer on the help site, call 1-800-528-3049, Monday through Friday between 8:30 a.m. to 5:00 p.m. Eastern Standard Time.</w:t>
      </w:r>
    </w:p>
    <w:p w14:paraId="1F52EACB" w14:textId="77777777" w:rsidR="00ED5EB3" w:rsidRPr="00285868" w:rsidRDefault="00ED5EB3" w:rsidP="0096581D">
      <w:pPr>
        <w:pStyle w:val="BodyText2"/>
        <w:spacing w:after="0" w:line="240" w:lineRule="auto"/>
        <w:rPr>
          <w:sz w:val="18"/>
          <w:szCs w:val="18"/>
        </w:rPr>
      </w:pPr>
    </w:p>
    <w:p w14:paraId="66FE95C8" w14:textId="75474D77" w:rsidR="00632763" w:rsidRPr="0008173B" w:rsidRDefault="00D46CB6" w:rsidP="0096581D">
      <w:pPr>
        <w:rPr>
          <w:sz w:val="18"/>
          <w:szCs w:val="18"/>
        </w:rPr>
      </w:pPr>
      <w:r w:rsidRPr="0008173B">
        <w:rPr>
          <w:sz w:val="18"/>
          <w:szCs w:val="18"/>
        </w:rPr>
        <w:t>Remember, t</w:t>
      </w:r>
      <w:r w:rsidR="00632763" w:rsidRPr="0008173B">
        <w:rPr>
          <w:sz w:val="18"/>
          <w:szCs w:val="18"/>
        </w:rPr>
        <w:t xml:space="preserve">his survey is </w:t>
      </w:r>
      <w:r w:rsidR="00632763" w:rsidRPr="0008173B">
        <w:rPr>
          <w:b/>
          <w:sz w:val="18"/>
          <w:szCs w:val="18"/>
        </w:rPr>
        <w:t>mandatory</w:t>
      </w:r>
      <w:r w:rsidR="00632763" w:rsidRPr="0008173B">
        <w:rPr>
          <w:sz w:val="18"/>
          <w:szCs w:val="18"/>
        </w:rPr>
        <w:t xml:space="preserve"> under</w:t>
      </w:r>
      <w:r w:rsidR="00860089" w:rsidRPr="007922AD">
        <w:rPr>
          <w:spacing w:val="6"/>
          <w:sz w:val="18"/>
          <w:szCs w:val="18"/>
        </w:rPr>
        <w:t xml:space="preserve"> 15 U.S.C. §772. EIA is </w:t>
      </w:r>
      <w:r w:rsidR="006633FC">
        <w:rPr>
          <w:spacing w:val="6"/>
          <w:sz w:val="18"/>
          <w:szCs w:val="18"/>
        </w:rPr>
        <w:t>required</w:t>
      </w:r>
      <w:r w:rsidR="00860089" w:rsidRPr="007922AD">
        <w:rPr>
          <w:spacing w:val="6"/>
          <w:sz w:val="18"/>
          <w:szCs w:val="18"/>
        </w:rPr>
        <w:t xml:space="preserve"> to conduct this survey pursuant to 42 U.S.C. §7135(i</w:t>
      </w:r>
      <w:r w:rsidR="00860089" w:rsidRPr="007922AD">
        <w:rPr>
          <w:b/>
          <w:spacing w:val="6"/>
          <w:sz w:val="18"/>
          <w:szCs w:val="18"/>
        </w:rPr>
        <w:t>). Failure to respond may result in fines and other penalties under 15 U.S.C. §797</w:t>
      </w:r>
      <w:r w:rsidR="00722DA0">
        <w:rPr>
          <w:b/>
          <w:spacing w:val="6"/>
          <w:sz w:val="18"/>
          <w:szCs w:val="18"/>
        </w:rPr>
        <w:t xml:space="preserve">.  </w:t>
      </w:r>
      <w:r w:rsidR="00632763" w:rsidRPr="0008173B">
        <w:rPr>
          <w:sz w:val="18"/>
          <w:szCs w:val="18"/>
        </w:rPr>
        <w:t xml:space="preserve">Under </w:t>
      </w:r>
      <w:r w:rsidR="00484899">
        <w:rPr>
          <w:sz w:val="18"/>
          <w:szCs w:val="18"/>
        </w:rPr>
        <w:t>13 U.S.C. §9</w:t>
      </w:r>
      <w:r w:rsidR="00C30459">
        <w:rPr>
          <w:sz w:val="18"/>
          <w:szCs w:val="18"/>
        </w:rPr>
        <w:t>,</w:t>
      </w:r>
      <w:r w:rsidR="00632763" w:rsidRPr="0008173B">
        <w:rPr>
          <w:sz w:val="18"/>
          <w:szCs w:val="18"/>
        </w:rPr>
        <w:t xml:space="preserve"> your report to the Census Bureau may be seen only by persons sworn to uphold the confidentiality of Census Bureau information and may be used only for statistical purposes.</w:t>
      </w:r>
      <w:r w:rsidR="00CC4AEE" w:rsidRPr="0008173B">
        <w:rPr>
          <w:sz w:val="18"/>
          <w:szCs w:val="18"/>
        </w:rPr>
        <w:t xml:space="preserve"> </w:t>
      </w:r>
      <w:r w:rsidR="00632763" w:rsidRPr="0008173B">
        <w:rPr>
          <w:sz w:val="18"/>
          <w:szCs w:val="18"/>
        </w:rPr>
        <w:t>No data are published that could reveal the identity or activities of any specific individual or firm. Further, copies retained in respondents’ files are immune from legal process.</w:t>
      </w:r>
    </w:p>
    <w:p w14:paraId="4FC50B06" w14:textId="77777777" w:rsidR="00632763" w:rsidRPr="00285868" w:rsidRDefault="00632763" w:rsidP="0096581D">
      <w:pPr>
        <w:rPr>
          <w:sz w:val="18"/>
          <w:szCs w:val="18"/>
        </w:rPr>
      </w:pPr>
    </w:p>
    <w:p w14:paraId="5544B833" w14:textId="77777777" w:rsidR="00632763" w:rsidRPr="00285868" w:rsidRDefault="000F4BC3" w:rsidP="0096581D">
      <w:pPr>
        <w:rPr>
          <w:sz w:val="18"/>
          <w:szCs w:val="18"/>
        </w:rPr>
      </w:pPr>
      <w:r w:rsidRPr="00285868">
        <w:rPr>
          <w:sz w:val="18"/>
          <w:szCs w:val="18"/>
        </w:rPr>
        <w:t>On behalf of the Census Bureau and the U.S. Energy Information Administration, t</w:t>
      </w:r>
      <w:r w:rsidR="00632763" w:rsidRPr="00285868">
        <w:rPr>
          <w:sz w:val="18"/>
          <w:szCs w:val="18"/>
        </w:rPr>
        <w:t>hank you very much for your assistance in this important project.</w:t>
      </w:r>
    </w:p>
    <w:p w14:paraId="485B6042" w14:textId="77777777" w:rsidR="00632763" w:rsidRPr="00285868" w:rsidRDefault="00632763" w:rsidP="0096581D">
      <w:pPr>
        <w:rPr>
          <w:sz w:val="18"/>
          <w:szCs w:val="18"/>
        </w:rPr>
      </w:pPr>
    </w:p>
    <w:p w14:paraId="748894BF" w14:textId="77777777" w:rsidR="00632763" w:rsidRPr="00285868" w:rsidRDefault="00632763" w:rsidP="0096581D">
      <w:pPr>
        <w:rPr>
          <w:sz w:val="18"/>
          <w:szCs w:val="18"/>
        </w:rPr>
      </w:pPr>
      <w:r w:rsidRPr="00285868">
        <w:rPr>
          <w:sz w:val="18"/>
          <w:szCs w:val="18"/>
        </w:rPr>
        <w:t>Sincerely,</w:t>
      </w:r>
    </w:p>
    <w:p w14:paraId="36BF5C3F" w14:textId="77777777" w:rsidR="00632763" w:rsidRDefault="00632763" w:rsidP="0096581D">
      <w:pPr>
        <w:rPr>
          <w:sz w:val="18"/>
          <w:szCs w:val="18"/>
        </w:rPr>
      </w:pPr>
    </w:p>
    <w:p w14:paraId="14AA13E2" w14:textId="77777777" w:rsidR="00285868" w:rsidRPr="00285868" w:rsidRDefault="00285868" w:rsidP="0096581D">
      <w:pPr>
        <w:rPr>
          <w:sz w:val="18"/>
          <w:szCs w:val="18"/>
        </w:rPr>
      </w:pPr>
    </w:p>
    <w:p w14:paraId="28579005" w14:textId="77777777" w:rsidR="00632763" w:rsidRPr="00285868" w:rsidRDefault="00632763" w:rsidP="0096581D">
      <w:pPr>
        <w:rPr>
          <w:sz w:val="18"/>
          <w:szCs w:val="18"/>
        </w:rPr>
      </w:pPr>
    </w:p>
    <w:p w14:paraId="423CDB92" w14:textId="77777777" w:rsidR="00632763" w:rsidRPr="00285868" w:rsidRDefault="00183394" w:rsidP="0096581D">
      <w:pPr>
        <w:rPr>
          <w:sz w:val="18"/>
          <w:szCs w:val="18"/>
        </w:rPr>
      </w:pPr>
      <w:r w:rsidRPr="00285868">
        <w:rPr>
          <w:sz w:val="18"/>
          <w:szCs w:val="18"/>
        </w:rPr>
        <w:t>Nick Orsini</w:t>
      </w:r>
      <w:r w:rsidR="00632763" w:rsidRPr="00285868">
        <w:rPr>
          <w:sz w:val="18"/>
          <w:szCs w:val="18"/>
        </w:rPr>
        <w:t xml:space="preserve"> </w:t>
      </w:r>
      <w:r w:rsidR="00632763" w:rsidRPr="00285868">
        <w:rPr>
          <w:sz w:val="18"/>
          <w:szCs w:val="18"/>
        </w:rPr>
        <w:tab/>
      </w:r>
      <w:r w:rsidR="00632763" w:rsidRPr="00285868">
        <w:rPr>
          <w:sz w:val="18"/>
          <w:szCs w:val="18"/>
        </w:rPr>
        <w:tab/>
      </w:r>
      <w:r w:rsidR="00632763" w:rsidRPr="00285868">
        <w:rPr>
          <w:sz w:val="18"/>
          <w:szCs w:val="18"/>
        </w:rPr>
        <w:tab/>
      </w:r>
      <w:r w:rsidR="00632763" w:rsidRPr="00285868">
        <w:rPr>
          <w:sz w:val="18"/>
          <w:szCs w:val="18"/>
        </w:rPr>
        <w:tab/>
      </w:r>
      <w:r w:rsidR="00264DE7" w:rsidRPr="00285868">
        <w:rPr>
          <w:sz w:val="18"/>
          <w:szCs w:val="18"/>
        </w:rPr>
        <w:tab/>
      </w:r>
      <w:r w:rsidR="00632763" w:rsidRPr="00285868">
        <w:rPr>
          <w:sz w:val="18"/>
          <w:szCs w:val="18"/>
        </w:rPr>
        <w:t>Thomas Leckey</w:t>
      </w:r>
      <w:r w:rsidR="00632763" w:rsidRPr="00285868">
        <w:rPr>
          <w:sz w:val="18"/>
          <w:szCs w:val="18"/>
        </w:rPr>
        <w:tab/>
      </w:r>
      <w:r w:rsidR="00632763" w:rsidRPr="00285868">
        <w:rPr>
          <w:sz w:val="18"/>
          <w:szCs w:val="18"/>
        </w:rPr>
        <w:tab/>
      </w:r>
      <w:r w:rsidR="00632763" w:rsidRPr="00285868">
        <w:rPr>
          <w:sz w:val="18"/>
          <w:szCs w:val="18"/>
        </w:rPr>
        <w:tab/>
      </w:r>
      <w:r w:rsidR="00632763" w:rsidRPr="00285868">
        <w:rPr>
          <w:sz w:val="18"/>
          <w:szCs w:val="18"/>
        </w:rPr>
        <w:tab/>
      </w:r>
      <w:r w:rsidR="00632763" w:rsidRPr="00285868">
        <w:rPr>
          <w:sz w:val="18"/>
          <w:szCs w:val="18"/>
        </w:rPr>
        <w:tab/>
      </w:r>
    </w:p>
    <w:p w14:paraId="33C03C04" w14:textId="32B8219C" w:rsidR="00632763" w:rsidRDefault="00264DE7" w:rsidP="0096581D">
      <w:pPr>
        <w:rPr>
          <w:sz w:val="18"/>
          <w:szCs w:val="18"/>
        </w:rPr>
      </w:pPr>
      <w:r w:rsidRPr="00285868">
        <w:rPr>
          <w:sz w:val="18"/>
          <w:szCs w:val="18"/>
        </w:rPr>
        <w:t xml:space="preserve">Chief, </w:t>
      </w:r>
      <w:r w:rsidR="00183394" w:rsidRPr="00285868">
        <w:rPr>
          <w:sz w:val="18"/>
          <w:szCs w:val="18"/>
        </w:rPr>
        <w:t>Economic Reimbursable Division</w:t>
      </w:r>
      <w:r w:rsidR="00183394" w:rsidRPr="00285868">
        <w:rPr>
          <w:sz w:val="18"/>
          <w:szCs w:val="18"/>
        </w:rPr>
        <w:tab/>
      </w:r>
      <w:r w:rsidRPr="00285868">
        <w:rPr>
          <w:sz w:val="18"/>
          <w:szCs w:val="18"/>
        </w:rPr>
        <w:tab/>
      </w:r>
      <w:r w:rsidR="00632763" w:rsidRPr="00285868">
        <w:rPr>
          <w:sz w:val="18"/>
          <w:szCs w:val="18"/>
        </w:rPr>
        <w:t xml:space="preserve">Director, Office of Energy Consumption &amp; Efficiency Statistics </w:t>
      </w:r>
      <w:r w:rsidR="0008173B">
        <w:rPr>
          <w:sz w:val="18"/>
          <w:szCs w:val="18"/>
        </w:rPr>
        <w:t xml:space="preserve">           </w:t>
      </w:r>
      <w:r w:rsidR="00632763" w:rsidRPr="00285868">
        <w:rPr>
          <w:sz w:val="18"/>
          <w:szCs w:val="18"/>
        </w:rPr>
        <w:t>U.S. Census Bureau</w:t>
      </w:r>
      <w:r w:rsidR="00632763" w:rsidRPr="00285868">
        <w:rPr>
          <w:sz w:val="18"/>
          <w:szCs w:val="18"/>
        </w:rPr>
        <w:tab/>
      </w:r>
      <w:r w:rsidR="00632763" w:rsidRPr="00285868">
        <w:rPr>
          <w:sz w:val="18"/>
          <w:szCs w:val="18"/>
        </w:rPr>
        <w:tab/>
      </w:r>
      <w:r w:rsidR="00632763" w:rsidRPr="00285868">
        <w:rPr>
          <w:sz w:val="18"/>
          <w:szCs w:val="18"/>
        </w:rPr>
        <w:tab/>
      </w:r>
      <w:r w:rsidR="00632763" w:rsidRPr="00285868">
        <w:rPr>
          <w:sz w:val="18"/>
          <w:szCs w:val="18"/>
        </w:rPr>
        <w:tab/>
        <w:t>U.S. Energy Information Administration</w:t>
      </w:r>
    </w:p>
    <w:p w14:paraId="7F5C5807" w14:textId="77777777" w:rsidR="00285868" w:rsidRPr="00285868" w:rsidRDefault="00285868" w:rsidP="0096581D">
      <w:pPr>
        <w:rPr>
          <w:sz w:val="18"/>
          <w:szCs w:val="18"/>
        </w:rPr>
      </w:pPr>
    </w:p>
    <w:p w14:paraId="70CB4655" w14:textId="77777777" w:rsidR="00632763" w:rsidRPr="00285868" w:rsidRDefault="00632763" w:rsidP="00CA5FF6">
      <w:pPr>
        <w:rPr>
          <w:sz w:val="18"/>
          <w:szCs w:val="18"/>
        </w:rPr>
      </w:pPr>
      <w:r w:rsidRPr="00285868">
        <w:rPr>
          <w:sz w:val="18"/>
          <w:szCs w:val="18"/>
        </w:rPr>
        <w:tab/>
      </w:r>
      <w:r w:rsidRPr="00285868">
        <w:rPr>
          <w:sz w:val="18"/>
          <w:szCs w:val="18"/>
        </w:rPr>
        <w:tab/>
      </w:r>
      <w:r w:rsidRPr="00285868">
        <w:rPr>
          <w:sz w:val="18"/>
          <w:szCs w:val="18"/>
        </w:rPr>
        <w:tab/>
      </w:r>
      <w:r w:rsidRPr="00285868">
        <w:rPr>
          <w:sz w:val="18"/>
          <w:szCs w:val="18"/>
        </w:rPr>
        <w:tab/>
      </w:r>
    </w:p>
    <w:p w14:paraId="415625C3" w14:textId="77777777" w:rsidR="00EC6289" w:rsidRPr="00285868" w:rsidRDefault="00632763" w:rsidP="00CA5FF6">
      <w:pPr>
        <w:pStyle w:val="BodyText2"/>
        <w:spacing w:after="0" w:line="240" w:lineRule="auto"/>
        <w:rPr>
          <w:sz w:val="18"/>
          <w:szCs w:val="18"/>
        </w:rPr>
      </w:pPr>
      <w:r w:rsidRPr="00285868">
        <w:rPr>
          <w:sz w:val="18"/>
          <w:szCs w:val="18"/>
        </w:rPr>
        <w:t>Please reply to: U.S. Census Bureau, 1201 East Tenth Street, Jeffersonville, IN 47134-0001.</w:t>
      </w:r>
    </w:p>
    <w:sectPr w:rsidR="00EC6289" w:rsidRPr="00285868" w:rsidSect="00CA5FF6">
      <w:headerReference w:type="default" r:id="rId11"/>
      <w:pgSz w:w="12240" w:h="15840" w:code="1"/>
      <w:pgMar w:top="1440" w:right="120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B4E6D" w14:textId="77777777" w:rsidR="00E12FB5" w:rsidRDefault="00E12FB5" w:rsidP="00975A12">
      <w:r>
        <w:separator/>
      </w:r>
    </w:p>
  </w:endnote>
  <w:endnote w:type="continuationSeparator" w:id="0">
    <w:p w14:paraId="57393B23" w14:textId="77777777" w:rsidR="00E12FB5" w:rsidRDefault="00E12FB5" w:rsidP="0097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EB518" w14:textId="77777777" w:rsidR="00E12FB5" w:rsidRDefault="00E12FB5" w:rsidP="00975A12">
      <w:r>
        <w:separator/>
      </w:r>
    </w:p>
  </w:footnote>
  <w:footnote w:type="continuationSeparator" w:id="0">
    <w:p w14:paraId="66E6B3E2" w14:textId="77777777" w:rsidR="00E12FB5" w:rsidRDefault="00E12FB5" w:rsidP="00975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D1E0C" w14:textId="2817754F" w:rsidR="00CA5FF6" w:rsidRPr="00CA5FF6" w:rsidRDefault="003334D0" w:rsidP="00CA5FF6">
    <w:pPr>
      <w:tabs>
        <w:tab w:val="left" w:pos="4670"/>
      </w:tabs>
      <w:spacing w:before="4"/>
      <w:ind w:firstLine="4320"/>
      <w:jc w:val="right"/>
      <w:rPr>
        <w:rFonts w:ascii="Arial" w:hAnsi="Arial" w:cs="Arial"/>
        <w:b/>
        <w:bCs/>
        <w:sz w:val="20"/>
        <w:szCs w:val="20"/>
      </w:rPr>
    </w:pPr>
    <w:r w:rsidRPr="00CA5FF6"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5D32BD6" wp14:editId="04897343">
              <wp:simplePos x="0" y="0"/>
              <wp:positionH relativeFrom="page">
                <wp:posOffset>3745230</wp:posOffset>
              </wp:positionH>
              <wp:positionV relativeFrom="paragraph">
                <wp:posOffset>-59690</wp:posOffset>
              </wp:positionV>
              <wp:extent cx="309245" cy="787400"/>
              <wp:effectExtent l="0" t="0" r="0" b="12700"/>
              <wp:wrapNone/>
              <wp:docPr id="113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245" cy="787400"/>
                        <a:chOff x="6475" y="-94"/>
                        <a:chExt cx="2" cy="1440"/>
                      </a:xfrm>
                    </wpg:grpSpPr>
                    <wps:wsp>
                      <wps:cNvPr id="115" name="Freeform 116"/>
                      <wps:cNvSpPr>
                        <a:spLocks/>
                      </wps:cNvSpPr>
                      <wps:spPr bwMode="auto">
                        <a:xfrm>
                          <a:off x="6475" y="-94"/>
                          <a:ext cx="2" cy="1440"/>
                        </a:xfrm>
                        <a:custGeom>
                          <a:avLst/>
                          <a:gdLst>
                            <a:gd name="T0" fmla="+- 0 -94 -94"/>
                            <a:gd name="T1" fmla="*/ -94 h 1440"/>
                            <a:gd name="T2" fmla="+- 0 1346 -94"/>
                            <a:gd name="T3" fmla="*/ 1346 h 144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440">
                              <a:moveTo>
                                <a:pt x="0" y="0"/>
                              </a:moveTo>
                              <a:lnTo>
                                <a:pt x="0" y="144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B15CAE6" id="Group 115" o:spid="_x0000_s1026" style="position:absolute;margin-left:294.9pt;margin-top:-4.7pt;width:24.35pt;height:62pt;z-index:251657728;mso-position-horizontal-relative:page" coordorigin="6475,-94" coordsize="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">
              <v:shape id="Freeform 116" o:spid="_x0000_s1027" style="position:absolute;left:6475;top:-94;width:2;height:1440;visibility:visible;mso-wrap-style:square;v-text-anchor:top" coordsize="2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7w8IA&#10;AADcAAAADwAAAGRycy9kb3ducmV2LnhtbERPS2vCQBC+C/0PyxS86SbFSkldQ2kRi5CD0d6H7JgE&#10;s7NpdvOov75bKHibj+85m3QyjRioc7VlBfEyAkFcWF1zqeB82i1eQDiPrLGxTAp+yEG6fZhtMNF2&#10;5CMNuS9FCGGXoILK+zaR0hUVGXRL2xIH7mI7gz7ArpS6wzGEm0Y+RdFaGqw5NFTY0ntFxTXvjYJM&#10;3r4PsbzuVx/Z5exHQ19D3Ss1f5zeXkF4mvxd/O/+1GF+/Ax/z4QL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4bvDwgAAANwAAAAPAAAAAAAAAAAAAAAAAJgCAABkcnMvZG93&#10;bnJldi54bWxQSwUGAAAAAAQABAD1AAAAhwMAAAAA&#10;" path="m,l,1440e" filled="f" strokecolor="#231f20" strokeweight=".17569mm">
                <v:path arrowok="t" o:connecttype="custom" o:connectlocs="0,-94;0,1346" o:connectangles="0,0"/>
              </v:shape>
              <w10:wrap anchorx="page"/>
            </v:group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61455E5F" wp14:editId="63F13703">
          <wp:simplePos x="0" y="0"/>
          <wp:positionH relativeFrom="column">
            <wp:posOffset>-698500</wp:posOffset>
          </wp:positionH>
          <wp:positionV relativeFrom="paragraph">
            <wp:posOffset>-120650</wp:posOffset>
          </wp:positionV>
          <wp:extent cx="3224530" cy="657225"/>
          <wp:effectExtent l="0" t="0" r="0" b="9525"/>
          <wp:wrapSquare wrapText="bothSides"/>
          <wp:docPr id="8" name="Picture 2" descr="http://inside.eia.gov/content_OC/eia_logos/large%20full%20EIA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side.eia.gov/content_OC/eia_logos/large%20full%20EIA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453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mecs1lp1_10"/>
    <w:bookmarkEnd w:id="1"/>
    <w:r w:rsidR="00CA5FF6" w:rsidRPr="00CA5FF6">
      <w:rPr>
        <w:rFonts w:ascii="Arial" w:hAnsi="Arial" w:cs="Arial"/>
        <w:color w:val="231F20"/>
        <w:w w:val="110"/>
        <w:sz w:val="20"/>
        <w:szCs w:val="20"/>
      </w:rPr>
      <w:t>UNITED</w:t>
    </w:r>
    <w:r w:rsidR="00CA5FF6" w:rsidRPr="00CA5FF6">
      <w:rPr>
        <w:rFonts w:ascii="Arial" w:hAnsi="Arial" w:cs="Arial"/>
        <w:color w:val="231F20"/>
        <w:spacing w:val="5"/>
        <w:w w:val="110"/>
        <w:sz w:val="20"/>
        <w:szCs w:val="20"/>
      </w:rPr>
      <w:t xml:space="preserve"> </w:t>
    </w:r>
    <w:r w:rsidR="00CA5FF6" w:rsidRPr="00CA5FF6">
      <w:rPr>
        <w:rFonts w:ascii="Arial" w:hAnsi="Arial" w:cs="Arial"/>
        <w:color w:val="231F20"/>
        <w:w w:val="110"/>
        <w:sz w:val="20"/>
        <w:szCs w:val="20"/>
      </w:rPr>
      <w:t>STATES</w:t>
    </w:r>
    <w:r w:rsidR="00CA5FF6" w:rsidRPr="00CA5FF6">
      <w:rPr>
        <w:rFonts w:ascii="Arial" w:hAnsi="Arial" w:cs="Arial"/>
        <w:color w:val="231F20"/>
        <w:spacing w:val="6"/>
        <w:w w:val="110"/>
        <w:sz w:val="20"/>
        <w:szCs w:val="20"/>
      </w:rPr>
      <w:t xml:space="preserve"> </w:t>
    </w:r>
    <w:r w:rsidR="00CA5FF6" w:rsidRPr="00CA5FF6">
      <w:rPr>
        <w:rFonts w:ascii="Arial" w:hAnsi="Arial" w:cs="Arial"/>
        <w:color w:val="231F20"/>
        <w:w w:val="110"/>
        <w:sz w:val="20"/>
        <w:szCs w:val="20"/>
      </w:rPr>
      <w:t>DEPARTMENT</w:t>
    </w:r>
    <w:r w:rsidR="00CA5FF6" w:rsidRPr="00CA5FF6">
      <w:rPr>
        <w:rFonts w:ascii="Arial" w:hAnsi="Arial" w:cs="Arial"/>
        <w:color w:val="231F20"/>
        <w:spacing w:val="6"/>
        <w:w w:val="110"/>
        <w:sz w:val="20"/>
        <w:szCs w:val="20"/>
      </w:rPr>
      <w:t xml:space="preserve"> </w:t>
    </w:r>
    <w:r w:rsidR="00CA5FF6" w:rsidRPr="00CA5FF6">
      <w:rPr>
        <w:rFonts w:ascii="Arial" w:hAnsi="Arial" w:cs="Arial"/>
        <w:color w:val="231F20"/>
        <w:w w:val="110"/>
        <w:sz w:val="20"/>
        <w:szCs w:val="20"/>
      </w:rPr>
      <w:t>OF</w:t>
    </w:r>
    <w:r w:rsidR="00CA5FF6" w:rsidRPr="00CA5FF6">
      <w:rPr>
        <w:rFonts w:ascii="Arial" w:hAnsi="Arial" w:cs="Arial"/>
        <w:color w:val="231F20"/>
        <w:spacing w:val="6"/>
        <w:w w:val="110"/>
        <w:sz w:val="20"/>
        <w:szCs w:val="20"/>
      </w:rPr>
      <w:t xml:space="preserve"> </w:t>
    </w:r>
    <w:r w:rsidR="00CA5FF6" w:rsidRPr="00CA5FF6">
      <w:rPr>
        <w:rFonts w:ascii="Arial" w:hAnsi="Arial" w:cs="Arial"/>
        <w:color w:val="231F20"/>
        <w:w w:val="110"/>
        <w:sz w:val="20"/>
        <w:szCs w:val="20"/>
      </w:rPr>
      <w:t>COMMERCE</w:t>
    </w:r>
  </w:p>
  <w:p w14:paraId="4386AC1E" w14:textId="77777777" w:rsidR="00CA5FF6" w:rsidRPr="00CA5FF6" w:rsidRDefault="00CA5FF6" w:rsidP="00CA5FF6">
    <w:pPr>
      <w:spacing w:before="8" w:line="204" w:lineRule="exact"/>
      <w:jc w:val="right"/>
      <w:rPr>
        <w:rFonts w:ascii="Arial" w:eastAsia="Arial" w:hAnsi="Arial" w:cs="Arial"/>
        <w:sz w:val="20"/>
        <w:szCs w:val="20"/>
      </w:rPr>
    </w:pPr>
    <w:r w:rsidRPr="00CA5FF6">
      <w:rPr>
        <w:rFonts w:ascii="Arial" w:hAnsi="Arial" w:cs="Arial"/>
        <w:b/>
        <w:color w:val="231F20"/>
        <w:w w:val="115"/>
        <w:sz w:val="20"/>
        <w:szCs w:val="20"/>
      </w:rPr>
      <w:t>Economics</w:t>
    </w:r>
    <w:r w:rsidRPr="00CA5FF6">
      <w:rPr>
        <w:rFonts w:ascii="Arial" w:hAnsi="Arial" w:cs="Arial"/>
        <w:b/>
        <w:color w:val="231F20"/>
        <w:spacing w:val="-10"/>
        <w:w w:val="115"/>
        <w:sz w:val="20"/>
        <w:szCs w:val="20"/>
      </w:rPr>
      <w:t xml:space="preserve"> </w:t>
    </w:r>
    <w:r w:rsidRPr="00CA5FF6">
      <w:rPr>
        <w:rFonts w:ascii="Arial" w:hAnsi="Arial" w:cs="Arial"/>
        <w:b/>
        <w:color w:val="231F20"/>
        <w:w w:val="115"/>
        <w:sz w:val="20"/>
        <w:szCs w:val="20"/>
      </w:rPr>
      <w:t>and</w:t>
    </w:r>
    <w:r w:rsidRPr="00CA5FF6">
      <w:rPr>
        <w:rFonts w:ascii="Arial" w:hAnsi="Arial" w:cs="Arial"/>
        <w:b/>
        <w:color w:val="231F20"/>
        <w:spacing w:val="-10"/>
        <w:w w:val="115"/>
        <w:sz w:val="20"/>
        <w:szCs w:val="20"/>
      </w:rPr>
      <w:t xml:space="preserve"> </w:t>
    </w:r>
    <w:r w:rsidRPr="00CA5FF6">
      <w:rPr>
        <w:rFonts w:ascii="Arial" w:hAnsi="Arial" w:cs="Arial"/>
        <w:b/>
        <w:color w:val="231F20"/>
        <w:w w:val="115"/>
        <w:sz w:val="20"/>
        <w:szCs w:val="20"/>
      </w:rPr>
      <w:t>Statistics</w:t>
    </w:r>
    <w:r w:rsidRPr="00CA5FF6">
      <w:rPr>
        <w:rFonts w:ascii="Arial" w:hAnsi="Arial" w:cs="Arial"/>
        <w:b/>
        <w:color w:val="231F20"/>
        <w:spacing w:val="-10"/>
        <w:w w:val="115"/>
        <w:sz w:val="20"/>
        <w:szCs w:val="20"/>
      </w:rPr>
      <w:t xml:space="preserve"> </w:t>
    </w:r>
    <w:r w:rsidRPr="00CA5FF6">
      <w:rPr>
        <w:rFonts w:ascii="Arial" w:hAnsi="Arial" w:cs="Arial"/>
        <w:b/>
        <w:color w:val="231F20"/>
        <w:w w:val="115"/>
        <w:sz w:val="20"/>
        <w:szCs w:val="20"/>
      </w:rPr>
      <w:t>Administration</w:t>
    </w:r>
  </w:p>
  <w:p w14:paraId="2085DB1C" w14:textId="77777777" w:rsidR="00CA5FF6" w:rsidRPr="00CA5FF6" w:rsidRDefault="00CA5FF6" w:rsidP="00CA5FF6">
    <w:pPr>
      <w:pStyle w:val="Heading3"/>
      <w:spacing w:line="227" w:lineRule="exact"/>
      <w:ind w:left="0"/>
      <w:jc w:val="right"/>
      <w:rPr>
        <w:rFonts w:cs="Arial"/>
        <w:color w:val="231F20"/>
        <w:w w:val="110"/>
      </w:rPr>
    </w:pPr>
    <w:r w:rsidRPr="00CA5FF6">
      <w:rPr>
        <w:rFonts w:cs="Arial"/>
        <w:color w:val="231F20"/>
        <w:w w:val="110"/>
      </w:rPr>
      <w:t>U.S.</w:t>
    </w:r>
    <w:r w:rsidRPr="00CA5FF6">
      <w:rPr>
        <w:rFonts w:cs="Arial"/>
        <w:color w:val="231F20"/>
        <w:spacing w:val="19"/>
        <w:w w:val="110"/>
      </w:rPr>
      <w:t xml:space="preserve"> </w:t>
    </w:r>
    <w:r w:rsidRPr="00CA5FF6">
      <w:rPr>
        <w:rFonts w:cs="Arial"/>
        <w:color w:val="231F20"/>
        <w:w w:val="110"/>
      </w:rPr>
      <w:t>Census</w:t>
    </w:r>
    <w:r w:rsidRPr="00CA5FF6">
      <w:rPr>
        <w:rFonts w:cs="Arial"/>
        <w:color w:val="231F20"/>
        <w:spacing w:val="19"/>
        <w:w w:val="110"/>
      </w:rPr>
      <w:t xml:space="preserve"> </w:t>
    </w:r>
    <w:r w:rsidRPr="00CA5FF6">
      <w:rPr>
        <w:rFonts w:cs="Arial"/>
        <w:color w:val="231F20"/>
        <w:w w:val="110"/>
      </w:rPr>
      <w:t>Bureau</w:t>
    </w:r>
  </w:p>
  <w:p w14:paraId="4A337D57" w14:textId="77777777" w:rsidR="00CA5FF6" w:rsidRDefault="00CA5FF6" w:rsidP="00CA5FF6">
    <w:pPr>
      <w:pStyle w:val="Heading3"/>
      <w:spacing w:line="227" w:lineRule="exact"/>
      <w:ind w:left="0"/>
      <w:jc w:val="right"/>
    </w:pPr>
    <w:r>
      <w:rPr>
        <w:color w:val="231F20"/>
        <w:spacing w:val="-1"/>
        <w:sz w:val="16"/>
      </w:rPr>
      <w:t xml:space="preserve">Washington, </w:t>
    </w:r>
    <w:r>
      <w:rPr>
        <w:color w:val="231F20"/>
        <w:sz w:val="16"/>
      </w:rPr>
      <w:t>DC</w:t>
    </w:r>
    <w:r>
      <w:rPr>
        <w:color w:val="231F20"/>
        <w:spacing w:val="-1"/>
        <w:sz w:val="16"/>
      </w:rPr>
      <w:t xml:space="preserve"> </w:t>
    </w:r>
    <w:r>
      <w:rPr>
        <w:color w:val="231F20"/>
        <w:sz w:val="16"/>
      </w:rPr>
      <w:t>20233-0001</w:t>
    </w:r>
  </w:p>
  <w:p w14:paraId="345C46FA" w14:textId="77777777" w:rsidR="00CA5FF6" w:rsidRDefault="00CA5FF6" w:rsidP="00CA5FF6">
    <w:pPr>
      <w:rPr>
        <w:sz w:val="20"/>
      </w:rPr>
    </w:pPr>
  </w:p>
  <w:p w14:paraId="531BAC87" w14:textId="77777777" w:rsidR="00975A12" w:rsidRDefault="00427D1C" w:rsidP="00CA5FF6">
    <w:pPr>
      <w:pStyle w:val="Header"/>
      <w:jc w:val="right"/>
    </w:pPr>
    <w:r>
      <w:rPr>
        <w:noProof/>
        <w:lang w:eastAsia="zh-TW"/>
      </w:rPr>
      <w:pict w14:anchorId="3D4254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5974614" o:spid="_x0000_s2050" type="#_x0000_t136" style="position:absolute;left:0;text-align:left;margin-left:0;margin-top:0;width:473.75pt;height:203pt;rotation:315;z-index:-251657728;mso-position-horizontal:center;mso-position-horizontal-relative:margin;mso-position-vertical:center;mso-position-vertical-relative:margin" o:allowincell="f" fillcolor="#bfbfbf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02CA0"/>
    <w:multiLevelType w:val="hybridMultilevel"/>
    <w:tmpl w:val="DB68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357C7"/>
    <w:multiLevelType w:val="hybridMultilevel"/>
    <w:tmpl w:val="A29A8204"/>
    <w:lvl w:ilvl="0" w:tplc="440E3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89"/>
    <w:rsid w:val="0008173B"/>
    <w:rsid w:val="00087342"/>
    <w:rsid w:val="000C72A9"/>
    <w:rsid w:val="000F35D9"/>
    <w:rsid w:val="000F4BC3"/>
    <w:rsid w:val="0015015F"/>
    <w:rsid w:val="00183394"/>
    <w:rsid w:val="001E2D08"/>
    <w:rsid w:val="002250C6"/>
    <w:rsid w:val="00264DE7"/>
    <w:rsid w:val="00275EF5"/>
    <w:rsid w:val="00285868"/>
    <w:rsid w:val="00292277"/>
    <w:rsid w:val="003334D0"/>
    <w:rsid w:val="00350DB4"/>
    <w:rsid w:val="00427D1C"/>
    <w:rsid w:val="00484899"/>
    <w:rsid w:val="00593ED6"/>
    <w:rsid w:val="00620460"/>
    <w:rsid w:val="00630488"/>
    <w:rsid w:val="00632763"/>
    <w:rsid w:val="006633FC"/>
    <w:rsid w:val="00722DA0"/>
    <w:rsid w:val="00764781"/>
    <w:rsid w:val="007922AD"/>
    <w:rsid w:val="007F752A"/>
    <w:rsid w:val="00812593"/>
    <w:rsid w:val="00812B6B"/>
    <w:rsid w:val="00860089"/>
    <w:rsid w:val="008A5000"/>
    <w:rsid w:val="008F5624"/>
    <w:rsid w:val="0096581D"/>
    <w:rsid w:val="00965F22"/>
    <w:rsid w:val="00975A12"/>
    <w:rsid w:val="009908CC"/>
    <w:rsid w:val="009A7028"/>
    <w:rsid w:val="009C5FC9"/>
    <w:rsid w:val="00A13E1D"/>
    <w:rsid w:val="00A44002"/>
    <w:rsid w:val="00A871F0"/>
    <w:rsid w:val="00AA361C"/>
    <w:rsid w:val="00AC2FDD"/>
    <w:rsid w:val="00AC4657"/>
    <w:rsid w:val="00AE33F3"/>
    <w:rsid w:val="00B72967"/>
    <w:rsid w:val="00B85F7B"/>
    <w:rsid w:val="00B8697A"/>
    <w:rsid w:val="00BF74C8"/>
    <w:rsid w:val="00C15E61"/>
    <w:rsid w:val="00C30459"/>
    <w:rsid w:val="00C85C66"/>
    <w:rsid w:val="00CA5FF6"/>
    <w:rsid w:val="00CC4AEE"/>
    <w:rsid w:val="00CD030C"/>
    <w:rsid w:val="00CE0E22"/>
    <w:rsid w:val="00D15924"/>
    <w:rsid w:val="00D2097D"/>
    <w:rsid w:val="00D46CB6"/>
    <w:rsid w:val="00D612FD"/>
    <w:rsid w:val="00D70B40"/>
    <w:rsid w:val="00D74FF8"/>
    <w:rsid w:val="00D90166"/>
    <w:rsid w:val="00DE4BCA"/>
    <w:rsid w:val="00DF64EB"/>
    <w:rsid w:val="00E12FB5"/>
    <w:rsid w:val="00E760B6"/>
    <w:rsid w:val="00E92716"/>
    <w:rsid w:val="00EB3D23"/>
    <w:rsid w:val="00EC13FC"/>
    <w:rsid w:val="00EC6289"/>
    <w:rsid w:val="00ED5EB3"/>
    <w:rsid w:val="00F249AA"/>
    <w:rsid w:val="00F80A14"/>
    <w:rsid w:val="00F821C7"/>
    <w:rsid w:val="00FB0E10"/>
    <w:rsid w:val="00FD2D20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BBB8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CA5FF6"/>
    <w:pPr>
      <w:widowControl w:val="0"/>
      <w:ind w:left="6499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pPr>
      <w:spacing w:after="120" w:line="480" w:lineRule="auto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BodyText2Char">
    <w:name w:val="Body Text 2 Char"/>
    <w:link w:val="BodyText2"/>
    <w:semiHidden/>
    <w:rsid w:val="00632763"/>
    <w:rPr>
      <w:sz w:val="24"/>
      <w:szCs w:val="24"/>
    </w:rPr>
  </w:style>
  <w:style w:type="paragraph" w:styleId="BalloonText">
    <w:name w:val="Balloon Text"/>
    <w:basedOn w:val="Normal"/>
    <w:semiHidden/>
    <w:rsid w:val="002250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5A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5A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5A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5A12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72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9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9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2967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5015F"/>
    <w:pPr>
      <w:spacing w:after="120"/>
    </w:pPr>
  </w:style>
  <w:style w:type="character" w:customStyle="1" w:styleId="BodyTextChar">
    <w:name w:val="Body Text Char"/>
    <w:link w:val="BodyText"/>
    <w:uiPriority w:val="99"/>
    <w:rsid w:val="0015015F"/>
    <w:rPr>
      <w:sz w:val="24"/>
      <w:szCs w:val="24"/>
    </w:rPr>
  </w:style>
  <w:style w:type="character" w:customStyle="1" w:styleId="Heading3Char">
    <w:name w:val="Heading 3 Char"/>
    <w:link w:val="Heading3"/>
    <w:uiPriority w:val="1"/>
    <w:rsid w:val="00CA5FF6"/>
    <w:rPr>
      <w:rFonts w:ascii="Arial" w:eastAsia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CA5FF6"/>
    <w:pPr>
      <w:widowControl w:val="0"/>
      <w:ind w:left="6499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pPr>
      <w:spacing w:after="120" w:line="480" w:lineRule="auto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BodyText2Char">
    <w:name w:val="Body Text 2 Char"/>
    <w:link w:val="BodyText2"/>
    <w:semiHidden/>
    <w:rsid w:val="00632763"/>
    <w:rPr>
      <w:sz w:val="24"/>
      <w:szCs w:val="24"/>
    </w:rPr>
  </w:style>
  <w:style w:type="paragraph" w:styleId="BalloonText">
    <w:name w:val="Balloon Text"/>
    <w:basedOn w:val="Normal"/>
    <w:semiHidden/>
    <w:rsid w:val="002250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5A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5A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5A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5A12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72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9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9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2967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5015F"/>
    <w:pPr>
      <w:spacing w:after="120"/>
    </w:pPr>
  </w:style>
  <w:style w:type="character" w:customStyle="1" w:styleId="BodyTextChar">
    <w:name w:val="Body Text Char"/>
    <w:link w:val="BodyText"/>
    <w:uiPriority w:val="99"/>
    <w:rsid w:val="0015015F"/>
    <w:rPr>
      <w:sz w:val="24"/>
      <w:szCs w:val="24"/>
    </w:rPr>
  </w:style>
  <w:style w:type="character" w:customStyle="1" w:styleId="Heading3Char">
    <w:name w:val="Heading 3 Char"/>
    <w:link w:val="Heading3"/>
    <w:uiPriority w:val="1"/>
    <w:rsid w:val="00CA5FF6"/>
    <w:rPr>
      <w:rFonts w:ascii="Arial" w:eastAsia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ensus.gov/econhelp/me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nsus.gov/econshelp/me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5E61-DFD4-4D16-9CEE-B035CB34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Manufacturer,</vt:lpstr>
    </vt:vector>
  </TitlesOfParts>
  <Company>DOE/EIA</Company>
  <LinksUpToDate>false</LinksUpToDate>
  <CharactersWithSpaces>3418</CharactersWithSpaces>
  <SharedDoc>false</SharedDoc>
  <HLinks>
    <vt:vector size="12" baseType="variant">
      <vt:variant>
        <vt:i4>2818144</vt:i4>
      </vt:variant>
      <vt:variant>
        <vt:i4>3</vt:i4>
      </vt:variant>
      <vt:variant>
        <vt:i4>0</vt:i4>
      </vt:variant>
      <vt:variant>
        <vt:i4>5</vt:i4>
      </vt:variant>
      <vt:variant>
        <vt:lpwstr>http://www.census.gov/econhelp/mecs</vt:lpwstr>
      </vt:variant>
      <vt:variant>
        <vt:lpwstr/>
      </vt:variant>
      <vt:variant>
        <vt:i4>852038</vt:i4>
      </vt:variant>
      <vt:variant>
        <vt:i4>0</vt:i4>
      </vt:variant>
      <vt:variant>
        <vt:i4>0</vt:i4>
      </vt:variant>
      <vt:variant>
        <vt:i4>5</vt:i4>
      </vt:variant>
      <vt:variant>
        <vt:lpwstr>http://www.census.gov/econshelp/mecs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Manufacturer,</dc:title>
  <dc:subject/>
  <dc:creator>Robert Adler</dc:creator>
  <cp:keywords/>
  <cp:lastModifiedBy>SYSTEM</cp:lastModifiedBy>
  <cp:revision>2</cp:revision>
  <cp:lastPrinted>2014-08-04T14:40:00Z</cp:lastPrinted>
  <dcterms:created xsi:type="dcterms:W3CDTF">2018-07-31T13:57:00Z</dcterms:created>
  <dcterms:modified xsi:type="dcterms:W3CDTF">2018-07-31T13:57:00Z</dcterms:modified>
</cp:coreProperties>
</file>