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CB66" w14:textId="77777777" w:rsidR="00C3264C" w:rsidRDefault="00C3264C" w:rsidP="002A61C2">
      <w:pPr>
        <w:rPr>
          <w:sz w:val="20"/>
        </w:rPr>
      </w:pPr>
      <w:bookmarkStart w:id="0" w:name="_GoBack"/>
      <w:bookmarkEnd w:id="0"/>
    </w:p>
    <w:p w14:paraId="1967BCA8" w14:textId="77777777" w:rsidR="002A61C2" w:rsidRPr="00CC2A63" w:rsidRDefault="002A61C2" w:rsidP="002A61C2">
      <w:pPr>
        <w:rPr>
          <w:sz w:val="20"/>
          <w:szCs w:val="20"/>
        </w:rPr>
      </w:pPr>
      <w:r>
        <w:rPr>
          <w:sz w:val="20"/>
        </w:rPr>
        <w:t xml:space="preserve">Month XX, </w:t>
      </w:r>
      <w:r w:rsidR="0085037B">
        <w:rPr>
          <w:sz w:val="20"/>
        </w:rPr>
        <w:t>2018</w:t>
      </w:r>
      <w:r w:rsidR="00CC2A63">
        <w:rPr>
          <w:sz w:val="20"/>
        </w:rPr>
        <w:tab/>
      </w:r>
      <w:r w:rsidR="00CC2A63">
        <w:rPr>
          <w:sz w:val="20"/>
        </w:rPr>
        <w:tab/>
      </w:r>
      <w:r w:rsidR="00CC2A63">
        <w:rPr>
          <w:sz w:val="20"/>
        </w:rPr>
        <w:tab/>
      </w:r>
      <w:r w:rsidR="00CC2A63">
        <w:rPr>
          <w:sz w:val="20"/>
        </w:rPr>
        <w:tab/>
      </w:r>
      <w:r w:rsidR="00CC2A63">
        <w:rPr>
          <w:sz w:val="20"/>
        </w:rPr>
        <w:tab/>
      </w:r>
      <w:r w:rsidR="00CC2A63">
        <w:rPr>
          <w:sz w:val="20"/>
        </w:rPr>
        <w:tab/>
      </w:r>
      <w:r w:rsidR="00CC2A63">
        <w:rPr>
          <w:sz w:val="20"/>
        </w:rPr>
        <w:tab/>
      </w:r>
      <w:r w:rsidR="00CC2A63">
        <w:rPr>
          <w:sz w:val="20"/>
        </w:rPr>
        <w:tab/>
      </w:r>
      <w:r w:rsidR="00CC2A63">
        <w:rPr>
          <w:sz w:val="20"/>
        </w:rPr>
        <w:tab/>
      </w:r>
      <w:r w:rsidR="00CC2A63" w:rsidRPr="00CC2A63">
        <w:rPr>
          <w:sz w:val="20"/>
          <w:szCs w:val="20"/>
        </w:rPr>
        <w:t>OMB Approval No. 1905-0169</w:t>
      </w:r>
    </w:p>
    <w:p w14:paraId="3BBD4024" w14:textId="77777777" w:rsidR="002A61C2" w:rsidRPr="00CC2A63" w:rsidRDefault="002A61C2" w:rsidP="002A61C2">
      <w:pPr>
        <w:rPr>
          <w:sz w:val="20"/>
          <w:szCs w:val="20"/>
        </w:rPr>
      </w:pPr>
    </w:p>
    <w:p w14:paraId="66526703" w14:textId="77777777" w:rsidR="002A61C2" w:rsidRDefault="002A61C2" w:rsidP="002A61C2">
      <w:pPr>
        <w:rPr>
          <w:sz w:val="20"/>
        </w:rPr>
      </w:pPr>
    </w:p>
    <w:p w14:paraId="0246D84D" w14:textId="77777777" w:rsidR="002A61C2" w:rsidRDefault="002A61C2" w:rsidP="002A61C2">
      <w:pPr>
        <w:rPr>
          <w:sz w:val="20"/>
        </w:rPr>
      </w:pPr>
      <w:r>
        <w:rPr>
          <w:sz w:val="20"/>
        </w:rPr>
        <w:t>Dear Manufacturing CEO/CFO/Plant Manager,</w:t>
      </w:r>
    </w:p>
    <w:p w14:paraId="72E4BF43" w14:textId="77777777" w:rsidR="00E16D60" w:rsidRDefault="00E16D60" w:rsidP="00F93D0D">
      <w:pPr>
        <w:rPr>
          <w:sz w:val="20"/>
        </w:rPr>
      </w:pPr>
    </w:p>
    <w:p w14:paraId="4C8A5D82" w14:textId="77777777" w:rsidR="00E16D60" w:rsidRDefault="00E16D60" w:rsidP="00F93D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Cs w:val="24"/>
        </w:rPr>
      </w:pPr>
    </w:p>
    <w:p w14:paraId="733231D8" w14:textId="0AEBECA8" w:rsidR="00275FBB" w:rsidRDefault="00E16D60" w:rsidP="00275FBB">
      <w:pPr>
        <w:rPr>
          <w:sz w:val="20"/>
        </w:rPr>
      </w:pPr>
      <w:r>
        <w:rPr>
          <w:sz w:val="20"/>
        </w:rPr>
        <w:t xml:space="preserve">At this time, your company has not yet completed the </w:t>
      </w:r>
      <w:r w:rsidR="0085037B">
        <w:rPr>
          <w:sz w:val="20"/>
        </w:rPr>
        <w:t>2018</w:t>
      </w:r>
      <w:r>
        <w:rPr>
          <w:sz w:val="20"/>
        </w:rPr>
        <w:t xml:space="preserve"> Manufacturing Energy Consumption Survey (MECS). We now ask that you access the link below, complete the survey, and </w:t>
      </w:r>
      <w:r>
        <w:rPr>
          <w:b/>
          <w:bCs/>
          <w:sz w:val="20"/>
        </w:rPr>
        <w:t>return your report by M</w:t>
      </w:r>
      <w:r w:rsidR="00BA026F">
        <w:rPr>
          <w:b/>
          <w:bCs/>
          <w:sz w:val="20"/>
        </w:rPr>
        <w:t>M</w:t>
      </w:r>
      <w:r>
        <w:rPr>
          <w:b/>
          <w:bCs/>
          <w:sz w:val="20"/>
        </w:rPr>
        <w:t xml:space="preserve"> DD, YYYY.</w:t>
      </w:r>
      <w:r w:rsidR="004F16B5">
        <w:rPr>
          <w:b/>
          <w:bCs/>
          <w:sz w:val="20"/>
        </w:rPr>
        <w:t xml:space="preserve"> </w:t>
      </w:r>
      <w:r w:rsidR="00F34282">
        <w:rPr>
          <w:b/>
          <w:bCs/>
          <w:sz w:val="20"/>
        </w:rPr>
        <w:t xml:space="preserve"> </w:t>
      </w:r>
      <w:r w:rsidR="00275FBB">
        <w:rPr>
          <w:sz w:val="20"/>
        </w:rPr>
        <w:t>If you have completed and submitted your questionnaire, please disregard this letter and accept our gratitude for participating in this important survey.</w:t>
      </w:r>
      <w:r w:rsidR="004F16B5">
        <w:rPr>
          <w:sz w:val="20"/>
        </w:rPr>
        <w:t xml:space="preserve"> </w:t>
      </w:r>
      <w:r w:rsidR="00F34282">
        <w:rPr>
          <w:sz w:val="20"/>
        </w:rPr>
        <w:t xml:space="preserve"> </w:t>
      </w:r>
    </w:p>
    <w:p w14:paraId="67AF21B4" w14:textId="77777777" w:rsidR="00E16D60" w:rsidRDefault="00E16D60" w:rsidP="00F93D0D">
      <w:pPr>
        <w:rPr>
          <w:sz w:val="20"/>
        </w:rPr>
      </w:pPr>
    </w:p>
    <w:p w14:paraId="44ACE882" w14:textId="53AEBE1F" w:rsidR="00E16D60" w:rsidRDefault="00E16D60" w:rsidP="00F93D0D">
      <w:pPr>
        <w:rPr>
          <w:sz w:val="20"/>
        </w:rPr>
      </w:pPr>
      <w:r>
        <w:rPr>
          <w:sz w:val="20"/>
        </w:rPr>
        <w:t xml:space="preserve">At EIA and the Census Bureau, we take our responsibility to provide the country with </w:t>
      </w:r>
      <w:r w:rsidR="006F201F">
        <w:rPr>
          <w:sz w:val="20"/>
        </w:rPr>
        <w:t xml:space="preserve">critical </w:t>
      </w:r>
      <w:r>
        <w:rPr>
          <w:sz w:val="20"/>
        </w:rPr>
        <w:t xml:space="preserve">energy data very seriously. Therefore, we are compelled to remind you that your participation is </w:t>
      </w:r>
      <w:r w:rsidR="00DF681E">
        <w:rPr>
          <w:b/>
          <w:bCs/>
          <w:sz w:val="20"/>
        </w:rPr>
        <w:t>mandatory</w:t>
      </w:r>
      <w:r w:rsidR="00DF681E">
        <w:rPr>
          <w:sz w:val="20"/>
        </w:rPr>
        <w:t xml:space="preserve"> </w:t>
      </w:r>
      <w:r w:rsidR="00C7492D">
        <w:rPr>
          <w:spacing w:val="6"/>
          <w:sz w:val="20"/>
          <w:szCs w:val="20"/>
        </w:rPr>
        <w:t xml:space="preserve">under 15 U.S.C. §772. EIA is </w:t>
      </w:r>
      <w:r w:rsidR="00773C3E">
        <w:rPr>
          <w:spacing w:val="6"/>
          <w:sz w:val="20"/>
          <w:szCs w:val="20"/>
        </w:rPr>
        <w:t>required</w:t>
      </w:r>
      <w:r w:rsidR="00C7492D">
        <w:rPr>
          <w:spacing w:val="6"/>
          <w:sz w:val="20"/>
          <w:szCs w:val="20"/>
        </w:rPr>
        <w:t xml:space="preserve"> to conduct this survey pursuant to 42 U.S.C. §7135(i). Failure to respond may result in fines and other penalties under 15 U.S.C. §797</w:t>
      </w:r>
      <w:r w:rsidR="00F93D0D">
        <w:rPr>
          <w:sz w:val="20"/>
        </w:rPr>
        <w:t>.</w:t>
      </w:r>
    </w:p>
    <w:p w14:paraId="38608F34" w14:textId="77777777" w:rsidR="00F93D0D" w:rsidRDefault="00F93D0D" w:rsidP="00F93D0D">
      <w:pPr>
        <w:rPr>
          <w:sz w:val="20"/>
        </w:rPr>
      </w:pPr>
    </w:p>
    <w:p w14:paraId="6B629EC5" w14:textId="71C097C1" w:rsidR="00E16D60" w:rsidRDefault="00E16D60" w:rsidP="00F93D0D">
      <w:pPr>
        <w:rPr>
          <w:sz w:val="20"/>
        </w:rPr>
      </w:pPr>
      <w:r>
        <w:rPr>
          <w:sz w:val="20"/>
        </w:rPr>
        <w:t xml:space="preserve">The MECS is the Federal Government’s only systematic survey that gauges </w:t>
      </w:r>
      <w:r w:rsidR="006F201F">
        <w:rPr>
          <w:sz w:val="20"/>
        </w:rPr>
        <w:t xml:space="preserve">energy impacts on </w:t>
      </w:r>
      <w:r>
        <w:rPr>
          <w:sz w:val="20"/>
        </w:rPr>
        <w:t xml:space="preserve">various parts of the </w:t>
      </w:r>
      <w:r w:rsidR="00C7492D">
        <w:rPr>
          <w:sz w:val="20"/>
        </w:rPr>
        <w:t xml:space="preserve">manufacturing </w:t>
      </w:r>
      <w:r>
        <w:rPr>
          <w:sz w:val="20"/>
        </w:rPr>
        <w:t xml:space="preserve">sector: </w:t>
      </w:r>
      <w:r w:rsidR="00E847B2">
        <w:rPr>
          <w:sz w:val="20"/>
        </w:rPr>
        <w:t xml:space="preserve">it </w:t>
      </w:r>
      <w:r>
        <w:rPr>
          <w:sz w:val="20"/>
        </w:rPr>
        <w:t>measures energy consumption and related manufacturing characteristics and behaviors; provides</w:t>
      </w:r>
      <w:r w:rsidR="00BA026F">
        <w:rPr>
          <w:sz w:val="20"/>
        </w:rPr>
        <w:t xml:space="preserve"> the manufacturing</w:t>
      </w:r>
      <w:r>
        <w:rPr>
          <w:sz w:val="20"/>
        </w:rPr>
        <w:t xml:space="preserve"> industry, policymakers</w:t>
      </w:r>
      <w:r w:rsidR="00C7492D">
        <w:rPr>
          <w:sz w:val="20"/>
        </w:rPr>
        <w:t>,</w:t>
      </w:r>
      <w:r>
        <w:rPr>
          <w:sz w:val="20"/>
        </w:rPr>
        <w:t xml:space="preserve"> and the public with unbiased and accurate data; and evaluates manufacturing demands in the face of rising energy prices and national security concerns.</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r w:rsidR="004F16B5">
        <w:rPr>
          <w:sz w:val="20"/>
        </w:rPr>
        <w:t xml:space="preserve"> </w:t>
      </w:r>
      <w:r w:rsidR="00F34282">
        <w:rPr>
          <w:sz w:val="20"/>
        </w:rPr>
        <w:t xml:space="preserve"> </w:t>
      </w:r>
    </w:p>
    <w:p w14:paraId="4171E673" w14:textId="77777777" w:rsidR="00E16D60" w:rsidRDefault="00E16D60" w:rsidP="00F93D0D">
      <w:pPr>
        <w:rPr>
          <w:sz w:val="20"/>
        </w:rPr>
      </w:pPr>
    </w:p>
    <w:p w14:paraId="49A29F6C" w14:textId="59596D4F" w:rsidR="00E16D60" w:rsidRDefault="00E16D60" w:rsidP="00F93D0D">
      <w:pPr>
        <w:rPr>
          <w:sz w:val="20"/>
        </w:rPr>
      </w:pPr>
      <w:r>
        <w:rPr>
          <w:iCs/>
          <w:sz w:val="20"/>
        </w:rPr>
        <w:t>Your participation</w:t>
      </w:r>
      <w:r>
        <w:rPr>
          <w:i/>
          <w:sz w:val="20"/>
        </w:rPr>
        <w:t xml:space="preserve"> </w:t>
      </w:r>
      <w:r>
        <w:rPr>
          <w:sz w:val="20"/>
        </w:rPr>
        <w:t>is essential</w:t>
      </w:r>
      <w:r>
        <w:rPr>
          <w:i/>
          <w:sz w:val="20"/>
        </w:rPr>
        <w:t xml:space="preserve"> </w:t>
      </w:r>
      <w:r>
        <w:rPr>
          <w:sz w:val="20"/>
        </w:rPr>
        <w:t>to ensuring quality survey data.</w:t>
      </w:r>
      <w:r w:rsidR="00F34282">
        <w:rPr>
          <w:sz w:val="20"/>
        </w:rPr>
        <w:t xml:space="preserve"> </w:t>
      </w:r>
      <w:r>
        <w:rPr>
          <w:sz w:val="20"/>
        </w:rPr>
        <w:t>The MECS is a random</w:t>
      </w:r>
      <w:r w:rsidR="006F201F">
        <w:rPr>
          <w:sz w:val="20"/>
        </w:rPr>
        <w:t>,</w:t>
      </w:r>
      <w:r>
        <w:rPr>
          <w:sz w:val="20"/>
        </w:rPr>
        <w:t xml:space="preserve"> scientifically</w:t>
      </w:r>
      <w:r w:rsidR="006F201F">
        <w:rPr>
          <w:sz w:val="20"/>
        </w:rPr>
        <w:t>-</w:t>
      </w:r>
      <w:r>
        <w:rPr>
          <w:sz w:val="20"/>
        </w:rPr>
        <w:t>drawn sample of manufacturers in the United States. Your plant represents other establishments of similar size and kind of business.</w:t>
      </w:r>
      <w:r w:rsidR="00F34282">
        <w:rPr>
          <w:sz w:val="20"/>
        </w:rPr>
        <w:t xml:space="preserve"> </w:t>
      </w:r>
      <w:r>
        <w:rPr>
          <w:sz w:val="20"/>
        </w:rPr>
        <w:t>Your response is required to ensure reliable and unbiased estimates of manufacturing energy consumption.</w:t>
      </w:r>
      <w:r w:rsidR="00F34282">
        <w:rPr>
          <w:sz w:val="20"/>
        </w:rPr>
        <w:t xml:space="preserve"> </w:t>
      </w:r>
      <w:r>
        <w:rPr>
          <w:sz w:val="20"/>
        </w:rPr>
        <w:t xml:space="preserve">Please note this survey is best completed by a Plant </w:t>
      </w:r>
      <w:r w:rsidR="00C7492D">
        <w:rPr>
          <w:sz w:val="20"/>
        </w:rPr>
        <w:t xml:space="preserve">Manager </w:t>
      </w:r>
      <w:r>
        <w:rPr>
          <w:sz w:val="20"/>
        </w:rPr>
        <w:t>or Operations Manager.</w:t>
      </w:r>
    </w:p>
    <w:p w14:paraId="7ECABD4F" w14:textId="77777777" w:rsidR="00E16D60" w:rsidRDefault="00E16D60" w:rsidP="00F93D0D">
      <w:pPr>
        <w:rPr>
          <w:sz w:val="20"/>
        </w:rPr>
      </w:pPr>
    </w:p>
    <w:p w14:paraId="42CD800D" w14:textId="0EC5A9FC" w:rsidR="00E16D60" w:rsidRPr="00C7492D" w:rsidRDefault="00265B7C" w:rsidP="00F93D0D">
      <w:pPr>
        <w:ind w:right="-600"/>
        <w:rPr>
          <w:sz w:val="20"/>
          <w:szCs w:val="20"/>
        </w:rPr>
      </w:pPr>
      <w:r w:rsidRPr="005B3D44">
        <w:rPr>
          <w:sz w:val="20"/>
          <w:szCs w:val="20"/>
        </w:rPr>
        <w:t xml:space="preserve">We estimate it will take approximately 9.2 hours to complete your survey, but may take less time if it’s completed on-line using the Census Bureau’s electronic reporting </w:t>
      </w:r>
      <w:r w:rsidR="00C7492D">
        <w:rPr>
          <w:sz w:val="20"/>
          <w:szCs w:val="20"/>
        </w:rPr>
        <w:t>system</w:t>
      </w:r>
      <w:r w:rsidRPr="005B3D44">
        <w:rPr>
          <w:sz w:val="20"/>
          <w:szCs w:val="20"/>
        </w:rPr>
        <w:t xml:space="preserve">, Centurion. </w:t>
      </w:r>
      <w:r w:rsidR="00E16D60" w:rsidRPr="00C7492D">
        <w:rPr>
          <w:sz w:val="20"/>
          <w:szCs w:val="20"/>
        </w:rPr>
        <w:t xml:space="preserve">If your </w:t>
      </w:r>
      <w:r w:rsidR="00BA026F" w:rsidRPr="00C7492D">
        <w:rPr>
          <w:sz w:val="20"/>
          <w:szCs w:val="20"/>
        </w:rPr>
        <w:t>company</w:t>
      </w:r>
      <w:r w:rsidR="00E16D60" w:rsidRPr="00C7492D">
        <w:rPr>
          <w:sz w:val="20"/>
          <w:szCs w:val="20"/>
        </w:rPr>
        <w:t xml:space="preserve"> needs assistance completing the survey, please contact </w:t>
      </w:r>
      <w:r w:rsidR="002E3BD7" w:rsidRPr="00C7492D">
        <w:rPr>
          <w:sz w:val="20"/>
          <w:szCs w:val="20"/>
        </w:rPr>
        <w:t xml:space="preserve">Mr. </w:t>
      </w:r>
      <w:r w:rsidR="00E16D60" w:rsidRPr="00C7492D">
        <w:rPr>
          <w:sz w:val="20"/>
          <w:szCs w:val="20"/>
        </w:rPr>
        <w:t>Leif Crider or another MECS analyst at 1-800-866-6327, Monday through Friday between 8:30 a.m. to 5:00 p.m. Eastern Standard Time.</w:t>
      </w:r>
      <w:r w:rsidR="00F34282" w:rsidRPr="00C7492D">
        <w:rPr>
          <w:sz w:val="20"/>
          <w:szCs w:val="20"/>
        </w:rPr>
        <w:t xml:space="preserve"> </w:t>
      </w:r>
      <w:r w:rsidR="00E16D60" w:rsidRPr="00C7492D">
        <w:rPr>
          <w:sz w:val="20"/>
          <w:szCs w:val="20"/>
        </w:rPr>
        <w:t xml:space="preserve">To complete the survey on-line using the username and password above, go to </w:t>
      </w:r>
      <w:hyperlink r:id="rId7" w:history="1">
        <w:r w:rsidR="00A3231A" w:rsidRPr="00C7492D">
          <w:rPr>
            <w:rStyle w:val="Hyperlink"/>
            <w:b/>
            <w:bCs/>
            <w:sz w:val="20"/>
            <w:szCs w:val="20"/>
          </w:rPr>
          <w:t>http://www.census.gov/econhelp/mecs</w:t>
        </w:r>
      </w:hyperlink>
      <w:r w:rsidR="00A3231A" w:rsidRPr="00C7492D">
        <w:rPr>
          <w:b/>
          <w:bCs/>
          <w:sz w:val="20"/>
          <w:szCs w:val="20"/>
        </w:rPr>
        <w:t xml:space="preserve"> </w:t>
      </w:r>
      <w:r w:rsidR="00E16D60" w:rsidRPr="00C7492D">
        <w:rPr>
          <w:sz w:val="20"/>
          <w:szCs w:val="20"/>
        </w:rPr>
        <w:t>and click on “</w:t>
      </w:r>
      <w:r w:rsidR="005B3D44" w:rsidRPr="005B3D44">
        <w:rPr>
          <w:b/>
          <w:sz w:val="20"/>
          <w:szCs w:val="20"/>
        </w:rPr>
        <w:t>Survey Log in</w:t>
      </w:r>
      <w:r w:rsidR="00E16D60" w:rsidRPr="00C7492D">
        <w:rPr>
          <w:sz w:val="20"/>
          <w:szCs w:val="20"/>
        </w:rPr>
        <w:t>”.</w:t>
      </w:r>
      <w:r w:rsidR="004F16B5" w:rsidRPr="00C7492D">
        <w:rPr>
          <w:sz w:val="20"/>
          <w:szCs w:val="20"/>
        </w:rPr>
        <w:t xml:space="preserve"> </w:t>
      </w:r>
      <w:r w:rsidR="00F34282" w:rsidRPr="00C7492D">
        <w:rPr>
          <w:sz w:val="20"/>
          <w:szCs w:val="20"/>
        </w:rPr>
        <w:t xml:space="preserve"> </w:t>
      </w:r>
    </w:p>
    <w:p w14:paraId="60B65268" w14:textId="77777777" w:rsidR="00E16D60" w:rsidRDefault="00E16D60" w:rsidP="00F93D0D">
      <w:pPr>
        <w:ind w:right="-600"/>
        <w:rPr>
          <w:sz w:val="20"/>
        </w:rPr>
      </w:pPr>
    </w:p>
    <w:p w14:paraId="4D8437E5" w14:textId="114F9995" w:rsidR="00E16D60" w:rsidRDefault="00E16D60" w:rsidP="00F93D0D">
      <w:pPr>
        <w:ind w:right="-600"/>
        <w:rPr>
          <w:sz w:val="20"/>
        </w:rPr>
      </w:pPr>
      <w:r>
        <w:rPr>
          <w:sz w:val="20"/>
        </w:rPr>
        <w:t xml:space="preserve">General information about how MECS is used, the legal citations, and how we protect the confidentiality of data are available at </w:t>
      </w:r>
      <w:hyperlink r:id="rId8" w:history="1">
        <w:r w:rsidR="00775621" w:rsidRPr="00775621">
          <w:rPr>
            <w:rStyle w:val="Hyperlink"/>
            <w:sz w:val="20"/>
          </w:rPr>
          <w:t>http://bhs.econ.census.gov/BHS/MECS/index.html.</w:t>
        </w:r>
      </w:hyperlink>
      <w:r w:rsidR="00775621">
        <w:rPr>
          <w:b/>
          <w:bCs/>
          <w:sz w:val="20"/>
        </w:rPr>
        <w:t xml:space="preserve"> </w:t>
      </w:r>
      <w:r w:rsidR="00775621" w:rsidRPr="005B3D44">
        <w:rPr>
          <w:bCs/>
          <w:sz w:val="20"/>
        </w:rPr>
        <w:t>Under 13 U.S.C. §9</w:t>
      </w:r>
      <w:r w:rsidR="00775621">
        <w:rPr>
          <w:bCs/>
          <w:sz w:val="20"/>
        </w:rPr>
        <w:t>,</w:t>
      </w:r>
      <w:r>
        <w:rPr>
          <w:sz w:val="20"/>
        </w:rPr>
        <w:t xml:space="preserve"> your report to the Census Bureau is confidential. It may be seen only by sworn Census Bureau employees and </w:t>
      </w:r>
      <w:r w:rsidR="00C7492D">
        <w:rPr>
          <w:sz w:val="20"/>
        </w:rPr>
        <w:t xml:space="preserve">your data </w:t>
      </w:r>
      <w:r>
        <w:rPr>
          <w:sz w:val="20"/>
        </w:rPr>
        <w:t>may be used only for statistical purposes.</w:t>
      </w:r>
      <w:r w:rsidR="004F16B5">
        <w:rPr>
          <w:sz w:val="20"/>
        </w:rPr>
        <w:t xml:space="preserve"> </w:t>
      </w:r>
      <w:r w:rsidR="00F34282">
        <w:rPr>
          <w:sz w:val="20"/>
        </w:rPr>
        <w:t xml:space="preserve"> </w:t>
      </w:r>
      <w:r>
        <w:rPr>
          <w:sz w:val="20"/>
        </w:rPr>
        <w:t>The law also provides that copies retained in your files</w:t>
      </w:r>
      <w:r w:rsidR="00F93D0D">
        <w:rPr>
          <w:sz w:val="20"/>
        </w:rPr>
        <w:t xml:space="preserve"> are immune from legal process.</w:t>
      </w:r>
    </w:p>
    <w:p w14:paraId="64613D68" w14:textId="77777777" w:rsidR="00F93D0D" w:rsidRDefault="00F93D0D" w:rsidP="00F93D0D">
      <w:pPr>
        <w:ind w:right="-600"/>
        <w:rPr>
          <w:sz w:val="20"/>
        </w:rPr>
      </w:pPr>
    </w:p>
    <w:p w14:paraId="017DAA3C" w14:textId="77777777" w:rsidR="00E16D60" w:rsidRDefault="00E16D60" w:rsidP="00F93D0D">
      <w:pPr>
        <w:rPr>
          <w:sz w:val="20"/>
        </w:rPr>
      </w:pPr>
      <w:r>
        <w:rPr>
          <w:sz w:val="20"/>
        </w:rPr>
        <w:t>Thank you for your prompt attention to this request. With your help, EIA and the Census Bureau can continue to provide the country with the most accurate and unbiased energy data and analysis.</w:t>
      </w:r>
    </w:p>
    <w:p w14:paraId="4CF85F0B" w14:textId="77777777" w:rsidR="00E16D60" w:rsidRDefault="00E16D60" w:rsidP="00F93D0D">
      <w:pPr>
        <w:rPr>
          <w:sz w:val="20"/>
        </w:rPr>
      </w:pPr>
    </w:p>
    <w:p w14:paraId="6F62F905" w14:textId="77777777" w:rsidR="00CC2A63" w:rsidRDefault="00CC2A63" w:rsidP="00F93D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Cs w:val="24"/>
        </w:rPr>
      </w:pPr>
    </w:p>
    <w:p w14:paraId="42F819D2" w14:textId="77777777" w:rsidR="00E16D60" w:rsidRDefault="00E16D60" w:rsidP="00F93D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Cs w:val="24"/>
        </w:rPr>
      </w:pPr>
      <w:r>
        <w:rPr>
          <w:rFonts w:ascii="Times New Roman" w:hAnsi="Times New Roman" w:cs="Times New Roman"/>
          <w:szCs w:val="24"/>
        </w:rPr>
        <w:t>Sincerely,</w:t>
      </w:r>
    </w:p>
    <w:p w14:paraId="4303616F" w14:textId="77777777" w:rsidR="00E16D60" w:rsidRDefault="00E16D60" w:rsidP="00F93D0D">
      <w:pPr>
        <w:rPr>
          <w:sz w:val="20"/>
        </w:rPr>
      </w:pPr>
    </w:p>
    <w:p w14:paraId="5F5B37E8" w14:textId="77777777" w:rsidR="00E16D60" w:rsidRDefault="00E16D60" w:rsidP="00F93D0D">
      <w:pPr>
        <w:rPr>
          <w:sz w:val="20"/>
        </w:rPr>
      </w:pPr>
    </w:p>
    <w:p w14:paraId="497CB777" w14:textId="77777777" w:rsidR="00E16D60" w:rsidRDefault="00E16D60" w:rsidP="00F93D0D">
      <w:pPr>
        <w:rPr>
          <w:sz w:val="20"/>
        </w:rPr>
      </w:pPr>
    </w:p>
    <w:p w14:paraId="5097378E" w14:textId="77777777" w:rsidR="00E16D60" w:rsidRDefault="00E16D60" w:rsidP="00F93D0D">
      <w:pPr>
        <w:rPr>
          <w:sz w:val="20"/>
        </w:rPr>
      </w:pPr>
    </w:p>
    <w:p w14:paraId="543B2EEE" w14:textId="77777777" w:rsidR="00E16D60" w:rsidRDefault="00711A87" w:rsidP="00F93D0D">
      <w:pPr>
        <w:rPr>
          <w:sz w:val="20"/>
        </w:rPr>
      </w:pPr>
      <w:r>
        <w:rPr>
          <w:sz w:val="20"/>
        </w:rPr>
        <w:t>Nick Orsini</w:t>
      </w:r>
      <w:r w:rsidR="00793978">
        <w:rPr>
          <w:sz w:val="20"/>
        </w:rPr>
        <w:tab/>
      </w:r>
      <w:r w:rsidR="00793978">
        <w:rPr>
          <w:sz w:val="20"/>
        </w:rPr>
        <w:tab/>
      </w:r>
      <w:r w:rsidR="00E16D60">
        <w:rPr>
          <w:sz w:val="20"/>
        </w:rPr>
        <w:tab/>
      </w:r>
      <w:r w:rsidR="00E16D60">
        <w:rPr>
          <w:sz w:val="20"/>
        </w:rPr>
        <w:tab/>
      </w:r>
      <w:r w:rsidR="00E16D60">
        <w:rPr>
          <w:sz w:val="20"/>
        </w:rPr>
        <w:tab/>
        <w:t>Thomas Leckey</w:t>
      </w:r>
    </w:p>
    <w:p w14:paraId="7D845353" w14:textId="77777777" w:rsidR="00E16D60" w:rsidRDefault="00793978" w:rsidP="00F93D0D">
      <w:pPr>
        <w:rPr>
          <w:sz w:val="20"/>
        </w:rPr>
      </w:pPr>
      <w:r>
        <w:rPr>
          <w:sz w:val="20"/>
        </w:rPr>
        <w:t xml:space="preserve">Chief, </w:t>
      </w:r>
      <w:r w:rsidR="00711A87">
        <w:rPr>
          <w:sz w:val="20"/>
        </w:rPr>
        <w:t>Economic Reimbursable</w:t>
      </w:r>
      <w:r>
        <w:rPr>
          <w:sz w:val="20"/>
        </w:rPr>
        <w:t xml:space="preserve"> </w:t>
      </w:r>
      <w:r w:rsidR="00C15543">
        <w:rPr>
          <w:sz w:val="20"/>
        </w:rPr>
        <w:t>Division</w:t>
      </w:r>
      <w:r w:rsidR="00711A87">
        <w:rPr>
          <w:sz w:val="20"/>
        </w:rPr>
        <w:tab/>
      </w:r>
      <w:r w:rsidR="00E16D60">
        <w:rPr>
          <w:sz w:val="20"/>
        </w:rPr>
        <w:tab/>
        <w:t>Director, Office of Energy Consumption &amp; Efficiency Statistics</w:t>
      </w:r>
    </w:p>
    <w:p w14:paraId="0E562AD5" w14:textId="37D51B9A" w:rsidR="00E16D60" w:rsidRPr="00B90BD2" w:rsidRDefault="00E16D60" w:rsidP="00E16D60">
      <w:r>
        <w:rPr>
          <w:sz w:val="20"/>
        </w:rPr>
        <w:t>U.S. Census Bureau</w:t>
      </w:r>
      <w:r>
        <w:rPr>
          <w:sz w:val="20"/>
        </w:rPr>
        <w:tab/>
      </w:r>
      <w:r>
        <w:rPr>
          <w:sz w:val="20"/>
        </w:rPr>
        <w:tab/>
      </w:r>
      <w:r>
        <w:rPr>
          <w:sz w:val="20"/>
        </w:rPr>
        <w:tab/>
      </w:r>
      <w:r>
        <w:rPr>
          <w:sz w:val="20"/>
        </w:rPr>
        <w:tab/>
        <w:t>U.S. Energy Information Administration</w:t>
      </w:r>
    </w:p>
    <w:p w14:paraId="1AB5DFCF" w14:textId="77777777" w:rsidR="008647BA" w:rsidRPr="00E16D60" w:rsidRDefault="008647BA" w:rsidP="00E16D60"/>
    <w:sectPr w:rsidR="008647BA" w:rsidRPr="00E16D60" w:rsidSect="002A61C2">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58793" w14:textId="77777777" w:rsidR="004661DE" w:rsidRDefault="004661DE">
      <w:r>
        <w:separator/>
      </w:r>
    </w:p>
  </w:endnote>
  <w:endnote w:type="continuationSeparator" w:id="0">
    <w:p w14:paraId="1DD5EF04" w14:textId="77777777" w:rsidR="004661DE" w:rsidRDefault="0046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C6B79" w14:textId="77777777" w:rsidR="004661DE" w:rsidRDefault="004661DE">
      <w:r>
        <w:separator/>
      </w:r>
    </w:p>
  </w:footnote>
  <w:footnote w:type="continuationSeparator" w:id="0">
    <w:p w14:paraId="0C3464FD" w14:textId="77777777" w:rsidR="004661DE" w:rsidRDefault="00466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C8736" w14:textId="77777777" w:rsidR="00711A87" w:rsidRDefault="00313476">
    <w:pPr>
      <w:pStyle w:val="Header"/>
    </w:pPr>
    <w:r>
      <w:rPr>
        <w:noProof/>
        <w:lang w:eastAsia="zh-TW"/>
      </w:rPr>
      <w:pict w14:anchorId="2B23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47519" o:spid="_x0000_s2052" type="#_x0000_t136" style="position:absolute;margin-left:0;margin-top:0;width:497.4pt;height:213.15pt;rotation:315;z-index:-251657728;mso-position-horizontal:center;mso-position-horizontal-relative:margin;mso-position-vertical:center;mso-position-vertical-relative:margin" o:allowincell="f" fillcolor="#bfbfbf"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AC0C4" w14:textId="104A4D69" w:rsidR="002A61C2" w:rsidRPr="002A61C2" w:rsidRDefault="008965FB" w:rsidP="002A61C2">
    <w:pPr>
      <w:tabs>
        <w:tab w:val="left" w:pos="4670"/>
      </w:tabs>
      <w:spacing w:before="4"/>
      <w:ind w:firstLine="4320"/>
      <w:jc w:val="right"/>
      <w:rPr>
        <w:rFonts w:ascii="Arial" w:hAnsi="Arial" w:cs="Arial"/>
        <w:b/>
        <w:bCs/>
        <w:sz w:val="20"/>
        <w:szCs w:val="20"/>
      </w:rPr>
    </w:pPr>
    <w:r w:rsidRPr="002A61C2">
      <w:rPr>
        <w:rFonts w:ascii="Arial" w:hAnsi="Arial" w:cs="Arial"/>
        <w:noProof/>
        <w:sz w:val="20"/>
        <w:szCs w:val="20"/>
      </w:rPr>
      <mc:AlternateContent>
        <mc:Choice Requires="wpg">
          <w:drawing>
            <wp:anchor distT="0" distB="0" distL="114300" distR="114300" simplePos="0" relativeHeight="251656704" behindDoc="0" locked="0" layoutInCell="1" allowOverlap="1" wp14:anchorId="1B367AB9" wp14:editId="28A3002C">
              <wp:simplePos x="0" y="0"/>
              <wp:positionH relativeFrom="page">
                <wp:posOffset>3745230</wp:posOffset>
              </wp:positionH>
              <wp:positionV relativeFrom="paragraph">
                <wp:posOffset>-59690</wp:posOffset>
              </wp:positionV>
              <wp:extent cx="309245" cy="735330"/>
              <wp:effectExtent l="0" t="0" r="0" b="26670"/>
              <wp:wrapNone/>
              <wp:docPr id="11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 cy="735330"/>
                        <a:chOff x="6475" y="-94"/>
                        <a:chExt cx="2" cy="1440"/>
                      </a:xfrm>
                    </wpg:grpSpPr>
                    <wps:wsp>
                      <wps:cNvPr id="115" name="Freeform 116"/>
                      <wps:cNvSpPr>
                        <a:spLocks/>
                      </wps:cNvSpPr>
                      <wps:spPr bwMode="auto">
                        <a:xfrm>
                          <a:off x="6475" y="-94"/>
                          <a:ext cx="2" cy="1440"/>
                        </a:xfrm>
                        <a:custGeom>
                          <a:avLst/>
                          <a:gdLst>
                            <a:gd name="T0" fmla="+- 0 -94 -94"/>
                            <a:gd name="T1" fmla="*/ -94 h 1440"/>
                            <a:gd name="T2" fmla="+- 0 1346 -94"/>
                            <a:gd name="T3" fmla="*/ 1346 h 1440"/>
                          </a:gdLst>
                          <a:ahLst/>
                          <a:cxnLst>
                            <a:cxn ang="0">
                              <a:pos x="0" y="T1"/>
                            </a:cxn>
                            <a:cxn ang="0">
                              <a:pos x="0" y="T3"/>
                            </a:cxn>
                          </a:cxnLst>
                          <a:rect l="0" t="0" r="r" b="b"/>
                          <a:pathLst>
                            <a:path h="1440">
                              <a:moveTo>
                                <a:pt x="0" y="0"/>
                              </a:moveTo>
                              <a:lnTo>
                                <a:pt x="0" y="144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CA679F" id="Group 115" o:spid="_x0000_s1026" style="position:absolute;margin-left:294.9pt;margin-top:-4.7pt;width:24.35pt;height:57.9pt;z-index:251657728;mso-position-horizontal-relative:page" coordorigin="6475,-94" coordsize="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">
              <v:shape id="Freeform 116" o:spid="_x0000_s1027" style="position:absolute;left:6475;top:-94;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7w8IA&#10;AADcAAAADwAAAGRycy9kb3ducmV2LnhtbERPS2vCQBC+C/0PyxS86SbFSkldQ2kRi5CD0d6H7JgE&#10;s7NpdvOov75bKHibj+85m3QyjRioc7VlBfEyAkFcWF1zqeB82i1eQDiPrLGxTAp+yEG6fZhtMNF2&#10;5CMNuS9FCGGXoILK+zaR0hUVGXRL2xIH7mI7gz7ArpS6wzGEm0Y+RdFaGqw5NFTY0ntFxTXvjYJM&#10;3r4PsbzuVx/Z5exHQ19D3Ss1f5zeXkF4mvxd/O/+1GF+/Ax/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bvDwgAAANwAAAAPAAAAAAAAAAAAAAAAAJgCAABkcnMvZG93&#10;bnJldi54bWxQSwUGAAAAAAQABAD1AAAAhwMAAAAA&#10;" path="m,l,1440e" filled="f" strokecolor="#231f20" strokeweight=".17569mm">
                <v:path arrowok="t" o:connecttype="custom" o:connectlocs="0,-94;0,1346" o:connectangles="0,0"/>
              </v:shape>
              <w10:wrap anchorx="page"/>
            </v:group>
          </w:pict>
        </mc:Fallback>
      </mc:AlternateContent>
    </w:r>
    <w:r w:rsidRPr="002A61C2">
      <w:rPr>
        <w:noProof/>
        <w:sz w:val="20"/>
      </w:rPr>
      <w:drawing>
        <wp:anchor distT="0" distB="0" distL="114300" distR="114300" simplePos="0" relativeHeight="251657728" behindDoc="0" locked="0" layoutInCell="1" allowOverlap="1" wp14:anchorId="140ED577" wp14:editId="49C1064A">
          <wp:simplePos x="0" y="0"/>
          <wp:positionH relativeFrom="column">
            <wp:posOffset>-474345</wp:posOffset>
          </wp:positionH>
          <wp:positionV relativeFrom="paragraph">
            <wp:posOffset>-120650</wp:posOffset>
          </wp:positionV>
          <wp:extent cx="3224530" cy="657225"/>
          <wp:effectExtent l="0" t="0" r="0" b="9525"/>
          <wp:wrapSquare wrapText="bothSides"/>
          <wp:docPr id="7" name="Picture 2" descr="http://inside.eia.gov/content_OC/eia_logos/large%20full%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side.eia.gov/content_OC/eia_logos/large%20full%20EIA%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453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mecs1lp1_10"/>
    <w:bookmarkEnd w:id="1"/>
    <w:r w:rsidR="002A61C2" w:rsidRPr="002A61C2">
      <w:rPr>
        <w:rFonts w:ascii="Arial" w:hAnsi="Arial" w:cs="Arial"/>
        <w:color w:val="231F20"/>
        <w:w w:val="110"/>
        <w:sz w:val="20"/>
        <w:szCs w:val="20"/>
      </w:rPr>
      <w:t>UNITED</w:t>
    </w:r>
    <w:r w:rsidR="002A61C2" w:rsidRPr="002A61C2">
      <w:rPr>
        <w:rFonts w:ascii="Arial" w:hAnsi="Arial" w:cs="Arial"/>
        <w:color w:val="231F20"/>
        <w:spacing w:val="5"/>
        <w:w w:val="110"/>
        <w:sz w:val="20"/>
        <w:szCs w:val="20"/>
      </w:rPr>
      <w:t xml:space="preserve"> </w:t>
    </w:r>
    <w:r w:rsidR="002A61C2" w:rsidRPr="002A61C2">
      <w:rPr>
        <w:rFonts w:ascii="Arial" w:hAnsi="Arial" w:cs="Arial"/>
        <w:color w:val="231F20"/>
        <w:w w:val="110"/>
        <w:sz w:val="20"/>
        <w:szCs w:val="20"/>
      </w:rPr>
      <w:t>STATES</w:t>
    </w:r>
    <w:r w:rsidR="002A61C2" w:rsidRPr="002A61C2">
      <w:rPr>
        <w:rFonts w:ascii="Arial" w:hAnsi="Arial" w:cs="Arial"/>
        <w:color w:val="231F20"/>
        <w:spacing w:val="6"/>
        <w:w w:val="110"/>
        <w:sz w:val="20"/>
        <w:szCs w:val="20"/>
      </w:rPr>
      <w:t xml:space="preserve"> </w:t>
    </w:r>
    <w:r w:rsidR="002A61C2" w:rsidRPr="002A61C2">
      <w:rPr>
        <w:rFonts w:ascii="Arial" w:hAnsi="Arial" w:cs="Arial"/>
        <w:color w:val="231F20"/>
        <w:w w:val="110"/>
        <w:sz w:val="20"/>
        <w:szCs w:val="20"/>
      </w:rPr>
      <w:t>DEPARTMENT</w:t>
    </w:r>
    <w:r w:rsidR="002A61C2" w:rsidRPr="002A61C2">
      <w:rPr>
        <w:rFonts w:ascii="Arial" w:hAnsi="Arial" w:cs="Arial"/>
        <w:color w:val="231F20"/>
        <w:spacing w:val="6"/>
        <w:w w:val="110"/>
        <w:sz w:val="20"/>
        <w:szCs w:val="20"/>
      </w:rPr>
      <w:t xml:space="preserve"> </w:t>
    </w:r>
    <w:r w:rsidR="002A61C2" w:rsidRPr="002A61C2">
      <w:rPr>
        <w:rFonts w:ascii="Arial" w:hAnsi="Arial" w:cs="Arial"/>
        <w:color w:val="231F20"/>
        <w:w w:val="110"/>
        <w:sz w:val="20"/>
        <w:szCs w:val="20"/>
      </w:rPr>
      <w:t>OF</w:t>
    </w:r>
    <w:r w:rsidR="002A61C2" w:rsidRPr="002A61C2">
      <w:rPr>
        <w:rFonts w:ascii="Arial" w:hAnsi="Arial" w:cs="Arial"/>
        <w:color w:val="231F20"/>
        <w:spacing w:val="6"/>
        <w:w w:val="110"/>
        <w:sz w:val="20"/>
        <w:szCs w:val="20"/>
      </w:rPr>
      <w:t xml:space="preserve"> </w:t>
    </w:r>
    <w:r w:rsidR="002A61C2" w:rsidRPr="002A61C2">
      <w:rPr>
        <w:rFonts w:ascii="Arial" w:hAnsi="Arial" w:cs="Arial"/>
        <w:color w:val="231F20"/>
        <w:w w:val="110"/>
        <w:sz w:val="20"/>
        <w:szCs w:val="20"/>
      </w:rPr>
      <w:t>COMMERCE</w:t>
    </w:r>
  </w:p>
  <w:p w14:paraId="6BB1C544" w14:textId="77777777" w:rsidR="002A61C2" w:rsidRPr="002A61C2" w:rsidRDefault="002A61C2" w:rsidP="002A61C2">
    <w:pPr>
      <w:spacing w:before="8" w:line="204" w:lineRule="exact"/>
      <w:jc w:val="right"/>
      <w:rPr>
        <w:rFonts w:ascii="Arial" w:eastAsia="Arial" w:hAnsi="Arial" w:cs="Arial"/>
        <w:sz w:val="20"/>
        <w:szCs w:val="20"/>
      </w:rPr>
    </w:pPr>
    <w:r w:rsidRPr="002A61C2">
      <w:rPr>
        <w:rFonts w:ascii="Arial" w:hAnsi="Arial" w:cs="Arial"/>
        <w:b/>
        <w:color w:val="231F20"/>
        <w:w w:val="115"/>
        <w:sz w:val="20"/>
        <w:szCs w:val="20"/>
      </w:rPr>
      <w:t>Economics</w:t>
    </w:r>
    <w:r w:rsidRPr="002A61C2">
      <w:rPr>
        <w:rFonts w:ascii="Arial" w:hAnsi="Arial" w:cs="Arial"/>
        <w:b/>
        <w:color w:val="231F20"/>
        <w:spacing w:val="-10"/>
        <w:w w:val="115"/>
        <w:sz w:val="20"/>
        <w:szCs w:val="20"/>
      </w:rPr>
      <w:t xml:space="preserve"> </w:t>
    </w:r>
    <w:r w:rsidRPr="002A61C2">
      <w:rPr>
        <w:rFonts w:ascii="Arial" w:hAnsi="Arial" w:cs="Arial"/>
        <w:b/>
        <w:color w:val="231F20"/>
        <w:w w:val="115"/>
        <w:sz w:val="20"/>
        <w:szCs w:val="20"/>
      </w:rPr>
      <w:t>and</w:t>
    </w:r>
    <w:r w:rsidRPr="002A61C2">
      <w:rPr>
        <w:rFonts w:ascii="Arial" w:hAnsi="Arial" w:cs="Arial"/>
        <w:b/>
        <w:color w:val="231F20"/>
        <w:spacing w:val="-10"/>
        <w:w w:val="115"/>
        <w:sz w:val="20"/>
        <w:szCs w:val="20"/>
      </w:rPr>
      <w:t xml:space="preserve"> </w:t>
    </w:r>
    <w:r w:rsidRPr="002A61C2">
      <w:rPr>
        <w:rFonts w:ascii="Arial" w:hAnsi="Arial" w:cs="Arial"/>
        <w:b/>
        <w:color w:val="231F20"/>
        <w:w w:val="115"/>
        <w:sz w:val="20"/>
        <w:szCs w:val="20"/>
      </w:rPr>
      <w:t>Statistics</w:t>
    </w:r>
    <w:r w:rsidRPr="002A61C2">
      <w:rPr>
        <w:rFonts w:ascii="Arial" w:hAnsi="Arial" w:cs="Arial"/>
        <w:b/>
        <w:color w:val="231F20"/>
        <w:spacing w:val="-10"/>
        <w:w w:val="115"/>
        <w:sz w:val="20"/>
        <w:szCs w:val="20"/>
      </w:rPr>
      <w:t xml:space="preserve"> </w:t>
    </w:r>
    <w:r w:rsidRPr="002A61C2">
      <w:rPr>
        <w:rFonts w:ascii="Arial" w:hAnsi="Arial" w:cs="Arial"/>
        <w:b/>
        <w:color w:val="231F20"/>
        <w:w w:val="115"/>
        <w:sz w:val="20"/>
        <w:szCs w:val="20"/>
      </w:rPr>
      <w:t>Administration</w:t>
    </w:r>
  </w:p>
  <w:p w14:paraId="1DE9A609" w14:textId="77777777" w:rsidR="002A61C2" w:rsidRPr="002A61C2" w:rsidRDefault="002A61C2" w:rsidP="002A61C2">
    <w:pPr>
      <w:widowControl w:val="0"/>
      <w:spacing w:line="227" w:lineRule="exact"/>
      <w:jc w:val="right"/>
      <w:outlineLvl w:val="2"/>
      <w:rPr>
        <w:rFonts w:ascii="Arial" w:eastAsia="Arial" w:hAnsi="Arial" w:cs="Arial"/>
        <w:b/>
        <w:bCs/>
        <w:color w:val="231F20"/>
        <w:w w:val="110"/>
        <w:sz w:val="20"/>
        <w:szCs w:val="20"/>
      </w:rPr>
    </w:pPr>
    <w:r w:rsidRPr="002A61C2">
      <w:rPr>
        <w:rFonts w:ascii="Arial" w:eastAsia="Arial" w:hAnsi="Arial" w:cs="Arial"/>
        <w:b/>
        <w:bCs/>
        <w:color w:val="231F20"/>
        <w:w w:val="110"/>
        <w:sz w:val="20"/>
        <w:szCs w:val="20"/>
      </w:rPr>
      <w:t>U.S.</w:t>
    </w:r>
    <w:r w:rsidRPr="002A61C2">
      <w:rPr>
        <w:rFonts w:ascii="Arial" w:eastAsia="Arial" w:hAnsi="Arial" w:cs="Arial"/>
        <w:b/>
        <w:bCs/>
        <w:color w:val="231F20"/>
        <w:spacing w:val="19"/>
        <w:w w:val="110"/>
        <w:sz w:val="20"/>
        <w:szCs w:val="20"/>
      </w:rPr>
      <w:t xml:space="preserve"> </w:t>
    </w:r>
    <w:r w:rsidRPr="002A61C2">
      <w:rPr>
        <w:rFonts w:ascii="Arial" w:eastAsia="Arial" w:hAnsi="Arial" w:cs="Arial"/>
        <w:b/>
        <w:bCs/>
        <w:color w:val="231F20"/>
        <w:w w:val="110"/>
        <w:sz w:val="20"/>
        <w:szCs w:val="20"/>
      </w:rPr>
      <w:t>Census</w:t>
    </w:r>
    <w:r w:rsidRPr="002A61C2">
      <w:rPr>
        <w:rFonts w:ascii="Arial" w:eastAsia="Arial" w:hAnsi="Arial" w:cs="Arial"/>
        <w:b/>
        <w:bCs/>
        <w:color w:val="231F20"/>
        <w:spacing w:val="19"/>
        <w:w w:val="110"/>
        <w:sz w:val="20"/>
        <w:szCs w:val="20"/>
      </w:rPr>
      <w:t xml:space="preserve"> </w:t>
    </w:r>
    <w:r w:rsidRPr="002A61C2">
      <w:rPr>
        <w:rFonts w:ascii="Arial" w:eastAsia="Arial" w:hAnsi="Arial" w:cs="Arial"/>
        <w:b/>
        <w:bCs/>
        <w:color w:val="231F20"/>
        <w:w w:val="110"/>
        <w:sz w:val="20"/>
        <w:szCs w:val="20"/>
      </w:rPr>
      <w:t>Bureau</w:t>
    </w:r>
  </w:p>
  <w:p w14:paraId="27937A11" w14:textId="77777777" w:rsidR="002A61C2" w:rsidRPr="002A61C2" w:rsidRDefault="002A61C2" w:rsidP="002A61C2">
    <w:pPr>
      <w:widowControl w:val="0"/>
      <w:spacing w:line="227" w:lineRule="exact"/>
      <w:jc w:val="right"/>
      <w:outlineLvl w:val="2"/>
      <w:rPr>
        <w:rFonts w:ascii="Arial" w:eastAsia="Arial" w:hAnsi="Arial"/>
        <w:b/>
        <w:bCs/>
        <w:sz w:val="20"/>
        <w:szCs w:val="20"/>
      </w:rPr>
    </w:pPr>
    <w:r w:rsidRPr="002A61C2">
      <w:rPr>
        <w:rFonts w:ascii="Arial" w:eastAsia="Arial" w:hAnsi="Arial"/>
        <w:b/>
        <w:bCs/>
        <w:color w:val="231F20"/>
        <w:spacing w:val="-1"/>
        <w:sz w:val="16"/>
        <w:szCs w:val="20"/>
      </w:rPr>
      <w:t xml:space="preserve">Washington, </w:t>
    </w:r>
    <w:r w:rsidRPr="002A61C2">
      <w:rPr>
        <w:rFonts w:ascii="Arial" w:eastAsia="Arial" w:hAnsi="Arial"/>
        <w:b/>
        <w:bCs/>
        <w:color w:val="231F20"/>
        <w:sz w:val="16"/>
        <w:szCs w:val="20"/>
      </w:rPr>
      <w:t>DC</w:t>
    </w:r>
    <w:r w:rsidRPr="002A61C2">
      <w:rPr>
        <w:rFonts w:ascii="Arial" w:eastAsia="Arial" w:hAnsi="Arial"/>
        <w:b/>
        <w:bCs/>
        <w:color w:val="231F20"/>
        <w:spacing w:val="-1"/>
        <w:sz w:val="16"/>
        <w:szCs w:val="20"/>
      </w:rPr>
      <w:t xml:space="preserve"> </w:t>
    </w:r>
    <w:r w:rsidRPr="002A61C2">
      <w:rPr>
        <w:rFonts w:ascii="Arial" w:eastAsia="Arial" w:hAnsi="Arial"/>
        <w:b/>
        <w:bCs/>
        <w:color w:val="231F20"/>
        <w:sz w:val="16"/>
        <w:szCs w:val="20"/>
      </w:rPr>
      <w:t>20233-0001</w:t>
    </w:r>
  </w:p>
  <w:p w14:paraId="5FBEAD00" w14:textId="77777777" w:rsidR="008647BA" w:rsidRDefault="00864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16"/>
    <w:rsid w:val="00046508"/>
    <w:rsid w:val="000A0FA3"/>
    <w:rsid w:val="00157B64"/>
    <w:rsid w:val="001E3A5B"/>
    <w:rsid w:val="00265B7C"/>
    <w:rsid w:val="00274228"/>
    <w:rsid w:val="00275FBB"/>
    <w:rsid w:val="0028180F"/>
    <w:rsid w:val="002A61C2"/>
    <w:rsid w:val="002E3BD7"/>
    <w:rsid w:val="002E76DB"/>
    <w:rsid w:val="00313476"/>
    <w:rsid w:val="003A7D6B"/>
    <w:rsid w:val="004661DE"/>
    <w:rsid w:val="004829D8"/>
    <w:rsid w:val="004F16B5"/>
    <w:rsid w:val="00524C16"/>
    <w:rsid w:val="005465C3"/>
    <w:rsid w:val="00546ED4"/>
    <w:rsid w:val="005B08E6"/>
    <w:rsid w:val="005B3D44"/>
    <w:rsid w:val="006D33EE"/>
    <w:rsid w:val="006F201F"/>
    <w:rsid w:val="00711A87"/>
    <w:rsid w:val="00773C3E"/>
    <w:rsid w:val="00775621"/>
    <w:rsid w:val="00793978"/>
    <w:rsid w:val="00817C8A"/>
    <w:rsid w:val="00844583"/>
    <w:rsid w:val="0085037B"/>
    <w:rsid w:val="008647BA"/>
    <w:rsid w:val="008965FB"/>
    <w:rsid w:val="009355F9"/>
    <w:rsid w:val="00976778"/>
    <w:rsid w:val="009E1164"/>
    <w:rsid w:val="00A3231A"/>
    <w:rsid w:val="00AB284C"/>
    <w:rsid w:val="00BA026F"/>
    <w:rsid w:val="00BC0681"/>
    <w:rsid w:val="00C15543"/>
    <w:rsid w:val="00C3264C"/>
    <w:rsid w:val="00C7492D"/>
    <w:rsid w:val="00CB17B2"/>
    <w:rsid w:val="00CC2A63"/>
    <w:rsid w:val="00CD716B"/>
    <w:rsid w:val="00CF735D"/>
    <w:rsid w:val="00D424FB"/>
    <w:rsid w:val="00DF681E"/>
    <w:rsid w:val="00E16D60"/>
    <w:rsid w:val="00E224FF"/>
    <w:rsid w:val="00E847B2"/>
    <w:rsid w:val="00EA6178"/>
    <w:rsid w:val="00EC4A1D"/>
    <w:rsid w:val="00F34282"/>
    <w:rsid w:val="00F378DD"/>
    <w:rsid w:val="00F93D0D"/>
    <w:rsid w:val="00FE416F"/>
    <w:rsid w:val="00FF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B5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sz w:val="16"/>
      <w:szCs w:val="20"/>
    </w:rPr>
  </w:style>
  <w:style w:type="character" w:customStyle="1" w:styleId="HeaderChar">
    <w:name w:val="Header Char"/>
    <w:link w:val="Header"/>
    <w:semiHidden/>
    <w:rsid w:val="00E16D60"/>
    <w:rPr>
      <w:sz w:val="24"/>
      <w:szCs w:val="24"/>
    </w:rPr>
  </w:style>
  <w:style w:type="character" w:customStyle="1" w:styleId="HTMLPreformattedChar">
    <w:name w:val="HTML Preformatted Char"/>
    <w:link w:val="HTMLPreformatted"/>
    <w:semiHidden/>
    <w:rsid w:val="00E16D60"/>
    <w:rPr>
      <w:rFonts w:ascii="Courier New" w:hAnsi="Courier New" w:cs="Courier New"/>
    </w:rPr>
  </w:style>
  <w:style w:type="character" w:customStyle="1" w:styleId="BodyTextIndentChar">
    <w:name w:val="Body Text Indent Char"/>
    <w:link w:val="BodyTextIndent"/>
    <w:semiHidden/>
    <w:rsid w:val="00E16D60"/>
    <w:rPr>
      <w:sz w:val="16"/>
    </w:rPr>
  </w:style>
  <w:style w:type="paragraph" w:styleId="BalloonText">
    <w:name w:val="Balloon Text"/>
    <w:basedOn w:val="Normal"/>
    <w:semiHidden/>
    <w:rsid w:val="006F201F"/>
    <w:rPr>
      <w:rFonts w:ascii="Tahoma" w:hAnsi="Tahoma" w:cs="Tahoma"/>
      <w:sz w:val="16"/>
      <w:szCs w:val="16"/>
    </w:rPr>
  </w:style>
  <w:style w:type="character" w:styleId="CommentReference">
    <w:name w:val="annotation reference"/>
    <w:uiPriority w:val="99"/>
    <w:semiHidden/>
    <w:unhideWhenUsed/>
    <w:rsid w:val="005B08E6"/>
    <w:rPr>
      <w:sz w:val="16"/>
      <w:szCs w:val="16"/>
    </w:rPr>
  </w:style>
  <w:style w:type="paragraph" w:styleId="CommentText">
    <w:name w:val="annotation text"/>
    <w:basedOn w:val="Normal"/>
    <w:link w:val="CommentTextChar"/>
    <w:uiPriority w:val="99"/>
    <w:semiHidden/>
    <w:unhideWhenUsed/>
    <w:rsid w:val="005B08E6"/>
    <w:rPr>
      <w:sz w:val="20"/>
      <w:szCs w:val="20"/>
    </w:rPr>
  </w:style>
  <w:style w:type="character" w:customStyle="1" w:styleId="CommentTextChar">
    <w:name w:val="Comment Text Char"/>
    <w:basedOn w:val="DefaultParagraphFont"/>
    <w:link w:val="CommentText"/>
    <w:uiPriority w:val="99"/>
    <w:semiHidden/>
    <w:rsid w:val="005B08E6"/>
  </w:style>
  <w:style w:type="paragraph" w:styleId="CommentSubject">
    <w:name w:val="annotation subject"/>
    <w:basedOn w:val="CommentText"/>
    <w:next w:val="CommentText"/>
    <w:link w:val="CommentSubjectChar"/>
    <w:uiPriority w:val="99"/>
    <w:semiHidden/>
    <w:unhideWhenUsed/>
    <w:rsid w:val="005B08E6"/>
    <w:rPr>
      <w:b/>
      <w:bCs/>
    </w:rPr>
  </w:style>
  <w:style w:type="character" w:customStyle="1" w:styleId="CommentSubjectChar">
    <w:name w:val="Comment Subject Char"/>
    <w:link w:val="CommentSubject"/>
    <w:uiPriority w:val="99"/>
    <w:semiHidden/>
    <w:rsid w:val="005B08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ind w:left="720"/>
    </w:pPr>
    <w:rPr>
      <w:sz w:val="16"/>
      <w:szCs w:val="20"/>
    </w:rPr>
  </w:style>
  <w:style w:type="character" w:customStyle="1" w:styleId="HeaderChar">
    <w:name w:val="Header Char"/>
    <w:link w:val="Header"/>
    <w:semiHidden/>
    <w:rsid w:val="00E16D60"/>
    <w:rPr>
      <w:sz w:val="24"/>
      <w:szCs w:val="24"/>
    </w:rPr>
  </w:style>
  <w:style w:type="character" w:customStyle="1" w:styleId="HTMLPreformattedChar">
    <w:name w:val="HTML Preformatted Char"/>
    <w:link w:val="HTMLPreformatted"/>
    <w:semiHidden/>
    <w:rsid w:val="00E16D60"/>
    <w:rPr>
      <w:rFonts w:ascii="Courier New" w:hAnsi="Courier New" w:cs="Courier New"/>
    </w:rPr>
  </w:style>
  <w:style w:type="character" w:customStyle="1" w:styleId="BodyTextIndentChar">
    <w:name w:val="Body Text Indent Char"/>
    <w:link w:val="BodyTextIndent"/>
    <w:semiHidden/>
    <w:rsid w:val="00E16D60"/>
    <w:rPr>
      <w:sz w:val="16"/>
    </w:rPr>
  </w:style>
  <w:style w:type="paragraph" w:styleId="BalloonText">
    <w:name w:val="Balloon Text"/>
    <w:basedOn w:val="Normal"/>
    <w:semiHidden/>
    <w:rsid w:val="006F201F"/>
    <w:rPr>
      <w:rFonts w:ascii="Tahoma" w:hAnsi="Tahoma" w:cs="Tahoma"/>
      <w:sz w:val="16"/>
      <w:szCs w:val="16"/>
    </w:rPr>
  </w:style>
  <w:style w:type="character" w:styleId="CommentReference">
    <w:name w:val="annotation reference"/>
    <w:uiPriority w:val="99"/>
    <w:semiHidden/>
    <w:unhideWhenUsed/>
    <w:rsid w:val="005B08E6"/>
    <w:rPr>
      <w:sz w:val="16"/>
      <w:szCs w:val="16"/>
    </w:rPr>
  </w:style>
  <w:style w:type="paragraph" w:styleId="CommentText">
    <w:name w:val="annotation text"/>
    <w:basedOn w:val="Normal"/>
    <w:link w:val="CommentTextChar"/>
    <w:uiPriority w:val="99"/>
    <w:semiHidden/>
    <w:unhideWhenUsed/>
    <w:rsid w:val="005B08E6"/>
    <w:rPr>
      <w:sz w:val="20"/>
      <w:szCs w:val="20"/>
    </w:rPr>
  </w:style>
  <w:style w:type="character" w:customStyle="1" w:styleId="CommentTextChar">
    <w:name w:val="Comment Text Char"/>
    <w:basedOn w:val="DefaultParagraphFont"/>
    <w:link w:val="CommentText"/>
    <w:uiPriority w:val="99"/>
    <w:semiHidden/>
    <w:rsid w:val="005B08E6"/>
  </w:style>
  <w:style w:type="paragraph" w:styleId="CommentSubject">
    <w:name w:val="annotation subject"/>
    <w:basedOn w:val="CommentText"/>
    <w:next w:val="CommentText"/>
    <w:link w:val="CommentSubjectChar"/>
    <w:uiPriority w:val="99"/>
    <w:semiHidden/>
    <w:unhideWhenUsed/>
    <w:rsid w:val="005B08E6"/>
    <w:rPr>
      <w:b/>
      <w:bCs/>
    </w:rPr>
  </w:style>
  <w:style w:type="character" w:customStyle="1" w:styleId="CommentSubjectChar">
    <w:name w:val="Comment Subject Char"/>
    <w:link w:val="CommentSubject"/>
    <w:uiPriority w:val="99"/>
    <w:semiHidden/>
    <w:rsid w:val="005B0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hs.econ.census.gov/BHS/MECS/index.html." TargetMode="External"/><Relationship Id="rId3" Type="http://schemas.openxmlformats.org/officeDocument/2006/relationships/settings" Target="settings.xml"/><Relationship Id="rId7" Type="http://schemas.openxmlformats.org/officeDocument/2006/relationships/hyperlink" Target="http://www.census.gov/econhelp/me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XXXX(To be filled in by Census):</vt:lpstr>
    </vt:vector>
  </TitlesOfParts>
  <Company>DOE/EIA</Company>
  <LinksUpToDate>false</LinksUpToDate>
  <CharactersWithSpaces>3231</CharactersWithSpaces>
  <SharedDoc>false</SharedDoc>
  <HLinks>
    <vt:vector size="12" baseType="variant">
      <vt:variant>
        <vt:i4>6750325</vt:i4>
      </vt:variant>
      <vt:variant>
        <vt:i4>3</vt:i4>
      </vt:variant>
      <vt:variant>
        <vt:i4>0</vt:i4>
      </vt:variant>
      <vt:variant>
        <vt:i4>5</vt:i4>
      </vt:variant>
      <vt:variant>
        <vt:lpwstr>http://bhs.econ.census.gov/BHS/MECS/index.html</vt:lpwstr>
      </vt:variant>
      <vt:variant>
        <vt:lpwstr/>
      </vt:variant>
      <vt:variant>
        <vt:i4>2818144</vt:i4>
      </vt:variant>
      <vt:variant>
        <vt:i4>0</vt:i4>
      </vt:variant>
      <vt:variant>
        <vt:i4>0</vt:i4>
      </vt:variant>
      <vt:variant>
        <vt:i4>5</vt:i4>
      </vt:variant>
      <vt:variant>
        <vt:lpwstr>http://www.census.gov/econhelp/mecs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XXXX(To be filled in by Census):</dc:title>
  <dc:subject/>
  <dc:creator>Robert Adler</dc:creator>
  <cp:keywords/>
  <cp:lastModifiedBy>SYSTEM</cp:lastModifiedBy>
  <cp:revision>2</cp:revision>
  <cp:lastPrinted>2014-08-04T14:40:00Z</cp:lastPrinted>
  <dcterms:created xsi:type="dcterms:W3CDTF">2018-07-31T13:56:00Z</dcterms:created>
  <dcterms:modified xsi:type="dcterms:W3CDTF">2018-07-31T13:56:00Z</dcterms:modified>
</cp:coreProperties>
</file>