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BBA02" w14:textId="77777777" w:rsidR="00422AE3" w:rsidRPr="00422AE3" w:rsidRDefault="00422AE3" w:rsidP="00422AE3">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place">
        <w:smartTag w:uri="urn:schemas-microsoft-com:office:smarttags" w:element="country-region">
          <w:r w:rsidRPr="00422AE3">
            <w:rPr>
              <w:rFonts w:ascii="Times New Roman" w:eastAsia="Times New Roman" w:hAnsi="Times New Roman" w:cs="Times New Roman"/>
              <w:sz w:val="26"/>
              <w:szCs w:val="24"/>
            </w:rPr>
            <w:t>UNITED STATES OF AMERICA</w:t>
          </w:r>
        </w:smartTag>
      </w:smartTag>
    </w:p>
    <w:p w14:paraId="604BBA03" w14:textId="77777777" w:rsidR="00422AE3" w:rsidRPr="00422AE3" w:rsidRDefault="00422AE3" w:rsidP="00422AE3">
      <w:pPr>
        <w:spacing w:after="0" w:line="240" w:lineRule="auto"/>
        <w:jc w:val="center"/>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FEDERAL ENERGY REGULATORY COMMISSION</w:t>
      </w:r>
    </w:p>
    <w:p w14:paraId="604BBA04" w14:textId="77777777" w:rsidR="00422AE3" w:rsidRPr="00422AE3" w:rsidRDefault="00422AE3" w:rsidP="00422AE3">
      <w:pPr>
        <w:spacing w:after="0" w:line="240" w:lineRule="auto"/>
        <w:rPr>
          <w:rFonts w:ascii="Times New Roman" w:eastAsia="Times New Roman" w:hAnsi="Times New Roman" w:cs="Times New Roman"/>
          <w:sz w:val="26"/>
          <w:szCs w:val="24"/>
        </w:rPr>
      </w:pPr>
    </w:p>
    <w:p w14:paraId="604BBA05" w14:textId="77777777" w:rsidR="00422AE3" w:rsidRPr="00422AE3" w:rsidRDefault="00422AE3" w:rsidP="00422AE3">
      <w:pPr>
        <w:spacing w:after="0" w:line="240" w:lineRule="auto"/>
        <w:jc w:val="center"/>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[Docket No. IC1</w:t>
      </w:r>
      <w:r>
        <w:rPr>
          <w:rFonts w:ascii="Times New Roman" w:eastAsia="Times New Roman" w:hAnsi="Times New Roman" w:cs="Times New Roman"/>
          <w:sz w:val="26"/>
          <w:szCs w:val="24"/>
        </w:rPr>
        <w:t>9</w:t>
      </w:r>
      <w:r w:rsidRPr="00422AE3">
        <w:rPr>
          <w:rFonts w:ascii="Times New Roman" w:eastAsia="Times New Roman" w:hAnsi="Times New Roman" w:cs="Times New Roman"/>
          <w:sz w:val="26"/>
          <w:szCs w:val="24"/>
        </w:rPr>
        <w:t>-1-000]</w:t>
      </w:r>
    </w:p>
    <w:p w14:paraId="604BBA06" w14:textId="77777777" w:rsidR="00422AE3" w:rsidRPr="00422AE3" w:rsidRDefault="00422AE3" w:rsidP="00422AE3">
      <w:pPr>
        <w:spacing w:after="0" w:line="240" w:lineRule="auto"/>
        <w:rPr>
          <w:rFonts w:ascii="Times New Roman" w:eastAsia="Times New Roman" w:hAnsi="Times New Roman" w:cs="Times New Roman"/>
          <w:sz w:val="26"/>
          <w:szCs w:val="24"/>
        </w:rPr>
      </w:pPr>
    </w:p>
    <w:p w14:paraId="604BBA07" w14:textId="77777777" w:rsidR="00422AE3" w:rsidRPr="00422AE3" w:rsidRDefault="00422AE3" w:rsidP="00422AE3">
      <w:pPr>
        <w:spacing w:after="0" w:line="240" w:lineRule="auto"/>
        <w:jc w:val="center"/>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COMMISSION INFORMATION COLLECTION ACTIVITIES (FERC-7</w:t>
      </w:r>
      <w:r>
        <w:rPr>
          <w:rFonts w:ascii="Times New Roman" w:eastAsia="Times New Roman" w:hAnsi="Times New Roman" w:cs="Times New Roman"/>
          <w:sz w:val="26"/>
          <w:szCs w:val="24"/>
        </w:rPr>
        <w:t>32</w:t>
      </w:r>
      <w:r w:rsidRPr="00422AE3">
        <w:rPr>
          <w:rFonts w:ascii="Times New Roman" w:eastAsia="Times New Roman" w:hAnsi="Times New Roman" w:cs="Times New Roman"/>
          <w:sz w:val="26"/>
          <w:szCs w:val="24"/>
        </w:rPr>
        <w:t>);</w:t>
      </w:r>
    </w:p>
    <w:p w14:paraId="604BBA08" w14:textId="77777777" w:rsidR="00422AE3" w:rsidRPr="00422AE3" w:rsidRDefault="00422AE3" w:rsidP="00422AE3">
      <w:pPr>
        <w:spacing w:after="0" w:line="240" w:lineRule="auto"/>
        <w:jc w:val="center"/>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COMMENT REQUEST; EXTENSION</w:t>
      </w:r>
    </w:p>
    <w:p w14:paraId="604BBA09" w14:textId="77777777" w:rsidR="00422AE3" w:rsidRPr="00422AE3" w:rsidRDefault="00422AE3" w:rsidP="00422AE3">
      <w:pPr>
        <w:spacing w:after="0" w:line="240" w:lineRule="auto"/>
        <w:rPr>
          <w:rFonts w:ascii="Times New Roman" w:eastAsia="Times New Roman" w:hAnsi="Times New Roman" w:cs="Times New Roman"/>
          <w:sz w:val="26"/>
          <w:szCs w:val="24"/>
        </w:rPr>
      </w:pPr>
    </w:p>
    <w:p w14:paraId="604BBA0A" w14:textId="183E6833" w:rsidR="00422AE3" w:rsidRPr="00422AE3" w:rsidRDefault="00422AE3" w:rsidP="00422AE3">
      <w:pPr>
        <w:spacing w:after="0" w:line="240" w:lineRule="auto"/>
        <w:jc w:val="center"/>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w:t>
      </w:r>
      <w:r w:rsidR="00C76386">
        <w:rPr>
          <w:rFonts w:ascii="Times New Roman" w:eastAsia="Times New Roman" w:hAnsi="Times New Roman" w:cs="Times New Roman"/>
          <w:sz w:val="26"/>
          <w:szCs w:val="24"/>
        </w:rPr>
        <w:t>January 18, 2019</w:t>
      </w:r>
      <w:r w:rsidRPr="00422AE3">
        <w:rPr>
          <w:rFonts w:ascii="Times New Roman" w:eastAsia="Times New Roman" w:hAnsi="Times New Roman" w:cs="Times New Roman"/>
          <w:sz w:val="26"/>
          <w:szCs w:val="24"/>
        </w:rPr>
        <w:t>)</w:t>
      </w:r>
    </w:p>
    <w:p w14:paraId="604BBA0B" w14:textId="77777777" w:rsidR="00422AE3" w:rsidRPr="00422AE3" w:rsidRDefault="00422AE3" w:rsidP="00422AE3">
      <w:pPr>
        <w:spacing w:after="0" w:line="240" w:lineRule="auto"/>
        <w:rPr>
          <w:rFonts w:ascii="Times New Roman" w:eastAsia="Times New Roman" w:hAnsi="Times New Roman" w:cs="Times New Roman"/>
          <w:sz w:val="26"/>
          <w:szCs w:val="24"/>
        </w:rPr>
      </w:pPr>
    </w:p>
    <w:p w14:paraId="604BBA0C" w14:textId="77777777" w:rsidR="00422AE3" w:rsidRPr="00422AE3" w:rsidRDefault="00422AE3" w:rsidP="00422AE3">
      <w:pPr>
        <w:spacing w:after="0" w:line="24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AGENCY:</w:t>
      </w:r>
      <w:r w:rsidRPr="00422AE3">
        <w:rPr>
          <w:rFonts w:ascii="Times New Roman" w:eastAsia="Times New Roman" w:hAnsi="Times New Roman" w:cs="Times New Roman"/>
          <w:sz w:val="26"/>
          <w:szCs w:val="24"/>
        </w:rPr>
        <w:t xml:space="preserve">  Federal Energy Regulatory Commission.</w:t>
      </w:r>
    </w:p>
    <w:p w14:paraId="604BBA0D" w14:textId="77777777" w:rsidR="00422AE3" w:rsidRPr="00422AE3" w:rsidRDefault="00422AE3" w:rsidP="00422AE3">
      <w:pPr>
        <w:spacing w:after="0" w:line="240" w:lineRule="auto"/>
        <w:rPr>
          <w:rFonts w:ascii="Times New Roman" w:eastAsia="Times New Roman" w:hAnsi="Times New Roman" w:cs="Times New Roman"/>
          <w:sz w:val="26"/>
          <w:szCs w:val="24"/>
        </w:rPr>
      </w:pPr>
    </w:p>
    <w:p w14:paraId="604BBA0E"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ACTION:</w:t>
      </w:r>
      <w:r w:rsidRPr="00422AE3">
        <w:rPr>
          <w:rFonts w:ascii="Times New Roman" w:eastAsia="Times New Roman" w:hAnsi="Times New Roman" w:cs="Times New Roman"/>
          <w:sz w:val="26"/>
          <w:szCs w:val="24"/>
        </w:rPr>
        <w:t xml:space="preserve">  Notice of information collection and request for comments.</w:t>
      </w:r>
    </w:p>
    <w:p w14:paraId="604BBA0F"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SUMMARY:</w:t>
      </w:r>
      <w:r w:rsidRPr="00422AE3">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FERC-7</w:t>
      </w:r>
      <w:r>
        <w:rPr>
          <w:rFonts w:ascii="Times New Roman" w:eastAsia="Times New Roman" w:hAnsi="Times New Roman" w:cs="Times New Roman"/>
          <w:sz w:val="26"/>
          <w:szCs w:val="24"/>
        </w:rPr>
        <w:t>32</w:t>
      </w:r>
      <w:r w:rsidRPr="00422AE3">
        <w:rPr>
          <w:rFonts w:ascii="Times New Roman" w:eastAsia="Times New Roman" w:hAnsi="Times New Roman" w:cs="Times New Roman"/>
          <w:sz w:val="26"/>
          <w:szCs w:val="24"/>
        </w:rPr>
        <w:t xml:space="preserve"> (Electric Rate Schedules and Tariffs: Long-Term Firm Transmission Rights in Organized Electricity Markets) and submitting the information collection to the Office of Management and Budget (OMB) for review.  Any interested person may file comments directly with OMB and should address a copy of those comments to the Commission as explained below. On </w:t>
      </w:r>
      <w:r>
        <w:rPr>
          <w:rFonts w:ascii="Times New Roman" w:eastAsia="Times New Roman" w:hAnsi="Times New Roman" w:cs="Times New Roman"/>
          <w:sz w:val="26"/>
          <w:szCs w:val="24"/>
        </w:rPr>
        <w:t>Octo</w:t>
      </w:r>
      <w:r w:rsidRPr="00422AE3">
        <w:rPr>
          <w:rFonts w:ascii="Times New Roman" w:eastAsia="Times New Roman" w:hAnsi="Times New Roman" w:cs="Times New Roman"/>
          <w:sz w:val="26"/>
          <w:szCs w:val="24"/>
        </w:rPr>
        <w:t>ber 2</w:t>
      </w:r>
      <w:r>
        <w:rPr>
          <w:rFonts w:ascii="Times New Roman" w:eastAsia="Times New Roman" w:hAnsi="Times New Roman" w:cs="Times New Roman"/>
          <w:sz w:val="26"/>
          <w:szCs w:val="24"/>
        </w:rPr>
        <w:t>3</w:t>
      </w:r>
      <w:r w:rsidRPr="00422AE3">
        <w:rPr>
          <w:rFonts w:ascii="Times New Roman" w:eastAsia="Times New Roman" w:hAnsi="Times New Roman" w:cs="Times New Roman"/>
          <w:sz w:val="26"/>
          <w:szCs w:val="24"/>
        </w:rPr>
        <w:t>, 2018, the Commission published a Notice in the Federal Register in Docket No. IC1</w:t>
      </w:r>
      <w:r>
        <w:rPr>
          <w:rFonts w:ascii="Times New Roman" w:eastAsia="Times New Roman" w:hAnsi="Times New Roman" w:cs="Times New Roman"/>
          <w:sz w:val="26"/>
          <w:szCs w:val="24"/>
        </w:rPr>
        <w:t>9</w:t>
      </w:r>
      <w:r w:rsidRPr="00422AE3">
        <w:rPr>
          <w:rFonts w:ascii="Times New Roman" w:eastAsia="Times New Roman" w:hAnsi="Times New Roman" w:cs="Times New Roman"/>
          <w:sz w:val="26"/>
          <w:szCs w:val="24"/>
        </w:rPr>
        <w:t xml:space="preserve">-1-000 requesting public comments.  The Commission received </w:t>
      </w:r>
      <w:r>
        <w:rPr>
          <w:rFonts w:ascii="Times New Roman" w:eastAsia="Times New Roman" w:hAnsi="Times New Roman" w:cs="Times New Roman"/>
          <w:sz w:val="26"/>
          <w:szCs w:val="24"/>
        </w:rPr>
        <w:t>no</w:t>
      </w:r>
      <w:r w:rsidRPr="00422AE3">
        <w:rPr>
          <w:rFonts w:ascii="Times New Roman" w:eastAsia="Times New Roman" w:hAnsi="Times New Roman" w:cs="Times New Roman"/>
          <w:sz w:val="26"/>
          <w:szCs w:val="24"/>
        </w:rPr>
        <w:t xml:space="preserve"> public comment</w:t>
      </w:r>
      <w:r>
        <w:rPr>
          <w:rFonts w:ascii="Times New Roman" w:eastAsia="Times New Roman" w:hAnsi="Times New Roman" w:cs="Times New Roman"/>
          <w:sz w:val="26"/>
          <w:szCs w:val="24"/>
        </w:rPr>
        <w:t>.</w:t>
      </w:r>
    </w:p>
    <w:p w14:paraId="604BBA10" w14:textId="092BDE2E"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DATES:</w:t>
      </w:r>
      <w:r w:rsidRPr="00422AE3">
        <w:rPr>
          <w:rFonts w:ascii="Times New Roman" w:eastAsia="Times New Roman" w:hAnsi="Times New Roman" w:cs="Times New Roman"/>
          <w:sz w:val="26"/>
          <w:szCs w:val="24"/>
        </w:rPr>
        <w:t xml:space="preserve">  Comments on the collection of information are due </w:t>
      </w:r>
      <w:bookmarkStart w:id="1" w:name="OLE_LINK1"/>
      <w:r w:rsidRPr="00422AE3">
        <w:rPr>
          <w:rFonts w:ascii="Times New Roman" w:eastAsia="Times New Roman" w:hAnsi="Times New Roman" w:cs="Times New Roman"/>
          <w:b/>
          <w:sz w:val="26"/>
          <w:szCs w:val="24"/>
        </w:rPr>
        <w:t>[</w:t>
      </w:r>
      <w:r w:rsidRPr="00422AE3">
        <w:rPr>
          <w:rFonts w:ascii="Times New Roman" w:eastAsia="Times New Roman" w:hAnsi="Times New Roman" w:cs="Times New Roman"/>
          <w:b/>
          <w:caps/>
          <w:sz w:val="26"/>
          <w:szCs w:val="24"/>
        </w:rPr>
        <w:t>In</w:t>
      </w:r>
      <w:r w:rsidR="00C76386">
        <w:rPr>
          <w:rFonts w:ascii="Times New Roman" w:eastAsia="Times New Roman" w:hAnsi="Times New Roman" w:cs="Times New Roman"/>
          <w:b/>
          <w:caps/>
          <w:sz w:val="26"/>
          <w:szCs w:val="24"/>
        </w:rPr>
        <w:t xml:space="preserve">sert Date 30 days after </w:t>
      </w:r>
      <w:r w:rsidRPr="00422AE3">
        <w:rPr>
          <w:rFonts w:ascii="Times New Roman" w:eastAsia="Times New Roman" w:hAnsi="Times New Roman" w:cs="Times New Roman"/>
          <w:b/>
          <w:caps/>
          <w:sz w:val="26"/>
          <w:szCs w:val="24"/>
        </w:rPr>
        <w:t>publication in the Federal Register].</w:t>
      </w:r>
      <w:r w:rsidRPr="00422AE3">
        <w:rPr>
          <w:rFonts w:ascii="Times New Roman" w:eastAsia="Times New Roman" w:hAnsi="Times New Roman" w:cs="Times New Roman"/>
          <w:caps/>
          <w:sz w:val="26"/>
          <w:szCs w:val="24"/>
        </w:rPr>
        <w:t xml:space="preserve">  </w:t>
      </w:r>
    </w:p>
    <w:p w14:paraId="604BBA11"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ADDRESSES:</w:t>
      </w:r>
      <w:r w:rsidRPr="00422AE3">
        <w:rPr>
          <w:rFonts w:ascii="Times New Roman" w:eastAsia="Times New Roman" w:hAnsi="Times New Roman" w:cs="Times New Roman"/>
          <w:sz w:val="26"/>
          <w:szCs w:val="24"/>
        </w:rPr>
        <w:t xml:space="preserve">  Comments filed with OMB, identified by OMB Control No. 1902-</w:t>
      </w:r>
      <w:r>
        <w:rPr>
          <w:rFonts w:ascii="Times New Roman" w:eastAsia="Times New Roman" w:hAnsi="Times New Roman" w:cs="Times New Roman"/>
          <w:sz w:val="26"/>
          <w:szCs w:val="24"/>
        </w:rPr>
        <w:t>0245</w:t>
      </w:r>
      <w:r w:rsidRPr="00422AE3">
        <w:rPr>
          <w:rFonts w:ascii="Times New Roman" w:eastAsia="Times New Roman" w:hAnsi="Times New Roman" w:cs="Times New Roman"/>
          <w:sz w:val="26"/>
          <w:szCs w:val="24"/>
        </w:rPr>
        <w:t xml:space="preserve">, should be sent via email to the Office of Information and Regulatory Affairs: </w:t>
      </w:r>
      <w:hyperlink r:id="rId12" w:history="1">
        <w:r w:rsidRPr="00422AE3">
          <w:rPr>
            <w:rFonts w:ascii="Times New Roman" w:eastAsia="Times New Roman" w:hAnsi="Times New Roman" w:cs="Times New Roman"/>
            <w:color w:val="0000FF"/>
            <w:sz w:val="26"/>
            <w:szCs w:val="24"/>
            <w:u w:val="single"/>
          </w:rPr>
          <w:t>oira_submission@omb.gov</w:t>
        </w:r>
      </w:hyperlink>
      <w:r w:rsidRPr="00422AE3">
        <w:rPr>
          <w:rFonts w:ascii="Times New Roman" w:eastAsia="Times New Roman" w:hAnsi="Times New Roman" w:cs="Times New Roman"/>
          <w:sz w:val="26"/>
          <w:szCs w:val="24"/>
        </w:rPr>
        <w:t xml:space="preserve">.  Attention: Federal Energy Regulatory Commission Desk Officer.  </w:t>
      </w:r>
    </w:p>
    <w:p w14:paraId="604BBA12"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A copy of the comments should also be sent to the Commission, in Docket No. IC1</w:t>
      </w:r>
      <w:r>
        <w:rPr>
          <w:rFonts w:ascii="Times New Roman" w:eastAsia="Times New Roman" w:hAnsi="Times New Roman" w:cs="Times New Roman"/>
          <w:sz w:val="26"/>
          <w:szCs w:val="24"/>
        </w:rPr>
        <w:t>9</w:t>
      </w:r>
      <w:r w:rsidRPr="00422AE3">
        <w:rPr>
          <w:rFonts w:ascii="Times New Roman" w:eastAsia="Times New Roman" w:hAnsi="Times New Roman" w:cs="Times New Roman"/>
          <w:sz w:val="26"/>
          <w:szCs w:val="24"/>
        </w:rPr>
        <w:t>-1-000, by either of the following methods:</w:t>
      </w:r>
    </w:p>
    <w:p w14:paraId="604BBA13" w14:textId="77777777" w:rsidR="00422AE3" w:rsidRPr="00422AE3" w:rsidRDefault="00422AE3" w:rsidP="00422AE3">
      <w:pPr>
        <w:numPr>
          <w:ilvl w:val="0"/>
          <w:numId w:val="1"/>
        </w:numPr>
        <w:tabs>
          <w:tab w:val="num" w:pos="10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 xml:space="preserve">eFiling at Commission’s Web Site: </w:t>
      </w:r>
      <w:hyperlink r:id="rId13" w:history="1">
        <w:r w:rsidRPr="00422AE3">
          <w:rPr>
            <w:rFonts w:ascii="Times New Roman" w:eastAsia="Times New Roman" w:hAnsi="Times New Roman" w:cs="Times New Roman"/>
            <w:color w:val="0000FF"/>
            <w:sz w:val="26"/>
            <w:szCs w:val="24"/>
            <w:u w:val="single"/>
          </w:rPr>
          <w:t>http://www.ferc.gov/docs-filing/efiling.asp</w:t>
        </w:r>
      </w:hyperlink>
    </w:p>
    <w:p w14:paraId="604BBA14" w14:textId="77777777" w:rsidR="00422AE3" w:rsidRPr="00422AE3" w:rsidRDefault="00422AE3" w:rsidP="00422AE3">
      <w:pPr>
        <w:numPr>
          <w:ilvl w:val="0"/>
          <w:numId w:val="1"/>
        </w:numPr>
        <w:tabs>
          <w:tab w:val="num" w:pos="10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604BBA15"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 xml:space="preserve">Instructions: </w:t>
      </w:r>
      <w:r w:rsidRPr="00422AE3">
        <w:rPr>
          <w:rFonts w:ascii="Times New Roman" w:eastAsia="Times New Roman" w:hAnsi="Times New Roman" w:cs="Times New Roman"/>
          <w:sz w:val="26"/>
          <w:szCs w:val="24"/>
        </w:rPr>
        <w:t xml:space="preserve">All submissions must be formatted and filed in accordance with submission guidelines at: </w:t>
      </w:r>
      <w:hyperlink r:id="rId14" w:history="1">
        <w:r w:rsidRPr="00422AE3">
          <w:rPr>
            <w:rFonts w:ascii="Times New Roman" w:eastAsia="Times New Roman" w:hAnsi="Times New Roman" w:cs="Times New Roman"/>
            <w:color w:val="0000FF"/>
            <w:sz w:val="26"/>
            <w:szCs w:val="24"/>
            <w:u w:val="single"/>
          </w:rPr>
          <w:t>http://www.ferc.gov/help/submission-guide.asp</w:t>
        </w:r>
      </w:hyperlink>
      <w:r w:rsidRPr="00422AE3">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604BBA16"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Docket:</w:t>
      </w:r>
      <w:r w:rsidRPr="00422AE3">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5" w:history="1">
        <w:r w:rsidRPr="00422AE3">
          <w:rPr>
            <w:rFonts w:ascii="Times New Roman" w:eastAsia="Times New Roman" w:hAnsi="Times New Roman" w:cs="Times New Roman"/>
            <w:color w:val="0000FF"/>
            <w:sz w:val="26"/>
            <w:szCs w:val="24"/>
            <w:u w:val="single"/>
          </w:rPr>
          <w:t>http://www.ferc.gov/docs-filing/docs-filing.asp</w:t>
        </w:r>
      </w:hyperlink>
      <w:r w:rsidRPr="00422AE3">
        <w:rPr>
          <w:rFonts w:ascii="Times New Roman" w:eastAsia="Times New Roman" w:hAnsi="Times New Roman" w:cs="Times New Roman"/>
          <w:sz w:val="26"/>
          <w:szCs w:val="24"/>
        </w:rPr>
        <w:t xml:space="preserve">. </w:t>
      </w:r>
    </w:p>
    <w:bookmarkEnd w:id="1"/>
    <w:p w14:paraId="604BBA17" w14:textId="77777777" w:rsidR="00422AE3" w:rsidRPr="00422AE3" w:rsidRDefault="00422AE3" w:rsidP="00422AE3">
      <w:pPr>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b/>
          <w:sz w:val="26"/>
          <w:szCs w:val="24"/>
        </w:rPr>
        <w:t>FOR FURTHER INFORMATION CONTACT:</w:t>
      </w:r>
      <w:r w:rsidRPr="00422AE3">
        <w:rPr>
          <w:rFonts w:ascii="Times New Roman" w:eastAsia="Times New Roman" w:hAnsi="Times New Roman" w:cs="Times New Roman"/>
          <w:sz w:val="26"/>
          <w:szCs w:val="24"/>
        </w:rPr>
        <w:t xml:space="preserve">  Ellen Brown may be reached by e-mail at </w:t>
      </w:r>
      <w:hyperlink r:id="rId16" w:history="1">
        <w:r w:rsidRPr="00422AE3">
          <w:rPr>
            <w:rFonts w:ascii="Times New Roman" w:eastAsia="Times New Roman" w:hAnsi="Times New Roman" w:cs="Times New Roman"/>
            <w:color w:val="0000FF"/>
            <w:sz w:val="26"/>
            <w:szCs w:val="24"/>
            <w:u w:val="single"/>
          </w:rPr>
          <w:t>DataClearance@FERC.gov</w:t>
        </w:r>
      </w:hyperlink>
      <w:r w:rsidRPr="00422AE3">
        <w:rPr>
          <w:rFonts w:ascii="Times New Roman" w:eastAsia="Times New Roman" w:hAnsi="Times New Roman" w:cs="Times New Roman"/>
          <w:sz w:val="26"/>
          <w:szCs w:val="24"/>
        </w:rPr>
        <w:t>, telephone at (202) 502-8663, and fax at (202) 273-0873.</w:t>
      </w:r>
    </w:p>
    <w:p w14:paraId="604BBA18" w14:textId="77777777" w:rsid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 xml:space="preserve"> </w:t>
      </w:r>
      <w:r w:rsidRPr="00422AE3">
        <w:rPr>
          <w:rFonts w:ascii="Times New Roman" w:eastAsia="Times New Roman" w:hAnsi="Times New Roman" w:cs="Times New Roman"/>
          <w:b/>
          <w:sz w:val="26"/>
          <w:szCs w:val="24"/>
        </w:rPr>
        <w:t>SUPPLEMENTARY INFORMATION:</w:t>
      </w:r>
      <w:r w:rsidRPr="00422AE3">
        <w:rPr>
          <w:rFonts w:ascii="Times New Roman" w:eastAsia="Times New Roman" w:hAnsi="Times New Roman" w:cs="Times New Roman"/>
          <w:sz w:val="26"/>
          <w:szCs w:val="24"/>
        </w:rPr>
        <w:t xml:space="preserve">  </w:t>
      </w:r>
    </w:p>
    <w:p w14:paraId="604BBA19" w14:textId="77777777" w:rsidR="00422AE3" w:rsidRPr="00422AE3" w:rsidRDefault="00422AE3" w:rsidP="00422AE3">
      <w:pPr>
        <w:tabs>
          <w:tab w:val="left" w:pos="7880"/>
        </w:tabs>
        <w:spacing w:after="0" w:line="480" w:lineRule="auto"/>
        <w:rPr>
          <w:rFonts w:ascii="Times New Roman" w:eastAsia="Times New Roman" w:hAnsi="Times New Roman" w:cs="Times New Roman"/>
          <w:i/>
          <w:sz w:val="26"/>
          <w:szCs w:val="24"/>
        </w:rPr>
      </w:pPr>
      <w:r w:rsidRPr="00422AE3">
        <w:rPr>
          <w:rFonts w:ascii="Times New Roman" w:eastAsia="Times New Roman" w:hAnsi="Times New Roman" w:cs="Times New Roman"/>
          <w:i/>
          <w:sz w:val="26"/>
          <w:szCs w:val="24"/>
        </w:rPr>
        <w:t xml:space="preserve">Title: </w:t>
      </w:r>
      <w:r w:rsidRPr="00422AE3">
        <w:rPr>
          <w:rFonts w:ascii="Times New Roman" w:eastAsia="Times New Roman" w:hAnsi="Times New Roman" w:cs="Times New Roman"/>
          <w:sz w:val="26"/>
          <w:szCs w:val="24"/>
        </w:rPr>
        <w:t>FERC-732, Electric Rate Schedules and Tariffs: Long-Term Firm Transmission Rights in Organized Electricity Markets</w:t>
      </w:r>
    </w:p>
    <w:p w14:paraId="604BBA1A"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lastRenderedPageBreak/>
        <w:t>OMB Control No.:</w:t>
      </w:r>
      <w:r w:rsidRPr="00422AE3">
        <w:rPr>
          <w:rFonts w:ascii="Times New Roman" w:eastAsia="Times New Roman" w:hAnsi="Times New Roman" w:cs="Times New Roman"/>
          <w:sz w:val="26"/>
          <w:szCs w:val="24"/>
        </w:rPr>
        <w:t xml:space="preserve">1902-0245 </w:t>
      </w:r>
    </w:p>
    <w:p w14:paraId="604BBA1B"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Type of Request:</w:t>
      </w:r>
      <w:r w:rsidRPr="00422AE3">
        <w:rPr>
          <w:rFonts w:ascii="Times New Roman" w:eastAsia="Times New Roman" w:hAnsi="Times New Roman" w:cs="Times New Roman"/>
          <w:sz w:val="26"/>
          <w:szCs w:val="24"/>
        </w:rPr>
        <w:t xml:space="preserve"> Three-year extension of the FERC-732 information collection requirement with no changes to the current reporting requirements.</w:t>
      </w:r>
    </w:p>
    <w:p w14:paraId="604BBA1C"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Abstract:</w:t>
      </w:r>
      <w:r w:rsidRPr="00422AE3">
        <w:rPr>
          <w:rFonts w:ascii="Times New Roman" w:eastAsia="Times New Roman" w:hAnsi="Times New Roman" w:cs="Times New Roman"/>
          <w:sz w:val="26"/>
          <w:szCs w:val="24"/>
        </w:rPr>
        <w:t xml:space="preserve"> 18 CFR Part 42 provides the reporting requirements of FERC-732 as they pertain to long-term transmission rights.  To implement section 1233</w:t>
      </w:r>
      <w:r w:rsidRPr="00422AE3">
        <w:rPr>
          <w:rFonts w:ascii="Times New Roman" w:eastAsia="Times New Roman" w:hAnsi="Times New Roman" w:cs="Times New Roman"/>
          <w:b/>
          <w:sz w:val="26"/>
          <w:szCs w:val="24"/>
          <w:vertAlign w:val="superscript"/>
        </w:rPr>
        <w:footnoteReference w:id="1"/>
      </w:r>
      <w:r w:rsidRPr="00422AE3">
        <w:rPr>
          <w:rFonts w:ascii="Times New Roman" w:eastAsia="Times New Roman" w:hAnsi="Times New Roman" w:cs="Times New Roman"/>
          <w:sz w:val="26"/>
          <w:szCs w:val="24"/>
        </w:rPr>
        <w:t xml:space="preserve"> of the Energy Policy Act of 2005 (EPAct 2005)</w:t>
      </w:r>
      <w:r w:rsidRPr="00422AE3">
        <w:rPr>
          <w:rFonts w:ascii="Times New Roman" w:eastAsia="Times New Roman" w:hAnsi="Times New Roman" w:cs="Times New Roman"/>
          <w:b/>
          <w:sz w:val="26"/>
          <w:szCs w:val="24"/>
          <w:vertAlign w:val="superscript"/>
        </w:rPr>
        <w:footnoteReference w:id="2"/>
      </w:r>
      <w:r w:rsidRPr="00422AE3">
        <w:rPr>
          <w:rFonts w:ascii="Times New Roman" w:eastAsia="Times New Roman" w:hAnsi="Times New Roman" w:cs="Times New Roman"/>
          <w:sz w:val="26"/>
          <w:szCs w:val="24"/>
        </w:rPr>
        <w:t>, the Commission requires each transmission organization that is a public utility with one or more organized electricity markets to make available long-term firm transmission rights that satisfy each of the Commission’s guidelines.</w:t>
      </w:r>
      <w:r w:rsidRPr="00422AE3">
        <w:rPr>
          <w:rFonts w:ascii="Times New Roman" w:eastAsia="Times New Roman" w:hAnsi="Times New Roman" w:cs="Times New Roman"/>
          <w:b/>
          <w:sz w:val="26"/>
          <w:szCs w:val="24"/>
          <w:vertAlign w:val="superscript"/>
        </w:rPr>
        <w:footnoteReference w:id="3"/>
      </w:r>
      <w:r w:rsidRPr="00422AE3">
        <w:rPr>
          <w:rFonts w:ascii="Times New Roman" w:eastAsia="Times New Roman" w:hAnsi="Times New Roman" w:cs="Times New Roman"/>
          <w:sz w:val="26"/>
          <w:szCs w:val="24"/>
        </w:rPr>
        <w:t xml:space="preserve">   </w:t>
      </w:r>
    </w:p>
    <w:p w14:paraId="604BBA1D"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The FERC-732 regulations require that transmission organizations (that are public utilities with one or more organized electricity markets) choose one of two ways to file:</w:t>
      </w:r>
    </w:p>
    <w:p w14:paraId="604BBA1E" w14:textId="77777777" w:rsidR="00422AE3" w:rsidRPr="00422AE3" w:rsidRDefault="00422AE3" w:rsidP="00422AE3">
      <w:pPr>
        <w:numPr>
          <w:ilvl w:val="0"/>
          <w:numId w:val="2"/>
        </w:num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File tariff sheets making long-term firm transmission rights available that are consistent with each of the guidelines established by FERC.</w:t>
      </w:r>
    </w:p>
    <w:p w14:paraId="604BBA1F" w14:textId="77777777" w:rsidR="00422AE3" w:rsidRPr="00422AE3" w:rsidRDefault="00422AE3" w:rsidP="00422AE3">
      <w:pPr>
        <w:numPr>
          <w:ilvl w:val="0"/>
          <w:numId w:val="2"/>
        </w:num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 xml:space="preserve">File an explanation describing how their existing tariffs already provide long-term firm transmission rights that are consistent with the guidelines.  </w:t>
      </w:r>
    </w:p>
    <w:p w14:paraId="604BBA20"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Additionally, the Commission requires each transmission organization to make its transmission planning and expansion procedures and plans available to the public.</w:t>
      </w:r>
    </w:p>
    <w:p w14:paraId="604BBA21"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FERC-732 enables the Commission to exercise its wholesale electric rate and electric power transmission oversight and enforcement responsibilities in accordance with the FPA, the Department of Energy Organization Act (DOE Act), and EPAct 2005.</w:t>
      </w:r>
    </w:p>
    <w:p w14:paraId="604BBA22"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 xml:space="preserve">Type of Respondents: </w:t>
      </w:r>
      <w:r w:rsidRPr="00422AE3">
        <w:rPr>
          <w:rFonts w:ascii="Times New Roman" w:eastAsia="Times New Roman" w:hAnsi="Times New Roman" w:cs="Times New Roman"/>
          <w:sz w:val="26"/>
          <w:szCs w:val="24"/>
        </w:rPr>
        <w:t>Public utility with one or more organized electricity markets</w:t>
      </w:r>
    </w:p>
    <w:p w14:paraId="604BBA23" w14:textId="77777777" w:rsidR="00422AE3" w:rsidRP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Estimate of Annual Burden</w:t>
      </w:r>
      <w:r w:rsidRPr="00422AE3">
        <w:rPr>
          <w:rFonts w:ascii="Times New Roman" w:eastAsia="Times New Roman" w:hAnsi="Times New Roman" w:cs="Times New Roman"/>
          <w:b/>
          <w:i/>
          <w:sz w:val="26"/>
          <w:szCs w:val="24"/>
          <w:vertAlign w:val="superscript"/>
        </w:rPr>
        <w:footnoteReference w:id="4"/>
      </w:r>
      <w:r w:rsidRPr="00422AE3">
        <w:rPr>
          <w:rFonts w:ascii="Times New Roman" w:eastAsia="Times New Roman" w:hAnsi="Times New Roman" w:cs="Times New Roman"/>
          <w:i/>
          <w:sz w:val="26"/>
          <w:szCs w:val="24"/>
        </w:rPr>
        <w:t xml:space="preserve">: </w:t>
      </w:r>
      <w:r w:rsidRPr="00422AE3">
        <w:rPr>
          <w:rFonts w:ascii="Times New Roman" w:eastAsia="Times New Roman" w:hAnsi="Times New Roman" w:cs="Times New Roman"/>
          <w:sz w:val="26"/>
          <w:szCs w:val="24"/>
        </w:rPr>
        <w:t>The Commission estimates the total burden and cost</w:t>
      </w:r>
      <w:r w:rsidRPr="00422AE3">
        <w:rPr>
          <w:rFonts w:ascii="Times New Roman" w:eastAsia="Times New Roman" w:hAnsi="Times New Roman" w:cs="Times New Roman"/>
          <w:b/>
          <w:sz w:val="26"/>
          <w:szCs w:val="24"/>
          <w:vertAlign w:val="superscript"/>
        </w:rPr>
        <w:footnoteReference w:id="5"/>
      </w:r>
      <w:r w:rsidRPr="00422AE3">
        <w:rPr>
          <w:rFonts w:ascii="Times New Roman" w:eastAsia="Times New Roman" w:hAnsi="Times New Roman" w:cs="Times New Roman"/>
          <w:sz w:val="26"/>
          <w:szCs w:val="24"/>
        </w:rPr>
        <w:t xml:space="preserve">  for this information collection as follows.</w:t>
      </w:r>
    </w:p>
    <w:tbl>
      <w:tblPr>
        <w:tblW w:w="490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676"/>
        <w:gridCol w:w="1657"/>
        <w:gridCol w:w="1567"/>
        <w:gridCol w:w="1475"/>
        <w:gridCol w:w="1199"/>
        <w:gridCol w:w="17"/>
      </w:tblGrid>
      <w:tr w:rsidR="00422AE3" w:rsidRPr="00422AE3" w14:paraId="604BBA25" w14:textId="77777777" w:rsidTr="00713542">
        <w:trPr>
          <w:gridAfter w:val="1"/>
          <w:wAfter w:w="9" w:type="pct"/>
          <w:cantSplit/>
        </w:trPr>
        <w:tc>
          <w:tcPr>
            <w:tcW w:w="4991" w:type="pct"/>
            <w:gridSpan w:val="6"/>
            <w:tcBorders>
              <w:bottom w:val="single" w:sz="4" w:space="0" w:color="auto"/>
            </w:tcBorders>
            <w:shd w:val="clear" w:color="auto" w:fill="D9D9D9"/>
          </w:tcPr>
          <w:p w14:paraId="604BBA24"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FERC-732, Electric Rate Schedules and Tariffs: Long-Term Firm Transmission Rights in Organized Electricity Markets</w:t>
            </w:r>
          </w:p>
        </w:tc>
      </w:tr>
      <w:tr w:rsidR="00422AE3" w:rsidRPr="00422AE3" w14:paraId="604BBA2F" w14:textId="77777777" w:rsidTr="00713542">
        <w:trPr>
          <w:cantSplit/>
        </w:trPr>
        <w:tc>
          <w:tcPr>
            <w:tcW w:w="960" w:type="pct"/>
            <w:shd w:val="clear" w:color="auto" w:fill="D9D9D9"/>
          </w:tcPr>
          <w:p w14:paraId="604BBA26"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p>
        </w:tc>
        <w:tc>
          <w:tcPr>
            <w:tcW w:w="892" w:type="pct"/>
            <w:shd w:val="clear" w:color="auto" w:fill="D9D9D9"/>
            <w:vAlign w:val="bottom"/>
          </w:tcPr>
          <w:p w14:paraId="604BBA27"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Number of Respondents (1)</w:t>
            </w:r>
          </w:p>
        </w:tc>
        <w:tc>
          <w:tcPr>
            <w:tcW w:w="882" w:type="pct"/>
            <w:shd w:val="clear" w:color="auto" w:fill="D9D9D9"/>
            <w:vAlign w:val="bottom"/>
          </w:tcPr>
          <w:p w14:paraId="604BBA28"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Annual Number of Responses per Respondent</w:t>
            </w:r>
          </w:p>
          <w:p w14:paraId="604BBA29"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(2)</w:t>
            </w:r>
          </w:p>
        </w:tc>
        <w:tc>
          <w:tcPr>
            <w:tcW w:w="834" w:type="pct"/>
            <w:shd w:val="clear" w:color="auto" w:fill="D9D9D9"/>
            <w:vAlign w:val="bottom"/>
          </w:tcPr>
          <w:p w14:paraId="604BBA2A"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Total Number of Responses (1)*(2)=(3)</w:t>
            </w:r>
          </w:p>
        </w:tc>
        <w:tc>
          <w:tcPr>
            <w:tcW w:w="785" w:type="pct"/>
            <w:shd w:val="clear" w:color="auto" w:fill="D9D9D9"/>
            <w:vAlign w:val="bottom"/>
          </w:tcPr>
          <w:p w14:paraId="604BBA2B"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Total Annual Burden Hours &amp; Total Annual Cost ($)</w:t>
            </w:r>
          </w:p>
          <w:p w14:paraId="604BBA2C"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(3)*(4)=(5)</w:t>
            </w:r>
          </w:p>
        </w:tc>
        <w:tc>
          <w:tcPr>
            <w:tcW w:w="647" w:type="pct"/>
            <w:gridSpan w:val="2"/>
            <w:shd w:val="clear" w:color="auto" w:fill="D9D9D9"/>
            <w:vAlign w:val="bottom"/>
          </w:tcPr>
          <w:p w14:paraId="604BBA2D"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 xml:space="preserve">Cost per Respondent ($) </w:t>
            </w:r>
          </w:p>
          <w:p w14:paraId="604BBA2E" w14:textId="77777777" w:rsidR="00422AE3" w:rsidRPr="00422AE3" w:rsidRDefault="00422AE3" w:rsidP="003D4C8B">
            <w:pPr>
              <w:tabs>
                <w:tab w:val="left" w:pos="7880"/>
              </w:tabs>
              <w:spacing w:after="0" w:line="240" w:lineRule="auto"/>
              <w:rPr>
                <w:rFonts w:ascii="Times New Roman" w:eastAsia="Times New Roman" w:hAnsi="Times New Roman" w:cs="Times New Roman"/>
                <w:b/>
                <w:sz w:val="26"/>
                <w:szCs w:val="24"/>
              </w:rPr>
            </w:pPr>
            <w:r w:rsidRPr="00422AE3">
              <w:rPr>
                <w:rFonts w:ascii="Times New Roman" w:eastAsia="Times New Roman" w:hAnsi="Times New Roman" w:cs="Times New Roman"/>
                <w:b/>
                <w:sz w:val="26"/>
                <w:szCs w:val="24"/>
              </w:rPr>
              <w:t>(5)÷(1)</w:t>
            </w:r>
          </w:p>
        </w:tc>
      </w:tr>
      <w:tr w:rsidR="00422AE3" w:rsidRPr="00422AE3" w14:paraId="604BBA37" w14:textId="77777777" w:rsidTr="00713542">
        <w:trPr>
          <w:cantSplit/>
        </w:trPr>
        <w:tc>
          <w:tcPr>
            <w:tcW w:w="960" w:type="pct"/>
          </w:tcPr>
          <w:p w14:paraId="604BBA30" w14:textId="77777777" w:rsidR="00422AE3" w:rsidRPr="00422AE3" w:rsidRDefault="00422AE3" w:rsidP="003D4C8B">
            <w:pPr>
              <w:tabs>
                <w:tab w:val="left" w:pos="7880"/>
              </w:tabs>
              <w:spacing w:after="0" w:line="240" w:lineRule="auto"/>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Public utility with one or more organized electricity markets</w:t>
            </w:r>
          </w:p>
        </w:tc>
        <w:tc>
          <w:tcPr>
            <w:tcW w:w="892" w:type="pct"/>
          </w:tcPr>
          <w:p w14:paraId="604BBA31"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1</w:t>
            </w:r>
          </w:p>
        </w:tc>
        <w:tc>
          <w:tcPr>
            <w:tcW w:w="882" w:type="pct"/>
          </w:tcPr>
          <w:p w14:paraId="604BBA32"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1</w:t>
            </w:r>
          </w:p>
        </w:tc>
        <w:tc>
          <w:tcPr>
            <w:tcW w:w="834" w:type="pct"/>
          </w:tcPr>
          <w:p w14:paraId="604BBA33"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1</w:t>
            </w:r>
          </w:p>
        </w:tc>
        <w:tc>
          <w:tcPr>
            <w:tcW w:w="785" w:type="pct"/>
          </w:tcPr>
          <w:p w14:paraId="604BBA34"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1,180 hrs.; $93,220</w:t>
            </w:r>
          </w:p>
        </w:tc>
        <w:tc>
          <w:tcPr>
            <w:tcW w:w="647" w:type="pct"/>
            <w:gridSpan w:val="2"/>
          </w:tcPr>
          <w:p w14:paraId="604BBA35"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r w:rsidRPr="00422AE3">
              <w:rPr>
                <w:rFonts w:ascii="Times New Roman" w:eastAsia="Times New Roman" w:hAnsi="Times New Roman" w:cs="Times New Roman"/>
                <w:sz w:val="26"/>
                <w:szCs w:val="24"/>
              </w:rPr>
              <w:t xml:space="preserve">$93,220       </w:t>
            </w:r>
          </w:p>
          <w:p w14:paraId="604BBA36" w14:textId="77777777" w:rsidR="00422AE3" w:rsidRPr="00422AE3" w:rsidRDefault="00422AE3" w:rsidP="003D4C8B">
            <w:pPr>
              <w:tabs>
                <w:tab w:val="left" w:pos="7880"/>
              </w:tabs>
              <w:spacing w:after="0" w:line="240" w:lineRule="auto"/>
              <w:jc w:val="right"/>
              <w:rPr>
                <w:rFonts w:ascii="Times New Roman" w:eastAsia="Times New Roman" w:hAnsi="Times New Roman" w:cs="Times New Roman"/>
                <w:sz w:val="26"/>
                <w:szCs w:val="24"/>
              </w:rPr>
            </w:pPr>
          </w:p>
        </w:tc>
      </w:tr>
    </w:tbl>
    <w:p w14:paraId="604BBA38" w14:textId="77777777" w:rsidR="003D4C8B" w:rsidRDefault="003D4C8B" w:rsidP="00422AE3">
      <w:pPr>
        <w:tabs>
          <w:tab w:val="left" w:pos="7880"/>
        </w:tabs>
        <w:spacing w:after="0" w:line="480" w:lineRule="auto"/>
        <w:rPr>
          <w:rFonts w:ascii="Times New Roman" w:eastAsia="Times New Roman" w:hAnsi="Times New Roman" w:cs="Times New Roman"/>
          <w:i/>
          <w:sz w:val="26"/>
          <w:szCs w:val="24"/>
        </w:rPr>
      </w:pPr>
    </w:p>
    <w:p w14:paraId="604BBA39" w14:textId="77777777" w:rsidR="00422AE3" w:rsidRDefault="00422AE3" w:rsidP="00422AE3">
      <w:pPr>
        <w:tabs>
          <w:tab w:val="left" w:pos="7880"/>
        </w:tabs>
        <w:spacing w:after="0" w:line="480" w:lineRule="auto"/>
        <w:rPr>
          <w:rFonts w:ascii="Times New Roman" w:eastAsia="Times New Roman" w:hAnsi="Times New Roman" w:cs="Times New Roman"/>
          <w:sz w:val="26"/>
          <w:szCs w:val="24"/>
        </w:rPr>
      </w:pPr>
      <w:r w:rsidRPr="00422AE3">
        <w:rPr>
          <w:rFonts w:ascii="Times New Roman" w:eastAsia="Times New Roman" w:hAnsi="Times New Roman" w:cs="Times New Roman"/>
          <w:i/>
          <w:sz w:val="26"/>
          <w:szCs w:val="24"/>
        </w:rPr>
        <w:t xml:space="preserve">Comments:  </w:t>
      </w:r>
      <w:r w:rsidRPr="00422AE3">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04BBA3A" w14:textId="77777777" w:rsidR="00422AE3" w:rsidRDefault="00422AE3" w:rsidP="003D4C8B">
      <w:pPr>
        <w:tabs>
          <w:tab w:val="left" w:pos="7880"/>
        </w:tabs>
        <w:spacing w:after="0" w:line="240" w:lineRule="auto"/>
        <w:rPr>
          <w:rFonts w:ascii="Times New Roman" w:eastAsia="Times New Roman" w:hAnsi="Times New Roman" w:cs="Times New Roman"/>
          <w:sz w:val="26"/>
          <w:szCs w:val="24"/>
        </w:rPr>
      </w:pPr>
    </w:p>
    <w:p w14:paraId="604BBA3B" w14:textId="77777777" w:rsidR="003D4C8B" w:rsidRDefault="003D4C8B" w:rsidP="003D4C8B">
      <w:pPr>
        <w:tabs>
          <w:tab w:val="left" w:pos="7880"/>
        </w:tabs>
        <w:spacing w:after="0" w:line="240" w:lineRule="auto"/>
        <w:rPr>
          <w:rFonts w:ascii="Times New Roman" w:eastAsia="Times New Roman" w:hAnsi="Times New Roman" w:cs="Times New Roman"/>
          <w:sz w:val="26"/>
          <w:szCs w:val="24"/>
        </w:rPr>
      </w:pPr>
    </w:p>
    <w:p w14:paraId="604BBA3C" w14:textId="77777777" w:rsidR="00422AE3" w:rsidRPr="00422AE3" w:rsidRDefault="003D4C8B" w:rsidP="003D4C8B">
      <w:pPr>
        <w:tabs>
          <w:tab w:val="left" w:pos="7880"/>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22AE3" w:rsidRPr="00422AE3">
        <w:rPr>
          <w:rFonts w:ascii="Times New Roman" w:eastAsia="Times New Roman" w:hAnsi="Times New Roman" w:cs="Times New Roman"/>
          <w:sz w:val="26"/>
          <w:szCs w:val="24"/>
        </w:rPr>
        <w:t>Kimberly D. Bose,</w:t>
      </w:r>
    </w:p>
    <w:p w14:paraId="604BBA3D" w14:textId="77777777" w:rsidR="00422AE3" w:rsidRPr="00422AE3" w:rsidRDefault="003D4C8B" w:rsidP="003D4C8B">
      <w:pPr>
        <w:tabs>
          <w:tab w:val="left" w:pos="7880"/>
        </w:tabs>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22AE3" w:rsidRPr="00422AE3">
        <w:rPr>
          <w:rFonts w:ascii="Times New Roman" w:eastAsia="Times New Roman" w:hAnsi="Times New Roman" w:cs="Times New Roman"/>
          <w:sz w:val="26"/>
          <w:szCs w:val="24"/>
        </w:rPr>
        <w:t>Secretary.</w:t>
      </w:r>
    </w:p>
    <w:p w14:paraId="604BBA3E" w14:textId="77777777" w:rsidR="00422AE3" w:rsidRPr="00422AE3" w:rsidRDefault="00422AE3" w:rsidP="003D4C8B">
      <w:pPr>
        <w:tabs>
          <w:tab w:val="left" w:pos="7880"/>
        </w:tabs>
        <w:spacing w:after="0" w:line="240" w:lineRule="auto"/>
        <w:rPr>
          <w:rFonts w:ascii="Times New Roman" w:eastAsia="Times New Roman" w:hAnsi="Times New Roman" w:cs="Times New Roman"/>
          <w:sz w:val="26"/>
          <w:szCs w:val="24"/>
        </w:rPr>
      </w:pPr>
    </w:p>
    <w:sectPr w:rsidR="00422AE3" w:rsidRPr="00422AE3"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1DE10" w14:textId="77777777" w:rsidR="00313718" w:rsidRDefault="00313718" w:rsidP="00422AE3">
      <w:pPr>
        <w:spacing w:after="0" w:line="240" w:lineRule="auto"/>
      </w:pPr>
      <w:r>
        <w:separator/>
      </w:r>
    </w:p>
  </w:endnote>
  <w:endnote w:type="continuationSeparator" w:id="0">
    <w:p w14:paraId="215A9D67" w14:textId="77777777" w:rsidR="00313718" w:rsidRDefault="00313718" w:rsidP="0042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05A90" w14:textId="77777777" w:rsidR="00313718" w:rsidRDefault="00313718" w:rsidP="00422AE3">
      <w:pPr>
        <w:spacing w:after="0" w:line="240" w:lineRule="auto"/>
      </w:pPr>
      <w:r>
        <w:separator/>
      </w:r>
    </w:p>
  </w:footnote>
  <w:footnote w:type="continuationSeparator" w:id="0">
    <w:p w14:paraId="09E51812" w14:textId="77777777" w:rsidR="00313718" w:rsidRDefault="00313718" w:rsidP="00422AE3">
      <w:pPr>
        <w:spacing w:after="0" w:line="240" w:lineRule="auto"/>
      </w:pPr>
      <w:r>
        <w:continuationSeparator/>
      </w:r>
    </w:p>
  </w:footnote>
  <w:footnote w:id="1">
    <w:p w14:paraId="604BBA45" w14:textId="77777777" w:rsidR="00422AE3" w:rsidRPr="000357A9" w:rsidRDefault="00422AE3" w:rsidP="00422AE3">
      <w:pPr>
        <w:pStyle w:val="FootnoteText"/>
        <w:jc w:val="both"/>
        <w:rPr>
          <w:rFonts w:ascii="Times New Roman" w:hAnsi="Times New Roman" w:cs="Times New Roman"/>
          <w:sz w:val="26"/>
          <w:szCs w:val="26"/>
        </w:rPr>
      </w:pPr>
      <w:r w:rsidRPr="000357A9">
        <w:rPr>
          <w:rStyle w:val="FootnoteReference"/>
          <w:rFonts w:cs="Times New Roman"/>
        </w:rPr>
        <w:footnoteRef/>
      </w:r>
      <w:r w:rsidRPr="000357A9">
        <w:rPr>
          <w:rFonts w:ascii="Times New Roman" w:hAnsi="Times New Roman" w:cs="Times New Roman"/>
          <w:sz w:val="26"/>
          <w:szCs w:val="26"/>
        </w:rPr>
        <w:t xml:space="preserve"> 16 USC 824 </w:t>
      </w:r>
    </w:p>
  </w:footnote>
  <w:footnote w:id="2">
    <w:p w14:paraId="604BBA46" w14:textId="77777777" w:rsidR="00422AE3" w:rsidRPr="000357A9" w:rsidRDefault="00422AE3" w:rsidP="00422AE3">
      <w:pPr>
        <w:pStyle w:val="FootnoteText"/>
        <w:jc w:val="both"/>
        <w:rPr>
          <w:rFonts w:ascii="Times New Roman" w:hAnsi="Times New Roman" w:cs="Times New Roman"/>
          <w:sz w:val="26"/>
          <w:szCs w:val="26"/>
        </w:rPr>
      </w:pPr>
      <w:r w:rsidRPr="000357A9">
        <w:rPr>
          <w:rStyle w:val="FootnoteReference"/>
          <w:rFonts w:cs="Times New Roman"/>
        </w:rPr>
        <w:footnoteRef/>
      </w:r>
      <w:r w:rsidRPr="000357A9">
        <w:rPr>
          <w:rFonts w:ascii="Times New Roman" w:hAnsi="Times New Roman" w:cs="Times New Roman"/>
          <w:sz w:val="26"/>
          <w:szCs w:val="26"/>
        </w:rPr>
        <w:t xml:space="preserve"> 6 USC 824Q</w:t>
      </w:r>
    </w:p>
  </w:footnote>
  <w:footnote w:id="3">
    <w:p w14:paraId="604BBA47" w14:textId="77777777" w:rsidR="00422AE3" w:rsidRPr="00E12EAE" w:rsidRDefault="00422AE3" w:rsidP="00422AE3">
      <w:pPr>
        <w:pStyle w:val="FootnoteText"/>
        <w:jc w:val="both"/>
        <w:rPr>
          <w:rFonts w:ascii="Times New Roman" w:hAnsi="Times New Roman" w:cs="Times New Roman"/>
          <w:sz w:val="26"/>
          <w:szCs w:val="26"/>
        </w:rPr>
      </w:pPr>
      <w:r>
        <w:rPr>
          <w:rStyle w:val="FootnoteReference"/>
        </w:rPr>
        <w:footnoteRef/>
      </w:r>
      <w:r>
        <w:t xml:space="preserve"> </w:t>
      </w:r>
      <w:r w:rsidRPr="00E12EAE">
        <w:rPr>
          <w:rFonts w:ascii="Times New Roman" w:hAnsi="Times New Roman" w:cs="Times New Roman"/>
          <w:sz w:val="26"/>
          <w:szCs w:val="26"/>
        </w:rPr>
        <w:t>18 CFR 42.1(d)</w:t>
      </w:r>
    </w:p>
  </w:footnote>
  <w:footnote w:id="4">
    <w:p w14:paraId="604BBA48" w14:textId="77777777" w:rsidR="00422AE3" w:rsidRPr="000357A9" w:rsidRDefault="00422AE3" w:rsidP="00422AE3">
      <w:pPr>
        <w:pStyle w:val="FootnoteText"/>
        <w:rPr>
          <w:rFonts w:ascii="Times New Roman" w:hAnsi="Times New Roman" w:cs="Times New Roman"/>
          <w:sz w:val="26"/>
          <w:szCs w:val="26"/>
        </w:rPr>
      </w:pPr>
      <w:r w:rsidRPr="003B3D00">
        <w:rPr>
          <w:rStyle w:val="FootnoteReference"/>
        </w:rPr>
        <w:footnoteRef/>
      </w:r>
      <w:r w:rsidRPr="007051DA">
        <w:t xml:space="preserve"> </w:t>
      </w:r>
      <w:r w:rsidRPr="003B3D00">
        <w:rPr>
          <w:rFonts w:ascii="Times New Roman" w:hAnsi="Times New Roman" w:cs="Times New Roman"/>
          <w:sz w:val="26"/>
          <w:szCs w:val="26"/>
        </w:rPr>
        <w:t xml:space="preserve">Burden </w:t>
      </w:r>
      <w:r w:rsidRPr="00E12EAE">
        <w:rPr>
          <w:rFonts w:ascii="Times New Roman" w:hAnsi="Times New Roman" w:cs="Times New Roman"/>
          <w:sz w:val="26"/>
          <w:szCs w:val="26"/>
        </w:rPr>
        <w:t>is</w:t>
      </w:r>
      <w:r w:rsidRPr="000357A9">
        <w:rPr>
          <w:rFonts w:ascii="Times New Roman" w:hAnsi="Times New Roman" w:cs="Times New Roman"/>
          <w:sz w:val="26"/>
          <w:szCs w:val="26"/>
        </w:rPr>
        <w:t xml:space="preserve"> </w:t>
      </w:r>
      <w:r>
        <w:rPr>
          <w:rFonts w:ascii="Times New Roman" w:hAnsi="Times New Roman" w:cs="Times New Roman"/>
          <w:sz w:val="26"/>
          <w:szCs w:val="26"/>
        </w:rPr>
        <w:t xml:space="preserve">defined as </w:t>
      </w:r>
      <w:r w:rsidRPr="000357A9">
        <w:rPr>
          <w:rFonts w:ascii="Times New Roman" w:hAnsi="Times New Roman" w:cs="Times New Roman"/>
          <w:sz w:val="26"/>
          <w:szCs w:val="26"/>
        </w:rPr>
        <w:t>the total time, effort, or financial resources expended by persons to generate, maintain, retain, or disclose or provide information to or for a Federal agency.  For further explanation of what is included in the information collection burden, refer</w:t>
      </w:r>
      <w:r>
        <w:rPr>
          <w:rFonts w:ascii="Times New Roman" w:hAnsi="Times New Roman" w:cs="Times New Roman"/>
          <w:sz w:val="26"/>
          <w:szCs w:val="26"/>
        </w:rPr>
        <w:t xml:space="preserve"> to</w:t>
      </w:r>
      <w:r w:rsidRPr="000357A9">
        <w:rPr>
          <w:rFonts w:ascii="Times New Roman" w:hAnsi="Times New Roman" w:cs="Times New Roman"/>
          <w:sz w:val="26"/>
          <w:szCs w:val="26"/>
        </w:rPr>
        <w:t xml:space="preserve"> 5 CFR 1320.3.</w:t>
      </w:r>
      <w:r w:rsidRPr="000357A9" w:rsidDel="00D9353C">
        <w:rPr>
          <w:rFonts w:ascii="Times New Roman" w:hAnsi="Times New Roman" w:cs="Times New Roman"/>
          <w:sz w:val="26"/>
          <w:szCs w:val="26"/>
        </w:rPr>
        <w:t xml:space="preserve"> </w:t>
      </w:r>
    </w:p>
  </w:footnote>
  <w:footnote w:id="5">
    <w:p w14:paraId="604BBA49" w14:textId="77777777" w:rsidR="00422AE3" w:rsidRPr="006F39AD" w:rsidRDefault="00422AE3" w:rsidP="00422AE3">
      <w:pPr>
        <w:pStyle w:val="FootnoteText"/>
        <w:rPr>
          <w:rFonts w:ascii="Times New Roman" w:hAnsi="Times New Roman" w:cs="Times New Roman"/>
          <w:sz w:val="26"/>
          <w:szCs w:val="26"/>
        </w:rPr>
      </w:pPr>
      <w:r w:rsidRPr="005E4B15">
        <w:rPr>
          <w:rStyle w:val="FootnoteReference"/>
          <w:rFonts w:cs="Times New Roman"/>
        </w:rPr>
        <w:footnoteRef/>
      </w:r>
      <w:r w:rsidRPr="003B3D00">
        <w:rPr>
          <w:rFonts w:ascii="Times New Roman" w:hAnsi="Times New Roman" w:cs="Times New Roman"/>
          <w:sz w:val="26"/>
          <w:szCs w:val="26"/>
        </w:rPr>
        <w:t xml:space="preserve"> FERC staff estimates that industry costs for salary plus benefits are similar to Commission costs.</w:t>
      </w:r>
      <w:r>
        <w:rPr>
          <w:rFonts w:ascii="Times New Roman" w:hAnsi="Times New Roman" w:cs="Times New Roman"/>
          <w:sz w:val="26"/>
          <w:szCs w:val="26"/>
        </w:rPr>
        <w:t xml:space="preserve">  </w:t>
      </w:r>
      <w:r w:rsidRPr="003B3D00">
        <w:rPr>
          <w:rFonts w:ascii="Times New Roman" w:hAnsi="Times New Roman" w:cs="Times New Roman"/>
          <w:sz w:val="26"/>
          <w:szCs w:val="26"/>
        </w:rPr>
        <w:t xml:space="preserve">The cost figure is the </w:t>
      </w:r>
      <w:r>
        <w:rPr>
          <w:rFonts w:ascii="Times New Roman" w:hAnsi="Times New Roman" w:cs="Times New Roman"/>
          <w:sz w:val="26"/>
          <w:szCs w:val="26"/>
        </w:rPr>
        <w:t>FY</w:t>
      </w:r>
      <w:r w:rsidRPr="003B3D00">
        <w:rPr>
          <w:rFonts w:ascii="Times New Roman" w:hAnsi="Times New Roman" w:cs="Times New Roman"/>
          <w:sz w:val="26"/>
          <w:szCs w:val="26"/>
        </w:rPr>
        <w:t xml:space="preserve">2018 FERC average </w:t>
      </w:r>
      <w:r>
        <w:rPr>
          <w:rFonts w:ascii="Times New Roman" w:hAnsi="Times New Roman" w:cs="Times New Roman"/>
          <w:sz w:val="26"/>
          <w:szCs w:val="26"/>
        </w:rPr>
        <w:t xml:space="preserve">annual </w:t>
      </w:r>
      <w:r w:rsidRPr="003B3D00">
        <w:rPr>
          <w:rFonts w:ascii="Times New Roman" w:hAnsi="Times New Roman" w:cs="Times New Roman"/>
          <w:sz w:val="26"/>
          <w:szCs w:val="26"/>
        </w:rPr>
        <w:t xml:space="preserve">salary plus benefits ($164,820/year or $79/hour).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BA43" w14:textId="74FB502E" w:rsidR="00810D18" w:rsidRDefault="006E7F5B" w:rsidP="00810D18">
    <w:pPr>
      <w:pStyle w:val="Header"/>
    </w:pPr>
    <w:r>
      <w:t>Docket No. IC1</w:t>
    </w:r>
    <w:r w:rsidR="002C51FF">
      <w:t>9</w:t>
    </w:r>
    <w:r>
      <w:t>-</w:t>
    </w:r>
    <w:r w:rsidR="002C51FF">
      <w:t>1</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D39E7">
          <w:rPr>
            <w:noProof/>
          </w:rPr>
          <w:t>2</w:t>
        </w:r>
        <w:r>
          <w:rPr>
            <w:noProof/>
          </w:rPr>
          <w:fldChar w:fldCharType="end"/>
        </w:r>
      </w:sdtContent>
    </w:sdt>
  </w:p>
  <w:p w14:paraId="604BBA44" w14:textId="77777777" w:rsidR="00BF2D74" w:rsidRDefault="001D3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E3"/>
    <w:rsid w:val="001D39E7"/>
    <w:rsid w:val="002C51FF"/>
    <w:rsid w:val="00313718"/>
    <w:rsid w:val="003D4C8B"/>
    <w:rsid w:val="00422AE3"/>
    <w:rsid w:val="0064339C"/>
    <w:rsid w:val="00670BAB"/>
    <w:rsid w:val="00681992"/>
    <w:rsid w:val="006C3D89"/>
    <w:rsid w:val="006E7F5B"/>
    <w:rsid w:val="00AA247A"/>
    <w:rsid w:val="00C76386"/>
    <w:rsid w:val="00DE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4B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22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AE3"/>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22AE3"/>
    <w:rPr>
      <w:rFonts w:ascii="Times New Roman" w:hAnsi="Times New Roman"/>
      <w:b/>
      <w:sz w:val="26"/>
      <w:szCs w:val="26"/>
      <w:vertAlign w:val="superscript"/>
    </w:rPr>
  </w:style>
  <w:style w:type="character" w:styleId="Hyperlink">
    <w:name w:val="Hyperlink"/>
    <w:rsid w:val="00422AE3"/>
    <w:rPr>
      <w:color w:val="0000FF"/>
      <w:u w:val="single"/>
    </w:rPr>
  </w:style>
  <w:style w:type="paragraph" w:styleId="Header">
    <w:name w:val="header"/>
    <w:basedOn w:val="Normal"/>
    <w:link w:val="HeaderChar"/>
    <w:uiPriority w:val="99"/>
    <w:unhideWhenUsed/>
    <w:rsid w:val="00422AE3"/>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422AE3"/>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FF"/>
    <w:rPr>
      <w:rFonts w:ascii="Segoe UI" w:hAnsi="Segoe UI" w:cs="Segoe UI"/>
      <w:sz w:val="18"/>
      <w:szCs w:val="18"/>
    </w:rPr>
  </w:style>
  <w:style w:type="paragraph" w:styleId="Footer">
    <w:name w:val="footer"/>
    <w:basedOn w:val="Normal"/>
    <w:link w:val="FooterChar"/>
    <w:uiPriority w:val="99"/>
    <w:unhideWhenUsed/>
    <w:rsid w:val="002C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22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AE3"/>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22AE3"/>
    <w:rPr>
      <w:rFonts w:ascii="Times New Roman" w:hAnsi="Times New Roman"/>
      <w:b/>
      <w:sz w:val="26"/>
      <w:szCs w:val="26"/>
      <w:vertAlign w:val="superscript"/>
    </w:rPr>
  </w:style>
  <w:style w:type="character" w:styleId="Hyperlink">
    <w:name w:val="Hyperlink"/>
    <w:rsid w:val="00422AE3"/>
    <w:rPr>
      <w:color w:val="0000FF"/>
      <w:u w:val="single"/>
    </w:rPr>
  </w:style>
  <w:style w:type="paragraph" w:styleId="Header">
    <w:name w:val="header"/>
    <w:basedOn w:val="Normal"/>
    <w:link w:val="HeaderChar"/>
    <w:uiPriority w:val="99"/>
    <w:unhideWhenUsed/>
    <w:rsid w:val="00422AE3"/>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422AE3"/>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FF"/>
    <w:rPr>
      <w:rFonts w:ascii="Segoe UI" w:hAnsi="Segoe UI" w:cs="Segoe UI"/>
      <w:sz w:val="18"/>
      <w:szCs w:val="18"/>
    </w:rPr>
  </w:style>
  <w:style w:type="paragraph" w:styleId="Footer">
    <w:name w:val="footer"/>
    <w:basedOn w:val="Normal"/>
    <w:link w:val="FooterChar"/>
    <w:uiPriority w:val="99"/>
    <w:unhideWhenUsed/>
    <w:rsid w:val="002C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3049C-48C0-49F2-B9EB-F5A1549D35A7}">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986B4DDF-7C04-415D-93E7-9BE4108E4298}">
  <ds:schemaRefs>
    <ds:schemaRef ds:uri="http://schemas.microsoft.com/sharepoint/v3/contenttype/forms"/>
  </ds:schemaRefs>
</ds:datastoreItem>
</file>

<file path=customXml/itemProps3.xml><?xml version="1.0" encoding="utf-8"?>
<ds:datastoreItem xmlns:ds="http://schemas.openxmlformats.org/officeDocument/2006/customXml" ds:itemID="{73E3134E-3640-41F9-8DBB-FD40918D36F3}">
  <ds:schemaRefs>
    <ds:schemaRef ds:uri="Microsoft.SharePoint.Taxonomy.ContentTypeSync"/>
  </ds:schemaRefs>
</ds:datastoreItem>
</file>

<file path=customXml/itemProps4.xml><?xml version="1.0" encoding="utf-8"?>
<ds:datastoreItem xmlns:ds="http://schemas.openxmlformats.org/officeDocument/2006/customXml" ds:itemID="{2BF257B5-59FC-49A3-90BF-07621543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2019-01-28T19:53:00Z</dcterms:created>
  <dcterms:modified xsi:type="dcterms:W3CDTF">2019-01-28T19:53:00Z</dcterms:modified>
  <cp:category/>
  <dc:identifier/>
  <cp:contentStatus/>
  <cp:version/>
</cp:coreProperties>
</file>