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189C1" w14:textId="77777777" w:rsidR="006C32B4" w:rsidRPr="00071460" w:rsidRDefault="006C32B4" w:rsidP="00071460">
      <w:pPr>
        <w:tabs>
          <w:tab w:val="left" w:pos="3320"/>
        </w:tabs>
        <w:spacing w:after="0" w:line="240" w:lineRule="auto"/>
        <w:jc w:val="center"/>
        <w:rPr>
          <w:rFonts w:ascii="Times New Roman" w:eastAsia="Calibri" w:hAnsi="Times New Roman" w:cs="Times New Roman"/>
          <w:sz w:val="26"/>
          <w:szCs w:val="26"/>
        </w:rPr>
      </w:pPr>
      <w:bookmarkStart w:id="0" w:name="_GoBack"/>
      <w:bookmarkEnd w:id="0"/>
      <w:r w:rsidRPr="00071460">
        <w:rPr>
          <w:rFonts w:ascii="Times New Roman" w:eastAsia="Calibri" w:hAnsi="Times New Roman" w:cs="Times New Roman"/>
          <w:sz w:val="26"/>
          <w:szCs w:val="26"/>
        </w:rPr>
        <w:t>Supporting Statement for</w:t>
      </w:r>
    </w:p>
    <w:p w14:paraId="6DFE6E8D"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FERC-567, Gas Pipeline Certificates: Annual Reports of System Flow Diagrams and System Capacity</w:t>
      </w:r>
    </w:p>
    <w:p w14:paraId="54E41553" w14:textId="77777777" w:rsidR="00460FD2" w:rsidRPr="00071460" w:rsidRDefault="00460FD2" w:rsidP="00071460">
      <w:pPr>
        <w:spacing w:after="0" w:line="240" w:lineRule="auto"/>
        <w:jc w:val="center"/>
        <w:rPr>
          <w:rFonts w:ascii="Times New Roman" w:eastAsia="Calibri" w:hAnsi="Times New Roman" w:cs="Times New Roman"/>
          <w:sz w:val="26"/>
          <w:szCs w:val="26"/>
        </w:rPr>
      </w:pPr>
      <w:r w:rsidRPr="00071460">
        <w:rPr>
          <w:rFonts w:ascii="Times New Roman" w:eastAsia="Calibri" w:hAnsi="Times New Roman" w:cs="Times New Roman"/>
          <w:sz w:val="26"/>
          <w:szCs w:val="26"/>
        </w:rPr>
        <w:t>(Three-year extension requested)</w:t>
      </w:r>
    </w:p>
    <w:p w14:paraId="4D1305F7" w14:textId="77777777" w:rsidR="006C32B4" w:rsidRPr="00071460" w:rsidRDefault="006C32B4" w:rsidP="00071460">
      <w:pPr>
        <w:spacing w:after="0" w:line="240" w:lineRule="auto"/>
        <w:rPr>
          <w:rFonts w:ascii="Times New Roman" w:eastAsia="Calibri" w:hAnsi="Times New Roman" w:cs="Times New Roman"/>
          <w:b/>
          <w:sz w:val="26"/>
          <w:szCs w:val="26"/>
        </w:rPr>
      </w:pPr>
    </w:p>
    <w:p w14:paraId="6DD8B563" w14:textId="776A61CC"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Federal Energy Regulatory Commission (Commission or FERC) requests that the Office of Management and Budget (OMB) review and </w:t>
      </w:r>
      <w:r w:rsidR="00AF2319" w:rsidRPr="00071460">
        <w:rPr>
          <w:rFonts w:ascii="Times New Roman" w:eastAsia="Calibri" w:hAnsi="Times New Roman" w:cs="Times New Roman"/>
          <w:sz w:val="26"/>
          <w:szCs w:val="26"/>
        </w:rPr>
        <w:t>extend its approval</w:t>
      </w:r>
      <w:r w:rsidR="004D7DCD" w:rsidRPr="00071460">
        <w:rPr>
          <w:rFonts w:ascii="Times New Roman" w:eastAsia="Calibri" w:hAnsi="Times New Roman" w:cs="Times New Roman"/>
          <w:sz w:val="26"/>
          <w:szCs w:val="26"/>
        </w:rPr>
        <w:t xml:space="preserve"> to </w:t>
      </w:r>
      <w:r w:rsidR="00460FD2" w:rsidRPr="00071460">
        <w:rPr>
          <w:rFonts w:ascii="Times New Roman" w:eastAsia="Calibri" w:hAnsi="Times New Roman" w:cs="Times New Roman"/>
          <w:sz w:val="26"/>
          <w:szCs w:val="26"/>
        </w:rPr>
        <w:t>information collection requirements in</w:t>
      </w:r>
      <w:r w:rsidRPr="00071460">
        <w:rPr>
          <w:rFonts w:ascii="Times New Roman" w:eastAsia="Calibri" w:hAnsi="Times New Roman" w:cs="Times New Roman"/>
          <w:sz w:val="26"/>
          <w:szCs w:val="26"/>
        </w:rPr>
        <w:t xml:space="preserve"> FERC-567, </w:t>
      </w:r>
      <w:r w:rsidR="00AF2319" w:rsidRPr="00071460">
        <w:rPr>
          <w:rFonts w:ascii="Times New Roman" w:eastAsia="Calibri" w:hAnsi="Times New Roman" w:cs="Times New Roman"/>
          <w:sz w:val="26"/>
          <w:szCs w:val="26"/>
        </w:rPr>
        <w:t>(</w:t>
      </w:r>
      <w:r w:rsidRPr="00071460">
        <w:rPr>
          <w:rFonts w:ascii="Times New Roman" w:eastAsia="Calibri" w:hAnsi="Times New Roman" w:cs="Times New Roman"/>
          <w:sz w:val="26"/>
          <w:szCs w:val="26"/>
        </w:rPr>
        <w:t>Gas Pipeline Certificates: Annual Reports of System Flow Diagrams and System Capacity, OMB Control No. 1902-0005</w:t>
      </w:r>
      <w:r w:rsidR="004D7DCD" w:rsidRPr="00071460">
        <w:rPr>
          <w:rFonts w:ascii="Times New Roman" w:eastAsia="Calibri" w:hAnsi="Times New Roman" w:cs="Times New Roman"/>
          <w:sz w:val="26"/>
          <w:szCs w:val="26"/>
        </w:rPr>
        <w:t>)</w:t>
      </w:r>
      <w:r w:rsidR="00460FD2" w:rsidRPr="00071460">
        <w:rPr>
          <w:rFonts w:ascii="Times New Roman" w:eastAsia="Calibri" w:hAnsi="Times New Roman" w:cs="Times New Roman"/>
          <w:sz w:val="26"/>
          <w:szCs w:val="26"/>
        </w:rPr>
        <w:t xml:space="preserve">. </w:t>
      </w:r>
    </w:p>
    <w:p w14:paraId="2DB37CF2" w14:textId="77777777" w:rsidR="006C32B4" w:rsidRPr="00071460" w:rsidRDefault="006C32B4" w:rsidP="00071460">
      <w:pPr>
        <w:spacing w:after="0" w:line="240" w:lineRule="auto"/>
        <w:rPr>
          <w:rFonts w:ascii="Times New Roman" w:eastAsia="Calibri" w:hAnsi="Times New Roman" w:cs="Times New Roman"/>
          <w:sz w:val="26"/>
          <w:szCs w:val="26"/>
        </w:rPr>
      </w:pPr>
    </w:p>
    <w:p w14:paraId="59CD0BA1"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71460">
        <w:rPr>
          <w:rFonts w:ascii="Times New Roman" w:eastAsia="Calibri" w:hAnsi="Times New Roman" w:cs="Times New Roman"/>
          <w:b/>
          <w:bCs/>
          <w:sz w:val="26"/>
          <w:szCs w:val="26"/>
        </w:rPr>
        <w:t>CIRCUMSTANCES THAT MAKE THE COLLECTION OF INFORMATION NECESSARY</w:t>
      </w:r>
    </w:p>
    <w:p w14:paraId="2A4416C7"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112A8A5E" w14:textId="4736CEB6" w:rsidR="006C32B4" w:rsidRPr="00071460" w:rsidRDefault="006C32B4" w:rsidP="00071460">
      <w:pPr>
        <w:tabs>
          <w:tab w:val="left" w:pos="-1440"/>
        </w:tabs>
        <w:spacing w:after="200" w:line="240" w:lineRule="auto"/>
        <w:rPr>
          <w:rFonts w:ascii="Times New Roman" w:eastAsia="Calibri" w:hAnsi="Times New Roman" w:cs="Times New Roman"/>
          <w:strike/>
          <w:sz w:val="26"/>
          <w:szCs w:val="26"/>
        </w:rPr>
      </w:pPr>
      <w:r w:rsidRPr="00071460">
        <w:rPr>
          <w:rFonts w:ascii="Times New Roman" w:eastAsia="Calibri" w:hAnsi="Times New Roman" w:cs="Times New Roman"/>
          <w:sz w:val="26"/>
          <w:szCs w:val="26"/>
        </w:rPr>
        <w:t>Under the Natural Gas Act (NGA)</w:t>
      </w:r>
      <w:r w:rsidRPr="00071460">
        <w:rPr>
          <w:rFonts w:ascii="Times New Roman" w:eastAsia="Calibri" w:hAnsi="Times New Roman" w:cs="Times New Roman"/>
          <w:sz w:val="26"/>
          <w:szCs w:val="26"/>
          <w:vertAlign w:val="superscript"/>
        </w:rPr>
        <w:footnoteReference w:id="1"/>
      </w:r>
      <w:r w:rsidRPr="00071460">
        <w:rPr>
          <w:rFonts w:ascii="Times New Roman" w:eastAsia="Calibri" w:hAnsi="Times New Roman" w:cs="Times New Roman"/>
          <w:sz w:val="26"/>
          <w:szCs w:val="26"/>
        </w:rPr>
        <w:t xml:space="preserve">, </w:t>
      </w:r>
      <w:r w:rsidR="0008220F" w:rsidRPr="00071460">
        <w:rPr>
          <w:rFonts w:ascii="Times New Roman" w:eastAsia="Calibri" w:hAnsi="Times New Roman" w:cs="Times New Roman"/>
          <w:sz w:val="26"/>
          <w:szCs w:val="26"/>
        </w:rPr>
        <w:t>a natural gas company must obtain FERC authorization to engage in the transportation of natural gas in interstate commerce, to undertake the construction or extension of any facilities, or to acquire or operate any such facility.  T</w:t>
      </w:r>
      <w:r w:rsidRPr="00071460">
        <w:rPr>
          <w:rFonts w:ascii="Times New Roman" w:eastAsia="Calibri" w:hAnsi="Times New Roman" w:cs="Times New Roman"/>
          <w:sz w:val="26"/>
          <w:szCs w:val="26"/>
        </w:rPr>
        <w:t>he Commission is authorized to make investigations and to collect and record data, to the extent the Commission may deem necessary or useful for the purpose of carrying out the provisions of the NGA.</w:t>
      </w:r>
    </w:p>
    <w:p w14:paraId="280AE2DC" w14:textId="77777777" w:rsidR="006C32B4" w:rsidRPr="00071460" w:rsidRDefault="006C32B4" w:rsidP="00071460">
      <w:pPr>
        <w:widowControl w:val="0"/>
        <w:numPr>
          <w:ilvl w:val="1"/>
          <w:numId w:val="2"/>
        </w:numPr>
        <w:tabs>
          <w:tab w:val="left" w:pos="-1440"/>
          <w:tab w:val="left" w:pos="1440"/>
        </w:tabs>
        <w:autoSpaceDE w:val="0"/>
        <w:autoSpaceDN w:val="0"/>
        <w:adjustRightInd w:val="0"/>
        <w:spacing w:after="0" w:line="240" w:lineRule="auto"/>
        <w:ind w:left="1440" w:hanging="720"/>
        <w:rPr>
          <w:rFonts w:ascii="Times New Roman" w:eastAsia="Calibri" w:hAnsi="Times New Roman" w:cs="Times New Roman"/>
          <w:strike/>
          <w:sz w:val="26"/>
          <w:szCs w:val="26"/>
        </w:rPr>
      </w:pPr>
      <w:r w:rsidRPr="00071460">
        <w:rPr>
          <w:rFonts w:ascii="Times New Roman" w:eastAsia="Calibri" w:hAnsi="Times New Roman" w:cs="Times New Roman"/>
          <w:sz w:val="26"/>
          <w:szCs w:val="26"/>
        </w:rPr>
        <w:t>Section 7 authorizes the Commission to process certificate applications and to analyze impacts of market expansions of new facilities.</w:t>
      </w:r>
    </w:p>
    <w:p w14:paraId="44ADD9EE" w14:textId="77777777" w:rsidR="006C32B4" w:rsidRPr="00071460" w:rsidRDefault="006C32B4" w:rsidP="00071460">
      <w:pPr>
        <w:widowControl w:val="0"/>
        <w:numPr>
          <w:ilvl w:val="1"/>
          <w:numId w:val="2"/>
        </w:numPr>
        <w:tabs>
          <w:tab w:val="left" w:pos="-1440"/>
          <w:tab w:val="left" w:pos="1440"/>
        </w:tabs>
        <w:autoSpaceDE w:val="0"/>
        <w:autoSpaceDN w:val="0"/>
        <w:adjustRightInd w:val="0"/>
        <w:spacing w:after="0" w:line="240" w:lineRule="auto"/>
        <w:ind w:left="1440" w:hanging="720"/>
        <w:rPr>
          <w:rFonts w:ascii="Times New Roman" w:eastAsia="Calibri" w:hAnsi="Times New Roman" w:cs="Times New Roman"/>
          <w:strike/>
          <w:sz w:val="26"/>
          <w:szCs w:val="26"/>
        </w:rPr>
      </w:pPr>
      <w:r w:rsidRPr="00071460">
        <w:rPr>
          <w:rFonts w:ascii="Times New Roman" w:eastAsia="Calibri" w:hAnsi="Times New Roman" w:cs="Times New Roman"/>
          <w:sz w:val="26"/>
          <w:szCs w:val="26"/>
        </w:rPr>
        <w:t>Section 10(a) authorizes the Commission to collect special reports from natural gas companies.</w:t>
      </w:r>
    </w:p>
    <w:p w14:paraId="5C8E484A" w14:textId="77777777" w:rsidR="006C32B4" w:rsidRPr="00071460" w:rsidRDefault="006C32B4" w:rsidP="00071460">
      <w:pPr>
        <w:widowControl w:val="0"/>
        <w:numPr>
          <w:ilvl w:val="1"/>
          <w:numId w:val="2"/>
        </w:numPr>
        <w:tabs>
          <w:tab w:val="left" w:pos="-1440"/>
          <w:tab w:val="left" w:pos="1440"/>
        </w:tabs>
        <w:autoSpaceDE w:val="0"/>
        <w:autoSpaceDN w:val="0"/>
        <w:adjustRightInd w:val="0"/>
        <w:spacing w:after="0" w:line="240" w:lineRule="auto"/>
        <w:ind w:left="1440" w:hanging="720"/>
        <w:rPr>
          <w:rFonts w:ascii="Times New Roman" w:eastAsia="Calibri" w:hAnsi="Times New Roman" w:cs="Times New Roman"/>
          <w:strike/>
          <w:sz w:val="26"/>
          <w:szCs w:val="26"/>
        </w:rPr>
      </w:pPr>
      <w:r w:rsidRPr="00071460">
        <w:rPr>
          <w:rFonts w:ascii="Times New Roman" w:eastAsia="Calibri" w:hAnsi="Times New Roman" w:cs="Times New Roman"/>
          <w:sz w:val="26"/>
          <w:szCs w:val="26"/>
        </w:rPr>
        <w:t>Section 16 provides the Commission administrative power to establish rules, regulations, and orders.</w:t>
      </w:r>
    </w:p>
    <w:p w14:paraId="59782E00" w14:textId="77777777" w:rsidR="006C32B4" w:rsidRPr="00071460" w:rsidRDefault="006C32B4" w:rsidP="00071460">
      <w:pPr>
        <w:widowControl w:val="0"/>
        <w:tabs>
          <w:tab w:val="left" w:pos="-1440"/>
          <w:tab w:val="left" w:pos="1440"/>
        </w:tabs>
        <w:autoSpaceDE w:val="0"/>
        <w:autoSpaceDN w:val="0"/>
        <w:adjustRightInd w:val="0"/>
        <w:spacing w:after="0" w:line="240" w:lineRule="auto"/>
        <w:ind w:left="1440"/>
        <w:rPr>
          <w:rFonts w:ascii="Times New Roman" w:eastAsia="Calibri" w:hAnsi="Times New Roman" w:cs="Times New Roman"/>
          <w:strike/>
          <w:sz w:val="26"/>
          <w:szCs w:val="26"/>
        </w:rPr>
      </w:pPr>
    </w:p>
    <w:p w14:paraId="72899E26"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71460">
        <w:rPr>
          <w:rFonts w:ascii="Times New Roman" w:eastAsia="Calibri" w:hAnsi="Times New Roman" w:cs="Times New Roman"/>
          <w:b/>
          <w:bCs/>
          <w:sz w:val="26"/>
          <w:szCs w:val="26"/>
        </w:rPr>
        <w:t>HOW, BY WHOM, AND FOR WHAT PURPOSE THE INFORMATION IS TO BE USED AND THE CONSEQUENCES OF NOT COLLECTING THE INFORMATION</w:t>
      </w:r>
    </w:p>
    <w:p w14:paraId="24850414"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1DFA38E0" w14:textId="45ADA6A9" w:rsidR="006C32B4" w:rsidRPr="00071460" w:rsidRDefault="006C32B4" w:rsidP="00071460">
      <w:pPr>
        <w:tabs>
          <w:tab w:val="center"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Commission uses the information collected under the requirements of the FERC-567 to obtain accurate data on pipeline facilities.  More specifically, the Commission utilizes the FERC-567 </w:t>
      </w:r>
      <w:r w:rsidR="00313946" w:rsidRPr="00071460">
        <w:rPr>
          <w:rFonts w:ascii="Times New Roman" w:eastAsia="Calibri" w:hAnsi="Times New Roman" w:cs="Times New Roman"/>
          <w:sz w:val="26"/>
          <w:szCs w:val="26"/>
        </w:rPr>
        <w:t xml:space="preserve">data </w:t>
      </w:r>
      <w:r w:rsidRPr="00071460">
        <w:rPr>
          <w:rFonts w:ascii="Times New Roman" w:eastAsia="Calibri" w:hAnsi="Times New Roman" w:cs="Times New Roman"/>
          <w:sz w:val="26"/>
          <w:szCs w:val="26"/>
        </w:rPr>
        <w:t>to validate the need for new facilities proposed by pipelines in certificate applications.  By modeling a pipeline applicant’s system, Commission staff utilizes the FERC-567 data to determine configuration/location of installed pipeline facilities, and verify and determine the receipt and delivery points between shippers, producers and pipeline companies.</w:t>
      </w:r>
      <w:r w:rsidR="008A38BB">
        <w:rPr>
          <w:rFonts w:ascii="Times New Roman" w:eastAsia="Calibri" w:hAnsi="Times New Roman" w:cs="Times New Roman"/>
          <w:sz w:val="26"/>
          <w:szCs w:val="26"/>
        </w:rPr>
        <w:t xml:space="preserve">  </w:t>
      </w:r>
      <w:r w:rsidRPr="00071460">
        <w:rPr>
          <w:rFonts w:ascii="Times New Roman" w:eastAsia="Calibri" w:hAnsi="Times New Roman" w:cs="Times New Roman"/>
          <w:sz w:val="26"/>
          <w:szCs w:val="26"/>
        </w:rPr>
        <w:t xml:space="preserve">Additionally, the Commissions uses the FERC-567 to determine the location of receipt and delivery points and emergency interconnections on a pipeline system, determine the location of  pipeline segments, laterals and compressor </w:t>
      </w:r>
      <w:r w:rsidRPr="00071460">
        <w:rPr>
          <w:rFonts w:ascii="Times New Roman" w:eastAsia="Calibri" w:hAnsi="Times New Roman" w:cs="Times New Roman"/>
          <w:sz w:val="26"/>
          <w:szCs w:val="26"/>
        </w:rPr>
        <w:lastRenderedPageBreak/>
        <w:t xml:space="preserve">stations on a pipeline system, verify pipeline segment lengths and pipeline diameters, justify the maximum allowable operating pressures and suction and discharge pressures at compressor stations, verify the installed horsepower and volumes compressed at each compressor station, determine the existing shippers and producers currently using each pipeline company, and develop and evaluate alternatives to proposed facilities as a means to mitigate environmental impact of new pipeline construction. </w:t>
      </w:r>
    </w:p>
    <w:p w14:paraId="2364B967" w14:textId="77777777" w:rsidR="006C32B4" w:rsidRPr="00071460" w:rsidRDefault="006C32B4" w:rsidP="00071460">
      <w:pPr>
        <w:tabs>
          <w:tab w:val="center"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18 CFR 260.8 requires each major natural gas</w:t>
      </w:r>
      <w:r w:rsidRPr="00071460">
        <w:rPr>
          <w:rFonts w:ascii="Times New Roman" w:eastAsia="Calibri" w:hAnsi="Times New Roman" w:cs="Times New Roman"/>
          <w:sz w:val="26"/>
          <w:szCs w:val="26"/>
          <w:vertAlign w:val="superscript"/>
        </w:rPr>
        <w:footnoteReference w:id="2"/>
      </w:r>
      <w:r w:rsidRPr="00071460">
        <w:rPr>
          <w:rFonts w:ascii="Times New Roman" w:eastAsia="Calibri" w:hAnsi="Times New Roman" w:cs="Times New Roman"/>
          <w:sz w:val="26"/>
          <w:szCs w:val="26"/>
        </w:rPr>
        <w:t xml:space="preserve"> pipeline to file five (5) copies of a diagram or diagrams reflecting operating conditions on the pipeline’s main transmission system</w:t>
      </w:r>
      <w:r w:rsidRPr="00071460">
        <w:rPr>
          <w:rFonts w:ascii="Times New Roman" w:eastAsia="Calibri" w:hAnsi="Times New Roman" w:cs="Times New Roman"/>
          <w:sz w:val="26"/>
          <w:szCs w:val="26"/>
          <w:vertAlign w:val="superscript"/>
        </w:rPr>
        <w:footnoteReference w:id="3"/>
      </w:r>
      <w:r w:rsidRPr="00071460">
        <w:rPr>
          <w:rFonts w:ascii="Times New Roman" w:eastAsia="Calibri" w:hAnsi="Times New Roman" w:cs="Times New Roman"/>
          <w:sz w:val="26"/>
          <w:szCs w:val="26"/>
        </w:rPr>
        <w:t xml:space="preserve"> with the Commission by June 1</w:t>
      </w:r>
      <w:r w:rsidRPr="00071460">
        <w:rPr>
          <w:rFonts w:ascii="Times New Roman" w:eastAsia="Calibri" w:hAnsi="Times New Roman" w:cs="Times New Roman"/>
          <w:sz w:val="26"/>
          <w:szCs w:val="26"/>
          <w:vertAlign w:val="superscript"/>
        </w:rPr>
        <w:t>st</w:t>
      </w:r>
      <w:r w:rsidRPr="00071460">
        <w:rPr>
          <w:rFonts w:ascii="Times New Roman" w:eastAsia="Calibri" w:hAnsi="Times New Roman" w:cs="Times New Roman"/>
          <w:sz w:val="26"/>
          <w:szCs w:val="26"/>
        </w:rPr>
        <w:t xml:space="preserve"> of each year.  However, these reports may be submitted by eFiling. If that option is selected by the respondent, there is no requirement for any paper copies.  </w:t>
      </w:r>
    </w:p>
    <w:p w14:paraId="6A295797" w14:textId="77777777" w:rsidR="006C32B4" w:rsidRPr="00071460" w:rsidRDefault="006C32B4" w:rsidP="00071460">
      <w:pPr>
        <w:tabs>
          <w:tab w:val="center"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These data are physical/engineering data not included as part of any other data collection requirement. </w:t>
      </w:r>
    </w:p>
    <w:p w14:paraId="4F123E61"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6"/>
          <w:szCs w:val="26"/>
        </w:rPr>
      </w:pPr>
      <w:r w:rsidRPr="00071460">
        <w:rPr>
          <w:rFonts w:ascii="Times New Roman" w:eastAsia="Calibri" w:hAnsi="Times New Roman" w:cs="Times New Roman"/>
          <w:b/>
          <w:bCs/>
          <w:sz w:val="26"/>
          <w:szCs w:val="26"/>
        </w:rPr>
        <w:t>DESCRIBE ANY CONSIDERATION OF THE USE OF IMPROVED TECHNOLOGY TO REDUCE BURDEN AND TECHNICAL OR LEGAL OBSTACLES TO REDUCING BURDEN.</w:t>
      </w:r>
    </w:p>
    <w:p w14:paraId="09EFF91E"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56349A43"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Commission continues to expand the list of filing types that may be submitted electronically (as described at </w:t>
      </w:r>
      <w:hyperlink r:id="rId14" w:history="1">
        <w:r w:rsidRPr="00071460">
          <w:rPr>
            <w:rFonts w:ascii="Times New Roman" w:eastAsia="Calibri" w:hAnsi="Times New Roman" w:cs="Times New Roman"/>
            <w:color w:val="0000FF"/>
            <w:sz w:val="26"/>
            <w:szCs w:val="26"/>
            <w:u w:val="single"/>
          </w:rPr>
          <w:t>http://www.ferc.gov/docs-filing/efiling/filing.pdf</w:t>
        </w:r>
      </w:hyperlink>
      <w:r w:rsidRPr="00071460">
        <w:rPr>
          <w:rFonts w:ascii="Times New Roman" w:eastAsia="Calibri" w:hAnsi="Times New Roman" w:cs="Times New Roman"/>
          <w:sz w:val="26"/>
          <w:szCs w:val="26"/>
        </w:rPr>
        <w:t xml:space="preserve">).  The FERC-567 (usually with a security level of Critical Energy Infrastructure Information [CEII]) may be submitted electronically through the FERC’s eFiling system.  </w:t>
      </w:r>
    </w:p>
    <w:p w14:paraId="3B0ED62E" w14:textId="77777777" w:rsidR="006C32B4" w:rsidRPr="00071460" w:rsidRDefault="006C32B4" w:rsidP="00071460">
      <w:pPr>
        <w:tabs>
          <w:tab w:val="center"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As stated previously, 18 CFR 260.8 requires each major natural gas</w:t>
      </w:r>
      <w:r w:rsidRPr="00071460">
        <w:rPr>
          <w:rFonts w:ascii="Times New Roman" w:eastAsia="Calibri" w:hAnsi="Times New Roman" w:cs="Times New Roman"/>
          <w:sz w:val="26"/>
          <w:szCs w:val="26"/>
          <w:vertAlign w:val="superscript"/>
        </w:rPr>
        <w:footnoteReference w:id="4"/>
      </w:r>
      <w:r w:rsidRPr="00071460">
        <w:rPr>
          <w:rFonts w:ascii="Times New Roman" w:eastAsia="Calibri" w:hAnsi="Times New Roman" w:cs="Times New Roman"/>
          <w:sz w:val="26"/>
          <w:szCs w:val="26"/>
        </w:rPr>
        <w:t xml:space="preserve"> pipeline to file five (5) copies of a diagram or diagrams reflecting operating conditions on the pipeline’s main transmission system</w:t>
      </w:r>
      <w:r w:rsidRPr="00071460">
        <w:rPr>
          <w:rFonts w:ascii="Times New Roman" w:eastAsia="Calibri" w:hAnsi="Times New Roman" w:cs="Times New Roman"/>
          <w:sz w:val="26"/>
          <w:szCs w:val="26"/>
          <w:vertAlign w:val="superscript"/>
        </w:rPr>
        <w:footnoteReference w:id="5"/>
      </w:r>
      <w:r w:rsidRPr="00071460">
        <w:rPr>
          <w:rFonts w:ascii="Times New Roman" w:eastAsia="Calibri" w:hAnsi="Times New Roman" w:cs="Times New Roman"/>
          <w:sz w:val="26"/>
          <w:szCs w:val="26"/>
        </w:rPr>
        <w:t xml:space="preserve"> with the Commission by June 1</w:t>
      </w:r>
      <w:r w:rsidRPr="00071460">
        <w:rPr>
          <w:rFonts w:ascii="Times New Roman" w:eastAsia="Calibri" w:hAnsi="Times New Roman" w:cs="Times New Roman"/>
          <w:sz w:val="26"/>
          <w:szCs w:val="26"/>
          <w:vertAlign w:val="superscript"/>
        </w:rPr>
        <w:t>st</w:t>
      </w:r>
      <w:r w:rsidRPr="00071460">
        <w:rPr>
          <w:rFonts w:ascii="Times New Roman" w:eastAsia="Calibri" w:hAnsi="Times New Roman" w:cs="Times New Roman"/>
          <w:sz w:val="26"/>
          <w:szCs w:val="26"/>
        </w:rPr>
        <w:t xml:space="preserve"> of each year.  However, these reports may be submitted by eFiling. If that option is selected by the respondent, there is no requirement for any paper copies.  </w:t>
      </w:r>
    </w:p>
    <w:p w14:paraId="433B7462"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2B3CDBC9" w14:textId="77777777" w:rsidR="0008220F" w:rsidRPr="00071460" w:rsidRDefault="0008220F" w:rsidP="00071460">
      <w:pPr>
        <w:spacing w:after="200" w:line="240" w:lineRule="auto"/>
        <w:rPr>
          <w:rFonts w:ascii="Times New Roman" w:eastAsia="Calibri" w:hAnsi="Times New Roman" w:cs="Times New Roman"/>
          <w:sz w:val="26"/>
          <w:szCs w:val="26"/>
        </w:rPr>
      </w:pPr>
    </w:p>
    <w:p w14:paraId="44B55A80" w14:textId="7F09B06D" w:rsidR="006C32B4" w:rsidRPr="00071460" w:rsidRDefault="0008220F"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Filing requirements are periodically reviewed as information collection expiration dates arise or as the Commission may deem necessary in carrying out its regulatory </w:t>
      </w:r>
      <w:r w:rsidRPr="00071460">
        <w:rPr>
          <w:rFonts w:ascii="Times New Roman" w:eastAsia="Calibri" w:hAnsi="Times New Roman" w:cs="Times New Roman"/>
          <w:sz w:val="26"/>
          <w:szCs w:val="26"/>
        </w:rPr>
        <w:lastRenderedPageBreak/>
        <w:t xml:space="preserve">responsibilities under the NGA in an effort to alleviate duplication.  All Commission information collections are subject to analysis by Commission staff and are examined for redundancy.  </w:t>
      </w:r>
      <w:r w:rsidR="006C32B4" w:rsidRPr="00071460">
        <w:rPr>
          <w:rFonts w:ascii="Times New Roman" w:eastAsia="Calibri" w:hAnsi="Times New Roman" w:cs="Times New Roman"/>
          <w:sz w:val="26"/>
          <w:szCs w:val="26"/>
        </w:rPr>
        <w:t>The Commission is unaware of any other source of information similar to the additional requirements.</w:t>
      </w:r>
    </w:p>
    <w:p w14:paraId="7C5DAC40"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METHODS USED TO MINIMIZE BURDEN IN COLLECTION OF INFORMATION INVOLVING SMALL ENTITIES</w:t>
      </w:r>
    </w:p>
    <w:p w14:paraId="1B9DEE33" w14:textId="77777777" w:rsidR="0064001B" w:rsidRDefault="0064001B" w:rsidP="00071460">
      <w:pPr>
        <w:spacing w:after="200" w:line="240" w:lineRule="auto"/>
        <w:rPr>
          <w:rFonts w:ascii="Times New Roman" w:eastAsia="Calibri" w:hAnsi="Times New Roman" w:cs="Times New Roman"/>
          <w:sz w:val="26"/>
          <w:szCs w:val="26"/>
        </w:rPr>
      </w:pPr>
    </w:p>
    <w:p w14:paraId="6C3152E3" w14:textId="4728EC24" w:rsidR="006C32B4" w:rsidRPr="00071460" w:rsidRDefault="0064001B" w:rsidP="00071460">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Small </w:t>
      </w:r>
      <w:r w:rsidR="006C32B4" w:rsidRPr="00071460">
        <w:rPr>
          <w:rFonts w:ascii="Times New Roman" w:eastAsia="Calibri" w:hAnsi="Times New Roman" w:cs="Times New Roman"/>
          <w:sz w:val="26"/>
          <w:szCs w:val="26"/>
        </w:rPr>
        <w:t>entities have the option of filing electronically through the eFiling interface as a means of reducing their incurred burden.  This is how the Commission attempts to minimize the burden of FERC-567 upon small entities.  However, eFiling is a means of submission available to all respondents with no regard to size.</w:t>
      </w:r>
    </w:p>
    <w:p w14:paraId="3B45B0EC" w14:textId="77777777" w:rsidR="006C32B4" w:rsidRPr="00071460" w:rsidRDefault="006C32B4" w:rsidP="00071460">
      <w:pPr>
        <w:spacing w:after="200" w:line="240" w:lineRule="auto"/>
        <w:rPr>
          <w:rFonts w:ascii="Times New Roman" w:eastAsia="Calibri" w:hAnsi="Times New Roman" w:cs="Times New Roman"/>
          <w:bCs/>
          <w:sz w:val="26"/>
          <w:szCs w:val="26"/>
        </w:rPr>
      </w:pPr>
      <w:r w:rsidRPr="00071460">
        <w:rPr>
          <w:rFonts w:ascii="Times New Roman" w:eastAsia="Calibri" w:hAnsi="Times New Roman" w:cs="Times New Roman"/>
          <w:bCs/>
          <w:sz w:val="26"/>
          <w:szCs w:val="26"/>
        </w:rPr>
        <w:t>The burden will vary among applicants since the information should be specific for each applicant and site.</w:t>
      </w:r>
    </w:p>
    <w:p w14:paraId="7BA11B48"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sz w:val="26"/>
          <w:szCs w:val="26"/>
        </w:rPr>
        <w:t>CONSEQUENCE TO FEDERAL PROGRAM IF COLLECTION WERE CONDUCTED LESS FREQUENTLY</w:t>
      </w:r>
    </w:p>
    <w:p w14:paraId="6EA09948" w14:textId="77777777" w:rsidR="006C32B4" w:rsidRPr="00071460" w:rsidRDefault="006C32B4" w:rsidP="00071460">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22255060"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 consequence of not collecting or collecting this information less frequently would be the Commission’s inability to fulfill its statutory mandates under the NGA and its Rules of Practice and Procedure.  The Commission uses system flow diagrams for regulatory purposes in connection with processing applications filed by interstate pipelines under Sections 7(a), 7(b), and 7(c) of the NGA.  Various investigations and pipeline operations use this information in order to show interconnections with other pipelines, locations of gas supply sources, and the flow of gas and interconnections with customers’ facilities.</w:t>
      </w:r>
    </w:p>
    <w:p w14:paraId="0C89380A"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EXPLAIN ANY SPECIAL CIRCUMSTANCES RELATING TO THE INFORMATION COLLECTION</w:t>
      </w:r>
    </w:p>
    <w:p w14:paraId="07377DDA"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76E3B9BB" w14:textId="77777777" w:rsidR="006C32B4"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If a FERC-567 respondent opts to respond electronically, the requirements of 5 CFR 1320.5 are met.  However, if an applicant opts not to file electronically, they would have to submit five (5) copies per 18 CFR 260.8.  While the Commission encourages applicants to submit their filings electronically, this is the applicant’s option. </w:t>
      </w:r>
    </w:p>
    <w:p w14:paraId="5C921E86" w14:textId="77777777" w:rsidR="00071460" w:rsidRPr="00071460" w:rsidRDefault="00071460" w:rsidP="00071460">
      <w:pPr>
        <w:spacing w:after="200" w:line="240" w:lineRule="auto"/>
        <w:rPr>
          <w:rFonts w:ascii="Times New Roman" w:eastAsia="Calibri" w:hAnsi="Times New Roman" w:cs="Times New Roman"/>
          <w:sz w:val="26"/>
          <w:szCs w:val="26"/>
        </w:rPr>
      </w:pPr>
    </w:p>
    <w:p w14:paraId="19593B37"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DESCRIBE EFFORTS TO CONSULT OUTSIDE THE AGENCY: SUMMARIZE PUBLIC COMMENTS AND THE AGENCY'S RESPONSE TO THESE COMMENTS</w:t>
      </w:r>
    </w:p>
    <w:p w14:paraId="0F415F43"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081B2CA7" w14:textId="0E342C74" w:rsidR="009817E3" w:rsidRPr="00071460" w:rsidRDefault="006C32B4" w:rsidP="00071460">
      <w:pPr>
        <w:tabs>
          <w:tab w:val="left"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In accordance with OMB requirements</w:t>
      </w:r>
      <w:r w:rsidRPr="00071460">
        <w:rPr>
          <w:rFonts w:ascii="Times New Roman" w:eastAsia="Calibri" w:hAnsi="Times New Roman" w:cs="Times New Roman"/>
          <w:sz w:val="26"/>
          <w:szCs w:val="26"/>
          <w:vertAlign w:val="superscript"/>
        </w:rPr>
        <w:footnoteReference w:id="6"/>
      </w:r>
      <w:r w:rsidRPr="00071460">
        <w:rPr>
          <w:rFonts w:ascii="Times New Roman" w:eastAsia="Calibri" w:hAnsi="Times New Roman" w:cs="Times New Roman"/>
          <w:sz w:val="26"/>
          <w:szCs w:val="26"/>
        </w:rPr>
        <w:t xml:space="preserve">, </w:t>
      </w:r>
      <w:r w:rsidR="004D2983" w:rsidRPr="00071460">
        <w:rPr>
          <w:rFonts w:ascii="Times New Roman" w:eastAsia="Calibri" w:hAnsi="Times New Roman" w:cs="Times New Roman"/>
          <w:sz w:val="26"/>
          <w:szCs w:val="26"/>
        </w:rPr>
        <w:t xml:space="preserve"> each FERC activity that results in the revision of an information collection is published in the Federal Register thereby providing</w:t>
      </w:r>
      <w:r w:rsidR="00D0449E">
        <w:rPr>
          <w:rFonts w:ascii="Times New Roman" w:eastAsia="Calibri" w:hAnsi="Times New Roman" w:cs="Times New Roman"/>
          <w:sz w:val="26"/>
          <w:szCs w:val="26"/>
        </w:rPr>
        <w:t xml:space="preserve"> the</w:t>
      </w:r>
      <w:r w:rsidR="004D2983" w:rsidRPr="00071460">
        <w:rPr>
          <w:rFonts w:ascii="Times New Roman" w:eastAsia="Calibri" w:hAnsi="Times New Roman" w:cs="Times New Roman"/>
          <w:sz w:val="26"/>
          <w:szCs w:val="26"/>
        </w:rPr>
        <w:t xml:space="preserve"> public</w:t>
      </w:r>
      <w:r w:rsidR="00D0449E">
        <w:rPr>
          <w:rFonts w:ascii="Times New Roman" w:eastAsia="Calibri" w:hAnsi="Times New Roman" w:cs="Times New Roman"/>
          <w:sz w:val="26"/>
          <w:szCs w:val="26"/>
        </w:rPr>
        <w:t>,</w:t>
      </w:r>
      <w:r w:rsidR="004D2983" w:rsidRPr="00071460">
        <w:rPr>
          <w:rFonts w:ascii="Times New Roman" w:eastAsia="Calibri" w:hAnsi="Times New Roman" w:cs="Times New Roman"/>
          <w:sz w:val="26"/>
          <w:szCs w:val="26"/>
        </w:rPr>
        <w:t xml:space="preserve"> state commissions, Federal agencies, and other interested parties an opportunity to submit data, views, comments, and/or suggestions concerning the approved collections of data. T</w:t>
      </w:r>
      <w:r w:rsidRPr="00071460">
        <w:rPr>
          <w:rFonts w:ascii="Times New Roman" w:eastAsia="Calibri" w:hAnsi="Times New Roman" w:cs="Times New Roman"/>
          <w:sz w:val="26"/>
          <w:szCs w:val="26"/>
        </w:rPr>
        <w:t xml:space="preserve">he Commission published a 60-day notice on </w:t>
      </w:r>
      <w:r w:rsidR="0027102A" w:rsidRPr="00071460">
        <w:rPr>
          <w:rFonts w:ascii="Times New Roman" w:hAnsi="Times New Roman" w:cs="Times New Roman"/>
          <w:sz w:val="26"/>
          <w:szCs w:val="26"/>
        </w:rPr>
        <w:t>07/11/2018</w:t>
      </w:r>
      <w:r w:rsidR="000A223E">
        <w:rPr>
          <w:rFonts w:ascii="Times New Roman" w:hAnsi="Times New Roman" w:cs="Times New Roman"/>
          <w:sz w:val="26"/>
          <w:szCs w:val="26"/>
        </w:rPr>
        <w:t>.</w:t>
      </w:r>
      <w:r w:rsidR="004D7DCD" w:rsidRPr="00071460">
        <w:rPr>
          <w:rStyle w:val="FootnoteReference"/>
          <w:rFonts w:ascii="Times New Roman" w:eastAsia="Calibri" w:hAnsi="Times New Roman" w:cs="Times New Roman"/>
          <w:sz w:val="26"/>
          <w:szCs w:val="26"/>
          <w:vertAlign w:val="superscript"/>
        </w:rPr>
        <w:footnoteReference w:id="7"/>
      </w:r>
      <w:r w:rsidRPr="00071460">
        <w:rPr>
          <w:rFonts w:ascii="Times New Roman" w:eastAsia="Calibri" w:hAnsi="Times New Roman" w:cs="Times New Roman"/>
          <w:sz w:val="26"/>
          <w:szCs w:val="26"/>
        </w:rPr>
        <w:t xml:space="preserve"> </w:t>
      </w:r>
      <w:r w:rsidR="009817E3" w:rsidRPr="00071460">
        <w:rPr>
          <w:rFonts w:ascii="Times New Roman" w:eastAsia="Calibri" w:hAnsi="Times New Roman" w:cs="Times New Roman"/>
          <w:sz w:val="26"/>
          <w:szCs w:val="26"/>
        </w:rPr>
        <w:t xml:space="preserve"> </w:t>
      </w:r>
      <w:r w:rsidR="000A223E">
        <w:rPr>
          <w:rFonts w:ascii="Times New Roman" w:eastAsia="Calibri" w:hAnsi="Times New Roman" w:cs="Times New Roman"/>
          <w:sz w:val="26"/>
          <w:szCs w:val="26"/>
        </w:rPr>
        <w:t>The</w:t>
      </w:r>
      <w:r w:rsidR="009817E3" w:rsidRPr="00071460">
        <w:rPr>
          <w:rFonts w:ascii="Times New Roman" w:eastAsia="Calibri" w:hAnsi="Times New Roman" w:cs="Times New Roman"/>
          <w:sz w:val="26"/>
          <w:szCs w:val="26"/>
        </w:rPr>
        <w:t xml:space="preserve"> 30-day notice </w:t>
      </w:r>
      <w:r w:rsidR="000A223E">
        <w:rPr>
          <w:rFonts w:ascii="Times New Roman" w:eastAsia="Calibri" w:hAnsi="Times New Roman" w:cs="Times New Roman"/>
          <w:sz w:val="26"/>
          <w:szCs w:val="26"/>
        </w:rPr>
        <w:t xml:space="preserve">is being published. </w:t>
      </w:r>
      <w:r w:rsidR="009817E3" w:rsidRPr="00071460">
        <w:rPr>
          <w:rFonts w:ascii="Times New Roman" w:eastAsia="Calibri" w:hAnsi="Times New Roman" w:cs="Times New Roman"/>
          <w:sz w:val="26"/>
          <w:szCs w:val="26"/>
        </w:rPr>
        <w:t xml:space="preserve">  </w:t>
      </w:r>
    </w:p>
    <w:p w14:paraId="59F03C3E" w14:textId="76803780" w:rsidR="006C32B4" w:rsidRPr="00071460" w:rsidRDefault="006C32B4" w:rsidP="00071460">
      <w:pPr>
        <w:tabs>
          <w:tab w:val="left" w:pos="0"/>
        </w:tabs>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Within the public notice, the Commission noted that it would be requesting a three-year extension of the public reporting burden</w:t>
      </w:r>
      <w:r w:rsidR="009817E3" w:rsidRPr="00071460">
        <w:rPr>
          <w:rFonts w:ascii="Times New Roman" w:eastAsia="Calibri" w:hAnsi="Times New Roman" w:cs="Times New Roman"/>
          <w:sz w:val="26"/>
          <w:szCs w:val="26"/>
        </w:rPr>
        <w:t>.</w:t>
      </w:r>
      <w:r w:rsidRPr="00071460">
        <w:rPr>
          <w:rFonts w:ascii="Times New Roman" w:eastAsia="Calibri" w:hAnsi="Times New Roman" w:cs="Times New Roman"/>
          <w:sz w:val="26"/>
          <w:szCs w:val="26"/>
        </w:rPr>
        <w:t xml:space="preserve"> </w:t>
      </w:r>
      <w:r w:rsidR="004D2983" w:rsidRPr="00071460">
        <w:rPr>
          <w:rFonts w:ascii="Times New Roman" w:eastAsia="Calibri" w:hAnsi="Times New Roman" w:cs="Times New Roman"/>
          <w:sz w:val="26"/>
          <w:szCs w:val="26"/>
        </w:rPr>
        <w:t xml:space="preserve">The Commission received no comments from the public in response to the 60-day notice. </w:t>
      </w:r>
      <w:r w:rsidRPr="00071460">
        <w:rPr>
          <w:rFonts w:ascii="Times New Roman" w:eastAsia="Calibri" w:hAnsi="Times New Roman" w:cs="Times New Roman"/>
          <w:sz w:val="26"/>
          <w:szCs w:val="26"/>
        </w:rPr>
        <w:t>.</w:t>
      </w:r>
    </w:p>
    <w:p w14:paraId="70440B7C"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EXPLAIN ANY PAYMENT OR GIFTS TO RESPONDENTS</w:t>
      </w:r>
    </w:p>
    <w:p w14:paraId="7D7982A3"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3995AB50" w14:textId="77777777" w:rsidR="006C32B4" w:rsidRPr="00071460" w:rsidRDefault="000B73C6"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There are n</w:t>
      </w:r>
      <w:r w:rsidR="006C32B4" w:rsidRPr="00071460">
        <w:rPr>
          <w:rFonts w:ascii="Times New Roman" w:eastAsia="Calibri" w:hAnsi="Times New Roman" w:cs="Times New Roman"/>
          <w:sz w:val="26"/>
          <w:szCs w:val="26"/>
        </w:rPr>
        <w:t xml:space="preserve">o payments or gifts </w:t>
      </w:r>
      <w:r w:rsidRPr="00071460">
        <w:rPr>
          <w:rFonts w:ascii="Times New Roman" w:eastAsia="Calibri" w:hAnsi="Times New Roman" w:cs="Times New Roman"/>
          <w:sz w:val="26"/>
          <w:szCs w:val="26"/>
        </w:rPr>
        <w:t>to respondents associated with FERC-567.</w:t>
      </w:r>
    </w:p>
    <w:p w14:paraId="3DD9FEE5"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DESCRIBE ANY ASSURANCE OF CONFIDENTIALITY PROVIDED TO RESPONDENTS</w:t>
      </w:r>
    </w:p>
    <w:p w14:paraId="6F146111"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7BDCCD1F"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Commission classified the FERC-567 data (filed under 18 CFR 260.8) within the definition of CEII and, thus, public access to this data is limited.  </w:t>
      </w:r>
    </w:p>
    <w:p w14:paraId="60B61984" w14:textId="77777777" w:rsidR="006C32B4"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Shortly after the terrorist attacks on 9/11/2001, the Commission began specifically outlining CEII.</w:t>
      </w:r>
      <w:r w:rsidRPr="00071460">
        <w:rPr>
          <w:rFonts w:ascii="Times New Roman" w:eastAsia="Calibri" w:hAnsi="Times New Roman" w:cs="Times New Roman"/>
          <w:b/>
          <w:bCs/>
          <w:sz w:val="26"/>
          <w:szCs w:val="26"/>
        </w:rPr>
        <w:t xml:space="preserve">  </w:t>
      </w:r>
      <w:r w:rsidRPr="00071460">
        <w:rPr>
          <w:rFonts w:ascii="Times New Roman" w:eastAsia="Calibri" w:hAnsi="Times New Roman" w:cs="Times New Roman"/>
          <w:sz w:val="26"/>
          <w:szCs w:val="26"/>
        </w:rPr>
        <w:t>First, the Commission removed documents (such as oversized maps) that were likely to contain detailed specifications of facilities from its public files and Internet pages.  Then, the Commission directed the public to use the Freedom of Information Act (FOIA) request process to obtain this type of information.</w:t>
      </w:r>
      <w:r w:rsidRPr="00071460">
        <w:rPr>
          <w:rFonts w:ascii="Times New Roman" w:eastAsia="Calibri" w:hAnsi="Times New Roman" w:cs="Times New Roman"/>
          <w:b/>
          <w:bCs/>
          <w:sz w:val="26"/>
          <w:szCs w:val="26"/>
        </w:rPr>
        <w:t xml:space="preserve">   </w:t>
      </w:r>
      <w:r w:rsidRPr="00071460">
        <w:rPr>
          <w:rFonts w:ascii="Times New Roman" w:eastAsia="Calibri" w:hAnsi="Times New Roman" w:cs="Times New Roman"/>
          <w:bCs/>
          <w:sz w:val="26"/>
          <w:szCs w:val="26"/>
        </w:rPr>
        <w:t>T</w:t>
      </w:r>
      <w:r w:rsidRPr="00071460">
        <w:rPr>
          <w:rFonts w:ascii="Times New Roman" w:eastAsia="Calibri" w:hAnsi="Times New Roman" w:cs="Times New Roman"/>
          <w:sz w:val="26"/>
          <w:szCs w:val="26"/>
        </w:rPr>
        <w:t xml:space="preserve">he Commission maintains a continuing commitment to protect information regarding critical energy infrastructure by evaluating the effectiveness of the CEII regulations and to making necessary changes. Since 2001, the Commission refined several of its CEII regulations addressing both entities submitting CEII materials and requesters seeking access to CEII materials.  (Additional information on FERC’s CEII program and related landmark orders is available at </w:t>
      </w:r>
      <w:hyperlink r:id="rId15" w:history="1">
        <w:r w:rsidRPr="00071460">
          <w:rPr>
            <w:rFonts w:ascii="Times New Roman" w:eastAsia="Calibri" w:hAnsi="Times New Roman" w:cs="Times New Roman"/>
            <w:color w:val="0000FF"/>
            <w:sz w:val="26"/>
            <w:szCs w:val="26"/>
            <w:u w:val="single"/>
          </w:rPr>
          <w:t>http://www.ferc.gov/legal//maj-ord-reg/land-docs/ceii-rule.asp</w:t>
        </w:r>
      </w:hyperlink>
      <w:r w:rsidRPr="00071460">
        <w:rPr>
          <w:rFonts w:ascii="Times New Roman" w:eastAsia="Calibri" w:hAnsi="Times New Roman" w:cs="Times New Roman"/>
          <w:sz w:val="26"/>
          <w:szCs w:val="26"/>
        </w:rPr>
        <w:t xml:space="preserve"> .)  </w:t>
      </w:r>
    </w:p>
    <w:p w14:paraId="72EE9931" w14:textId="2337A67D" w:rsidR="00071460" w:rsidRPr="00071460" w:rsidRDefault="00071460" w:rsidP="00071460">
      <w:pPr>
        <w:spacing w:after="200" w:line="240" w:lineRule="auto"/>
        <w:rPr>
          <w:rFonts w:ascii="Times New Roman" w:eastAsia="Calibri" w:hAnsi="Times New Roman" w:cs="Times New Roman"/>
          <w:sz w:val="26"/>
          <w:szCs w:val="26"/>
        </w:rPr>
      </w:pPr>
    </w:p>
    <w:p w14:paraId="44FDD583"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1D3FAD12" w14:textId="77777777" w:rsidR="0027102A" w:rsidRPr="00071460" w:rsidRDefault="0027102A" w:rsidP="00071460">
      <w:pPr>
        <w:spacing w:after="0" w:line="240" w:lineRule="auto"/>
        <w:rPr>
          <w:rFonts w:ascii="Times New Roman" w:eastAsia="Calibri" w:hAnsi="Times New Roman" w:cs="Times New Roman"/>
          <w:sz w:val="26"/>
          <w:szCs w:val="26"/>
        </w:rPr>
      </w:pPr>
    </w:p>
    <w:p w14:paraId="58F4E665"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 Commission does not consider any of the questions within the FERC-567 of a sensitive nature that would be considered private.  However, the Commission considers the FERC-567 information as sensitive to the nation’s energy infrastructure because the data contains location and operational data on the nation’s natural gas pipelines. Therefore, the FERC-567 information is classified as CEII (described in greater depth within Question #10).</w:t>
      </w:r>
    </w:p>
    <w:p w14:paraId="4637886F"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ESTIMATED BURDEN OF COLLECTION OF INFORMATION</w:t>
      </w:r>
    </w:p>
    <w:p w14:paraId="5B79D8B3"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4B3C6A94" w14:textId="3203E63A" w:rsidR="006C32B4" w:rsidRPr="00071460" w:rsidRDefault="00313946" w:rsidP="00071460">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071460">
        <w:rPr>
          <w:rFonts w:ascii="Times New Roman" w:hAnsi="Times New Roman" w:cs="Times New Roman"/>
          <w:sz w:val="26"/>
          <w:szCs w:val="26"/>
        </w:rPr>
        <w:t xml:space="preserve"> </w:t>
      </w:r>
      <w:r w:rsidRPr="00071460">
        <w:rPr>
          <w:rFonts w:ascii="Times New Roman" w:eastAsia="Calibri" w:hAnsi="Times New Roman" w:cs="Times New Roman"/>
          <w:sz w:val="26"/>
          <w:szCs w:val="26"/>
        </w:rPr>
        <w:t>Based on the Commission’s recent information with the burden of FERC-567, the estimated burden</w:t>
      </w:r>
      <w:r w:rsidR="000A223E" w:rsidRPr="000A223E">
        <w:rPr>
          <w:rStyle w:val="FootnoteReference"/>
          <w:rFonts w:ascii="Times New Roman" w:eastAsia="Calibri" w:hAnsi="Times New Roman" w:cs="Times New Roman"/>
          <w:sz w:val="26"/>
          <w:szCs w:val="26"/>
          <w:vertAlign w:val="superscript"/>
        </w:rPr>
        <w:footnoteReference w:id="8"/>
      </w:r>
      <w:r w:rsidRPr="00071460">
        <w:rPr>
          <w:rFonts w:ascii="Times New Roman" w:eastAsia="Calibri" w:hAnsi="Times New Roman" w:cs="Times New Roman"/>
          <w:sz w:val="26"/>
          <w:szCs w:val="26"/>
        </w:rPr>
        <w:t xml:space="preserve"> and cost is: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27"/>
        <w:gridCol w:w="1535"/>
        <w:gridCol w:w="1443"/>
        <w:gridCol w:w="1342"/>
        <w:gridCol w:w="1348"/>
        <w:gridCol w:w="1264"/>
      </w:tblGrid>
      <w:tr w:rsidR="006C32B4" w:rsidRPr="00071460" w14:paraId="6DC3C387" w14:textId="77777777" w:rsidTr="00D742F1">
        <w:trPr>
          <w:cantSplit/>
        </w:trPr>
        <w:tc>
          <w:tcPr>
            <w:tcW w:w="5000" w:type="pct"/>
            <w:gridSpan w:val="7"/>
            <w:tcBorders>
              <w:bottom w:val="single" w:sz="4" w:space="0" w:color="auto"/>
            </w:tcBorders>
            <w:shd w:val="clear" w:color="auto" w:fill="D9D9D9"/>
          </w:tcPr>
          <w:p w14:paraId="67D19165"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FERC-567:  Gas Pipeline Certificates: Annual Reports of System Flow Diagrams and System Capacity</w:t>
            </w:r>
          </w:p>
        </w:tc>
      </w:tr>
      <w:tr w:rsidR="006C32B4" w:rsidRPr="00071460" w14:paraId="5758C3CC" w14:textId="77777777" w:rsidTr="00D742F1">
        <w:trPr>
          <w:cantSplit/>
        </w:trPr>
        <w:tc>
          <w:tcPr>
            <w:tcW w:w="878" w:type="pct"/>
            <w:shd w:val="clear" w:color="auto" w:fill="D9D9D9"/>
          </w:tcPr>
          <w:p w14:paraId="0A310B35" w14:textId="77777777" w:rsidR="006C32B4" w:rsidRPr="00071460" w:rsidRDefault="006C32B4" w:rsidP="00071460">
            <w:pPr>
              <w:spacing w:after="0" w:line="240" w:lineRule="auto"/>
              <w:jc w:val="center"/>
              <w:rPr>
                <w:rFonts w:ascii="Times New Roman" w:eastAsia="Calibri" w:hAnsi="Times New Roman" w:cs="Times New Roman"/>
                <w:b/>
                <w:sz w:val="26"/>
                <w:szCs w:val="26"/>
              </w:rPr>
            </w:pPr>
          </w:p>
        </w:tc>
        <w:tc>
          <w:tcPr>
            <w:tcW w:w="744" w:type="pct"/>
            <w:shd w:val="clear" w:color="auto" w:fill="D9D9D9"/>
            <w:vAlign w:val="bottom"/>
          </w:tcPr>
          <w:p w14:paraId="168798CB"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Number of Respondents</w:t>
            </w:r>
            <w:r w:rsidRPr="00071460">
              <w:rPr>
                <w:rFonts w:ascii="Times New Roman" w:eastAsia="Calibri" w:hAnsi="Times New Roman" w:cs="Times New Roman"/>
                <w:b/>
                <w:sz w:val="26"/>
                <w:szCs w:val="26"/>
              </w:rPr>
              <w:br/>
              <w:t>(1)</w:t>
            </w:r>
          </w:p>
        </w:tc>
        <w:tc>
          <w:tcPr>
            <w:tcW w:w="748" w:type="pct"/>
            <w:shd w:val="clear" w:color="auto" w:fill="D9D9D9"/>
            <w:vAlign w:val="bottom"/>
          </w:tcPr>
          <w:p w14:paraId="6AFD617C"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Annual Number of Responses per Respondent</w:t>
            </w:r>
          </w:p>
          <w:p w14:paraId="1591C5AA"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(2)</w:t>
            </w:r>
          </w:p>
        </w:tc>
        <w:tc>
          <w:tcPr>
            <w:tcW w:w="703" w:type="pct"/>
            <w:shd w:val="clear" w:color="auto" w:fill="D9D9D9"/>
            <w:vAlign w:val="bottom"/>
          </w:tcPr>
          <w:p w14:paraId="1458C8BA"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Total Number of Responses (1)*(2)=(3)</w:t>
            </w:r>
          </w:p>
        </w:tc>
        <w:tc>
          <w:tcPr>
            <w:tcW w:w="654" w:type="pct"/>
            <w:shd w:val="clear" w:color="auto" w:fill="D9D9D9"/>
            <w:vAlign w:val="bottom"/>
          </w:tcPr>
          <w:p w14:paraId="2D19435D"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Average Burden Hours &amp; Cost Per Response</w:t>
            </w:r>
            <w:bookmarkStart w:id="1" w:name="_Ref414019473"/>
            <w:r w:rsidRPr="00071460">
              <w:rPr>
                <w:rFonts w:ascii="Times New Roman" w:eastAsia="Calibri" w:hAnsi="Times New Roman" w:cs="Times New Roman"/>
                <w:b/>
                <w:sz w:val="26"/>
                <w:szCs w:val="26"/>
                <w:vertAlign w:val="superscript"/>
              </w:rPr>
              <w:footnoteReference w:id="9"/>
            </w:r>
            <w:bookmarkEnd w:id="1"/>
          </w:p>
          <w:p w14:paraId="3D3A1EAD"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(4)</w:t>
            </w:r>
          </w:p>
        </w:tc>
        <w:tc>
          <w:tcPr>
            <w:tcW w:w="657" w:type="pct"/>
            <w:shd w:val="clear" w:color="auto" w:fill="D9D9D9"/>
            <w:vAlign w:val="bottom"/>
          </w:tcPr>
          <w:p w14:paraId="79B7AF28"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Total Annual Burden Hours &amp; Total Annual Cost</w:t>
            </w:r>
          </w:p>
          <w:p w14:paraId="16C78958"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(3)*(4)=(5)</w:t>
            </w:r>
          </w:p>
        </w:tc>
        <w:tc>
          <w:tcPr>
            <w:tcW w:w="616" w:type="pct"/>
            <w:shd w:val="clear" w:color="auto" w:fill="D9D9D9"/>
            <w:vAlign w:val="bottom"/>
          </w:tcPr>
          <w:p w14:paraId="7FECB986"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Cost per Respondent</w:t>
            </w:r>
          </w:p>
          <w:p w14:paraId="3796519A"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 xml:space="preserve"> ($)</w:t>
            </w:r>
          </w:p>
          <w:p w14:paraId="1CC5479B" w14:textId="77777777" w:rsidR="006C32B4" w:rsidRPr="00071460" w:rsidRDefault="006C32B4" w:rsidP="00071460">
            <w:pPr>
              <w:spacing w:after="0" w:line="240" w:lineRule="auto"/>
              <w:jc w:val="center"/>
              <w:rPr>
                <w:rFonts w:ascii="Times New Roman" w:eastAsia="Calibri" w:hAnsi="Times New Roman" w:cs="Times New Roman"/>
                <w:b/>
                <w:sz w:val="26"/>
                <w:szCs w:val="26"/>
              </w:rPr>
            </w:pPr>
            <w:r w:rsidRPr="00071460">
              <w:rPr>
                <w:rFonts w:ascii="Times New Roman" w:eastAsia="Calibri" w:hAnsi="Times New Roman" w:cs="Times New Roman"/>
                <w:b/>
                <w:sz w:val="26"/>
                <w:szCs w:val="26"/>
              </w:rPr>
              <w:t>(5)÷(1)</w:t>
            </w:r>
          </w:p>
        </w:tc>
      </w:tr>
      <w:tr w:rsidR="006C32B4" w:rsidRPr="00071460" w14:paraId="049DD581" w14:textId="77777777" w:rsidTr="00D742F1">
        <w:trPr>
          <w:cantSplit/>
        </w:trPr>
        <w:tc>
          <w:tcPr>
            <w:tcW w:w="878" w:type="pct"/>
          </w:tcPr>
          <w:p w14:paraId="035C55AF" w14:textId="77777777" w:rsidR="006C32B4" w:rsidRPr="00071460" w:rsidRDefault="006C32B4"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FERC-567 Applicants</w:t>
            </w:r>
          </w:p>
        </w:tc>
        <w:tc>
          <w:tcPr>
            <w:tcW w:w="744" w:type="pct"/>
          </w:tcPr>
          <w:p w14:paraId="084FD59F" w14:textId="76D586DC" w:rsidR="006C32B4" w:rsidRPr="00071460" w:rsidRDefault="00664B7F" w:rsidP="00664B7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748" w:type="pct"/>
          </w:tcPr>
          <w:p w14:paraId="79C2ED54" w14:textId="77777777"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1</w:t>
            </w:r>
          </w:p>
        </w:tc>
        <w:tc>
          <w:tcPr>
            <w:tcW w:w="703" w:type="pct"/>
          </w:tcPr>
          <w:p w14:paraId="4617B50A" w14:textId="78A3A020" w:rsidR="006C32B4" w:rsidRPr="00071460" w:rsidRDefault="00664B7F" w:rsidP="00664B7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197</w:t>
            </w:r>
          </w:p>
        </w:tc>
        <w:tc>
          <w:tcPr>
            <w:tcW w:w="654" w:type="pct"/>
          </w:tcPr>
          <w:p w14:paraId="16890E7C" w14:textId="6B88D852"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3</w:t>
            </w:r>
            <w:r w:rsidR="00E400F8">
              <w:rPr>
                <w:rFonts w:ascii="Times New Roman" w:eastAsia="Calibri" w:hAnsi="Times New Roman" w:cs="Times New Roman"/>
                <w:sz w:val="26"/>
                <w:szCs w:val="26"/>
              </w:rPr>
              <w:t xml:space="preserve"> hrs.;</w:t>
            </w:r>
          </w:p>
          <w:p w14:paraId="22FD7A53" w14:textId="72AFC9EF"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$ 2</w:t>
            </w:r>
            <w:r w:rsidR="006C5B6F">
              <w:rPr>
                <w:rFonts w:ascii="Times New Roman" w:eastAsia="Calibri" w:hAnsi="Times New Roman" w:cs="Times New Roman"/>
                <w:sz w:val="26"/>
                <w:szCs w:val="26"/>
              </w:rPr>
              <w:t>37</w:t>
            </w:r>
          </w:p>
        </w:tc>
        <w:tc>
          <w:tcPr>
            <w:tcW w:w="657" w:type="pct"/>
          </w:tcPr>
          <w:p w14:paraId="6D9735B8" w14:textId="7BDFAA16" w:rsidR="006C5B6F" w:rsidRDefault="00664B7F" w:rsidP="000714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591</w:t>
            </w:r>
            <w:r w:rsidR="00E400F8">
              <w:rPr>
                <w:rFonts w:ascii="Times New Roman" w:eastAsia="Calibri" w:hAnsi="Times New Roman" w:cs="Times New Roman"/>
                <w:sz w:val="26"/>
                <w:szCs w:val="26"/>
              </w:rPr>
              <w:t xml:space="preserve"> hrs.;</w:t>
            </w:r>
          </w:p>
          <w:p w14:paraId="51922785" w14:textId="46AF7A54" w:rsidR="006C32B4" w:rsidRPr="00071460" w:rsidRDefault="006C32B4" w:rsidP="006C5B6F">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w:t>
            </w:r>
            <w:r w:rsidR="006C5B6F">
              <w:rPr>
                <w:rFonts w:ascii="Times New Roman" w:eastAsia="Calibri" w:hAnsi="Times New Roman" w:cs="Times New Roman"/>
                <w:sz w:val="26"/>
                <w:szCs w:val="26"/>
              </w:rPr>
              <w:t>46,689</w:t>
            </w:r>
            <w:r w:rsidRPr="00071460">
              <w:rPr>
                <w:rFonts w:ascii="Times New Roman" w:eastAsia="Calibri" w:hAnsi="Times New Roman" w:cs="Times New Roman"/>
                <w:sz w:val="26"/>
                <w:szCs w:val="26"/>
              </w:rPr>
              <w:t xml:space="preserve"> </w:t>
            </w:r>
          </w:p>
        </w:tc>
        <w:tc>
          <w:tcPr>
            <w:tcW w:w="616" w:type="pct"/>
          </w:tcPr>
          <w:p w14:paraId="6F02FF71" w14:textId="3FA075E8"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w:t>
            </w:r>
            <w:r w:rsidR="006C5B6F">
              <w:rPr>
                <w:rFonts w:ascii="Times New Roman" w:eastAsia="Calibri" w:hAnsi="Times New Roman" w:cs="Times New Roman"/>
                <w:sz w:val="26"/>
                <w:szCs w:val="26"/>
              </w:rPr>
              <w:t>237</w:t>
            </w:r>
          </w:p>
          <w:p w14:paraId="610E81FE" w14:textId="77777777" w:rsidR="006C32B4" w:rsidRPr="00071460" w:rsidRDefault="006C32B4" w:rsidP="00071460">
            <w:pPr>
              <w:spacing w:after="0" w:line="240" w:lineRule="auto"/>
              <w:jc w:val="right"/>
              <w:rPr>
                <w:rFonts w:ascii="Times New Roman" w:eastAsia="Calibri" w:hAnsi="Times New Roman" w:cs="Times New Roman"/>
                <w:sz w:val="26"/>
                <w:szCs w:val="26"/>
              </w:rPr>
            </w:pPr>
          </w:p>
        </w:tc>
      </w:tr>
    </w:tbl>
    <w:p w14:paraId="36145C61" w14:textId="77777777" w:rsidR="006C32B4" w:rsidRPr="00071460" w:rsidRDefault="006C32B4" w:rsidP="00071460">
      <w:pPr>
        <w:autoSpaceDE w:val="0"/>
        <w:autoSpaceDN w:val="0"/>
        <w:adjustRightInd w:val="0"/>
        <w:spacing w:after="0" w:line="240" w:lineRule="auto"/>
        <w:rPr>
          <w:rFonts w:ascii="Times New Roman" w:eastAsia="Calibri" w:hAnsi="Times New Roman" w:cs="Times New Roman"/>
          <w:sz w:val="26"/>
          <w:szCs w:val="26"/>
        </w:rPr>
      </w:pPr>
    </w:p>
    <w:p w14:paraId="4628B6A7"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ESTIMATE OF THE TOTAL ANNUAL COST BURDEN TO RESPONDENT</w:t>
      </w:r>
      <w:r w:rsidRPr="00071460">
        <w:rPr>
          <w:rFonts w:ascii="Times New Roman" w:eastAsia="Calibri" w:hAnsi="Times New Roman" w:cs="Times New Roman"/>
          <w:b/>
          <w:sz w:val="26"/>
          <w:szCs w:val="26"/>
        </w:rPr>
        <w:t>S</w:t>
      </w:r>
    </w:p>
    <w:p w14:paraId="22F3EE1A" w14:textId="77777777" w:rsidR="006C32B4" w:rsidRPr="00071460" w:rsidRDefault="006C32B4" w:rsidP="00071460">
      <w:pPr>
        <w:widowControl w:val="0"/>
        <w:autoSpaceDE w:val="0"/>
        <w:autoSpaceDN w:val="0"/>
        <w:adjustRightInd w:val="0"/>
        <w:spacing w:after="0" w:line="240" w:lineRule="auto"/>
        <w:rPr>
          <w:rFonts w:ascii="Times New Roman" w:eastAsia="Calibri" w:hAnsi="Times New Roman" w:cs="Times New Roman"/>
          <w:sz w:val="26"/>
          <w:szCs w:val="26"/>
        </w:rPr>
      </w:pPr>
    </w:p>
    <w:p w14:paraId="03020F3A" w14:textId="77777777" w:rsidR="000B73C6" w:rsidRPr="00071460" w:rsidRDefault="000B73C6"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There are no non-labor costs currently associated with the FERC-567.</w:t>
      </w:r>
    </w:p>
    <w:p w14:paraId="010EC4E5" w14:textId="77777777" w:rsidR="000B73C6" w:rsidRPr="00071460" w:rsidRDefault="000B73C6" w:rsidP="00071460">
      <w:pPr>
        <w:spacing w:after="0" w:line="240" w:lineRule="auto"/>
        <w:rPr>
          <w:rFonts w:ascii="Times New Roman" w:eastAsia="Calibri" w:hAnsi="Times New Roman" w:cs="Times New Roman"/>
          <w:sz w:val="26"/>
          <w:szCs w:val="26"/>
        </w:rPr>
      </w:pPr>
    </w:p>
    <w:p w14:paraId="2EA427BD" w14:textId="77777777" w:rsidR="006C32B4" w:rsidRPr="00071460" w:rsidRDefault="006C32B4"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All costs are </w:t>
      </w:r>
      <w:r w:rsidR="000B73C6" w:rsidRPr="00071460">
        <w:rPr>
          <w:rFonts w:ascii="Times New Roman" w:eastAsia="Calibri" w:hAnsi="Times New Roman" w:cs="Times New Roman"/>
          <w:sz w:val="26"/>
          <w:szCs w:val="26"/>
        </w:rPr>
        <w:t>associated with</w:t>
      </w:r>
      <w:r w:rsidRPr="00071460">
        <w:rPr>
          <w:rFonts w:ascii="Times New Roman" w:eastAsia="Calibri" w:hAnsi="Times New Roman" w:cs="Times New Roman"/>
          <w:sz w:val="26"/>
          <w:szCs w:val="26"/>
        </w:rPr>
        <w:t xml:space="preserve"> burden hours </w:t>
      </w:r>
      <w:r w:rsidR="000B73C6" w:rsidRPr="00071460">
        <w:rPr>
          <w:rFonts w:ascii="Times New Roman" w:eastAsia="Calibri" w:hAnsi="Times New Roman" w:cs="Times New Roman"/>
          <w:sz w:val="26"/>
          <w:szCs w:val="26"/>
        </w:rPr>
        <w:t xml:space="preserve">(labor) </w:t>
      </w:r>
      <w:r w:rsidRPr="00071460">
        <w:rPr>
          <w:rFonts w:ascii="Times New Roman" w:eastAsia="Calibri" w:hAnsi="Times New Roman" w:cs="Times New Roman"/>
          <w:sz w:val="26"/>
          <w:szCs w:val="26"/>
        </w:rPr>
        <w:t>and are addressed in Question #12 and Question #15.</w:t>
      </w:r>
    </w:p>
    <w:p w14:paraId="6A953E04" w14:textId="77777777" w:rsidR="006C32B4" w:rsidRPr="00071460" w:rsidRDefault="006C32B4" w:rsidP="00071460">
      <w:pPr>
        <w:spacing w:after="0" w:line="240" w:lineRule="auto"/>
        <w:rPr>
          <w:rFonts w:ascii="Times New Roman" w:eastAsia="Calibri" w:hAnsi="Times New Roman" w:cs="Times New Roman"/>
          <w:sz w:val="26"/>
          <w:szCs w:val="26"/>
        </w:rPr>
      </w:pPr>
    </w:p>
    <w:p w14:paraId="7A790DA2"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ESTIMATED ANNUALIZED COST TO FEDERAL GOVERNMENT</w:t>
      </w:r>
    </w:p>
    <w:p w14:paraId="38806503" w14:textId="77777777" w:rsidR="000B73C6" w:rsidRPr="00071460" w:rsidRDefault="000B73C6" w:rsidP="00071460">
      <w:pPr>
        <w:spacing w:after="200" w:line="240" w:lineRule="auto"/>
        <w:rPr>
          <w:rFonts w:ascii="Times New Roman" w:eastAsia="Calibri" w:hAnsi="Times New Roman" w:cs="Times New Roman"/>
          <w:bCs/>
          <w:sz w:val="26"/>
          <w:szCs w:val="26"/>
        </w:rPr>
      </w:pPr>
      <w:r w:rsidRPr="00071460">
        <w:rPr>
          <w:rFonts w:ascii="Times New Roman" w:eastAsia="Calibri" w:hAnsi="Times New Roman" w:cs="Times New Roman"/>
          <w:bCs/>
          <w:sz w:val="26"/>
          <w:szCs w:val="26"/>
        </w:rPr>
        <w:t xml:space="preserve">The estimated annualized cost to the Federal Government for FERC-567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6C32B4" w:rsidRPr="00071460" w14:paraId="60DC3BF5" w14:textId="77777777" w:rsidTr="00D742F1">
        <w:trPr>
          <w:tblHeader/>
        </w:trPr>
        <w:tc>
          <w:tcPr>
            <w:tcW w:w="3200" w:type="dxa"/>
            <w:shd w:val="clear" w:color="auto" w:fill="CCCCCC"/>
          </w:tcPr>
          <w:p w14:paraId="30AFF610" w14:textId="77777777" w:rsidR="006C32B4" w:rsidRPr="00071460" w:rsidRDefault="006C32B4" w:rsidP="00071460">
            <w:pPr>
              <w:autoSpaceDE w:val="0"/>
              <w:autoSpaceDN w:val="0"/>
              <w:adjustRightInd w:val="0"/>
              <w:spacing w:after="0" w:line="240" w:lineRule="auto"/>
              <w:rPr>
                <w:rFonts w:ascii="Times New Roman" w:eastAsia="Times New Roman" w:hAnsi="Times New Roman" w:cs="Times New Roman"/>
                <w:sz w:val="26"/>
                <w:szCs w:val="26"/>
              </w:rPr>
            </w:pPr>
          </w:p>
        </w:tc>
        <w:tc>
          <w:tcPr>
            <w:tcW w:w="3192" w:type="dxa"/>
            <w:shd w:val="clear" w:color="auto" w:fill="CCCCCC"/>
            <w:vAlign w:val="bottom"/>
          </w:tcPr>
          <w:p w14:paraId="697F92B6" w14:textId="77777777" w:rsidR="006C32B4" w:rsidRPr="00071460" w:rsidRDefault="006C32B4" w:rsidP="00071460">
            <w:pPr>
              <w:autoSpaceDE w:val="0"/>
              <w:autoSpaceDN w:val="0"/>
              <w:adjustRightInd w:val="0"/>
              <w:spacing w:after="0" w:line="240" w:lineRule="auto"/>
              <w:jc w:val="center"/>
              <w:rPr>
                <w:rFonts w:ascii="Times New Roman" w:eastAsia="Times New Roman" w:hAnsi="Times New Roman" w:cs="Times New Roman"/>
                <w:b/>
                <w:sz w:val="26"/>
                <w:szCs w:val="26"/>
              </w:rPr>
            </w:pPr>
            <w:r w:rsidRPr="00071460">
              <w:rPr>
                <w:rFonts w:ascii="Times New Roman" w:eastAsia="Times New Roman" w:hAnsi="Times New Roman" w:cs="Times New Roman"/>
                <w:b/>
                <w:sz w:val="26"/>
                <w:szCs w:val="26"/>
              </w:rPr>
              <w:t>Number of Hours or FTE’s</w:t>
            </w:r>
          </w:p>
        </w:tc>
        <w:tc>
          <w:tcPr>
            <w:tcW w:w="3184" w:type="dxa"/>
            <w:shd w:val="clear" w:color="auto" w:fill="CCCCCC"/>
            <w:vAlign w:val="bottom"/>
          </w:tcPr>
          <w:p w14:paraId="5E2C3438" w14:textId="77777777" w:rsidR="006C32B4" w:rsidRPr="00071460" w:rsidRDefault="006C32B4" w:rsidP="00071460">
            <w:pPr>
              <w:autoSpaceDE w:val="0"/>
              <w:autoSpaceDN w:val="0"/>
              <w:adjustRightInd w:val="0"/>
              <w:spacing w:after="0" w:line="240" w:lineRule="auto"/>
              <w:jc w:val="center"/>
              <w:rPr>
                <w:rFonts w:ascii="Times New Roman" w:eastAsia="Times New Roman" w:hAnsi="Times New Roman" w:cs="Times New Roman"/>
                <w:b/>
                <w:sz w:val="26"/>
                <w:szCs w:val="26"/>
              </w:rPr>
            </w:pPr>
            <w:r w:rsidRPr="00071460">
              <w:rPr>
                <w:rFonts w:ascii="Times New Roman" w:eastAsia="Times New Roman" w:hAnsi="Times New Roman" w:cs="Times New Roman"/>
                <w:b/>
                <w:sz w:val="26"/>
                <w:szCs w:val="26"/>
              </w:rPr>
              <w:t>Estimated Annual Federal Cost ($)</w:t>
            </w:r>
            <w:r w:rsidRPr="00071460">
              <w:rPr>
                <w:rFonts w:ascii="Times New Roman" w:eastAsia="Times New Roman" w:hAnsi="Times New Roman" w:cs="Times New Roman"/>
                <w:b/>
                <w:sz w:val="26"/>
                <w:szCs w:val="26"/>
                <w:vertAlign w:val="superscript"/>
              </w:rPr>
              <w:footnoteReference w:id="10"/>
            </w:r>
            <w:r w:rsidRPr="00071460">
              <w:rPr>
                <w:rFonts w:ascii="Times New Roman" w:eastAsia="Times New Roman" w:hAnsi="Times New Roman" w:cs="Times New Roman"/>
                <w:b/>
                <w:sz w:val="26"/>
                <w:szCs w:val="26"/>
              </w:rPr>
              <w:t xml:space="preserve"> </w:t>
            </w:r>
          </w:p>
        </w:tc>
      </w:tr>
      <w:tr w:rsidR="006C32B4" w:rsidRPr="00071460" w14:paraId="735166E0" w14:textId="77777777" w:rsidTr="00D742F1">
        <w:trPr>
          <w:tblHeader/>
        </w:trPr>
        <w:tc>
          <w:tcPr>
            <w:tcW w:w="3200" w:type="dxa"/>
          </w:tcPr>
          <w:p w14:paraId="7BF50A41" w14:textId="77777777" w:rsidR="006C32B4" w:rsidRPr="00071460" w:rsidRDefault="006C32B4" w:rsidP="00071460">
            <w:pPr>
              <w:autoSpaceDE w:val="0"/>
              <w:autoSpaceDN w:val="0"/>
              <w:adjustRightInd w:val="0"/>
              <w:spacing w:after="0" w:line="240" w:lineRule="auto"/>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PRA</w:t>
            </w:r>
            <w:r w:rsidRPr="00071460">
              <w:rPr>
                <w:rFonts w:ascii="Times New Roman" w:eastAsia="Times New Roman" w:hAnsi="Times New Roman" w:cs="Times New Roman"/>
                <w:b/>
                <w:sz w:val="26"/>
                <w:szCs w:val="26"/>
                <w:vertAlign w:val="superscript"/>
              </w:rPr>
              <w:footnoteReference w:id="11"/>
            </w:r>
            <w:r w:rsidRPr="00071460">
              <w:rPr>
                <w:rFonts w:ascii="Times New Roman" w:eastAsia="Times New Roman" w:hAnsi="Times New Roman" w:cs="Times New Roman"/>
                <w:b/>
                <w:sz w:val="26"/>
                <w:szCs w:val="26"/>
              </w:rPr>
              <w:t xml:space="preserve"> </w:t>
            </w:r>
            <w:r w:rsidRPr="00071460">
              <w:rPr>
                <w:rFonts w:ascii="Times New Roman" w:eastAsia="Times New Roman" w:hAnsi="Times New Roman" w:cs="Times New Roman"/>
                <w:sz w:val="26"/>
                <w:szCs w:val="26"/>
              </w:rPr>
              <w:t>Administration Cost</w:t>
            </w:r>
            <w:r w:rsidRPr="00071460">
              <w:rPr>
                <w:rFonts w:ascii="Times New Roman" w:eastAsia="Times New Roman" w:hAnsi="Times New Roman" w:cs="Times New Roman"/>
                <w:b/>
                <w:sz w:val="26"/>
                <w:szCs w:val="26"/>
                <w:vertAlign w:val="superscript"/>
              </w:rPr>
              <w:footnoteReference w:id="12"/>
            </w:r>
          </w:p>
        </w:tc>
        <w:tc>
          <w:tcPr>
            <w:tcW w:w="3192" w:type="dxa"/>
            <w:shd w:val="clear" w:color="auto" w:fill="FFFFFF"/>
            <w:vAlign w:val="center"/>
          </w:tcPr>
          <w:p w14:paraId="0297612B" w14:textId="0D4DAE6B" w:rsidR="006C32B4" w:rsidRPr="00071460" w:rsidRDefault="00313946" w:rsidP="00071460">
            <w:pPr>
              <w:autoSpaceDE w:val="0"/>
              <w:autoSpaceDN w:val="0"/>
              <w:adjustRightInd w:val="0"/>
              <w:spacing w:after="0" w:line="240" w:lineRule="auto"/>
              <w:jc w:val="right"/>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1</w:t>
            </w:r>
          </w:p>
        </w:tc>
        <w:tc>
          <w:tcPr>
            <w:tcW w:w="3184" w:type="dxa"/>
            <w:vAlign w:val="center"/>
          </w:tcPr>
          <w:p w14:paraId="04776459" w14:textId="4D080DAA" w:rsidR="006C32B4" w:rsidRPr="00071460" w:rsidRDefault="006C32B4" w:rsidP="00071460">
            <w:pPr>
              <w:autoSpaceDE w:val="0"/>
              <w:autoSpaceDN w:val="0"/>
              <w:adjustRightInd w:val="0"/>
              <w:spacing w:after="0" w:line="240" w:lineRule="auto"/>
              <w:jc w:val="right"/>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w:t>
            </w:r>
            <w:r w:rsidR="00313946" w:rsidRPr="00071460">
              <w:rPr>
                <w:rFonts w:ascii="Times New Roman" w:eastAsia="Times New Roman" w:hAnsi="Times New Roman" w:cs="Times New Roman"/>
                <w:sz w:val="26"/>
                <w:szCs w:val="26"/>
              </w:rPr>
              <w:t>4,931.00</w:t>
            </w:r>
            <w:r w:rsidRPr="00071460">
              <w:rPr>
                <w:rFonts w:ascii="Times New Roman" w:eastAsia="Times New Roman" w:hAnsi="Times New Roman" w:cs="Times New Roman"/>
                <w:sz w:val="26"/>
                <w:szCs w:val="26"/>
              </w:rPr>
              <w:t xml:space="preserve"> </w:t>
            </w:r>
          </w:p>
        </w:tc>
      </w:tr>
      <w:tr w:rsidR="006C32B4" w:rsidRPr="00071460" w14:paraId="053309A5" w14:textId="77777777" w:rsidTr="00D742F1">
        <w:trPr>
          <w:tblHeader/>
        </w:trPr>
        <w:tc>
          <w:tcPr>
            <w:tcW w:w="3200" w:type="dxa"/>
          </w:tcPr>
          <w:p w14:paraId="14E48738" w14:textId="77777777" w:rsidR="006C32B4" w:rsidRPr="00071460" w:rsidRDefault="006C32B4" w:rsidP="00071460">
            <w:pPr>
              <w:autoSpaceDE w:val="0"/>
              <w:autoSpaceDN w:val="0"/>
              <w:adjustRightInd w:val="0"/>
              <w:spacing w:after="0" w:line="240" w:lineRule="auto"/>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Data Processing and Analysis</w:t>
            </w:r>
          </w:p>
        </w:tc>
        <w:tc>
          <w:tcPr>
            <w:tcW w:w="3192" w:type="dxa"/>
            <w:vAlign w:val="center"/>
          </w:tcPr>
          <w:p w14:paraId="1E24309C" w14:textId="7828F245" w:rsidR="006C32B4" w:rsidRPr="00071460" w:rsidRDefault="00313946" w:rsidP="00071460">
            <w:pPr>
              <w:autoSpaceDE w:val="0"/>
              <w:autoSpaceDN w:val="0"/>
              <w:adjustRightInd w:val="0"/>
              <w:spacing w:after="0" w:line="240" w:lineRule="auto"/>
              <w:jc w:val="right"/>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0.50</w:t>
            </w:r>
          </w:p>
        </w:tc>
        <w:tc>
          <w:tcPr>
            <w:tcW w:w="3184" w:type="dxa"/>
            <w:vAlign w:val="center"/>
          </w:tcPr>
          <w:p w14:paraId="6D698C2A" w14:textId="48F3D3C1" w:rsidR="006C32B4" w:rsidRPr="00071460" w:rsidRDefault="006C32B4" w:rsidP="00071460">
            <w:pPr>
              <w:autoSpaceDE w:val="0"/>
              <w:autoSpaceDN w:val="0"/>
              <w:adjustRightInd w:val="0"/>
              <w:spacing w:after="0" w:line="240" w:lineRule="auto"/>
              <w:jc w:val="right"/>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w:t>
            </w:r>
            <w:r w:rsidR="00313946" w:rsidRPr="00071460">
              <w:rPr>
                <w:rFonts w:ascii="Times New Roman" w:eastAsia="Times New Roman" w:hAnsi="Times New Roman" w:cs="Times New Roman"/>
                <w:sz w:val="26"/>
                <w:szCs w:val="26"/>
              </w:rPr>
              <w:t>82,410.00</w:t>
            </w:r>
          </w:p>
        </w:tc>
      </w:tr>
      <w:tr w:rsidR="006C32B4" w:rsidRPr="00071460" w14:paraId="62F57B73" w14:textId="77777777" w:rsidTr="00D742F1">
        <w:trPr>
          <w:tblHeader/>
        </w:trPr>
        <w:tc>
          <w:tcPr>
            <w:tcW w:w="3200" w:type="dxa"/>
          </w:tcPr>
          <w:p w14:paraId="12059F17" w14:textId="77777777" w:rsidR="006C32B4" w:rsidRPr="00071460" w:rsidRDefault="006C32B4" w:rsidP="00071460">
            <w:pPr>
              <w:autoSpaceDE w:val="0"/>
              <w:autoSpaceDN w:val="0"/>
              <w:adjustRightInd w:val="0"/>
              <w:spacing w:after="0" w:line="240" w:lineRule="auto"/>
              <w:rPr>
                <w:rFonts w:ascii="Times New Roman" w:eastAsia="Times New Roman" w:hAnsi="Times New Roman" w:cs="Times New Roman"/>
                <w:b/>
                <w:sz w:val="26"/>
                <w:szCs w:val="26"/>
              </w:rPr>
            </w:pPr>
            <w:r w:rsidRPr="00071460">
              <w:rPr>
                <w:rFonts w:ascii="Times New Roman" w:eastAsia="Times New Roman" w:hAnsi="Times New Roman" w:cs="Times New Roman"/>
                <w:b/>
                <w:sz w:val="26"/>
                <w:szCs w:val="26"/>
              </w:rPr>
              <w:t>FERC Total</w:t>
            </w:r>
          </w:p>
        </w:tc>
        <w:tc>
          <w:tcPr>
            <w:tcW w:w="3192" w:type="dxa"/>
            <w:vAlign w:val="center"/>
          </w:tcPr>
          <w:p w14:paraId="7CB4E5E8" w14:textId="55E33222" w:rsidR="006C32B4" w:rsidRPr="00071460" w:rsidRDefault="006C32B4" w:rsidP="00071460">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184" w:type="dxa"/>
            <w:vAlign w:val="center"/>
          </w:tcPr>
          <w:p w14:paraId="42E4EA18" w14:textId="4D0F63A9" w:rsidR="006C32B4" w:rsidRPr="00071460" w:rsidRDefault="006C32B4" w:rsidP="00071460">
            <w:pPr>
              <w:autoSpaceDE w:val="0"/>
              <w:autoSpaceDN w:val="0"/>
              <w:adjustRightInd w:val="0"/>
              <w:spacing w:after="0" w:line="240" w:lineRule="auto"/>
              <w:jc w:val="right"/>
              <w:rPr>
                <w:rFonts w:ascii="Times New Roman" w:eastAsia="Times New Roman" w:hAnsi="Times New Roman" w:cs="Times New Roman"/>
                <w:sz w:val="26"/>
                <w:szCs w:val="26"/>
              </w:rPr>
            </w:pPr>
            <w:r w:rsidRPr="00071460">
              <w:rPr>
                <w:rFonts w:ascii="Times New Roman" w:eastAsia="Times New Roman" w:hAnsi="Times New Roman" w:cs="Times New Roman"/>
                <w:sz w:val="26"/>
                <w:szCs w:val="26"/>
              </w:rPr>
              <w:t>$</w:t>
            </w:r>
            <w:r w:rsidR="00313946" w:rsidRPr="00071460">
              <w:rPr>
                <w:rFonts w:ascii="Times New Roman" w:eastAsia="Times New Roman" w:hAnsi="Times New Roman" w:cs="Times New Roman"/>
                <w:sz w:val="26"/>
                <w:szCs w:val="26"/>
              </w:rPr>
              <w:t>87,341.00</w:t>
            </w:r>
          </w:p>
        </w:tc>
      </w:tr>
    </w:tbl>
    <w:p w14:paraId="7E8DD7B8" w14:textId="77777777" w:rsidR="000B73C6" w:rsidRPr="00071460" w:rsidRDefault="000B73C6" w:rsidP="00071460">
      <w:pPr>
        <w:spacing w:after="0" w:line="240" w:lineRule="auto"/>
        <w:rPr>
          <w:rFonts w:ascii="Times New Roman" w:eastAsia="Calibri" w:hAnsi="Times New Roman" w:cs="Times New Roman"/>
          <w:sz w:val="26"/>
          <w:szCs w:val="26"/>
        </w:rPr>
      </w:pPr>
    </w:p>
    <w:p w14:paraId="2299B218" w14:textId="77777777" w:rsidR="000B73C6" w:rsidRPr="00071460" w:rsidRDefault="000B73C6"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7D520D1E" w14:textId="77777777" w:rsidR="000B73C6" w:rsidRPr="00071460" w:rsidRDefault="000B73C6" w:rsidP="00071460">
      <w:pPr>
        <w:spacing w:after="0" w:line="240" w:lineRule="auto"/>
        <w:rPr>
          <w:rFonts w:ascii="Times New Roman" w:eastAsia="Calibri" w:hAnsi="Times New Roman" w:cs="Times New Roman"/>
          <w:sz w:val="26"/>
          <w:szCs w:val="26"/>
        </w:rPr>
      </w:pPr>
    </w:p>
    <w:p w14:paraId="4FCE4643" w14:textId="77777777" w:rsidR="000B73C6" w:rsidRPr="00071460" w:rsidRDefault="000B73C6"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376A56AD" w14:textId="77777777" w:rsidR="006C32B4" w:rsidRPr="00071460" w:rsidRDefault="006C32B4" w:rsidP="00071460">
      <w:pPr>
        <w:spacing w:after="0" w:line="240" w:lineRule="auto"/>
        <w:rPr>
          <w:rFonts w:ascii="Times New Roman" w:eastAsia="Calibri" w:hAnsi="Times New Roman" w:cs="Times New Roman"/>
          <w:sz w:val="26"/>
          <w:szCs w:val="26"/>
        </w:rPr>
      </w:pPr>
    </w:p>
    <w:p w14:paraId="058BF8A1"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REASONS FOR CHANGES IN BURDEN INCLUDING THE NEED FOR ANY INCREASE</w:t>
      </w:r>
    </w:p>
    <w:p w14:paraId="65CDDA6E" w14:textId="77777777" w:rsidR="006C32B4" w:rsidRPr="00071460" w:rsidRDefault="006C32B4" w:rsidP="00071460">
      <w:pPr>
        <w:widowControl w:val="0"/>
        <w:autoSpaceDE w:val="0"/>
        <w:autoSpaceDN w:val="0"/>
        <w:adjustRightInd w:val="0"/>
        <w:spacing w:after="0" w:line="240" w:lineRule="auto"/>
        <w:rPr>
          <w:rFonts w:ascii="Times New Roman" w:eastAsia="Calibri" w:hAnsi="Times New Roman" w:cs="Times New Roman"/>
          <w:sz w:val="26"/>
          <w:szCs w:val="26"/>
        </w:rPr>
      </w:pPr>
    </w:p>
    <w:p w14:paraId="0A3E66E8" w14:textId="77777777" w:rsidR="00313946" w:rsidRPr="00071460" w:rsidRDefault="00313946" w:rsidP="00071460">
      <w:pPr>
        <w:pStyle w:val="FERCparanumber"/>
        <w:numPr>
          <w:ilvl w:val="0"/>
          <w:numId w:val="0"/>
        </w:numPr>
        <w:spacing w:line="240" w:lineRule="auto"/>
        <w:rPr>
          <w:szCs w:val="26"/>
        </w:rPr>
      </w:pPr>
    </w:p>
    <w:p w14:paraId="3BD62ECA" w14:textId="3E17B773" w:rsidR="001A705F" w:rsidRPr="00071460" w:rsidRDefault="00313946" w:rsidP="006A4A44">
      <w:pPr>
        <w:pStyle w:val="FERCparanumber"/>
        <w:numPr>
          <w:ilvl w:val="0"/>
          <w:numId w:val="0"/>
        </w:numPr>
        <w:spacing w:line="240" w:lineRule="auto"/>
        <w:rPr>
          <w:rFonts w:eastAsia="Calibri"/>
          <w:highlight w:val="yellow"/>
        </w:rPr>
      </w:pPr>
      <w:r w:rsidRPr="00071460">
        <w:rPr>
          <w:szCs w:val="26"/>
        </w:rPr>
        <w:t>There is an increase</w:t>
      </w:r>
      <w:r w:rsidR="00E400F8">
        <w:rPr>
          <w:szCs w:val="26"/>
        </w:rPr>
        <w:t xml:space="preserve"> </w:t>
      </w:r>
      <w:r w:rsidR="0074156D">
        <w:rPr>
          <w:szCs w:val="26"/>
        </w:rPr>
        <w:t xml:space="preserve">(adjustment in estimate) </w:t>
      </w:r>
      <w:r w:rsidR="00E400F8">
        <w:rPr>
          <w:szCs w:val="26"/>
        </w:rPr>
        <w:t>from 93 responses to 197 respondents and responses</w:t>
      </w:r>
      <w:r w:rsidRPr="00071460">
        <w:rPr>
          <w:szCs w:val="26"/>
        </w:rPr>
        <w:t xml:space="preserve"> and </w:t>
      </w:r>
      <w:r w:rsidR="00E400F8">
        <w:rPr>
          <w:szCs w:val="26"/>
        </w:rPr>
        <w:t>an increase from 279 burden hours to 591</w:t>
      </w:r>
      <w:r w:rsidRPr="00071460">
        <w:rPr>
          <w:szCs w:val="26"/>
        </w:rPr>
        <w:t xml:space="preserve"> annual burden hours in this renewal. </w:t>
      </w:r>
    </w:p>
    <w:p w14:paraId="5FA46264" w14:textId="4D34B380" w:rsidR="000B73C6" w:rsidRPr="00071460" w:rsidRDefault="000B73C6" w:rsidP="00071460">
      <w:pPr>
        <w:spacing w:after="200" w:line="240" w:lineRule="auto"/>
        <w:rPr>
          <w:rFonts w:ascii="Times New Roman" w:eastAsia="Calibri" w:hAnsi="Times New Roman" w:cs="Times New Roman"/>
          <w:bCs/>
          <w:sz w:val="26"/>
          <w:szCs w:val="26"/>
        </w:rPr>
      </w:pPr>
      <w:r w:rsidRPr="00071460">
        <w:rPr>
          <w:rFonts w:ascii="Times New Roman" w:eastAsia="Calibri" w:hAnsi="Times New Roman" w:cs="Times New Roman"/>
          <w:bCs/>
          <w:sz w:val="26"/>
          <w:szCs w:val="26"/>
        </w:rPr>
        <w:t>The burden for FERC-567 has increased</w:t>
      </w:r>
      <w:r w:rsidR="009817E3" w:rsidRPr="00071460">
        <w:rPr>
          <w:rFonts w:ascii="Times New Roman" w:eastAsia="Calibri" w:hAnsi="Times New Roman" w:cs="Times New Roman"/>
          <w:bCs/>
          <w:sz w:val="26"/>
          <w:szCs w:val="26"/>
        </w:rPr>
        <w:t xml:space="preserve"> due to the additional pipeline companies formed</w:t>
      </w:r>
      <w:r w:rsidR="00E400F8">
        <w:rPr>
          <w:rFonts w:ascii="Times New Roman" w:eastAsia="Calibri" w:hAnsi="Times New Roman" w:cs="Times New Roman"/>
          <w:bCs/>
          <w:sz w:val="26"/>
          <w:szCs w:val="26"/>
        </w:rPr>
        <w:t xml:space="preserve"> and reporting during this renewal period.</w:t>
      </w:r>
      <w:r w:rsidRPr="00071460">
        <w:rPr>
          <w:rFonts w:ascii="Times New Roman" w:eastAsia="Calibri" w:hAnsi="Times New Roman" w:cs="Times New Roman"/>
          <w:bCs/>
          <w:sz w:val="26"/>
          <w:szCs w:val="26"/>
        </w:rPr>
        <w:t xml:space="preserve"> </w:t>
      </w:r>
    </w:p>
    <w:p w14:paraId="405F7FFA"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 Commission estimates the annual public reporting burden for the information collection as:</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6C32B4" w:rsidRPr="00071460" w14:paraId="3938FEE3" w14:textId="77777777" w:rsidTr="00D742F1">
        <w:trPr>
          <w:trHeight w:val="870"/>
        </w:trPr>
        <w:tc>
          <w:tcPr>
            <w:tcW w:w="2589" w:type="dxa"/>
            <w:shd w:val="clear" w:color="auto" w:fill="D9D9D9"/>
            <w:vAlign w:val="bottom"/>
          </w:tcPr>
          <w:p w14:paraId="57031F39" w14:textId="77777777" w:rsidR="006C32B4" w:rsidRPr="00071460" w:rsidRDefault="006C32B4" w:rsidP="00071460">
            <w:pPr>
              <w:spacing w:after="0" w:line="240" w:lineRule="auto"/>
              <w:rPr>
                <w:rFonts w:ascii="Times New Roman" w:eastAsia="Calibri" w:hAnsi="Times New Roman" w:cs="Times New Roman"/>
                <w:b/>
                <w:sz w:val="26"/>
                <w:szCs w:val="26"/>
              </w:rPr>
            </w:pPr>
            <w:r w:rsidRPr="00071460">
              <w:rPr>
                <w:rFonts w:ascii="Times New Roman" w:eastAsia="Calibri" w:hAnsi="Times New Roman" w:cs="Times New Roman"/>
                <w:b/>
                <w:sz w:val="26"/>
                <w:szCs w:val="26"/>
              </w:rPr>
              <w:t>FERC-567</w:t>
            </w:r>
          </w:p>
        </w:tc>
        <w:tc>
          <w:tcPr>
            <w:tcW w:w="1779" w:type="dxa"/>
            <w:shd w:val="clear" w:color="auto" w:fill="D9D9D9"/>
            <w:vAlign w:val="bottom"/>
          </w:tcPr>
          <w:p w14:paraId="2DD1B1AA" w14:textId="77777777" w:rsidR="006C32B4" w:rsidRPr="00071460" w:rsidRDefault="006C32B4" w:rsidP="00071460">
            <w:pPr>
              <w:spacing w:after="0" w:line="240" w:lineRule="auto"/>
              <w:rPr>
                <w:rFonts w:ascii="Times New Roman" w:eastAsia="Calibri" w:hAnsi="Times New Roman" w:cs="Times New Roman"/>
                <w:b/>
                <w:sz w:val="26"/>
                <w:szCs w:val="26"/>
              </w:rPr>
            </w:pPr>
            <w:r w:rsidRPr="00071460">
              <w:rPr>
                <w:rFonts w:ascii="Times New Roman" w:eastAsia="Calibri" w:hAnsi="Times New Roman" w:cs="Times New Roman"/>
                <w:b/>
                <w:sz w:val="26"/>
                <w:szCs w:val="26"/>
              </w:rPr>
              <w:t>Total Request</w:t>
            </w:r>
          </w:p>
        </w:tc>
        <w:tc>
          <w:tcPr>
            <w:tcW w:w="1959" w:type="dxa"/>
            <w:shd w:val="clear" w:color="auto" w:fill="D9D9D9"/>
            <w:vAlign w:val="bottom"/>
          </w:tcPr>
          <w:p w14:paraId="60998612" w14:textId="77777777" w:rsidR="006C32B4" w:rsidRPr="00071460" w:rsidRDefault="006C32B4" w:rsidP="00071460">
            <w:pPr>
              <w:spacing w:after="0" w:line="240" w:lineRule="auto"/>
              <w:rPr>
                <w:rFonts w:ascii="Times New Roman" w:eastAsia="Calibri" w:hAnsi="Times New Roman" w:cs="Times New Roman"/>
                <w:b/>
                <w:sz w:val="26"/>
                <w:szCs w:val="26"/>
              </w:rPr>
            </w:pPr>
            <w:r w:rsidRPr="00071460">
              <w:rPr>
                <w:rFonts w:ascii="Times New Roman" w:eastAsia="Calibri" w:hAnsi="Times New Roman" w:cs="Times New Roman"/>
                <w:b/>
                <w:sz w:val="26"/>
                <w:szCs w:val="26"/>
              </w:rPr>
              <w:t>Previously Approved</w:t>
            </w:r>
          </w:p>
        </w:tc>
        <w:tc>
          <w:tcPr>
            <w:tcW w:w="1683" w:type="dxa"/>
            <w:shd w:val="clear" w:color="auto" w:fill="D9D9D9"/>
            <w:vAlign w:val="bottom"/>
          </w:tcPr>
          <w:p w14:paraId="7CB94D08" w14:textId="77777777" w:rsidR="006C32B4" w:rsidRPr="00071460" w:rsidRDefault="006C32B4" w:rsidP="00071460">
            <w:pPr>
              <w:spacing w:after="0" w:line="240" w:lineRule="auto"/>
              <w:rPr>
                <w:rFonts w:ascii="Times New Roman" w:eastAsia="Calibri" w:hAnsi="Times New Roman" w:cs="Times New Roman"/>
                <w:b/>
                <w:sz w:val="26"/>
                <w:szCs w:val="26"/>
              </w:rPr>
            </w:pPr>
            <w:r w:rsidRPr="00071460">
              <w:rPr>
                <w:rFonts w:ascii="Times New Roman" w:eastAsia="Calibri" w:hAnsi="Times New Roman" w:cs="Times New Roman"/>
                <w:b/>
                <w:sz w:val="26"/>
                <w:szCs w:val="26"/>
              </w:rPr>
              <w:t>Change due to Adjustment in Estimate</w:t>
            </w:r>
          </w:p>
        </w:tc>
        <w:tc>
          <w:tcPr>
            <w:tcW w:w="1357" w:type="dxa"/>
            <w:shd w:val="clear" w:color="auto" w:fill="D9D9D9"/>
            <w:vAlign w:val="bottom"/>
          </w:tcPr>
          <w:p w14:paraId="6BCD2CB5" w14:textId="77777777" w:rsidR="006C32B4" w:rsidRPr="00071460" w:rsidRDefault="006C32B4" w:rsidP="00071460">
            <w:pPr>
              <w:spacing w:after="0" w:line="240" w:lineRule="auto"/>
              <w:rPr>
                <w:rFonts w:ascii="Times New Roman" w:eastAsia="Calibri" w:hAnsi="Times New Roman" w:cs="Times New Roman"/>
                <w:b/>
                <w:sz w:val="26"/>
                <w:szCs w:val="26"/>
              </w:rPr>
            </w:pPr>
            <w:r w:rsidRPr="00071460">
              <w:rPr>
                <w:rFonts w:ascii="Times New Roman" w:eastAsia="Calibri" w:hAnsi="Times New Roman" w:cs="Times New Roman"/>
                <w:b/>
                <w:sz w:val="26"/>
                <w:szCs w:val="26"/>
              </w:rPr>
              <w:t>Change Due to Agency Discretion</w:t>
            </w:r>
          </w:p>
        </w:tc>
      </w:tr>
      <w:tr w:rsidR="006C32B4" w:rsidRPr="00071460" w14:paraId="16A0440B" w14:textId="77777777" w:rsidTr="00D742F1">
        <w:trPr>
          <w:trHeight w:val="591"/>
        </w:trPr>
        <w:tc>
          <w:tcPr>
            <w:tcW w:w="2589" w:type="dxa"/>
          </w:tcPr>
          <w:p w14:paraId="5A9709EE" w14:textId="77777777" w:rsidR="006C32B4" w:rsidRPr="00071460" w:rsidRDefault="006C32B4"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Annual Number of Responses</w:t>
            </w:r>
          </w:p>
        </w:tc>
        <w:tc>
          <w:tcPr>
            <w:tcW w:w="1779" w:type="dxa"/>
            <w:vAlign w:val="center"/>
          </w:tcPr>
          <w:p w14:paraId="6F64C387" w14:textId="787AB947" w:rsidR="006C32B4" w:rsidRPr="00071460" w:rsidRDefault="009817E3"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197</w:t>
            </w:r>
          </w:p>
        </w:tc>
        <w:tc>
          <w:tcPr>
            <w:tcW w:w="1959" w:type="dxa"/>
            <w:vAlign w:val="center"/>
          </w:tcPr>
          <w:p w14:paraId="07AE0A9B" w14:textId="77777777" w:rsidR="006C32B4" w:rsidRPr="00071460" w:rsidRDefault="008055A2"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93</w:t>
            </w:r>
          </w:p>
        </w:tc>
        <w:tc>
          <w:tcPr>
            <w:tcW w:w="1683" w:type="dxa"/>
            <w:vAlign w:val="center"/>
          </w:tcPr>
          <w:p w14:paraId="3AD999D3" w14:textId="1722E01E" w:rsidR="006C32B4" w:rsidRPr="00071460" w:rsidRDefault="009817E3"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104</w:t>
            </w:r>
          </w:p>
        </w:tc>
        <w:tc>
          <w:tcPr>
            <w:tcW w:w="1357" w:type="dxa"/>
            <w:vAlign w:val="center"/>
          </w:tcPr>
          <w:p w14:paraId="48EF125D" w14:textId="2FFC942C" w:rsidR="006C32B4" w:rsidRPr="00071460" w:rsidRDefault="009817E3"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0</w:t>
            </w:r>
          </w:p>
        </w:tc>
      </w:tr>
      <w:tr w:rsidR="006C32B4" w:rsidRPr="00071460" w14:paraId="16B112E5" w14:textId="77777777" w:rsidTr="00D742F1">
        <w:trPr>
          <w:trHeight w:val="575"/>
        </w:trPr>
        <w:tc>
          <w:tcPr>
            <w:tcW w:w="2589" w:type="dxa"/>
          </w:tcPr>
          <w:p w14:paraId="1D5F0DB3" w14:textId="77777777" w:rsidR="006C32B4" w:rsidRPr="00071460" w:rsidRDefault="006C32B4"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Annual Time Burden (Hr)</w:t>
            </w:r>
          </w:p>
        </w:tc>
        <w:tc>
          <w:tcPr>
            <w:tcW w:w="1779" w:type="dxa"/>
            <w:vAlign w:val="center"/>
          </w:tcPr>
          <w:p w14:paraId="629D4C3D" w14:textId="38E83080" w:rsidR="006C32B4" w:rsidRPr="00071460" w:rsidRDefault="00E400F8" w:rsidP="000714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591</w:t>
            </w:r>
          </w:p>
        </w:tc>
        <w:tc>
          <w:tcPr>
            <w:tcW w:w="1959" w:type="dxa"/>
            <w:vAlign w:val="center"/>
          </w:tcPr>
          <w:p w14:paraId="4782B38D" w14:textId="77777777" w:rsidR="006C32B4" w:rsidRPr="00071460" w:rsidRDefault="008055A2"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279</w:t>
            </w:r>
          </w:p>
        </w:tc>
        <w:tc>
          <w:tcPr>
            <w:tcW w:w="1683" w:type="dxa"/>
            <w:vAlign w:val="center"/>
          </w:tcPr>
          <w:p w14:paraId="7C2EF792" w14:textId="0344539B" w:rsidR="006C32B4" w:rsidRPr="00071460" w:rsidRDefault="00E400F8" w:rsidP="000714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312</w:t>
            </w:r>
          </w:p>
        </w:tc>
        <w:tc>
          <w:tcPr>
            <w:tcW w:w="1357" w:type="dxa"/>
            <w:vAlign w:val="center"/>
          </w:tcPr>
          <w:p w14:paraId="30DC8397" w14:textId="7677F208" w:rsidR="006C32B4" w:rsidRPr="00071460" w:rsidRDefault="006C5B6F" w:rsidP="000714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rsidR="006C32B4" w:rsidRPr="00071460" w14:paraId="7C446519" w14:textId="77777777" w:rsidTr="00D742F1">
        <w:trPr>
          <w:trHeight w:val="295"/>
        </w:trPr>
        <w:tc>
          <w:tcPr>
            <w:tcW w:w="2589" w:type="dxa"/>
          </w:tcPr>
          <w:p w14:paraId="222EA945" w14:textId="77777777" w:rsidR="006C32B4" w:rsidRPr="00071460" w:rsidRDefault="006C32B4" w:rsidP="00071460">
            <w:pPr>
              <w:spacing w:after="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Annual Cost Burden ($)</w:t>
            </w:r>
          </w:p>
        </w:tc>
        <w:tc>
          <w:tcPr>
            <w:tcW w:w="1779" w:type="dxa"/>
            <w:vAlign w:val="center"/>
          </w:tcPr>
          <w:p w14:paraId="732079E1" w14:textId="77777777"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$0</w:t>
            </w:r>
          </w:p>
        </w:tc>
        <w:tc>
          <w:tcPr>
            <w:tcW w:w="1959" w:type="dxa"/>
            <w:vAlign w:val="center"/>
          </w:tcPr>
          <w:p w14:paraId="3FF0A752" w14:textId="77777777"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$0</w:t>
            </w:r>
          </w:p>
        </w:tc>
        <w:tc>
          <w:tcPr>
            <w:tcW w:w="1683" w:type="dxa"/>
            <w:vAlign w:val="center"/>
          </w:tcPr>
          <w:p w14:paraId="0E4FD4ED" w14:textId="77777777"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$0</w:t>
            </w:r>
          </w:p>
        </w:tc>
        <w:tc>
          <w:tcPr>
            <w:tcW w:w="1357" w:type="dxa"/>
            <w:vAlign w:val="center"/>
          </w:tcPr>
          <w:p w14:paraId="27A83D4C" w14:textId="77777777" w:rsidR="006C32B4" w:rsidRPr="00071460" w:rsidRDefault="006C32B4" w:rsidP="00071460">
            <w:pPr>
              <w:spacing w:after="0" w:line="240" w:lineRule="auto"/>
              <w:jc w:val="right"/>
              <w:rPr>
                <w:rFonts w:ascii="Times New Roman" w:eastAsia="Calibri" w:hAnsi="Times New Roman" w:cs="Times New Roman"/>
                <w:sz w:val="26"/>
                <w:szCs w:val="26"/>
              </w:rPr>
            </w:pPr>
            <w:r w:rsidRPr="00071460">
              <w:rPr>
                <w:rFonts w:ascii="Times New Roman" w:eastAsia="Calibri" w:hAnsi="Times New Roman" w:cs="Times New Roman"/>
                <w:sz w:val="26"/>
                <w:szCs w:val="26"/>
              </w:rPr>
              <w:t>$0</w:t>
            </w:r>
          </w:p>
        </w:tc>
      </w:tr>
    </w:tbl>
    <w:p w14:paraId="66E75DC6" w14:textId="77777777" w:rsidR="006C32B4" w:rsidRPr="00071460" w:rsidRDefault="006C32B4" w:rsidP="00071460">
      <w:pPr>
        <w:spacing w:after="200" w:line="240" w:lineRule="auto"/>
        <w:rPr>
          <w:rFonts w:ascii="Times New Roman" w:eastAsia="Calibri" w:hAnsi="Times New Roman" w:cs="Times New Roman"/>
          <w:b/>
          <w:bCs/>
          <w:sz w:val="26"/>
          <w:szCs w:val="26"/>
        </w:rPr>
      </w:pPr>
    </w:p>
    <w:p w14:paraId="4CF87032"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TIME SCHEDULE FOR THE PUBLICATION OF DATA</w:t>
      </w:r>
    </w:p>
    <w:p w14:paraId="71F512F1" w14:textId="77777777" w:rsidR="006C32B4" w:rsidRPr="00071460" w:rsidRDefault="006C32B4" w:rsidP="00071460">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61E48D27" w14:textId="77777777" w:rsidR="006C32B4" w:rsidRPr="00071460" w:rsidRDefault="00947592" w:rsidP="00071460">
      <w:pPr>
        <w:spacing w:after="200" w:line="240" w:lineRule="auto"/>
        <w:rPr>
          <w:rFonts w:ascii="Times New Roman" w:eastAsia="Calibri" w:hAnsi="Times New Roman" w:cs="Times New Roman"/>
          <w:bCs/>
          <w:sz w:val="26"/>
          <w:szCs w:val="26"/>
        </w:rPr>
      </w:pPr>
      <w:r w:rsidRPr="00071460">
        <w:rPr>
          <w:rFonts w:ascii="Times New Roman" w:eastAsia="Calibri" w:hAnsi="Times New Roman" w:cs="Times New Roman"/>
          <w:bCs/>
          <w:sz w:val="26"/>
          <w:szCs w:val="26"/>
        </w:rPr>
        <w:t>FERC does not publish any data associated with this collection.</w:t>
      </w:r>
    </w:p>
    <w:p w14:paraId="1807F6B3"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DISPLAY OF THE EXPIRATION DATE</w:t>
      </w:r>
    </w:p>
    <w:p w14:paraId="048FE93A" w14:textId="77777777" w:rsidR="006C32B4" w:rsidRPr="00071460" w:rsidRDefault="006C32B4" w:rsidP="00071460">
      <w:pPr>
        <w:widowControl w:val="0"/>
        <w:autoSpaceDE w:val="0"/>
        <w:autoSpaceDN w:val="0"/>
        <w:adjustRightInd w:val="0"/>
        <w:spacing w:after="0" w:line="240" w:lineRule="auto"/>
        <w:rPr>
          <w:rFonts w:ascii="Times New Roman" w:eastAsia="Calibri" w:hAnsi="Times New Roman" w:cs="Times New Roman"/>
          <w:sz w:val="26"/>
          <w:szCs w:val="26"/>
        </w:rPr>
      </w:pPr>
    </w:p>
    <w:p w14:paraId="1FF31264"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 xml:space="preserve">The expiration date is displayed in a table posted on ferc.gov at </w:t>
      </w:r>
      <w:hyperlink r:id="rId16" w:history="1">
        <w:r w:rsidR="00C302E1" w:rsidRPr="00071460">
          <w:rPr>
            <w:rStyle w:val="Hyperlink"/>
            <w:rFonts w:ascii="Times New Roman" w:eastAsia="Calibri" w:hAnsi="Times New Roman" w:cs="Times New Roman"/>
            <w:sz w:val="26"/>
            <w:szCs w:val="26"/>
          </w:rPr>
          <w:t>http://www.ferc.gov/docs-filing/info-collections.asp</w:t>
        </w:r>
      </w:hyperlink>
      <w:r w:rsidRPr="00071460">
        <w:rPr>
          <w:rFonts w:ascii="Times New Roman" w:eastAsia="Calibri" w:hAnsi="Times New Roman" w:cs="Times New Roman"/>
          <w:sz w:val="26"/>
          <w:szCs w:val="26"/>
        </w:rPr>
        <w:t>.</w:t>
      </w:r>
    </w:p>
    <w:p w14:paraId="4B154245" w14:textId="77777777" w:rsidR="006C32B4" w:rsidRPr="00071460" w:rsidRDefault="006C32B4" w:rsidP="00071460">
      <w:pPr>
        <w:spacing w:after="200" w:line="240" w:lineRule="auto"/>
        <w:rPr>
          <w:rFonts w:ascii="Times New Roman" w:eastAsia="Calibri" w:hAnsi="Times New Roman" w:cs="Times New Roman"/>
          <w:sz w:val="26"/>
          <w:szCs w:val="26"/>
        </w:rPr>
      </w:pPr>
      <w:r w:rsidRPr="00071460">
        <w:rPr>
          <w:rFonts w:ascii="Times New Roman" w:eastAsia="Calibri" w:hAnsi="Times New Roman" w:cs="Times New Roman"/>
          <w:sz w:val="26"/>
          <w:szCs w:val="26"/>
        </w:rPr>
        <w:t>The expiration date is not displayed upon the FERC-567 since there is no form associated with the information collection.</w:t>
      </w:r>
    </w:p>
    <w:p w14:paraId="099C36E6" w14:textId="77777777" w:rsidR="006C32B4" w:rsidRPr="00071460" w:rsidRDefault="006C32B4" w:rsidP="00071460">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6"/>
          <w:szCs w:val="26"/>
        </w:rPr>
      </w:pPr>
      <w:r w:rsidRPr="00071460">
        <w:rPr>
          <w:rFonts w:ascii="Times New Roman" w:eastAsia="Calibri" w:hAnsi="Times New Roman" w:cs="Times New Roman"/>
          <w:b/>
          <w:bCs/>
          <w:sz w:val="26"/>
          <w:szCs w:val="26"/>
        </w:rPr>
        <w:t>EXCEPTIONS TO THE CERTIFICATION STATEMENT</w:t>
      </w:r>
    </w:p>
    <w:p w14:paraId="48F2C343" w14:textId="77777777" w:rsidR="006C32B4" w:rsidRPr="00071460" w:rsidRDefault="006C32B4" w:rsidP="00071460">
      <w:pPr>
        <w:widowControl w:val="0"/>
        <w:autoSpaceDE w:val="0"/>
        <w:autoSpaceDN w:val="0"/>
        <w:adjustRightInd w:val="0"/>
        <w:spacing w:after="0" w:line="240" w:lineRule="auto"/>
        <w:rPr>
          <w:rFonts w:ascii="Times New Roman" w:eastAsia="Calibri" w:hAnsi="Times New Roman" w:cs="Times New Roman"/>
          <w:sz w:val="26"/>
          <w:szCs w:val="26"/>
        </w:rPr>
      </w:pPr>
    </w:p>
    <w:p w14:paraId="2439B38A" w14:textId="77777777" w:rsidR="006C32B4" w:rsidRPr="00071460" w:rsidRDefault="006C32B4" w:rsidP="00071460">
      <w:pPr>
        <w:spacing w:after="200" w:line="240" w:lineRule="auto"/>
        <w:rPr>
          <w:rFonts w:ascii="Times New Roman" w:eastAsia="Calibri" w:hAnsi="Times New Roman" w:cs="Times New Roman"/>
          <w:b/>
          <w:sz w:val="26"/>
          <w:szCs w:val="26"/>
        </w:rPr>
      </w:pPr>
      <w:r w:rsidRPr="00071460">
        <w:rPr>
          <w:rFonts w:ascii="Times New Roman" w:eastAsia="Calibri" w:hAnsi="Times New Roman" w:cs="Times New Roman"/>
          <w:sz w:val="26"/>
          <w:szCs w:val="26"/>
        </w:rPr>
        <w:t>There are no exceptions.</w:t>
      </w:r>
    </w:p>
    <w:p w14:paraId="54A97293" w14:textId="77777777" w:rsidR="00673C62" w:rsidRPr="00071460" w:rsidRDefault="00673C62" w:rsidP="00071460">
      <w:pPr>
        <w:spacing w:line="240" w:lineRule="auto"/>
        <w:rPr>
          <w:rFonts w:ascii="Times New Roman" w:hAnsi="Times New Roman" w:cs="Times New Roman"/>
          <w:sz w:val="26"/>
          <w:szCs w:val="26"/>
        </w:rPr>
      </w:pPr>
    </w:p>
    <w:sectPr w:rsidR="00673C62" w:rsidRPr="0007146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25561" w14:textId="77777777" w:rsidR="00B303DB" w:rsidRDefault="00B303DB" w:rsidP="006C32B4">
      <w:pPr>
        <w:spacing w:after="0" w:line="240" w:lineRule="auto"/>
      </w:pPr>
      <w:r>
        <w:separator/>
      </w:r>
    </w:p>
  </w:endnote>
  <w:endnote w:type="continuationSeparator" w:id="0">
    <w:p w14:paraId="32D55221" w14:textId="77777777" w:rsidR="00B303DB" w:rsidRDefault="00B303DB" w:rsidP="006C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46FDE3" w14:textId="77777777" w:rsidR="007A6365" w:rsidRDefault="00D6785E">
        <w:pPr>
          <w:pStyle w:val="Footer"/>
          <w:jc w:val="right"/>
        </w:pPr>
        <w:r>
          <w:fldChar w:fldCharType="begin"/>
        </w:r>
        <w:r>
          <w:instrText xml:space="preserve"> PAGE   \* MERGEFORMAT </w:instrText>
        </w:r>
        <w:r>
          <w:fldChar w:fldCharType="separate"/>
        </w:r>
        <w:r w:rsidR="006F5CF6">
          <w:rPr>
            <w:noProof/>
          </w:rPr>
          <w:t>1</w:t>
        </w:r>
        <w:r>
          <w:rPr>
            <w:noProof/>
          </w:rPr>
          <w:fldChar w:fldCharType="end"/>
        </w:r>
      </w:p>
    </w:sdtContent>
  </w:sdt>
  <w:p w14:paraId="4986B2EC" w14:textId="77777777" w:rsidR="007A6365" w:rsidRDefault="006F5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05EF8" w14:textId="77777777" w:rsidR="00B303DB" w:rsidRDefault="00B303DB" w:rsidP="006C32B4">
      <w:pPr>
        <w:spacing w:after="0" w:line="240" w:lineRule="auto"/>
      </w:pPr>
      <w:r>
        <w:separator/>
      </w:r>
    </w:p>
  </w:footnote>
  <w:footnote w:type="continuationSeparator" w:id="0">
    <w:p w14:paraId="5FE0FA73" w14:textId="77777777" w:rsidR="00B303DB" w:rsidRDefault="00B303DB" w:rsidP="006C32B4">
      <w:pPr>
        <w:spacing w:after="0" w:line="240" w:lineRule="auto"/>
      </w:pPr>
      <w:r>
        <w:continuationSeparator/>
      </w:r>
    </w:p>
  </w:footnote>
  <w:footnote w:id="1">
    <w:p w14:paraId="7DB8D8F8"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rPr>
        <w:t xml:space="preserve"> Public Law 75-688</w:t>
      </w:r>
    </w:p>
  </w:footnote>
  <w:footnote w:id="2">
    <w:p w14:paraId="37689303"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vertAlign w:val="superscript"/>
        </w:rPr>
        <w:footnoteRef/>
      </w:r>
      <w:r w:rsidRPr="006C32B4">
        <w:rPr>
          <w:rFonts w:ascii="Times New Roman" w:hAnsi="Times New Roman" w:cs="Times New Roman"/>
          <w:vertAlign w:val="superscript"/>
        </w:rPr>
        <w:t xml:space="preserve"> </w:t>
      </w:r>
      <w:r w:rsidRPr="006C32B4">
        <w:rPr>
          <w:rFonts w:ascii="Times New Roman" w:hAnsi="Times New Roman" w:cs="Times New Roman"/>
          <w:sz w:val="26"/>
          <w:szCs w:val="26"/>
        </w:rPr>
        <w:t>A pipeline having a system delivery capacity exceeding 100,000 Mcf per day.</w:t>
      </w:r>
    </w:p>
  </w:footnote>
  <w:footnote w:id="3">
    <w:p w14:paraId="41DCA9BD"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rPr>
        <w:t xml:space="preserve"> For the prior 12 months ending December 31</w:t>
      </w:r>
    </w:p>
  </w:footnote>
  <w:footnote w:id="4">
    <w:p w14:paraId="496894B9"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rPr>
        <w:t xml:space="preserve"> A pipeline having a system delivery capacity exceeding 100,000 Mcf per day.</w:t>
      </w:r>
    </w:p>
  </w:footnote>
  <w:footnote w:id="5">
    <w:p w14:paraId="4C1E479C"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rPr>
        <w:t xml:space="preserve"> For the prior 12 months ending December 31</w:t>
      </w:r>
    </w:p>
  </w:footnote>
  <w:footnote w:id="6">
    <w:p w14:paraId="71358BD1"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vertAlign w:val="superscript"/>
        </w:rPr>
        <w:t xml:space="preserve"> </w:t>
      </w:r>
      <w:r w:rsidRPr="006C32B4">
        <w:rPr>
          <w:rFonts w:ascii="Times New Roman" w:hAnsi="Times New Roman" w:cs="Times New Roman"/>
          <w:sz w:val="26"/>
          <w:szCs w:val="26"/>
        </w:rPr>
        <w:t>5 CFR 1320.8(d)</w:t>
      </w:r>
    </w:p>
  </w:footnote>
  <w:footnote w:id="7">
    <w:p w14:paraId="66FBFD4C" w14:textId="7911FF2C" w:rsidR="004D7DCD" w:rsidRPr="00071460" w:rsidRDefault="004D7DCD">
      <w:pPr>
        <w:pStyle w:val="FootnoteText"/>
        <w:rPr>
          <w:rFonts w:ascii="Times New Roman" w:hAnsi="Times New Roman" w:cs="Times New Roman"/>
          <w:sz w:val="26"/>
          <w:szCs w:val="26"/>
        </w:rPr>
      </w:pPr>
      <w:r>
        <w:rPr>
          <w:rStyle w:val="FootnoteReference"/>
        </w:rPr>
        <w:footnoteRef/>
      </w:r>
      <w:r>
        <w:t xml:space="preserve"> </w:t>
      </w:r>
      <w:r w:rsidR="0027102A" w:rsidRPr="00071460">
        <w:rPr>
          <w:rFonts w:ascii="Times New Roman" w:eastAsia="Calibri" w:hAnsi="Times New Roman" w:cs="Times New Roman"/>
          <w:sz w:val="26"/>
          <w:szCs w:val="26"/>
        </w:rPr>
        <w:t>83 FR 32119</w:t>
      </w:r>
      <w:r w:rsidR="0027102A">
        <w:rPr>
          <w:rFonts w:ascii="Times New Roman" w:eastAsia="Calibri" w:hAnsi="Times New Roman" w:cs="Times New Roman"/>
          <w:sz w:val="26"/>
          <w:szCs w:val="26"/>
        </w:rPr>
        <w:t xml:space="preserve">  </w:t>
      </w:r>
    </w:p>
  </w:footnote>
  <w:footnote w:id="8">
    <w:p w14:paraId="6758A6C8" w14:textId="04D31858" w:rsidR="000A223E" w:rsidRDefault="000A223E">
      <w:pPr>
        <w:pStyle w:val="FootnoteText"/>
      </w:pPr>
      <w:r>
        <w:rPr>
          <w:rStyle w:val="FootnoteReference"/>
        </w:rPr>
        <w:footnoteRef/>
      </w:r>
      <w:r>
        <w:t xml:space="preserve">  </w:t>
      </w:r>
      <w:r w:rsidRPr="000A223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9">
    <w:p w14:paraId="2E41C511" w14:textId="77777777" w:rsidR="006C32B4" w:rsidRPr="00F56BED" w:rsidRDefault="006C32B4" w:rsidP="006C32B4">
      <w:pPr>
        <w:pStyle w:val="FootnoteText"/>
      </w:pPr>
      <w:r w:rsidRPr="00F56BED">
        <w:rPr>
          <w:rStyle w:val="FootnoteReference"/>
        </w:rPr>
        <w:footnoteRef/>
      </w:r>
      <w:r>
        <w:t xml:space="preserve">. </w:t>
      </w:r>
      <w:r w:rsidRPr="006C32B4">
        <w:rPr>
          <w:rFonts w:ascii="Times New Roman" w:hAnsi="Times New Roman" w:cs="Times New Roman"/>
          <w:sz w:val="26"/>
          <w:szCs w:val="26"/>
        </w:rPr>
        <w:t>The estimates for cost per response are derived using the following formula: 2018 Average Burden Hours per Response * $79 per Hour = Average Cost per Response.  The hourly cost figure of $79 is the 2018 average FERC hourly cost for wages plus benefits.  We assume for FERC-567 that respondents earn at a similar rate.</w:t>
      </w:r>
    </w:p>
  </w:footnote>
  <w:footnote w:id="10">
    <w:p w14:paraId="2C31E5A2"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vertAlign w:val="superscript"/>
        </w:rPr>
        <w:t xml:space="preserve"> </w:t>
      </w:r>
      <w:r w:rsidRPr="006C32B4">
        <w:rPr>
          <w:rFonts w:ascii="Times New Roman" w:hAnsi="Times New Roman" w:cs="Times New Roman"/>
          <w:sz w:val="26"/>
          <w:szCs w:val="26"/>
        </w:rPr>
        <w:t>Based on 201</w:t>
      </w:r>
      <w:r w:rsidR="008055A2">
        <w:rPr>
          <w:rFonts w:ascii="Times New Roman" w:hAnsi="Times New Roman" w:cs="Times New Roman"/>
          <w:sz w:val="26"/>
          <w:szCs w:val="26"/>
        </w:rPr>
        <w:t>8</w:t>
      </w:r>
      <w:r w:rsidRPr="006C32B4">
        <w:rPr>
          <w:rFonts w:ascii="Times New Roman" w:hAnsi="Times New Roman" w:cs="Times New Roman"/>
          <w:sz w:val="26"/>
          <w:szCs w:val="26"/>
        </w:rPr>
        <w:t xml:space="preserve"> cost (salary plus benefits) per FTE of $1</w:t>
      </w:r>
      <w:r w:rsidR="008055A2">
        <w:rPr>
          <w:rFonts w:ascii="Times New Roman" w:hAnsi="Times New Roman" w:cs="Times New Roman"/>
          <w:sz w:val="26"/>
          <w:szCs w:val="26"/>
        </w:rPr>
        <w:t>64,820</w:t>
      </w:r>
      <w:r w:rsidRPr="006C32B4">
        <w:rPr>
          <w:rFonts w:ascii="Times New Roman" w:hAnsi="Times New Roman" w:cs="Times New Roman"/>
          <w:sz w:val="26"/>
          <w:szCs w:val="26"/>
        </w:rPr>
        <w:t xml:space="preserve"> </w:t>
      </w:r>
      <w:r w:rsidR="008055A2">
        <w:rPr>
          <w:rFonts w:ascii="Times New Roman" w:hAnsi="Times New Roman" w:cs="Times New Roman"/>
          <w:sz w:val="26"/>
          <w:szCs w:val="26"/>
        </w:rPr>
        <w:t>or $79.00 per hour.</w:t>
      </w:r>
    </w:p>
  </w:footnote>
  <w:footnote w:id="11">
    <w:p w14:paraId="11434422"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rPr>
        <w:t xml:space="preserve"> Paperwork Reduction Act of 1995 (PRA).</w:t>
      </w:r>
    </w:p>
  </w:footnote>
  <w:footnote w:id="12">
    <w:p w14:paraId="5C997C61" w14:textId="77777777" w:rsidR="006C32B4" w:rsidRPr="006C32B4" w:rsidRDefault="006C32B4" w:rsidP="006C32B4">
      <w:pPr>
        <w:pStyle w:val="FootnoteText"/>
        <w:rPr>
          <w:rFonts w:ascii="Times New Roman" w:hAnsi="Times New Roman" w:cs="Times New Roman"/>
          <w:sz w:val="26"/>
          <w:szCs w:val="26"/>
        </w:rPr>
      </w:pPr>
      <w:r w:rsidRPr="006C32B4">
        <w:rPr>
          <w:rStyle w:val="FootnoteReference"/>
          <w:rFonts w:ascii="Times New Roman" w:hAnsi="Times New Roman" w:cs="Times New Roman"/>
          <w:sz w:val="26"/>
          <w:szCs w:val="26"/>
          <w:vertAlign w:val="superscript"/>
        </w:rPr>
        <w:footnoteRef/>
      </w:r>
      <w:r w:rsidRPr="006C32B4">
        <w:rPr>
          <w:rFonts w:ascii="Times New Roman" w:hAnsi="Times New Roman" w:cs="Times New Roman"/>
          <w:sz w:val="26"/>
          <w:szCs w:val="26"/>
          <w:vertAlign w:val="superscript"/>
        </w:rPr>
        <w:t xml:space="preserve"> </w:t>
      </w:r>
      <w:r w:rsidRPr="006C32B4">
        <w:rPr>
          <w:rFonts w:ascii="Times New Roman" w:hAnsi="Times New Roman" w:cs="Times New Roman"/>
          <w:sz w:val="26"/>
          <w:szCs w:val="26"/>
        </w:rPr>
        <w:t>The PRA Administration Cost is $</w:t>
      </w:r>
      <w:r w:rsidR="008055A2">
        <w:rPr>
          <w:rFonts w:ascii="Times New Roman" w:hAnsi="Times New Roman" w:cs="Times New Roman"/>
          <w:sz w:val="26"/>
          <w:szCs w:val="26"/>
        </w:rPr>
        <w:t>4,931</w:t>
      </w:r>
      <w:r w:rsidRPr="006C32B4">
        <w:rPr>
          <w:rFonts w:ascii="Times New Roman" w:hAnsi="Times New Roman" w:cs="Times New Roman"/>
          <w:sz w:val="26"/>
          <w:szCs w:val="26"/>
        </w:rPr>
        <w:t>, and includes preparing supporting statements, notices, and other activities associated with Paperwork Reduction Act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A7E4" w14:textId="77777777" w:rsidR="00D350A8" w:rsidRPr="00C46FFB" w:rsidRDefault="00D6785E" w:rsidP="00AB659F">
    <w:pPr>
      <w:tabs>
        <w:tab w:val="right" w:pos="10080"/>
      </w:tabs>
      <w:spacing w:after="0" w:line="240" w:lineRule="auto"/>
      <w:rPr>
        <w:rFonts w:ascii="Times New Roman" w:hAnsi="Times New Roman" w:cs="Times New Roman"/>
        <w:sz w:val="26"/>
        <w:szCs w:val="26"/>
      </w:rPr>
    </w:pPr>
    <w:r w:rsidRPr="00C46FFB">
      <w:rPr>
        <w:rFonts w:ascii="Times New Roman" w:hAnsi="Times New Roman" w:cs="Times New Roman"/>
        <w:bCs/>
        <w:sz w:val="26"/>
        <w:szCs w:val="26"/>
      </w:rPr>
      <w:t>FERC-567</w:t>
    </w:r>
    <w:r>
      <w:rPr>
        <w:rFonts w:ascii="Times New Roman" w:hAnsi="Times New Roman" w:cs="Times New Roman"/>
        <w:bCs/>
        <w:sz w:val="26"/>
        <w:szCs w:val="26"/>
      </w:rPr>
      <w:t xml:space="preserve"> (</w:t>
    </w:r>
    <w:r w:rsidRPr="00C46FFB">
      <w:rPr>
        <w:rFonts w:ascii="Times New Roman" w:hAnsi="Times New Roman" w:cs="Times New Roman"/>
        <w:sz w:val="26"/>
        <w:szCs w:val="26"/>
      </w:rPr>
      <w:t>OMB Control No. 1902-0005</w:t>
    </w:r>
    <w:r>
      <w:rPr>
        <w:rFonts w:ascii="Times New Roman" w:hAnsi="Times New Roman" w:cs="Times New Roman"/>
        <w:sz w:val="26"/>
        <w:szCs w:val="26"/>
      </w:rPr>
      <w:t>)</w:t>
    </w:r>
  </w:p>
  <w:p w14:paraId="48C6AE2B" w14:textId="77777777" w:rsidR="00213195" w:rsidRPr="00D350A8" w:rsidRDefault="00D6785E" w:rsidP="002C70B7">
    <w:pPr>
      <w:tabs>
        <w:tab w:val="left" w:pos="8021"/>
      </w:tabs>
      <w:spacing w:after="0"/>
      <w:rPr>
        <w:rFonts w:ascii="Times New Roman" w:hAnsi="Times New Roman" w:cs="Times New Roman"/>
        <w:sz w:val="26"/>
        <w:szCs w:val="26"/>
      </w:rPr>
    </w:pPr>
    <w:r>
      <w:rPr>
        <w:rFonts w:ascii="Times New Roman" w:hAnsi="Times New Roman" w:cs="Times New Roman"/>
        <w:b/>
        <w:sz w:val="26"/>
        <w:szCs w:val="26"/>
      </w:rPr>
      <w:tab/>
    </w:r>
  </w:p>
  <w:p w14:paraId="09148762" w14:textId="77777777" w:rsidR="00D350A8" w:rsidRDefault="006F5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56930BC4"/>
    <w:multiLevelType w:val="hybridMultilevel"/>
    <w:tmpl w:val="F6D60690"/>
    <w:lvl w:ilvl="0" w:tplc="72BCF3A2">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2">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B4"/>
    <w:rsid w:val="0005263A"/>
    <w:rsid w:val="00071460"/>
    <w:rsid w:val="0008220F"/>
    <w:rsid w:val="000A223E"/>
    <w:rsid w:val="000B73C6"/>
    <w:rsid w:val="001A705F"/>
    <w:rsid w:val="002515C9"/>
    <w:rsid w:val="00254A51"/>
    <w:rsid w:val="00264EE6"/>
    <w:rsid w:val="0027102A"/>
    <w:rsid w:val="00313946"/>
    <w:rsid w:val="004221D8"/>
    <w:rsid w:val="00460FD2"/>
    <w:rsid w:val="004648ED"/>
    <w:rsid w:val="004D2983"/>
    <w:rsid w:val="004D7DCD"/>
    <w:rsid w:val="0064001B"/>
    <w:rsid w:val="00664B7F"/>
    <w:rsid w:val="00673C62"/>
    <w:rsid w:val="006A4A44"/>
    <w:rsid w:val="006B4BAC"/>
    <w:rsid w:val="006C32B4"/>
    <w:rsid w:val="006C5B6F"/>
    <w:rsid w:val="006F5CF6"/>
    <w:rsid w:val="00702894"/>
    <w:rsid w:val="0074156D"/>
    <w:rsid w:val="007D242E"/>
    <w:rsid w:val="008055A2"/>
    <w:rsid w:val="00875999"/>
    <w:rsid w:val="008A38BB"/>
    <w:rsid w:val="008C0CC5"/>
    <w:rsid w:val="008E1A3C"/>
    <w:rsid w:val="009237DA"/>
    <w:rsid w:val="009468AF"/>
    <w:rsid w:val="00947592"/>
    <w:rsid w:val="009817E3"/>
    <w:rsid w:val="009D75F3"/>
    <w:rsid w:val="009F727E"/>
    <w:rsid w:val="00A66E33"/>
    <w:rsid w:val="00AB4EAB"/>
    <w:rsid w:val="00AF2319"/>
    <w:rsid w:val="00B11FD5"/>
    <w:rsid w:val="00B303DB"/>
    <w:rsid w:val="00C17EE1"/>
    <w:rsid w:val="00C302E1"/>
    <w:rsid w:val="00CF72FE"/>
    <w:rsid w:val="00D0449E"/>
    <w:rsid w:val="00D04880"/>
    <w:rsid w:val="00D31374"/>
    <w:rsid w:val="00D6785E"/>
    <w:rsid w:val="00DB4481"/>
    <w:rsid w:val="00E36973"/>
    <w:rsid w:val="00E400F8"/>
    <w:rsid w:val="00F37DAE"/>
    <w:rsid w:val="00FA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3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2B4"/>
    <w:rPr>
      <w:sz w:val="20"/>
      <w:szCs w:val="20"/>
    </w:rPr>
  </w:style>
  <w:style w:type="paragraph" w:styleId="Header">
    <w:name w:val="header"/>
    <w:basedOn w:val="Normal"/>
    <w:link w:val="HeaderChar"/>
    <w:uiPriority w:val="99"/>
    <w:unhideWhenUsed/>
    <w:rsid w:val="006C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B4"/>
  </w:style>
  <w:style w:type="paragraph" w:styleId="Footer">
    <w:name w:val="footer"/>
    <w:basedOn w:val="Normal"/>
    <w:link w:val="FooterChar"/>
    <w:uiPriority w:val="99"/>
    <w:unhideWhenUsed/>
    <w:rsid w:val="006C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B4"/>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6C32B4"/>
  </w:style>
  <w:style w:type="character" w:styleId="Hyperlink">
    <w:name w:val="Hyperlink"/>
    <w:basedOn w:val="DefaultParagraphFont"/>
    <w:unhideWhenUsed/>
    <w:rsid w:val="006C32B4"/>
    <w:rPr>
      <w:color w:val="0000FF"/>
      <w:u w:val="single"/>
    </w:rPr>
  </w:style>
  <w:style w:type="character" w:styleId="CommentReference">
    <w:name w:val="annotation reference"/>
    <w:basedOn w:val="DefaultParagraphFont"/>
    <w:uiPriority w:val="99"/>
    <w:semiHidden/>
    <w:unhideWhenUsed/>
    <w:rsid w:val="00460FD2"/>
    <w:rPr>
      <w:sz w:val="16"/>
      <w:szCs w:val="16"/>
    </w:rPr>
  </w:style>
  <w:style w:type="paragraph" w:styleId="CommentText">
    <w:name w:val="annotation text"/>
    <w:basedOn w:val="Normal"/>
    <w:link w:val="CommentTextChar"/>
    <w:uiPriority w:val="99"/>
    <w:semiHidden/>
    <w:unhideWhenUsed/>
    <w:rsid w:val="00460FD2"/>
    <w:pPr>
      <w:spacing w:line="240" w:lineRule="auto"/>
    </w:pPr>
    <w:rPr>
      <w:sz w:val="20"/>
      <w:szCs w:val="20"/>
    </w:rPr>
  </w:style>
  <w:style w:type="character" w:customStyle="1" w:styleId="CommentTextChar">
    <w:name w:val="Comment Text Char"/>
    <w:basedOn w:val="DefaultParagraphFont"/>
    <w:link w:val="CommentText"/>
    <w:uiPriority w:val="99"/>
    <w:semiHidden/>
    <w:rsid w:val="00460FD2"/>
    <w:rPr>
      <w:sz w:val="20"/>
      <w:szCs w:val="20"/>
    </w:rPr>
  </w:style>
  <w:style w:type="paragraph" w:styleId="CommentSubject">
    <w:name w:val="annotation subject"/>
    <w:basedOn w:val="CommentText"/>
    <w:next w:val="CommentText"/>
    <w:link w:val="CommentSubjectChar"/>
    <w:uiPriority w:val="99"/>
    <w:semiHidden/>
    <w:unhideWhenUsed/>
    <w:rsid w:val="00460FD2"/>
    <w:rPr>
      <w:b/>
      <w:bCs/>
    </w:rPr>
  </w:style>
  <w:style w:type="character" w:customStyle="1" w:styleId="CommentSubjectChar">
    <w:name w:val="Comment Subject Char"/>
    <w:basedOn w:val="CommentTextChar"/>
    <w:link w:val="CommentSubject"/>
    <w:uiPriority w:val="99"/>
    <w:semiHidden/>
    <w:rsid w:val="00460FD2"/>
    <w:rPr>
      <w:b/>
      <w:bCs/>
      <w:sz w:val="20"/>
      <w:szCs w:val="20"/>
    </w:rPr>
  </w:style>
  <w:style w:type="paragraph" w:styleId="BalloonText">
    <w:name w:val="Balloon Text"/>
    <w:basedOn w:val="Normal"/>
    <w:link w:val="BalloonTextChar"/>
    <w:uiPriority w:val="99"/>
    <w:semiHidden/>
    <w:unhideWhenUsed/>
    <w:rsid w:val="00460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D2"/>
    <w:rPr>
      <w:rFonts w:ascii="Segoe UI" w:hAnsi="Segoe UI" w:cs="Segoe UI"/>
      <w:sz w:val="18"/>
      <w:szCs w:val="18"/>
    </w:rPr>
  </w:style>
  <w:style w:type="paragraph" w:customStyle="1" w:styleId="FERCparanumber">
    <w:name w:val="FERC paranumber"/>
    <w:basedOn w:val="Normal"/>
    <w:link w:val="FERCparanumberChar"/>
    <w:qFormat/>
    <w:rsid w:val="0031394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313946"/>
    <w:rPr>
      <w:rFonts w:ascii="Times New Roman" w:eastAsia="Times New Roman" w:hAnsi="Times New Roman" w:cs="Times New Roman"/>
      <w:sz w:val="26"/>
      <w:szCs w:val="24"/>
    </w:rPr>
  </w:style>
  <w:style w:type="paragraph" w:styleId="Revision">
    <w:name w:val="Revision"/>
    <w:hidden/>
    <w:uiPriority w:val="99"/>
    <w:semiHidden/>
    <w:rsid w:val="000714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3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2B4"/>
    <w:rPr>
      <w:sz w:val="20"/>
      <w:szCs w:val="20"/>
    </w:rPr>
  </w:style>
  <w:style w:type="paragraph" w:styleId="Header">
    <w:name w:val="header"/>
    <w:basedOn w:val="Normal"/>
    <w:link w:val="HeaderChar"/>
    <w:uiPriority w:val="99"/>
    <w:unhideWhenUsed/>
    <w:rsid w:val="006C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B4"/>
  </w:style>
  <w:style w:type="paragraph" w:styleId="Footer">
    <w:name w:val="footer"/>
    <w:basedOn w:val="Normal"/>
    <w:link w:val="FooterChar"/>
    <w:uiPriority w:val="99"/>
    <w:unhideWhenUsed/>
    <w:rsid w:val="006C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B4"/>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6C32B4"/>
  </w:style>
  <w:style w:type="character" w:styleId="Hyperlink">
    <w:name w:val="Hyperlink"/>
    <w:basedOn w:val="DefaultParagraphFont"/>
    <w:unhideWhenUsed/>
    <w:rsid w:val="006C32B4"/>
    <w:rPr>
      <w:color w:val="0000FF"/>
      <w:u w:val="single"/>
    </w:rPr>
  </w:style>
  <w:style w:type="character" w:styleId="CommentReference">
    <w:name w:val="annotation reference"/>
    <w:basedOn w:val="DefaultParagraphFont"/>
    <w:uiPriority w:val="99"/>
    <w:semiHidden/>
    <w:unhideWhenUsed/>
    <w:rsid w:val="00460FD2"/>
    <w:rPr>
      <w:sz w:val="16"/>
      <w:szCs w:val="16"/>
    </w:rPr>
  </w:style>
  <w:style w:type="paragraph" w:styleId="CommentText">
    <w:name w:val="annotation text"/>
    <w:basedOn w:val="Normal"/>
    <w:link w:val="CommentTextChar"/>
    <w:uiPriority w:val="99"/>
    <w:semiHidden/>
    <w:unhideWhenUsed/>
    <w:rsid w:val="00460FD2"/>
    <w:pPr>
      <w:spacing w:line="240" w:lineRule="auto"/>
    </w:pPr>
    <w:rPr>
      <w:sz w:val="20"/>
      <w:szCs w:val="20"/>
    </w:rPr>
  </w:style>
  <w:style w:type="character" w:customStyle="1" w:styleId="CommentTextChar">
    <w:name w:val="Comment Text Char"/>
    <w:basedOn w:val="DefaultParagraphFont"/>
    <w:link w:val="CommentText"/>
    <w:uiPriority w:val="99"/>
    <w:semiHidden/>
    <w:rsid w:val="00460FD2"/>
    <w:rPr>
      <w:sz w:val="20"/>
      <w:szCs w:val="20"/>
    </w:rPr>
  </w:style>
  <w:style w:type="paragraph" w:styleId="CommentSubject">
    <w:name w:val="annotation subject"/>
    <w:basedOn w:val="CommentText"/>
    <w:next w:val="CommentText"/>
    <w:link w:val="CommentSubjectChar"/>
    <w:uiPriority w:val="99"/>
    <w:semiHidden/>
    <w:unhideWhenUsed/>
    <w:rsid w:val="00460FD2"/>
    <w:rPr>
      <w:b/>
      <w:bCs/>
    </w:rPr>
  </w:style>
  <w:style w:type="character" w:customStyle="1" w:styleId="CommentSubjectChar">
    <w:name w:val="Comment Subject Char"/>
    <w:basedOn w:val="CommentTextChar"/>
    <w:link w:val="CommentSubject"/>
    <w:uiPriority w:val="99"/>
    <w:semiHidden/>
    <w:rsid w:val="00460FD2"/>
    <w:rPr>
      <w:b/>
      <w:bCs/>
      <w:sz w:val="20"/>
      <w:szCs w:val="20"/>
    </w:rPr>
  </w:style>
  <w:style w:type="paragraph" w:styleId="BalloonText">
    <w:name w:val="Balloon Text"/>
    <w:basedOn w:val="Normal"/>
    <w:link w:val="BalloonTextChar"/>
    <w:uiPriority w:val="99"/>
    <w:semiHidden/>
    <w:unhideWhenUsed/>
    <w:rsid w:val="00460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D2"/>
    <w:rPr>
      <w:rFonts w:ascii="Segoe UI" w:hAnsi="Segoe UI" w:cs="Segoe UI"/>
      <w:sz w:val="18"/>
      <w:szCs w:val="18"/>
    </w:rPr>
  </w:style>
  <w:style w:type="paragraph" w:customStyle="1" w:styleId="FERCparanumber">
    <w:name w:val="FERC paranumber"/>
    <w:basedOn w:val="Normal"/>
    <w:link w:val="FERCparanumberChar"/>
    <w:qFormat/>
    <w:rsid w:val="0031394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313946"/>
    <w:rPr>
      <w:rFonts w:ascii="Times New Roman" w:eastAsia="Times New Roman" w:hAnsi="Times New Roman" w:cs="Times New Roman"/>
      <w:sz w:val="26"/>
      <w:szCs w:val="24"/>
    </w:rPr>
  </w:style>
  <w:style w:type="paragraph" w:styleId="Revision">
    <w:name w:val="Revision"/>
    <w:hidden/>
    <w:uiPriority w:val="99"/>
    <w:semiHidden/>
    <w:rsid w:val="00071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2082">
      <w:bodyDiv w:val="1"/>
      <w:marLeft w:val="0"/>
      <w:marRight w:val="0"/>
      <w:marTop w:val="0"/>
      <w:marBottom w:val="0"/>
      <w:divBdr>
        <w:top w:val="none" w:sz="0" w:space="0" w:color="auto"/>
        <w:left w:val="none" w:sz="0" w:space="0" w:color="auto"/>
        <w:bottom w:val="none" w:sz="0" w:space="0" w:color="auto"/>
        <w:right w:val="none" w:sz="0" w:space="0" w:color="auto"/>
      </w:divBdr>
    </w:div>
    <w:div w:id="18948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legal//maj-ord-reg/land-docs/ceii-rul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fi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A71E-C5FA-40C5-BFCC-2361434FCA52}">
  <ds:schemaRef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d6eefc7d-9817-4fa6-84d5-3bc009be21b8"/>
    <ds:schemaRef ds:uri="http://www.w3.org/XML/1998/namespace"/>
  </ds:schemaRefs>
</ds:datastoreItem>
</file>

<file path=customXml/itemProps2.xml><?xml version="1.0" encoding="utf-8"?>
<ds:datastoreItem xmlns:ds="http://schemas.openxmlformats.org/officeDocument/2006/customXml" ds:itemID="{79BE57F6-76C7-412A-9B2C-0F268C0A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1524B-1887-40F1-96A6-27A915C05A8F}">
  <ds:schemaRefs>
    <ds:schemaRef ds:uri="http://schemas.microsoft.com/office/2006/metadata/customXsn"/>
  </ds:schemaRefs>
</ds:datastoreItem>
</file>

<file path=customXml/itemProps4.xml><?xml version="1.0" encoding="utf-8"?>
<ds:datastoreItem xmlns:ds="http://schemas.openxmlformats.org/officeDocument/2006/customXml" ds:itemID="{D02A43CF-BA8E-4BC8-8E2B-1723AD3716D7}">
  <ds:schemaRefs>
    <ds:schemaRef ds:uri="Microsoft.SharePoint.Taxonomy.ContentTypeSync"/>
  </ds:schemaRefs>
</ds:datastoreItem>
</file>

<file path=customXml/itemProps5.xml><?xml version="1.0" encoding="utf-8"?>
<ds:datastoreItem xmlns:ds="http://schemas.openxmlformats.org/officeDocument/2006/customXml" ds:itemID="{75F89F70-4BE1-4C52-820E-597980DBA61F}">
  <ds:schemaRefs>
    <ds:schemaRef ds:uri="http://schemas.microsoft.com/sharepoint/v3/contenttype/forms"/>
  </ds:schemaRefs>
</ds:datastoreItem>
</file>

<file path=customXml/itemProps6.xml><?xml version="1.0" encoding="utf-8"?>
<ds:datastoreItem xmlns:ds="http://schemas.openxmlformats.org/officeDocument/2006/customXml" ds:itemID="{B99A442D-65A2-47B0-BBDE-B49486DA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2018-09-24T14:35:00Z</dcterms:created>
  <dcterms:modified xsi:type="dcterms:W3CDTF">2018-09-24T14:35:00Z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