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70" w:rsidRPr="00571885" w:rsidRDefault="001D5B5F" w:rsidP="00EE3AB5">
      <w:pPr>
        <w:tabs>
          <w:tab w:val="right" w:pos="9360"/>
        </w:tabs>
        <w:rPr>
          <w:rFonts w:asciiTheme="minorHAnsi" w:hAnsiTheme="minorHAnsi"/>
          <w:b/>
          <w:sz w:val="22"/>
          <w:szCs w:val="22"/>
        </w:rPr>
      </w:pPr>
      <w:bookmarkStart w:id="0" w:name="_GoBack"/>
      <w:bookmarkEnd w:id="0"/>
      <w:r>
        <w:rPr>
          <w:rFonts w:asciiTheme="minorHAnsi" w:hAnsiTheme="minorHAnsi"/>
          <w:b/>
          <w:sz w:val="22"/>
          <w:szCs w:val="22"/>
        </w:rPr>
        <w:t>MEMORANDUM</w:t>
      </w:r>
    </w:p>
    <w:p w:rsidR="00D45270" w:rsidRPr="00571885" w:rsidRDefault="00D45270" w:rsidP="002E4754">
      <w:pPr>
        <w:rPr>
          <w:rFonts w:asciiTheme="minorHAnsi" w:hAnsiTheme="minorHAnsi"/>
          <w:b/>
          <w:sz w:val="22"/>
          <w:szCs w:val="22"/>
        </w:rPr>
      </w:pPr>
    </w:p>
    <w:p w:rsidR="00D45270" w:rsidRPr="00571885" w:rsidRDefault="00405F78" w:rsidP="00DC52F5">
      <w:pPr>
        <w:tabs>
          <w:tab w:val="left" w:pos="1440"/>
        </w:tabs>
        <w:spacing w:after="160"/>
        <w:rPr>
          <w:rFonts w:asciiTheme="minorHAnsi" w:hAnsiTheme="minorHAnsi"/>
          <w:sz w:val="22"/>
          <w:szCs w:val="22"/>
        </w:rPr>
      </w:pPr>
      <w:r w:rsidRPr="00571885">
        <w:rPr>
          <w:rFonts w:asciiTheme="minorHAnsi" w:hAnsiTheme="minorHAnsi"/>
          <w:sz w:val="22"/>
          <w:szCs w:val="22"/>
        </w:rPr>
        <w:t>DATE:</w:t>
      </w:r>
      <w:r w:rsidRPr="00571885">
        <w:rPr>
          <w:rFonts w:asciiTheme="minorHAnsi" w:hAnsiTheme="minorHAnsi"/>
          <w:sz w:val="22"/>
          <w:szCs w:val="22"/>
        </w:rPr>
        <w:tab/>
      </w:r>
      <w:r w:rsidR="00D8075B" w:rsidRPr="00571885">
        <w:rPr>
          <w:rFonts w:asciiTheme="minorHAnsi" w:hAnsiTheme="minorHAnsi"/>
          <w:sz w:val="22"/>
          <w:szCs w:val="22"/>
        </w:rPr>
        <w:t>Ju</w:t>
      </w:r>
      <w:r w:rsidR="004731D5">
        <w:rPr>
          <w:rFonts w:asciiTheme="minorHAnsi" w:hAnsiTheme="minorHAnsi"/>
          <w:sz w:val="22"/>
          <w:szCs w:val="22"/>
        </w:rPr>
        <w:t>ly</w:t>
      </w:r>
      <w:r w:rsidR="00D8075B" w:rsidRPr="00571885">
        <w:rPr>
          <w:rFonts w:asciiTheme="minorHAnsi" w:hAnsiTheme="minorHAnsi"/>
          <w:sz w:val="22"/>
          <w:szCs w:val="22"/>
        </w:rPr>
        <w:t xml:space="preserve"> </w:t>
      </w:r>
      <w:r w:rsidR="004731D5">
        <w:rPr>
          <w:rFonts w:asciiTheme="minorHAnsi" w:hAnsiTheme="minorHAnsi"/>
          <w:sz w:val="22"/>
          <w:szCs w:val="22"/>
        </w:rPr>
        <w:t>3</w:t>
      </w:r>
      <w:r w:rsidR="00D8075B" w:rsidRPr="00571885">
        <w:rPr>
          <w:rFonts w:asciiTheme="minorHAnsi" w:hAnsiTheme="minorHAnsi"/>
          <w:sz w:val="22"/>
          <w:szCs w:val="22"/>
        </w:rPr>
        <w:t>, 2018</w:t>
      </w:r>
    </w:p>
    <w:p w:rsidR="00D45270" w:rsidRPr="00571885" w:rsidRDefault="00D45270" w:rsidP="00DC52F5">
      <w:pPr>
        <w:tabs>
          <w:tab w:val="left" w:pos="1440"/>
        </w:tabs>
        <w:rPr>
          <w:rFonts w:asciiTheme="minorHAnsi" w:hAnsiTheme="minorHAnsi"/>
          <w:sz w:val="22"/>
          <w:szCs w:val="22"/>
        </w:rPr>
      </w:pPr>
      <w:r w:rsidRPr="00571885">
        <w:rPr>
          <w:rFonts w:asciiTheme="minorHAnsi" w:hAnsiTheme="minorHAnsi"/>
          <w:sz w:val="22"/>
          <w:szCs w:val="22"/>
        </w:rPr>
        <w:t>TO:</w:t>
      </w:r>
      <w:r w:rsidRPr="00571885">
        <w:rPr>
          <w:rFonts w:asciiTheme="minorHAnsi" w:hAnsiTheme="minorHAnsi"/>
          <w:sz w:val="22"/>
          <w:szCs w:val="22"/>
        </w:rPr>
        <w:tab/>
      </w:r>
      <w:r w:rsidR="00C51CB0" w:rsidRPr="00571885">
        <w:rPr>
          <w:rFonts w:asciiTheme="minorHAnsi" w:hAnsiTheme="minorHAnsi"/>
          <w:bCs/>
          <w:sz w:val="22"/>
          <w:szCs w:val="22"/>
        </w:rPr>
        <w:t>Robert Sivinski</w:t>
      </w:r>
    </w:p>
    <w:p w:rsidR="00D45270" w:rsidRPr="00571885" w:rsidRDefault="00D45270" w:rsidP="00DC52F5">
      <w:pPr>
        <w:tabs>
          <w:tab w:val="left" w:pos="1440"/>
        </w:tabs>
        <w:spacing w:after="160"/>
        <w:rPr>
          <w:rFonts w:asciiTheme="minorHAnsi" w:hAnsiTheme="minorHAnsi"/>
          <w:sz w:val="22"/>
          <w:szCs w:val="22"/>
        </w:rPr>
      </w:pPr>
      <w:r w:rsidRPr="00571885">
        <w:rPr>
          <w:rFonts w:asciiTheme="minorHAnsi" w:hAnsiTheme="minorHAnsi"/>
          <w:sz w:val="22"/>
          <w:szCs w:val="22"/>
        </w:rPr>
        <w:tab/>
        <w:t>Office of Information and Regulatory Affairs, Office of Management and Budget</w:t>
      </w:r>
    </w:p>
    <w:p w:rsidR="00BC1C25" w:rsidRPr="00571885" w:rsidRDefault="00D45270" w:rsidP="00DC52F5">
      <w:pPr>
        <w:tabs>
          <w:tab w:val="left" w:pos="1440"/>
        </w:tabs>
        <w:rPr>
          <w:rFonts w:asciiTheme="minorHAnsi" w:hAnsiTheme="minorHAnsi"/>
          <w:sz w:val="22"/>
          <w:szCs w:val="22"/>
        </w:rPr>
      </w:pPr>
      <w:r w:rsidRPr="00571885">
        <w:rPr>
          <w:rFonts w:asciiTheme="minorHAnsi" w:hAnsiTheme="minorHAnsi"/>
          <w:sz w:val="22"/>
          <w:szCs w:val="22"/>
        </w:rPr>
        <w:t>FROM:</w:t>
      </w:r>
      <w:r w:rsidRPr="00571885">
        <w:rPr>
          <w:rFonts w:asciiTheme="minorHAnsi" w:hAnsiTheme="minorHAnsi"/>
          <w:sz w:val="22"/>
          <w:szCs w:val="22"/>
        </w:rPr>
        <w:tab/>
      </w:r>
      <w:r w:rsidR="00C51CB0" w:rsidRPr="00571885">
        <w:rPr>
          <w:rFonts w:asciiTheme="minorHAnsi" w:hAnsiTheme="minorHAnsi"/>
          <w:sz w:val="22"/>
          <w:szCs w:val="22"/>
        </w:rPr>
        <w:t>Richard Reeves</w:t>
      </w:r>
    </w:p>
    <w:p w:rsidR="00D45270" w:rsidRPr="00571885" w:rsidRDefault="00913DE9" w:rsidP="00DC52F5">
      <w:pPr>
        <w:tabs>
          <w:tab w:val="left" w:pos="1440"/>
        </w:tabs>
        <w:spacing w:after="160"/>
        <w:ind w:left="1440" w:hanging="1440"/>
        <w:rPr>
          <w:rFonts w:asciiTheme="minorHAnsi" w:hAnsiTheme="minorHAnsi"/>
          <w:sz w:val="22"/>
          <w:szCs w:val="22"/>
        </w:rPr>
      </w:pPr>
      <w:r w:rsidRPr="00571885">
        <w:rPr>
          <w:rFonts w:asciiTheme="minorHAnsi" w:hAnsiTheme="minorHAnsi"/>
          <w:sz w:val="22"/>
          <w:szCs w:val="22"/>
        </w:rPr>
        <w:tab/>
      </w:r>
      <w:r w:rsidR="00C51CB0" w:rsidRPr="00571885">
        <w:rPr>
          <w:rFonts w:asciiTheme="minorHAnsi" w:hAnsiTheme="minorHAnsi"/>
          <w:sz w:val="22"/>
          <w:szCs w:val="22"/>
        </w:rPr>
        <w:t>Chief,</w:t>
      </w:r>
      <w:r w:rsidR="005259F4">
        <w:rPr>
          <w:rFonts w:asciiTheme="minorHAnsi" w:hAnsiTheme="minorHAnsi"/>
          <w:sz w:val="22"/>
          <w:szCs w:val="22"/>
        </w:rPr>
        <w:t xml:space="preserve"> </w:t>
      </w:r>
      <w:r w:rsidR="00C51CB0" w:rsidRPr="00571885">
        <w:rPr>
          <w:rFonts w:asciiTheme="minorHAnsi" w:hAnsiTheme="minorHAnsi"/>
          <w:sz w:val="22"/>
          <w:szCs w:val="22"/>
        </w:rPr>
        <w:t>Postsecondary</w:t>
      </w:r>
      <w:r w:rsidRPr="00571885">
        <w:rPr>
          <w:rFonts w:asciiTheme="minorHAnsi" w:hAnsiTheme="minorHAnsi"/>
          <w:sz w:val="22"/>
          <w:szCs w:val="22"/>
        </w:rPr>
        <w:t xml:space="preserve"> Branch,</w:t>
      </w:r>
      <w:r w:rsidR="00C51CB0" w:rsidRPr="00571885">
        <w:rPr>
          <w:rFonts w:asciiTheme="minorHAnsi" w:hAnsiTheme="minorHAnsi"/>
          <w:sz w:val="22"/>
          <w:szCs w:val="22"/>
        </w:rPr>
        <w:t xml:space="preserve"> Administrative Data Division</w:t>
      </w:r>
      <w:r w:rsidR="00D45270" w:rsidRPr="00571885">
        <w:rPr>
          <w:rFonts w:asciiTheme="minorHAnsi" w:hAnsiTheme="minorHAnsi"/>
          <w:sz w:val="22"/>
          <w:szCs w:val="22"/>
        </w:rPr>
        <w:t>, National Center for Education Statistics</w:t>
      </w:r>
    </w:p>
    <w:p w:rsidR="00D45270" w:rsidRPr="00571885" w:rsidRDefault="00D45270" w:rsidP="00DC52F5">
      <w:pPr>
        <w:tabs>
          <w:tab w:val="left" w:pos="1440"/>
        </w:tabs>
        <w:rPr>
          <w:rFonts w:asciiTheme="minorHAnsi" w:hAnsiTheme="minorHAnsi"/>
          <w:sz w:val="22"/>
          <w:szCs w:val="22"/>
        </w:rPr>
      </w:pPr>
      <w:r w:rsidRPr="00571885">
        <w:rPr>
          <w:rFonts w:asciiTheme="minorHAnsi" w:hAnsiTheme="minorHAnsi"/>
          <w:sz w:val="22"/>
          <w:szCs w:val="22"/>
        </w:rPr>
        <w:t>THROUGH:</w:t>
      </w:r>
      <w:r w:rsidRPr="00571885">
        <w:rPr>
          <w:rFonts w:asciiTheme="minorHAnsi" w:hAnsiTheme="minorHAnsi"/>
          <w:sz w:val="22"/>
          <w:szCs w:val="22"/>
        </w:rPr>
        <w:tab/>
        <w:t>Kashka Kubzdela</w:t>
      </w:r>
    </w:p>
    <w:p w:rsidR="00D45270" w:rsidRPr="00571885" w:rsidRDefault="00D45270" w:rsidP="00DC52F5">
      <w:pPr>
        <w:tabs>
          <w:tab w:val="left" w:pos="1440"/>
        </w:tabs>
        <w:spacing w:after="160"/>
        <w:rPr>
          <w:rFonts w:asciiTheme="minorHAnsi" w:hAnsiTheme="minorHAnsi"/>
          <w:sz w:val="22"/>
          <w:szCs w:val="22"/>
        </w:rPr>
      </w:pPr>
      <w:r w:rsidRPr="00571885">
        <w:rPr>
          <w:rFonts w:asciiTheme="minorHAnsi" w:hAnsiTheme="minorHAnsi"/>
          <w:sz w:val="22"/>
          <w:szCs w:val="22"/>
        </w:rPr>
        <w:tab/>
      </w:r>
      <w:r w:rsidR="005259F4">
        <w:rPr>
          <w:rFonts w:asciiTheme="minorHAnsi" w:hAnsiTheme="minorHAnsi"/>
          <w:sz w:val="22"/>
          <w:szCs w:val="22"/>
        </w:rPr>
        <w:t xml:space="preserve">OMB Liaison, </w:t>
      </w:r>
      <w:r w:rsidRPr="00571885">
        <w:rPr>
          <w:rFonts w:asciiTheme="minorHAnsi" w:hAnsiTheme="minorHAnsi"/>
          <w:sz w:val="22"/>
          <w:szCs w:val="22"/>
        </w:rPr>
        <w:t>National Center for Education Statistics</w:t>
      </w:r>
    </w:p>
    <w:p w:rsidR="00BC1C25" w:rsidRPr="00571885" w:rsidRDefault="00D45270" w:rsidP="00DC52F5">
      <w:pPr>
        <w:tabs>
          <w:tab w:val="left" w:pos="1440"/>
        </w:tabs>
        <w:spacing w:after="160"/>
        <w:ind w:left="1440" w:hanging="1440"/>
        <w:rPr>
          <w:rFonts w:asciiTheme="minorHAnsi" w:hAnsiTheme="minorHAnsi"/>
          <w:sz w:val="22"/>
          <w:szCs w:val="22"/>
        </w:rPr>
      </w:pPr>
      <w:r w:rsidRPr="00571885">
        <w:rPr>
          <w:rFonts w:asciiTheme="minorHAnsi" w:hAnsiTheme="minorHAnsi"/>
          <w:sz w:val="22"/>
          <w:szCs w:val="22"/>
        </w:rPr>
        <w:t>SUBJECT:</w:t>
      </w:r>
      <w:r w:rsidRPr="00571885">
        <w:rPr>
          <w:rFonts w:asciiTheme="minorHAnsi" w:hAnsiTheme="minorHAnsi"/>
          <w:sz w:val="22"/>
          <w:szCs w:val="22"/>
        </w:rPr>
        <w:tab/>
      </w:r>
      <w:r w:rsidR="00E46020" w:rsidRPr="00E46020">
        <w:rPr>
          <w:rFonts w:asciiTheme="minorHAnsi" w:hAnsiTheme="minorHAnsi"/>
          <w:sz w:val="22"/>
          <w:szCs w:val="22"/>
        </w:rPr>
        <w:t>Integrated Postsecondary Education Data System (IPEDS) 201</w:t>
      </w:r>
      <w:r w:rsidR="00E46020">
        <w:rPr>
          <w:rFonts w:asciiTheme="minorHAnsi" w:hAnsiTheme="minorHAnsi"/>
          <w:sz w:val="22"/>
          <w:szCs w:val="22"/>
        </w:rPr>
        <w:t>8</w:t>
      </w:r>
      <w:r w:rsidR="00E46020" w:rsidRPr="00E46020">
        <w:rPr>
          <w:rFonts w:asciiTheme="minorHAnsi" w:hAnsiTheme="minorHAnsi"/>
          <w:sz w:val="22"/>
          <w:szCs w:val="22"/>
        </w:rPr>
        <w:t>-1</w:t>
      </w:r>
      <w:r w:rsidR="00E46020">
        <w:rPr>
          <w:rFonts w:asciiTheme="minorHAnsi" w:hAnsiTheme="minorHAnsi"/>
          <w:sz w:val="22"/>
          <w:szCs w:val="22"/>
        </w:rPr>
        <w:t>9</w:t>
      </w:r>
      <w:r w:rsidR="00E46020" w:rsidRPr="00E46020">
        <w:rPr>
          <w:rFonts w:asciiTheme="minorHAnsi" w:hAnsiTheme="minorHAnsi"/>
          <w:sz w:val="22"/>
          <w:szCs w:val="22"/>
        </w:rPr>
        <w:t xml:space="preserve"> through 2019-20 </w:t>
      </w:r>
      <w:r w:rsidR="00BC1C25" w:rsidRPr="00571885">
        <w:rPr>
          <w:rFonts w:asciiTheme="minorHAnsi" w:hAnsiTheme="minorHAnsi"/>
          <w:sz w:val="22"/>
          <w:szCs w:val="22"/>
        </w:rPr>
        <w:t>FAQs Change Request (OMB# 1850-0582 v.2</w:t>
      </w:r>
      <w:r w:rsidR="005259F4">
        <w:rPr>
          <w:rFonts w:asciiTheme="minorHAnsi" w:hAnsiTheme="minorHAnsi"/>
          <w:sz w:val="22"/>
          <w:szCs w:val="22"/>
        </w:rPr>
        <w:t>3</w:t>
      </w:r>
      <w:r w:rsidR="00BC1C25" w:rsidRPr="00571885">
        <w:rPr>
          <w:rFonts w:asciiTheme="minorHAnsi" w:hAnsiTheme="minorHAnsi"/>
          <w:sz w:val="22"/>
          <w:szCs w:val="22"/>
        </w:rPr>
        <w:t>)</w:t>
      </w:r>
    </w:p>
    <w:p w:rsidR="00D45270" w:rsidRPr="00C6695A" w:rsidRDefault="00D45270">
      <w:pPr>
        <w:pStyle w:val="Title"/>
        <w:ind w:right="-360"/>
        <w:jc w:val="both"/>
        <w:rPr>
          <w:rFonts w:asciiTheme="minorHAnsi" w:hAnsiTheme="minorHAnsi"/>
          <w:sz w:val="14"/>
          <w:szCs w:val="14"/>
        </w:rPr>
      </w:pPr>
    </w:p>
    <w:p w:rsidR="007A2EB5" w:rsidRPr="00571885" w:rsidRDefault="00BC1C25" w:rsidP="00DC52F5">
      <w:pPr>
        <w:tabs>
          <w:tab w:val="left" w:pos="1080"/>
        </w:tabs>
        <w:spacing w:after="160"/>
        <w:rPr>
          <w:rFonts w:asciiTheme="minorHAnsi" w:hAnsiTheme="minorHAnsi"/>
          <w:sz w:val="22"/>
          <w:szCs w:val="22"/>
        </w:rPr>
      </w:pPr>
      <w:r w:rsidRPr="00571885">
        <w:rPr>
          <w:rFonts w:asciiTheme="minorHAnsi" w:hAnsiTheme="minorHAnsi"/>
          <w:sz w:val="22"/>
          <w:szCs w:val="22"/>
        </w:rPr>
        <w:t>The Integrated Postsecondary Education Data System (IPEDS) is a web-based data collection system designed to collect basic data from all postsecondary institutions in the United States and the other jurisdictions. IPEDS enables the National Center for Education Statistics (NCES) to report on key dimensions of postsecondary education such as student enrollment, degrees and other awards earned, tuition and fees, average net price, student financial aid, graduation rates, revenues and expenditures, faculty salaries, staff employed, and information on academic libraries. The IPEDS web-based data collection system was implemented in 2000-01 and collects basic data from approximately 7,300 postsecondary institutions in the United States and the other jurisdictions that are eligible to participate in Title IV Federal financial aid programs. All Title IV institutions are required to respond to IPEDS (Section 490 of the Higher Education Amendments of 1992 (HEA, P.L. 102-325)). IPEDS allows other (non-title IV) institutions to participate on a voluntary basis. Approximately 200 institutions elect to respond. IPEDS data are available to the public through the IPEDS website.</w:t>
      </w:r>
      <w:r w:rsidR="005259F4">
        <w:rPr>
          <w:rFonts w:asciiTheme="minorHAnsi" w:hAnsiTheme="minorHAnsi"/>
          <w:sz w:val="22"/>
          <w:szCs w:val="22"/>
        </w:rPr>
        <w:t xml:space="preserve"> </w:t>
      </w:r>
      <w:r w:rsidRPr="00571885">
        <w:rPr>
          <w:rFonts w:asciiTheme="minorHAnsi" w:hAnsiTheme="minorHAnsi"/>
          <w:sz w:val="22"/>
          <w:szCs w:val="22"/>
        </w:rPr>
        <w:t xml:space="preserve">IPEDS 2017-18 through 2019-20 annual data collection was approved by the Office of Management and Budget (OMB) in February 2017 </w:t>
      </w:r>
      <w:r w:rsidR="005259F4">
        <w:rPr>
          <w:rFonts w:asciiTheme="minorHAnsi" w:hAnsiTheme="minorHAnsi"/>
          <w:sz w:val="22"/>
          <w:szCs w:val="22"/>
        </w:rPr>
        <w:t xml:space="preserve">with the latest change request approved in August 2017 </w:t>
      </w:r>
      <w:r w:rsidRPr="00571885">
        <w:rPr>
          <w:rFonts w:asciiTheme="minorHAnsi" w:hAnsiTheme="minorHAnsi"/>
          <w:sz w:val="22"/>
          <w:szCs w:val="22"/>
        </w:rPr>
        <w:t>(OMB# 1850-0582 v.20</w:t>
      </w:r>
      <w:r w:rsidR="005259F4">
        <w:rPr>
          <w:rFonts w:asciiTheme="minorHAnsi" w:hAnsiTheme="minorHAnsi"/>
          <w:sz w:val="22"/>
          <w:szCs w:val="22"/>
        </w:rPr>
        <w:t>-22</w:t>
      </w:r>
      <w:r w:rsidRPr="00571885">
        <w:rPr>
          <w:rFonts w:asciiTheme="minorHAnsi" w:hAnsiTheme="minorHAnsi"/>
          <w:sz w:val="22"/>
          <w:szCs w:val="22"/>
        </w:rPr>
        <w:t>).</w:t>
      </w:r>
      <w:r w:rsidR="005259F4">
        <w:rPr>
          <w:rFonts w:asciiTheme="minorHAnsi" w:hAnsiTheme="minorHAnsi"/>
          <w:sz w:val="22"/>
          <w:szCs w:val="22"/>
        </w:rPr>
        <w:t xml:space="preserve"> </w:t>
      </w:r>
      <w:r w:rsidR="005732D2" w:rsidRPr="00571885">
        <w:rPr>
          <w:rFonts w:asciiTheme="minorHAnsi" w:hAnsiTheme="minorHAnsi"/>
          <w:sz w:val="22"/>
          <w:szCs w:val="22"/>
        </w:rPr>
        <w:t>Th</w:t>
      </w:r>
      <w:r w:rsidR="007A2EB5" w:rsidRPr="00571885">
        <w:rPr>
          <w:rFonts w:asciiTheme="minorHAnsi" w:hAnsiTheme="minorHAnsi"/>
          <w:sz w:val="22"/>
          <w:szCs w:val="22"/>
        </w:rPr>
        <w:t xml:space="preserve">is request is to make </w:t>
      </w:r>
      <w:r w:rsidR="005732D2" w:rsidRPr="00571885">
        <w:rPr>
          <w:rFonts w:asciiTheme="minorHAnsi" w:hAnsiTheme="minorHAnsi"/>
          <w:sz w:val="22"/>
          <w:szCs w:val="22"/>
        </w:rPr>
        <w:t xml:space="preserve">changes </w:t>
      </w:r>
      <w:r w:rsidR="007A2EB5" w:rsidRPr="00571885">
        <w:rPr>
          <w:rFonts w:asciiTheme="minorHAnsi" w:hAnsiTheme="minorHAnsi"/>
          <w:sz w:val="22"/>
          <w:szCs w:val="22"/>
        </w:rPr>
        <w:t>in IPEDS</w:t>
      </w:r>
      <w:r w:rsidR="005732D2" w:rsidRPr="00571885">
        <w:rPr>
          <w:rFonts w:asciiTheme="minorHAnsi" w:hAnsiTheme="minorHAnsi"/>
          <w:sz w:val="22"/>
          <w:szCs w:val="22"/>
        </w:rPr>
        <w:t xml:space="preserve"> </w:t>
      </w:r>
      <w:r w:rsidR="007A2EB5" w:rsidRPr="00571885">
        <w:rPr>
          <w:rFonts w:asciiTheme="minorHAnsi" w:hAnsiTheme="minorHAnsi"/>
          <w:sz w:val="22"/>
          <w:szCs w:val="22"/>
        </w:rPr>
        <w:t xml:space="preserve">data collection materials </w:t>
      </w:r>
      <w:r w:rsidR="0030044A" w:rsidRPr="00571885">
        <w:rPr>
          <w:rFonts w:asciiTheme="minorHAnsi" w:hAnsiTheme="minorHAnsi"/>
          <w:sz w:val="22"/>
          <w:szCs w:val="22"/>
        </w:rPr>
        <w:t xml:space="preserve">so as </w:t>
      </w:r>
      <w:r w:rsidR="005732D2" w:rsidRPr="00571885">
        <w:rPr>
          <w:rFonts w:asciiTheme="minorHAnsi" w:hAnsiTheme="minorHAnsi"/>
          <w:sz w:val="22"/>
          <w:szCs w:val="22"/>
        </w:rPr>
        <w:t xml:space="preserve">to clarify </w:t>
      </w:r>
      <w:r w:rsidR="0030044A" w:rsidRPr="00571885">
        <w:rPr>
          <w:rFonts w:asciiTheme="minorHAnsi" w:hAnsiTheme="minorHAnsi"/>
          <w:sz w:val="22"/>
          <w:szCs w:val="22"/>
        </w:rPr>
        <w:t xml:space="preserve">online </w:t>
      </w:r>
      <w:r w:rsidR="005732D2" w:rsidRPr="00571885">
        <w:rPr>
          <w:rFonts w:asciiTheme="minorHAnsi" w:hAnsiTheme="minorHAnsi"/>
          <w:sz w:val="22"/>
          <w:szCs w:val="22"/>
        </w:rPr>
        <w:t>instructions, frequently asked questions</w:t>
      </w:r>
      <w:r w:rsidR="007A2EB5" w:rsidRPr="00571885">
        <w:rPr>
          <w:rFonts w:asciiTheme="minorHAnsi" w:hAnsiTheme="minorHAnsi"/>
          <w:sz w:val="22"/>
          <w:szCs w:val="22"/>
        </w:rPr>
        <w:t xml:space="preserve">, and </w:t>
      </w:r>
      <w:r w:rsidR="0030044A" w:rsidRPr="00571885">
        <w:rPr>
          <w:rFonts w:asciiTheme="minorHAnsi" w:hAnsiTheme="minorHAnsi"/>
          <w:sz w:val="22"/>
          <w:szCs w:val="22"/>
        </w:rPr>
        <w:t xml:space="preserve">data collection screens, and to provide the final version of the IPEDS </w:t>
      </w:r>
      <w:r w:rsidR="00750A4D">
        <w:rPr>
          <w:rFonts w:asciiTheme="minorHAnsi" w:hAnsiTheme="minorHAnsi"/>
          <w:sz w:val="22"/>
          <w:szCs w:val="22"/>
        </w:rPr>
        <w:t xml:space="preserve">communication materials and the IPEDS </w:t>
      </w:r>
      <w:r w:rsidR="0030044A" w:rsidRPr="00571885">
        <w:rPr>
          <w:rFonts w:asciiTheme="minorHAnsi" w:hAnsiTheme="minorHAnsi"/>
          <w:sz w:val="22"/>
          <w:szCs w:val="22"/>
        </w:rPr>
        <w:t xml:space="preserve">New Keyholder Handbook </w:t>
      </w:r>
      <w:r w:rsidR="00750A4D">
        <w:rPr>
          <w:rFonts w:asciiTheme="minorHAnsi" w:hAnsiTheme="minorHAnsi"/>
          <w:sz w:val="22"/>
          <w:szCs w:val="22"/>
        </w:rPr>
        <w:t xml:space="preserve">for the </w:t>
      </w:r>
      <w:r w:rsidR="00D8075B" w:rsidRPr="00571885">
        <w:rPr>
          <w:rFonts w:asciiTheme="minorHAnsi" w:hAnsiTheme="minorHAnsi"/>
          <w:sz w:val="22"/>
          <w:szCs w:val="22"/>
        </w:rPr>
        <w:t>2018-19</w:t>
      </w:r>
      <w:r w:rsidR="00750A4D">
        <w:rPr>
          <w:rFonts w:asciiTheme="minorHAnsi" w:hAnsiTheme="minorHAnsi"/>
          <w:sz w:val="22"/>
          <w:szCs w:val="22"/>
        </w:rPr>
        <w:t xml:space="preserve"> administration</w:t>
      </w:r>
      <w:r w:rsidR="0030044A" w:rsidRPr="00571885">
        <w:rPr>
          <w:rFonts w:asciiTheme="minorHAnsi" w:hAnsiTheme="minorHAnsi"/>
          <w:sz w:val="22"/>
          <w:szCs w:val="22"/>
        </w:rPr>
        <w:t>.</w:t>
      </w:r>
    </w:p>
    <w:p w:rsidR="001024EA" w:rsidRPr="00571885" w:rsidRDefault="005732D2" w:rsidP="00DC52F5">
      <w:pPr>
        <w:spacing w:after="160"/>
        <w:rPr>
          <w:rFonts w:asciiTheme="minorHAnsi" w:hAnsiTheme="minorHAnsi"/>
          <w:snapToGrid w:val="0"/>
          <w:sz w:val="22"/>
          <w:szCs w:val="22"/>
        </w:rPr>
      </w:pPr>
      <w:r w:rsidRPr="00571885">
        <w:rPr>
          <w:rFonts w:asciiTheme="minorHAnsi" w:hAnsiTheme="minorHAnsi"/>
          <w:sz w:val="22"/>
          <w:szCs w:val="22"/>
        </w:rPr>
        <w:t xml:space="preserve">NCES regularly receives feedback from the </w:t>
      </w:r>
      <w:r w:rsidR="007A2EB5" w:rsidRPr="00571885">
        <w:rPr>
          <w:rFonts w:asciiTheme="minorHAnsi" w:hAnsiTheme="minorHAnsi"/>
          <w:sz w:val="22"/>
          <w:szCs w:val="22"/>
        </w:rPr>
        <w:t xml:space="preserve">IPEDS </w:t>
      </w:r>
      <w:r w:rsidRPr="00571885">
        <w:rPr>
          <w:rFonts w:asciiTheme="minorHAnsi" w:hAnsiTheme="minorHAnsi"/>
          <w:sz w:val="22"/>
          <w:szCs w:val="22"/>
        </w:rPr>
        <w:t>reporting community on areas that require clarification.</w:t>
      </w:r>
      <w:r w:rsidR="00D8075B" w:rsidRPr="00571885">
        <w:rPr>
          <w:rFonts w:asciiTheme="minorHAnsi" w:hAnsiTheme="minorHAnsi"/>
          <w:sz w:val="22"/>
          <w:szCs w:val="22"/>
        </w:rPr>
        <w:t xml:space="preserve"> Clarification changes will be</w:t>
      </w:r>
      <w:r w:rsidR="0030044A" w:rsidRPr="00571885">
        <w:rPr>
          <w:rFonts w:asciiTheme="minorHAnsi" w:hAnsiTheme="minorHAnsi"/>
          <w:sz w:val="22"/>
          <w:szCs w:val="22"/>
        </w:rPr>
        <w:t xml:space="preserve"> made to the following IPEDS collections</w:t>
      </w:r>
      <w:r w:rsidR="001D5B5F">
        <w:rPr>
          <w:rFonts w:asciiTheme="minorHAnsi" w:hAnsiTheme="minorHAnsi"/>
          <w:sz w:val="22"/>
          <w:szCs w:val="22"/>
        </w:rPr>
        <w:t xml:space="preserve"> beginning with the 2018-19 administration</w:t>
      </w:r>
      <w:r w:rsidR="0030044A" w:rsidRPr="00571885">
        <w:rPr>
          <w:rFonts w:asciiTheme="minorHAnsi" w:hAnsiTheme="minorHAnsi"/>
          <w:sz w:val="22"/>
          <w:szCs w:val="22"/>
        </w:rPr>
        <w:t>: Academic Libraries, Admissions, Fall Enrollment, Finance (for GASB forms), Human Resources, Outcome Measures, and Student Financial Aid.</w:t>
      </w:r>
      <w:r w:rsidR="00136D4B">
        <w:rPr>
          <w:rFonts w:asciiTheme="minorHAnsi" w:hAnsiTheme="minorHAnsi"/>
          <w:sz w:val="22"/>
          <w:szCs w:val="22"/>
        </w:rPr>
        <w:t xml:space="preserve"> </w:t>
      </w:r>
      <w:r w:rsidR="0030044A" w:rsidRPr="00571885">
        <w:rPr>
          <w:rFonts w:asciiTheme="minorHAnsi" w:hAnsiTheme="minorHAnsi"/>
          <w:sz w:val="22"/>
          <w:szCs w:val="22"/>
        </w:rPr>
        <w:t xml:space="preserve">The </w:t>
      </w:r>
      <w:r w:rsidR="001D5B5F">
        <w:rPr>
          <w:rFonts w:asciiTheme="minorHAnsi" w:hAnsiTheme="minorHAnsi"/>
          <w:sz w:val="22"/>
          <w:szCs w:val="22"/>
        </w:rPr>
        <w:t>revisions</w:t>
      </w:r>
      <w:r w:rsidR="00E56595" w:rsidRPr="00571885">
        <w:rPr>
          <w:rFonts w:asciiTheme="minorHAnsi" w:hAnsiTheme="minorHAnsi"/>
          <w:sz w:val="22"/>
          <w:szCs w:val="22"/>
        </w:rPr>
        <w:t xml:space="preserve"> </w:t>
      </w:r>
      <w:r w:rsidR="0030044A" w:rsidRPr="00571885">
        <w:rPr>
          <w:rFonts w:asciiTheme="minorHAnsi" w:hAnsiTheme="minorHAnsi"/>
          <w:sz w:val="22"/>
          <w:szCs w:val="22"/>
        </w:rPr>
        <w:t xml:space="preserve">made </w:t>
      </w:r>
      <w:r w:rsidR="0061143A">
        <w:rPr>
          <w:rFonts w:asciiTheme="minorHAnsi" w:hAnsiTheme="minorHAnsi"/>
          <w:sz w:val="22"/>
          <w:szCs w:val="22"/>
        </w:rPr>
        <w:t xml:space="preserve">to IPEDS survey components </w:t>
      </w:r>
      <w:r w:rsidR="0030044A" w:rsidRPr="00571885">
        <w:rPr>
          <w:rFonts w:asciiTheme="minorHAnsi" w:hAnsiTheme="minorHAnsi"/>
          <w:sz w:val="22"/>
          <w:szCs w:val="22"/>
        </w:rPr>
        <w:t xml:space="preserve">are listed </w:t>
      </w:r>
      <w:r w:rsidR="00F16A88" w:rsidRPr="00571885">
        <w:rPr>
          <w:rFonts w:asciiTheme="minorHAnsi" w:hAnsiTheme="minorHAnsi"/>
          <w:sz w:val="22"/>
          <w:szCs w:val="22"/>
        </w:rPr>
        <w:t xml:space="preserve">in </w:t>
      </w:r>
      <w:r w:rsidR="0061143A">
        <w:rPr>
          <w:rFonts w:asciiTheme="minorHAnsi" w:hAnsiTheme="minorHAnsi"/>
          <w:sz w:val="22"/>
          <w:szCs w:val="22"/>
        </w:rPr>
        <w:t>T</w:t>
      </w:r>
      <w:r w:rsidR="0030044A" w:rsidRPr="00571885">
        <w:rPr>
          <w:rFonts w:asciiTheme="minorHAnsi" w:hAnsiTheme="minorHAnsi"/>
          <w:sz w:val="22"/>
          <w:szCs w:val="22"/>
        </w:rPr>
        <w:t xml:space="preserve">able </w:t>
      </w:r>
      <w:r w:rsidR="0061143A">
        <w:rPr>
          <w:rFonts w:asciiTheme="minorHAnsi" w:hAnsiTheme="minorHAnsi"/>
          <w:sz w:val="22"/>
          <w:szCs w:val="22"/>
        </w:rPr>
        <w:t>1</w:t>
      </w:r>
      <w:r w:rsidR="00F16A88" w:rsidRPr="00571885">
        <w:rPr>
          <w:rFonts w:asciiTheme="minorHAnsi" w:hAnsiTheme="minorHAnsi"/>
          <w:sz w:val="22"/>
          <w:szCs w:val="22"/>
        </w:rPr>
        <w:t xml:space="preserve">. </w:t>
      </w:r>
      <w:r w:rsidR="0061143A">
        <w:rPr>
          <w:rFonts w:asciiTheme="minorHAnsi" w:hAnsiTheme="minorHAnsi"/>
          <w:sz w:val="22"/>
          <w:szCs w:val="22"/>
        </w:rPr>
        <w:t xml:space="preserve">One of the revisions made in the </w:t>
      </w:r>
      <w:r w:rsidR="0061143A" w:rsidRPr="00571885">
        <w:rPr>
          <w:rFonts w:asciiTheme="minorHAnsi" w:hAnsiTheme="minorHAnsi"/>
          <w:sz w:val="22"/>
          <w:szCs w:val="22"/>
        </w:rPr>
        <w:t>Human Resources</w:t>
      </w:r>
      <w:r w:rsidR="0061143A" w:rsidRPr="00571885">
        <w:rPr>
          <w:rFonts w:asciiTheme="minorHAnsi" w:hAnsiTheme="minorHAnsi"/>
          <w:snapToGrid w:val="0"/>
          <w:sz w:val="22"/>
          <w:szCs w:val="22"/>
        </w:rPr>
        <w:t xml:space="preserve"> </w:t>
      </w:r>
      <w:r w:rsidR="0061143A">
        <w:rPr>
          <w:rFonts w:asciiTheme="minorHAnsi" w:hAnsiTheme="minorHAnsi"/>
          <w:snapToGrid w:val="0"/>
          <w:sz w:val="22"/>
          <w:szCs w:val="22"/>
        </w:rPr>
        <w:t xml:space="preserve">component was an update to the </w:t>
      </w:r>
      <w:r w:rsidR="0061143A" w:rsidRPr="0061143A">
        <w:rPr>
          <w:rFonts w:asciiTheme="minorHAnsi" w:hAnsiTheme="minorHAnsi"/>
          <w:snapToGrid w:val="0"/>
          <w:sz w:val="22"/>
          <w:szCs w:val="22"/>
        </w:rPr>
        <w:t>Standard Occupational Classification (SOC)</w:t>
      </w:r>
      <w:r w:rsidR="0061143A">
        <w:rPr>
          <w:rFonts w:asciiTheme="minorHAnsi" w:hAnsiTheme="minorHAnsi"/>
          <w:snapToGrid w:val="0"/>
          <w:sz w:val="22"/>
          <w:szCs w:val="22"/>
        </w:rPr>
        <w:t xml:space="preserve"> codes to reflect the </w:t>
      </w:r>
      <w:r w:rsidR="00750A4D">
        <w:rPr>
          <w:rFonts w:asciiTheme="minorHAnsi" w:hAnsiTheme="minorHAnsi"/>
          <w:snapToGrid w:val="0"/>
          <w:sz w:val="22"/>
          <w:szCs w:val="22"/>
        </w:rPr>
        <w:t xml:space="preserve">newly revised </w:t>
      </w:r>
      <w:r w:rsidR="0061143A">
        <w:rPr>
          <w:rFonts w:asciiTheme="minorHAnsi" w:hAnsiTheme="minorHAnsi"/>
          <w:snapToGrid w:val="0"/>
          <w:sz w:val="22"/>
          <w:szCs w:val="22"/>
        </w:rPr>
        <w:t xml:space="preserve">2018 </w:t>
      </w:r>
      <w:r w:rsidR="00750A4D">
        <w:rPr>
          <w:rFonts w:asciiTheme="minorHAnsi" w:hAnsiTheme="minorHAnsi"/>
          <w:snapToGrid w:val="0"/>
          <w:sz w:val="22"/>
          <w:szCs w:val="22"/>
        </w:rPr>
        <w:t xml:space="preserve">SOC </w:t>
      </w:r>
      <w:r w:rsidR="0061143A">
        <w:rPr>
          <w:rFonts w:asciiTheme="minorHAnsi" w:hAnsiTheme="minorHAnsi"/>
          <w:snapToGrid w:val="0"/>
          <w:sz w:val="22"/>
          <w:szCs w:val="22"/>
        </w:rPr>
        <w:t xml:space="preserve">codes. The details of the SOC code edits </w:t>
      </w:r>
      <w:r w:rsidR="00750A4D">
        <w:rPr>
          <w:rFonts w:asciiTheme="minorHAnsi" w:hAnsiTheme="minorHAnsi"/>
          <w:snapToGrid w:val="0"/>
          <w:sz w:val="22"/>
          <w:szCs w:val="22"/>
        </w:rPr>
        <w:t xml:space="preserve">in IPEDS </w:t>
      </w:r>
      <w:r w:rsidR="0061143A">
        <w:rPr>
          <w:rFonts w:asciiTheme="minorHAnsi" w:hAnsiTheme="minorHAnsi"/>
          <w:snapToGrid w:val="0"/>
          <w:sz w:val="22"/>
          <w:szCs w:val="22"/>
        </w:rPr>
        <w:t xml:space="preserve">are provided in Table 2. </w:t>
      </w:r>
      <w:r w:rsidR="0030044A" w:rsidRPr="00571885">
        <w:rPr>
          <w:rFonts w:asciiTheme="minorHAnsi" w:hAnsiTheme="minorHAnsi"/>
          <w:snapToGrid w:val="0"/>
          <w:sz w:val="22"/>
          <w:szCs w:val="22"/>
        </w:rPr>
        <w:t xml:space="preserve">This request does not introduce </w:t>
      </w:r>
      <w:r w:rsidR="00E601D8" w:rsidRPr="00571885">
        <w:rPr>
          <w:rFonts w:asciiTheme="minorHAnsi" w:hAnsiTheme="minorHAnsi"/>
          <w:snapToGrid w:val="0"/>
          <w:sz w:val="22"/>
          <w:szCs w:val="22"/>
        </w:rPr>
        <w:t xml:space="preserve">any </w:t>
      </w:r>
      <w:r w:rsidR="0030044A" w:rsidRPr="00571885">
        <w:rPr>
          <w:rFonts w:asciiTheme="minorHAnsi" w:hAnsiTheme="minorHAnsi"/>
          <w:snapToGrid w:val="0"/>
          <w:sz w:val="22"/>
          <w:szCs w:val="22"/>
        </w:rPr>
        <w:t xml:space="preserve">changes to respondent burden or </w:t>
      </w:r>
      <w:r w:rsidR="001D5B5F">
        <w:rPr>
          <w:rFonts w:asciiTheme="minorHAnsi" w:hAnsiTheme="minorHAnsi"/>
          <w:snapToGrid w:val="0"/>
          <w:sz w:val="22"/>
          <w:szCs w:val="22"/>
        </w:rPr>
        <w:t xml:space="preserve">to </w:t>
      </w:r>
      <w:r w:rsidR="0030044A" w:rsidRPr="00571885">
        <w:rPr>
          <w:rFonts w:asciiTheme="minorHAnsi" w:hAnsiTheme="minorHAnsi"/>
          <w:snapToGrid w:val="0"/>
          <w:sz w:val="22"/>
          <w:szCs w:val="22"/>
        </w:rPr>
        <w:t>the cost to the federal government.</w:t>
      </w:r>
    </w:p>
    <w:p w:rsidR="001024EA" w:rsidRPr="00136D4B" w:rsidRDefault="001024EA" w:rsidP="00136D4B">
      <w:pPr>
        <w:spacing w:after="120"/>
        <w:rPr>
          <w:rFonts w:asciiTheme="minorHAnsi" w:hAnsiTheme="minorHAnsi"/>
          <w:b/>
          <w:snapToGrid w:val="0"/>
          <w:sz w:val="22"/>
          <w:szCs w:val="22"/>
        </w:rPr>
      </w:pPr>
      <w:r w:rsidRPr="00571885">
        <w:rPr>
          <w:rFonts w:asciiTheme="minorHAnsi" w:hAnsiTheme="minorHAnsi"/>
          <w:b/>
          <w:snapToGrid w:val="0"/>
          <w:sz w:val="22"/>
          <w:szCs w:val="22"/>
        </w:rPr>
        <w:t>Table 1. Detailed changes to IPEDS Survey Components and IPEDS Keyholder Handbook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10929"/>
        <w:gridCol w:w="1908"/>
      </w:tblGrid>
      <w:tr w:rsidR="00E601D8" w:rsidRPr="007005DF" w:rsidTr="0061143A">
        <w:trPr>
          <w:trHeight w:val="144"/>
          <w:tblHeader/>
        </w:trPr>
        <w:tc>
          <w:tcPr>
            <w:tcW w:w="1779" w:type="dxa"/>
            <w:shd w:val="clear" w:color="auto" w:fill="F2F2F2" w:themeFill="background1" w:themeFillShade="F2"/>
            <w:vAlign w:val="center"/>
            <w:hideMark/>
          </w:tcPr>
          <w:p w:rsidR="00E601D8" w:rsidRPr="00CE3C18" w:rsidRDefault="00E601D8" w:rsidP="006C3066">
            <w:pPr>
              <w:ind w:left="-90" w:right="-107"/>
              <w:rPr>
                <w:rFonts w:asciiTheme="minorHAnsi" w:hAnsiTheme="minorHAnsi"/>
                <w:b/>
                <w:bCs/>
                <w:color w:val="000000"/>
                <w:sz w:val="20"/>
              </w:rPr>
            </w:pPr>
            <w:r w:rsidRPr="00CE3C18">
              <w:rPr>
                <w:rFonts w:asciiTheme="minorHAnsi" w:hAnsiTheme="minorHAnsi"/>
                <w:b/>
                <w:bCs/>
                <w:color w:val="000000"/>
                <w:sz w:val="20"/>
              </w:rPr>
              <w:t>Survey component/Other</w:t>
            </w:r>
          </w:p>
        </w:tc>
        <w:tc>
          <w:tcPr>
            <w:tcW w:w="10929" w:type="dxa"/>
            <w:shd w:val="clear" w:color="auto" w:fill="F2F2F2" w:themeFill="background1" w:themeFillShade="F2"/>
            <w:vAlign w:val="center"/>
            <w:hideMark/>
          </w:tcPr>
          <w:p w:rsidR="00E601D8" w:rsidRPr="00CE3C18" w:rsidRDefault="00E601D8" w:rsidP="006C3066">
            <w:pPr>
              <w:rPr>
                <w:rFonts w:asciiTheme="minorHAnsi" w:hAnsiTheme="minorHAnsi"/>
                <w:b/>
                <w:bCs/>
                <w:color w:val="000000"/>
                <w:sz w:val="20"/>
              </w:rPr>
            </w:pPr>
            <w:r w:rsidRPr="00CE3C18">
              <w:rPr>
                <w:rFonts w:asciiTheme="minorHAnsi" w:hAnsiTheme="minorHAnsi"/>
                <w:b/>
                <w:bCs/>
                <w:color w:val="000000"/>
                <w:sz w:val="20"/>
              </w:rPr>
              <w:t xml:space="preserve">Changed instruction/FAQ/screen (where applicable; additions in </w:t>
            </w:r>
            <w:r w:rsidRPr="00CE3C18">
              <w:rPr>
                <w:rFonts w:asciiTheme="minorHAnsi" w:hAnsiTheme="minorHAnsi"/>
                <w:b/>
                <w:bCs/>
                <w:color w:val="FF0000"/>
                <w:sz w:val="20"/>
              </w:rPr>
              <w:t>red</w:t>
            </w:r>
            <w:r w:rsidRPr="00CE3C18">
              <w:rPr>
                <w:rFonts w:asciiTheme="minorHAnsi" w:hAnsiTheme="minorHAnsi"/>
                <w:b/>
                <w:bCs/>
                <w:color w:val="000000"/>
                <w:sz w:val="20"/>
              </w:rPr>
              <w:t xml:space="preserve">, deletions with </w:t>
            </w:r>
            <w:r w:rsidRPr="00CE3C18">
              <w:rPr>
                <w:rFonts w:asciiTheme="minorHAnsi" w:hAnsiTheme="minorHAnsi"/>
                <w:b/>
                <w:bCs/>
                <w:strike/>
                <w:color w:val="000000"/>
                <w:sz w:val="20"/>
              </w:rPr>
              <w:t>strikethrough</w:t>
            </w:r>
            <w:r w:rsidRPr="00CE3C18">
              <w:rPr>
                <w:rFonts w:asciiTheme="minorHAnsi" w:hAnsiTheme="minorHAnsi"/>
                <w:b/>
                <w:bCs/>
                <w:color w:val="000000"/>
                <w:sz w:val="20"/>
              </w:rPr>
              <w:t xml:space="preserve">, rewording in </w:t>
            </w:r>
            <w:r w:rsidRPr="00CE3C18">
              <w:rPr>
                <w:rFonts w:asciiTheme="minorHAnsi" w:hAnsiTheme="minorHAnsi"/>
                <w:b/>
                <w:bCs/>
                <w:color w:val="1F497D" w:themeColor="text2"/>
                <w:sz w:val="20"/>
              </w:rPr>
              <w:t>blue</w:t>
            </w:r>
            <w:r w:rsidRPr="00CE3C18">
              <w:rPr>
                <w:rFonts w:asciiTheme="minorHAnsi" w:hAnsiTheme="minorHAnsi"/>
                <w:b/>
                <w:bCs/>
                <w:color w:val="000000"/>
                <w:sz w:val="20"/>
              </w:rPr>
              <w:t>)</w:t>
            </w:r>
          </w:p>
        </w:tc>
        <w:tc>
          <w:tcPr>
            <w:tcW w:w="1908" w:type="dxa"/>
            <w:shd w:val="clear" w:color="auto" w:fill="F2F2F2" w:themeFill="background1" w:themeFillShade="F2"/>
            <w:vAlign w:val="center"/>
            <w:hideMark/>
          </w:tcPr>
          <w:p w:rsidR="00E601D8" w:rsidRPr="00CE3C18" w:rsidRDefault="00E601D8" w:rsidP="00DC52F5">
            <w:pPr>
              <w:ind w:left="-18" w:right="-90"/>
              <w:rPr>
                <w:rFonts w:asciiTheme="minorHAnsi" w:hAnsiTheme="minorHAnsi"/>
                <w:b/>
                <w:bCs/>
                <w:color w:val="000000"/>
                <w:sz w:val="20"/>
              </w:rPr>
            </w:pPr>
            <w:r w:rsidRPr="00CE3C18">
              <w:rPr>
                <w:rFonts w:asciiTheme="minorHAnsi" w:hAnsiTheme="minorHAnsi"/>
                <w:b/>
                <w:bCs/>
                <w:color w:val="000000"/>
                <w:sz w:val="20"/>
              </w:rPr>
              <w:t xml:space="preserve">Change type </w:t>
            </w:r>
            <w:r w:rsidRPr="00DC52F5">
              <w:rPr>
                <w:rFonts w:asciiTheme="minorHAnsi" w:hAnsiTheme="minorHAnsi"/>
                <w:b/>
                <w:bCs/>
                <w:color w:val="000000"/>
                <w:sz w:val="16"/>
                <w:szCs w:val="16"/>
              </w:rPr>
              <w:t>(</w:t>
            </w:r>
            <w:r w:rsidRPr="00DC52F5">
              <w:rPr>
                <w:rFonts w:asciiTheme="minorHAnsi" w:hAnsiTheme="minorHAnsi"/>
                <w:b/>
                <w:bCs/>
                <w:color w:val="FF0000"/>
                <w:sz w:val="16"/>
                <w:szCs w:val="16"/>
              </w:rPr>
              <w:t>addition</w:t>
            </w:r>
            <w:r w:rsidRPr="00DC52F5">
              <w:rPr>
                <w:rFonts w:asciiTheme="minorHAnsi" w:hAnsiTheme="minorHAnsi"/>
                <w:b/>
                <w:bCs/>
                <w:color w:val="000000"/>
                <w:sz w:val="16"/>
                <w:szCs w:val="16"/>
              </w:rPr>
              <w:t xml:space="preserve">/ </w:t>
            </w:r>
            <w:r w:rsidRPr="00DC52F5">
              <w:rPr>
                <w:rFonts w:asciiTheme="minorHAnsi" w:hAnsiTheme="minorHAnsi"/>
                <w:b/>
                <w:bCs/>
                <w:strike/>
                <w:color w:val="000000"/>
                <w:sz w:val="16"/>
                <w:szCs w:val="16"/>
              </w:rPr>
              <w:t>deletion</w:t>
            </w:r>
            <w:r w:rsidRPr="00DC52F5">
              <w:rPr>
                <w:rFonts w:asciiTheme="minorHAnsi" w:hAnsiTheme="minorHAnsi"/>
                <w:b/>
                <w:bCs/>
                <w:color w:val="000000"/>
                <w:sz w:val="16"/>
                <w:szCs w:val="16"/>
              </w:rPr>
              <w:t xml:space="preserve">/ </w:t>
            </w:r>
            <w:r w:rsidRPr="00DC52F5">
              <w:rPr>
                <w:rFonts w:asciiTheme="minorHAnsi" w:hAnsiTheme="minorHAnsi"/>
                <w:b/>
                <w:bCs/>
                <w:color w:val="1F497D" w:themeColor="text2"/>
                <w:sz w:val="16"/>
                <w:szCs w:val="16"/>
              </w:rPr>
              <w:t>rewording</w:t>
            </w:r>
            <w:r w:rsidRPr="00DC52F5">
              <w:rPr>
                <w:rFonts w:asciiTheme="minorHAnsi" w:hAnsiTheme="minorHAnsi"/>
                <w:b/>
                <w:bCs/>
                <w:color w:val="000000"/>
                <w:sz w:val="16"/>
                <w:szCs w:val="16"/>
              </w:rPr>
              <w:t>)</w:t>
            </w:r>
          </w:p>
        </w:tc>
      </w:tr>
      <w:tr w:rsidR="001D0B51" w:rsidRPr="007005DF" w:rsidTr="00CE3C18">
        <w:trPr>
          <w:trHeight w:val="144"/>
        </w:trPr>
        <w:tc>
          <w:tcPr>
            <w:tcW w:w="1779" w:type="dxa"/>
            <w:shd w:val="clear" w:color="auto" w:fill="auto"/>
            <w:noWrap/>
            <w:vAlign w:val="center"/>
          </w:tcPr>
          <w:p w:rsidR="001D0B51" w:rsidRPr="00CE3C18" w:rsidRDefault="001D0B51" w:rsidP="006C3066">
            <w:pPr>
              <w:ind w:left="-90" w:right="-107"/>
              <w:rPr>
                <w:rFonts w:asciiTheme="minorHAnsi" w:hAnsiTheme="minorHAnsi"/>
                <w:color w:val="000000"/>
                <w:sz w:val="20"/>
              </w:rPr>
            </w:pPr>
            <w:r w:rsidRPr="00CE3C18">
              <w:rPr>
                <w:rFonts w:asciiTheme="minorHAnsi" w:hAnsiTheme="minorHAnsi"/>
                <w:color w:val="000000"/>
                <w:sz w:val="20"/>
              </w:rPr>
              <w:t>Academic Libraries</w:t>
            </w:r>
          </w:p>
        </w:tc>
        <w:tc>
          <w:tcPr>
            <w:tcW w:w="10929" w:type="dxa"/>
            <w:shd w:val="clear" w:color="auto" w:fill="auto"/>
            <w:vAlign w:val="center"/>
          </w:tcPr>
          <w:p w:rsidR="001D0B51" w:rsidRPr="00CE3C18" w:rsidRDefault="001D0B51" w:rsidP="00EE2960">
            <w:pPr>
              <w:rPr>
                <w:rFonts w:asciiTheme="minorHAnsi" w:hAnsiTheme="minorHAnsi"/>
                <w:bCs/>
                <w:sz w:val="20"/>
              </w:rPr>
            </w:pPr>
            <w:r w:rsidRPr="00CE3C18">
              <w:rPr>
                <w:rFonts w:asciiTheme="minorHAnsi" w:hAnsiTheme="minorHAnsi"/>
                <w:bCs/>
                <w:sz w:val="20"/>
              </w:rPr>
              <w:t xml:space="preserve">Deleted FAQ. </w:t>
            </w:r>
            <w:r w:rsidRPr="00CE3C18">
              <w:rPr>
                <w:rFonts w:asciiTheme="minorHAnsi" w:hAnsiTheme="minorHAnsi"/>
                <w:strike/>
                <w:sz w:val="20"/>
              </w:rPr>
              <w:t>Why do you no longer request a title count for the physical book collection? This has been done for many years. Beginning with the 2014-15, NCES requested a volume count only to simplify reporting. This change seemed logical in view of the recent focus on access rather than on ownership</w:t>
            </w:r>
            <w:r w:rsidRPr="00CE3C18">
              <w:rPr>
                <w:rFonts w:asciiTheme="minorHAnsi" w:hAnsiTheme="minorHAnsi"/>
                <w:bCs/>
                <w:sz w:val="20"/>
              </w:rPr>
              <w:t>.</w:t>
            </w:r>
          </w:p>
        </w:tc>
        <w:tc>
          <w:tcPr>
            <w:tcW w:w="1908" w:type="dxa"/>
            <w:shd w:val="clear" w:color="auto" w:fill="auto"/>
            <w:noWrap/>
            <w:vAlign w:val="center"/>
          </w:tcPr>
          <w:p w:rsidR="001D0B51" w:rsidRPr="00CE3C18" w:rsidRDefault="001D0B51" w:rsidP="006C3066">
            <w:pPr>
              <w:rPr>
                <w:rFonts w:asciiTheme="minorHAnsi" w:hAnsiTheme="minorHAnsi"/>
                <w:color w:val="000000"/>
                <w:sz w:val="20"/>
              </w:rPr>
            </w:pPr>
            <w:r w:rsidRPr="00CE3C18">
              <w:rPr>
                <w:rFonts w:asciiTheme="minorHAnsi" w:hAnsiTheme="minorHAnsi"/>
                <w:bCs/>
                <w:sz w:val="20"/>
              </w:rPr>
              <w:t xml:space="preserve">Deletion. </w:t>
            </w:r>
            <w:r w:rsidRPr="00CE3C18">
              <w:rPr>
                <w:rFonts w:asciiTheme="minorHAnsi" w:hAnsiTheme="minorHAnsi"/>
                <w:sz w:val="20"/>
              </w:rPr>
              <w:t>No longer necessary.</w:t>
            </w:r>
          </w:p>
        </w:tc>
      </w:tr>
      <w:tr w:rsidR="001D0B51" w:rsidRPr="007005DF" w:rsidTr="00CE3C18">
        <w:trPr>
          <w:trHeight w:val="144"/>
        </w:trPr>
        <w:tc>
          <w:tcPr>
            <w:tcW w:w="1779" w:type="dxa"/>
            <w:shd w:val="clear" w:color="auto" w:fill="auto"/>
            <w:noWrap/>
            <w:vAlign w:val="center"/>
          </w:tcPr>
          <w:p w:rsidR="001D0B51" w:rsidRPr="00CE3C18" w:rsidRDefault="001D0B51" w:rsidP="006C3066">
            <w:pPr>
              <w:ind w:left="-90" w:right="-107"/>
              <w:rPr>
                <w:rFonts w:asciiTheme="minorHAnsi" w:hAnsiTheme="minorHAnsi"/>
                <w:color w:val="000000"/>
                <w:sz w:val="20"/>
              </w:rPr>
            </w:pPr>
            <w:r w:rsidRPr="00CE3C18">
              <w:rPr>
                <w:rFonts w:asciiTheme="minorHAnsi" w:hAnsiTheme="minorHAnsi"/>
                <w:color w:val="000000"/>
                <w:sz w:val="20"/>
              </w:rPr>
              <w:t>Academic Libraries</w:t>
            </w:r>
          </w:p>
        </w:tc>
        <w:tc>
          <w:tcPr>
            <w:tcW w:w="10929" w:type="dxa"/>
            <w:shd w:val="clear" w:color="auto" w:fill="auto"/>
            <w:vAlign w:val="center"/>
          </w:tcPr>
          <w:p w:rsidR="001D0B51" w:rsidRPr="00CE3C18" w:rsidRDefault="001D0B51" w:rsidP="001D0B51">
            <w:pPr>
              <w:rPr>
                <w:rFonts w:asciiTheme="minorHAnsi" w:hAnsiTheme="minorHAnsi"/>
                <w:bCs/>
                <w:sz w:val="20"/>
              </w:rPr>
            </w:pPr>
            <w:r w:rsidRPr="00CE3C18">
              <w:rPr>
                <w:rFonts w:asciiTheme="minorHAnsi" w:hAnsiTheme="minorHAnsi"/>
                <w:bCs/>
                <w:sz w:val="20"/>
              </w:rPr>
              <w:t xml:space="preserve">Reworded 2015-16 FAQ. Are music sheets collected? </w:t>
            </w:r>
            <w:r w:rsidRPr="00CE3C18">
              <w:rPr>
                <w:rFonts w:asciiTheme="minorHAnsi" w:hAnsiTheme="minorHAnsi"/>
                <w:strike/>
                <w:sz w:val="20"/>
              </w:rPr>
              <w:t xml:space="preserve">Bound volumes of music sheets are collected under the category of "Physical Books". Digital music sheets are not collected. </w:t>
            </w:r>
            <w:r w:rsidRPr="00CE3C18">
              <w:rPr>
                <w:rFonts w:asciiTheme="minorHAnsi" w:hAnsiTheme="minorHAnsi"/>
                <w:sz w:val="20"/>
              </w:rPr>
              <w:t xml:space="preserve"> </w:t>
            </w:r>
            <w:r w:rsidRPr="00CE3C18">
              <w:rPr>
                <w:rFonts w:asciiTheme="minorHAnsi" w:hAnsiTheme="minorHAnsi"/>
                <w:color w:val="1F497D" w:themeColor="text2"/>
                <w:sz w:val="20"/>
              </w:rPr>
              <w:t>Include physical and digital/electronic music scores if searchable by title through the library catalog or discovery system.</w:t>
            </w:r>
          </w:p>
        </w:tc>
        <w:tc>
          <w:tcPr>
            <w:tcW w:w="1908" w:type="dxa"/>
            <w:shd w:val="clear" w:color="auto" w:fill="auto"/>
            <w:noWrap/>
            <w:vAlign w:val="center"/>
          </w:tcPr>
          <w:p w:rsidR="001D0B51" w:rsidRPr="00CE3C18" w:rsidRDefault="001D0B51" w:rsidP="006C3066">
            <w:pPr>
              <w:rPr>
                <w:rFonts w:asciiTheme="minorHAnsi" w:hAnsiTheme="minorHAnsi"/>
                <w:bCs/>
                <w:sz w:val="20"/>
              </w:rPr>
            </w:pPr>
            <w:r w:rsidRPr="00CE3C18">
              <w:rPr>
                <w:rFonts w:asciiTheme="minorHAnsi" w:hAnsiTheme="minorHAnsi"/>
                <w:bCs/>
                <w:sz w:val="20"/>
              </w:rPr>
              <w:t>Rewording. For clarification.</w:t>
            </w:r>
          </w:p>
        </w:tc>
      </w:tr>
      <w:tr w:rsidR="001D0B51" w:rsidRPr="007005DF" w:rsidTr="00CE3C18">
        <w:trPr>
          <w:trHeight w:val="144"/>
        </w:trPr>
        <w:tc>
          <w:tcPr>
            <w:tcW w:w="1779" w:type="dxa"/>
            <w:shd w:val="clear" w:color="auto" w:fill="auto"/>
            <w:noWrap/>
            <w:vAlign w:val="center"/>
          </w:tcPr>
          <w:p w:rsidR="001D0B51" w:rsidRPr="00CE3C18" w:rsidRDefault="001D0B51" w:rsidP="006C3066">
            <w:pPr>
              <w:ind w:left="-90" w:right="-107"/>
              <w:rPr>
                <w:rFonts w:asciiTheme="minorHAnsi" w:hAnsiTheme="minorHAnsi"/>
                <w:color w:val="000000"/>
                <w:sz w:val="20"/>
              </w:rPr>
            </w:pPr>
            <w:r w:rsidRPr="00CE3C18">
              <w:rPr>
                <w:rFonts w:asciiTheme="minorHAnsi" w:hAnsiTheme="minorHAnsi"/>
                <w:color w:val="000000"/>
                <w:sz w:val="20"/>
              </w:rPr>
              <w:lastRenderedPageBreak/>
              <w:t>Academic Libraries</w:t>
            </w:r>
          </w:p>
        </w:tc>
        <w:tc>
          <w:tcPr>
            <w:tcW w:w="10929" w:type="dxa"/>
            <w:shd w:val="clear" w:color="auto" w:fill="auto"/>
            <w:vAlign w:val="center"/>
          </w:tcPr>
          <w:p w:rsidR="001D0B51" w:rsidRPr="00CE3C18" w:rsidRDefault="001D0B51" w:rsidP="001D0B51">
            <w:pPr>
              <w:rPr>
                <w:rFonts w:asciiTheme="minorHAnsi" w:hAnsiTheme="minorHAnsi"/>
                <w:bCs/>
                <w:sz w:val="20"/>
              </w:rPr>
            </w:pPr>
            <w:r w:rsidRPr="00CE3C18">
              <w:rPr>
                <w:rFonts w:asciiTheme="minorHAnsi" w:hAnsiTheme="minorHAnsi"/>
                <w:color w:val="000000"/>
                <w:sz w:val="20"/>
              </w:rPr>
              <w:t xml:space="preserve">New FAQ: </w:t>
            </w:r>
            <w:r w:rsidRPr="00CE3C18">
              <w:rPr>
                <w:rFonts w:asciiTheme="minorHAnsi" w:hAnsiTheme="minorHAnsi"/>
                <w:color w:val="FF0000"/>
                <w:sz w:val="20"/>
              </w:rPr>
              <w:t>Our institution now has a Library and Learning Center, instead of a standalone Library, which is comprised of a library, tutoring, a writing center, and computer labs. Should we answer for the entire facility or just the library component?</w:t>
            </w:r>
            <w:r w:rsidRPr="00CE3C18">
              <w:rPr>
                <w:rFonts w:asciiTheme="minorHAnsi" w:hAnsiTheme="minorHAnsi"/>
                <w:color w:val="FF0000"/>
                <w:sz w:val="20"/>
              </w:rPr>
              <w:br/>
              <w:t>You should answer for the entire facility if it’s under the library’s administrative unit, reports to the head of libraries, and expenses are paid from the library’s budget.</w:t>
            </w:r>
          </w:p>
        </w:tc>
        <w:tc>
          <w:tcPr>
            <w:tcW w:w="1908" w:type="dxa"/>
            <w:shd w:val="clear" w:color="auto" w:fill="auto"/>
            <w:noWrap/>
            <w:vAlign w:val="center"/>
          </w:tcPr>
          <w:p w:rsidR="001D0B51" w:rsidRPr="00CE3C18" w:rsidRDefault="001D0B51" w:rsidP="006C3066">
            <w:pPr>
              <w:rPr>
                <w:rFonts w:asciiTheme="minorHAnsi" w:hAnsiTheme="minorHAnsi"/>
                <w:bCs/>
                <w:sz w:val="20"/>
              </w:rPr>
            </w:pPr>
            <w:r w:rsidRPr="00CE3C18">
              <w:rPr>
                <w:rFonts w:asciiTheme="minorHAnsi" w:hAnsiTheme="minorHAnsi"/>
                <w:bCs/>
                <w:sz w:val="20"/>
              </w:rPr>
              <w:t>Addition.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Calibri" w:hAnsi="Calibri"/>
                <w:color w:val="000000"/>
                <w:sz w:val="20"/>
              </w:rPr>
              <w:t>Academic Libraries</w:t>
            </w:r>
          </w:p>
        </w:tc>
        <w:tc>
          <w:tcPr>
            <w:tcW w:w="10929" w:type="dxa"/>
            <w:shd w:val="clear" w:color="auto" w:fill="auto"/>
            <w:vAlign w:val="center"/>
          </w:tcPr>
          <w:p w:rsidR="00DC52F5" w:rsidRPr="00CE3C18" w:rsidRDefault="00DC52F5" w:rsidP="00777A41">
            <w:pPr>
              <w:rPr>
                <w:rFonts w:ascii="Calibri" w:hAnsi="Calibri"/>
                <w:color w:val="000000"/>
                <w:sz w:val="20"/>
              </w:rPr>
            </w:pPr>
            <w:r w:rsidRPr="00CE3C18">
              <w:rPr>
                <w:rFonts w:ascii="Calibri" w:hAnsi="Calibri"/>
                <w:color w:val="000000"/>
                <w:sz w:val="20"/>
              </w:rPr>
              <w:t>Reworded “Notes for Library Consortia” in instruction.</w:t>
            </w:r>
          </w:p>
          <w:p w:rsidR="00DC52F5" w:rsidRPr="00DC52F5" w:rsidRDefault="00DC52F5" w:rsidP="00777A41">
            <w:pPr>
              <w:rPr>
                <w:rFonts w:ascii="Calibri" w:hAnsi="Calibri"/>
                <w:color w:val="000000"/>
                <w:sz w:val="10"/>
                <w:szCs w:val="10"/>
              </w:rPr>
            </w:pPr>
          </w:p>
          <w:p w:rsidR="00DC52F5" w:rsidRPr="00CE3C18" w:rsidRDefault="00DC52F5" w:rsidP="00777A41">
            <w:pPr>
              <w:rPr>
                <w:rFonts w:ascii="Calibri" w:hAnsi="Calibri"/>
                <w:color w:val="000000"/>
                <w:sz w:val="20"/>
              </w:rPr>
            </w:pPr>
            <w:r w:rsidRPr="00CE3C18">
              <w:rPr>
                <w:rFonts w:ascii="Calibri" w:hAnsi="Calibri"/>
                <w:color w:val="000000"/>
                <w:sz w:val="20"/>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p w:rsidR="00DC52F5" w:rsidRPr="00CE3C18" w:rsidRDefault="00DC52F5" w:rsidP="00777A41">
            <w:pPr>
              <w:rPr>
                <w:rFonts w:ascii="Calibri" w:hAnsi="Calibri"/>
                <w:color w:val="000000"/>
                <w:sz w:val="20"/>
              </w:rPr>
            </w:pPr>
            <w:r w:rsidRPr="00CE3C18">
              <w:rPr>
                <w:rFonts w:ascii="Calibri" w:hAnsi="Calibri"/>
                <w:color w:val="000000"/>
                <w:sz w:val="20"/>
              </w:rPr>
              <w:t>The purpose of library consortia can include:</w:t>
            </w:r>
          </w:p>
          <w:p w:rsidR="00DC52F5" w:rsidRPr="00CE3C18" w:rsidRDefault="00DC52F5" w:rsidP="00777A41">
            <w:pPr>
              <w:numPr>
                <w:ilvl w:val="0"/>
                <w:numId w:val="18"/>
              </w:numPr>
              <w:contextualSpacing/>
              <w:rPr>
                <w:rFonts w:ascii="Calibri" w:eastAsia="Calibri" w:hAnsi="Calibri"/>
                <w:color w:val="000000"/>
                <w:sz w:val="20"/>
              </w:rPr>
            </w:pPr>
            <w:r w:rsidRPr="00CE3C18">
              <w:rPr>
                <w:rFonts w:ascii="Calibri" w:eastAsia="Calibri" w:hAnsi="Calibri"/>
                <w:color w:val="000000"/>
                <w:sz w:val="20"/>
              </w:rPr>
              <w:t>Cost reduction through group purchasing</w:t>
            </w:r>
          </w:p>
          <w:p w:rsidR="00DC52F5" w:rsidRPr="00CE3C18" w:rsidRDefault="00DC52F5" w:rsidP="00777A41">
            <w:pPr>
              <w:numPr>
                <w:ilvl w:val="0"/>
                <w:numId w:val="18"/>
              </w:numPr>
              <w:contextualSpacing/>
              <w:rPr>
                <w:rFonts w:ascii="Calibri" w:eastAsia="Calibri" w:hAnsi="Calibri"/>
                <w:color w:val="000000"/>
                <w:sz w:val="20"/>
              </w:rPr>
            </w:pPr>
            <w:r w:rsidRPr="00CE3C18">
              <w:rPr>
                <w:rFonts w:ascii="Calibri" w:eastAsia="Calibri" w:hAnsi="Calibri"/>
                <w:color w:val="000000"/>
                <w:sz w:val="20"/>
              </w:rPr>
              <w:t>Professional development for library staff</w:t>
            </w:r>
          </w:p>
          <w:p w:rsidR="00DC52F5" w:rsidRPr="00CE3C18" w:rsidRDefault="00DC52F5" w:rsidP="00777A41">
            <w:pPr>
              <w:numPr>
                <w:ilvl w:val="0"/>
                <w:numId w:val="18"/>
              </w:numPr>
              <w:contextualSpacing/>
              <w:rPr>
                <w:rFonts w:ascii="Calibri" w:eastAsia="Calibri" w:hAnsi="Calibri"/>
                <w:color w:val="000000"/>
                <w:sz w:val="20"/>
              </w:rPr>
            </w:pPr>
            <w:r w:rsidRPr="00CE3C18">
              <w:rPr>
                <w:rFonts w:ascii="Calibri" w:eastAsia="Calibri" w:hAnsi="Calibri"/>
                <w:color w:val="000000"/>
                <w:sz w:val="20"/>
              </w:rPr>
              <w:t>Resource sharing (content, technology, expertise, and funding)</w:t>
            </w:r>
          </w:p>
          <w:p w:rsidR="00DC52F5" w:rsidRPr="00CE3C18" w:rsidRDefault="00DC52F5" w:rsidP="00777A41">
            <w:pPr>
              <w:numPr>
                <w:ilvl w:val="0"/>
                <w:numId w:val="18"/>
              </w:numPr>
              <w:contextualSpacing/>
              <w:rPr>
                <w:rFonts w:ascii="Calibri" w:eastAsia="Calibri" w:hAnsi="Calibri"/>
                <w:color w:val="000000"/>
                <w:sz w:val="20"/>
              </w:rPr>
            </w:pPr>
            <w:r w:rsidRPr="00CE3C18">
              <w:rPr>
                <w:rFonts w:ascii="Calibri" w:eastAsia="Calibri" w:hAnsi="Calibri"/>
                <w:color w:val="000000"/>
                <w:sz w:val="20"/>
              </w:rPr>
              <w:t>Networking, information sharing, mass communication</w:t>
            </w:r>
          </w:p>
          <w:p w:rsidR="00DC52F5" w:rsidRPr="00CE3C18" w:rsidRDefault="00DC52F5" w:rsidP="00777A41">
            <w:pPr>
              <w:numPr>
                <w:ilvl w:val="0"/>
                <w:numId w:val="18"/>
              </w:numPr>
              <w:contextualSpacing/>
              <w:rPr>
                <w:rFonts w:ascii="Calibri" w:eastAsia="Calibri" w:hAnsi="Calibri"/>
                <w:color w:val="000000"/>
                <w:sz w:val="20"/>
              </w:rPr>
            </w:pPr>
            <w:r w:rsidRPr="00CE3C18">
              <w:rPr>
                <w:rFonts w:ascii="Calibri" w:eastAsia="Calibri" w:hAnsi="Calibri"/>
                <w:color w:val="000000"/>
                <w:sz w:val="20"/>
              </w:rPr>
              <w:t>Building shared integrated library management and cataloging systems.</w:t>
            </w:r>
          </w:p>
          <w:p w:rsidR="00DC52F5" w:rsidRPr="00DC52F5" w:rsidRDefault="00DC52F5" w:rsidP="00777A41">
            <w:pPr>
              <w:rPr>
                <w:rFonts w:ascii="Calibri" w:hAnsi="Calibri"/>
                <w:color w:val="000000"/>
                <w:sz w:val="20"/>
              </w:rPr>
            </w:pPr>
            <w:r w:rsidRPr="00CE3C18">
              <w:rPr>
                <w:rFonts w:ascii="Calibri" w:hAnsi="Calibri"/>
                <w:color w:val="1F497D" w:themeColor="text2"/>
                <w:sz w:val="20"/>
              </w:rPr>
              <w:t>A library consortium can be multitype, almost any type of library can participate (e.g. public libraries).</w:t>
            </w:r>
            <w:r w:rsidRPr="00CE3C18">
              <w:rPr>
                <w:rFonts w:ascii="Calibri" w:hAnsi="Calibri"/>
                <w:color w:val="FF0000"/>
                <w:sz w:val="20"/>
              </w:rPr>
              <w:t xml:space="preserve"> </w:t>
            </w:r>
            <w:r w:rsidRPr="00CE3C18">
              <w:rPr>
                <w:rFonts w:ascii="Calibri" w:hAnsi="Calibri"/>
                <w:color w:val="000000"/>
                <w:sz w:val="20"/>
              </w:rPr>
              <w:t xml:space="preserve">For IPEDS purposes, academic libraries that share an administrative unit are NOT considered a consortium (see definition of branch and independent libraries). There are two cases of consortium: one in which members share ALL library resources or one in which they share PARTIAL resources. Refer below for specific instructions in each case. </w:t>
            </w:r>
          </w:p>
        </w:tc>
        <w:tc>
          <w:tcPr>
            <w:tcW w:w="1908" w:type="dxa"/>
            <w:shd w:val="clear" w:color="auto" w:fill="auto"/>
            <w:noWrap/>
            <w:vAlign w:val="center"/>
          </w:tcPr>
          <w:p w:rsidR="00DC52F5" w:rsidRPr="00CE3C18" w:rsidRDefault="00DC52F5" w:rsidP="00777A41">
            <w:pPr>
              <w:rPr>
                <w:rFonts w:asciiTheme="minorHAnsi" w:hAnsiTheme="minorHAnsi"/>
                <w:bCs/>
                <w:sz w:val="20"/>
              </w:rPr>
            </w:pPr>
            <w:r w:rsidRPr="00CE3C18">
              <w:rPr>
                <w:rFonts w:asciiTheme="minorHAnsi" w:hAnsiTheme="minorHAnsi"/>
                <w:bCs/>
                <w:sz w:val="20"/>
              </w:rPr>
              <w:t>Rewording.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Calibri" w:hAnsi="Calibri"/>
                <w:color w:val="000000"/>
                <w:sz w:val="20"/>
              </w:rPr>
            </w:pPr>
            <w:r w:rsidRPr="00CE3C18">
              <w:rPr>
                <w:rFonts w:ascii="Calibri" w:hAnsi="Calibri"/>
                <w:color w:val="000000"/>
                <w:sz w:val="20"/>
              </w:rPr>
              <w:t>Academic Libraries</w:t>
            </w:r>
          </w:p>
        </w:tc>
        <w:tc>
          <w:tcPr>
            <w:tcW w:w="10929" w:type="dxa"/>
            <w:shd w:val="clear" w:color="auto" w:fill="auto"/>
            <w:vAlign w:val="center"/>
          </w:tcPr>
          <w:p w:rsidR="00DC52F5" w:rsidRPr="00CE3C18" w:rsidRDefault="00DC52F5" w:rsidP="00777A41">
            <w:pPr>
              <w:rPr>
                <w:rFonts w:asciiTheme="minorHAnsi" w:hAnsiTheme="minorHAnsi"/>
                <w:color w:val="FF0000"/>
                <w:sz w:val="20"/>
              </w:rPr>
            </w:pPr>
            <w:r w:rsidRPr="00CE3C18">
              <w:rPr>
                <w:rFonts w:asciiTheme="minorHAnsi" w:hAnsiTheme="minorHAnsi"/>
                <w:sz w:val="20"/>
              </w:rPr>
              <w:t xml:space="preserve">New FAQ: </w:t>
            </w:r>
            <w:r w:rsidRPr="00CE3C18">
              <w:rPr>
                <w:rFonts w:asciiTheme="minorHAnsi" w:hAnsiTheme="minorHAnsi"/>
                <w:color w:val="FF0000"/>
                <w:sz w:val="20"/>
              </w:rPr>
              <w:t xml:space="preserve">If an institution’s academic library is in a consortium with a public library, can their shared resources be included in the Academic Library survey? </w:t>
            </w:r>
          </w:p>
          <w:p w:rsidR="00DC52F5" w:rsidRPr="00CE3C18" w:rsidRDefault="00DC52F5" w:rsidP="00777A41">
            <w:pPr>
              <w:rPr>
                <w:rFonts w:ascii="Calibri" w:hAnsi="Calibri"/>
                <w:color w:val="000000"/>
                <w:sz w:val="20"/>
              </w:rPr>
            </w:pPr>
            <w:r w:rsidRPr="00CE3C18">
              <w:rPr>
                <w:rFonts w:asciiTheme="minorHAnsi" w:hAnsiTheme="minorHAnsi"/>
                <w:color w:val="FF0000"/>
                <w:sz w:val="20"/>
              </w:rPr>
              <w:t>A library consortium can be multitype, almost any type of library can participate (e.g. public libraries). However, for their shared items to be included on the Academic Library survey, the items have to be cataloged and/or searchable through the library catalog or discovery system.</w:t>
            </w:r>
          </w:p>
        </w:tc>
        <w:tc>
          <w:tcPr>
            <w:tcW w:w="1908" w:type="dxa"/>
            <w:shd w:val="clear" w:color="auto" w:fill="auto"/>
            <w:noWrap/>
            <w:vAlign w:val="center"/>
          </w:tcPr>
          <w:p w:rsidR="00DC52F5" w:rsidRPr="00CE3C18" w:rsidRDefault="00DC52F5" w:rsidP="00777A41">
            <w:pPr>
              <w:rPr>
                <w:rFonts w:asciiTheme="minorHAnsi" w:hAnsiTheme="minorHAnsi"/>
                <w:bCs/>
                <w:sz w:val="20"/>
              </w:rPr>
            </w:pPr>
            <w:r w:rsidRPr="00CE3C18">
              <w:rPr>
                <w:rFonts w:asciiTheme="minorHAnsi" w:hAnsiTheme="minorHAnsi"/>
                <w:bCs/>
                <w:sz w:val="20"/>
              </w:rPr>
              <w:t>Addition.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Calibri" w:hAnsi="Calibri"/>
                <w:color w:val="000000"/>
                <w:sz w:val="20"/>
              </w:rPr>
            </w:pPr>
            <w:r w:rsidRPr="00CE3C18">
              <w:rPr>
                <w:rFonts w:ascii="Calibri" w:hAnsi="Calibri"/>
                <w:color w:val="000000"/>
                <w:sz w:val="20"/>
              </w:rPr>
              <w:t>Academic Libraries</w:t>
            </w:r>
          </w:p>
        </w:tc>
        <w:tc>
          <w:tcPr>
            <w:tcW w:w="10929" w:type="dxa"/>
            <w:shd w:val="clear" w:color="auto" w:fill="auto"/>
            <w:vAlign w:val="center"/>
          </w:tcPr>
          <w:p w:rsidR="00DC52F5" w:rsidRPr="00CE3C18" w:rsidRDefault="00DC52F5" w:rsidP="00777A41">
            <w:pPr>
              <w:rPr>
                <w:rFonts w:ascii="Calibri" w:hAnsi="Calibri"/>
                <w:bCs/>
                <w:color w:val="000000"/>
                <w:sz w:val="20"/>
              </w:rPr>
            </w:pPr>
            <w:r w:rsidRPr="00CE3C18">
              <w:rPr>
                <w:rFonts w:ascii="Calibri" w:hAnsi="Calibri"/>
                <w:bCs/>
                <w:color w:val="000000"/>
                <w:sz w:val="20"/>
              </w:rPr>
              <w:t>Reworded instruction to clarify how to include periodical microforms. Physical Serials – Report the number of physical serial titles that are accessible through the library’s catalog or discovery system. A serial is a publication in any medium issued in successive parts bearing numerical or chronological designations and intended to be continued indefinitely. This definition includes, in any physical format, periodicals,</w:t>
            </w:r>
            <w:r w:rsidRPr="00CE3C18">
              <w:rPr>
                <w:sz w:val="20"/>
              </w:rPr>
              <w:t xml:space="preserve"> </w:t>
            </w:r>
            <w:r w:rsidRPr="00CE3C18">
              <w:rPr>
                <w:rFonts w:ascii="Calibri" w:hAnsi="Calibri"/>
                <w:bCs/>
                <w:color w:val="1F497D" w:themeColor="text2"/>
                <w:sz w:val="20"/>
              </w:rPr>
              <w:t>serial titles on microform</w:t>
            </w:r>
            <w:r w:rsidRPr="00CE3C18">
              <w:rPr>
                <w:rFonts w:ascii="Calibri" w:hAnsi="Calibri"/>
                <w:bCs/>
                <w:color w:val="000000"/>
                <w:sz w:val="20"/>
              </w:rPr>
              <w:t>, newspapers, and annuals (reports, yearbooks, etc.); the journals, memoirs, proceedings, transactions, etc. of societies; and numbered monographic series.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tc>
        <w:tc>
          <w:tcPr>
            <w:tcW w:w="1908" w:type="dxa"/>
            <w:shd w:val="clear" w:color="auto" w:fill="auto"/>
            <w:noWrap/>
            <w:vAlign w:val="center"/>
          </w:tcPr>
          <w:p w:rsidR="00DC52F5" w:rsidRPr="00CE3C18" w:rsidRDefault="00DC52F5" w:rsidP="00777A41">
            <w:pPr>
              <w:rPr>
                <w:rFonts w:asciiTheme="minorHAnsi" w:hAnsiTheme="minorHAnsi"/>
                <w:bCs/>
                <w:sz w:val="20"/>
              </w:rPr>
            </w:pPr>
            <w:r w:rsidRPr="00CE3C18">
              <w:rPr>
                <w:rFonts w:asciiTheme="minorHAnsi" w:hAnsiTheme="minorHAnsi"/>
                <w:bCs/>
                <w:sz w:val="20"/>
              </w:rPr>
              <w:t>Rewording.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Calibri" w:hAnsi="Calibri"/>
                <w:color w:val="000000"/>
                <w:sz w:val="20"/>
              </w:rPr>
            </w:pPr>
            <w:r w:rsidRPr="00CE3C18">
              <w:rPr>
                <w:rFonts w:ascii="Calibri" w:hAnsi="Calibri"/>
                <w:color w:val="000000"/>
                <w:sz w:val="20"/>
              </w:rPr>
              <w:t>Academic Libraries</w:t>
            </w:r>
          </w:p>
        </w:tc>
        <w:tc>
          <w:tcPr>
            <w:tcW w:w="10929" w:type="dxa"/>
            <w:shd w:val="clear" w:color="auto" w:fill="auto"/>
            <w:vAlign w:val="center"/>
          </w:tcPr>
          <w:p w:rsidR="00DC52F5" w:rsidRPr="00CE3C18" w:rsidRDefault="00DC52F5" w:rsidP="00777A41">
            <w:pPr>
              <w:rPr>
                <w:rFonts w:ascii="Calibri" w:hAnsi="Calibri"/>
                <w:bCs/>
                <w:color w:val="FF0000"/>
                <w:sz w:val="20"/>
              </w:rPr>
            </w:pPr>
            <w:r w:rsidRPr="00CE3C18">
              <w:rPr>
                <w:rFonts w:ascii="Calibri" w:hAnsi="Calibri"/>
                <w:bCs/>
                <w:sz w:val="20"/>
              </w:rPr>
              <w:t xml:space="preserve">New FAQ: </w:t>
            </w:r>
            <w:r w:rsidRPr="00CE3C18">
              <w:rPr>
                <w:rFonts w:ascii="Calibri" w:hAnsi="Calibri"/>
                <w:bCs/>
                <w:color w:val="FF0000"/>
                <w:sz w:val="20"/>
              </w:rPr>
              <w:t>How do you report serial titles on microform?</w:t>
            </w:r>
          </w:p>
          <w:p w:rsidR="00DC52F5" w:rsidRPr="00CE3C18" w:rsidRDefault="00DC52F5" w:rsidP="00777A41">
            <w:pPr>
              <w:rPr>
                <w:rFonts w:ascii="Calibri" w:hAnsi="Calibri"/>
                <w:bCs/>
                <w:color w:val="000000"/>
                <w:sz w:val="20"/>
              </w:rPr>
            </w:pPr>
            <w:r w:rsidRPr="00CE3C18">
              <w:rPr>
                <w:rFonts w:ascii="Calibri" w:hAnsi="Calibri"/>
                <w:bCs/>
                <w:color w:val="FF0000"/>
                <w:sz w:val="20"/>
              </w:rPr>
              <w:t>Report non-serial microform titles in physical media, and serial titles on microform under physical serials.  If the library cannot determine if a microform title is a serial or not, then report it under physical media</w:t>
            </w:r>
          </w:p>
        </w:tc>
        <w:tc>
          <w:tcPr>
            <w:tcW w:w="1908" w:type="dxa"/>
            <w:shd w:val="clear" w:color="auto" w:fill="auto"/>
            <w:noWrap/>
            <w:vAlign w:val="center"/>
          </w:tcPr>
          <w:p w:rsidR="00DC52F5" w:rsidRPr="00CE3C18" w:rsidRDefault="00DC52F5" w:rsidP="00777A41">
            <w:pPr>
              <w:rPr>
                <w:rFonts w:asciiTheme="minorHAnsi" w:hAnsiTheme="minorHAnsi"/>
                <w:bCs/>
                <w:sz w:val="20"/>
              </w:rPr>
            </w:pPr>
            <w:r w:rsidRPr="00CE3C18">
              <w:rPr>
                <w:rFonts w:asciiTheme="minorHAnsi" w:hAnsiTheme="minorHAnsi"/>
                <w:bCs/>
                <w:sz w:val="20"/>
              </w:rPr>
              <w:t>Addition.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Admissions</w:t>
            </w:r>
          </w:p>
        </w:tc>
        <w:tc>
          <w:tcPr>
            <w:tcW w:w="10929" w:type="dxa"/>
            <w:shd w:val="clear" w:color="auto" w:fill="auto"/>
            <w:vAlign w:val="center"/>
          </w:tcPr>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000000"/>
                <w:sz w:val="20"/>
              </w:rPr>
              <w:t xml:space="preserve">Reworded instruction. </w:t>
            </w:r>
            <w:r w:rsidRPr="00CE3C18">
              <w:rPr>
                <w:rFonts w:asciiTheme="minorHAnsi" w:hAnsiTheme="minorHAnsi"/>
                <w:strike/>
                <w:color w:val="000000"/>
                <w:sz w:val="20"/>
              </w:rPr>
              <w:t>ADM covers data for the most recent Fall period.</w:t>
            </w:r>
            <w:r w:rsidRPr="00CE3C18">
              <w:rPr>
                <w:rFonts w:asciiTheme="minorHAnsi" w:hAnsiTheme="minorHAnsi"/>
                <w:color w:val="000000"/>
                <w:sz w:val="20"/>
              </w:rPr>
              <w:t xml:space="preserve">  </w:t>
            </w:r>
            <w:r w:rsidRPr="00CE3C18">
              <w:rPr>
                <w:rFonts w:asciiTheme="minorHAnsi" w:hAnsiTheme="minorHAnsi"/>
                <w:color w:val="365F91" w:themeColor="accent1" w:themeShade="BF"/>
                <w:sz w:val="20"/>
              </w:rPr>
              <w:t>Institutions operating on a traditional academic year calendar (semester, trimester, quarter, or 4-1-4) report admissions data:</w:t>
            </w:r>
          </w:p>
          <w:p w:rsidR="00DC52F5" w:rsidRPr="00CE3C18" w:rsidRDefault="00DC52F5" w:rsidP="00777A41">
            <w:pPr>
              <w:pStyle w:val="ListParagraph"/>
              <w:numPr>
                <w:ilvl w:val="0"/>
                <w:numId w:val="23"/>
              </w:numPr>
              <w:rPr>
                <w:color w:val="365F91" w:themeColor="accent1" w:themeShade="BF"/>
                <w:sz w:val="20"/>
                <w:szCs w:val="20"/>
              </w:rPr>
            </w:pPr>
            <w:r w:rsidRPr="00CE3C18">
              <w:rPr>
                <w:color w:val="365F91" w:themeColor="accent1" w:themeShade="BF"/>
                <w:sz w:val="20"/>
                <w:szCs w:val="20"/>
              </w:rPr>
              <w:t xml:space="preserve">For applicants and admitted students: Include all students who applied for enrollment or were admitted if they would have been considered first-time degree/certificate-seeking undergraduate students as of the institution's official fall reporting date, or October 15. </w:t>
            </w:r>
          </w:p>
          <w:p w:rsidR="00DC52F5" w:rsidRPr="00CE3C18" w:rsidRDefault="00DC52F5" w:rsidP="00777A41">
            <w:pPr>
              <w:pStyle w:val="ListParagraph"/>
              <w:numPr>
                <w:ilvl w:val="0"/>
                <w:numId w:val="23"/>
              </w:numPr>
              <w:rPr>
                <w:color w:val="365F91" w:themeColor="accent1" w:themeShade="BF"/>
                <w:sz w:val="20"/>
                <w:szCs w:val="20"/>
              </w:rPr>
            </w:pPr>
            <w:r w:rsidRPr="00CE3C18">
              <w:rPr>
                <w:color w:val="365F91" w:themeColor="accent1" w:themeShade="BF"/>
                <w:sz w:val="20"/>
                <w:szCs w:val="20"/>
              </w:rPr>
              <w:t>For admitted students who enrolled: Include all students who were considered first-time, full-time degree/certificate-seeking undergraduate students as of the institution's official fall reporting date, or October 15.</w:t>
            </w:r>
          </w:p>
          <w:p w:rsidR="00DC52F5" w:rsidRPr="00CE3C18" w:rsidRDefault="00DC52F5" w:rsidP="00777A41">
            <w:pPr>
              <w:ind w:left="19"/>
              <w:rPr>
                <w:rFonts w:asciiTheme="minorHAnsi" w:hAnsiTheme="minorHAnsi"/>
                <w:color w:val="365F91" w:themeColor="accent1" w:themeShade="BF"/>
                <w:sz w:val="20"/>
              </w:rPr>
            </w:pPr>
            <w:r w:rsidRPr="00CE3C18">
              <w:rPr>
                <w:rFonts w:asciiTheme="minorHAnsi" w:hAnsiTheme="minorHAnsi"/>
                <w:color w:val="365F91" w:themeColor="accent1" w:themeShade="BF"/>
                <w:sz w:val="20"/>
              </w:rPr>
              <w:t>Institutions operating on a calendar that differs by program or that enrolls students on a continuous basis (referred to as program reporters) report admissions data:</w:t>
            </w:r>
          </w:p>
          <w:p w:rsidR="00DC52F5" w:rsidRPr="00CE3C18" w:rsidRDefault="00DC52F5" w:rsidP="00777A41">
            <w:pPr>
              <w:pStyle w:val="ListParagraph"/>
              <w:numPr>
                <w:ilvl w:val="0"/>
                <w:numId w:val="24"/>
              </w:numPr>
              <w:rPr>
                <w:color w:val="365F91" w:themeColor="accent1" w:themeShade="BF"/>
                <w:sz w:val="20"/>
                <w:szCs w:val="20"/>
              </w:rPr>
            </w:pPr>
            <w:r w:rsidRPr="00CE3C18">
              <w:rPr>
                <w:color w:val="365F91" w:themeColor="accent1" w:themeShade="BF"/>
                <w:sz w:val="20"/>
                <w:szCs w:val="20"/>
              </w:rPr>
              <w:t>For applicants and admitted students: Include all students who applied for enrollment or were admitted if they would have been considered first-time degree/certificate-seeking undergraduate students any time during the period of August 1 through October 31.</w:t>
            </w:r>
          </w:p>
          <w:p w:rsidR="00DC52F5" w:rsidRPr="00CE3C18" w:rsidRDefault="00DC52F5" w:rsidP="00777A41">
            <w:pPr>
              <w:pStyle w:val="ListParagraph"/>
              <w:numPr>
                <w:ilvl w:val="0"/>
                <w:numId w:val="24"/>
              </w:numPr>
              <w:rPr>
                <w:color w:val="365F91" w:themeColor="accent1" w:themeShade="BF"/>
                <w:sz w:val="20"/>
                <w:szCs w:val="20"/>
              </w:rPr>
            </w:pPr>
            <w:r w:rsidRPr="00CE3C18">
              <w:rPr>
                <w:color w:val="365F91" w:themeColor="accent1" w:themeShade="BF"/>
                <w:sz w:val="20"/>
                <w:szCs w:val="20"/>
              </w:rPr>
              <w:t>For admitted students who enrolled: Include all students who were considered first-time, full-time degree/certificate-seeking undergraduate students any time during the period of August 1 through October 31.</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Rewording. For clarification. </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Admissions</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Reworded instruction. ADM is only applicable to first-time </w:t>
            </w:r>
            <w:r w:rsidRPr="00CE3C18">
              <w:rPr>
                <w:rFonts w:asciiTheme="minorHAnsi" w:hAnsiTheme="minorHAnsi"/>
                <w:color w:val="365F91" w:themeColor="accent1" w:themeShade="BF"/>
                <w:sz w:val="20"/>
              </w:rPr>
              <w:t>degree/certificate-seeking undergraduate students</w:t>
            </w:r>
            <w:r w:rsidRPr="00CE3C18">
              <w:rPr>
                <w:rFonts w:asciiTheme="minorHAnsi" w:hAnsiTheme="minorHAnsi"/>
                <w:color w:val="000000"/>
                <w:sz w:val="20"/>
              </w:rPr>
              <w:t>; do not include other students in the number of applicants, number of admits, and number (of admitted) that enrolled.</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For the number (of admitted) that enrolled, include all students enrolled for credit after the official drop date. Exclude students who are not enrolled for credit.</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For example, exclude:</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w:t>
            </w:r>
            <w:r w:rsidRPr="00CE3C18">
              <w:rPr>
                <w:rFonts w:asciiTheme="minorHAnsi" w:hAnsiTheme="minorHAnsi"/>
                <w:color w:val="365F91" w:themeColor="accent1" w:themeShade="BF"/>
                <w:sz w:val="20"/>
              </w:rPr>
              <w:tab/>
              <w:t>Students enrolled exclusively in courses that cannot be applied towards a formal award</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w:t>
            </w:r>
            <w:r w:rsidRPr="00CE3C18">
              <w:rPr>
                <w:rFonts w:asciiTheme="minorHAnsi" w:hAnsiTheme="minorHAnsi"/>
                <w:color w:val="365F91" w:themeColor="accent1" w:themeShade="BF"/>
                <w:sz w:val="20"/>
              </w:rPr>
              <w:tab/>
              <w:t>Students enrolled only in ESL programs (programs comprised exclusively of ESL courses)</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w:t>
            </w:r>
            <w:r w:rsidRPr="00CE3C18">
              <w:rPr>
                <w:rFonts w:asciiTheme="minorHAnsi" w:hAnsiTheme="minorHAnsi"/>
                <w:color w:val="365F91" w:themeColor="accent1" w:themeShade="BF"/>
                <w:sz w:val="20"/>
              </w:rPr>
              <w:tab/>
              <w:t>Students enrolled exclusively in Continuing Education Units (CEUs)</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w:t>
            </w:r>
            <w:r w:rsidRPr="00CE3C18">
              <w:rPr>
                <w:rFonts w:asciiTheme="minorHAnsi" w:hAnsiTheme="minorHAnsi"/>
                <w:color w:val="365F91" w:themeColor="accent1" w:themeShade="BF"/>
                <w:sz w:val="20"/>
              </w:rPr>
              <w:tab/>
              <w:t>Students exclusively auditing classes</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w:t>
            </w:r>
            <w:r w:rsidRPr="00CE3C18">
              <w:rPr>
                <w:rFonts w:asciiTheme="minorHAnsi" w:hAnsiTheme="minorHAnsi"/>
                <w:color w:val="365F91" w:themeColor="accent1" w:themeShade="BF"/>
                <w:sz w:val="20"/>
              </w:rPr>
              <w:tab/>
              <w:t>Any student studying abroad (e.g., at a foreign university) if their enrollment at the 'home' institution serves as an administrative record</w:t>
            </w:r>
          </w:p>
          <w:p w:rsidR="00DC52F5" w:rsidRPr="00CE3C18" w:rsidRDefault="00DC52F5" w:rsidP="00777A41">
            <w:pPr>
              <w:rPr>
                <w:rFonts w:asciiTheme="minorHAnsi" w:hAnsiTheme="minorHAnsi"/>
                <w:color w:val="365F91" w:themeColor="accent1" w:themeShade="BF"/>
                <w:sz w:val="20"/>
              </w:rPr>
            </w:pPr>
            <w:r w:rsidRPr="00CE3C18">
              <w:rPr>
                <w:rFonts w:asciiTheme="minorHAnsi" w:hAnsiTheme="minorHAnsi"/>
                <w:color w:val="365F91" w:themeColor="accent1" w:themeShade="BF"/>
                <w:sz w:val="20"/>
              </w:rPr>
              <w:t>•</w:t>
            </w:r>
            <w:r w:rsidRPr="00CE3C18">
              <w:rPr>
                <w:rFonts w:asciiTheme="minorHAnsi" w:hAnsiTheme="minorHAnsi"/>
                <w:color w:val="365F91" w:themeColor="accent1" w:themeShade="BF"/>
                <w:sz w:val="20"/>
              </w:rPr>
              <w:tab/>
              <w:t>Students enrolled in any branch campus located in a foreign country</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Only include levels (full-time, part-time) that you indicated were offered in the IC Header. If you made an error in the IC Header, please call the IPEDS Help Desk and correct your error.</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Rewording. For clarification.</w:t>
            </w:r>
          </w:p>
        </w:tc>
      </w:tr>
      <w:tr w:rsidR="001D0B51" w:rsidRPr="007005DF" w:rsidTr="00CE3C18">
        <w:trPr>
          <w:trHeight w:val="144"/>
        </w:trPr>
        <w:tc>
          <w:tcPr>
            <w:tcW w:w="1779" w:type="dxa"/>
            <w:shd w:val="clear" w:color="auto" w:fill="auto"/>
            <w:noWrap/>
            <w:vAlign w:val="center"/>
          </w:tcPr>
          <w:p w:rsidR="001D0B51" w:rsidRPr="00CE3C18" w:rsidRDefault="0037040B" w:rsidP="006C3066">
            <w:pPr>
              <w:ind w:left="-90" w:right="-107"/>
              <w:rPr>
                <w:rFonts w:asciiTheme="minorHAnsi" w:hAnsiTheme="minorHAnsi"/>
                <w:color w:val="000000"/>
                <w:sz w:val="20"/>
              </w:rPr>
            </w:pPr>
            <w:r w:rsidRPr="00CE3C18">
              <w:rPr>
                <w:rFonts w:asciiTheme="minorHAnsi" w:hAnsiTheme="minorHAnsi"/>
                <w:color w:val="000000"/>
                <w:sz w:val="20"/>
              </w:rPr>
              <w:t>Fall Enrollment</w:t>
            </w:r>
          </w:p>
        </w:tc>
        <w:tc>
          <w:tcPr>
            <w:tcW w:w="10929" w:type="dxa"/>
            <w:shd w:val="clear" w:color="auto" w:fill="auto"/>
            <w:vAlign w:val="center"/>
          </w:tcPr>
          <w:p w:rsidR="001D0B51" w:rsidRPr="00CE3C18" w:rsidRDefault="0037040B" w:rsidP="0037040B">
            <w:pPr>
              <w:rPr>
                <w:rFonts w:asciiTheme="minorHAnsi" w:hAnsiTheme="minorHAnsi"/>
                <w:color w:val="000000"/>
                <w:sz w:val="20"/>
              </w:rPr>
            </w:pPr>
            <w:r w:rsidRPr="00CE3C18">
              <w:rPr>
                <w:rFonts w:asciiTheme="minorHAnsi" w:hAnsiTheme="minorHAnsi"/>
                <w:sz w:val="20"/>
              </w:rPr>
              <w:t xml:space="preserve">Reworded instruction. </w:t>
            </w:r>
            <w:r w:rsidR="001D0B51" w:rsidRPr="00CE3C18">
              <w:rPr>
                <w:rFonts w:asciiTheme="minorHAnsi" w:hAnsiTheme="minorHAnsi"/>
                <w:sz w:val="20"/>
              </w:rPr>
              <w:t xml:space="preserve">In line F14, report the number of administrators or other staff NOT reported to IPEDS as instructors (and therefore not included in the </w:t>
            </w:r>
            <w:r w:rsidR="001D0B51" w:rsidRPr="00CE3C18">
              <w:rPr>
                <w:rFonts w:asciiTheme="minorHAnsi" w:hAnsiTheme="minorHAnsi"/>
                <w:strike/>
                <w:sz w:val="20"/>
              </w:rPr>
              <w:t>EAP</w:t>
            </w:r>
            <w:r w:rsidR="001D0B51" w:rsidRPr="00CE3C18">
              <w:rPr>
                <w:rFonts w:asciiTheme="minorHAnsi" w:hAnsiTheme="minorHAnsi"/>
                <w:sz w:val="20"/>
              </w:rPr>
              <w:t xml:space="preserve"> </w:t>
            </w:r>
            <w:r w:rsidR="001D0B51" w:rsidRPr="00CE3C18">
              <w:rPr>
                <w:rFonts w:asciiTheme="minorHAnsi" w:hAnsiTheme="minorHAnsi"/>
                <w:color w:val="1F497D" w:themeColor="text2"/>
                <w:sz w:val="20"/>
              </w:rPr>
              <w:t xml:space="preserve">HR survey component </w:t>
            </w:r>
            <w:r w:rsidR="001D0B51" w:rsidRPr="00CE3C18">
              <w:rPr>
                <w:rFonts w:asciiTheme="minorHAnsi" w:hAnsiTheme="minorHAnsi"/>
                <w:sz w:val="20"/>
              </w:rPr>
              <w:t>count reported in line F12) that are teaching a credit course in Fall 2017.</w:t>
            </w:r>
          </w:p>
        </w:tc>
        <w:tc>
          <w:tcPr>
            <w:tcW w:w="1908" w:type="dxa"/>
            <w:shd w:val="clear" w:color="auto" w:fill="auto"/>
            <w:noWrap/>
            <w:vAlign w:val="center"/>
          </w:tcPr>
          <w:p w:rsidR="001D0B51" w:rsidRPr="00CE3C18" w:rsidRDefault="0037040B" w:rsidP="006C3066">
            <w:pPr>
              <w:rPr>
                <w:rFonts w:asciiTheme="minorHAnsi" w:hAnsiTheme="minorHAnsi"/>
                <w:bCs/>
                <w:sz w:val="20"/>
              </w:rPr>
            </w:pPr>
            <w:r w:rsidRPr="00CE3C18">
              <w:rPr>
                <w:rFonts w:asciiTheme="minorHAnsi" w:hAnsiTheme="minorHAnsi"/>
                <w:bCs/>
                <w:sz w:val="20"/>
              </w:rPr>
              <w:t>Rewording. For consistency with HR component.</w:t>
            </w:r>
          </w:p>
        </w:tc>
      </w:tr>
      <w:tr w:rsidR="0037040B" w:rsidRPr="007005DF" w:rsidTr="00CE3C18">
        <w:trPr>
          <w:trHeight w:val="144"/>
        </w:trPr>
        <w:tc>
          <w:tcPr>
            <w:tcW w:w="1779" w:type="dxa"/>
            <w:shd w:val="clear" w:color="auto" w:fill="auto"/>
            <w:noWrap/>
            <w:vAlign w:val="center"/>
          </w:tcPr>
          <w:p w:rsidR="0037040B" w:rsidRPr="00CE3C18" w:rsidRDefault="0037040B" w:rsidP="006C3066">
            <w:pPr>
              <w:ind w:left="-90" w:right="-107"/>
              <w:rPr>
                <w:rFonts w:asciiTheme="minorHAnsi" w:hAnsiTheme="minorHAnsi"/>
                <w:color w:val="000000"/>
                <w:sz w:val="20"/>
              </w:rPr>
            </w:pPr>
            <w:r w:rsidRPr="00CE3C18">
              <w:rPr>
                <w:rFonts w:asciiTheme="minorHAnsi" w:hAnsiTheme="minorHAnsi"/>
                <w:color w:val="000000"/>
                <w:sz w:val="20"/>
              </w:rPr>
              <w:t>Fall Enrollment</w:t>
            </w:r>
          </w:p>
        </w:tc>
        <w:tc>
          <w:tcPr>
            <w:tcW w:w="10929" w:type="dxa"/>
            <w:shd w:val="clear" w:color="auto" w:fill="auto"/>
            <w:vAlign w:val="center"/>
          </w:tcPr>
          <w:p w:rsidR="0037040B" w:rsidRPr="00CE3C18" w:rsidRDefault="0037040B" w:rsidP="0037040B">
            <w:pPr>
              <w:rPr>
                <w:rFonts w:asciiTheme="minorHAnsi" w:hAnsiTheme="minorHAnsi"/>
                <w:sz w:val="20"/>
              </w:rPr>
            </w:pPr>
            <w:r w:rsidRPr="00CE3C18">
              <w:rPr>
                <w:rFonts w:asciiTheme="minorHAnsi" w:hAnsiTheme="minorHAnsi"/>
                <w:sz w:val="20"/>
              </w:rPr>
              <w:t xml:space="preserve">Adding to instructions regarding inclusion of Graduate Students, degree- and non-degree-seeking students. </w:t>
            </w:r>
          </w:p>
          <w:p w:rsidR="0037040B" w:rsidRPr="00CE3C18" w:rsidRDefault="0037040B" w:rsidP="0037040B">
            <w:pPr>
              <w:rPr>
                <w:rFonts w:asciiTheme="minorHAnsi" w:hAnsiTheme="minorHAnsi"/>
                <w:sz w:val="20"/>
              </w:rPr>
            </w:pPr>
            <w:r w:rsidRPr="00CE3C18">
              <w:rPr>
                <w:rFonts w:asciiTheme="minorHAnsi" w:hAnsiTheme="minorHAnsi"/>
                <w:sz w:val="20"/>
              </w:rPr>
              <w:t xml:space="preserve">Who to Include </w:t>
            </w:r>
          </w:p>
          <w:p w:rsidR="0037040B" w:rsidRPr="00CE3C18" w:rsidRDefault="0037040B" w:rsidP="0037040B">
            <w:pPr>
              <w:rPr>
                <w:rFonts w:asciiTheme="minorHAnsi" w:hAnsiTheme="minorHAnsi"/>
                <w:sz w:val="20"/>
              </w:rPr>
            </w:pPr>
            <w:r w:rsidRPr="00CE3C18">
              <w:rPr>
                <w:rFonts w:asciiTheme="minorHAnsi" w:hAnsiTheme="minorHAnsi"/>
                <w:sz w:val="20"/>
              </w:rPr>
              <w:t xml:space="preserve">Include all students enrolled for credit (enrolled in instructional activity, courses or programs, that can be applied towards the requirements for a postsecondary degree, diploma, certificate, or other formal award), regardless of whether or not they are seeking a degree or certificate. This includes: </w:t>
            </w:r>
          </w:p>
          <w:p w:rsidR="0037040B" w:rsidRPr="00CE3C18" w:rsidRDefault="0037040B" w:rsidP="0037040B">
            <w:pPr>
              <w:pStyle w:val="ListParagraph"/>
              <w:numPr>
                <w:ilvl w:val="0"/>
                <w:numId w:val="16"/>
              </w:numPr>
              <w:rPr>
                <w:rFonts w:cs="Times New Roman"/>
                <w:color w:val="000000"/>
                <w:sz w:val="20"/>
                <w:szCs w:val="20"/>
              </w:rPr>
            </w:pPr>
            <w:r w:rsidRPr="00CE3C18">
              <w:rPr>
                <w:rFonts w:cs="Times New Roman"/>
                <w:sz w:val="20"/>
                <w:szCs w:val="20"/>
              </w:rPr>
              <w:t xml:space="preserve">Students enrolled for credit in off-campus centers </w:t>
            </w:r>
          </w:p>
          <w:p w:rsidR="0037040B" w:rsidRPr="00CE3C18" w:rsidRDefault="0037040B" w:rsidP="0037040B">
            <w:pPr>
              <w:pStyle w:val="ListParagraph"/>
              <w:numPr>
                <w:ilvl w:val="0"/>
                <w:numId w:val="16"/>
              </w:numPr>
              <w:rPr>
                <w:rFonts w:cs="Times New Roman"/>
                <w:color w:val="000000"/>
                <w:sz w:val="20"/>
                <w:szCs w:val="20"/>
              </w:rPr>
            </w:pPr>
            <w:r w:rsidRPr="00CE3C18">
              <w:rPr>
                <w:rFonts w:cs="Times New Roman"/>
                <w:sz w:val="20"/>
                <w:szCs w:val="20"/>
              </w:rPr>
              <w:t xml:space="preserve">High school students taking regular college courses for credit </w:t>
            </w:r>
          </w:p>
          <w:p w:rsidR="0037040B" w:rsidRPr="00CE3C18" w:rsidRDefault="0037040B" w:rsidP="0037040B">
            <w:pPr>
              <w:pStyle w:val="ListParagraph"/>
              <w:numPr>
                <w:ilvl w:val="0"/>
                <w:numId w:val="16"/>
              </w:numPr>
              <w:rPr>
                <w:rFonts w:cs="Times New Roman"/>
                <w:color w:val="000000"/>
                <w:sz w:val="20"/>
                <w:szCs w:val="20"/>
              </w:rPr>
            </w:pPr>
            <w:r w:rsidRPr="00CE3C18">
              <w:rPr>
                <w:rFonts w:cs="Times New Roman"/>
                <w:sz w:val="20"/>
                <w:szCs w:val="20"/>
              </w:rPr>
              <w:t xml:space="preserve">Students taking remedial courses if the student is degree-seeking for the purpose of student financial aid determination </w:t>
            </w:r>
          </w:p>
          <w:p w:rsidR="0037040B" w:rsidRPr="00CE3C18" w:rsidRDefault="0037040B" w:rsidP="0037040B">
            <w:pPr>
              <w:pStyle w:val="ListParagraph"/>
              <w:numPr>
                <w:ilvl w:val="0"/>
                <w:numId w:val="16"/>
              </w:numPr>
              <w:rPr>
                <w:rFonts w:cs="Times New Roman"/>
                <w:color w:val="000000"/>
                <w:sz w:val="20"/>
                <w:szCs w:val="20"/>
              </w:rPr>
            </w:pPr>
            <w:r w:rsidRPr="00CE3C18">
              <w:rPr>
                <w:rFonts w:cs="Times New Roman"/>
                <w:sz w:val="20"/>
                <w:szCs w:val="20"/>
              </w:rPr>
              <w:t xml:space="preserve">Students from overseas enrolled for credit at your institution (e.g., online students) </w:t>
            </w:r>
          </w:p>
          <w:p w:rsidR="0037040B" w:rsidRPr="00CE3C18" w:rsidRDefault="0037040B" w:rsidP="0037040B">
            <w:pPr>
              <w:pStyle w:val="ListParagraph"/>
              <w:numPr>
                <w:ilvl w:val="0"/>
                <w:numId w:val="16"/>
              </w:numPr>
              <w:rPr>
                <w:color w:val="FF0000"/>
                <w:sz w:val="20"/>
                <w:szCs w:val="20"/>
              </w:rPr>
            </w:pPr>
            <w:r w:rsidRPr="00CE3C18">
              <w:rPr>
                <w:rFonts w:cs="Times New Roman"/>
                <w:sz w:val="20"/>
                <w:szCs w:val="20"/>
              </w:rPr>
              <w:t>Graduate students enrolled for thesis credits, even when zero credits are awarded, as these students are still enrolled and seeking their degree</w:t>
            </w:r>
          </w:p>
          <w:p w:rsidR="0037040B" w:rsidRPr="00CE3C18" w:rsidRDefault="0037040B" w:rsidP="0037040B">
            <w:pPr>
              <w:pStyle w:val="ListParagraph"/>
              <w:numPr>
                <w:ilvl w:val="0"/>
                <w:numId w:val="16"/>
              </w:numPr>
              <w:rPr>
                <w:sz w:val="20"/>
                <w:szCs w:val="20"/>
              </w:rPr>
            </w:pPr>
            <w:r w:rsidRPr="00CE3C18">
              <w:rPr>
                <w:color w:val="FF0000"/>
                <w:sz w:val="20"/>
                <w:szCs w:val="20"/>
              </w:rPr>
              <w:t>Graduate students enrolled for credit while not seeking a degree or certificate.</w:t>
            </w:r>
          </w:p>
        </w:tc>
        <w:tc>
          <w:tcPr>
            <w:tcW w:w="1908" w:type="dxa"/>
            <w:shd w:val="clear" w:color="auto" w:fill="auto"/>
            <w:noWrap/>
            <w:vAlign w:val="center"/>
          </w:tcPr>
          <w:p w:rsidR="0037040B" w:rsidRPr="00CE3C18" w:rsidRDefault="0037040B" w:rsidP="006C3066">
            <w:pPr>
              <w:rPr>
                <w:rFonts w:asciiTheme="minorHAnsi" w:hAnsiTheme="minorHAnsi"/>
                <w:bCs/>
                <w:sz w:val="20"/>
              </w:rPr>
            </w:pPr>
            <w:r w:rsidRPr="00CE3C18">
              <w:rPr>
                <w:rFonts w:asciiTheme="minorHAnsi" w:hAnsiTheme="minorHAnsi"/>
                <w:bCs/>
                <w:sz w:val="20"/>
              </w:rPr>
              <w:t>Addition. For clarification.</w:t>
            </w:r>
          </w:p>
        </w:tc>
      </w:tr>
      <w:tr w:rsidR="0037040B" w:rsidRPr="007005DF" w:rsidTr="00CE3C18">
        <w:trPr>
          <w:trHeight w:val="144"/>
        </w:trPr>
        <w:tc>
          <w:tcPr>
            <w:tcW w:w="1779" w:type="dxa"/>
            <w:shd w:val="clear" w:color="auto" w:fill="auto"/>
            <w:noWrap/>
            <w:vAlign w:val="center"/>
          </w:tcPr>
          <w:p w:rsidR="0037040B" w:rsidRPr="00CE3C18" w:rsidRDefault="0037040B" w:rsidP="006C3066">
            <w:pPr>
              <w:ind w:left="-90" w:right="-107"/>
              <w:rPr>
                <w:rFonts w:asciiTheme="minorHAnsi" w:hAnsiTheme="minorHAnsi"/>
                <w:color w:val="000000"/>
                <w:sz w:val="20"/>
              </w:rPr>
            </w:pPr>
            <w:r w:rsidRPr="00CE3C18">
              <w:rPr>
                <w:rFonts w:asciiTheme="minorHAnsi" w:hAnsiTheme="minorHAnsi"/>
                <w:color w:val="000000"/>
                <w:sz w:val="20"/>
              </w:rPr>
              <w:t>Fall Enrollment</w:t>
            </w:r>
          </w:p>
        </w:tc>
        <w:tc>
          <w:tcPr>
            <w:tcW w:w="10929" w:type="dxa"/>
            <w:shd w:val="clear" w:color="auto" w:fill="auto"/>
            <w:vAlign w:val="center"/>
          </w:tcPr>
          <w:p w:rsidR="0037040B" w:rsidRPr="00CE3C18" w:rsidRDefault="0037040B" w:rsidP="0037040B">
            <w:pPr>
              <w:rPr>
                <w:rFonts w:asciiTheme="minorHAnsi" w:hAnsiTheme="minorHAnsi"/>
                <w:color w:val="000000"/>
                <w:sz w:val="20"/>
              </w:rPr>
            </w:pPr>
            <w:r w:rsidRPr="00CE3C18">
              <w:rPr>
                <w:rFonts w:asciiTheme="minorHAnsi" w:hAnsiTheme="minorHAnsi"/>
                <w:sz w:val="20"/>
              </w:rPr>
              <w:t xml:space="preserve">Reworded instruction. Enrolled in </w:t>
            </w:r>
            <w:r w:rsidRPr="00CE3C18">
              <w:rPr>
                <w:rFonts w:asciiTheme="minorHAnsi" w:hAnsiTheme="minorHAnsi"/>
                <w:strike/>
                <w:sz w:val="20"/>
              </w:rPr>
              <w:t>some</w:t>
            </w:r>
            <w:r w:rsidRPr="00CE3C18">
              <w:rPr>
                <w:rFonts w:asciiTheme="minorHAnsi" w:hAnsiTheme="minorHAnsi"/>
                <w:sz w:val="20"/>
              </w:rPr>
              <w:t xml:space="preserve"> </w:t>
            </w:r>
            <w:r w:rsidRPr="00CE3C18">
              <w:rPr>
                <w:rFonts w:asciiTheme="minorHAnsi" w:hAnsiTheme="minorHAnsi"/>
                <w:color w:val="1F497D" w:themeColor="text2"/>
                <w:sz w:val="20"/>
              </w:rPr>
              <w:t xml:space="preserve">at least one </w:t>
            </w:r>
            <w:r w:rsidRPr="00CE3C18">
              <w:rPr>
                <w:rFonts w:asciiTheme="minorHAnsi" w:hAnsiTheme="minorHAnsi"/>
                <w:sz w:val="20"/>
              </w:rPr>
              <w:t>but not all distance education courses</w:t>
            </w:r>
          </w:p>
        </w:tc>
        <w:tc>
          <w:tcPr>
            <w:tcW w:w="1908" w:type="dxa"/>
            <w:shd w:val="clear" w:color="auto" w:fill="auto"/>
            <w:noWrap/>
            <w:vAlign w:val="center"/>
          </w:tcPr>
          <w:p w:rsidR="0037040B" w:rsidRPr="00CE3C18" w:rsidRDefault="0037040B" w:rsidP="006C3066">
            <w:pPr>
              <w:rPr>
                <w:rFonts w:asciiTheme="minorHAnsi" w:hAnsiTheme="minorHAnsi"/>
                <w:bCs/>
                <w:sz w:val="20"/>
              </w:rPr>
            </w:pPr>
            <w:r w:rsidRPr="00CE3C18">
              <w:rPr>
                <w:rFonts w:asciiTheme="minorHAnsi" w:hAnsiTheme="minorHAnsi"/>
                <w:bCs/>
                <w:sz w:val="20"/>
              </w:rPr>
              <w:t>Rewording.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Finance</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Revise FAQ #18 for Public GASB institutions: </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What are the impacts of GASB Statement 68 on IPEDS finance reporting? Are all institutions affected?</w:t>
            </w:r>
          </w:p>
          <w:p w:rsidR="00DC52F5" w:rsidRPr="00DC52F5" w:rsidRDefault="00DC52F5" w:rsidP="00777A41">
            <w:pPr>
              <w:rPr>
                <w:rFonts w:asciiTheme="minorHAnsi" w:hAnsiTheme="minorHAnsi"/>
                <w:color w:val="000000"/>
                <w:sz w:val="10"/>
                <w:szCs w:val="10"/>
              </w:rPr>
            </w:pPr>
            <w:r>
              <w:rPr>
                <w:rFonts w:asciiTheme="minorHAnsi" w:hAnsiTheme="minorHAnsi"/>
                <w:color w:val="000000"/>
                <w:sz w:val="20"/>
              </w:rPr>
              <w:t xml:space="preserve"> </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GASB Statement 68 will likely impact liabilities, expenses,  resource deferrals, and ultimately net position for public institutions or higher education systems that participate in their state’s defined benefit plan (agent or cost sharing), or have their own plan. These institutions are advised:</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 xml:space="preserve">In Part C-1, to allocate the pension and related expenses </w:t>
            </w:r>
            <w:r w:rsidRPr="00CE3C18">
              <w:rPr>
                <w:rFonts w:asciiTheme="minorHAnsi" w:hAnsiTheme="minorHAnsi"/>
                <w:strike/>
                <w:color w:val="000000"/>
                <w:sz w:val="20"/>
              </w:rPr>
              <w:t>across the functional categories</w:t>
            </w:r>
            <w:r w:rsidRPr="00CE3C18">
              <w:rPr>
                <w:rFonts w:asciiTheme="minorHAnsi" w:hAnsiTheme="minorHAnsi"/>
                <w:color w:val="000000"/>
                <w:sz w:val="20"/>
              </w:rPr>
              <w:t xml:space="preserve"> </w:t>
            </w:r>
            <w:r w:rsidRPr="00CE3C18">
              <w:rPr>
                <w:rFonts w:asciiTheme="minorHAnsi" w:hAnsiTheme="minorHAnsi"/>
                <w:color w:val="4F81BD" w:themeColor="accent1"/>
                <w:sz w:val="20"/>
              </w:rPr>
              <w:t>to the other functional expenses category</w:t>
            </w:r>
            <w:r w:rsidRPr="00CE3C18">
              <w:rPr>
                <w:rFonts w:asciiTheme="minorHAnsi" w:hAnsiTheme="minorHAnsi"/>
                <w:color w:val="000000"/>
                <w:sz w:val="20"/>
              </w:rPr>
              <w:t>, as reported on their GPFS.</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 xml:space="preserve">In Part C-2, to allocate the pension and related expenses to the benefits expense category, as reported on their GPFS. </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In Part M, to report pension expenses, liabilities (or assets), and/or deferrals related to pension as was recognized as a result of implementation of Statement 68.</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Note that if your institution fits any of the following criteria, there is no direct GASB 68 impact and you would NOT be required to report Part M:</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If your public institution does not have a defined pension benefit plan</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If your public institution is part of a higher education system and the system reflects the pension expense and liability (and does not allocate the expense and liability to the individual institutions)</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If your institution is a branch campus that did not have pension expense and liabilities allocated to it</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w:t>
            </w:r>
            <w:r w:rsidRPr="00CE3C18">
              <w:rPr>
                <w:rFonts w:asciiTheme="minorHAnsi" w:hAnsiTheme="minorHAnsi"/>
                <w:color w:val="000000"/>
                <w:sz w:val="20"/>
              </w:rPr>
              <w:tab/>
              <w:t>If your institution is part of a special funding situation and additional unfunded pension expense, liability, or deferral are reported elsewhere</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Rewording to clarify allocation method</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Finance</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New FAQ for Public GASB institutions addressing a new accounting standard, GASB Statement 75:</w:t>
            </w:r>
          </w:p>
          <w:p w:rsidR="00DC52F5" w:rsidRPr="00CE3C18" w:rsidRDefault="00DC52F5" w:rsidP="00777A41">
            <w:pPr>
              <w:rPr>
                <w:rFonts w:asciiTheme="minorHAnsi" w:hAnsiTheme="minorHAnsi"/>
                <w:color w:val="FF0000"/>
                <w:sz w:val="20"/>
              </w:rPr>
            </w:pPr>
            <w:r w:rsidRPr="00CE3C18">
              <w:rPr>
                <w:rFonts w:asciiTheme="minorHAnsi" w:hAnsiTheme="minorHAnsi"/>
                <w:color w:val="FF0000"/>
                <w:sz w:val="20"/>
              </w:rPr>
              <w:t>What are the impacts of GASB Statement 75 on IPEDS finance reporting? Are all institutions affected?</w:t>
            </w:r>
          </w:p>
          <w:p w:rsidR="00DC52F5" w:rsidRPr="00DC52F5" w:rsidRDefault="00DC52F5" w:rsidP="00777A41">
            <w:pPr>
              <w:rPr>
                <w:rFonts w:asciiTheme="minorHAnsi" w:hAnsiTheme="minorHAnsi"/>
                <w:color w:val="FF0000"/>
                <w:sz w:val="10"/>
                <w:szCs w:val="10"/>
              </w:rPr>
            </w:pPr>
          </w:p>
          <w:p w:rsidR="00DC52F5" w:rsidRPr="00CE3C18" w:rsidRDefault="00DC52F5" w:rsidP="00777A41">
            <w:pPr>
              <w:rPr>
                <w:rFonts w:asciiTheme="minorHAnsi" w:hAnsiTheme="minorHAnsi"/>
                <w:bCs/>
                <w:color w:val="FF0000"/>
                <w:sz w:val="20"/>
              </w:rPr>
            </w:pPr>
            <w:r w:rsidRPr="00CE3C18">
              <w:rPr>
                <w:rFonts w:asciiTheme="minorHAnsi" w:hAnsiTheme="minorHAnsi"/>
                <w:bCs/>
                <w:color w:val="FF0000"/>
                <w:sz w:val="20"/>
              </w:rPr>
              <w:t>GASB Statement 75 will likely impact liabilities, expenses, resource deferrals, and ultimately net position for public institutions or higher education systems that participate in their state’s postemployment benefit plan, or have their own plan. These institutions are advised:</w:t>
            </w:r>
          </w:p>
          <w:p w:rsidR="00DC52F5" w:rsidRPr="00CE3C18" w:rsidRDefault="00DC52F5" w:rsidP="00777A41">
            <w:pPr>
              <w:numPr>
                <w:ilvl w:val="0"/>
                <w:numId w:val="20"/>
              </w:numPr>
              <w:rPr>
                <w:rFonts w:asciiTheme="minorHAnsi" w:hAnsiTheme="minorHAnsi"/>
                <w:bCs/>
                <w:color w:val="FF0000"/>
                <w:sz w:val="20"/>
              </w:rPr>
            </w:pPr>
            <w:r w:rsidRPr="00CE3C18">
              <w:rPr>
                <w:rFonts w:asciiTheme="minorHAnsi" w:hAnsiTheme="minorHAnsi"/>
                <w:bCs/>
                <w:color w:val="FF0000"/>
                <w:sz w:val="20"/>
              </w:rPr>
              <w:t xml:space="preserve">In Part D, to report the amount of OPEB liability or asset as a result of GASB 74/75 implementation on line 05 – adjustments to beginning net position. Because line 05 is a calculation of “line 06 – Net position end of year” minus the sum of “line 03 – net position beginning of year” and “line 04 – change in net position”, the new OPEB liability or asset should be included in line 06 in order for it to be included in line 05. Don’t include the OPEB liability or asset in line 03 or 04. Also, institutions should indicate in the caveat box that their line 05 adjustments are due to GASB 74/75 implementation. </w:t>
            </w:r>
          </w:p>
          <w:p w:rsidR="00DC52F5" w:rsidRPr="00CE3C18" w:rsidRDefault="00DC52F5" w:rsidP="00777A41">
            <w:pPr>
              <w:numPr>
                <w:ilvl w:val="0"/>
                <w:numId w:val="20"/>
              </w:numPr>
              <w:rPr>
                <w:rFonts w:asciiTheme="minorHAnsi" w:hAnsiTheme="minorHAnsi"/>
                <w:bCs/>
                <w:color w:val="FF0000"/>
                <w:sz w:val="20"/>
              </w:rPr>
            </w:pPr>
            <w:r w:rsidRPr="00CE3C18">
              <w:rPr>
                <w:rFonts w:asciiTheme="minorHAnsi" w:hAnsiTheme="minorHAnsi"/>
                <w:bCs/>
                <w:color w:val="FF0000"/>
                <w:sz w:val="20"/>
              </w:rPr>
              <w:t>In Part C-1, to allocate OPEB-related expenses to the other functional expenses category.</w:t>
            </w:r>
          </w:p>
          <w:p w:rsidR="00DC52F5" w:rsidRPr="00CE3C18" w:rsidRDefault="00DC52F5" w:rsidP="00777A41">
            <w:pPr>
              <w:numPr>
                <w:ilvl w:val="0"/>
                <w:numId w:val="20"/>
              </w:numPr>
              <w:rPr>
                <w:rFonts w:asciiTheme="minorHAnsi" w:hAnsiTheme="minorHAnsi"/>
                <w:bCs/>
                <w:color w:val="FF0000"/>
                <w:sz w:val="20"/>
              </w:rPr>
            </w:pPr>
            <w:r w:rsidRPr="00CE3C18">
              <w:rPr>
                <w:rFonts w:asciiTheme="minorHAnsi" w:hAnsiTheme="minorHAnsi"/>
                <w:bCs/>
                <w:color w:val="FF0000"/>
                <w:sz w:val="20"/>
              </w:rPr>
              <w:t xml:space="preserve">In Part C-2, to allocate OPEB-related expenses to the benefits expense category. </w:t>
            </w:r>
          </w:p>
          <w:p w:rsidR="00DC52F5" w:rsidRPr="00CE3C18" w:rsidRDefault="00DC52F5" w:rsidP="00777A41">
            <w:pPr>
              <w:numPr>
                <w:ilvl w:val="0"/>
                <w:numId w:val="20"/>
              </w:numPr>
              <w:rPr>
                <w:rFonts w:asciiTheme="minorHAnsi" w:hAnsiTheme="minorHAnsi"/>
                <w:bCs/>
                <w:color w:val="FF0000"/>
                <w:sz w:val="20"/>
              </w:rPr>
            </w:pPr>
            <w:r w:rsidRPr="00CE3C18">
              <w:rPr>
                <w:rFonts w:asciiTheme="minorHAnsi" w:hAnsiTheme="minorHAnsi"/>
                <w:bCs/>
                <w:color w:val="FF0000"/>
                <w:sz w:val="20"/>
              </w:rPr>
              <w:t xml:space="preserve">In Part M, do not include with any portion of OPEB-related items with the pension-related items. </w:t>
            </w:r>
          </w:p>
          <w:p w:rsidR="00DC52F5" w:rsidRPr="00DC52F5" w:rsidRDefault="00DC52F5" w:rsidP="00777A41">
            <w:pPr>
              <w:rPr>
                <w:rFonts w:asciiTheme="minorHAnsi" w:hAnsiTheme="minorHAnsi"/>
                <w:bCs/>
                <w:i/>
                <w:iCs/>
                <w:color w:val="FF0000"/>
                <w:sz w:val="10"/>
                <w:szCs w:val="10"/>
              </w:rPr>
            </w:pPr>
          </w:p>
          <w:p w:rsidR="00DC52F5" w:rsidRPr="00CE3C18" w:rsidRDefault="00DC52F5" w:rsidP="00777A41">
            <w:pPr>
              <w:rPr>
                <w:rFonts w:asciiTheme="minorHAnsi" w:hAnsiTheme="minorHAnsi"/>
                <w:bCs/>
                <w:i/>
                <w:iCs/>
                <w:color w:val="FF0000"/>
                <w:sz w:val="20"/>
              </w:rPr>
            </w:pPr>
            <w:r w:rsidRPr="00CE3C18">
              <w:rPr>
                <w:rFonts w:asciiTheme="minorHAnsi" w:hAnsiTheme="minorHAnsi"/>
                <w:bCs/>
                <w:i/>
                <w:iCs/>
                <w:color w:val="FF0000"/>
                <w:sz w:val="20"/>
              </w:rPr>
              <w:t xml:space="preserve">Note for institutions that were early implementers of GASB 74/75: </w:t>
            </w:r>
          </w:p>
          <w:p w:rsidR="00DC52F5" w:rsidRPr="00CE3C18" w:rsidRDefault="00DC52F5" w:rsidP="00777A41">
            <w:pPr>
              <w:rPr>
                <w:rFonts w:asciiTheme="minorHAnsi" w:hAnsiTheme="minorHAnsi"/>
                <w:bCs/>
                <w:iCs/>
                <w:color w:val="FF0000"/>
                <w:sz w:val="20"/>
              </w:rPr>
            </w:pPr>
            <w:r w:rsidRPr="00CE3C18">
              <w:rPr>
                <w:rFonts w:asciiTheme="minorHAnsi" w:hAnsiTheme="minorHAnsi"/>
                <w:bCs/>
                <w:iCs/>
                <w:color w:val="FF0000"/>
                <w:sz w:val="20"/>
              </w:rPr>
              <w:t xml:space="preserve">Disregard the first bullet above. </w:t>
            </w:r>
          </w:p>
          <w:p w:rsidR="00DC52F5" w:rsidRPr="00DC52F5" w:rsidRDefault="00DC52F5" w:rsidP="00777A41">
            <w:pPr>
              <w:rPr>
                <w:rFonts w:asciiTheme="minorHAnsi" w:hAnsiTheme="minorHAnsi"/>
                <w:bCs/>
                <w:color w:val="FF0000"/>
                <w:sz w:val="10"/>
                <w:szCs w:val="10"/>
              </w:rPr>
            </w:pPr>
          </w:p>
          <w:p w:rsidR="00DC52F5" w:rsidRPr="00CE3C18" w:rsidRDefault="00DC52F5" w:rsidP="00777A41">
            <w:pPr>
              <w:rPr>
                <w:rFonts w:asciiTheme="minorHAnsi" w:hAnsiTheme="minorHAnsi"/>
                <w:bCs/>
                <w:color w:val="FF0000"/>
                <w:sz w:val="20"/>
              </w:rPr>
            </w:pPr>
            <w:r w:rsidRPr="00CE3C18">
              <w:rPr>
                <w:rFonts w:asciiTheme="minorHAnsi" w:hAnsiTheme="minorHAnsi"/>
                <w:bCs/>
                <w:i/>
                <w:iCs/>
                <w:color w:val="FF0000"/>
                <w:sz w:val="20"/>
              </w:rPr>
              <w:t>Note for institutions with jointly audited financial statements:</w:t>
            </w:r>
            <w:r w:rsidRPr="00CE3C18">
              <w:rPr>
                <w:rFonts w:asciiTheme="minorHAnsi" w:hAnsiTheme="minorHAnsi"/>
                <w:bCs/>
                <w:color w:val="FF0000"/>
                <w:sz w:val="20"/>
              </w:rPr>
              <w:t> </w:t>
            </w:r>
          </w:p>
          <w:p w:rsidR="00DC52F5" w:rsidRPr="00DC52F5" w:rsidRDefault="00DC52F5" w:rsidP="00777A41">
            <w:pPr>
              <w:rPr>
                <w:rFonts w:asciiTheme="minorHAnsi" w:hAnsiTheme="minorHAnsi"/>
                <w:bCs/>
                <w:color w:val="FF0000"/>
                <w:sz w:val="20"/>
              </w:rPr>
            </w:pPr>
            <w:r w:rsidRPr="00CE3C18">
              <w:rPr>
                <w:rFonts w:asciiTheme="minorHAnsi" w:hAnsiTheme="minorHAnsi"/>
                <w:bCs/>
                <w:color w:val="FF0000"/>
                <w:sz w:val="20"/>
              </w:rPr>
              <w:t>In the case where the system office absorbs all the OPEB liabilities, expenses, and deferrals for the campuses; only the system office should include the OPEB liabilities/assets, deferrals, and expenses in its IPEDS reporting. In the case where the institution shares an audited financial statement with another entity (e.g., with district, high school, hospital, etc.), the institution should report only its proportionate share of the OPEB expense, liability, and deferrals.</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Addition for clarification because general accounting standard was revised.</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Finance</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Revised instructions for GASB forms to provide clarification for new general accounting standard. </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b/>
                <w:color w:val="000000"/>
                <w:sz w:val="20"/>
              </w:rPr>
            </w:pPr>
            <w:r w:rsidRPr="00CE3C18">
              <w:rPr>
                <w:rFonts w:asciiTheme="minorHAnsi" w:hAnsiTheme="minorHAnsi"/>
                <w:b/>
                <w:color w:val="000000"/>
                <w:sz w:val="20"/>
              </w:rPr>
              <w:t>Part C-1: Expenses and Other Deductions: Functional Classification</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As a result of the implementation of GASB Statement No. 68 </w:t>
            </w:r>
            <w:r w:rsidRPr="00CE3C18">
              <w:rPr>
                <w:rFonts w:asciiTheme="minorHAnsi" w:hAnsiTheme="minorHAnsi"/>
                <w:color w:val="4F81BD" w:themeColor="accent1"/>
                <w:sz w:val="20"/>
              </w:rPr>
              <w:t>and 75</w:t>
            </w:r>
            <w:r w:rsidRPr="00CE3C18">
              <w:rPr>
                <w:rFonts w:asciiTheme="minorHAnsi" w:hAnsiTheme="minorHAnsi"/>
                <w:color w:val="000000"/>
                <w:sz w:val="20"/>
              </w:rPr>
              <w:t xml:space="preserve">, "Accounting and Financial Reporting for Pensions," </w:t>
            </w:r>
            <w:r w:rsidRPr="00CE3C18">
              <w:rPr>
                <w:rFonts w:asciiTheme="minorHAnsi" w:hAnsiTheme="minorHAnsi"/>
                <w:color w:val="4F81BD" w:themeColor="accent1"/>
                <w:sz w:val="20"/>
              </w:rPr>
              <w:t xml:space="preserve">and “Accounting and Financial Reporting for Postemployment Benefits Other than </w:t>
            </w:r>
            <w:r w:rsidRPr="00CE3C18">
              <w:rPr>
                <w:rFonts w:asciiTheme="minorHAnsi" w:hAnsiTheme="minorHAnsi"/>
                <w:strike/>
                <w:sz w:val="20"/>
              </w:rPr>
              <w:t>public</w:t>
            </w:r>
            <w:r w:rsidRPr="00CE3C18">
              <w:rPr>
                <w:rFonts w:asciiTheme="minorHAnsi" w:hAnsiTheme="minorHAnsi"/>
                <w:color w:val="FF0000"/>
                <w:sz w:val="20"/>
              </w:rPr>
              <w:t xml:space="preserve"> </w:t>
            </w:r>
            <w:r w:rsidRPr="00CE3C18">
              <w:rPr>
                <w:rFonts w:asciiTheme="minorHAnsi" w:hAnsiTheme="minorHAnsi"/>
                <w:color w:val="4F81BD" w:themeColor="accent1"/>
                <w:sz w:val="20"/>
              </w:rPr>
              <w:t xml:space="preserve">Pensions (OPEB),” </w:t>
            </w:r>
            <w:r w:rsidRPr="00CE3C18">
              <w:rPr>
                <w:rFonts w:asciiTheme="minorHAnsi" w:hAnsiTheme="minorHAnsi"/>
                <w:color w:val="000000"/>
                <w:sz w:val="20"/>
              </w:rPr>
              <w:t xml:space="preserve">public institutions with defined pension </w:t>
            </w:r>
            <w:r w:rsidRPr="00CE3C18">
              <w:rPr>
                <w:rFonts w:asciiTheme="minorHAnsi" w:hAnsiTheme="minorHAnsi"/>
                <w:color w:val="4F81BD" w:themeColor="accent1"/>
                <w:sz w:val="20"/>
              </w:rPr>
              <w:t xml:space="preserve">and postemployment </w:t>
            </w:r>
            <w:r w:rsidRPr="00CE3C18">
              <w:rPr>
                <w:rFonts w:asciiTheme="minorHAnsi" w:hAnsiTheme="minorHAnsi"/>
                <w:color w:val="000000"/>
                <w:sz w:val="20"/>
              </w:rPr>
              <w:t xml:space="preserve">benefit plans will be required to report an actuarially based pension </w:t>
            </w:r>
            <w:r w:rsidRPr="00CE3C18">
              <w:rPr>
                <w:rFonts w:asciiTheme="minorHAnsi" w:hAnsiTheme="minorHAnsi"/>
                <w:color w:val="4F81BD" w:themeColor="accent1"/>
                <w:sz w:val="20"/>
              </w:rPr>
              <w:t xml:space="preserve">and OPEB </w:t>
            </w:r>
            <w:r w:rsidRPr="00CE3C18">
              <w:rPr>
                <w:rFonts w:asciiTheme="minorHAnsi" w:hAnsiTheme="minorHAnsi"/>
                <w:color w:val="000000"/>
                <w:sz w:val="20"/>
              </w:rPr>
              <w:t xml:space="preserve">liability and related </w:t>
            </w:r>
            <w:r w:rsidRPr="00CE3C18">
              <w:rPr>
                <w:rFonts w:asciiTheme="minorHAnsi" w:hAnsiTheme="minorHAnsi"/>
                <w:strike/>
                <w:color w:val="000000"/>
                <w:sz w:val="20"/>
              </w:rPr>
              <w:t xml:space="preserve">pension </w:t>
            </w:r>
            <w:r w:rsidRPr="00CE3C18">
              <w:rPr>
                <w:rFonts w:asciiTheme="minorHAnsi" w:hAnsiTheme="minorHAnsi"/>
                <w:color w:val="000000"/>
                <w:sz w:val="20"/>
              </w:rPr>
              <w:t>expense</w:t>
            </w:r>
            <w:r w:rsidRPr="00CE3C18">
              <w:rPr>
                <w:rFonts w:asciiTheme="minorHAnsi" w:hAnsiTheme="minorHAnsi"/>
                <w:color w:val="FF0000"/>
                <w:sz w:val="20"/>
              </w:rPr>
              <w:t>s</w:t>
            </w:r>
            <w:r w:rsidRPr="00CE3C18">
              <w:rPr>
                <w:rFonts w:asciiTheme="minorHAnsi" w:hAnsiTheme="minorHAnsi"/>
                <w:color w:val="000000"/>
                <w:sz w:val="20"/>
              </w:rPr>
              <w:t xml:space="preserve"> and deferrals in their GPFS. The pension </w:t>
            </w:r>
            <w:r w:rsidRPr="00CE3C18">
              <w:rPr>
                <w:rFonts w:asciiTheme="minorHAnsi" w:hAnsiTheme="minorHAnsi"/>
                <w:color w:val="4F81BD" w:themeColor="accent1"/>
                <w:sz w:val="20"/>
              </w:rPr>
              <w:t xml:space="preserve">and OPEB </w:t>
            </w:r>
            <w:r w:rsidRPr="00CE3C18">
              <w:rPr>
                <w:rFonts w:asciiTheme="minorHAnsi" w:hAnsiTheme="minorHAnsi"/>
                <w:color w:val="000000"/>
                <w:sz w:val="20"/>
              </w:rPr>
              <w:t xml:space="preserve">expense that is recognized by GASB 68 </w:t>
            </w:r>
            <w:r w:rsidRPr="00CE3C18">
              <w:rPr>
                <w:rFonts w:asciiTheme="minorHAnsi" w:hAnsiTheme="minorHAnsi"/>
                <w:color w:val="4F81BD" w:themeColor="accent1"/>
                <w:sz w:val="20"/>
              </w:rPr>
              <w:t>and 75</w:t>
            </w:r>
            <w:r w:rsidRPr="00CE3C18">
              <w:rPr>
                <w:rFonts w:asciiTheme="minorHAnsi" w:hAnsiTheme="minorHAnsi"/>
                <w:color w:val="000000"/>
                <w:sz w:val="20"/>
              </w:rPr>
              <w:t>, as reported on the GPFS, should be allocated to Line 14-Other Functional Expenses and Deductions.</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Line 14 - Other functional expenses and deductions - This amount is generated by taking the total of line 19 and deducting the total of lines 01 through 13. Pension </w:t>
            </w:r>
            <w:r w:rsidRPr="00CE3C18">
              <w:rPr>
                <w:rFonts w:asciiTheme="minorHAnsi" w:hAnsiTheme="minorHAnsi"/>
                <w:color w:val="4F81BD" w:themeColor="accent1"/>
                <w:sz w:val="20"/>
              </w:rPr>
              <w:t xml:space="preserve">and OPEB </w:t>
            </w:r>
            <w:r w:rsidRPr="00CE3C18">
              <w:rPr>
                <w:rFonts w:asciiTheme="minorHAnsi" w:hAnsiTheme="minorHAnsi"/>
                <w:color w:val="000000"/>
                <w:sz w:val="20"/>
              </w:rPr>
              <w:t xml:space="preserve">expenses as recognized by GASB 68 </w:t>
            </w:r>
            <w:r w:rsidRPr="00CE3C18">
              <w:rPr>
                <w:rFonts w:asciiTheme="minorHAnsi" w:hAnsiTheme="minorHAnsi"/>
                <w:color w:val="4F81BD" w:themeColor="accent1"/>
                <w:sz w:val="20"/>
              </w:rPr>
              <w:t xml:space="preserve">and 75 </w:t>
            </w:r>
            <w:r w:rsidRPr="00CE3C18">
              <w:rPr>
                <w:rFonts w:asciiTheme="minorHAnsi" w:hAnsiTheme="minorHAnsi"/>
                <w:color w:val="000000"/>
                <w:sz w:val="20"/>
              </w:rPr>
              <w:t>should be allocated to this category.</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b/>
                <w:color w:val="000000"/>
                <w:sz w:val="20"/>
              </w:rPr>
            </w:pPr>
            <w:r w:rsidRPr="00CE3C18">
              <w:rPr>
                <w:rFonts w:asciiTheme="minorHAnsi" w:hAnsiTheme="minorHAnsi"/>
                <w:b/>
                <w:color w:val="000000"/>
                <w:sz w:val="20"/>
              </w:rPr>
              <w:t>Part C-2: Expenses and Other Deductions: Natural Classification</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Line 19-3, Benefits - Enter the total amount of benefits expenses incurred. </w:t>
            </w:r>
            <w:r w:rsidRPr="00CE3C18">
              <w:rPr>
                <w:rFonts w:asciiTheme="minorHAnsi" w:hAnsiTheme="minorHAnsi"/>
                <w:color w:val="4F81BD" w:themeColor="accent1"/>
                <w:sz w:val="20"/>
              </w:rPr>
              <w:t xml:space="preserve">As a result of the implementation of GASB Statement No. 68 and 75, "Accounting and Financial Reporting for Pensions," and “Accounting and Financial Reporting for Postemployment Benefits Other than Pensions (OPEB),” public institutions with defined pension and postemployment benefit plans will be required to report an actuarially based pension and OPEB liability and related pension expenses and deferrals in their GPFS. The pension and OPEB expense that is recognized by GASB 68 and 75, as reported on the GPFS, should be </w:t>
            </w:r>
            <w:r w:rsidRPr="00CE3C18">
              <w:rPr>
                <w:rFonts w:asciiTheme="minorHAnsi" w:hAnsiTheme="minorHAnsi"/>
                <w:strike/>
                <w:color w:val="000000"/>
                <w:sz w:val="20"/>
              </w:rPr>
              <w:t>As a result of the implementation of GASB Statement No. 68, "Accounting and Financial Reporting for Pensions – an Amendment of GASB Statement No. 27,"public institutions with defined benefit plans will be required to report an actuarially based pension liability and related pension expense and deferrals in their GPFS. The pension expense that is recognized by GASB 68, as reported on the GPFS, should be</w:t>
            </w:r>
            <w:r w:rsidRPr="00CE3C18">
              <w:rPr>
                <w:rFonts w:asciiTheme="minorHAnsi" w:hAnsiTheme="minorHAnsi"/>
                <w:color w:val="000000"/>
                <w:sz w:val="20"/>
              </w:rPr>
              <w:t xml:space="preserve"> included here.</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Rewording. For clarification. </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Finance</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Revise instructions for line 24 and 25 of the revenues section for Public GASB institutions:</w:t>
            </w:r>
          </w:p>
          <w:p w:rsidR="00DC52F5" w:rsidRPr="00CE3C18" w:rsidRDefault="00DC52F5" w:rsidP="00777A41">
            <w:pPr>
              <w:rPr>
                <w:rFonts w:asciiTheme="minorHAnsi" w:hAnsiTheme="minorHAnsi"/>
                <w:color w:val="000000"/>
                <w:sz w:val="20"/>
              </w:rPr>
            </w:pPr>
            <w:r w:rsidRPr="00CE3C18">
              <w:rPr>
                <w:rFonts w:asciiTheme="minorHAnsi" w:hAnsiTheme="minorHAnsi"/>
                <w:b/>
                <w:bCs/>
                <w:color w:val="000000"/>
                <w:sz w:val="20"/>
              </w:rPr>
              <w:t>24 – Total other revenues and additions</w:t>
            </w:r>
            <w:r w:rsidRPr="00CE3C18">
              <w:rPr>
                <w:rFonts w:asciiTheme="minorHAnsi" w:hAnsiTheme="minorHAnsi"/>
                <w:color w:val="000000"/>
                <w:sz w:val="20"/>
              </w:rPr>
              <w:t xml:space="preserve"> — This </w:t>
            </w:r>
            <w:r w:rsidRPr="00CE3C18">
              <w:rPr>
                <w:rFonts w:asciiTheme="minorHAnsi" w:hAnsiTheme="minorHAnsi"/>
                <w:color w:val="4F81BD" w:themeColor="accent1"/>
                <w:sz w:val="20"/>
              </w:rPr>
              <w:t xml:space="preserve">generated amount </w:t>
            </w:r>
            <w:r w:rsidRPr="00CE3C18">
              <w:rPr>
                <w:rFonts w:asciiTheme="minorHAnsi" w:hAnsiTheme="minorHAnsi"/>
                <w:color w:val="000000"/>
                <w:sz w:val="20"/>
              </w:rPr>
              <w:t xml:space="preserve">should be the total of all revenue and additions included in the GPFS below the line on the Statement of Revenues, Expenses, and Changes in Net </w:t>
            </w:r>
            <w:r w:rsidRPr="00CE3C18">
              <w:rPr>
                <w:rFonts w:asciiTheme="minorHAnsi" w:hAnsiTheme="minorHAnsi"/>
                <w:color w:val="1F497D" w:themeColor="text2"/>
                <w:sz w:val="20"/>
              </w:rPr>
              <w:t>Position</w:t>
            </w:r>
            <w:r w:rsidRPr="00CE3C18">
              <w:rPr>
                <w:rFonts w:asciiTheme="minorHAnsi" w:hAnsiTheme="minorHAnsi"/>
                <w:color w:val="000000"/>
                <w:sz w:val="20"/>
              </w:rPr>
              <w:t xml:space="preserve"> for “income before other revenues, expenses, gains, and losses.” There may be more than one figure in your own GPFS and thus it may be necessary to combine the revenues and additions reported in this category.</w:t>
            </w:r>
          </w:p>
          <w:p w:rsidR="00DC52F5" w:rsidRPr="00CE3C18" w:rsidRDefault="00DC52F5" w:rsidP="00777A41">
            <w:pPr>
              <w:rPr>
                <w:rFonts w:asciiTheme="minorHAnsi" w:hAnsiTheme="minorHAnsi"/>
                <w:color w:val="000000"/>
                <w:sz w:val="20"/>
              </w:rPr>
            </w:pPr>
            <w:r w:rsidRPr="00CE3C18">
              <w:rPr>
                <w:rFonts w:asciiTheme="minorHAnsi" w:hAnsiTheme="minorHAnsi"/>
                <w:b/>
                <w:bCs/>
                <w:color w:val="000000"/>
                <w:sz w:val="20"/>
              </w:rPr>
              <w:t>25 – Total all revenues and other additions</w:t>
            </w:r>
            <w:r w:rsidRPr="00CE3C18">
              <w:rPr>
                <w:rFonts w:asciiTheme="minorHAnsi" w:hAnsiTheme="minorHAnsi"/>
                <w:color w:val="000000"/>
                <w:sz w:val="20"/>
              </w:rPr>
              <w:t xml:space="preserve"> — </w:t>
            </w:r>
            <w:r w:rsidRPr="00CE3C18">
              <w:rPr>
                <w:rFonts w:asciiTheme="minorHAnsi" w:hAnsiTheme="minorHAnsi"/>
                <w:color w:val="4F81BD" w:themeColor="accent1"/>
                <w:sz w:val="20"/>
              </w:rPr>
              <w:t xml:space="preserve">Report the total of all revenues, including operating, nonoperating, and other revenues and additions from the Statement of Revenues, Expenses, and Changes in Net Position. </w:t>
            </w:r>
            <w:r w:rsidRPr="00CE3C18">
              <w:rPr>
                <w:rFonts w:asciiTheme="minorHAnsi" w:hAnsiTheme="minorHAnsi"/>
                <w:color w:val="000000"/>
                <w:sz w:val="20"/>
              </w:rPr>
              <w:t xml:space="preserve">This amount </w:t>
            </w:r>
            <w:r w:rsidRPr="00CE3C18">
              <w:rPr>
                <w:rFonts w:asciiTheme="minorHAnsi" w:hAnsiTheme="minorHAnsi"/>
                <w:strike/>
                <w:color w:val="000000"/>
                <w:sz w:val="20"/>
              </w:rPr>
              <w:t>is automatically generated by adding</w:t>
            </w:r>
            <w:r w:rsidRPr="00CE3C18">
              <w:rPr>
                <w:rFonts w:asciiTheme="minorHAnsi" w:hAnsiTheme="minorHAnsi"/>
                <w:color w:val="000000"/>
                <w:sz w:val="20"/>
              </w:rPr>
              <w:t xml:space="preserve"> </w:t>
            </w:r>
            <w:r w:rsidRPr="00CE3C18">
              <w:rPr>
                <w:rFonts w:asciiTheme="minorHAnsi" w:hAnsiTheme="minorHAnsi"/>
                <w:color w:val="4F81BD" w:themeColor="accent1"/>
                <w:sz w:val="20"/>
              </w:rPr>
              <w:t xml:space="preserve">should be the sum of </w:t>
            </w:r>
            <w:r w:rsidRPr="00CE3C18">
              <w:rPr>
                <w:rFonts w:asciiTheme="minorHAnsi" w:hAnsiTheme="minorHAnsi"/>
                <w:color w:val="000000"/>
                <w:sz w:val="20"/>
              </w:rPr>
              <w:t>the amounts from lines 09, 19, and 24.</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Rewording to clarify what’s automatically generated and what is reported.</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Finance</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Revise glossary definition for “net income” to better clarify: </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color w:val="000000"/>
                <w:sz w:val="20"/>
              </w:rPr>
            </w:pPr>
            <w:r w:rsidRPr="00CE3C18">
              <w:rPr>
                <w:rFonts w:asciiTheme="minorHAnsi" w:hAnsiTheme="minorHAnsi"/>
                <w:b/>
                <w:color w:val="000000"/>
                <w:sz w:val="20"/>
              </w:rPr>
              <w:t xml:space="preserve">Net income: </w:t>
            </w:r>
            <w:r w:rsidRPr="00CE3C18">
              <w:rPr>
                <w:rFonts w:asciiTheme="minorHAnsi" w:hAnsiTheme="minorHAnsi"/>
                <w:color w:val="000000"/>
                <w:sz w:val="20"/>
              </w:rPr>
              <w:t xml:space="preserve">The final figure in the income statement when revenues exceed expenses. </w:t>
            </w:r>
            <w:r w:rsidRPr="00CE3C18">
              <w:rPr>
                <w:rFonts w:asciiTheme="minorHAnsi" w:hAnsiTheme="minorHAnsi"/>
                <w:color w:val="4F81BD" w:themeColor="accent1"/>
                <w:sz w:val="20"/>
              </w:rPr>
              <w:t>For for-profit institutions, this figure is net of gains and losses.</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Rewording for clarification.</w:t>
            </w:r>
          </w:p>
        </w:tc>
      </w:tr>
      <w:tr w:rsidR="0037040B" w:rsidRPr="007005DF" w:rsidTr="00CE3C18">
        <w:trPr>
          <w:trHeight w:val="144"/>
        </w:trPr>
        <w:tc>
          <w:tcPr>
            <w:tcW w:w="1779" w:type="dxa"/>
            <w:shd w:val="clear" w:color="auto" w:fill="auto"/>
            <w:noWrap/>
            <w:vAlign w:val="center"/>
          </w:tcPr>
          <w:p w:rsidR="0037040B" w:rsidRPr="00CE3C18" w:rsidRDefault="0037040B" w:rsidP="006C3066">
            <w:pPr>
              <w:ind w:left="-90" w:right="-107"/>
              <w:rPr>
                <w:rFonts w:asciiTheme="minorHAnsi" w:hAnsiTheme="minorHAnsi"/>
                <w:color w:val="000000"/>
                <w:sz w:val="20"/>
              </w:rPr>
            </w:pPr>
            <w:r w:rsidRPr="00CE3C18">
              <w:rPr>
                <w:rFonts w:asciiTheme="minorHAnsi" w:hAnsiTheme="minorHAnsi"/>
                <w:color w:val="000000"/>
                <w:sz w:val="20"/>
              </w:rPr>
              <w:t>Human Resources</w:t>
            </w:r>
          </w:p>
        </w:tc>
        <w:tc>
          <w:tcPr>
            <w:tcW w:w="10929" w:type="dxa"/>
            <w:shd w:val="clear" w:color="auto" w:fill="auto"/>
            <w:vAlign w:val="center"/>
          </w:tcPr>
          <w:p w:rsidR="0037040B" w:rsidRPr="00CE3C18" w:rsidRDefault="0037040B" w:rsidP="0037040B">
            <w:pPr>
              <w:rPr>
                <w:rFonts w:asciiTheme="minorHAnsi" w:hAnsiTheme="minorHAnsi"/>
                <w:color w:val="FF0000"/>
                <w:sz w:val="20"/>
              </w:rPr>
            </w:pPr>
            <w:r w:rsidRPr="00CE3C18">
              <w:rPr>
                <w:rFonts w:asciiTheme="minorHAnsi" w:hAnsiTheme="minorHAnsi"/>
                <w:color w:val="000000"/>
                <w:sz w:val="20"/>
              </w:rPr>
              <w:t xml:space="preserve">New FAQ: </w:t>
            </w:r>
            <w:r w:rsidRPr="00CE3C18">
              <w:rPr>
                <w:rFonts w:asciiTheme="minorHAnsi" w:hAnsiTheme="minorHAnsi"/>
                <w:color w:val="FF0000"/>
                <w:sz w:val="20"/>
              </w:rPr>
              <w:t xml:space="preserve">Do I report new hires who are no longer on the payroll as of November 1, 2018 in Human Resources component? </w:t>
            </w:r>
          </w:p>
          <w:p w:rsidR="0037040B" w:rsidRPr="00CE3C18" w:rsidRDefault="0037040B" w:rsidP="0037040B">
            <w:pPr>
              <w:rPr>
                <w:rFonts w:asciiTheme="minorHAnsi" w:hAnsiTheme="minorHAnsi"/>
                <w:color w:val="FF0000"/>
                <w:sz w:val="20"/>
              </w:rPr>
            </w:pPr>
            <w:r w:rsidRPr="00CE3C18">
              <w:rPr>
                <w:rFonts w:asciiTheme="minorHAnsi" w:hAnsiTheme="minorHAnsi"/>
                <w:color w:val="FF0000"/>
                <w:sz w:val="20"/>
              </w:rPr>
              <w:t xml:space="preserve">Although you are required to report employees on the payroll as of November 1, 2018, </w:t>
            </w:r>
            <w:r w:rsidRPr="00CE3C18">
              <w:rPr>
                <w:rFonts w:asciiTheme="minorHAnsi" w:hAnsiTheme="minorHAnsi"/>
                <w:color w:val="FF0000"/>
                <w:sz w:val="20"/>
                <w:shd w:val="clear" w:color="auto" w:fill="FFFFFF"/>
              </w:rPr>
              <w:t xml:space="preserve">you </w:t>
            </w:r>
            <w:r w:rsidRPr="00CE3C18">
              <w:rPr>
                <w:rFonts w:asciiTheme="minorHAnsi" w:hAnsiTheme="minorHAnsi"/>
                <w:color w:val="FF0000"/>
                <w:sz w:val="20"/>
              </w:rPr>
              <w:t>report new hires for a full 12-month period (</w:t>
            </w:r>
            <w:r w:rsidRPr="00CE3C18">
              <w:rPr>
                <w:rFonts w:asciiTheme="minorHAnsi" w:hAnsiTheme="minorHAnsi"/>
                <w:color w:val="FF0000"/>
                <w:sz w:val="20"/>
                <w:shd w:val="clear" w:color="auto" w:fill="FFFFFF"/>
              </w:rPr>
              <w:t>November 1, 2017 through October 31, 2018)</w:t>
            </w:r>
            <w:r w:rsidRPr="00CE3C18">
              <w:rPr>
                <w:rFonts w:asciiTheme="minorHAnsi" w:hAnsiTheme="minorHAnsi"/>
                <w:color w:val="FF0000"/>
                <w:sz w:val="20"/>
              </w:rPr>
              <w:t xml:space="preserve">, </w:t>
            </w:r>
            <w:r w:rsidRPr="00CE3C18">
              <w:rPr>
                <w:rFonts w:asciiTheme="minorHAnsi" w:hAnsiTheme="minorHAnsi"/>
                <w:color w:val="FF0000"/>
                <w:sz w:val="20"/>
                <w:shd w:val="clear" w:color="auto" w:fill="FFFFFF"/>
              </w:rPr>
              <w:t>whether or not the new hires were still on the payroll as of November 1, 2018.</w:t>
            </w:r>
          </w:p>
        </w:tc>
        <w:tc>
          <w:tcPr>
            <w:tcW w:w="1908" w:type="dxa"/>
            <w:shd w:val="clear" w:color="auto" w:fill="auto"/>
            <w:noWrap/>
            <w:vAlign w:val="center"/>
          </w:tcPr>
          <w:p w:rsidR="0037040B" w:rsidRPr="00CE3C18" w:rsidRDefault="003B70B6" w:rsidP="006C3066">
            <w:pPr>
              <w:rPr>
                <w:rFonts w:asciiTheme="minorHAnsi" w:hAnsiTheme="minorHAnsi"/>
                <w:bCs/>
                <w:sz w:val="20"/>
              </w:rPr>
            </w:pPr>
            <w:r w:rsidRPr="00CE3C18">
              <w:rPr>
                <w:rFonts w:asciiTheme="minorHAnsi" w:hAnsiTheme="minorHAnsi"/>
                <w:bCs/>
                <w:sz w:val="20"/>
              </w:rPr>
              <w:t>Addition. For clarification.</w:t>
            </w:r>
          </w:p>
        </w:tc>
      </w:tr>
      <w:tr w:rsidR="003B70B6" w:rsidRPr="007005DF" w:rsidTr="00CE3C18">
        <w:trPr>
          <w:trHeight w:val="144"/>
        </w:trPr>
        <w:tc>
          <w:tcPr>
            <w:tcW w:w="1779" w:type="dxa"/>
            <w:shd w:val="clear" w:color="auto" w:fill="auto"/>
            <w:noWrap/>
            <w:vAlign w:val="center"/>
          </w:tcPr>
          <w:p w:rsidR="003B70B6" w:rsidRPr="00CE3C18" w:rsidRDefault="003B70B6" w:rsidP="006C3066">
            <w:pPr>
              <w:ind w:left="-90" w:right="-107"/>
              <w:rPr>
                <w:rFonts w:asciiTheme="minorHAnsi" w:hAnsiTheme="minorHAnsi"/>
                <w:color w:val="000000"/>
                <w:sz w:val="20"/>
              </w:rPr>
            </w:pPr>
            <w:r w:rsidRPr="00CE3C18">
              <w:rPr>
                <w:rFonts w:asciiTheme="minorHAnsi" w:hAnsiTheme="minorHAnsi"/>
                <w:color w:val="000000"/>
                <w:sz w:val="20"/>
              </w:rPr>
              <w:t>Human Resources</w:t>
            </w:r>
          </w:p>
        </w:tc>
        <w:tc>
          <w:tcPr>
            <w:tcW w:w="10929" w:type="dxa"/>
            <w:shd w:val="clear" w:color="auto" w:fill="auto"/>
            <w:vAlign w:val="center"/>
          </w:tcPr>
          <w:p w:rsidR="003B70B6" w:rsidRPr="00CE3C18" w:rsidRDefault="003B70B6" w:rsidP="003B70B6">
            <w:pPr>
              <w:shd w:val="clear" w:color="auto" w:fill="FFFFFF"/>
              <w:outlineLvl w:val="4"/>
              <w:rPr>
                <w:rFonts w:ascii="Calibri" w:hAnsi="Calibri"/>
                <w:sz w:val="20"/>
              </w:rPr>
            </w:pPr>
            <w:r w:rsidRPr="00CE3C18">
              <w:rPr>
                <w:rFonts w:ascii="Calibri" w:hAnsi="Calibri"/>
                <w:sz w:val="20"/>
              </w:rPr>
              <w:t>Who to Include in this Report</w:t>
            </w:r>
          </w:p>
          <w:p w:rsidR="003B70B6" w:rsidRPr="00CE3C18" w:rsidRDefault="003B70B6" w:rsidP="003B70B6">
            <w:pPr>
              <w:numPr>
                <w:ilvl w:val="0"/>
                <w:numId w:val="17"/>
              </w:numPr>
              <w:shd w:val="clear" w:color="auto" w:fill="FFFFFF"/>
              <w:ind w:left="870"/>
              <w:rPr>
                <w:rFonts w:ascii="Calibri" w:hAnsi="Calibri"/>
                <w:color w:val="1F497D" w:themeColor="text2"/>
                <w:sz w:val="20"/>
              </w:rPr>
            </w:pPr>
            <w:r w:rsidRPr="00CE3C18">
              <w:rPr>
                <w:rFonts w:ascii="Calibri" w:hAnsi="Calibri"/>
                <w:sz w:val="20"/>
              </w:rPr>
              <w:t xml:space="preserve">Persons on the payroll of the institution as of November 1, 2018, </w:t>
            </w:r>
            <w:r w:rsidRPr="00CE3C18">
              <w:rPr>
                <w:rFonts w:ascii="Calibri" w:hAnsi="Calibri"/>
                <w:color w:val="000000"/>
                <w:sz w:val="20"/>
              </w:rPr>
              <w:t>with the exception of</w:t>
            </w:r>
            <w:r w:rsidRPr="00CE3C18">
              <w:rPr>
                <w:rFonts w:ascii="Calibri" w:hAnsi="Calibri"/>
                <w:strike/>
                <w:color w:val="000000"/>
                <w:sz w:val="20"/>
              </w:rPr>
              <w:t xml:space="preserve"> New Hire reporting</w:t>
            </w:r>
            <w:r w:rsidRPr="00CE3C18">
              <w:rPr>
                <w:rFonts w:ascii="Calibri" w:hAnsi="Calibri"/>
                <w:color w:val="1F497D" w:themeColor="text2"/>
                <w:sz w:val="20"/>
              </w:rPr>
              <w:t xml:space="preserve"> persons </w:t>
            </w:r>
            <w:r w:rsidRPr="00CE3C18">
              <w:rPr>
                <w:rFonts w:ascii="Calibri" w:hAnsi="Calibri"/>
                <w:color w:val="1F497D" w:themeColor="text2"/>
                <w:sz w:val="20"/>
                <w:shd w:val="clear" w:color="auto" w:fill="FFFFFF"/>
              </w:rPr>
              <w:t>who were hired for full-time permanent employment either for the first time (new to institution) or after a break in service </w:t>
            </w:r>
            <w:r w:rsidRPr="00CE3C18">
              <w:rPr>
                <w:rFonts w:ascii="Calibri" w:hAnsi="Calibri"/>
                <w:color w:val="1F497D" w:themeColor="text2"/>
                <w:sz w:val="20"/>
              </w:rPr>
              <w:t xml:space="preserve"> </w:t>
            </w:r>
          </w:p>
          <w:p w:rsidR="003B70B6" w:rsidRPr="00CE3C18" w:rsidRDefault="003B70B6" w:rsidP="003B70B6">
            <w:pPr>
              <w:numPr>
                <w:ilvl w:val="0"/>
                <w:numId w:val="17"/>
              </w:numPr>
              <w:shd w:val="clear" w:color="auto" w:fill="FFFFFF"/>
              <w:ind w:left="870"/>
              <w:rPr>
                <w:rFonts w:ascii="Calibri" w:hAnsi="Calibri"/>
                <w:color w:val="000000"/>
                <w:sz w:val="20"/>
              </w:rPr>
            </w:pPr>
            <w:r w:rsidRPr="00CE3C18">
              <w:rPr>
                <w:rFonts w:ascii="Calibri" w:hAnsi="Calibri"/>
                <w:color w:val="000000"/>
                <w:sz w:val="20"/>
              </w:rPr>
              <w:t>Staff who are on sabbatical leave and staff who are on leave but remain on the payroll.</w:t>
            </w:r>
          </w:p>
          <w:p w:rsidR="003B70B6" w:rsidRPr="00CE3C18" w:rsidRDefault="003B70B6" w:rsidP="003B70B6">
            <w:pPr>
              <w:numPr>
                <w:ilvl w:val="0"/>
                <w:numId w:val="17"/>
              </w:numPr>
              <w:shd w:val="clear" w:color="auto" w:fill="FFFFFF"/>
              <w:ind w:left="870"/>
              <w:rPr>
                <w:rFonts w:ascii="Calibri" w:hAnsi="Calibri"/>
                <w:color w:val="000000"/>
                <w:sz w:val="20"/>
              </w:rPr>
            </w:pPr>
            <w:r w:rsidRPr="00CE3C18">
              <w:rPr>
                <w:rFonts w:ascii="Calibri" w:hAnsi="Calibri"/>
                <w:color w:val="000000"/>
                <w:sz w:val="20"/>
              </w:rPr>
              <w:t>Staff who are hired to temporarily replace staff who are on sabbatical leave or on leave with or without pay.</w:t>
            </w:r>
          </w:p>
          <w:p w:rsidR="003B70B6" w:rsidRPr="00CE3C18" w:rsidRDefault="003B70B6" w:rsidP="0037040B">
            <w:pPr>
              <w:numPr>
                <w:ilvl w:val="0"/>
                <w:numId w:val="17"/>
              </w:numPr>
              <w:shd w:val="clear" w:color="auto" w:fill="FFFFFF"/>
              <w:ind w:left="870"/>
              <w:rPr>
                <w:rFonts w:ascii="Calibri" w:hAnsi="Calibri"/>
                <w:color w:val="000000"/>
                <w:sz w:val="20"/>
              </w:rPr>
            </w:pPr>
            <w:r w:rsidRPr="00CE3C18">
              <w:rPr>
                <w:rFonts w:ascii="Calibri" w:hAnsi="Calibri"/>
                <w:color w:val="000000"/>
                <w:sz w:val="20"/>
              </w:rPr>
              <w:t>Persons newly hired between November 1, 2017 and October 31, 2018, whether or not the persons were still on the payroll as of November 1, 2018.</w:t>
            </w:r>
          </w:p>
        </w:tc>
        <w:tc>
          <w:tcPr>
            <w:tcW w:w="1908" w:type="dxa"/>
            <w:shd w:val="clear" w:color="auto" w:fill="auto"/>
            <w:noWrap/>
            <w:vAlign w:val="center"/>
          </w:tcPr>
          <w:p w:rsidR="003B70B6" w:rsidRPr="00CE3C18" w:rsidRDefault="003B70B6" w:rsidP="006C3066">
            <w:pPr>
              <w:rPr>
                <w:rFonts w:asciiTheme="minorHAnsi" w:hAnsiTheme="minorHAnsi"/>
                <w:bCs/>
                <w:sz w:val="20"/>
              </w:rPr>
            </w:pPr>
            <w:r w:rsidRPr="00CE3C18">
              <w:rPr>
                <w:rFonts w:asciiTheme="minorHAnsi" w:hAnsiTheme="minorHAnsi"/>
                <w:bCs/>
                <w:sz w:val="20"/>
              </w:rPr>
              <w:t>Rewording. For clarification.</w:t>
            </w:r>
          </w:p>
        </w:tc>
      </w:tr>
      <w:tr w:rsidR="003B70B6" w:rsidRPr="007005DF" w:rsidTr="00CE3C18">
        <w:trPr>
          <w:trHeight w:val="144"/>
        </w:trPr>
        <w:tc>
          <w:tcPr>
            <w:tcW w:w="1779" w:type="dxa"/>
            <w:shd w:val="clear" w:color="auto" w:fill="auto"/>
            <w:noWrap/>
            <w:vAlign w:val="center"/>
          </w:tcPr>
          <w:p w:rsidR="003B70B6" w:rsidRPr="00CE3C18" w:rsidRDefault="008D7EE3" w:rsidP="006C3066">
            <w:pPr>
              <w:ind w:left="-90" w:right="-107"/>
              <w:rPr>
                <w:rFonts w:asciiTheme="minorHAnsi" w:hAnsiTheme="minorHAnsi"/>
                <w:color w:val="000000"/>
                <w:sz w:val="20"/>
              </w:rPr>
            </w:pPr>
            <w:r w:rsidRPr="00CE3C18">
              <w:rPr>
                <w:rFonts w:asciiTheme="minorHAnsi" w:hAnsiTheme="minorHAnsi"/>
                <w:color w:val="000000"/>
                <w:sz w:val="20"/>
              </w:rPr>
              <w:t>Human Resources</w:t>
            </w:r>
          </w:p>
        </w:tc>
        <w:tc>
          <w:tcPr>
            <w:tcW w:w="10929" w:type="dxa"/>
            <w:shd w:val="clear" w:color="auto" w:fill="auto"/>
            <w:vAlign w:val="center"/>
          </w:tcPr>
          <w:p w:rsidR="008D7EE3" w:rsidRPr="00CE3C18" w:rsidRDefault="008D7EE3" w:rsidP="008D7EE3">
            <w:pPr>
              <w:shd w:val="clear" w:color="auto" w:fill="FFFFFF"/>
              <w:outlineLvl w:val="4"/>
              <w:rPr>
                <w:rFonts w:ascii="Calibri" w:hAnsi="Calibri"/>
                <w:color w:val="000000"/>
                <w:sz w:val="20"/>
              </w:rPr>
            </w:pPr>
            <w:r w:rsidRPr="00CE3C18">
              <w:rPr>
                <w:rFonts w:ascii="Calibri" w:hAnsi="Calibri"/>
                <w:color w:val="000000"/>
                <w:sz w:val="20"/>
              </w:rPr>
              <w:t>Updated/Reworded 2010 SOC Occupational Codes to reflect the Updated 2018 SOC Occupational Codes.</w:t>
            </w:r>
          </w:p>
          <w:p w:rsidR="003B70B6" w:rsidRPr="00CE3C18" w:rsidRDefault="008D7EE3" w:rsidP="008D7EE3">
            <w:pPr>
              <w:shd w:val="clear" w:color="auto" w:fill="FFFFFF"/>
              <w:outlineLvl w:val="4"/>
              <w:rPr>
                <w:rFonts w:ascii="Calibri" w:hAnsi="Calibri"/>
                <w:color w:val="000000"/>
                <w:sz w:val="20"/>
              </w:rPr>
            </w:pPr>
            <w:r w:rsidRPr="00CE3C18">
              <w:rPr>
                <w:rFonts w:ascii="Calibri" w:hAnsi="Calibri"/>
                <w:color w:val="000000"/>
                <w:sz w:val="20"/>
              </w:rPr>
              <w:t>See attachment labeled: “SOC Code 2018 Update.”</w:t>
            </w:r>
          </w:p>
        </w:tc>
        <w:tc>
          <w:tcPr>
            <w:tcW w:w="1908" w:type="dxa"/>
            <w:shd w:val="clear" w:color="auto" w:fill="auto"/>
            <w:noWrap/>
            <w:vAlign w:val="center"/>
          </w:tcPr>
          <w:p w:rsidR="003B70B6" w:rsidRPr="00CE3C18" w:rsidRDefault="008D7EE3" w:rsidP="006C3066">
            <w:pPr>
              <w:rPr>
                <w:rFonts w:asciiTheme="minorHAnsi" w:hAnsiTheme="minorHAnsi"/>
                <w:bCs/>
                <w:sz w:val="20"/>
              </w:rPr>
            </w:pPr>
            <w:r w:rsidRPr="00CE3C18">
              <w:rPr>
                <w:rFonts w:asciiTheme="minorHAnsi" w:hAnsiTheme="minorHAnsi"/>
                <w:bCs/>
                <w:sz w:val="20"/>
              </w:rPr>
              <w:t>Rewording. Updated to reflect new 2018 SOC Occupational Codes.</w:t>
            </w:r>
          </w:p>
        </w:tc>
      </w:tr>
      <w:tr w:rsidR="008D7EE3" w:rsidRPr="007005DF" w:rsidTr="00CE3C18">
        <w:trPr>
          <w:trHeight w:val="144"/>
        </w:trPr>
        <w:tc>
          <w:tcPr>
            <w:tcW w:w="1779" w:type="dxa"/>
            <w:shd w:val="clear" w:color="auto" w:fill="auto"/>
            <w:noWrap/>
            <w:vAlign w:val="center"/>
          </w:tcPr>
          <w:p w:rsidR="008D7EE3" w:rsidRPr="00CE3C18" w:rsidRDefault="008D7EE3" w:rsidP="006C3066">
            <w:pPr>
              <w:ind w:left="-90" w:right="-107"/>
              <w:rPr>
                <w:rFonts w:asciiTheme="minorHAnsi" w:hAnsiTheme="minorHAnsi"/>
                <w:color w:val="000000"/>
                <w:sz w:val="20"/>
              </w:rPr>
            </w:pPr>
            <w:r w:rsidRPr="00CE3C18">
              <w:rPr>
                <w:rFonts w:asciiTheme="minorHAnsi" w:hAnsiTheme="minorHAnsi"/>
                <w:color w:val="000000"/>
                <w:sz w:val="20"/>
              </w:rPr>
              <w:t>Human Resources</w:t>
            </w:r>
          </w:p>
        </w:tc>
        <w:tc>
          <w:tcPr>
            <w:tcW w:w="10929" w:type="dxa"/>
            <w:shd w:val="clear" w:color="auto" w:fill="auto"/>
            <w:vAlign w:val="center"/>
          </w:tcPr>
          <w:p w:rsidR="008D7EE3" w:rsidRPr="00CE3C18" w:rsidRDefault="008D7EE3" w:rsidP="008D7EE3">
            <w:pPr>
              <w:rPr>
                <w:rFonts w:ascii="Calibri" w:hAnsi="Calibri"/>
                <w:color w:val="FF0000"/>
                <w:sz w:val="20"/>
              </w:rPr>
            </w:pPr>
            <w:r w:rsidRPr="00CE3C18">
              <w:rPr>
                <w:rFonts w:ascii="Calibri" w:hAnsi="Calibri"/>
                <w:sz w:val="20"/>
              </w:rPr>
              <w:t>New FAQ:</w:t>
            </w:r>
            <w:r w:rsidRPr="00CE3C18">
              <w:rPr>
                <w:rFonts w:ascii="Calibri" w:hAnsi="Calibri"/>
                <w:color w:val="FF0000"/>
                <w:sz w:val="20"/>
              </w:rPr>
              <w:t xml:space="preserve"> What is the difference between “with/without faculty status” and “academic rank/no academic rank?”</w:t>
            </w:r>
          </w:p>
          <w:p w:rsidR="008D7EE3" w:rsidRPr="00CE3C18" w:rsidRDefault="008D7EE3" w:rsidP="008D7EE3">
            <w:pPr>
              <w:rPr>
                <w:rFonts w:ascii="Calibri" w:hAnsi="Calibri"/>
                <w:color w:val="FF0000"/>
                <w:sz w:val="20"/>
              </w:rPr>
            </w:pPr>
            <w:r w:rsidRPr="00CE3C18">
              <w:rPr>
                <w:rFonts w:ascii="Calibri" w:hAnsi="Calibri"/>
                <w:color w:val="FF0000"/>
                <w:sz w:val="20"/>
              </w:rPr>
              <w:t>The difference is that “faculty status” and “without faculty status” applies to both instructional and non-instructional staff, while “academic rank” and “no academic” rank only applies to instructional staff.</w:t>
            </w:r>
          </w:p>
        </w:tc>
        <w:tc>
          <w:tcPr>
            <w:tcW w:w="1908" w:type="dxa"/>
            <w:shd w:val="clear" w:color="auto" w:fill="auto"/>
            <w:noWrap/>
            <w:vAlign w:val="center"/>
          </w:tcPr>
          <w:p w:rsidR="008D7EE3" w:rsidRPr="00CE3C18" w:rsidRDefault="008D7EE3" w:rsidP="008D7EE3">
            <w:pPr>
              <w:rPr>
                <w:rFonts w:asciiTheme="minorHAnsi" w:hAnsiTheme="minorHAnsi"/>
                <w:bCs/>
                <w:sz w:val="20"/>
              </w:rPr>
            </w:pPr>
            <w:r w:rsidRPr="00CE3C18">
              <w:rPr>
                <w:rFonts w:asciiTheme="minorHAnsi" w:hAnsiTheme="minorHAnsi"/>
                <w:bCs/>
                <w:sz w:val="20"/>
              </w:rPr>
              <w:t>Addition.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Outcome Measures</w:t>
            </w:r>
          </w:p>
        </w:tc>
        <w:tc>
          <w:tcPr>
            <w:tcW w:w="10929" w:type="dxa"/>
            <w:shd w:val="clear" w:color="auto" w:fill="auto"/>
            <w:vAlign w:val="center"/>
          </w:tcPr>
          <w:p w:rsidR="00DC52F5" w:rsidRPr="00CE3C18" w:rsidRDefault="00DC52F5" w:rsidP="00777A41">
            <w:pPr>
              <w:rPr>
                <w:rFonts w:asciiTheme="minorHAnsi" w:hAnsiTheme="minorHAnsi"/>
                <w:sz w:val="20"/>
              </w:rPr>
            </w:pPr>
            <w:r w:rsidRPr="00CE3C18">
              <w:rPr>
                <w:rFonts w:asciiTheme="minorHAnsi" w:hAnsiTheme="minorHAnsi"/>
                <w:sz w:val="20"/>
              </w:rPr>
              <w:t xml:space="preserve">Combine FAQ #10 and FAQ #11 into one FAQ #10 and renumber subsequent FAQs. </w:t>
            </w:r>
          </w:p>
          <w:p w:rsidR="00DC52F5" w:rsidRPr="00CE3C18" w:rsidRDefault="00DC52F5" w:rsidP="00777A41">
            <w:pPr>
              <w:rPr>
                <w:rFonts w:asciiTheme="minorHAnsi" w:hAnsiTheme="minorHAnsi"/>
                <w:sz w:val="20"/>
              </w:rPr>
            </w:pPr>
            <w:r w:rsidRPr="00CE3C18">
              <w:rPr>
                <w:rFonts w:asciiTheme="minorHAnsi" w:hAnsiTheme="minorHAnsi"/>
                <w:sz w:val="20"/>
              </w:rPr>
              <w:t xml:space="preserve">FAQ #10) </w:t>
            </w:r>
            <w:r w:rsidRPr="00CE3C18">
              <w:rPr>
                <w:rFonts w:asciiTheme="minorHAnsi" w:hAnsiTheme="minorHAnsi"/>
                <w:strike/>
                <w:sz w:val="20"/>
              </w:rPr>
              <w:t xml:space="preserve">As an academic year reporting institution, </w:t>
            </w:r>
            <w:r w:rsidRPr="00CE3C18">
              <w:rPr>
                <w:rFonts w:asciiTheme="minorHAnsi" w:hAnsiTheme="minorHAnsi"/>
                <w:sz w:val="20"/>
              </w:rPr>
              <w:t xml:space="preserve">I have a group of degree-seeking undergraduate students who took a summer session </w:t>
            </w:r>
            <w:r w:rsidRPr="00CE3C18">
              <w:rPr>
                <w:rFonts w:asciiTheme="minorHAnsi" w:hAnsiTheme="minorHAnsi"/>
                <w:color w:val="4F81BD" w:themeColor="accent1"/>
                <w:sz w:val="20"/>
              </w:rPr>
              <w:t>in 2009.</w:t>
            </w:r>
            <w:r w:rsidRPr="00CE3C18">
              <w:rPr>
                <w:rFonts w:asciiTheme="minorHAnsi" w:hAnsiTheme="minorHAnsi"/>
                <w:strike/>
                <w:sz w:val="20"/>
              </w:rPr>
              <w:t xml:space="preserve"> designed for entering students to earn college credit before enrolling in the next immediate full term (i.e., Fall semester or quarter). </w:t>
            </w:r>
            <w:r w:rsidRPr="00CE3C18">
              <w:rPr>
                <w:rFonts w:asciiTheme="minorHAnsi" w:hAnsiTheme="minorHAnsi"/>
                <w:sz w:val="20"/>
              </w:rPr>
              <w:t>However, the start date of the summer session was prior to Outcome Measures coverage cohort year start date of July 1, which cohort year should these students be reported?</w:t>
            </w:r>
          </w:p>
          <w:p w:rsidR="00DC52F5" w:rsidRPr="00CE3C18" w:rsidRDefault="00DC52F5" w:rsidP="00777A41">
            <w:pPr>
              <w:pStyle w:val="ListParagraph"/>
              <w:numPr>
                <w:ilvl w:val="0"/>
                <w:numId w:val="21"/>
              </w:numPr>
              <w:rPr>
                <w:color w:val="1F497D" w:themeColor="text2"/>
                <w:sz w:val="20"/>
                <w:szCs w:val="20"/>
              </w:rPr>
            </w:pPr>
            <w:r w:rsidRPr="00CE3C18">
              <w:rPr>
                <w:color w:val="1F497D" w:themeColor="text2"/>
                <w:sz w:val="20"/>
                <w:szCs w:val="20"/>
              </w:rPr>
              <w:t>For the 2009-10 cohort(s), institutions should include students who entered between July 1, 2009 and June 30, 2010.</w:t>
            </w:r>
          </w:p>
          <w:p w:rsidR="00DC52F5" w:rsidRPr="00CE3C18" w:rsidRDefault="00DC52F5" w:rsidP="00777A41">
            <w:pPr>
              <w:pStyle w:val="ListParagraph"/>
              <w:numPr>
                <w:ilvl w:val="0"/>
                <w:numId w:val="21"/>
              </w:numPr>
              <w:rPr>
                <w:color w:val="1F497D" w:themeColor="text2"/>
                <w:sz w:val="20"/>
                <w:szCs w:val="20"/>
              </w:rPr>
            </w:pPr>
            <w:r w:rsidRPr="00CE3C18">
              <w:rPr>
                <w:color w:val="1F497D" w:themeColor="text2"/>
                <w:sz w:val="20"/>
                <w:szCs w:val="20"/>
              </w:rPr>
              <w:t xml:space="preserve">Students who start in the summer, and if summer is NOT a “full” term, should be treated based on guidance in the FAQs.  OM cohorts should be accurate based on a student’s “normal” attendance intensity and not based on a partial summer term which is not a full term. </w:t>
            </w:r>
          </w:p>
          <w:p w:rsidR="00DC52F5" w:rsidRPr="00CE3C18" w:rsidRDefault="00DC52F5" w:rsidP="00777A41">
            <w:pPr>
              <w:pStyle w:val="ListParagraph"/>
              <w:numPr>
                <w:ilvl w:val="0"/>
                <w:numId w:val="22"/>
              </w:numPr>
              <w:rPr>
                <w:color w:val="1F497D" w:themeColor="text2"/>
                <w:sz w:val="20"/>
                <w:szCs w:val="20"/>
              </w:rPr>
            </w:pPr>
            <w:r w:rsidRPr="00CE3C18">
              <w:rPr>
                <w:color w:val="1F497D" w:themeColor="text2"/>
                <w:sz w:val="20"/>
                <w:szCs w:val="20"/>
              </w:rPr>
              <w:t>If a student starts in the summer of 2009 (prior to July 1), and they do NOT enroll in any additional terms in 2009-10, they do NOT get included (because they would be included in the 2008-09 cohort year).</w:t>
            </w:r>
          </w:p>
          <w:p w:rsidR="00DC52F5" w:rsidRPr="00CE3C18" w:rsidRDefault="00DC52F5" w:rsidP="00777A41">
            <w:pPr>
              <w:pStyle w:val="ListParagraph"/>
              <w:numPr>
                <w:ilvl w:val="0"/>
                <w:numId w:val="22"/>
              </w:numPr>
              <w:rPr>
                <w:color w:val="1F497D" w:themeColor="text2"/>
                <w:sz w:val="20"/>
                <w:szCs w:val="20"/>
              </w:rPr>
            </w:pPr>
            <w:r w:rsidRPr="00CE3C18">
              <w:rPr>
                <w:color w:val="1F497D" w:themeColor="text2"/>
                <w:sz w:val="20"/>
                <w:szCs w:val="20"/>
              </w:rPr>
              <w:t xml:space="preserve">If a student starts in the summer of 2009 (prior to July OR after July 1), and summer is not a “full term,” and the student continues enrollment beyond the summer, the institution should wait until the next “full” term (e.g. Fall) to determine if the student is full-time or part-time, and the student should be included in the 2009-10 cohort. </w:t>
            </w:r>
          </w:p>
          <w:p w:rsidR="00DC52F5" w:rsidRPr="00CE3C18" w:rsidRDefault="00DC52F5" w:rsidP="00777A41">
            <w:pPr>
              <w:pStyle w:val="ListParagraph"/>
              <w:numPr>
                <w:ilvl w:val="0"/>
                <w:numId w:val="22"/>
              </w:numPr>
              <w:rPr>
                <w:color w:val="1F497D" w:themeColor="text2"/>
                <w:sz w:val="20"/>
                <w:szCs w:val="20"/>
              </w:rPr>
            </w:pPr>
            <w:r w:rsidRPr="00CE3C18">
              <w:rPr>
                <w:color w:val="1F497D" w:themeColor="text2"/>
                <w:sz w:val="20"/>
                <w:szCs w:val="20"/>
              </w:rPr>
              <w:t>If a student starts in the summer of 2009 (after July 1), and they do NOT enroll in any additional terms in 2009-10, they are still included in the 2009-10 cohort, at the enrollment level (FT/PT) in which they were enrolled during the summer.</w:t>
            </w:r>
          </w:p>
          <w:p w:rsidR="00DC52F5" w:rsidRPr="00CE3C18" w:rsidRDefault="00DC52F5" w:rsidP="00777A41">
            <w:pPr>
              <w:rPr>
                <w:rFonts w:asciiTheme="minorHAnsi" w:hAnsiTheme="minorHAnsi"/>
                <w:strike/>
                <w:sz w:val="20"/>
              </w:rPr>
            </w:pPr>
            <w:r w:rsidRPr="00CE3C18">
              <w:rPr>
                <w:rFonts w:asciiTheme="minorHAnsi" w:hAnsiTheme="minorHAnsi"/>
                <w:strike/>
                <w:sz w:val="20"/>
              </w:rPr>
              <w:t xml:space="preserve"> </w:t>
            </w:r>
            <w:r w:rsidRPr="00CE3C18">
              <w:rPr>
                <w:rFonts w:asciiTheme="minorHAnsi" w:hAnsiTheme="minorHAnsi"/>
                <w:strike/>
                <w:sz w:val="20"/>
              </w:rPr>
              <w:tab/>
              <w:t>For the 2017-18 collection year, these summer session students would be included in the 2009-10 OM cohort year because it is the first full term (i.e., Fall semester or quarter), which should be used to determine their inclusion.</w:t>
            </w:r>
          </w:p>
          <w:p w:rsidR="00DC52F5" w:rsidRPr="00CE3C18" w:rsidRDefault="00DC52F5" w:rsidP="00777A41">
            <w:pPr>
              <w:rPr>
                <w:rFonts w:asciiTheme="minorHAnsi" w:hAnsiTheme="minorHAnsi"/>
                <w:strike/>
                <w:sz w:val="20"/>
              </w:rPr>
            </w:pPr>
            <w:r w:rsidRPr="00CE3C18">
              <w:rPr>
                <w:rFonts w:asciiTheme="minorHAnsi" w:hAnsiTheme="minorHAnsi"/>
                <w:strike/>
                <w:sz w:val="20"/>
              </w:rPr>
              <w:t>Back to top</w:t>
            </w:r>
          </w:p>
          <w:p w:rsidR="00DC52F5" w:rsidRPr="00CE3C18" w:rsidRDefault="00DC52F5" w:rsidP="00777A41">
            <w:pPr>
              <w:rPr>
                <w:rFonts w:asciiTheme="minorHAnsi" w:hAnsiTheme="minorHAnsi"/>
                <w:strike/>
                <w:sz w:val="20"/>
              </w:rPr>
            </w:pPr>
            <w:r w:rsidRPr="00CE3C18">
              <w:rPr>
                <w:rFonts w:asciiTheme="minorHAnsi" w:hAnsiTheme="minorHAnsi"/>
                <w:strike/>
                <w:sz w:val="20"/>
              </w:rPr>
              <w:t>FAQ #11)</w:t>
            </w:r>
            <w:r w:rsidRPr="00CE3C18">
              <w:rPr>
                <w:rFonts w:asciiTheme="minorHAnsi" w:hAnsiTheme="minorHAnsi"/>
                <w:strike/>
                <w:sz w:val="20"/>
              </w:rPr>
              <w:tab/>
              <w:t>If the entering students were part-time students during a summer session, how should these students be included in OM?</w:t>
            </w:r>
          </w:p>
          <w:p w:rsidR="00DC52F5" w:rsidRPr="00CE3C18" w:rsidRDefault="00DC52F5" w:rsidP="00777A41">
            <w:pPr>
              <w:rPr>
                <w:rFonts w:asciiTheme="minorHAnsi" w:hAnsiTheme="minorHAnsi"/>
                <w:strike/>
                <w:sz w:val="20"/>
              </w:rPr>
            </w:pPr>
            <w:r w:rsidRPr="00CE3C18">
              <w:rPr>
                <w:rFonts w:asciiTheme="minorHAnsi" w:hAnsiTheme="minorHAnsi"/>
                <w:strike/>
                <w:sz w:val="20"/>
              </w:rPr>
              <w:t xml:space="preserve"> </w:t>
            </w:r>
            <w:r w:rsidRPr="00CE3C18">
              <w:rPr>
                <w:rFonts w:asciiTheme="minorHAnsi" w:hAnsiTheme="minorHAnsi"/>
                <w:strike/>
                <w:sz w:val="20"/>
              </w:rPr>
              <w:tab/>
              <w:t>To determine the attendance level (i.e., full-time or part-time) for these students, identify the next immediate full term (i.e., Fall semester or quarter) that these students enrolled in during the July 1 to June 30 period. For example, if a part-time summer-session student enrolled in the immediate fall as a full-time student, that student would enter in one of the full-time student OM cohorts (i.e., first-time or non-first-time). If a student skipped the Fall term, but enrolled as full-time in the following winter quarter or spring terms as full-time, that student would also enter in OM as full-time.</w:t>
            </w:r>
          </w:p>
          <w:p w:rsidR="00DC52F5" w:rsidRPr="00CE3C18" w:rsidRDefault="00DC52F5" w:rsidP="00777A41">
            <w:pPr>
              <w:rPr>
                <w:rFonts w:asciiTheme="minorHAnsi" w:hAnsiTheme="minorHAnsi"/>
                <w:strike/>
                <w:sz w:val="20"/>
              </w:rPr>
            </w:pPr>
            <w:r w:rsidRPr="00CE3C18">
              <w:rPr>
                <w:rFonts w:asciiTheme="minorHAnsi" w:hAnsiTheme="minorHAnsi"/>
                <w:strike/>
                <w:sz w:val="20"/>
              </w:rPr>
              <w:t>Do not change a student’s OM cohort designation should the student’s attendance level change after the immediate full term during the OM coverage period.</w:t>
            </w:r>
          </w:p>
          <w:p w:rsidR="00DC52F5" w:rsidRPr="00DC52F5" w:rsidRDefault="00DC52F5" w:rsidP="00777A41">
            <w:pPr>
              <w:rPr>
                <w:rFonts w:asciiTheme="minorHAnsi" w:hAnsiTheme="minorHAnsi"/>
                <w:strike/>
                <w:sz w:val="10"/>
                <w:szCs w:val="10"/>
              </w:rPr>
            </w:pPr>
          </w:p>
          <w:p w:rsidR="00DC52F5" w:rsidRPr="00CE3C18" w:rsidRDefault="00DC52F5" w:rsidP="00777A41">
            <w:pPr>
              <w:rPr>
                <w:strike/>
                <w:sz w:val="20"/>
              </w:rPr>
            </w:pPr>
            <w:r w:rsidRPr="00CE3C18">
              <w:rPr>
                <w:rFonts w:asciiTheme="minorHAnsi" w:hAnsiTheme="minorHAnsi"/>
                <w:strike/>
                <w:sz w:val="20"/>
              </w:rPr>
              <w:t>If a student does not enroll in any full terms during the OM coverage period, the student is still counted in the 2009-10 OM cohort year and should be entered in one of the part-time OM cohorts (i.e., first-time or non-first-time).</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Combining/rewording.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Outcome Measures</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Add to instructions of each status point screen (4-year, 6-year, and 8-year): </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sz w:val="20"/>
              </w:rPr>
            </w:pPr>
            <w:r w:rsidRPr="00CE3C18">
              <w:rPr>
                <w:rFonts w:asciiTheme="minorHAnsi" w:hAnsiTheme="minorHAnsi"/>
                <w:color w:val="FF0000"/>
                <w:sz w:val="20"/>
              </w:rPr>
              <w:t>Report the highest award earned for each degree/certificate-seeking student for each status point (i.e., report each student’s highest award for each status point).</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Addition. To remind institutions of requirement.</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Outcome Measures</w:t>
            </w:r>
          </w:p>
        </w:tc>
        <w:tc>
          <w:tcPr>
            <w:tcW w:w="10929" w:type="dxa"/>
            <w:shd w:val="clear" w:color="auto" w:fill="auto"/>
            <w:vAlign w:val="center"/>
          </w:tcPr>
          <w:p w:rsidR="00DC52F5" w:rsidRPr="00CE3C18" w:rsidRDefault="00DC52F5" w:rsidP="00777A41">
            <w:pPr>
              <w:rPr>
                <w:rFonts w:asciiTheme="minorHAnsi" w:hAnsiTheme="minorHAnsi"/>
                <w:sz w:val="20"/>
              </w:rPr>
            </w:pPr>
            <w:r w:rsidRPr="00CE3C18">
              <w:rPr>
                <w:rFonts w:asciiTheme="minorHAnsi" w:hAnsiTheme="minorHAnsi"/>
                <w:sz w:val="20"/>
              </w:rPr>
              <w:t>Screen label update for the last column on the 8-year status point screen:</w:t>
            </w:r>
          </w:p>
          <w:p w:rsidR="00DC52F5" w:rsidRPr="00CE3C18" w:rsidRDefault="00DC52F5" w:rsidP="00777A41">
            <w:pPr>
              <w:rPr>
                <w:rFonts w:asciiTheme="minorHAnsi" w:hAnsiTheme="minorHAnsi"/>
                <w:sz w:val="20"/>
              </w:rPr>
            </w:pPr>
            <w:r w:rsidRPr="00CE3C18">
              <w:rPr>
                <w:rFonts w:asciiTheme="minorHAnsi" w:hAnsiTheme="minorHAnsi"/>
                <w:sz w:val="20"/>
              </w:rPr>
              <w:t xml:space="preserve"> </w:t>
            </w:r>
          </w:p>
          <w:p w:rsidR="00DC52F5" w:rsidRPr="00CE3C18" w:rsidRDefault="00DC52F5" w:rsidP="00777A41">
            <w:pPr>
              <w:rPr>
                <w:rFonts w:asciiTheme="minorHAnsi" w:hAnsiTheme="minorHAnsi"/>
                <w:sz w:val="20"/>
              </w:rPr>
            </w:pPr>
            <w:r w:rsidRPr="00CE3C18">
              <w:rPr>
                <w:rFonts w:asciiTheme="minorHAnsi" w:hAnsiTheme="minorHAnsi"/>
                <w:sz w:val="20"/>
              </w:rPr>
              <w:t xml:space="preserve">Percent of adjusted cohort that did not receive an award, but are still enrolled at your institution </w:t>
            </w:r>
            <w:r w:rsidRPr="00CE3C18">
              <w:rPr>
                <w:rFonts w:asciiTheme="minorHAnsi" w:hAnsiTheme="minorHAnsi"/>
                <w:strike/>
                <w:sz w:val="20"/>
              </w:rPr>
              <w:t>and</w:t>
            </w:r>
            <w:r w:rsidRPr="00CE3C18">
              <w:rPr>
                <w:rFonts w:asciiTheme="minorHAnsi" w:hAnsiTheme="minorHAnsi"/>
                <w:sz w:val="20"/>
              </w:rPr>
              <w:t xml:space="preserve"> </w:t>
            </w:r>
            <w:r w:rsidRPr="00CE3C18">
              <w:rPr>
                <w:rFonts w:asciiTheme="minorHAnsi" w:hAnsiTheme="minorHAnsi"/>
                <w:b/>
                <w:color w:val="1F497D" w:themeColor="text2"/>
                <w:sz w:val="20"/>
              </w:rPr>
              <w:t>or</w:t>
            </w:r>
            <w:r w:rsidRPr="00CE3C18">
              <w:rPr>
                <w:rFonts w:asciiTheme="minorHAnsi" w:hAnsiTheme="minorHAnsi"/>
                <w:b/>
                <w:color w:val="FF0000"/>
                <w:sz w:val="20"/>
              </w:rPr>
              <w:t xml:space="preserve"> </w:t>
            </w:r>
            <w:r w:rsidRPr="00CE3C18">
              <w:rPr>
                <w:rFonts w:asciiTheme="minorHAnsi" w:hAnsiTheme="minorHAnsi"/>
                <w:sz w:val="20"/>
              </w:rPr>
              <w:t>enrolled at another institution after leaving your institution.</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Rewording. For clarification.</w:t>
            </w:r>
          </w:p>
        </w:tc>
      </w:tr>
      <w:tr w:rsidR="00DC52F5" w:rsidRPr="007005DF" w:rsidTr="00777A41">
        <w:trPr>
          <w:trHeight w:val="144"/>
        </w:trPr>
        <w:tc>
          <w:tcPr>
            <w:tcW w:w="1779" w:type="dxa"/>
            <w:shd w:val="clear" w:color="auto" w:fill="auto"/>
            <w:noWrap/>
            <w:vAlign w:val="center"/>
          </w:tcPr>
          <w:p w:rsidR="00DC52F5" w:rsidRPr="00CE3C18" w:rsidRDefault="00DC52F5" w:rsidP="00777A41">
            <w:pPr>
              <w:ind w:left="-90" w:right="-107"/>
              <w:rPr>
                <w:rFonts w:asciiTheme="minorHAnsi" w:hAnsiTheme="minorHAnsi"/>
                <w:color w:val="000000"/>
                <w:sz w:val="20"/>
              </w:rPr>
            </w:pPr>
            <w:r w:rsidRPr="00CE3C18">
              <w:rPr>
                <w:rFonts w:asciiTheme="minorHAnsi" w:hAnsiTheme="minorHAnsi"/>
                <w:color w:val="000000"/>
                <w:sz w:val="20"/>
              </w:rPr>
              <w:t>Outcome Measures</w:t>
            </w:r>
          </w:p>
        </w:tc>
        <w:tc>
          <w:tcPr>
            <w:tcW w:w="10929" w:type="dxa"/>
            <w:shd w:val="clear" w:color="auto" w:fill="auto"/>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Delete the phrase “</w:t>
            </w:r>
            <w:r w:rsidRPr="00CE3C18">
              <w:rPr>
                <w:rFonts w:asciiTheme="minorHAnsi" w:hAnsiTheme="minorHAnsi"/>
                <w:sz w:val="20"/>
              </w:rPr>
              <w:t>Awards are mutually exclusive within each OM status points.”</w:t>
            </w:r>
            <w:r w:rsidRPr="00CE3C18">
              <w:rPr>
                <w:rFonts w:asciiTheme="minorHAnsi" w:hAnsiTheme="minorHAnsi"/>
                <w:color w:val="000000"/>
                <w:sz w:val="20"/>
              </w:rPr>
              <w:t xml:space="preserve"> which appear three times in section II., III., and IV. of instructions because “mutually exclusive” as a phrase is confusing.</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II. Award Status at Four Years</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For each subcohort of degree/certificate-seeking undergraduate students, report the number of students that received an award by four years after entering your institution. </w:t>
            </w:r>
            <w:r w:rsidRPr="00CE3C18">
              <w:rPr>
                <w:rFonts w:asciiTheme="minorHAnsi" w:hAnsiTheme="minorHAnsi"/>
                <w:strike/>
                <w:color w:val="000000"/>
                <w:sz w:val="20"/>
              </w:rPr>
              <w:t>Awards are mutually exclusive within each OM status points.</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III. Award Status at Six Years</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 xml:space="preserve">For each subcohort of degree/certificate-seeking undergraduate students, report the number of students that received an award by six years after entering your institution. </w:t>
            </w:r>
            <w:r w:rsidRPr="00CE3C18">
              <w:rPr>
                <w:rFonts w:asciiTheme="minorHAnsi" w:hAnsiTheme="minorHAnsi"/>
                <w:strike/>
                <w:color w:val="000000"/>
                <w:sz w:val="20"/>
              </w:rPr>
              <w:t>Awards are mutually exclusive within each OM status points.</w:t>
            </w:r>
          </w:p>
          <w:p w:rsidR="00DC52F5" w:rsidRPr="00DC52F5" w:rsidRDefault="00DC52F5" w:rsidP="00777A41">
            <w:pPr>
              <w:rPr>
                <w:rFonts w:asciiTheme="minorHAnsi" w:hAnsiTheme="minorHAnsi"/>
                <w:color w:val="000000"/>
                <w:sz w:val="10"/>
                <w:szCs w:val="10"/>
              </w:rPr>
            </w:pP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IV. Award and Enrollment Status at Eight Years</w:t>
            </w:r>
          </w:p>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A. Award Status at Eight Years After Entry</w:t>
            </w:r>
          </w:p>
          <w:p w:rsidR="00DC52F5" w:rsidRPr="00CE3C18" w:rsidRDefault="00DC52F5" w:rsidP="00777A41">
            <w:pPr>
              <w:rPr>
                <w:rFonts w:asciiTheme="minorHAnsi" w:hAnsiTheme="minorHAnsi"/>
                <w:sz w:val="20"/>
              </w:rPr>
            </w:pPr>
            <w:r w:rsidRPr="00CE3C18">
              <w:rPr>
                <w:rFonts w:asciiTheme="minorHAnsi" w:hAnsiTheme="minorHAnsi"/>
                <w:color w:val="000000"/>
                <w:sz w:val="20"/>
              </w:rPr>
              <w:t xml:space="preserve">For each subcohort of degree/certificate-seeking undergraduate students, report the number of students that received an award by eight years after entering your institution. </w:t>
            </w:r>
            <w:r w:rsidRPr="00CE3C18">
              <w:rPr>
                <w:rFonts w:asciiTheme="minorHAnsi" w:hAnsiTheme="minorHAnsi"/>
                <w:strike/>
                <w:color w:val="000000"/>
                <w:sz w:val="20"/>
              </w:rPr>
              <w:t>Awards are mutually exclusive within each OM status points.</w:t>
            </w:r>
          </w:p>
        </w:tc>
        <w:tc>
          <w:tcPr>
            <w:tcW w:w="1908" w:type="dxa"/>
            <w:shd w:val="clear" w:color="auto" w:fill="auto"/>
            <w:noWrap/>
            <w:vAlign w:val="center"/>
          </w:tcPr>
          <w:p w:rsidR="00DC52F5" w:rsidRPr="00CE3C18" w:rsidRDefault="00DC52F5" w:rsidP="00777A41">
            <w:pPr>
              <w:rPr>
                <w:rFonts w:asciiTheme="minorHAnsi" w:hAnsiTheme="minorHAnsi"/>
                <w:color w:val="000000"/>
                <w:sz w:val="20"/>
              </w:rPr>
            </w:pPr>
            <w:r w:rsidRPr="00CE3C18">
              <w:rPr>
                <w:rFonts w:asciiTheme="minorHAnsi" w:hAnsiTheme="minorHAnsi"/>
                <w:color w:val="000000"/>
                <w:sz w:val="20"/>
              </w:rPr>
              <w:t>Deletion. To reduce confusion.</w:t>
            </w:r>
          </w:p>
        </w:tc>
      </w:tr>
      <w:tr w:rsidR="005245B0" w:rsidRPr="007005DF" w:rsidTr="00CE3C18">
        <w:trPr>
          <w:trHeight w:val="144"/>
        </w:trPr>
        <w:tc>
          <w:tcPr>
            <w:tcW w:w="1779" w:type="dxa"/>
            <w:shd w:val="clear" w:color="auto" w:fill="auto"/>
            <w:noWrap/>
            <w:vAlign w:val="center"/>
          </w:tcPr>
          <w:p w:rsidR="005245B0" w:rsidRPr="00CE3C18" w:rsidRDefault="005245B0" w:rsidP="006C3066">
            <w:pPr>
              <w:ind w:left="-90" w:right="-107"/>
              <w:rPr>
                <w:rFonts w:ascii="Calibri" w:hAnsi="Calibri"/>
                <w:color w:val="000000"/>
                <w:sz w:val="20"/>
              </w:rPr>
            </w:pPr>
            <w:r w:rsidRPr="00CE3C18">
              <w:rPr>
                <w:rFonts w:ascii="Calibri" w:hAnsi="Calibri"/>
                <w:color w:val="000000"/>
                <w:sz w:val="20"/>
              </w:rPr>
              <w:t>Student Financial Aid</w:t>
            </w:r>
          </w:p>
        </w:tc>
        <w:tc>
          <w:tcPr>
            <w:tcW w:w="10929" w:type="dxa"/>
            <w:shd w:val="clear" w:color="auto" w:fill="auto"/>
            <w:vAlign w:val="center"/>
          </w:tcPr>
          <w:p w:rsidR="005245B0" w:rsidRPr="00CE3C18" w:rsidRDefault="005245B0" w:rsidP="005245B0">
            <w:pPr>
              <w:rPr>
                <w:rFonts w:ascii="Calibri" w:hAnsi="Calibri"/>
                <w:bCs/>
                <w:sz w:val="20"/>
              </w:rPr>
            </w:pPr>
            <w:r w:rsidRPr="00CE3C18">
              <w:rPr>
                <w:rFonts w:ascii="Calibri" w:hAnsi="Calibri"/>
                <w:bCs/>
                <w:sz w:val="20"/>
              </w:rPr>
              <w:t xml:space="preserve">Add to the “What NOT to Include” section. </w:t>
            </w:r>
          </w:p>
          <w:p w:rsidR="007367DD" w:rsidRPr="00CE3C18" w:rsidRDefault="007367DD" w:rsidP="007367DD">
            <w:pPr>
              <w:rPr>
                <w:rFonts w:ascii="Calibri" w:hAnsi="Calibri"/>
                <w:bCs/>
                <w:sz w:val="20"/>
              </w:rPr>
            </w:pPr>
            <w:r w:rsidRPr="00CE3C18">
              <w:rPr>
                <w:rFonts w:ascii="Calibri" w:hAnsi="Calibri"/>
                <w:bCs/>
                <w:sz w:val="20"/>
              </w:rPr>
              <w:t>Do not report student counts or aid amounts for the following:</w:t>
            </w:r>
          </w:p>
          <w:p w:rsidR="007367DD" w:rsidRPr="00DC52F5" w:rsidRDefault="007367DD" w:rsidP="007367DD">
            <w:pPr>
              <w:rPr>
                <w:rFonts w:ascii="Calibri" w:hAnsi="Calibri"/>
                <w:bCs/>
                <w:sz w:val="10"/>
                <w:szCs w:val="10"/>
              </w:rPr>
            </w:pPr>
          </w:p>
          <w:p w:rsidR="007367DD" w:rsidRPr="00CE3C18" w:rsidRDefault="007367DD" w:rsidP="007367DD">
            <w:pPr>
              <w:pStyle w:val="ListParagraph"/>
              <w:numPr>
                <w:ilvl w:val="0"/>
                <w:numId w:val="19"/>
              </w:numPr>
              <w:rPr>
                <w:rFonts w:ascii="Calibri" w:hAnsi="Calibri"/>
                <w:bCs/>
                <w:sz w:val="20"/>
                <w:szCs w:val="20"/>
              </w:rPr>
            </w:pPr>
            <w:r w:rsidRPr="00CE3C18">
              <w:rPr>
                <w:rFonts w:ascii="Calibri" w:hAnsi="Calibri"/>
                <w:bCs/>
                <w:sz w:val="20"/>
                <w:szCs w:val="20"/>
              </w:rPr>
              <w:t>Students who were only graduate students at the institution during the reporting period</w:t>
            </w:r>
          </w:p>
          <w:p w:rsidR="007367DD" w:rsidRPr="00CE3C18" w:rsidRDefault="007367DD" w:rsidP="007367DD">
            <w:pPr>
              <w:pStyle w:val="ListParagraph"/>
              <w:numPr>
                <w:ilvl w:val="0"/>
                <w:numId w:val="19"/>
              </w:numPr>
              <w:rPr>
                <w:rFonts w:ascii="Calibri" w:hAnsi="Calibri"/>
                <w:bCs/>
                <w:sz w:val="20"/>
                <w:szCs w:val="20"/>
              </w:rPr>
            </w:pPr>
            <w:r w:rsidRPr="00CE3C18">
              <w:rPr>
                <w:rFonts w:ascii="Calibri" w:hAnsi="Calibri"/>
                <w:bCs/>
                <w:sz w:val="20"/>
                <w:szCs w:val="20"/>
              </w:rPr>
              <w:t>Students who were enrolled exclusively in courses not creditable toward a certificate/degree</w:t>
            </w:r>
          </w:p>
          <w:p w:rsidR="007367DD" w:rsidRPr="00CE3C18" w:rsidRDefault="007367DD" w:rsidP="007367DD">
            <w:pPr>
              <w:pStyle w:val="ListParagraph"/>
              <w:numPr>
                <w:ilvl w:val="0"/>
                <w:numId w:val="19"/>
              </w:numPr>
              <w:rPr>
                <w:rFonts w:ascii="Calibri" w:hAnsi="Calibri"/>
                <w:bCs/>
                <w:sz w:val="20"/>
                <w:szCs w:val="20"/>
              </w:rPr>
            </w:pPr>
            <w:r w:rsidRPr="00CE3C18">
              <w:rPr>
                <w:rFonts w:ascii="Calibri" w:hAnsi="Calibri"/>
                <w:bCs/>
                <w:sz w:val="20"/>
                <w:szCs w:val="20"/>
              </w:rPr>
              <w:t>Students who were enrolled exclusively in Continuing Education Units (CEUs)</w:t>
            </w:r>
          </w:p>
          <w:p w:rsidR="007367DD" w:rsidRPr="00CE3C18" w:rsidRDefault="007367DD" w:rsidP="007367DD">
            <w:pPr>
              <w:pStyle w:val="ListParagraph"/>
              <w:numPr>
                <w:ilvl w:val="0"/>
                <w:numId w:val="19"/>
              </w:numPr>
              <w:rPr>
                <w:rFonts w:ascii="Calibri" w:hAnsi="Calibri"/>
                <w:bCs/>
                <w:sz w:val="20"/>
                <w:szCs w:val="20"/>
              </w:rPr>
            </w:pPr>
            <w:r w:rsidRPr="00CE3C18">
              <w:rPr>
                <w:rFonts w:ascii="Calibri" w:hAnsi="Calibri"/>
                <w:bCs/>
                <w:sz w:val="20"/>
                <w:szCs w:val="20"/>
              </w:rPr>
              <w:t>Students who were exclusively auditing classes</w:t>
            </w:r>
          </w:p>
          <w:p w:rsidR="007367DD" w:rsidRPr="00CE3C18" w:rsidRDefault="007367DD" w:rsidP="007367DD">
            <w:pPr>
              <w:rPr>
                <w:rFonts w:ascii="Calibri" w:hAnsi="Calibri"/>
                <w:bCs/>
                <w:sz w:val="20"/>
              </w:rPr>
            </w:pPr>
            <w:r w:rsidRPr="00CE3C18">
              <w:rPr>
                <w:rFonts w:ascii="Calibri" w:hAnsi="Calibri"/>
                <w:bCs/>
                <w:sz w:val="20"/>
              </w:rPr>
              <w:t>Do not report Federal Work Study amounts into any total aid amounts.</w:t>
            </w:r>
          </w:p>
          <w:p w:rsidR="007367DD" w:rsidRPr="00CE3C18" w:rsidRDefault="007367DD" w:rsidP="007367DD">
            <w:pPr>
              <w:rPr>
                <w:rFonts w:ascii="Calibri" w:hAnsi="Calibri"/>
                <w:bCs/>
                <w:sz w:val="20"/>
              </w:rPr>
            </w:pPr>
            <w:r w:rsidRPr="00CE3C18">
              <w:rPr>
                <w:rFonts w:ascii="Calibri" w:hAnsi="Calibri"/>
                <w:bCs/>
                <w:sz w:val="20"/>
              </w:rPr>
              <w:t>Do not report loans that are made to someone other than the student.</w:t>
            </w:r>
          </w:p>
          <w:p w:rsidR="007367DD" w:rsidRPr="00CE3C18" w:rsidRDefault="007367DD" w:rsidP="007367DD">
            <w:pPr>
              <w:rPr>
                <w:rFonts w:ascii="Calibri" w:hAnsi="Calibri"/>
                <w:bCs/>
                <w:sz w:val="20"/>
              </w:rPr>
            </w:pPr>
            <w:r w:rsidRPr="00CE3C18">
              <w:rPr>
                <w:rFonts w:ascii="Calibri" w:hAnsi="Calibri"/>
                <w:bCs/>
                <w:sz w:val="20"/>
              </w:rPr>
              <w:t>Do not report military/veterans aid in Section 1. Such aid is ONLY reported in Section 2.</w:t>
            </w:r>
          </w:p>
          <w:p w:rsidR="005245B0" w:rsidRPr="00CE3C18" w:rsidRDefault="005245B0" w:rsidP="005245B0">
            <w:pPr>
              <w:rPr>
                <w:rFonts w:ascii="Calibri" w:hAnsi="Calibri"/>
                <w:bCs/>
                <w:sz w:val="20"/>
              </w:rPr>
            </w:pPr>
            <w:r w:rsidRPr="00CE3C18">
              <w:rPr>
                <w:rFonts w:ascii="Calibri" w:hAnsi="Calibri"/>
                <w:bCs/>
                <w:color w:val="FF0000"/>
                <w:sz w:val="20"/>
              </w:rPr>
              <w:t xml:space="preserve">Do not include ROTC aid, which are also excluded from EFA calculations, in any total aid amounts.   </w:t>
            </w:r>
          </w:p>
        </w:tc>
        <w:tc>
          <w:tcPr>
            <w:tcW w:w="1908" w:type="dxa"/>
            <w:shd w:val="clear" w:color="auto" w:fill="auto"/>
            <w:noWrap/>
            <w:vAlign w:val="center"/>
          </w:tcPr>
          <w:p w:rsidR="005245B0" w:rsidRPr="00CE3C18" w:rsidRDefault="007367DD" w:rsidP="008D7EE3">
            <w:pPr>
              <w:rPr>
                <w:rFonts w:asciiTheme="minorHAnsi" w:hAnsiTheme="minorHAnsi"/>
                <w:bCs/>
                <w:sz w:val="20"/>
              </w:rPr>
            </w:pPr>
            <w:r w:rsidRPr="00CE3C18">
              <w:rPr>
                <w:rFonts w:asciiTheme="minorHAnsi" w:hAnsiTheme="minorHAnsi"/>
                <w:bCs/>
                <w:sz w:val="20"/>
              </w:rPr>
              <w:t>Addition. For clarification.</w:t>
            </w:r>
          </w:p>
        </w:tc>
      </w:tr>
      <w:tr w:rsidR="007367DD" w:rsidRPr="007005DF" w:rsidTr="00CE3C18">
        <w:trPr>
          <w:trHeight w:val="144"/>
        </w:trPr>
        <w:tc>
          <w:tcPr>
            <w:tcW w:w="1779" w:type="dxa"/>
            <w:shd w:val="clear" w:color="auto" w:fill="auto"/>
            <w:noWrap/>
            <w:vAlign w:val="center"/>
          </w:tcPr>
          <w:p w:rsidR="007367DD" w:rsidRPr="00CE3C18" w:rsidRDefault="007367DD" w:rsidP="006C3066">
            <w:pPr>
              <w:ind w:left="-90" w:right="-107"/>
              <w:rPr>
                <w:rFonts w:ascii="Calibri" w:hAnsi="Calibri"/>
                <w:color w:val="000000"/>
                <w:sz w:val="20"/>
              </w:rPr>
            </w:pPr>
            <w:r w:rsidRPr="00CE3C18">
              <w:rPr>
                <w:rFonts w:asciiTheme="minorHAnsi" w:hAnsiTheme="minorHAnsi"/>
                <w:color w:val="000000"/>
                <w:sz w:val="20"/>
              </w:rPr>
              <w:t>Student Financial Aid</w:t>
            </w:r>
          </w:p>
        </w:tc>
        <w:tc>
          <w:tcPr>
            <w:tcW w:w="10929" w:type="dxa"/>
            <w:shd w:val="clear" w:color="auto" w:fill="auto"/>
            <w:vAlign w:val="center"/>
          </w:tcPr>
          <w:p w:rsidR="007367DD" w:rsidRPr="00CE3C18" w:rsidRDefault="007367DD" w:rsidP="007367DD">
            <w:pPr>
              <w:rPr>
                <w:rFonts w:asciiTheme="minorHAnsi" w:hAnsiTheme="minorHAnsi"/>
                <w:color w:val="FF0000"/>
                <w:sz w:val="20"/>
              </w:rPr>
            </w:pPr>
            <w:r w:rsidRPr="00CE3C18">
              <w:rPr>
                <w:rFonts w:asciiTheme="minorHAnsi" w:hAnsiTheme="minorHAnsi"/>
                <w:color w:val="000000"/>
                <w:sz w:val="20"/>
              </w:rPr>
              <w:t xml:space="preserve">New FAQ: </w:t>
            </w:r>
            <w:r w:rsidRPr="00CE3C18">
              <w:rPr>
                <w:rFonts w:asciiTheme="minorHAnsi" w:hAnsiTheme="minorHAnsi"/>
                <w:color w:val="FF0000"/>
                <w:sz w:val="20"/>
              </w:rPr>
              <w:t xml:space="preserve">The institution awards grants funded by an affiliated foundation. How should these grants be reported? </w:t>
            </w:r>
          </w:p>
          <w:p w:rsidR="007367DD" w:rsidRPr="00CE3C18" w:rsidRDefault="007367DD" w:rsidP="007367DD">
            <w:pPr>
              <w:rPr>
                <w:rFonts w:ascii="Calibri" w:hAnsi="Calibri"/>
                <w:bCs/>
                <w:sz w:val="20"/>
              </w:rPr>
            </w:pPr>
            <w:r w:rsidRPr="00CE3C18">
              <w:rPr>
                <w:rFonts w:asciiTheme="minorHAnsi" w:hAnsiTheme="minorHAnsi"/>
                <w:color w:val="FF0000"/>
                <w:sz w:val="20"/>
              </w:rPr>
              <w:t>If the foundation’s mission is to benefit the institution, then:  (1) those portions of the foundation-funded grants where the institution designates the recipient should be reported as institutional grants; and (2) those portions of the foundation-funded grants where the foundation designates the recipient should be reported as private grants. All grants funded by foundations with missions other than to benefit the institution should be reported as private grants.</w:t>
            </w:r>
          </w:p>
        </w:tc>
        <w:tc>
          <w:tcPr>
            <w:tcW w:w="1908" w:type="dxa"/>
            <w:shd w:val="clear" w:color="auto" w:fill="auto"/>
            <w:noWrap/>
            <w:vAlign w:val="center"/>
          </w:tcPr>
          <w:p w:rsidR="007367DD" w:rsidRPr="00CE3C18" w:rsidRDefault="007367DD" w:rsidP="008D7EE3">
            <w:pPr>
              <w:rPr>
                <w:rFonts w:asciiTheme="minorHAnsi" w:hAnsiTheme="minorHAnsi"/>
                <w:bCs/>
                <w:sz w:val="20"/>
              </w:rPr>
            </w:pPr>
            <w:r w:rsidRPr="00CE3C18">
              <w:rPr>
                <w:rFonts w:asciiTheme="minorHAnsi" w:hAnsiTheme="minorHAnsi"/>
                <w:bCs/>
                <w:sz w:val="20"/>
              </w:rPr>
              <w:t>Addition. For clarification.</w:t>
            </w:r>
          </w:p>
        </w:tc>
      </w:tr>
      <w:tr w:rsidR="007367DD" w:rsidRPr="007005DF" w:rsidTr="00CE3C18">
        <w:trPr>
          <w:trHeight w:val="144"/>
        </w:trPr>
        <w:tc>
          <w:tcPr>
            <w:tcW w:w="1779" w:type="dxa"/>
            <w:shd w:val="clear" w:color="auto" w:fill="auto"/>
            <w:noWrap/>
            <w:vAlign w:val="center"/>
          </w:tcPr>
          <w:p w:rsidR="007367DD" w:rsidRPr="00CE3C18" w:rsidRDefault="007367DD" w:rsidP="006C3066">
            <w:pPr>
              <w:ind w:left="-90" w:right="-107"/>
              <w:rPr>
                <w:rFonts w:asciiTheme="minorHAnsi" w:hAnsiTheme="minorHAnsi"/>
                <w:color w:val="000000"/>
                <w:sz w:val="20"/>
              </w:rPr>
            </w:pPr>
            <w:r w:rsidRPr="00CE3C18">
              <w:rPr>
                <w:rFonts w:asciiTheme="minorHAnsi" w:hAnsiTheme="minorHAnsi"/>
                <w:color w:val="000000"/>
                <w:sz w:val="20"/>
              </w:rPr>
              <w:t>Student Financial Aid</w:t>
            </w:r>
          </w:p>
        </w:tc>
        <w:tc>
          <w:tcPr>
            <w:tcW w:w="10929" w:type="dxa"/>
            <w:shd w:val="clear" w:color="auto" w:fill="auto"/>
            <w:vAlign w:val="center"/>
          </w:tcPr>
          <w:p w:rsidR="007367DD" w:rsidRPr="00CE3C18" w:rsidRDefault="007367DD" w:rsidP="007367DD">
            <w:pPr>
              <w:rPr>
                <w:rFonts w:asciiTheme="minorHAnsi" w:hAnsiTheme="minorHAnsi"/>
                <w:color w:val="000000"/>
                <w:sz w:val="20"/>
              </w:rPr>
            </w:pPr>
            <w:r w:rsidRPr="00CE3C18">
              <w:rPr>
                <w:rFonts w:asciiTheme="minorHAnsi" w:hAnsiTheme="minorHAnsi"/>
                <w:color w:val="000000"/>
                <w:sz w:val="20"/>
              </w:rPr>
              <w:t xml:space="preserve">Revised veteran screen column texts. </w:t>
            </w:r>
          </w:p>
          <w:p w:rsidR="007367DD" w:rsidRPr="00CE3C18" w:rsidRDefault="007367DD" w:rsidP="007367DD">
            <w:pPr>
              <w:rPr>
                <w:rFonts w:asciiTheme="minorHAnsi" w:hAnsiTheme="minorHAnsi"/>
                <w:color w:val="000000"/>
                <w:sz w:val="20"/>
              </w:rPr>
            </w:pPr>
            <w:r w:rsidRPr="00CE3C18">
              <w:rPr>
                <w:rFonts w:asciiTheme="minorHAnsi" w:hAnsiTheme="minorHAnsi"/>
                <w:color w:val="000000"/>
                <w:sz w:val="20"/>
              </w:rPr>
              <w:t xml:space="preserve">Column 4: Total dollar amount of benefits/assistance </w:t>
            </w:r>
            <w:r w:rsidRPr="00CE3C18">
              <w:rPr>
                <w:rFonts w:asciiTheme="minorHAnsi" w:hAnsiTheme="minorHAnsi"/>
                <w:strike/>
                <w:color w:val="000000"/>
                <w:sz w:val="20"/>
              </w:rPr>
              <w:t>awarded</w:t>
            </w:r>
            <w:r w:rsidRPr="00CE3C18">
              <w:rPr>
                <w:rFonts w:asciiTheme="minorHAnsi" w:hAnsiTheme="minorHAnsi"/>
                <w:color w:val="000000"/>
                <w:sz w:val="20"/>
              </w:rPr>
              <w:t xml:space="preserve"> </w:t>
            </w:r>
            <w:r w:rsidRPr="00CE3C18">
              <w:rPr>
                <w:rFonts w:asciiTheme="minorHAnsi" w:hAnsiTheme="minorHAnsi"/>
                <w:color w:val="1F497D" w:themeColor="text2"/>
                <w:sz w:val="20"/>
              </w:rPr>
              <w:t>disbursed</w:t>
            </w:r>
            <w:r w:rsidRPr="00CE3C18">
              <w:rPr>
                <w:rFonts w:asciiTheme="minorHAnsi" w:hAnsiTheme="minorHAnsi"/>
                <w:color w:val="000000"/>
                <w:sz w:val="20"/>
              </w:rPr>
              <w:t xml:space="preserve"> through the institution. </w:t>
            </w:r>
          </w:p>
          <w:p w:rsidR="007367DD" w:rsidRPr="00CE3C18" w:rsidRDefault="007367DD" w:rsidP="007367DD">
            <w:pPr>
              <w:rPr>
                <w:rFonts w:asciiTheme="minorHAnsi" w:hAnsiTheme="minorHAnsi"/>
                <w:color w:val="000000"/>
                <w:sz w:val="20"/>
              </w:rPr>
            </w:pPr>
            <w:r w:rsidRPr="00CE3C18">
              <w:rPr>
                <w:rFonts w:asciiTheme="minorHAnsi" w:hAnsiTheme="minorHAnsi"/>
                <w:color w:val="000000"/>
                <w:sz w:val="20"/>
              </w:rPr>
              <w:t xml:space="preserve">Column 5: Average dollar amount of benefits/assistance </w:t>
            </w:r>
            <w:r w:rsidRPr="00CE3C18">
              <w:rPr>
                <w:rFonts w:asciiTheme="minorHAnsi" w:hAnsiTheme="minorHAnsi"/>
                <w:strike/>
                <w:color w:val="000000"/>
                <w:sz w:val="20"/>
              </w:rPr>
              <w:t>awarded</w:t>
            </w:r>
            <w:r w:rsidRPr="00CE3C18">
              <w:rPr>
                <w:rFonts w:asciiTheme="minorHAnsi" w:hAnsiTheme="minorHAnsi"/>
                <w:color w:val="000000"/>
                <w:sz w:val="20"/>
              </w:rPr>
              <w:t xml:space="preserve"> </w:t>
            </w:r>
            <w:r w:rsidRPr="00CE3C18">
              <w:rPr>
                <w:rFonts w:asciiTheme="minorHAnsi" w:hAnsiTheme="minorHAnsi"/>
                <w:color w:val="1F497D" w:themeColor="text2"/>
                <w:sz w:val="20"/>
              </w:rPr>
              <w:t>disbursed</w:t>
            </w:r>
            <w:r w:rsidRPr="00CE3C18">
              <w:rPr>
                <w:rFonts w:asciiTheme="minorHAnsi" w:hAnsiTheme="minorHAnsi"/>
                <w:color w:val="000000"/>
                <w:sz w:val="20"/>
              </w:rPr>
              <w:t xml:space="preserve"> through the institution</w:t>
            </w:r>
          </w:p>
        </w:tc>
        <w:tc>
          <w:tcPr>
            <w:tcW w:w="1908" w:type="dxa"/>
            <w:shd w:val="clear" w:color="auto" w:fill="auto"/>
            <w:noWrap/>
            <w:vAlign w:val="center"/>
          </w:tcPr>
          <w:p w:rsidR="007367DD" w:rsidRPr="00CE3C18" w:rsidRDefault="007367DD" w:rsidP="008D7EE3">
            <w:pPr>
              <w:rPr>
                <w:rFonts w:asciiTheme="minorHAnsi" w:hAnsiTheme="minorHAnsi"/>
                <w:bCs/>
                <w:sz w:val="20"/>
              </w:rPr>
            </w:pPr>
            <w:r w:rsidRPr="00CE3C18">
              <w:rPr>
                <w:rFonts w:asciiTheme="minorHAnsi" w:hAnsiTheme="minorHAnsi"/>
                <w:color w:val="000000"/>
                <w:sz w:val="20"/>
              </w:rPr>
              <w:t>Rewording. Old wording was incorrect.</w:t>
            </w:r>
          </w:p>
        </w:tc>
      </w:tr>
    </w:tbl>
    <w:p w:rsidR="001024EA" w:rsidRDefault="001024E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p w:rsidR="0061143A" w:rsidRPr="00136D4B" w:rsidRDefault="0061143A" w:rsidP="0061143A">
      <w:pPr>
        <w:spacing w:after="120"/>
        <w:rPr>
          <w:rFonts w:asciiTheme="minorHAnsi" w:hAnsiTheme="minorHAnsi"/>
          <w:b/>
          <w:snapToGrid w:val="0"/>
          <w:sz w:val="22"/>
          <w:szCs w:val="22"/>
        </w:rPr>
      </w:pPr>
      <w:r w:rsidRPr="00571885">
        <w:rPr>
          <w:rFonts w:asciiTheme="minorHAnsi" w:hAnsiTheme="minorHAnsi"/>
          <w:b/>
          <w:snapToGrid w:val="0"/>
          <w:sz w:val="22"/>
          <w:szCs w:val="22"/>
        </w:rPr>
        <w:t xml:space="preserve">Table </w:t>
      </w:r>
      <w:r>
        <w:rPr>
          <w:rFonts w:asciiTheme="minorHAnsi" w:hAnsiTheme="minorHAnsi"/>
          <w:b/>
          <w:snapToGrid w:val="0"/>
          <w:sz w:val="22"/>
          <w:szCs w:val="22"/>
        </w:rPr>
        <w:t>2</w:t>
      </w:r>
      <w:r w:rsidRPr="00571885">
        <w:rPr>
          <w:rFonts w:asciiTheme="minorHAnsi" w:hAnsiTheme="minorHAnsi"/>
          <w:b/>
          <w:snapToGrid w:val="0"/>
          <w:sz w:val="22"/>
          <w:szCs w:val="22"/>
        </w:rPr>
        <w:t xml:space="preserve">. Detailed changes to </w:t>
      </w:r>
      <w:r w:rsidRPr="0061143A">
        <w:rPr>
          <w:rFonts w:asciiTheme="minorHAnsi" w:hAnsiTheme="minorHAnsi"/>
          <w:b/>
          <w:snapToGrid w:val="0"/>
          <w:sz w:val="22"/>
          <w:szCs w:val="22"/>
        </w:rPr>
        <w:t>the Standard Occupational Classification (SOC) occupational codes</w:t>
      </w:r>
      <w:r w:rsidR="00750A4D">
        <w:rPr>
          <w:rFonts w:asciiTheme="minorHAnsi" w:hAnsiTheme="minorHAnsi"/>
          <w:b/>
          <w:snapToGrid w:val="0"/>
          <w:sz w:val="22"/>
          <w:szCs w:val="22"/>
        </w:rPr>
        <w:t xml:space="preserve"> in the Human Resources (HR) component of IPEDS</w:t>
      </w:r>
    </w:p>
    <w:tbl>
      <w:tblPr>
        <w:tblStyle w:val="TableGrid"/>
        <w:tblW w:w="5000" w:type="pct"/>
        <w:tblLook w:val="04A0" w:firstRow="1" w:lastRow="0" w:firstColumn="1" w:lastColumn="0" w:noHBand="0" w:noVBand="1"/>
      </w:tblPr>
      <w:tblGrid>
        <w:gridCol w:w="4969"/>
        <w:gridCol w:w="4768"/>
        <w:gridCol w:w="4879"/>
      </w:tblGrid>
      <w:tr w:rsidR="0061143A" w:rsidRPr="007B2535" w:rsidTr="0061143A">
        <w:trPr>
          <w:trHeight w:val="144"/>
        </w:trPr>
        <w:tc>
          <w:tcPr>
            <w:tcW w:w="1700" w:type="pct"/>
            <w:shd w:val="clear" w:color="auto" w:fill="F2F2F2" w:themeFill="background1" w:themeFillShade="F2"/>
          </w:tcPr>
          <w:p w:rsidR="0061143A" w:rsidRPr="0061143A" w:rsidRDefault="0061143A" w:rsidP="00777A41">
            <w:pPr>
              <w:rPr>
                <w:b/>
                <w:sz w:val="20"/>
              </w:rPr>
            </w:pPr>
            <w:r w:rsidRPr="0061143A">
              <w:rPr>
                <w:b/>
                <w:sz w:val="20"/>
              </w:rPr>
              <w:t>2018-19 IPEDS HR Occupational Categories</w:t>
            </w:r>
          </w:p>
        </w:tc>
        <w:tc>
          <w:tcPr>
            <w:tcW w:w="1631" w:type="pct"/>
            <w:shd w:val="clear" w:color="auto" w:fill="F2F2F2" w:themeFill="background1" w:themeFillShade="F2"/>
          </w:tcPr>
          <w:p w:rsidR="0061143A" w:rsidRPr="0061143A" w:rsidRDefault="0061143A" w:rsidP="00777A41">
            <w:pPr>
              <w:rPr>
                <w:b/>
                <w:sz w:val="20"/>
              </w:rPr>
            </w:pPr>
            <w:r w:rsidRPr="0061143A">
              <w:rPr>
                <w:b/>
                <w:sz w:val="20"/>
              </w:rPr>
              <w:t>(OLD) 2010 SOC Occupational Categories</w:t>
            </w:r>
          </w:p>
        </w:tc>
        <w:tc>
          <w:tcPr>
            <w:tcW w:w="1669" w:type="pct"/>
            <w:shd w:val="clear" w:color="auto" w:fill="F2F2F2" w:themeFill="background1" w:themeFillShade="F2"/>
          </w:tcPr>
          <w:p w:rsidR="0061143A" w:rsidRPr="0061143A" w:rsidRDefault="0061143A" w:rsidP="00777A41">
            <w:pPr>
              <w:rPr>
                <w:b/>
                <w:sz w:val="20"/>
              </w:rPr>
            </w:pPr>
            <w:r w:rsidRPr="0061143A">
              <w:rPr>
                <w:b/>
                <w:sz w:val="20"/>
              </w:rPr>
              <w:t>(NEW) 2018 SOC Occupational Categories</w:t>
            </w:r>
          </w:p>
        </w:tc>
      </w:tr>
      <w:tr w:rsidR="0061143A" w:rsidTr="0061143A">
        <w:trPr>
          <w:trHeight w:val="144"/>
        </w:trPr>
        <w:tc>
          <w:tcPr>
            <w:tcW w:w="1700" w:type="pct"/>
          </w:tcPr>
          <w:p w:rsidR="0061143A" w:rsidRPr="0061143A" w:rsidRDefault="0061143A" w:rsidP="00777A41">
            <w:pPr>
              <w:rPr>
                <w:b/>
                <w:sz w:val="20"/>
              </w:rPr>
            </w:pPr>
            <w:r w:rsidRPr="0061143A">
              <w:rPr>
                <w:b/>
                <w:sz w:val="20"/>
              </w:rPr>
              <w:t>Education, Tr</w:t>
            </w:r>
            <w:r>
              <w:rPr>
                <w:b/>
                <w:sz w:val="20"/>
              </w:rPr>
              <w:t>aining, and Library Occupations</w:t>
            </w:r>
          </w:p>
        </w:tc>
        <w:tc>
          <w:tcPr>
            <w:tcW w:w="1631" w:type="pct"/>
          </w:tcPr>
          <w:p w:rsidR="0061143A" w:rsidRPr="0061143A" w:rsidRDefault="0061143A" w:rsidP="00777A41">
            <w:pPr>
              <w:rPr>
                <w:strike/>
                <w:sz w:val="20"/>
              </w:rPr>
            </w:pPr>
            <w:r w:rsidRPr="0061143A">
              <w:rPr>
                <w:strike/>
                <w:sz w:val="20"/>
              </w:rPr>
              <w:t>25-0000 Education, Training, and Library Occupations</w:t>
            </w:r>
          </w:p>
        </w:tc>
        <w:tc>
          <w:tcPr>
            <w:tcW w:w="1669" w:type="pct"/>
          </w:tcPr>
          <w:p w:rsidR="0061143A" w:rsidRPr="0061143A" w:rsidRDefault="0061143A" w:rsidP="00777A41">
            <w:pPr>
              <w:rPr>
                <w:sz w:val="20"/>
              </w:rPr>
            </w:pPr>
            <w:r w:rsidRPr="0061143A">
              <w:rPr>
                <w:color w:val="4F81BD" w:themeColor="accent1"/>
                <w:sz w:val="20"/>
              </w:rPr>
              <w:t>25-0000 Educational Instruction and Library Occupations</w:t>
            </w:r>
          </w:p>
        </w:tc>
      </w:tr>
      <w:tr w:rsidR="0061143A" w:rsidTr="0061143A">
        <w:trPr>
          <w:trHeight w:val="144"/>
        </w:trPr>
        <w:tc>
          <w:tcPr>
            <w:tcW w:w="1700" w:type="pct"/>
          </w:tcPr>
          <w:p w:rsidR="0061143A" w:rsidRPr="0061143A" w:rsidRDefault="0061143A" w:rsidP="00777A41">
            <w:pPr>
              <w:rPr>
                <w:b/>
                <w:sz w:val="20"/>
              </w:rPr>
            </w:pPr>
            <w:r w:rsidRPr="0061143A">
              <w:rPr>
                <w:b/>
                <w:sz w:val="20"/>
              </w:rPr>
              <w:t>Education Occupations</w:t>
            </w:r>
          </w:p>
          <w:p w:rsidR="0061143A" w:rsidRPr="0061143A" w:rsidRDefault="0061143A" w:rsidP="0061143A">
            <w:pPr>
              <w:pStyle w:val="ListParagraph"/>
              <w:numPr>
                <w:ilvl w:val="0"/>
                <w:numId w:val="25"/>
              </w:numPr>
              <w:autoSpaceDE w:val="0"/>
              <w:autoSpaceDN w:val="0"/>
              <w:adjustRightInd w:val="0"/>
              <w:rPr>
                <w:rFonts w:cs="Verdana"/>
                <w:sz w:val="20"/>
                <w:szCs w:val="20"/>
              </w:rPr>
            </w:pPr>
            <w:r w:rsidRPr="0061143A">
              <w:rPr>
                <w:rFonts w:cs="Verdana"/>
                <w:sz w:val="20"/>
                <w:szCs w:val="20"/>
              </w:rPr>
              <w:t>Instructional Staff</w:t>
            </w:r>
          </w:p>
          <w:p w:rsidR="0061143A" w:rsidRPr="0061143A" w:rsidRDefault="0061143A" w:rsidP="0061143A">
            <w:pPr>
              <w:pStyle w:val="ListParagraph"/>
              <w:numPr>
                <w:ilvl w:val="1"/>
                <w:numId w:val="25"/>
              </w:numPr>
              <w:autoSpaceDE w:val="0"/>
              <w:autoSpaceDN w:val="0"/>
              <w:adjustRightInd w:val="0"/>
              <w:rPr>
                <w:rFonts w:cs="Verdana"/>
                <w:sz w:val="20"/>
                <w:szCs w:val="20"/>
              </w:rPr>
            </w:pPr>
            <w:r w:rsidRPr="0061143A">
              <w:rPr>
                <w:rFonts w:cs="Verdana"/>
                <w:sz w:val="20"/>
                <w:szCs w:val="20"/>
              </w:rPr>
              <w:t>Primarily Instruction</w:t>
            </w:r>
          </w:p>
          <w:p w:rsidR="0061143A" w:rsidRPr="0061143A" w:rsidRDefault="0061143A" w:rsidP="0061143A">
            <w:pPr>
              <w:pStyle w:val="ListParagraph"/>
              <w:numPr>
                <w:ilvl w:val="1"/>
                <w:numId w:val="25"/>
              </w:numPr>
              <w:autoSpaceDE w:val="0"/>
              <w:autoSpaceDN w:val="0"/>
              <w:adjustRightInd w:val="0"/>
              <w:rPr>
                <w:rFonts w:cs="Verdana"/>
                <w:sz w:val="20"/>
                <w:szCs w:val="20"/>
              </w:rPr>
            </w:pPr>
            <w:r w:rsidRPr="0061143A">
              <w:rPr>
                <w:rFonts w:cs="Verdana"/>
                <w:sz w:val="20"/>
                <w:szCs w:val="20"/>
              </w:rPr>
              <w:t>Instruction Combined with Research and/or Public Service</w:t>
            </w:r>
          </w:p>
          <w:p w:rsidR="0061143A" w:rsidRPr="0061143A" w:rsidRDefault="0061143A" w:rsidP="0061143A">
            <w:pPr>
              <w:pStyle w:val="ListParagraph"/>
              <w:numPr>
                <w:ilvl w:val="0"/>
                <w:numId w:val="25"/>
              </w:numPr>
              <w:autoSpaceDE w:val="0"/>
              <w:autoSpaceDN w:val="0"/>
              <w:adjustRightInd w:val="0"/>
              <w:rPr>
                <w:rFonts w:cs="Verdana"/>
                <w:sz w:val="20"/>
                <w:szCs w:val="20"/>
              </w:rPr>
            </w:pPr>
            <w:r w:rsidRPr="0061143A">
              <w:rPr>
                <w:rFonts w:cs="Verdana"/>
                <w:sz w:val="20"/>
                <w:szCs w:val="20"/>
              </w:rPr>
              <w:t>Research staff</w:t>
            </w:r>
          </w:p>
          <w:p w:rsidR="0061143A" w:rsidRPr="0061143A" w:rsidRDefault="0061143A" w:rsidP="0061143A">
            <w:pPr>
              <w:pStyle w:val="ListParagraph"/>
              <w:numPr>
                <w:ilvl w:val="0"/>
                <w:numId w:val="25"/>
              </w:numPr>
              <w:autoSpaceDE w:val="0"/>
              <w:autoSpaceDN w:val="0"/>
              <w:adjustRightInd w:val="0"/>
              <w:rPr>
                <w:rFonts w:cs="Verdana"/>
                <w:sz w:val="20"/>
                <w:szCs w:val="20"/>
              </w:rPr>
            </w:pPr>
            <w:r w:rsidRPr="0061143A">
              <w:rPr>
                <w:rFonts w:cs="Verdana"/>
                <w:sz w:val="20"/>
                <w:szCs w:val="20"/>
              </w:rPr>
              <w:t>Public Service staff</w:t>
            </w:r>
          </w:p>
        </w:tc>
        <w:tc>
          <w:tcPr>
            <w:tcW w:w="1631" w:type="pct"/>
          </w:tcPr>
          <w:p w:rsidR="0061143A" w:rsidRPr="0061143A" w:rsidRDefault="0061143A" w:rsidP="00777A41">
            <w:pPr>
              <w:rPr>
                <w:sz w:val="20"/>
              </w:rPr>
            </w:pPr>
            <w:r w:rsidRPr="0061143A">
              <w:rPr>
                <w:sz w:val="20"/>
              </w:rPr>
              <w:t>25-1000 Postsecondary Teachers</w:t>
            </w:r>
          </w:p>
        </w:tc>
        <w:tc>
          <w:tcPr>
            <w:tcW w:w="1669" w:type="pct"/>
          </w:tcPr>
          <w:p w:rsidR="0061143A" w:rsidRPr="0061143A" w:rsidRDefault="0061143A" w:rsidP="00777A41">
            <w:pPr>
              <w:rPr>
                <w:sz w:val="20"/>
              </w:rPr>
            </w:pPr>
            <w:r w:rsidRPr="0061143A">
              <w:rPr>
                <w:sz w:val="20"/>
              </w:rPr>
              <w:t>25-1000 Postsecondary Teachers</w:t>
            </w:r>
          </w:p>
        </w:tc>
      </w:tr>
      <w:tr w:rsidR="0061143A" w:rsidTr="0061143A">
        <w:trPr>
          <w:trHeight w:val="144"/>
        </w:trPr>
        <w:tc>
          <w:tcPr>
            <w:tcW w:w="1700" w:type="pct"/>
          </w:tcPr>
          <w:p w:rsidR="0061143A" w:rsidRPr="0061143A" w:rsidRDefault="0061143A" w:rsidP="00777A41">
            <w:pPr>
              <w:rPr>
                <w:b/>
                <w:sz w:val="20"/>
              </w:rPr>
            </w:pPr>
            <w:r w:rsidRPr="0061143A">
              <w:rPr>
                <w:b/>
                <w:sz w:val="20"/>
              </w:rPr>
              <w:t>Library and Instructional Support Occupations</w:t>
            </w:r>
          </w:p>
          <w:p w:rsidR="0061143A" w:rsidRPr="0061143A" w:rsidRDefault="0061143A" w:rsidP="0061143A">
            <w:pPr>
              <w:pStyle w:val="ListParagraph"/>
              <w:numPr>
                <w:ilvl w:val="0"/>
                <w:numId w:val="26"/>
              </w:numPr>
              <w:rPr>
                <w:sz w:val="20"/>
                <w:szCs w:val="20"/>
              </w:rPr>
            </w:pPr>
            <w:r w:rsidRPr="0061143A">
              <w:rPr>
                <w:sz w:val="20"/>
                <w:szCs w:val="20"/>
              </w:rPr>
              <w:t>Librarians, Curators, and Archivists</w:t>
            </w:r>
          </w:p>
          <w:p w:rsidR="0061143A" w:rsidRPr="0061143A" w:rsidRDefault="0061143A" w:rsidP="0061143A">
            <w:pPr>
              <w:pStyle w:val="ListParagraph"/>
              <w:numPr>
                <w:ilvl w:val="1"/>
                <w:numId w:val="26"/>
              </w:numPr>
              <w:rPr>
                <w:sz w:val="20"/>
                <w:szCs w:val="20"/>
              </w:rPr>
            </w:pPr>
            <w:r w:rsidRPr="0061143A">
              <w:rPr>
                <w:sz w:val="20"/>
                <w:szCs w:val="20"/>
              </w:rPr>
              <w:t>Archivists, Curators, and Museum Technicians</w:t>
            </w:r>
          </w:p>
          <w:p w:rsidR="0061143A" w:rsidRPr="0061143A" w:rsidRDefault="0061143A" w:rsidP="0061143A">
            <w:pPr>
              <w:pStyle w:val="ListParagraph"/>
              <w:numPr>
                <w:ilvl w:val="1"/>
                <w:numId w:val="26"/>
              </w:numPr>
              <w:rPr>
                <w:sz w:val="20"/>
                <w:szCs w:val="20"/>
              </w:rPr>
            </w:pPr>
            <w:r w:rsidRPr="0061143A">
              <w:rPr>
                <w:sz w:val="20"/>
                <w:szCs w:val="20"/>
              </w:rPr>
              <w:t>Librarians</w:t>
            </w:r>
          </w:p>
          <w:p w:rsidR="0061143A" w:rsidRPr="0061143A" w:rsidRDefault="0061143A" w:rsidP="0061143A">
            <w:pPr>
              <w:pStyle w:val="ListParagraph"/>
              <w:numPr>
                <w:ilvl w:val="1"/>
                <w:numId w:val="26"/>
              </w:numPr>
              <w:rPr>
                <w:sz w:val="20"/>
                <w:szCs w:val="20"/>
              </w:rPr>
            </w:pPr>
            <w:r w:rsidRPr="0061143A">
              <w:rPr>
                <w:sz w:val="20"/>
                <w:szCs w:val="20"/>
              </w:rPr>
              <w:t>Library Technicians</w:t>
            </w:r>
          </w:p>
          <w:p w:rsidR="0061143A" w:rsidRPr="0061143A" w:rsidRDefault="0061143A" w:rsidP="0061143A">
            <w:pPr>
              <w:pStyle w:val="ListParagraph"/>
              <w:numPr>
                <w:ilvl w:val="0"/>
                <w:numId w:val="26"/>
              </w:numPr>
              <w:rPr>
                <w:sz w:val="20"/>
                <w:szCs w:val="20"/>
              </w:rPr>
            </w:pPr>
            <w:r w:rsidRPr="0061143A">
              <w:rPr>
                <w:sz w:val="20"/>
                <w:szCs w:val="20"/>
              </w:rPr>
              <w:t>Student and Academic Services and Other</w:t>
            </w:r>
          </w:p>
          <w:p w:rsidR="0061143A" w:rsidRPr="0061143A" w:rsidRDefault="0061143A" w:rsidP="0061143A">
            <w:pPr>
              <w:pStyle w:val="ListParagraph"/>
              <w:numPr>
                <w:ilvl w:val="0"/>
                <w:numId w:val="26"/>
              </w:numPr>
              <w:rPr>
                <w:sz w:val="20"/>
                <w:szCs w:val="20"/>
              </w:rPr>
            </w:pPr>
            <w:r w:rsidRPr="0061143A">
              <w:rPr>
                <w:sz w:val="20"/>
                <w:szCs w:val="20"/>
              </w:rPr>
              <w:t>Education Occupations</w:t>
            </w:r>
          </w:p>
        </w:tc>
        <w:tc>
          <w:tcPr>
            <w:tcW w:w="1631" w:type="pct"/>
          </w:tcPr>
          <w:p w:rsidR="0061143A" w:rsidRPr="0061143A" w:rsidRDefault="0061143A" w:rsidP="00777A41">
            <w:pPr>
              <w:rPr>
                <w:sz w:val="20"/>
              </w:rPr>
            </w:pPr>
            <w:r w:rsidRPr="0061143A">
              <w:rPr>
                <w:sz w:val="20"/>
              </w:rPr>
              <w:t>25-4000 Librarians, Curators, and Archivists</w:t>
            </w:r>
          </w:p>
          <w:p w:rsidR="0061143A" w:rsidRPr="0061143A" w:rsidRDefault="0061143A" w:rsidP="00777A41">
            <w:pPr>
              <w:rPr>
                <w:sz w:val="20"/>
              </w:rPr>
            </w:pPr>
            <w:r w:rsidRPr="0061143A">
              <w:rPr>
                <w:sz w:val="20"/>
              </w:rPr>
              <w:t>25-4010 Archivists, Curators, and Museum Technicians</w:t>
            </w:r>
          </w:p>
          <w:p w:rsidR="0061143A" w:rsidRPr="0061143A" w:rsidRDefault="0061143A" w:rsidP="00777A41">
            <w:pPr>
              <w:rPr>
                <w:strike/>
                <w:sz w:val="20"/>
              </w:rPr>
            </w:pPr>
            <w:r w:rsidRPr="0061143A">
              <w:rPr>
                <w:strike/>
                <w:sz w:val="20"/>
              </w:rPr>
              <w:t>25-4020 Librarians</w:t>
            </w:r>
          </w:p>
          <w:p w:rsidR="0061143A" w:rsidRPr="0061143A" w:rsidRDefault="0061143A" w:rsidP="00777A41">
            <w:pPr>
              <w:rPr>
                <w:sz w:val="20"/>
              </w:rPr>
            </w:pPr>
            <w:r w:rsidRPr="0061143A">
              <w:rPr>
                <w:sz w:val="20"/>
              </w:rPr>
              <w:t>25-4030 Library Technicians</w:t>
            </w:r>
          </w:p>
          <w:p w:rsidR="0061143A" w:rsidRPr="0061143A" w:rsidRDefault="0061143A" w:rsidP="00777A41">
            <w:pPr>
              <w:rPr>
                <w:sz w:val="20"/>
              </w:rPr>
            </w:pPr>
            <w:r w:rsidRPr="0061143A">
              <w:rPr>
                <w:sz w:val="20"/>
              </w:rPr>
              <w:t>25-2000 Preschool, Primary,</w:t>
            </w:r>
          </w:p>
          <w:p w:rsidR="0061143A" w:rsidRPr="0061143A" w:rsidRDefault="0061143A" w:rsidP="00777A41">
            <w:pPr>
              <w:rPr>
                <w:sz w:val="20"/>
              </w:rPr>
            </w:pPr>
            <w:r w:rsidRPr="0061143A">
              <w:rPr>
                <w:sz w:val="20"/>
              </w:rPr>
              <w:t>Secondary, and Special Education School Teachers</w:t>
            </w:r>
          </w:p>
          <w:p w:rsidR="0061143A" w:rsidRPr="0061143A" w:rsidRDefault="0061143A" w:rsidP="00777A41">
            <w:pPr>
              <w:rPr>
                <w:sz w:val="20"/>
              </w:rPr>
            </w:pPr>
            <w:r w:rsidRPr="0061143A">
              <w:rPr>
                <w:sz w:val="20"/>
              </w:rPr>
              <w:t>25-3000 Other Teachers and Instructors</w:t>
            </w:r>
          </w:p>
          <w:p w:rsidR="0061143A" w:rsidRPr="0061143A" w:rsidRDefault="0061143A" w:rsidP="00777A41">
            <w:pPr>
              <w:rPr>
                <w:sz w:val="20"/>
              </w:rPr>
            </w:pPr>
            <w:r w:rsidRPr="0061143A">
              <w:rPr>
                <w:sz w:val="20"/>
              </w:rPr>
              <w:t>25-9000 Other Education,</w:t>
            </w:r>
          </w:p>
          <w:p w:rsidR="0061143A" w:rsidRPr="0061143A" w:rsidRDefault="0061143A" w:rsidP="00777A41">
            <w:pPr>
              <w:rPr>
                <w:sz w:val="20"/>
              </w:rPr>
            </w:pPr>
            <w:r w:rsidRPr="0061143A">
              <w:rPr>
                <w:sz w:val="20"/>
              </w:rPr>
              <w:t>Training, and Library</w:t>
            </w:r>
          </w:p>
          <w:p w:rsidR="0061143A" w:rsidRPr="0061143A" w:rsidRDefault="0061143A" w:rsidP="00777A41">
            <w:pPr>
              <w:rPr>
                <w:sz w:val="20"/>
              </w:rPr>
            </w:pPr>
            <w:r w:rsidRPr="0061143A">
              <w:rPr>
                <w:sz w:val="20"/>
              </w:rPr>
              <w:t>Occupations</w:t>
            </w:r>
          </w:p>
        </w:tc>
        <w:tc>
          <w:tcPr>
            <w:tcW w:w="1669" w:type="pct"/>
          </w:tcPr>
          <w:p w:rsidR="0061143A" w:rsidRPr="0061143A" w:rsidRDefault="0061143A" w:rsidP="00777A41">
            <w:pPr>
              <w:rPr>
                <w:sz w:val="20"/>
              </w:rPr>
            </w:pPr>
            <w:r w:rsidRPr="0061143A">
              <w:rPr>
                <w:sz w:val="20"/>
              </w:rPr>
              <w:t>25-4000 Librarians, Curators, and Archivists</w:t>
            </w:r>
          </w:p>
          <w:p w:rsidR="0061143A" w:rsidRPr="0061143A" w:rsidRDefault="0061143A" w:rsidP="00777A41">
            <w:pPr>
              <w:rPr>
                <w:sz w:val="20"/>
              </w:rPr>
            </w:pPr>
            <w:r w:rsidRPr="0061143A">
              <w:rPr>
                <w:sz w:val="20"/>
              </w:rPr>
              <w:t>25-4010 Archivists, Curators, and Museum Technicians</w:t>
            </w:r>
          </w:p>
          <w:p w:rsidR="0061143A" w:rsidRPr="0061143A" w:rsidRDefault="0061143A" w:rsidP="00777A41">
            <w:pPr>
              <w:rPr>
                <w:color w:val="4F81BD" w:themeColor="accent1"/>
                <w:sz w:val="20"/>
              </w:rPr>
            </w:pPr>
            <w:r w:rsidRPr="0061143A">
              <w:rPr>
                <w:color w:val="4F81BD" w:themeColor="accent1"/>
                <w:sz w:val="20"/>
              </w:rPr>
              <w:t>25-4020 Librarians and Media Collections Specialists</w:t>
            </w:r>
          </w:p>
          <w:p w:rsidR="0061143A" w:rsidRPr="0061143A" w:rsidRDefault="0061143A" w:rsidP="00777A41">
            <w:pPr>
              <w:rPr>
                <w:sz w:val="20"/>
              </w:rPr>
            </w:pPr>
            <w:r w:rsidRPr="0061143A">
              <w:rPr>
                <w:sz w:val="20"/>
              </w:rPr>
              <w:t>25-4030 Library Technicians</w:t>
            </w:r>
          </w:p>
          <w:p w:rsidR="0061143A" w:rsidRPr="0061143A" w:rsidRDefault="0061143A" w:rsidP="00777A41">
            <w:pPr>
              <w:rPr>
                <w:sz w:val="20"/>
              </w:rPr>
            </w:pPr>
            <w:r w:rsidRPr="0061143A">
              <w:rPr>
                <w:sz w:val="20"/>
              </w:rPr>
              <w:t>25-2000 Preschool, Elementary, Middle, Secondary, and Special Education Teachers</w:t>
            </w:r>
          </w:p>
          <w:p w:rsidR="0061143A" w:rsidRPr="0061143A" w:rsidRDefault="0061143A" w:rsidP="00777A41">
            <w:pPr>
              <w:rPr>
                <w:sz w:val="20"/>
              </w:rPr>
            </w:pPr>
            <w:r w:rsidRPr="0061143A">
              <w:rPr>
                <w:sz w:val="20"/>
              </w:rPr>
              <w:t>25-3000 Other Teachers and Instructors</w:t>
            </w:r>
          </w:p>
          <w:p w:rsidR="0061143A" w:rsidRPr="0061143A" w:rsidRDefault="0061143A" w:rsidP="00777A41">
            <w:pPr>
              <w:rPr>
                <w:sz w:val="20"/>
              </w:rPr>
            </w:pPr>
            <w:r w:rsidRPr="0061143A">
              <w:rPr>
                <w:sz w:val="20"/>
              </w:rPr>
              <w:t>25-9000 Other Educational Instruction and Library Occupations</w:t>
            </w:r>
          </w:p>
        </w:tc>
      </w:tr>
      <w:tr w:rsidR="0061143A" w:rsidTr="0061143A">
        <w:trPr>
          <w:trHeight w:val="144"/>
        </w:trPr>
        <w:tc>
          <w:tcPr>
            <w:tcW w:w="1700" w:type="pct"/>
          </w:tcPr>
          <w:p w:rsidR="0061143A" w:rsidRPr="0061143A" w:rsidRDefault="0061143A" w:rsidP="00777A41">
            <w:pPr>
              <w:rPr>
                <w:b/>
                <w:sz w:val="20"/>
              </w:rPr>
            </w:pPr>
            <w:r w:rsidRPr="0061143A">
              <w:rPr>
                <w:b/>
                <w:sz w:val="20"/>
              </w:rPr>
              <w:t>Other Occupations</w:t>
            </w:r>
          </w:p>
        </w:tc>
        <w:tc>
          <w:tcPr>
            <w:tcW w:w="1631" w:type="pct"/>
          </w:tcPr>
          <w:p w:rsidR="0061143A" w:rsidRPr="0061143A" w:rsidRDefault="0061143A" w:rsidP="00777A41">
            <w:pPr>
              <w:rPr>
                <w:sz w:val="20"/>
              </w:rPr>
            </w:pPr>
          </w:p>
        </w:tc>
        <w:tc>
          <w:tcPr>
            <w:tcW w:w="1669" w:type="pct"/>
          </w:tcPr>
          <w:p w:rsidR="0061143A" w:rsidRPr="0061143A" w:rsidRDefault="0061143A" w:rsidP="00777A41">
            <w:pPr>
              <w:rPr>
                <w:sz w:val="20"/>
              </w:rPr>
            </w:pPr>
          </w:p>
        </w:tc>
      </w:tr>
      <w:tr w:rsidR="0061143A" w:rsidTr="0061143A">
        <w:trPr>
          <w:trHeight w:val="144"/>
        </w:trPr>
        <w:tc>
          <w:tcPr>
            <w:tcW w:w="1700" w:type="pct"/>
          </w:tcPr>
          <w:p w:rsidR="0061143A" w:rsidRPr="0061143A" w:rsidRDefault="0061143A" w:rsidP="00777A41">
            <w:pPr>
              <w:rPr>
                <w:sz w:val="20"/>
              </w:rPr>
            </w:pPr>
            <w:r w:rsidRPr="0061143A">
              <w:rPr>
                <w:sz w:val="20"/>
              </w:rPr>
              <w:t>Management Occupations</w:t>
            </w:r>
          </w:p>
        </w:tc>
        <w:tc>
          <w:tcPr>
            <w:tcW w:w="1631" w:type="pct"/>
          </w:tcPr>
          <w:p w:rsidR="0061143A" w:rsidRPr="0061143A" w:rsidRDefault="0061143A" w:rsidP="00777A41">
            <w:pPr>
              <w:rPr>
                <w:sz w:val="20"/>
              </w:rPr>
            </w:pPr>
            <w:r w:rsidRPr="0061143A">
              <w:rPr>
                <w:sz w:val="20"/>
              </w:rPr>
              <w:t>11-0000 Management Occupations</w:t>
            </w:r>
          </w:p>
        </w:tc>
        <w:tc>
          <w:tcPr>
            <w:tcW w:w="1669" w:type="pct"/>
          </w:tcPr>
          <w:p w:rsidR="0061143A" w:rsidRPr="0061143A" w:rsidRDefault="0061143A" w:rsidP="00777A41">
            <w:pPr>
              <w:rPr>
                <w:sz w:val="20"/>
              </w:rPr>
            </w:pPr>
            <w:r w:rsidRPr="0061143A">
              <w:rPr>
                <w:sz w:val="20"/>
              </w:rPr>
              <w:t>11-0000 Management Occupation</w:t>
            </w:r>
          </w:p>
        </w:tc>
      </w:tr>
      <w:tr w:rsidR="0061143A" w:rsidTr="0061143A">
        <w:trPr>
          <w:trHeight w:val="144"/>
        </w:trPr>
        <w:tc>
          <w:tcPr>
            <w:tcW w:w="1700" w:type="pct"/>
          </w:tcPr>
          <w:p w:rsidR="0061143A" w:rsidRPr="0061143A" w:rsidRDefault="0061143A" w:rsidP="00777A41">
            <w:pPr>
              <w:rPr>
                <w:sz w:val="20"/>
              </w:rPr>
            </w:pPr>
            <w:r w:rsidRPr="0061143A">
              <w:rPr>
                <w:sz w:val="20"/>
              </w:rPr>
              <w:t>Business and Financial Operations Occupations</w:t>
            </w:r>
          </w:p>
        </w:tc>
        <w:tc>
          <w:tcPr>
            <w:tcW w:w="1631" w:type="pct"/>
          </w:tcPr>
          <w:p w:rsidR="0061143A" w:rsidRPr="0061143A" w:rsidRDefault="0061143A" w:rsidP="00777A41">
            <w:pPr>
              <w:rPr>
                <w:sz w:val="20"/>
              </w:rPr>
            </w:pPr>
            <w:r w:rsidRPr="0061143A">
              <w:rPr>
                <w:sz w:val="20"/>
              </w:rPr>
              <w:t>13-0000 Business and Financial Operations Occupations</w:t>
            </w:r>
          </w:p>
        </w:tc>
        <w:tc>
          <w:tcPr>
            <w:tcW w:w="1669" w:type="pct"/>
          </w:tcPr>
          <w:p w:rsidR="0061143A" w:rsidRPr="0061143A" w:rsidRDefault="0061143A" w:rsidP="00777A41">
            <w:pPr>
              <w:rPr>
                <w:sz w:val="20"/>
              </w:rPr>
            </w:pPr>
            <w:r w:rsidRPr="0061143A">
              <w:rPr>
                <w:sz w:val="20"/>
              </w:rPr>
              <w:t>13-0000 Business and Financial Operations Occupations</w:t>
            </w:r>
          </w:p>
        </w:tc>
      </w:tr>
      <w:tr w:rsidR="0061143A" w:rsidTr="0061143A">
        <w:trPr>
          <w:trHeight w:val="144"/>
        </w:trPr>
        <w:tc>
          <w:tcPr>
            <w:tcW w:w="1700" w:type="pct"/>
          </w:tcPr>
          <w:p w:rsidR="0061143A" w:rsidRPr="0061143A" w:rsidRDefault="0061143A" w:rsidP="00777A41">
            <w:pPr>
              <w:rPr>
                <w:sz w:val="20"/>
              </w:rPr>
            </w:pPr>
            <w:r w:rsidRPr="0061143A">
              <w:rPr>
                <w:sz w:val="20"/>
              </w:rPr>
              <w:t>Computer, Engineering, and Science Occupations</w:t>
            </w:r>
          </w:p>
        </w:tc>
        <w:tc>
          <w:tcPr>
            <w:tcW w:w="1631" w:type="pct"/>
          </w:tcPr>
          <w:p w:rsidR="0061143A" w:rsidRPr="0061143A" w:rsidRDefault="0061143A" w:rsidP="00777A41">
            <w:pPr>
              <w:rPr>
                <w:sz w:val="20"/>
              </w:rPr>
            </w:pPr>
            <w:r w:rsidRPr="0061143A">
              <w:rPr>
                <w:sz w:val="20"/>
              </w:rPr>
              <w:t>15-0000 Computer and Mathematical Occupations</w:t>
            </w:r>
          </w:p>
          <w:p w:rsidR="0061143A" w:rsidRPr="0061143A" w:rsidRDefault="0061143A" w:rsidP="00777A41">
            <w:pPr>
              <w:rPr>
                <w:sz w:val="20"/>
              </w:rPr>
            </w:pPr>
            <w:r w:rsidRPr="0061143A">
              <w:rPr>
                <w:sz w:val="20"/>
              </w:rPr>
              <w:t>17-0000 Architecture and Engineering Occupations</w:t>
            </w:r>
          </w:p>
          <w:p w:rsidR="0061143A" w:rsidRPr="0061143A" w:rsidRDefault="0061143A" w:rsidP="00777A41">
            <w:pPr>
              <w:rPr>
                <w:sz w:val="20"/>
              </w:rPr>
            </w:pPr>
            <w:r w:rsidRPr="0061143A">
              <w:rPr>
                <w:sz w:val="20"/>
              </w:rPr>
              <w:t xml:space="preserve">19-0000 Life, Physical, and Social Science Occupations </w:t>
            </w:r>
          </w:p>
        </w:tc>
        <w:tc>
          <w:tcPr>
            <w:tcW w:w="1669" w:type="pct"/>
          </w:tcPr>
          <w:p w:rsidR="0061143A" w:rsidRPr="0061143A" w:rsidRDefault="0061143A" w:rsidP="00777A41">
            <w:pPr>
              <w:rPr>
                <w:sz w:val="20"/>
              </w:rPr>
            </w:pPr>
            <w:r w:rsidRPr="0061143A">
              <w:rPr>
                <w:sz w:val="20"/>
              </w:rPr>
              <w:t>15-0000 Computer and Mathematical Occupations</w:t>
            </w:r>
          </w:p>
          <w:p w:rsidR="0061143A" w:rsidRPr="0061143A" w:rsidRDefault="0061143A" w:rsidP="00777A41">
            <w:pPr>
              <w:rPr>
                <w:sz w:val="20"/>
              </w:rPr>
            </w:pPr>
            <w:r w:rsidRPr="0061143A">
              <w:rPr>
                <w:sz w:val="20"/>
              </w:rPr>
              <w:t>17-0000 Architecture and Engineering Occupations</w:t>
            </w:r>
          </w:p>
          <w:p w:rsidR="0061143A" w:rsidRPr="0061143A" w:rsidRDefault="0061143A" w:rsidP="00777A41">
            <w:pPr>
              <w:rPr>
                <w:sz w:val="20"/>
              </w:rPr>
            </w:pPr>
            <w:r w:rsidRPr="0061143A">
              <w:rPr>
                <w:sz w:val="20"/>
              </w:rPr>
              <w:t>19-0000 Life, Physical, and Social Science Occupations</w:t>
            </w:r>
          </w:p>
        </w:tc>
      </w:tr>
      <w:tr w:rsidR="0061143A" w:rsidRPr="00794576" w:rsidTr="0061143A">
        <w:trPr>
          <w:trHeight w:val="144"/>
        </w:trPr>
        <w:tc>
          <w:tcPr>
            <w:tcW w:w="1700" w:type="pct"/>
          </w:tcPr>
          <w:p w:rsidR="0061143A" w:rsidRPr="0061143A" w:rsidRDefault="0061143A" w:rsidP="00777A41">
            <w:pPr>
              <w:rPr>
                <w:sz w:val="20"/>
              </w:rPr>
            </w:pPr>
            <w:r w:rsidRPr="0061143A">
              <w:rPr>
                <w:sz w:val="20"/>
              </w:rPr>
              <w:t>Community, Social Service, Legal, Arts, Design,</w:t>
            </w:r>
          </w:p>
          <w:p w:rsidR="0061143A" w:rsidRPr="0061143A" w:rsidRDefault="0061143A" w:rsidP="00777A41">
            <w:pPr>
              <w:rPr>
                <w:sz w:val="20"/>
              </w:rPr>
            </w:pPr>
            <w:r w:rsidRPr="0061143A">
              <w:rPr>
                <w:sz w:val="20"/>
              </w:rPr>
              <w:t>Entertainment, Sports, and Media Occupations</w:t>
            </w:r>
          </w:p>
        </w:tc>
        <w:tc>
          <w:tcPr>
            <w:tcW w:w="1631" w:type="pct"/>
          </w:tcPr>
          <w:p w:rsidR="0061143A" w:rsidRPr="0061143A" w:rsidRDefault="0061143A" w:rsidP="00777A41">
            <w:pPr>
              <w:rPr>
                <w:sz w:val="20"/>
              </w:rPr>
            </w:pPr>
            <w:r w:rsidRPr="0061143A">
              <w:rPr>
                <w:sz w:val="20"/>
              </w:rPr>
              <w:t>21-0000 Community and Social Service Occupations</w:t>
            </w:r>
          </w:p>
          <w:p w:rsidR="0061143A" w:rsidRPr="0061143A" w:rsidRDefault="0061143A" w:rsidP="00777A41">
            <w:pPr>
              <w:rPr>
                <w:sz w:val="20"/>
              </w:rPr>
            </w:pPr>
            <w:r w:rsidRPr="0061143A">
              <w:rPr>
                <w:sz w:val="20"/>
              </w:rPr>
              <w:t>23-0000 Legal Occupations</w:t>
            </w:r>
          </w:p>
          <w:p w:rsidR="0061143A" w:rsidRPr="0061143A" w:rsidRDefault="0061143A" w:rsidP="00777A41">
            <w:pPr>
              <w:rPr>
                <w:sz w:val="20"/>
              </w:rPr>
            </w:pPr>
            <w:r w:rsidRPr="0061143A">
              <w:rPr>
                <w:sz w:val="20"/>
              </w:rPr>
              <w:t>27-0000 Arts, Design, Entertainment, Sports, and Media Occupations</w:t>
            </w:r>
          </w:p>
        </w:tc>
        <w:tc>
          <w:tcPr>
            <w:tcW w:w="1669" w:type="pct"/>
          </w:tcPr>
          <w:p w:rsidR="0061143A" w:rsidRPr="0061143A" w:rsidRDefault="0061143A" w:rsidP="00777A41">
            <w:pPr>
              <w:rPr>
                <w:sz w:val="20"/>
              </w:rPr>
            </w:pPr>
            <w:r w:rsidRPr="0061143A">
              <w:rPr>
                <w:sz w:val="20"/>
              </w:rPr>
              <w:t>21-0000 Community and Social Service Occupations</w:t>
            </w:r>
          </w:p>
          <w:p w:rsidR="0061143A" w:rsidRPr="0061143A" w:rsidRDefault="0061143A" w:rsidP="00777A41">
            <w:pPr>
              <w:rPr>
                <w:sz w:val="20"/>
              </w:rPr>
            </w:pPr>
            <w:r w:rsidRPr="0061143A">
              <w:rPr>
                <w:sz w:val="20"/>
              </w:rPr>
              <w:t>23-0000 Legal Occupations</w:t>
            </w:r>
          </w:p>
          <w:p w:rsidR="0061143A" w:rsidRPr="0061143A" w:rsidRDefault="0061143A" w:rsidP="00777A41">
            <w:pPr>
              <w:rPr>
                <w:sz w:val="20"/>
              </w:rPr>
            </w:pPr>
            <w:r w:rsidRPr="0061143A">
              <w:rPr>
                <w:sz w:val="20"/>
              </w:rPr>
              <w:t>27-0000 Arts, Design, Entertainment, Sports, and Media Occupations</w:t>
            </w:r>
          </w:p>
        </w:tc>
      </w:tr>
      <w:tr w:rsidR="0061143A" w:rsidRPr="00794576" w:rsidTr="0061143A">
        <w:trPr>
          <w:trHeight w:val="144"/>
        </w:trPr>
        <w:tc>
          <w:tcPr>
            <w:tcW w:w="1700" w:type="pct"/>
          </w:tcPr>
          <w:p w:rsidR="0061143A" w:rsidRPr="0061143A" w:rsidRDefault="0061143A" w:rsidP="00777A41">
            <w:pPr>
              <w:rPr>
                <w:sz w:val="20"/>
              </w:rPr>
            </w:pPr>
            <w:r w:rsidRPr="0061143A">
              <w:rPr>
                <w:sz w:val="20"/>
              </w:rPr>
              <w:t>Healthcare Practitioners and Technical Occupations</w:t>
            </w:r>
          </w:p>
        </w:tc>
        <w:tc>
          <w:tcPr>
            <w:tcW w:w="1631" w:type="pct"/>
          </w:tcPr>
          <w:p w:rsidR="0061143A" w:rsidRPr="0061143A" w:rsidRDefault="0061143A" w:rsidP="00777A41">
            <w:pPr>
              <w:rPr>
                <w:sz w:val="20"/>
              </w:rPr>
            </w:pPr>
            <w:r w:rsidRPr="0061143A">
              <w:rPr>
                <w:sz w:val="20"/>
              </w:rPr>
              <w:t>29-0000 Healthcare Practitioners and Technical Occupations</w:t>
            </w:r>
          </w:p>
        </w:tc>
        <w:tc>
          <w:tcPr>
            <w:tcW w:w="1669" w:type="pct"/>
          </w:tcPr>
          <w:p w:rsidR="0061143A" w:rsidRPr="0061143A" w:rsidRDefault="0061143A" w:rsidP="00777A41">
            <w:pPr>
              <w:rPr>
                <w:sz w:val="20"/>
              </w:rPr>
            </w:pPr>
            <w:r w:rsidRPr="0061143A">
              <w:rPr>
                <w:sz w:val="20"/>
              </w:rPr>
              <w:t>29-0000 Healthcare Practitioners and Technical Occupations</w:t>
            </w:r>
          </w:p>
        </w:tc>
      </w:tr>
      <w:tr w:rsidR="0061143A" w:rsidRPr="00794576" w:rsidTr="0061143A">
        <w:trPr>
          <w:trHeight w:val="144"/>
        </w:trPr>
        <w:tc>
          <w:tcPr>
            <w:tcW w:w="1700" w:type="pct"/>
          </w:tcPr>
          <w:p w:rsidR="0061143A" w:rsidRPr="0061143A" w:rsidRDefault="0061143A" w:rsidP="00777A41">
            <w:pPr>
              <w:rPr>
                <w:sz w:val="20"/>
              </w:rPr>
            </w:pPr>
            <w:r w:rsidRPr="0061143A">
              <w:rPr>
                <w:sz w:val="20"/>
              </w:rPr>
              <w:t>Service Occupations</w:t>
            </w:r>
          </w:p>
        </w:tc>
        <w:tc>
          <w:tcPr>
            <w:tcW w:w="1631" w:type="pct"/>
          </w:tcPr>
          <w:p w:rsidR="0061143A" w:rsidRPr="0061143A" w:rsidRDefault="0061143A" w:rsidP="00777A41">
            <w:pPr>
              <w:rPr>
                <w:sz w:val="20"/>
              </w:rPr>
            </w:pPr>
            <w:r w:rsidRPr="0061143A">
              <w:rPr>
                <w:sz w:val="20"/>
              </w:rPr>
              <w:t>31-0000 Healthcare Support</w:t>
            </w:r>
          </w:p>
          <w:p w:rsidR="0061143A" w:rsidRPr="0061143A" w:rsidRDefault="0061143A" w:rsidP="00777A41">
            <w:pPr>
              <w:rPr>
                <w:sz w:val="20"/>
              </w:rPr>
            </w:pPr>
            <w:r w:rsidRPr="0061143A">
              <w:rPr>
                <w:sz w:val="20"/>
              </w:rPr>
              <w:t>Occupations</w:t>
            </w:r>
          </w:p>
          <w:p w:rsidR="0061143A" w:rsidRPr="0061143A" w:rsidRDefault="0061143A" w:rsidP="00777A41">
            <w:pPr>
              <w:rPr>
                <w:sz w:val="20"/>
              </w:rPr>
            </w:pPr>
            <w:r w:rsidRPr="0061143A">
              <w:rPr>
                <w:sz w:val="20"/>
              </w:rPr>
              <w:t>33-0000 Protective Service</w:t>
            </w:r>
          </w:p>
          <w:p w:rsidR="0061143A" w:rsidRPr="0061143A" w:rsidRDefault="0061143A" w:rsidP="00777A41">
            <w:pPr>
              <w:rPr>
                <w:sz w:val="20"/>
              </w:rPr>
            </w:pPr>
            <w:r w:rsidRPr="0061143A">
              <w:rPr>
                <w:sz w:val="20"/>
              </w:rPr>
              <w:t>Occupations</w:t>
            </w:r>
          </w:p>
          <w:p w:rsidR="0061143A" w:rsidRPr="0061143A" w:rsidRDefault="0061143A" w:rsidP="00777A41">
            <w:pPr>
              <w:rPr>
                <w:sz w:val="20"/>
              </w:rPr>
            </w:pPr>
            <w:r w:rsidRPr="0061143A">
              <w:rPr>
                <w:sz w:val="20"/>
              </w:rPr>
              <w:t>35-0000 Food Preparation and</w:t>
            </w:r>
          </w:p>
          <w:p w:rsidR="0061143A" w:rsidRPr="0061143A" w:rsidRDefault="0061143A" w:rsidP="00777A41">
            <w:pPr>
              <w:rPr>
                <w:sz w:val="20"/>
              </w:rPr>
            </w:pPr>
            <w:r w:rsidRPr="0061143A">
              <w:rPr>
                <w:sz w:val="20"/>
              </w:rPr>
              <w:t>Serving Related Occupations</w:t>
            </w:r>
          </w:p>
          <w:p w:rsidR="0061143A" w:rsidRPr="0061143A" w:rsidRDefault="0061143A" w:rsidP="00777A41">
            <w:pPr>
              <w:rPr>
                <w:sz w:val="20"/>
              </w:rPr>
            </w:pPr>
            <w:r w:rsidRPr="0061143A">
              <w:rPr>
                <w:sz w:val="20"/>
              </w:rPr>
              <w:t>37-0000 Building and Grounds Cleaning and Maintenance Occupations</w:t>
            </w:r>
          </w:p>
          <w:p w:rsidR="0061143A" w:rsidRPr="0061143A" w:rsidRDefault="0061143A" w:rsidP="00777A41">
            <w:pPr>
              <w:rPr>
                <w:sz w:val="20"/>
              </w:rPr>
            </w:pPr>
            <w:r w:rsidRPr="0061143A">
              <w:rPr>
                <w:sz w:val="20"/>
              </w:rPr>
              <w:t>39-0000 Personal Care and Service Occupations</w:t>
            </w:r>
          </w:p>
        </w:tc>
        <w:tc>
          <w:tcPr>
            <w:tcW w:w="1669" w:type="pct"/>
          </w:tcPr>
          <w:p w:rsidR="0061143A" w:rsidRPr="0061143A" w:rsidRDefault="0061143A" w:rsidP="00777A41">
            <w:pPr>
              <w:rPr>
                <w:sz w:val="20"/>
              </w:rPr>
            </w:pPr>
            <w:r w:rsidRPr="0061143A">
              <w:rPr>
                <w:sz w:val="20"/>
              </w:rPr>
              <w:t>31-0000 Healthcare Support</w:t>
            </w:r>
          </w:p>
          <w:p w:rsidR="0061143A" w:rsidRPr="0061143A" w:rsidRDefault="0061143A" w:rsidP="00777A41">
            <w:pPr>
              <w:rPr>
                <w:sz w:val="20"/>
              </w:rPr>
            </w:pPr>
            <w:r w:rsidRPr="0061143A">
              <w:rPr>
                <w:sz w:val="20"/>
              </w:rPr>
              <w:t>Occupations</w:t>
            </w:r>
          </w:p>
          <w:p w:rsidR="0061143A" w:rsidRPr="0061143A" w:rsidRDefault="0061143A" w:rsidP="00777A41">
            <w:pPr>
              <w:rPr>
                <w:sz w:val="20"/>
              </w:rPr>
            </w:pPr>
            <w:r w:rsidRPr="0061143A">
              <w:rPr>
                <w:sz w:val="20"/>
              </w:rPr>
              <w:t>33-0000 Protective Service</w:t>
            </w:r>
          </w:p>
          <w:p w:rsidR="0061143A" w:rsidRPr="0061143A" w:rsidRDefault="0061143A" w:rsidP="00777A41">
            <w:pPr>
              <w:rPr>
                <w:sz w:val="20"/>
              </w:rPr>
            </w:pPr>
            <w:r w:rsidRPr="0061143A">
              <w:rPr>
                <w:sz w:val="20"/>
              </w:rPr>
              <w:t>Occupations</w:t>
            </w:r>
          </w:p>
          <w:p w:rsidR="0061143A" w:rsidRPr="0061143A" w:rsidRDefault="0061143A" w:rsidP="00777A41">
            <w:pPr>
              <w:rPr>
                <w:sz w:val="20"/>
              </w:rPr>
            </w:pPr>
            <w:r w:rsidRPr="0061143A">
              <w:rPr>
                <w:sz w:val="20"/>
              </w:rPr>
              <w:t>35-0000 Food Preparation and</w:t>
            </w:r>
          </w:p>
          <w:p w:rsidR="0061143A" w:rsidRPr="0061143A" w:rsidRDefault="0061143A" w:rsidP="00777A41">
            <w:pPr>
              <w:rPr>
                <w:sz w:val="20"/>
              </w:rPr>
            </w:pPr>
            <w:r w:rsidRPr="0061143A">
              <w:rPr>
                <w:sz w:val="20"/>
              </w:rPr>
              <w:t>Serving Related Occupations</w:t>
            </w:r>
          </w:p>
          <w:p w:rsidR="0061143A" w:rsidRPr="0061143A" w:rsidRDefault="0061143A" w:rsidP="00777A41">
            <w:pPr>
              <w:rPr>
                <w:sz w:val="20"/>
              </w:rPr>
            </w:pPr>
            <w:r w:rsidRPr="0061143A">
              <w:rPr>
                <w:sz w:val="20"/>
              </w:rPr>
              <w:t>37-0000 Building and Grounds Cleaning and Maintenance Occupations</w:t>
            </w:r>
          </w:p>
          <w:p w:rsidR="0061143A" w:rsidRPr="0061143A" w:rsidRDefault="0061143A" w:rsidP="00777A41">
            <w:pPr>
              <w:rPr>
                <w:sz w:val="20"/>
              </w:rPr>
            </w:pPr>
            <w:r w:rsidRPr="0061143A">
              <w:rPr>
                <w:sz w:val="20"/>
              </w:rPr>
              <w:t>39-0000 Personal Care and Service Occupations</w:t>
            </w:r>
          </w:p>
        </w:tc>
      </w:tr>
      <w:tr w:rsidR="0061143A" w:rsidTr="0061143A">
        <w:trPr>
          <w:trHeight w:val="144"/>
        </w:trPr>
        <w:tc>
          <w:tcPr>
            <w:tcW w:w="1700" w:type="pct"/>
          </w:tcPr>
          <w:p w:rsidR="0061143A" w:rsidRPr="0061143A" w:rsidRDefault="0061143A" w:rsidP="00777A41">
            <w:pPr>
              <w:rPr>
                <w:sz w:val="20"/>
              </w:rPr>
            </w:pPr>
            <w:r w:rsidRPr="0061143A">
              <w:rPr>
                <w:sz w:val="20"/>
              </w:rPr>
              <w:t>Sales and Related Occupations</w:t>
            </w:r>
          </w:p>
        </w:tc>
        <w:tc>
          <w:tcPr>
            <w:tcW w:w="1631" w:type="pct"/>
          </w:tcPr>
          <w:p w:rsidR="0061143A" w:rsidRPr="0061143A" w:rsidRDefault="0061143A" w:rsidP="00777A41">
            <w:pPr>
              <w:rPr>
                <w:sz w:val="20"/>
              </w:rPr>
            </w:pPr>
            <w:r w:rsidRPr="0061143A">
              <w:rPr>
                <w:sz w:val="20"/>
              </w:rPr>
              <w:t>41-0000 Sales and Related Occupations</w:t>
            </w:r>
          </w:p>
        </w:tc>
        <w:tc>
          <w:tcPr>
            <w:tcW w:w="1669" w:type="pct"/>
          </w:tcPr>
          <w:p w:rsidR="0061143A" w:rsidRPr="0061143A" w:rsidRDefault="0061143A" w:rsidP="00777A41">
            <w:pPr>
              <w:rPr>
                <w:sz w:val="20"/>
              </w:rPr>
            </w:pPr>
            <w:r w:rsidRPr="0061143A">
              <w:rPr>
                <w:sz w:val="20"/>
              </w:rPr>
              <w:t>41-0000 Sales and Related Occupations</w:t>
            </w:r>
          </w:p>
        </w:tc>
      </w:tr>
      <w:tr w:rsidR="0061143A" w:rsidTr="0061143A">
        <w:trPr>
          <w:trHeight w:val="144"/>
        </w:trPr>
        <w:tc>
          <w:tcPr>
            <w:tcW w:w="1700" w:type="pct"/>
          </w:tcPr>
          <w:p w:rsidR="0061143A" w:rsidRPr="0061143A" w:rsidRDefault="0061143A" w:rsidP="00777A41">
            <w:pPr>
              <w:rPr>
                <w:sz w:val="20"/>
              </w:rPr>
            </w:pPr>
            <w:r w:rsidRPr="0061143A">
              <w:rPr>
                <w:sz w:val="20"/>
              </w:rPr>
              <w:t>Office and Administrative Support Occupations</w:t>
            </w:r>
          </w:p>
        </w:tc>
        <w:tc>
          <w:tcPr>
            <w:tcW w:w="1631" w:type="pct"/>
          </w:tcPr>
          <w:p w:rsidR="0061143A" w:rsidRPr="0061143A" w:rsidRDefault="0061143A" w:rsidP="00777A41">
            <w:pPr>
              <w:rPr>
                <w:sz w:val="20"/>
              </w:rPr>
            </w:pPr>
            <w:r w:rsidRPr="0061143A">
              <w:rPr>
                <w:sz w:val="20"/>
              </w:rPr>
              <w:t>43-0000 Office and Administrative Support Occupations</w:t>
            </w:r>
          </w:p>
        </w:tc>
        <w:tc>
          <w:tcPr>
            <w:tcW w:w="1669" w:type="pct"/>
          </w:tcPr>
          <w:p w:rsidR="0061143A" w:rsidRPr="0061143A" w:rsidRDefault="0061143A" w:rsidP="00777A41">
            <w:pPr>
              <w:rPr>
                <w:sz w:val="20"/>
              </w:rPr>
            </w:pPr>
            <w:r w:rsidRPr="0061143A">
              <w:rPr>
                <w:sz w:val="20"/>
              </w:rPr>
              <w:t>43-0000 Office and Administrative Support Occupations</w:t>
            </w:r>
          </w:p>
        </w:tc>
      </w:tr>
      <w:tr w:rsidR="0061143A" w:rsidTr="0061143A">
        <w:trPr>
          <w:trHeight w:val="144"/>
        </w:trPr>
        <w:tc>
          <w:tcPr>
            <w:tcW w:w="1700" w:type="pct"/>
          </w:tcPr>
          <w:p w:rsidR="0061143A" w:rsidRPr="0061143A" w:rsidRDefault="0061143A" w:rsidP="00777A41">
            <w:pPr>
              <w:rPr>
                <w:sz w:val="20"/>
              </w:rPr>
            </w:pPr>
            <w:r w:rsidRPr="0061143A">
              <w:rPr>
                <w:sz w:val="20"/>
              </w:rPr>
              <w:t>Natural Resources, Construction, and Maintenance</w:t>
            </w:r>
          </w:p>
          <w:p w:rsidR="0061143A" w:rsidRPr="0061143A" w:rsidRDefault="0061143A" w:rsidP="00777A41">
            <w:pPr>
              <w:rPr>
                <w:sz w:val="20"/>
              </w:rPr>
            </w:pPr>
            <w:r w:rsidRPr="0061143A">
              <w:rPr>
                <w:sz w:val="20"/>
              </w:rPr>
              <w:t>Occupations</w:t>
            </w:r>
          </w:p>
        </w:tc>
        <w:tc>
          <w:tcPr>
            <w:tcW w:w="1631" w:type="pct"/>
          </w:tcPr>
          <w:p w:rsidR="0061143A" w:rsidRPr="0061143A" w:rsidRDefault="0061143A" w:rsidP="00777A41">
            <w:pPr>
              <w:rPr>
                <w:sz w:val="20"/>
              </w:rPr>
            </w:pPr>
            <w:r w:rsidRPr="0061143A">
              <w:rPr>
                <w:sz w:val="20"/>
              </w:rPr>
              <w:t>45-0000 Farming, Fishing, and Forestry Occupations</w:t>
            </w:r>
          </w:p>
          <w:p w:rsidR="0061143A" w:rsidRPr="0061143A" w:rsidRDefault="0061143A" w:rsidP="00777A41">
            <w:pPr>
              <w:rPr>
                <w:sz w:val="20"/>
              </w:rPr>
            </w:pPr>
            <w:r w:rsidRPr="0061143A">
              <w:rPr>
                <w:sz w:val="20"/>
              </w:rPr>
              <w:t>47-0000 Construction and Extraction Occupations</w:t>
            </w:r>
          </w:p>
          <w:p w:rsidR="0061143A" w:rsidRPr="0061143A" w:rsidRDefault="0061143A" w:rsidP="00777A41">
            <w:pPr>
              <w:rPr>
                <w:sz w:val="20"/>
              </w:rPr>
            </w:pPr>
            <w:r w:rsidRPr="0061143A">
              <w:rPr>
                <w:sz w:val="20"/>
              </w:rPr>
              <w:t>49-0000 Installation, Maintenance, and Repair Occupations</w:t>
            </w:r>
          </w:p>
        </w:tc>
        <w:tc>
          <w:tcPr>
            <w:tcW w:w="1669" w:type="pct"/>
          </w:tcPr>
          <w:p w:rsidR="0061143A" w:rsidRPr="0061143A" w:rsidRDefault="0061143A" w:rsidP="00777A41">
            <w:pPr>
              <w:rPr>
                <w:sz w:val="20"/>
              </w:rPr>
            </w:pPr>
            <w:r w:rsidRPr="0061143A">
              <w:rPr>
                <w:sz w:val="20"/>
              </w:rPr>
              <w:t>45-0000 Farming, Fishing, and Forestry Occupations</w:t>
            </w:r>
          </w:p>
          <w:p w:rsidR="0061143A" w:rsidRPr="0061143A" w:rsidRDefault="0061143A" w:rsidP="00777A41">
            <w:pPr>
              <w:rPr>
                <w:sz w:val="20"/>
              </w:rPr>
            </w:pPr>
            <w:r w:rsidRPr="0061143A">
              <w:rPr>
                <w:sz w:val="20"/>
              </w:rPr>
              <w:t>47-0000 Construction and Extraction Occupations</w:t>
            </w:r>
          </w:p>
          <w:p w:rsidR="0061143A" w:rsidRPr="0061143A" w:rsidRDefault="0061143A" w:rsidP="00777A41">
            <w:pPr>
              <w:rPr>
                <w:sz w:val="20"/>
              </w:rPr>
            </w:pPr>
            <w:r w:rsidRPr="0061143A">
              <w:rPr>
                <w:sz w:val="20"/>
              </w:rPr>
              <w:t>49-0000 Installation, Maintenance, and Repair Occupations</w:t>
            </w:r>
          </w:p>
        </w:tc>
      </w:tr>
      <w:tr w:rsidR="0061143A" w:rsidTr="0061143A">
        <w:trPr>
          <w:trHeight w:val="144"/>
        </w:trPr>
        <w:tc>
          <w:tcPr>
            <w:tcW w:w="1700" w:type="pct"/>
          </w:tcPr>
          <w:p w:rsidR="0061143A" w:rsidRPr="0061143A" w:rsidRDefault="0061143A" w:rsidP="00777A41">
            <w:pPr>
              <w:rPr>
                <w:sz w:val="20"/>
              </w:rPr>
            </w:pPr>
            <w:r w:rsidRPr="0061143A">
              <w:rPr>
                <w:sz w:val="20"/>
              </w:rPr>
              <w:t>Production, Transportation, and Material Moving Occupations</w:t>
            </w:r>
          </w:p>
        </w:tc>
        <w:tc>
          <w:tcPr>
            <w:tcW w:w="1631" w:type="pct"/>
          </w:tcPr>
          <w:p w:rsidR="0061143A" w:rsidRPr="0061143A" w:rsidRDefault="0061143A" w:rsidP="00777A41">
            <w:pPr>
              <w:rPr>
                <w:sz w:val="20"/>
              </w:rPr>
            </w:pPr>
            <w:r w:rsidRPr="0061143A">
              <w:rPr>
                <w:sz w:val="20"/>
              </w:rPr>
              <w:t>51-0000 Production Occupations</w:t>
            </w:r>
          </w:p>
          <w:p w:rsidR="0061143A" w:rsidRPr="0061143A" w:rsidRDefault="0061143A" w:rsidP="00777A41">
            <w:pPr>
              <w:rPr>
                <w:sz w:val="20"/>
              </w:rPr>
            </w:pPr>
            <w:r w:rsidRPr="0061143A">
              <w:rPr>
                <w:sz w:val="20"/>
              </w:rPr>
              <w:t>53-0000 Transportation and</w:t>
            </w:r>
          </w:p>
          <w:p w:rsidR="0061143A" w:rsidRPr="0061143A" w:rsidRDefault="0061143A" w:rsidP="00777A41">
            <w:pPr>
              <w:rPr>
                <w:sz w:val="20"/>
              </w:rPr>
            </w:pPr>
            <w:r w:rsidRPr="0061143A">
              <w:rPr>
                <w:sz w:val="20"/>
              </w:rPr>
              <w:t>Material Moving Occupations</w:t>
            </w:r>
          </w:p>
        </w:tc>
        <w:tc>
          <w:tcPr>
            <w:tcW w:w="1669" w:type="pct"/>
          </w:tcPr>
          <w:p w:rsidR="0061143A" w:rsidRPr="0061143A" w:rsidRDefault="0061143A" w:rsidP="00777A41">
            <w:pPr>
              <w:rPr>
                <w:sz w:val="20"/>
              </w:rPr>
            </w:pPr>
            <w:r w:rsidRPr="0061143A">
              <w:rPr>
                <w:sz w:val="20"/>
              </w:rPr>
              <w:t>51-0000 Production Occupations</w:t>
            </w:r>
          </w:p>
          <w:p w:rsidR="0061143A" w:rsidRPr="0061143A" w:rsidRDefault="0061143A" w:rsidP="00777A41">
            <w:pPr>
              <w:rPr>
                <w:sz w:val="20"/>
              </w:rPr>
            </w:pPr>
            <w:r w:rsidRPr="0061143A">
              <w:rPr>
                <w:sz w:val="20"/>
              </w:rPr>
              <w:t>53-0000 Transportation and</w:t>
            </w:r>
          </w:p>
          <w:p w:rsidR="0061143A" w:rsidRPr="0061143A" w:rsidRDefault="0061143A" w:rsidP="00777A41">
            <w:pPr>
              <w:rPr>
                <w:sz w:val="20"/>
              </w:rPr>
            </w:pPr>
            <w:r w:rsidRPr="0061143A">
              <w:rPr>
                <w:sz w:val="20"/>
              </w:rPr>
              <w:t>Material Moving Occupations</w:t>
            </w:r>
          </w:p>
        </w:tc>
      </w:tr>
      <w:tr w:rsidR="0061143A" w:rsidTr="0061143A">
        <w:trPr>
          <w:trHeight w:val="144"/>
        </w:trPr>
        <w:tc>
          <w:tcPr>
            <w:tcW w:w="1700" w:type="pct"/>
          </w:tcPr>
          <w:p w:rsidR="0061143A" w:rsidRPr="0061143A" w:rsidRDefault="0061143A" w:rsidP="00777A41">
            <w:pPr>
              <w:rPr>
                <w:sz w:val="20"/>
              </w:rPr>
            </w:pPr>
            <w:r w:rsidRPr="0061143A">
              <w:rPr>
                <w:sz w:val="20"/>
              </w:rPr>
              <w:t>Not applicable to HR Survey</w:t>
            </w:r>
          </w:p>
          <w:p w:rsidR="0061143A" w:rsidRPr="0061143A" w:rsidRDefault="0061143A" w:rsidP="00777A41">
            <w:pPr>
              <w:rPr>
                <w:sz w:val="20"/>
              </w:rPr>
            </w:pPr>
            <w:r w:rsidRPr="0061143A">
              <w:rPr>
                <w:sz w:val="20"/>
              </w:rPr>
              <w:t>(Military Specific Occupations are not reported in the</w:t>
            </w:r>
          </w:p>
          <w:p w:rsidR="0061143A" w:rsidRPr="0061143A" w:rsidRDefault="0061143A" w:rsidP="00777A41">
            <w:pPr>
              <w:rPr>
                <w:sz w:val="20"/>
              </w:rPr>
            </w:pPr>
            <w:r w:rsidRPr="0061143A">
              <w:rPr>
                <w:sz w:val="20"/>
              </w:rPr>
              <w:t>IPEDS HR survey)</w:t>
            </w:r>
          </w:p>
        </w:tc>
        <w:tc>
          <w:tcPr>
            <w:tcW w:w="1631" w:type="pct"/>
          </w:tcPr>
          <w:p w:rsidR="0061143A" w:rsidRPr="0061143A" w:rsidRDefault="0061143A" w:rsidP="00777A41">
            <w:pPr>
              <w:rPr>
                <w:sz w:val="20"/>
              </w:rPr>
            </w:pPr>
            <w:r w:rsidRPr="0061143A">
              <w:rPr>
                <w:sz w:val="20"/>
              </w:rPr>
              <w:t>55-0000 Military Specific</w:t>
            </w:r>
          </w:p>
          <w:p w:rsidR="0061143A" w:rsidRPr="0061143A" w:rsidRDefault="0061143A" w:rsidP="00777A41">
            <w:pPr>
              <w:rPr>
                <w:sz w:val="20"/>
              </w:rPr>
            </w:pPr>
            <w:r w:rsidRPr="0061143A">
              <w:rPr>
                <w:sz w:val="20"/>
              </w:rPr>
              <w:t>Occupations</w:t>
            </w:r>
          </w:p>
        </w:tc>
        <w:tc>
          <w:tcPr>
            <w:tcW w:w="1669" w:type="pct"/>
          </w:tcPr>
          <w:p w:rsidR="0061143A" w:rsidRPr="0061143A" w:rsidRDefault="0061143A" w:rsidP="00777A41">
            <w:pPr>
              <w:rPr>
                <w:sz w:val="20"/>
              </w:rPr>
            </w:pPr>
            <w:r w:rsidRPr="0061143A">
              <w:rPr>
                <w:sz w:val="20"/>
              </w:rPr>
              <w:t>55-0000 Military Specific</w:t>
            </w:r>
          </w:p>
          <w:p w:rsidR="0061143A" w:rsidRPr="0061143A" w:rsidRDefault="0061143A" w:rsidP="00777A41">
            <w:pPr>
              <w:rPr>
                <w:sz w:val="20"/>
              </w:rPr>
            </w:pPr>
            <w:r w:rsidRPr="0061143A">
              <w:rPr>
                <w:sz w:val="20"/>
              </w:rPr>
              <w:t>Occupations</w:t>
            </w:r>
          </w:p>
        </w:tc>
      </w:tr>
      <w:tr w:rsidR="0061143A" w:rsidTr="0061143A">
        <w:trPr>
          <w:trHeight w:val="144"/>
        </w:trPr>
        <w:tc>
          <w:tcPr>
            <w:tcW w:w="1700" w:type="pct"/>
          </w:tcPr>
          <w:p w:rsidR="0061143A" w:rsidRPr="0061143A" w:rsidRDefault="0061143A" w:rsidP="00777A41">
            <w:pPr>
              <w:rPr>
                <w:b/>
                <w:sz w:val="20"/>
              </w:rPr>
            </w:pPr>
            <w:r w:rsidRPr="0061143A">
              <w:rPr>
                <w:b/>
                <w:sz w:val="20"/>
              </w:rPr>
              <w:t>Graduate Assistants</w:t>
            </w:r>
          </w:p>
        </w:tc>
        <w:tc>
          <w:tcPr>
            <w:tcW w:w="1631" w:type="pct"/>
          </w:tcPr>
          <w:p w:rsidR="0061143A" w:rsidRPr="0061143A" w:rsidRDefault="0061143A" w:rsidP="00777A41">
            <w:pPr>
              <w:rPr>
                <w:sz w:val="20"/>
              </w:rPr>
            </w:pPr>
          </w:p>
        </w:tc>
        <w:tc>
          <w:tcPr>
            <w:tcW w:w="1669" w:type="pct"/>
          </w:tcPr>
          <w:p w:rsidR="0061143A" w:rsidRPr="0061143A" w:rsidRDefault="0061143A" w:rsidP="00777A41">
            <w:pPr>
              <w:rPr>
                <w:sz w:val="20"/>
              </w:rPr>
            </w:pPr>
          </w:p>
        </w:tc>
      </w:tr>
      <w:tr w:rsidR="0061143A" w:rsidRPr="00DF1C28" w:rsidTr="0061143A">
        <w:trPr>
          <w:trHeight w:val="144"/>
        </w:trPr>
        <w:tc>
          <w:tcPr>
            <w:tcW w:w="1700" w:type="pct"/>
          </w:tcPr>
          <w:p w:rsidR="0061143A" w:rsidRPr="0061143A" w:rsidRDefault="0061143A" w:rsidP="00777A41">
            <w:pPr>
              <w:rPr>
                <w:sz w:val="20"/>
              </w:rPr>
            </w:pPr>
            <w:r w:rsidRPr="0061143A">
              <w:rPr>
                <w:sz w:val="20"/>
              </w:rPr>
              <w:t>Graduate Assistants - Teaching</w:t>
            </w:r>
          </w:p>
        </w:tc>
        <w:tc>
          <w:tcPr>
            <w:tcW w:w="1631" w:type="pct"/>
          </w:tcPr>
          <w:p w:rsidR="0061143A" w:rsidRPr="0061143A" w:rsidRDefault="0061143A" w:rsidP="00777A41">
            <w:pPr>
              <w:rPr>
                <w:strike/>
                <w:sz w:val="20"/>
              </w:rPr>
            </w:pPr>
            <w:r w:rsidRPr="0061143A">
              <w:rPr>
                <w:strike/>
                <w:sz w:val="20"/>
              </w:rPr>
              <w:t>25-1191 Graduate Teaching</w:t>
            </w:r>
          </w:p>
          <w:p w:rsidR="0061143A" w:rsidRPr="0061143A" w:rsidRDefault="0061143A" w:rsidP="00777A41">
            <w:pPr>
              <w:rPr>
                <w:sz w:val="20"/>
              </w:rPr>
            </w:pPr>
            <w:r w:rsidRPr="0061143A">
              <w:rPr>
                <w:strike/>
                <w:sz w:val="20"/>
              </w:rPr>
              <w:t>Assistant</w:t>
            </w:r>
          </w:p>
        </w:tc>
        <w:tc>
          <w:tcPr>
            <w:tcW w:w="1669" w:type="pct"/>
          </w:tcPr>
          <w:p w:rsidR="0061143A" w:rsidRPr="0061143A" w:rsidRDefault="0061143A" w:rsidP="00777A41">
            <w:pPr>
              <w:rPr>
                <w:sz w:val="20"/>
              </w:rPr>
            </w:pPr>
            <w:r w:rsidRPr="0061143A">
              <w:rPr>
                <w:color w:val="4F81BD" w:themeColor="accent1"/>
                <w:sz w:val="20"/>
              </w:rPr>
              <w:t>25-9044 Teaching Assistants, Postsecondary</w:t>
            </w:r>
          </w:p>
        </w:tc>
      </w:tr>
      <w:tr w:rsidR="0061143A" w:rsidRPr="00DF1C28" w:rsidTr="0061143A">
        <w:trPr>
          <w:trHeight w:val="144"/>
        </w:trPr>
        <w:tc>
          <w:tcPr>
            <w:tcW w:w="1700" w:type="pct"/>
          </w:tcPr>
          <w:p w:rsidR="0061143A" w:rsidRPr="0061143A" w:rsidRDefault="0061143A" w:rsidP="00777A41">
            <w:pPr>
              <w:rPr>
                <w:sz w:val="20"/>
              </w:rPr>
            </w:pPr>
            <w:r w:rsidRPr="0061143A">
              <w:rPr>
                <w:sz w:val="20"/>
              </w:rPr>
              <w:t>Graduate Assistants - Research</w:t>
            </w:r>
          </w:p>
        </w:tc>
        <w:tc>
          <w:tcPr>
            <w:tcW w:w="1631" w:type="pct"/>
          </w:tcPr>
          <w:p w:rsidR="0061143A" w:rsidRPr="0061143A" w:rsidRDefault="0061143A" w:rsidP="00777A41">
            <w:pPr>
              <w:rPr>
                <w:sz w:val="20"/>
              </w:rPr>
            </w:pPr>
            <w:r w:rsidRPr="0061143A">
              <w:rPr>
                <w:sz w:val="20"/>
              </w:rPr>
              <w:t>There is no single SOC Code</w:t>
            </w:r>
          </w:p>
          <w:p w:rsidR="0061143A" w:rsidRPr="0061143A" w:rsidRDefault="0061143A" w:rsidP="00777A41">
            <w:pPr>
              <w:rPr>
                <w:sz w:val="20"/>
              </w:rPr>
            </w:pPr>
            <w:r w:rsidRPr="0061143A">
              <w:rPr>
                <w:sz w:val="20"/>
              </w:rPr>
              <w:t>associated with this IPEDS</w:t>
            </w:r>
          </w:p>
          <w:p w:rsidR="0061143A" w:rsidRPr="0061143A" w:rsidRDefault="0061143A" w:rsidP="00777A41">
            <w:pPr>
              <w:rPr>
                <w:sz w:val="20"/>
              </w:rPr>
            </w:pPr>
            <w:r w:rsidRPr="0061143A">
              <w:rPr>
                <w:sz w:val="20"/>
              </w:rPr>
              <w:t>Occupational Category</w:t>
            </w:r>
          </w:p>
        </w:tc>
        <w:tc>
          <w:tcPr>
            <w:tcW w:w="1669" w:type="pct"/>
          </w:tcPr>
          <w:p w:rsidR="0061143A" w:rsidRPr="0061143A" w:rsidRDefault="0061143A" w:rsidP="00777A41">
            <w:pPr>
              <w:rPr>
                <w:sz w:val="20"/>
              </w:rPr>
            </w:pPr>
            <w:r w:rsidRPr="0061143A">
              <w:rPr>
                <w:sz w:val="20"/>
              </w:rPr>
              <w:t>There is no single SOC Code</w:t>
            </w:r>
          </w:p>
          <w:p w:rsidR="0061143A" w:rsidRPr="0061143A" w:rsidRDefault="0061143A" w:rsidP="00777A41">
            <w:pPr>
              <w:rPr>
                <w:sz w:val="20"/>
              </w:rPr>
            </w:pPr>
            <w:r w:rsidRPr="0061143A">
              <w:rPr>
                <w:sz w:val="20"/>
              </w:rPr>
              <w:t>associated with this IPEDS</w:t>
            </w:r>
          </w:p>
          <w:p w:rsidR="0061143A" w:rsidRPr="0061143A" w:rsidRDefault="0061143A" w:rsidP="00777A41">
            <w:pPr>
              <w:rPr>
                <w:sz w:val="20"/>
              </w:rPr>
            </w:pPr>
            <w:r w:rsidRPr="0061143A">
              <w:rPr>
                <w:sz w:val="20"/>
              </w:rPr>
              <w:t>Occupational Category</w:t>
            </w:r>
          </w:p>
        </w:tc>
      </w:tr>
      <w:tr w:rsidR="0061143A" w:rsidTr="0061143A">
        <w:trPr>
          <w:trHeight w:val="144"/>
        </w:trPr>
        <w:tc>
          <w:tcPr>
            <w:tcW w:w="1700" w:type="pct"/>
          </w:tcPr>
          <w:p w:rsidR="0061143A" w:rsidRPr="0061143A" w:rsidRDefault="0061143A" w:rsidP="00777A41">
            <w:pPr>
              <w:rPr>
                <w:sz w:val="20"/>
              </w:rPr>
            </w:pPr>
            <w:r w:rsidRPr="0061143A">
              <w:rPr>
                <w:sz w:val="20"/>
              </w:rPr>
              <w:t>Graduate Assistants - Other</w:t>
            </w:r>
          </w:p>
        </w:tc>
        <w:tc>
          <w:tcPr>
            <w:tcW w:w="1631" w:type="pct"/>
          </w:tcPr>
          <w:p w:rsidR="0061143A" w:rsidRPr="0061143A" w:rsidRDefault="0061143A" w:rsidP="00777A41">
            <w:pPr>
              <w:rPr>
                <w:sz w:val="20"/>
              </w:rPr>
            </w:pPr>
            <w:r w:rsidRPr="0061143A">
              <w:rPr>
                <w:sz w:val="20"/>
              </w:rPr>
              <w:t>25-4000 Librarians, Curators, and Archivists</w:t>
            </w:r>
          </w:p>
          <w:p w:rsidR="0061143A" w:rsidRPr="0061143A" w:rsidRDefault="0061143A" w:rsidP="00777A41">
            <w:pPr>
              <w:rPr>
                <w:sz w:val="20"/>
              </w:rPr>
            </w:pPr>
            <w:r w:rsidRPr="0061143A">
              <w:rPr>
                <w:sz w:val="20"/>
              </w:rPr>
              <w:t>25-4010 Archivists, Curators, and Museum Technicians</w:t>
            </w:r>
          </w:p>
          <w:p w:rsidR="0061143A" w:rsidRPr="0061143A" w:rsidRDefault="0061143A" w:rsidP="00777A41">
            <w:pPr>
              <w:rPr>
                <w:sz w:val="20"/>
              </w:rPr>
            </w:pPr>
            <w:r w:rsidRPr="0061143A">
              <w:rPr>
                <w:sz w:val="20"/>
              </w:rPr>
              <w:t>25-4020 Librarians</w:t>
            </w:r>
          </w:p>
          <w:p w:rsidR="0061143A" w:rsidRPr="0061143A" w:rsidRDefault="0061143A" w:rsidP="00777A41">
            <w:pPr>
              <w:rPr>
                <w:sz w:val="20"/>
              </w:rPr>
            </w:pPr>
            <w:r w:rsidRPr="0061143A">
              <w:rPr>
                <w:sz w:val="20"/>
              </w:rPr>
              <w:t>25-4030 Library Technicians</w:t>
            </w:r>
          </w:p>
          <w:p w:rsidR="0061143A" w:rsidRPr="0061143A" w:rsidRDefault="0061143A" w:rsidP="00777A41">
            <w:pPr>
              <w:rPr>
                <w:sz w:val="20"/>
              </w:rPr>
            </w:pPr>
            <w:r w:rsidRPr="0061143A">
              <w:rPr>
                <w:sz w:val="20"/>
              </w:rPr>
              <w:t>25-2000 Preschool, Primary,</w:t>
            </w:r>
          </w:p>
          <w:p w:rsidR="0061143A" w:rsidRPr="0061143A" w:rsidRDefault="0061143A" w:rsidP="00777A41">
            <w:pPr>
              <w:rPr>
                <w:sz w:val="20"/>
              </w:rPr>
            </w:pPr>
            <w:r w:rsidRPr="0061143A">
              <w:rPr>
                <w:sz w:val="20"/>
              </w:rPr>
              <w:t>Secondary, and Special Education School Teachers</w:t>
            </w:r>
          </w:p>
          <w:p w:rsidR="0061143A" w:rsidRPr="0061143A" w:rsidRDefault="0061143A" w:rsidP="00777A41">
            <w:pPr>
              <w:rPr>
                <w:sz w:val="20"/>
              </w:rPr>
            </w:pPr>
            <w:r w:rsidRPr="0061143A">
              <w:rPr>
                <w:sz w:val="20"/>
              </w:rPr>
              <w:t>25-3000 Other Teachers and Instructors</w:t>
            </w:r>
          </w:p>
          <w:p w:rsidR="0061143A" w:rsidRPr="0061143A" w:rsidRDefault="0061143A" w:rsidP="00777A41">
            <w:pPr>
              <w:rPr>
                <w:sz w:val="20"/>
              </w:rPr>
            </w:pPr>
            <w:r w:rsidRPr="0061143A">
              <w:rPr>
                <w:sz w:val="20"/>
              </w:rPr>
              <w:t>25-9000 Other Education,</w:t>
            </w:r>
          </w:p>
          <w:p w:rsidR="0061143A" w:rsidRPr="0061143A" w:rsidRDefault="0061143A" w:rsidP="00777A41">
            <w:pPr>
              <w:rPr>
                <w:sz w:val="20"/>
              </w:rPr>
            </w:pPr>
            <w:r w:rsidRPr="0061143A">
              <w:rPr>
                <w:sz w:val="20"/>
              </w:rPr>
              <w:t>Training, and Library</w:t>
            </w:r>
          </w:p>
          <w:p w:rsidR="0061143A" w:rsidRPr="0061143A" w:rsidRDefault="0061143A" w:rsidP="00777A41">
            <w:pPr>
              <w:rPr>
                <w:sz w:val="20"/>
              </w:rPr>
            </w:pPr>
            <w:r w:rsidRPr="0061143A">
              <w:rPr>
                <w:sz w:val="20"/>
              </w:rPr>
              <w:t>Occupations</w:t>
            </w:r>
          </w:p>
          <w:p w:rsidR="0061143A" w:rsidRPr="0061143A" w:rsidRDefault="0061143A" w:rsidP="00777A41">
            <w:pPr>
              <w:rPr>
                <w:sz w:val="20"/>
              </w:rPr>
            </w:pPr>
            <w:r w:rsidRPr="0061143A">
              <w:rPr>
                <w:sz w:val="20"/>
              </w:rPr>
              <w:t>11-0000 Management Occupations</w:t>
            </w:r>
          </w:p>
          <w:p w:rsidR="0061143A" w:rsidRPr="0061143A" w:rsidRDefault="0061143A" w:rsidP="00777A41">
            <w:pPr>
              <w:rPr>
                <w:sz w:val="20"/>
              </w:rPr>
            </w:pPr>
            <w:r w:rsidRPr="0061143A">
              <w:rPr>
                <w:sz w:val="20"/>
              </w:rPr>
              <w:t>13-0000 Business and Financial Operations Occupations</w:t>
            </w:r>
          </w:p>
          <w:p w:rsidR="0061143A" w:rsidRPr="0061143A" w:rsidRDefault="0061143A" w:rsidP="00777A41">
            <w:pPr>
              <w:rPr>
                <w:sz w:val="20"/>
              </w:rPr>
            </w:pPr>
            <w:r w:rsidRPr="0061143A">
              <w:rPr>
                <w:sz w:val="20"/>
              </w:rPr>
              <w:t>15-0000 Computer and Mathematical Occupations</w:t>
            </w:r>
          </w:p>
          <w:p w:rsidR="0061143A" w:rsidRPr="0061143A" w:rsidRDefault="0061143A" w:rsidP="00777A41">
            <w:pPr>
              <w:rPr>
                <w:sz w:val="20"/>
              </w:rPr>
            </w:pPr>
            <w:r w:rsidRPr="0061143A">
              <w:rPr>
                <w:sz w:val="20"/>
              </w:rPr>
              <w:t>17-0000 Architecture and Engineering Occupations</w:t>
            </w:r>
          </w:p>
          <w:p w:rsidR="0061143A" w:rsidRPr="0061143A" w:rsidRDefault="0061143A" w:rsidP="00777A41">
            <w:pPr>
              <w:rPr>
                <w:sz w:val="20"/>
              </w:rPr>
            </w:pPr>
            <w:r w:rsidRPr="0061143A">
              <w:rPr>
                <w:sz w:val="20"/>
              </w:rPr>
              <w:t xml:space="preserve">19-0000 Life, Physical, and Social Science Occupations </w:t>
            </w:r>
          </w:p>
          <w:p w:rsidR="0061143A" w:rsidRPr="0061143A" w:rsidRDefault="0061143A" w:rsidP="00777A41">
            <w:pPr>
              <w:rPr>
                <w:sz w:val="20"/>
              </w:rPr>
            </w:pPr>
            <w:r w:rsidRPr="0061143A">
              <w:rPr>
                <w:sz w:val="20"/>
              </w:rPr>
              <w:t>21-0000 Community and Social Service Occupations</w:t>
            </w:r>
          </w:p>
          <w:p w:rsidR="0061143A" w:rsidRPr="0061143A" w:rsidRDefault="0061143A" w:rsidP="00777A41">
            <w:pPr>
              <w:rPr>
                <w:sz w:val="20"/>
              </w:rPr>
            </w:pPr>
            <w:r w:rsidRPr="0061143A">
              <w:rPr>
                <w:sz w:val="20"/>
              </w:rPr>
              <w:t>23-0000 Legal Occupations</w:t>
            </w:r>
          </w:p>
          <w:p w:rsidR="0061143A" w:rsidRPr="0061143A" w:rsidRDefault="0061143A" w:rsidP="00777A41">
            <w:pPr>
              <w:rPr>
                <w:sz w:val="20"/>
              </w:rPr>
            </w:pPr>
            <w:r w:rsidRPr="0061143A">
              <w:rPr>
                <w:sz w:val="20"/>
              </w:rPr>
              <w:t>27-0000 Arts, Design, Entertainment, Sports, and Media Occupations</w:t>
            </w:r>
          </w:p>
          <w:p w:rsidR="0061143A" w:rsidRPr="0061143A" w:rsidRDefault="0061143A" w:rsidP="00777A41">
            <w:pPr>
              <w:rPr>
                <w:sz w:val="20"/>
              </w:rPr>
            </w:pPr>
            <w:r w:rsidRPr="0061143A">
              <w:rPr>
                <w:sz w:val="20"/>
              </w:rPr>
              <w:t>29-0000 Healthcare Practitioners and Technical Occupations</w:t>
            </w:r>
          </w:p>
        </w:tc>
        <w:tc>
          <w:tcPr>
            <w:tcW w:w="1669" w:type="pct"/>
          </w:tcPr>
          <w:p w:rsidR="0061143A" w:rsidRPr="0061143A" w:rsidRDefault="0061143A" w:rsidP="00777A41">
            <w:pPr>
              <w:rPr>
                <w:sz w:val="20"/>
              </w:rPr>
            </w:pPr>
            <w:r w:rsidRPr="0061143A">
              <w:rPr>
                <w:sz w:val="20"/>
              </w:rPr>
              <w:t>25-4000 Librarians, Curators, and Archivists</w:t>
            </w:r>
          </w:p>
          <w:p w:rsidR="0061143A" w:rsidRPr="0061143A" w:rsidRDefault="0061143A" w:rsidP="00777A41">
            <w:pPr>
              <w:rPr>
                <w:sz w:val="20"/>
              </w:rPr>
            </w:pPr>
            <w:r w:rsidRPr="0061143A">
              <w:rPr>
                <w:sz w:val="20"/>
              </w:rPr>
              <w:t>25-4010 Archivists, Curators, and Museum Technicians</w:t>
            </w:r>
          </w:p>
          <w:p w:rsidR="0061143A" w:rsidRPr="0061143A" w:rsidRDefault="0061143A" w:rsidP="00777A41">
            <w:pPr>
              <w:rPr>
                <w:sz w:val="20"/>
              </w:rPr>
            </w:pPr>
            <w:r w:rsidRPr="0061143A">
              <w:rPr>
                <w:sz w:val="20"/>
              </w:rPr>
              <w:t>25-4020 Librarians and Media Collections Specialists</w:t>
            </w:r>
          </w:p>
          <w:p w:rsidR="0061143A" w:rsidRPr="0061143A" w:rsidRDefault="0061143A" w:rsidP="00777A41">
            <w:pPr>
              <w:rPr>
                <w:sz w:val="20"/>
              </w:rPr>
            </w:pPr>
            <w:r w:rsidRPr="0061143A">
              <w:rPr>
                <w:sz w:val="20"/>
              </w:rPr>
              <w:t>25-4030 Library Technicians</w:t>
            </w:r>
          </w:p>
          <w:p w:rsidR="0061143A" w:rsidRPr="0061143A" w:rsidRDefault="0061143A" w:rsidP="00777A41">
            <w:pPr>
              <w:rPr>
                <w:sz w:val="20"/>
              </w:rPr>
            </w:pPr>
            <w:r w:rsidRPr="0061143A">
              <w:rPr>
                <w:sz w:val="20"/>
              </w:rPr>
              <w:t>25-2000 Preschool, Elementary, Middle, Secondary, and Special Education Teachers</w:t>
            </w:r>
          </w:p>
          <w:p w:rsidR="0061143A" w:rsidRPr="0061143A" w:rsidRDefault="0061143A" w:rsidP="00777A41">
            <w:pPr>
              <w:rPr>
                <w:sz w:val="20"/>
              </w:rPr>
            </w:pPr>
            <w:r w:rsidRPr="0061143A">
              <w:rPr>
                <w:sz w:val="20"/>
              </w:rPr>
              <w:t>25-3000 Other Teachers and Instructors</w:t>
            </w:r>
          </w:p>
          <w:p w:rsidR="0061143A" w:rsidRPr="0061143A" w:rsidRDefault="0061143A" w:rsidP="00777A41">
            <w:pPr>
              <w:rPr>
                <w:sz w:val="20"/>
              </w:rPr>
            </w:pPr>
            <w:r w:rsidRPr="0061143A">
              <w:rPr>
                <w:sz w:val="20"/>
              </w:rPr>
              <w:t>25-9000 Other Educational Instruction and Library Occupations</w:t>
            </w:r>
          </w:p>
          <w:p w:rsidR="0061143A" w:rsidRPr="0061143A" w:rsidRDefault="0061143A" w:rsidP="00777A41">
            <w:pPr>
              <w:rPr>
                <w:sz w:val="20"/>
              </w:rPr>
            </w:pPr>
            <w:r w:rsidRPr="0061143A">
              <w:rPr>
                <w:sz w:val="20"/>
              </w:rPr>
              <w:t>11-0000 Management Occupations</w:t>
            </w:r>
          </w:p>
          <w:p w:rsidR="0061143A" w:rsidRPr="0061143A" w:rsidRDefault="0061143A" w:rsidP="00777A41">
            <w:pPr>
              <w:rPr>
                <w:sz w:val="20"/>
              </w:rPr>
            </w:pPr>
            <w:r w:rsidRPr="0061143A">
              <w:rPr>
                <w:sz w:val="20"/>
              </w:rPr>
              <w:t>13-0000 Business and Financial Operations Occupations</w:t>
            </w:r>
          </w:p>
          <w:p w:rsidR="0061143A" w:rsidRPr="0061143A" w:rsidRDefault="0061143A" w:rsidP="00777A41">
            <w:pPr>
              <w:rPr>
                <w:sz w:val="20"/>
              </w:rPr>
            </w:pPr>
            <w:r w:rsidRPr="0061143A">
              <w:rPr>
                <w:sz w:val="20"/>
              </w:rPr>
              <w:t>15-0000 Computer and Mathematical Occupations</w:t>
            </w:r>
          </w:p>
          <w:p w:rsidR="0061143A" w:rsidRPr="0061143A" w:rsidRDefault="0061143A" w:rsidP="00777A41">
            <w:pPr>
              <w:rPr>
                <w:sz w:val="20"/>
              </w:rPr>
            </w:pPr>
            <w:r w:rsidRPr="0061143A">
              <w:rPr>
                <w:sz w:val="20"/>
              </w:rPr>
              <w:t>17-0000 Architecture and Engineering Occupations</w:t>
            </w:r>
          </w:p>
          <w:p w:rsidR="0061143A" w:rsidRPr="0061143A" w:rsidRDefault="0061143A" w:rsidP="00777A41">
            <w:pPr>
              <w:rPr>
                <w:sz w:val="20"/>
              </w:rPr>
            </w:pPr>
            <w:r w:rsidRPr="0061143A">
              <w:rPr>
                <w:sz w:val="20"/>
              </w:rPr>
              <w:t xml:space="preserve">19-0000 Life, Physical, and Social Science Occupations </w:t>
            </w:r>
          </w:p>
          <w:p w:rsidR="0061143A" w:rsidRPr="0061143A" w:rsidRDefault="0061143A" w:rsidP="00777A41">
            <w:pPr>
              <w:rPr>
                <w:sz w:val="20"/>
              </w:rPr>
            </w:pPr>
            <w:r w:rsidRPr="0061143A">
              <w:rPr>
                <w:sz w:val="20"/>
              </w:rPr>
              <w:t>21-0000 Community and Social Service Occupations</w:t>
            </w:r>
          </w:p>
          <w:p w:rsidR="0061143A" w:rsidRPr="0061143A" w:rsidRDefault="0061143A" w:rsidP="00777A41">
            <w:pPr>
              <w:rPr>
                <w:sz w:val="20"/>
              </w:rPr>
            </w:pPr>
            <w:r w:rsidRPr="0061143A">
              <w:rPr>
                <w:sz w:val="20"/>
              </w:rPr>
              <w:t>23-0000 Legal Occupations</w:t>
            </w:r>
          </w:p>
          <w:p w:rsidR="0061143A" w:rsidRPr="0061143A" w:rsidRDefault="0061143A" w:rsidP="00777A41">
            <w:pPr>
              <w:rPr>
                <w:sz w:val="20"/>
              </w:rPr>
            </w:pPr>
            <w:r w:rsidRPr="0061143A">
              <w:rPr>
                <w:sz w:val="20"/>
              </w:rPr>
              <w:t>27-0000 Arts, Design, Entertainment, Sports, and Media Occupations</w:t>
            </w:r>
          </w:p>
          <w:p w:rsidR="0061143A" w:rsidRPr="0061143A" w:rsidRDefault="0061143A" w:rsidP="00777A41">
            <w:pPr>
              <w:rPr>
                <w:sz w:val="20"/>
              </w:rPr>
            </w:pPr>
            <w:r w:rsidRPr="0061143A">
              <w:rPr>
                <w:sz w:val="20"/>
              </w:rPr>
              <w:t>29-0000 Healthcare Practitioners and Technical Occupations</w:t>
            </w:r>
          </w:p>
        </w:tc>
      </w:tr>
      <w:tr w:rsidR="0061143A" w:rsidRPr="00DF1C28" w:rsidTr="0061143A">
        <w:trPr>
          <w:trHeight w:val="144"/>
        </w:trPr>
        <w:tc>
          <w:tcPr>
            <w:tcW w:w="1700" w:type="pct"/>
          </w:tcPr>
          <w:p w:rsidR="0061143A" w:rsidRPr="0061143A" w:rsidRDefault="0061143A" w:rsidP="00777A41">
            <w:pPr>
              <w:rPr>
                <w:sz w:val="20"/>
              </w:rPr>
            </w:pPr>
            <w:r w:rsidRPr="0061143A">
              <w:rPr>
                <w:sz w:val="20"/>
              </w:rPr>
              <w:t>Graduate Assistants in occupational categories other</w:t>
            </w:r>
          </w:p>
          <w:p w:rsidR="0061143A" w:rsidRPr="0061143A" w:rsidRDefault="0061143A" w:rsidP="00777A41">
            <w:pPr>
              <w:rPr>
                <w:sz w:val="20"/>
              </w:rPr>
            </w:pPr>
            <w:r w:rsidRPr="0061143A">
              <w:rPr>
                <w:sz w:val="20"/>
              </w:rPr>
              <w:t>than those listed above are not reported in the HR</w:t>
            </w:r>
          </w:p>
          <w:p w:rsidR="0061143A" w:rsidRPr="0061143A" w:rsidRDefault="0061143A" w:rsidP="00777A41">
            <w:pPr>
              <w:rPr>
                <w:sz w:val="20"/>
              </w:rPr>
            </w:pPr>
            <w:r w:rsidRPr="0061143A">
              <w:rPr>
                <w:sz w:val="20"/>
              </w:rPr>
              <w:t>Survey</w:t>
            </w:r>
          </w:p>
        </w:tc>
        <w:tc>
          <w:tcPr>
            <w:tcW w:w="1631" w:type="pct"/>
          </w:tcPr>
          <w:p w:rsidR="0061143A" w:rsidRPr="0061143A" w:rsidRDefault="0061143A" w:rsidP="00777A41">
            <w:pPr>
              <w:rPr>
                <w:sz w:val="20"/>
              </w:rPr>
            </w:pPr>
          </w:p>
        </w:tc>
        <w:tc>
          <w:tcPr>
            <w:tcW w:w="1669" w:type="pct"/>
          </w:tcPr>
          <w:p w:rsidR="0061143A" w:rsidRPr="0061143A" w:rsidRDefault="0061143A" w:rsidP="00777A41">
            <w:pPr>
              <w:rPr>
                <w:sz w:val="20"/>
              </w:rPr>
            </w:pPr>
          </w:p>
        </w:tc>
      </w:tr>
    </w:tbl>
    <w:p w:rsidR="0061143A" w:rsidRDefault="0061143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sectPr w:rsidR="0061143A" w:rsidSect="00260A58">
      <w:footerReference w:type="even" r:id="rId9"/>
      <w:footerReference w:type="default" r:id="rId10"/>
      <w:pgSz w:w="15840" w:h="12240" w:orient="landscape" w:code="1"/>
      <w:pgMar w:top="720" w:right="720" w:bottom="720" w:left="720" w:header="432" w:footer="28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389" w:rsidRDefault="005C2389">
      <w:r>
        <w:separator/>
      </w:r>
    </w:p>
  </w:endnote>
  <w:endnote w:type="continuationSeparator" w:id="0">
    <w:p w:rsidR="005C2389" w:rsidRDefault="005C2389">
      <w:r>
        <w:continuationSeparator/>
      </w:r>
    </w:p>
  </w:endnote>
  <w:endnote w:type="continuationNotice" w:id="1">
    <w:p w:rsidR="005C2389" w:rsidRDefault="005C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6500EB">
    <w:pPr>
      <w:pStyle w:val="Footer"/>
      <w:framePr w:wrap="around" w:vAnchor="text" w:hAnchor="margin" w:xAlign="center" w:y="1"/>
      <w:rPr>
        <w:rStyle w:val="PageNumber"/>
      </w:rPr>
    </w:pPr>
    <w:r>
      <w:rPr>
        <w:rStyle w:val="PageNumber"/>
      </w:rPr>
      <w:fldChar w:fldCharType="begin"/>
    </w:r>
    <w:r w:rsidR="00D54B70">
      <w:rPr>
        <w:rStyle w:val="PageNumber"/>
      </w:rPr>
      <w:instrText xml:space="preserve">PAGE  </w:instrText>
    </w:r>
    <w:r>
      <w:rPr>
        <w:rStyle w:val="PageNumber"/>
      </w:rPr>
      <w:fldChar w:fldCharType="separate"/>
    </w:r>
    <w:r w:rsidR="00D54B70">
      <w:rPr>
        <w:rStyle w:val="PageNumber"/>
        <w:noProof/>
      </w:rPr>
      <w:t>33</w:t>
    </w:r>
    <w:r>
      <w:rPr>
        <w:rStyle w:val="PageNumber"/>
      </w:rPr>
      <w:fldChar w:fldCharType="end"/>
    </w:r>
  </w:p>
  <w:p w:rsidR="00D54B70" w:rsidRDefault="00D54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6500EB">
    <w:pPr>
      <w:pStyle w:val="Footer"/>
      <w:framePr w:wrap="around" w:vAnchor="text" w:hAnchor="margin" w:xAlign="center" w:y="1"/>
      <w:rPr>
        <w:rStyle w:val="PageNumber"/>
      </w:rPr>
    </w:pPr>
    <w:r>
      <w:rPr>
        <w:rStyle w:val="PageNumber"/>
      </w:rPr>
      <w:fldChar w:fldCharType="begin"/>
    </w:r>
    <w:r w:rsidR="00D54B70">
      <w:rPr>
        <w:rStyle w:val="PageNumber"/>
      </w:rPr>
      <w:instrText xml:space="preserve">PAGE  </w:instrText>
    </w:r>
    <w:r>
      <w:rPr>
        <w:rStyle w:val="PageNumber"/>
      </w:rPr>
      <w:fldChar w:fldCharType="separate"/>
    </w:r>
    <w:r w:rsidR="00FB4028">
      <w:rPr>
        <w:rStyle w:val="PageNumber"/>
        <w:noProof/>
      </w:rPr>
      <w:t>1</w:t>
    </w:r>
    <w:r>
      <w:rPr>
        <w:rStyle w:val="PageNumber"/>
      </w:rPr>
      <w:fldChar w:fldCharType="end"/>
    </w:r>
  </w:p>
  <w:p w:rsidR="00D54B70" w:rsidRDefault="00D5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389" w:rsidRDefault="005C2389">
      <w:r>
        <w:separator/>
      </w:r>
    </w:p>
  </w:footnote>
  <w:footnote w:type="continuationSeparator" w:id="0">
    <w:p w:rsidR="005C2389" w:rsidRDefault="005C2389">
      <w:r>
        <w:continuationSeparator/>
      </w:r>
    </w:p>
  </w:footnote>
  <w:footnote w:type="continuationNotice" w:id="1">
    <w:p w:rsidR="005C2389" w:rsidRDefault="005C23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D453B0"/>
    <w:lvl w:ilvl="0">
      <w:numFmt w:val="bullet"/>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B63788"/>
    <w:multiLevelType w:val="hybridMultilevel"/>
    <w:tmpl w:val="1706B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16873"/>
    <w:multiLevelType w:val="multilevel"/>
    <w:tmpl w:val="A63A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A883223"/>
    <w:multiLevelType w:val="hybridMultilevel"/>
    <w:tmpl w:val="6BF4E24E"/>
    <w:lvl w:ilvl="0" w:tplc="9CDE8512">
      <w:numFmt w:val="bullet"/>
      <w:lvlText w:val="-"/>
      <w:lvlJc w:val="left"/>
      <w:pPr>
        <w:ind w:left="720" w:hanging="360"/>
      </w:pPr>
      <w:rPr>
        <w:rFonts w:ascii="Times New Roman" w:eastAsia="Times New Roman" w:hAnsi="Times New Roman" w:cs="Times New Roman"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8D0463"/>
    <w:multiLevelType w:val="hybridMultilevel"/>
    <w:tmpl w:val="D5C4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0497F"/>
    <w:multiLevelType w:val="hybridMultilevel"/>
    <w:tmpl w:val="83643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013A79"/>
    <w:multiLevelType w:val="hybridMultilevel"/>
    <w:tmpl w:val="EEBE95CA"/>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7">
    <w:nsid w:val="4D9F0DBA"/>
    <w:multiLevelType w:val="hybridMultilevel"/>
    <w:tmpl w:val="83C6A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603F33"/>
    <w:multiLevelType w:val="hybridMultilevel"/>
    <w:tmpl w:val="75B881A0"/>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0">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E7370D"/>
    <w:multiLevelType w:val="hybridMultilevel"/>
    <w:tmpl w:val="6624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22622"/>
    <w:multiLevelType w:val="hybridMultilevel"/>
    <w:tmpl w:val="4F967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20244"/>
    <w:multiLevelType w:val="hybridMultilevel"/>
    <w:tmpl w:val="3B28F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24"/>
  </w:num>
  <w:num w:numId="4">
    <w:abstractNumId w:val="10"/>
  </w:num>
  <w:num w:numId="5">
    <w:abstractNumId w:val="20"/>
  </w:num>
  <w:num w:numId="6">
    <w:abstractNumId w:val="5"/>
  </w:num>
  <w:num w:numId="7">
    <w:abstractNumId w:val="18"/>
  </w:num>
  <w:num w:numId="8">
    <w:abstractNumId w:val="12"/>
  </w:num>
  <w:num w:numId="9">
    <w:abstractNumId w:val="15"/>
  </w:num>
  <w:num w:numId="10">
    <w:abstractNumId w:val="14"/>
  </w:num>
  <w:num w:numId="11">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8"/>
  </w:num>
  <w:num w:numId="17">
    <w:abstractNumId w:val="7"/>
  </w:num>
  <w:num w:numId="18">
    <w:abstractNumId w:val="13"/>
  </w:num>
  <w:num w:numId="19">
    <w:abstractNumId w:val="9"/>
  </w:num>
  <w:num w:numId="20">
    <w:abstractNumId w:val="17"/>
  </w:num>
  <w:num w:numId="21">
    <w:abstractNumId w:val="23"/>
  </w:num>
  <w:num w:numId="22">
    <w:abstractNumId w:val="6"/>
  </w:num>
  <w:num w:numId="23">
    <w:abstractNumId w:val="19"/>
  </w:num>
  <w:num w:numId="24">
    <w:abstractNumId w:val="16"/>
  </w:num>
  <w:num w:numId="25">
    <w:abstractNumId w:val="22"/>
  </w:num>
  <w:num w:numId="2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D"/>
    <w:rsid w:val="00003FF6"/>
    <w:rsid w:val="00015F7C"/>
    <w:rsid w:val="00017376"/>
    <w:rsid w:val="00030BBC"/>
    <w:rsid w:val="00045AF9"/>
    <w:rsid w:val="000608C1"/>
    <w:rsid w:val="00077471"/>
    <w:rsid w:val="000C3797"/>
    <w:rsid w:val="000E061D"/>
    <w:rsid w:val="000F092C"/>
    <w:rsid w:val="000F0ACC"/>
    <w:rsid w:val="0010144F"/>
    <w:rsid w:val="001024EA"/>
    <w:rsid w:val="00105F1C"/>
    <w:rsid w:val="001214E5"/>
    <w:rsid w:val="00131CDB"/>
    <w:rsid w:val="00136D4B"/>
    <w:rsid w:val="00147AE6"/>
    <w:rsid w:val="00172E29"/>
    <w:rsid w:val="001A0942"/>
    <w:rsid w:val="001B586A"/>
    <w:rsid w:val="001C372D"/>
    <w:rsid w:val="001C4543"/>
    <w:rsid w:val="001D03AE"/>
    <w:rsid w:val="001D0B51"/>
    <w:rsid w:val="001D253F"/>
    <w:rsid w:val="001D5B5F"/>
    <w:rsid w:val="001E15B3"/>
    <w:rsid w:val="001F4CF2"/>
    <w:rsid w:val="002117AD"/>
    <w:rsid w:val="00251FB9"/>
    <w:rsid w:val="0026014C"/>
    <w:rsid w:val="00260A58"/>
    <w:rsid w:val="00261172"/>
    <w:rsid w:val="002656E4"/>
    <w:rsid w:val="00273807"/>
    <w:rsid w:val="00286BEA"/>
    <w:rsid w:val="00294687"/>
    <w:rsid w:val="00297ADE"/>
    <w:rsid w:val="002A2EFE"/>
    <w:rsid w:val="002B485F"/>
    <w:rsid w:val="002C488D"/>
    <w:rsid w:val="002C57D7"/>
    <w:rsid w:val="002D1576"/>
    <w:rsid w:val="002D69A3"/>
    <w:rsid w:val="002E4754"/>
    <w:rsid w:val="002F2F88"/>
    <w:rsid w:val="0030044A"/>
    <w:rsid w:val="0031158C"/>
    <w:rsid w:val="00312060"/>
    <w:rsid w:val="00314A3D"/>
    <w:rsid w:val="0034596D"/>
    <w:rsid w:val="0034778F"/>
    <w:rsid w:val="00347FEA"/>
    <w:rsid w:val="00351D1F"/>
    <w:rsid w:val="0037040B"/>
    <w:rsid w:val="00390AA8"/>
    <w:rsid w:val="003936B0"/>
    <w:rsid w:val="00396250"/>
    <w:rsid w:val="003A1DA9"/>
    <w:rsid w:val="003A7ACD"/>
    <w:rsid w:val="003B6A1A"/>
    <w:rsid w:val="003B70B6"/>
    <w:rsid w:val="003C586E"/>
    <w:rsid w:val="003D01A2"/>
    <w:rsid w:val="003D0F80"/>
    <w:rsid w:val="003E07ED"/>
    <w:rsid w:val="003F175E"/>
    <w:rsid w:val="00405F78"/>
    <w:rsid w:val="00411602"/>
    <w:rsid w:val="004731D5"/>
    <w:rsid w:val="00482452"/>
    <w:rsid w:val="00484F4C"/>
    <w:rsid w:val="004924DD"/>
    <w:rsid w:val="004A7808"/>
    <w:rsid w:val="004B46F0"/>
    <w:rsid w:val="004D47DE"/>
    <w:rsid w:val="004D7107"/>
    <w:rsid w:val="004E4853"/>
    <w:rsid w:val="004E6B33"/>
    <w:rsid w:val="004E74E8"/>
    <w:rsid w:val="004F4B70"/>
    <w:rsid w:val="004F4F3D"/>
    <w:rsid w:val="00510E02"/>
    <w:rsid w:val="005245B0"/>
    <w:rsid w:val="005259F4"/>
    <w:rsid w:val="00525AA9"/>
    <w:rsid w:val="00527726"/>
    <w:rsid w:val="005405FD"/>
    <w:rsid w:val="00571885"/>
    <w:rsid w:val="005732D2"/>
    <w:rsid w:val="00593A62"/>
    <w:rsid w:val="00594FD0"/>
    <w:rsid w:val="005A43EA"/>
    <w:rsid w:val="005B13B3"/>
    <w:rsid w:val="005B19E1"/>
    <w:rsid w:val="005C15E7"/>
    <w:rsid w:val="005C2389"/>
    <w:rsid w:val="005C554C"/>
    <w:rsid w:val="005F0A15"/>
    <w:rsid w:val="005F4396"/>
    <w:rsid w:val="00610FF2"/>
    <w:rsid w:val="0061143A"/>
    <w:rsid w:val="00627016"/>
    <w:rsid w:val="00627750"/>
    <w:rsid w:val="0063087C"/>
    <w:rsid w:val="0063467B"/>
    <w:rsid w:val="006500EB"/>
    <w:rsid w:val="00664886"/>
    <w:rsid w:val="006971D3"/>
    <w:rsid w:val="006A7F2E"/>
    <w:rsid w:val="007005DF"/>
    <w:rsid w:val="00704503"/>
    <w:rsid w:val="00735944"/>
    <w:rsid w:val="007367DD"/>
    <w:rsid w:val="00744D27"/>
    <w:rsid w:val="00750A4D"/>
    <w:rsid w:val="00760E0F"/>
    <w:rsid w:val="00790085"/>
    <w:rsid w:val="007A0FE4"/>
    <w:rsid w:val="007A2EB5"/>
    <w:rsid w:val="007B0766"/>
    <w:rsid w:val="007B4027"/>
    <w:rsid w:val="007C0520"/>
    <w:rsid w:val="007D2ED2"/>
    <w:rsid w:val="0080239E"/>
    <w:rsid w:val="008046D3"/>
    <w:rsid w:val="008102CA"/>
    <w:rsid w:val="008111C1"/>
    <w:rsid w:val="0082156B"/>
    <w:rsid w:val="00835B3E"/>
    <w:rsid w:val="00846FF9"/>
    <w:rsid w:val="00850062"/>
    <w:rsid w:val="00861011"/>
    <w:rsid w:val="00861B0D"/>
    <w:rsid w:val="00870C02"/>
    <w:rsid w:val="00883B86"/>
    <w:rsid w:val="00886901"/>
    <w:rsid w:val="00895515"/>
    <w:rsid w:val="008B0396"/>
    <w:rsid w:val="008D66F4"/>
    <w:rsid w:val="008D7EE3"/>
    <w:rsid w:val="008E7486"/>
    <w:rsid w:val="008F7CC3"/>
    <w:rsid w:val="00901817"/>
    <w:rsid w:val="00902662"/>
    <w:rsid w:val="00907226"/>
    <w:rsid w:val="00913DE9"/>
    <w:rsid w:val="0094286F"/>
    <w:rsid w:val="0094289D"/>
    <w:rsid w:val="00964E1D"/>
    <w:rsid w:val="00973742"/>
    <w:rsid w:val="00975009"/>
    <w:rsid w:val="0098780C"/>
    <w:rsid w:val="00997156"/>
    <w:rsid w:val="009C28BF"/>
    <w:rsid w:val="009C3474"/>
    <w:rsid w:val="009D1DA3"/>
    <w:rsid w:val="009D6B9E"/>
    <w:rsid w:val="00A0276E"/>
    <w:rsid w:val="00A12564"/>
    <w:rsid w:val="00A2094A"/>
    <w:rsid w:val="00A26746"/>
    <w:rsid w:val="00A37435"/>
    <w:rsid w:val="00A42DE5"/>
    <w:rsid w:val="00A52EF1"/>
    <w:rsid w:val="00A615DB"/>
    <w:rsid w:val="00AB2483"/>
    <w:rsid w:val="00AB2B9D"/>
    <w:rsid w:val="00AC153C"/>
    <w:rsid w:val="00AD2A8C"/>
    <w:rsid w:val="00B102FF"/>
    <w:rsid w:val="00B174CC"/>
    <w:rsid w:val="00B3446B"/>
    <w:rsid w:val="00B41144"/>
    <w:rsid w:val="00B5279E"/>
    <w:rsid w:val="00B54BAB"/>
    <w:rsid w:val="00B65BD8"/>
    <w:rsid w:val="00B74C70"/>
    <w:rsid w:val="00B75D85"/>
    <w:rsid w:val="00B86A71"/>
    <w:rsid w:val="00B97718"/>
    <w:rsid w:val="00BC1C25"/>
    <w:rsid w:val="00BD2186"/>
    <w:rsid w:val="00BE516A"/>
    <w:rsid w:val="00BF077F"/>
    <w:rsid w:val="00BF6A65"/>
    <w:rsid w:val="00C126D7"/>
    <w:rsid w:val="00C378A2"/>
    <w:rsid w:val="00C41E69"/>
    <w:rsid w:val="00C51CB0"/>
    <w:rsid w:val="00C63BF9"/>
    <w:rsid w:val="00C64F8C"/>
    <w:rsid w:val="00C6695A"/>
    <w:rsid w:val="00C71150"/>
    <w:rsid w:val="00C7657A"/>
    <w:rsid w:val="00C87D8C"/>
    <w:rsid w:val="00C87D8E"/>
    <w:rsid w:val="00CA5B2A"/>
    <w:rsid w:val="00CA7369"/>
    <w:rsid w:val="00CB350D"/>
    <w:rsid w:val="00CC0C60"/>
    <w:rsid w:val="00CD62ED"/>
    <w:rsid w:val="00CD6921"/>
    <w:rsid w:val="00CE3C18"/>
    <w:rsid w:val="00D021D9"/>
    <w:rsid w:val="00D06F8F"/>
    <w:rsid w:val="00D106BA"/>
    <w:rsid w:val="00D15B36"/>
    <w:rsid w:val="00D23E22"/>
    <w:rsid w:val="00D300B1"/>
    <w:rsid w:val="00D30A1E"/>
    <w:rsid w:val="00D45270"/>
    <w:rsid w:val="00D54B70"/>
    <w:rsid w:val="00D6294C"/>
    <w:rsid w:val="00D80621"/>
    <w:rsid w:val="00D8075B"/>
    <w:rsid w:val="00D87655"/>
    <w:rsid w:val="00DC1602"/>
    <w:rsid w:val="00DC52F5"/>
    <w:rsid w:val="00DE3CEA"/>
    <w:rsid w:val="00DF61F9"/>
    <w:rsid w:val="00E0426B"/>
    <w:rsid w:val="00E07212"/>
    <w:rsid w:val="00E14310"/>
    <w:rsid w:val="00E21F97"/>
    <w:rsid w:val="00E25A9E"/>
    <w:rsid w:val="00E300BB"/>
    <w:rsid w:val="00E31438"/>
    <w:rsid w:val="00E3144A"/>
    <w:rsid w:val="00E319E9"/>
    <w:rsid w:val="00E36BB9"/>
    <w:rsid w:val="00E46020"/>
    <w:rsid w:val="00E56595"/>
    <w:rsid w:val="00E576DC"/>
    <w:rsid w:val="00E601D8"/>
    <w:rsid w:val="00E72C84"/>
    <w:rsid w:val="00E72F3B"/>
    <w:rsid w:val="00EB3737"/>
    <w:rsid w:val="00EB5383"/>
    <w:rsid w:val="00ED6658"/>
    <w:rsid w:val="00EE2960"/>
    <w:rsid w:val="00EE3AB5"/>
    <w:rsid w:val="00F16A88"/>
    <w:rsid w:val="00FA4F9A"/>
    <w:rsid w:val="00FB2E67"/>
    <w:rsid w:val="00FB4028"/>
    <w:rsid w:val="00FC6E5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3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
    <w:name w:val="List Table 4 Accent 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99"/>
    <w:qFormat/>
    <w:locked/>
    <w:rsid w:val="005C554C"/>
    <w:rPr>
      <w:b/>
      <w:bCs/>
    </w:rPr>
  </w:style>
  <w:style w:type="paragraph" w:customStyle="1" w:styleId="sh1content">
    <w:name w:val="sh1content"/>
    <w:basedOn w:val="Normal"/>
    <w:rsid w:val="001D0B51"/>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3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
    <w:name w:val="List Table 4 Accent 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99"/>
    <w:qFormat/>
    <w:locked/>
    <w:rsid w:val="005C554C"/>
    <w:rPr>
      <w:b/>
      <w:bCs/>
    </w:rPr>
  </w:style>
  <w:style w:type="paragraph" w:customStyle="1" w:styleId="sh1content">
    <w:name w:val="sh1content"/>
    <w:basedOn w:val="Normal"/>
    <w:rsid w:val="001D0B5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665">
      <w:bodyDiv w:val="1"/>
      <w:marLeft w:val="0"/>
      <w:marRight w:val="0"/>
      <w:marTop w:val="0"/>
      <w:marBottom w:val="0"/>
      <w:divBdr>
        <w:top w:val="none" w:sz="0" w:space="0" w:color="auto"/>
        <w:left w:val="none" w:sz="0" w:space="0" w:color="auto"/>
        <w:bottom w:val="none" w:sz="0" w:space="0" w:color="auto"/>
        <w:right w:val="none" w:sz="0" w:space="0" w:color="auto"/>
      </w:divBdr>
    </w:div>
    <w:div w:id="82385435">
      <w:bodyDiv w:val="1"/>
      <w:marLeft w:val="0"/>
      <w:marRight w:val="0"/>
      <w:marTop w:val="0"/>
      <w:marBottom w:val="0"/>
      <w:divBdr>
        <w:top w:val="none" w:sz="0" w:space="0" w:color="auto"/>
        <w:left w:val="none" w:sz="0" w:space="0" w:color="auto"/>
        <w:bottom w:val="none" w:sz="0" w:space="0" w:color="auto"/>
        <w:right w:val="none" w:sz="0" w:space="0" w:color="auto"/>
      </w:divBdr>
    </w:div>
    <w:div w:id="92554674">
      <w:bodyDiv w:val="1"/>
      <w:marLeft w:val="0"/>
      <w:marRight w:val="0"/>
      <w:marTop w:val="0"/>
      <w:marBottom w:val="0"/>
      <w:divBdr>
        <w:top w:val="none" w:sz="0" w:space="0" w:color="auto"/>
        <w:left w:val="none" w:sz="0" w:space="0" w:color="auto"/>
        <w:bottom w:val="none" w:sz="0" w:space="0" w:color="auto"/>
        <w:right w:val="none" w:sz="0" w:space="0" w:color="auto"/>
      </w:divBdr>
    </w:div>
    <w:div w:id="207232053">
      <w:bodyDiv w:val="1"/>
      <w:marLeft w:val="0"/>
      <w:marRight w:val="0"/>
      <w:marTop w:val="0"/>
      <w:marBottom w:val="0"/>
      <w:divBdr>
        <w:top w:val="none" w:sz="0" w:space="0" w:color="auto"/>
        <w:left w:val="none" w:sz="0" w:space="0" w:color="auto"/>
        <w:bottom w:val="none" w:sz="0" w:space="0" w:color="auto"/>
        <w:right w:val="none" w:sz="0" w:space="0" w:color="auto"/>
      </w:divBdr>
    </w:div>
    <w:div w:id="251353777">
      <w:bodyDiv w:val="1"/>
      <w:marLeft w:val="0"/>
      <w:marRight w:val="0"/>
      <w:marTop w:val="0"/>
      <w:marBottom w:val="0"/>
      <w:divBdr>
        <w:top w:val="none" w:sz="0" w:space="0" w:color="auto"/>
        <w:left w:val="none" w:sz="0" w:space="0" w:color="auto"/>
        <w:bottom w:val="none" w:sz="0" w:space="0" w:color="auto"/>
        <w:right w:val="none" w:sz="0" w:space="0" w:color="auto"/>
      </w:divBdr>
    </w:div>
    <w:div w:id="288319924">
      <w:bodyDiv w:val="1"/>
      <w:marLeft w:val="0"/>
      <w:marRight w:val="0"/>
      <w:marTop w:val="0"/>
      <w:marBottom w:val="0"/>
      <w:divBdr>
        <w:top w:val="none" w:sz="0" w:space="0" w:color="auto"/>
        <w:left w:val="none" w:sz="0" w:space="0" w:color="auto"/>
        <w:bottom w:val="none" w:sz="0" w:space="0" w:color="auto"/>
        <w:right w:val="none" w:sz="0" w:space="0" w:color="auto"/>
      </w:divBdr>
    </w:div>
    <w:div w:id="314844770">
      <w:bodyDiv w:val="1"/>
      <w:marLeft w:val="0"/>
      <w:marRight w:val="0"/>
      <w:marTop w:val="0"/>
      <w:marBottom w:val="0"/>
      <w:divBdr>
        <w:top w:val="none" w:sz="0" w:space="0" w:color="auto"/>
        <w:left w:val="none" w:sz="0" w:space="0" w:color="auto"/>
        <w:bottom w:val="none" w:sz="0" w:space="0" w:color="auto"/>
        <w:right w:val="none" w:sz="0" w:space="0" w:color="auto"/>
      </w:divBdr>
    </w:div>
    <w:div w:id="442580423">
      <w:bodyDiv w:val="1"/>
      <w:marLeft w:val="0"/>
      <w:marRight w:val="0"/>
      <w:marTop w:val="0"/>
      <w:marBottom w:val="0"/>
      <w:divBdr>
        <w:top w:val="none" w:sz="0" w:space="0" w:color="auto"/>
        <w:left w:val="none" w:sz="0" w:space="0" w:color="auto"/>
        <w:bottom w:val="none" w:sz="0" w:space="0" w:color="auto"/>
        <w:right w:val="none" w:sz="0" w:space="0" w:color="auto"/>
      </w:divBdr>
    </w:div>
    <w:div w:id="468476756">
      <w:bodyDiv w:val="1"/>
      <w:marLeft w:val="0"/>
      <w:marRight w:val="0"/>
      <w:marTop w:val="0"/>
      <w:marBottom w:val="0"/>
      <w:divBdr>
        <w:top w:val="none" w:sz="0" w:space="0" w:color="auto"/>
        <w:left w:val="none" w:sz="0" w:space="0" w:color="auto"/>
        <w:bottom w:val="none" w:sz="0" w:space="0" w:color="auto"/>
        <w:right w:val="none" w:sz="0" w:space="0" w:color="auto"/>
      </w:divBdr>
    </w:div>
    <w:div w:id="626281087">
      <w:bodyDiv w:val="1"/>
      <w:marLeft w:val="0"/>
      <w:marRight w:val="0"/>
      <w:marTop w:val="0"/>
      <w:marBottom w:val="0"/>
      <w:divBdr>
        <w:top w:val="none" w:sz="0" w:space="0" w:color="auto"/>
        <w:left w:val="none" w:sz="0" w:space="0" w:color="auto"/>
        <w:bottom w:val="none" w:sz="0" w:space="0" w:color="auto"/>
        <w:right w:val="none" w:sz="0" w:space="0" w:color="auto"/>
      </w:divBdr>
    </w:div>
    <w:div w:id="720599590">
      <w:bodyDiv w:val="1"/>
      <w:marLeft w:val="0"/>
      <w:marRight w:val="0"/>
      <w:marTop w:val="0"/>
      <w:marBottom w:val="0"/>
      <w:divBdr>
        <w:top w:val="none" w:sz="0" w:space="0" w:color="auto"/>
        <w:left w:val="none" w:sz="0" w:space="0" w:color="auto"/>
        <w:bottom w:val="none" w:sz="0" w:space="0" w:color="auto"/>
        <w:right w:val="none" w:sz="0" w:space="0" w:color="auto"/>
      </w:divBdr>
    </w:div>
    <w:div w:id="749084664">
      <w:bodyDiv w:val="1"/>
      <w:marLeft w:val="0"/>
      <w:marRight w:val="0"/>
      <w:marTop w:val="0"/>
      <w:marBottom w:val="0"/>
      <w:divBdr>
        <w:top w:val="none" w:sz="0" w:space="0" w:color="auto"/>
        <w:left w:val="none" w:sz="0" w:space="0" w:color="auto"/>
        <w:bottom w:val="none" w:sz="0" w:space="0" w:color="auto"/>
        <w:right w:val="none" w:sz="0" w:space="0" w:color="auto"/>
      </w:divBdr>
    </w:div>
    <w:div w:id="786587482">
      <w:bodyDiv w:val="1"/>
      <w:marLeft w:val="0"/>
      <w:marRight w:val="0"/>
      <w:marTop w:val="0"/>
      <w:marBottom w:val="0"/>
      <w:divBdr>
        <w:top w:val="none" w:sz="0" w:space="0" w:color="auto"/>
        <w:left w:val="none" w:sz="0" w:space="0" w:color="auto"/>
        <w:bottom w:val="none" w:sz="0" w:space="0" w:color="auto"/>
        <w:right w:val="none" w:sz="0" w:space="0" w:color="auto"/>
      </w:divBdr>
    </w:div>
    <w:div w:id="935361663">
      <w:bodyDiv w:val="1"/>
      <w:marLeft w:val="0"/>
      <w:marRight w:val="0"/>
      <w:marTop w:val="0"/>
      <w:marBottom w:val="0"/>
      <w:divBdr>
        <w:top w:val="none" w:sz="0" w:space="0" w:color="auto"/>
        <w:left w:val="none" w:sz="0" w:space="0" w:color="auto"/>
        <w:bottom w:val="none" w:sz="0" w:space="0" w:color="auto"/>
        <w:right w:val="none" w:sz="0" w:space="0" w:color="auto"/>
      </w:divBdr>
    </w:div>
    <w:div w:id="1057169957">
      <w:bodyDiv w:val="1"/>
      <w:marLeft w:val="0"/>
      <w:marRight w:val="0"/>
      <w:marTop w:val="0"/>
      <w:marBottom w:val="0"/>
      <w:divBdr>
        <w:top w:val="none" w:sz="0" w:space="0" w:color="auto"/>
        <w:left w:val="none" w:sz="0" w:space="0" w:color="auto"/>
        <w:bottom w:val="none" w:sz="0" w:space="0" w:color="auto"/>
        <w:right w:val="none" w:sz="0" w:space="0" w:color="auto"/>
      </w:divBdr>
    </w:div>
    <w:div w:id="1129930396">
      <w:bodyDiv w:val="1"/>
      <w:marLeft w:val="0"/>
      <w:marRight w:val="0"/>
      <w:marTop w:val="0"/>
      <w:marBottom w:val="0"/>
      <w:divBdr>
        <w:top w:val="none" w:sz="0" w:space="0" w:color="auto"/>
        <w:left w:val="none" w:sz="0" w:space="0" w:color="auto"/>
        <w:bottom w:val="none" w:sz="0" w:space="0" w:color="auto"/>
        <w:right w:val="none" w:sz="0" w:space="0" w:color="auto"/>
      </w:divBdr>
    </w:div>
    <w:div w:id="1178540025">
      <w:bodyDiv w:val="1"/>
      <w:marLeft w:val="0"/>
      <w:marRight w:val="0"/>
      <w:marTop w:val="0"/>
      <w:marBottom w:val="0"/>
      <w:divBdr>
        <w:top w:val="none" w:sz="0" w:space="0" w:color="auto"/>
        <w:left w:val="none" w:sz="0" w:space="0" w:color="auto"/>
        <w:bottom w:val="none" w:sz="0" w:space="0" w:color="auto"/>
        <w:right w:val="none" w:sz="0" w:space="0" w:color="auto"/>
      </w:divBdr>
    </w:div>
    <w:div w:id="1182015593">
      <w:marLeft w:val="0"/>
      <w:marRight w:val="0"/>
      <w:marTop w:val="0"/>
      <w:marBottom w:val="0"/>
      <w:divBdr>
        <w:top w:val="none" w:sz="0" w:space="0" w:color="auto"/>
        <w:left w:val="none" w:sz="0" w:space="0" w:color="auto"/>
        <w:bottom w:val="none" w:sz="0" w:space="0" w:color="auto"/>
        <w:right w:val="none" w:sz="0" w:space="0" w:color="auto"/>
      </w:divBdr>
    </w:div>
    <w:div w:id="1206991061">
      <w:bodyDiv w:val="1"/>
      <w:marLeft w:val="0"/>
      <w:marRight w:val="0"/>
      <w:marTop w:val="0"/>
      <w:marBottom w:val="0"/>
      <w:divBdr>
        <w:top w:val="none" w:sz="0" w:space="0" w:color="auto"/>
        <w:left w:val="none" w:sz="0" w:space="0" w:color="auto"/>
        <w:bottom w:val="none" w:sz="0" w:space="0" w:color="auto"/>
        <w:right w:val="none" w:sz="0" w:space="0" w:color="auto"/>
      </w:divBdr>
    </w:div>
    <w:div w:id="1235317647">
      <w:bodyDiv w:val="1"/>
      <w:marLeft w:val="0"/>
      <w:marRight w:val="0"/>
      <w:marTop w:val="0"/>
      <w:marBottom w:val="0"/>
      <w:divBdr>
        <w:top w:val="none" w:sz="0" w:space="0" w:color="auto"/>
        <w:left w:val="none" w:sz="0" w:space="0" w:color="auto"/>
        <w:bottom w:val="none" w:sz="0" w:space="0" w:color="auto"/>
        <w:right w:val="none" w:sz="0" w:space="0" w:color="auto"/>
      </w:divBdr>
    </w:div>
    <w:div w:id="1339193987">
      <w:bodyDiv w:val="1"/>
      <w:marLeft w:val="0"/>
      <w:marRight w:val="0"/>
      <w:marTop w:val="0"/>
      <w:marBottom w:val="0"/>
      <w:divBdr>
        <w:top w:val="none" w:sz="0" w:space="0" w:color="auto"/>
        <w:left w:val="none" w:sz="0" w:space="0" w:color="auto"/>
        <w:bottom w:val="none" w:sz="0" w:space="0" w:color="auto"/>
        <w:right w:val="none" w:sz="0" w:space="0" w:color="auto"/>
      </w:divBdr>
    </w:div>
    <w:div w:id="1402363316">
      <w:bodyDiv w:val="1"/>
      <w:marLeft w:val="0"/>
      <w:marRight w:val="0"/>
      <w:marTop w:val="0"/>
      <w:marBottom w:val="0"/>
      <w:divBdr>
        <w:top w:val="none" w:sz="0" w:space="0" w:color="auto"/>
        <w:left w:val="none" w:sz="0" w:space="0" w:color="auto"/>
        <w:bottom w:val="none" w:sz="0" w:space="0" w:color="auto"/>
        <w:right w:val="none" w:sz="0" w:space="0" w:color="auto"/>
      </w:divBdr>
    </w:div>
    <w:div w:id="1480883207">
      <w:bodyDiv w:val="1"/>
      <w:marLeft w:val="0"/>
      <w:marRight w:val="0"/>
      <w:marTop w:val="0"/>
      <w:marBottom w:val="0"/>
      <w:divBdr>
        <w:top w:val="none" w:sz="0" w:space="0" w:color="auto"/>
        <w:left w:val="none" w:sz="0" w:space="0" w:color="auto"/>
        <w:bottom w:val="none" w:sz="0" w:space="0" w:color="auto"/>
        <w:right w:val="none" w:sz="0" w:space="0" w:color="auto"/>
      </w:divBdr>
    </w:div>
    <w:div w:id="1487547040">
      <w:bodyDiv w:val="1"/>
      <w:marLeft w:val="0"/>
      <w:marRight w:val="0"/>
      <w:marTop w:val="0"/>
      <w:marBottom w:val="0"/>
      <w:divBdr>
        <w:top w:val="none" w:sz="0" w:space="0" w:color="auto"/>
        <w:left w:val="none" w:sz="0" w:space="0" w:color="auto"/>
        <w:bottom w:val="none" w:sz="0" w:space="0" w:color="auto"/>
        <w:right w:val="none" w:sz="0" w:space="0" w:color="auto"/>
      </w:divBdr>
    </w:div>
    <w:div w:id="1493134924">
      <w:bodyDiv w:val="1"/>
      <w:marLeft w:val="0"/>
      <w:marRight w:val="0"/>
      <w:marTop w:val="0"/>
      <w:marBottom w:val="0"/>
      <w:divBdr>
        <w:top w:val="none" w:sz="0" w:space="0" w:color="auto"/>
        <w:left w:val="none" w:sz="0" w:space="0" w:color="auto"/>
        <w:bottom w:val="none" w:sz="0" w:space="0" w:color="auto"/>
        <w:right w:val="none" w:sz="0" w:space="0" w:color="auto"/>
      </w:divBdr>
    </w:div>
    <w:div w:id="1513491792">
      <w:bodyDiv w:val="1"/>
      <w:marLeft w:val="0"/>
      <w:marRight w:val="0"/>
      <w:marTop w:val="0"/>
      <w:marBottom w:val="0"/>
      <w:divBdr>
        <w:top w:val="none" w:sz="0" w:space="0" w:color="auto"/>
        <w:left w:val="none" w:sz="0" w:space="0" w:color="auto"/>
        <w:bottom w:val="none" w:sz="0" w:space="0" w:color="auto"/>
        <w:right w:val="none" w:sz="0" w:space="0" w:color="auto"/>
      </w:divBdr>
    </w:div>
    <w:div w:id="1621183460">
      <w:bodyDiv w:val="1"/>
      <w:marLeft w:val="0"/>
      <w:marRight w:val="0"/>
      <w:marTop w:val="0"/>
      <w:marBottom w:val="0"/>
      <w:divBdr>
        <w:top w:val="none" w:sz="0" w:space="0" w:color="auto"/>
        <w:left w:val="none" w:sz="0" w:space="0" w:color="auto"/>
        <w:bottom w:val="none" w:sz="0" w:space="0" w:color="auto"/>
        <w:right w:val="none" w:sz="0" w:space="0" w:color="auto"/>
      </w:divBdr>
    </w:div>
    <w:div w:id="1622029025">
      <w:bodyDiv w:val="1"/>
      <w:marLeft w:val="0"/>
      <w:marRight w:val="0"/>
      <w:marTop w:val="0"/>
      <w:marBottom w:val="0"/>
      <w:divBdr>
        <w:top w:val="none" w:sz="0" w:space="0" w:color="auto"/>
        <w:left w:val="none" w:sz="0" w:space="0" w:color="auto"/>
        <w:bottom w:val="none" w:sz="0" w:space="0" w:color="auto"/>
        <w:right w:val="none" w:sz="0" w:space="0" w:color="auto"/>
      </w:divBdr>
    </w:div>
    <w:div w:id="1684745205">
      <w:bodyDiv w:val="1"/>
      <w:marLeft w:val="0"/>
      <w:marRight w:val="0"/>
      <w:marTop w:val="0"/>
      <w:marBottom w:val="0"/>
      <w:divBdr>
        <w:top w:val="none" w:sz="0" w:space="0" w:color="auto"/>
        <w:left w:val="none" w:sz="0" w:space="0" w:color="auto"/>
        <w:bottom w:val="none" w:sz="0" w:space="0" w:color="auto"/>
        <w:right w:val="none" w:sz="0" w:space="0" w:color="auto"/>
      </w:divBdr>
    </w:div>
    <w:div w:id="1698895343">
      <w:bodyDiv w:val="1"/>
      <w:marLeft w:val="0"/>
      <w:marRight w:val="0"/>
      <w:marTop w:val="0"/>
      <w:marBottom w:val="0"/>
      <w:divBdr>
        <w:top w:val="none" w:sz="0" w:space="0" w:color="auto"/>
        <w:left w:val="none" w:sz="0" w:space="0" w:color="auto"/>
        <w:bottom w:val="none" w:sz="0" w:space="0" w:color="auto"/>
        <w:right w:val="none" w:sz="0" w:space="0" w:color="auto"/>
      </w:divBdr>
    </w:div>
    <w:div w:id="1705788273">
      <w:bodyDiv w:val="1"/>
      <w:marLeft w:val="0"/>
      <w:marRight w:val="0"/>
      <w:marTop w:val="0"/>
      <w:marBottom w:val="0"/>
      <w:divBdr>
        <w:top w:val="none" w:sz="0" w:space="0" w:color="auto"/>
        <w:left w:val="none" w:sz="0" w:space="0" w:color="auto"/>
        <w:bottom w:val="none" w:sz="0" w:space="0" w:color="auto"/>
        <w:right w:val="none" w:sz="0" w:space="0" w:color="auto"/>
      </w:divBdr>
    </w:div>
    <w:div w:id="1712876851">
      <w:bodyDiv w:val="1"/>
      <w:marLeft w:val="0"/>
      <w:marRight w:val="0"/>
      <w:marTop w:val="0"/>
      <w:marBottom w:val="0"/>
      <w:divBdr>
        <w:top w:val="none" w:sz="0" w:space="0" w:color="auto"/>
        <w:left w:val="none" w:sz="0" w:space="0" w:color="auto"/>
        <w:bottom w:val="none" w:sz="0" w:space="0" w:color="auto"/>
        <w:right w:val="none" w:sz="0" w:space="0" w:color="auto"/>
      </w:divBdr>
    </w:div>
    <w:div w:id="1773934008">
      <w:bodyDiv w:val="1"/>
      <w:marLeft w:val="0"/>
      <w:marRight w:val="0"/>
      <w:marTop w:val="0"/>
      <w:marBottom w:val="0"/>
      <w:divBdr>
        <w:top w:val="none" w:sz="0" w:space="0" w:color="auto"/>
        <w:left w:val="none" w:sz="0" w:space="0" w:color="auto"/>
        <w:bottom w:val="none" w:sz="0" w:space="0" w:color="auto"/>
        <w:right w:val="none" w:sz="0" w:space="0" w:color="auto"/>
      </w:divBdr>
    </w:div>
    <w:div w:id="1802654803">
      <w:bodyDiv w:val="1"/>
      <w:marLeft w:val="0"/>
      <w:marRight w:val="0"/>
      <w:marTop w:val="0"/>
      <w:marBottom w:val="0"/>
      <w:divBdr>
        <w:top w:val="none" w:sz="0" w:space="0" w:color="auto"/>
        <w:left w:val="none" w:sz="0" w:space="0" w:color="auto"/>
        <w:bottom w:val="none" w:sz="0" w:space="0" w:color="auto"/>
        <w:right w:val="none" w:sz="0" w:space="0" w:color="auto"/>
      </w:divBdr>
    </w:div>
    <w:div w:id="1903564316">
      <w:bodyDiv w:val="1"/>
      <w:marLeft w:val="0"/>
      <w:marRight w:val="0"/>
      <w:marTop w:val="0"/>
      <w:marBottom w:val="0"/>
      <w:divBdr>
        <w:top w:val="none" w:sz="0" w:space="0" w:color="auto"/>
        <w:left w:val="none" w:sz="0" w:space="0" w:color="auto"/>
        <w:bottom w:val="none" w:sz="0" w:space="0" w:color="auto"/>
        <w:right w:val="none" w:sz="0" w:space="0" w:color="auto"/>
      </w:divBdr>
    </w:div>
    <w:div w:id="1978217179">
      <w:bodyDiv w:val="1"/>
      <w:marLeft w:val="0"/>
      <w:marRight w:val="0"/>
      <w:marTop w:val="0"/>
      <w:marBottom w:val="0"/>
      <w:divBdr>
        <w:top w:val="none" w:sz="0" w:space="0" w:color="auto"/>
        <w:left w:val="none" w:sz="0" w:space="0" w:color="auto"/>
        <w:bottom w:val="none" w:sz="0" w:space="0" w:color="auto"/>
        <w:right w:val="none" w:sz="0" w:space="0" w:color="auto"/>
      </w:divBdr>
    </w:div>
    <w:div w:id="21136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841E-4114-4E76-B968-72C14807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4919</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32898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SYSTEM</cp:lastModifiedBy>
  <cp:revision>2</cp:revision>
  <cp:lastPrinted>2011-11-21T16:56:00Z</cp:lastPrinted>
  <dcterms:created xsi:type="dcterms:W3CDTF">2018-07-09T20:57:00Z</dcterms:created>
  <dcterms:modified xsi:type="dcterms:W3CDTF">2018-07-09T20:57:00Z</dcterms:modified>
</cp:coreProperties>
</file>