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AF7D"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bookmarkStart w:id="0" w:name="_GoBack"/>
      <w:bookmarkEnd w:id="0"/>
    </w:p>
    <w:p w14:paraId="3F164FE3"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56038C82"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p>
    <w:p w14:paraId="234901EB" w14:textId="77777777" w:rsidR="00A50DEB"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42DB5A0E" w14:textId="77777777" w:rsidR="00A50DEB" w:rsidRPr="00D321F9" w:rsidRDefault="00A50DEB" w:rsidP="007D4EB8">
      <w:pPr>
        <w:spacing w:line="240" w:lineRule="auto"/>
        <w:jc w:val="center"/>
        <w:rPr>
          <w:rFonts w:ascii="Times New Roman" w:eastAsia="Arial Unicode MS" w:hAnsi="Times New Roman"/>
          <w:b/>
          <w:noProof/>
          <w:sz w:val="48"/>
          <w:szCs w:val="48"/>
        </w:rPr>
      </w:pPr>
      <w:r w:rsidRPr="00840B8E">
        <w:rPr>
          <w:rFonts w:ascii="Times New Roman" w:eastAsia="Arial Unicode MS" w:hAnsi="Times New Roman"/>
          <w:b/>
          <w:noProof/>
          <w:color w:val="000000" w:themeColor="text1"/>
          <w:sz w:val="48"/>
          <w:szCs w:val="48"/>
        </w:rPr>
        <w:t xml:space="preserve">of </w:t>
      </w:r>
      <w:r>
        <w:rPr>
          <w:rFonts w:ascii="Times New Roman" w:eastAsia="Arial Unicode MS" w:hAnsi="Times New Roman"/>
          <w:b/>
          <w:noProof/>
          <w:color w:val="000000" w:themeColor="text1"/>
          <w:sz w:val="48"/>
          <w:szCs w:val="48"/>
        </w:rPr>
        <w:t xml:space="preserve">2019-2020 </w:t>
      </w:r>
      <w:r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2019-20)</w:t>
      </w:r>
    </w:p>
    <w:p w14:paraId="741AA213" w14:textId="77777777" w:rsidR="00A50DEB" w:rsidRPr="00840B8E" w:rsidRDefault="00A50DEB" w:rsidP="007D4EB8">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CC8AEAF" w14:textId="77777777" w:rsidR="00A50DEB" w:rsidRPr="00D321F9" w:rsidRDefault="00A50DEB" w:rsidP="007D4EB8">
      <w:pPr>
        <w:spacing w:line="240" w:lineRule="auto"/>
        <w:jc w:val="center"/>
        <w:rPr>
          <w:rFonts w:ascii="Times New Roman" w:hAnsi="Times New Roman"/>
          <w:b/>
          <w:sz w:val="40"/>
          <w:szCs w:val="40"/>
        </w:rPr>
      </w:pPr>
    </w:p>
    <w:p w14:paraId="79E24C1C" w14:textId="77777777" w:rsidR="00A50DEB" w:rsidRPr="00D321F9" w:rsidRDefault="00A50DEB" w:rsidP="007D4EB8">
      <w:pPr>
        <w:spacing w:line="240" w:lineRule="auto"/>
        <w:jc w:val="center"/>
        <w:rPr>
          <w:rFonts w:ascii="Times New Roman" w:hAnsi="Times New Roman"/>
          <w:b/>
          <w:sz w:val="32"/>
          <w:szCs w:val="32"/>
        </w:rPr>
      </w:pPr>
    </w:p>
    <w:p w14:paraId="798EB485" w14:textId="77777777" w:rsidR="00A50DEB" w:rsidRPr="00D321F9" w:rsidRDefault="00A50DEB" w:rsidP="007D4EB8">
      <w:pPr>
        <w:spacing w:line="240" w:lineRule="auto"/>
        <w:jc w:val="center"/>
        <w:rPr>
          <w:rFonts w:ascii="Times New Roman" w:hAnsi="Times New Roman"/>
          <w:szCs w:val="22"/>
        </w:rPr>
      </w:pPr>
      <w:r w:rsidRPr="00133768">
        <w:rPr>
          <w:rFonts w:ascii="Times New Roman" w:hAnsi="Times New Roman"/>
          <w:b/>
          <w:sz w:val="32"/>
          <w:szCs w:val="32"/>
        </w:rPr>
        <w:t>OMB# 1850-0598 v.</w:t>
      </w:r>
      <w:r w:rsidRPr="00A50DEB">
        <w:rPr>
          <w:rFonts w:ascii="Times New Roman" w:hAnsi="Times New Roman"/>
          <w:b/>
          <w:color w:val="000000" w:themeColor="text1"/>
          <w:sz w:val="32"/>
          <w:szCs w:val="32"/>
        </w:rPr>
        <w:t>24</w:t>
      </w:r>
    </w:p>
    <w:p w14:paraId="72B05729" w14:textId="77777777" w:rsidR="00A50DEB" w:rsidRPr="00D321F9" w:rsidRDefault="00A50DEB" w:rsidP="007D4EB8">
      <w:pPr>
        <w:spacing w:after="840" w:line="240" w:lineRule="auto"/>
        <w:jc w:val="center"/>
        <w:rPr>
          <w:rFonts w:ascii="Times New Roman" w:hAnsi="Times New Roman"/>
          <w:b/>
        </w:rPr>
      </w:pPr>
    </w:p>
    <w:p w14:paraId="720CC20B" w14:textId="77777777" w:rsidR="00A50DEB" w:rsidRPr="00D321F9" w:rsidRDefault="00A50DEB" w:rsidP="007D4EB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14:paraId="6E7D0D77" w14:textId="77777777" w:rsidR="00A50DEB" w:rsidRPr="00D321F9" w:rsidRDefault="00A50DEB" w:rsidP="007D4EB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14:paraId="4E7A769B" w14:textId="77777777" w:rsidR="00A50DEB" w:rsidRPr="00D321F9" w:rsidRDefault="00A50DEB" w:rsidP="007D4EB8">
      <w:pPr>
        <w:spacing w:after="480" w:line="240" w:lineRule="auto"/>
        <w:jc w:val="center"/>
        <w:rPr>
          <w:rFonts w:ascii="Times New Roman" w:hAnsi="Times New Roman"/>
          <w:b/>
        </w:rPr>
      </w:pPr>
    </w:p>
    <w:p w14:paraId="4B24F332" w14:textId="77777777" w:rsidR="00A50DEB" w:rsidRPr="00D321F9" w:rsidRDefault="00A50DEB" w:rsidP="007D4EB8">
      <w:pPr>
        <w:spacing w:after="480" w:line="240" w:lineRule="auto"/>
        <w:jc w:val="center"/>
        <w:rPr>
          <w:rFonts w:ascii="Times New Roman" w:hAnsi="Times New Roman"/>
          <w:b/>
        </w:rPr>
      </w:pPr>
    </w:p>
    <w:p w14:paraId="6392ABAA" w14:textId="31866845" w:rsidR="00A50DEB" w:rsidRPr="00D321F9" w:rsidRDefault="00A50DEB" w:rsidP="007D4EB8">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DD5B93">
        <w:rPr>
          <w:rFonts w:ascii="Times New Roman" w:hAnsi="Times New Roman"/>
          <w:b/>
          <w:sz w:val="32"/>
          <w:szCs w:val="32"/>
        </w:rPr>
        <w:t xml:space="preserve"> (NCES)</w:t>
      </w:r>
    </w:p>
    <w:p w14:paraId="0CD0852F" w14:textId="77777777" w:rsidR="00A50DEB" w:rsidRPr="00D321F9" w:rsidRDefault="00A50DEB" w:rsidP="007D4EB8">
      <w:pPr>
        <w:spacing w:before="80" w:after="840"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14:paraId="3692092F" w14:textId="77777777" w:rsidR="00A50DEB" w:rsidRPr="00D321F9" w:rsidRDefault="00A50DEB" w:rsidP="007D4EB8">
      <w:pPr>
        <w:spacing w:before="80" w:after="840" w:line="240" w:lineRule="auto"/>
        <w:jc w:val="center"/>
        <w:rPr>
          <w:rFonts w:ascii="Times New Roman" w:hAnsi="Times New Roman"/>
          <w:b/>
          <w:sz w:val="32"/>
          <w:szCs w:val="32"/>
        </w:rPr>
      </w:pPr>
    </w:p>
    <w:p w14:paraId="580E101E" w14:textId="77777777" w:rsidR="00A50DEB" w:rsidRDefault="00A50DEB" w:rsidP="007D4EB8">
      <w:pPr>
        <w:spacing w:after="240" w:line="240" w:lineRule="auto"/>
        <w:jc w:val="center"/>
        <w:rPr>
          <w:rFonts w:ascii="Times New Roman" w:hAnsi="Times New Roman"/>
          <w:b/>
          <w:color w:val="000000" w:themeColor="text1"/>
          <w:sz w:val="32"/>
          <w:szCs w:val="32"/>
        </w:rPr>
      </w:pPr>
    </w:p>
    <w:p w14:paraId="1B7710E4" w14:textId="77777777" w:rsidR="00A50DEB" w:rsidRDefault="00A50DEB" w:rsidP="007D4EB8">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 2018</w:t>
      </w:r>
    </w:p>
    <w:p w14:paraId="41CFB2E0" w14:textId="77777777" w:rsidR="00A50DEB" w:rsidRPr="00D321F9" w:rsidRDefault="00A50DEB" w:rsidP="007D4EB8">
      <w:pPr>
        <w:spacing w:line="240" w:lineRule="auto"/>
        <w:jc w:val="center"/>
        <w:rPr>
          <w:rFonts w:ascii="Times New Roman" w:eastAsia="Arial Unicode MS" w:hAnsi="Times New Roman"/>
          <w:b/>
          <w:noProof/>
          <w:sz w:val="36"/>
          <w:szCs w:val="36"/>
        </w:rPr>
      </w:pPr>
    </w:p>
    <w:p w14:paraId="4BEC7985" w14:textId="77777777" w:rsidR="00696D05" w:rsidRPr="00D321F9" w:rsidRDefault="00696D05" w:rsidP="007D4EB8">
      <w:pPr>
        <w:pStyle w:val="TC-TableofContentsHeading"/>
        <w:spacing w:line="240" w:lineRule="auto"/>
        <w:rPr>
          <w:rFonts w:ascii="Times New Roman" w:hAnsi="Times New Roman"/>
          <w:color w:val="auto"/>
          <w:sz w:val="24"/>
          <w:szCs w:val="24"/>
        </w:rPr>
        <w:sectPr w:rsidR="00696D05" w:rsidRPr="00D321F9" w:rsidSect="00A50DEB">
          <w:footerReference w:type="default" r:id="rId12"/>
          <w:pgSz w:w="12240" w:h="15840" w:code="1"/>
          <w:pgMar w:top="864" w:right="864" w:bottom="720" w:left="864" w:header="720" w:footer="288" w:gutter="0"/>
          <w:cols w:space="720"/>
          <w:titlePg/>
          <w:docGrid w:linePitch="326"/>
        </w:sectPr>
      </w:pPr>
    </w:p>
    <w:p w14:paraId="7519EF3E" w14:textId="77777777" w:rsidR="007215B4" w:rsidRDefault="007215B4" w:rsidP="007D4EB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14:paraId="7EFC23A4" w14:textId="77777777" w:rsidR="007215B4" w:rsidRDefault="007215B4" w:rsidP="007D4EB8">
      <w:pPr>
        <w:pStyle w:val="TC-TableofContentsHeading"/>
        <w:spacing w:after="360" w:line="240" w:lineRule="auto"/>
        <w:ind w:left="0"/>
        <w:rPr>
          <w:rFonts w:ascii="Times New Roman" w:hAnsi="Times New Roman"/>
          <w:color w:val="auto"/>
          <w:sz w:val="24"/>
          <w:szCs w:val="24"/>
        </w:rPr>
      </w:pPr>
    </w:p>
    <w:p w14:paraId="03C12649" w14:textId="4FB709A2" w:rsidR="00972145" w:rsidRPr="00D321F9" w:rsidRDefault="00696D05" w:rsidP="007D4EB8">
      <w:pPr>
        <w:pStyle w:val="TC-TableofContentsHeading"/>
        <w:spacing w:after="360" w:line="240" w:lineRule="auto"/>
        <w:ind w:left="0"/>
        <w:rPr>
          <w:rFonts w:ascii="Times New Roman" w:hAnsi="Times New Roman"/>
          <w:color w:val="auto"/>
          <w:sz w:val="24"/>
          <w:szCs w:val="24"/>
        </w:rPr>
      </w:pPr>
      <w:r w:rsidRPr="00D321F9">
        <w:rPr>
          <w:rFonts w:ascii="Times New Roman" w:hAnsi="Times New Roman"/>
          <w:color w:val="auto"/>
          <w:sz w:val="24"/>
          <w:szCs w:val="24"/>
        </w:rPr>
        <w:t>Table of Contents</w:t>
      </w:r>
      <w:bookmarkEnd w:id="1"/>
      <w:bookmarkEnd w:id="2"/>
      <w:bookmarkEnd w:id="3"/>
    </w:p>
    <w:p w14:paraId="25E9270D" w14:textId="77777777" w:rsidR="002565A7" w:rsidRPr="00D321F9" w:rsidRDefault="002565A7" w:rsidP="007D4EB8">
      <w:pPr>
        <w:pStyle w:val="T0-ChapPgHd"/>
        <w:tabs>
          <w:tab w:val="clear" w:pos="8640"/>
          <w:tab w:val="left" w:pos="8280"/>
        </w:tabs>
        <w:spacing w:line="240" w:lineRule="auto"/>
        <w:ind w:left="180"/>
        <w:rPr>
          <w:rFonts w:ascii="Times New Roman" w:hAnsi="Times New Roman"/>
        </w:rPr>
      </w:pPr>
      <w:r w:rsidRPr="00D321F9">
        <w:rPr>
          <w:rFonts w:ascii="Times New Roman" w:hAnsi="Times New Roman"/>
        </w:rPr>
        <w:t>Section</w:t>
      </w:r>
      <w:r w:rsidRPr="00D321F9">
        <w:rPr>
          <w:rFonts w:ascii="Times New Roman" w:hAnsi="Times New Roman"/>
        </w:rPr>
        <w:tab/>
        <w:t>Page</w:t>
      </w:r>
    </w:p>
    <w:p w14:paraId="7C8BD192" w14:textId="77777777" w:rsidR="002565A7" w:rsidRPr="00D321F9" w:rsidRDefault="002565A7" w:rsidP="007D4EB8">
      <w:pPr>
        <w:pStyle w:val="T0-ChapPgHd"/>
        <w:spacing w:line="240" w:lineRule="auto"/>
        <w:rPr>
          <w:rFonts w:ascii="Times New Roman" w:hAnsi="Times New Roman"/>
        </w:rPr>
      </w:pPr>
    </w:p>
    <w:p w14:paraId="346CBAA7" w14:textId="1A80D3E3" w:rsidR="006B0F28" w:rsidRDefault="002565A7" w:rsidP="006B0F28">
      <w:pPr>
        <w:pStyle w:val="TOC1"/>
        <w:tabs>
          <w:tab w:val="clear" w:pos="1440"/>
          <w:tab w:val="clear" w:pos="8208"/>
          <w:tab w:val="clear" w:pos="8640"/>
          <w:tab w:val="left" w:pos="1170"/>
          <w:tab w:val="right" w:leader="dot" w:pos="10440"/>
        </w:tabs>
        <w:ind w:left="1170" w:right="702" w:hanging="900"/>
        <w:rPr>
          <w:rStyle w:val="Hyperlink"/>
          <w:noProof/>
        </w:rPr>
      </w:pPr>
      <w:r w:rsidRPr="00D321F9">
        <w:rPr>
          <w:rFonts w:ascii="Times New Roman" w:hAnsi="Times New Roman"/>
        </w:rPr>
        <w:fldChar w:fldCharType="begin"/>
      </w:r>
      <w:r w:rsidRPr="00D321F9">
        <w:rPr>
          <w:rFonts w:ascii="Times New Roman" w:hAnsi="Times New Roman"/>
        </w:rPr>
        <w:instrText xml:space="preserve"> TOC \o "2-3" \h \z \t "Heading 1,1,TT-Table Title,1,ET-Exhibit_Title,1" </w:instrText>
      </w:r>
      <w:r w:rsidRPr="00D321F9">
        <w:rPr>
          <w:rFonts w:ascii="Times New Roman" w:hAnsi="Times New Roman"/>
        </w:rPr>
        <w:fldChar w:fldCharType="separate"/>
      </w:r>
      <w:hyperlink w:anchor="_Toc518587620" w:history="1">
        <w:r w:rsidR="006B0F28" w:rsidRPr="00813141">
          <w:rPr>
            <w:rStyle w:val="Hyperlink"/>
            <w:rFonts w:ascii="Times New Roman" w:hAnsi="Times New Roman"/>
            <w:noProof/>
          </w:rPr>
          <w:t>Part B</w:t>
        </w:r>
        <w:r w:rsidR="006B0F28">
          <w:rPr>
            <w:rFonts w:asciiTheme="minorHAnsi" w:hAnsiTheme="minorHAnsi" w:cstheme="minorBidi"/>
            <w:noProof/>
            <w:sz w:val="22"/>
            <w:szCs w:val="22"/>
          </w:rPr>
          <w:tab/>
        </w:r>
        <w:r w:rsidR="006B0F28" w:rsidRPr="00813141">
          <w:rPr>
            <w:rStyle w:val="Hyperlink"/>
            <w:rFonts w:ascii="Times New Roman" w:hAnsi="Times New Roman"/>
            <w:noProof/>
          </w:rPr>
          <w:t>Collection of Information Employing Statistical Methods</w:t>
        </w:r>
      </w:hyperlink>
    </w:p>
    <w:p w14:paraId="5B4D721F" w14:textId="77777777" w:rsidR="006B0F28" w:rsidRDefault="006B0F28" w:rsidP="006B0F28">
      <w:pPr>
        <w:pStyle w:val="TOC1"/>
        <w:tabs>
          <w:tab w:val="clear" w:pos="1440"/>
          <w:tab w:val="clear" w:pos="8208"/>
          <w:tab w:val="clear" w:pos="8640"/>
          <w:tab w:val="left" w:pos="1170"/>
          <w:tab w:val="right" w:leader="dot" w:pos="10440"/>
        </w:tabs>
        <w:ind w:left="1170" w:right="702" w:hanging="900"/>
        <w:rPr>
          <w:rFonts w:asciiTheme="minorHAnsi" w:hAnsiTheme="minorHAnsi" w:cstheme="minorBidi"/>
          <w:noProof/>
          <w:sz w:val="22"/>
          <w:szCs w:val="22"/>
        </w:rPr>
      </w:pPr>
    </w:p>
    <w:p w14:paraId="4A415F06" w14:textId="77777777" w:rsidR="006B0F28" w:rsidRDefault="00763335" w:rsidP="006B0F28">
      <w:pPr>
        <w:pStyle w:val="TOC1"/>
        <w:tabs>
          <w:tab w:val="clear" w:pos="1440"/>
          <w:tab w:val="clear" w:pos="8208"/>
          <w:tab w:val="clear" w:pos="8640"/>
          <w:tab w:val="left" w:pos="900"/>
          <w:tab w:val="right" w:leader="dot" w:pos="10440"/>
        </w:tabs>
        <w:ind w:left="900" w:right="702" w:hanging="630"/>
        <w:rPr>
          <w:rFonts w:asciiTheme="minorHAnsi" w:hAnsiTheme="minorHAnsi" w:cstheme="minorBidi"/>
          <w:noProof/>
          <w:sz w:val="22"/>
          <w:szCs w:val="22"/>
        </w:rPr>
      </w:pPr>
      <w:hyperlink w:anchor="_Toc518587621" w:history="1">
        <w:r w:rsidR="006B0F28" w:rsidRPr="00813141">
          <w:rPr>
            <w:rStyle w:val="Hyperlink"/>
            <w:rFonts w:ascii="Times New Roman" w:hAnsi="Times New Roman"/>
            <w:noProof/>
          </w:rPr>
          <w:t>B.1</w:t>
        </w:r>
        <w:r w:rsidR="006B0F28">
          <w:rPr>
            <w:rFonts w:asciiTheme="minorHAnsi" w:hAnsiTheme="minorHAnsi" w:cstheme="minorBidi"/>
            <w:noProof/>
            <w:sz w:val="22"/>
            <w:szCs w:val="22"/>
          </w:rPr>
          <w:tab/>
        </w:r>
        <w:r w:rsidR="006B0F28" w:rsidRPr="00813141">
          <w:rPr>
            <w:rStyle w:val="Hyperlink"/>
            <w:rFonts w:ascii="Times New Roman" w:hAnsi="Times New Roman"/>
            <w:noProof/>
          </w:rPr>
          <w:t>Universe, Sample Design, and Estimation</w:t>
        </w:r>
        <w:r w:rsidR="006B0F28">
          <w:rPr>
            <w:noProof/>
            <w:webHidden/>
          </w:rPr>
          <w:tab/>
        </w:r>
        <w:r w:rsidR="006B0F28">
          <w:rPr>
            <w:noProof/>
            <w:webHidden/>
          </w:rPr>
          <w:fldChar w:fldCharType="begin"/>
        </w:r>
        <w:r w:rsidR="006B0F28">
          <w:rPr>
            <w:noProof/>
            <w:webHidden/>
          </w:rPr>
          <w:instrText xml:space="preserve"> PAGEREF _Toc518587621 \h </w:instrText>
        </w:r>
        <w:r w:rsidR="006B0F28">
          <w:rPr>
            <w:noProof/>
            <w:webHidden/>
          </w:rPr>
        </w:r>
        <w:r w:rsidR="006B0F28">
          <w:rPr>
            <w:noProof/>
            <w:webHidden/>
          </w:rPr>
          <w:fldChar w:fldCharType="separate"/>
        </w:r>
        <w:r w:rsidR="006B0F28">
          <w:rPr>
            <w:noProof/>
            <w:webHidden/>
          </w:rPr>
          <w:t>1</w:t>
        </w:r>
        <w:r w:rsidR="006B0F28">
          <w:rPr>
            <w:noProof/>
            <w:webHidden/>
          </w:rPr>
          <w:fldChar w:fldCharType="end"/>
        </w:r>
      </w:hyperlink>
    </w:p>
    <w:p w14:paraId="48E75886" w14:textId="77777777" w:rsidR="006B0F28" w:rsidRDefault="00763335" w:rsidP="006B0F28">
      <w:pPr>
        <w:pStyle w:val="TOC2"/>
        <w:tabs>
          <w:tab w:val="clear" w:pos="2160"/>
          <w:tab w:val="clear" w:pos="8208"/>
          <w:tab w:val="clear" w:pos="8640"/>
          <w:tab w:val="left" w:pos="1890"/>
          <w:tab w:val="right" w:leader="dot" w:pos="10440"/>
        </w:tabs>
        <w:ind w:left="1890" w:right="702"/>
        <w:rPr>
          <w:rFonts w:asciiTheme="minorHAnsi" w:hAnsiTheme="minorHAnsi" w:cstheme="minorBidi"/>
          <w:noProof/>
          <w:sz w:val="22"/>
        </w:rPr>
      </w:pPr>
      <w:hyperlink w:anchor="_Toc518587622" w:history="1">
        <w:r w:rsidR="006B0F28" w:rsidRPr="00813141">
          <w:rPr>
            <w:rStyle w:val="Hyperlink"/>
            <w:rFonts w:ascii="Times New Roman" w:hAnsi="Times New Roman"/>
            <w:noProof/>
          </w:rPr>
          <w:t>B.1.1</w:t>
        </w:r>
        <w:r w:rsidR="006B0F28">
          <w:rPr>
            <w:rFonts w:asciiTheme="minorHAnsi" w:hAnsiTheme="minorHAnsi" w:cstheme="minorBidi"/>
            <w:noProof/>
            <w:sz w:val="22"/>
          </w:rPr>
          <w:tab/>
        </w:r>
        <w:r w:rsidR="006B0F28" w:rsidRPr="00813141">
          <w:rPr>
            <w:rStyle w:val="Hyperlink"/>
            <w:rFonts w:ascii="Times New Roman" w:hAnsi="Times New Roman"/>
            <w:noProof/>
          </w:rPr>
          <w:t>Universe and Sample Design: Respondent Universe</w:t>
        </w:r>
        <w:r w:rsidR="006B0F28">
          <w:rPr>
            <w:noProof/>
            <w:webHidden/>
          </w:rPr>
          <w:tab/>
        </w:r>
        <w:r w:rsidR="006B0F28">
          <w:rPr>
            <w:noProof/>
            <w:webHidden/>
          </w:rPr>
          <w:fldChar w:fldCharType="begin"/>
        </w:r>
        <w:r w:rsidR="006B0F28">
          <w:rPr>
            <w:noProof/>
            <w:webHidden/>
          </w:rPr>
          <w:instrText xml:space="preserve"> PAGEREF _Toc518587622 \h </w:instrText>
        </w:r>
        <w:r w:rsidR="006B0F28">
          <w:rPr>
            <w:noProof/>
            <w:webHidden/>
          </w:rPr>
        </w:r>
        <w:r w:rsidR="006B0F28">
          <w:rPr>
            <w:noProof/>
            <w:webHidden/>
          </w:rPr>
          <w:fldChar w:fldCharType="separate"/>
        </w:r>
        <w:r w:rsidR="006B0F28">
          <w:rPr>
            <w:noProof/>
            <w:webHidden/>
          </w:rPr>
          <w:t>1</w:t>
        </w:r>
        <w:r w:rsidR="006B0F28">
          <w:rPr>
            <w:noProof/>
            <w:webHidden/>
          </w:rPr>
          <w:fldChar w:fldCharType="end"/>
        </w:r>
      </w:hyperlink>
    </w:p>
    <w:p w14:paraId="6E3BE35F" w14:textId="77777777" w:rsidR="006B0F28" w:rsidRDefault="00763335" w:rsidP="006B0F28">
      <w:pPr>
        <w:pStyle w:val="TOC3"/>
        <w:tabs>
          <w:tab w:val="clear" w:pos="8208"/>
          <w:tab w:val="clear" w:pos="8640"/>
          <w:tab w:val="right" w:leader="dot" w:pos="10440"/>
        </w:tabs>
        <w:ind w:right="702"/>
        <w:rPr>
          <w:rFonts w:asciiTheme="minorHAnsi" w:hAnsiTheme="minorHAnsi" w:cstheme="minorBidi"/>
          <w:noProof/>
          <w:sz w:val="22"/>
          <w:szCs w:val="22"/>
        </w:rPr>
      </w:pPr>
      <w:hyperlink w:anchor="_Toc518587623" w:history="1">
        <w:r w:rsidR="006B0F28" w:rsidRPr="00813141">
          <w:rPr>
            <w:rStyle w:val="Hyperlink"/>
            <w:rFonts w:ascii="Times New Roman" w:hAnsi="Times New Roman"/>
            <w:noProof/>
          </w:rPr>
          <w:t>B.1.1.1</w:t>
        </w:r>
        <w:r w:rsidR="006B0F28">
          <w:rPr>
            <w:rFonts w:asciiTheme="minorHAnsi" w:hAnsiTheme="minorHAnsi" w:cstheme="minorBidi"/>
            <w:noProof/>
            <w:sz w:val="22"/>
            <w:szCs w:val="22"/>
          </w:rPr>
          <w:tab/>
        </w:r>
        <w:r w:rsidR="006B0F28" w:rsidRPr="00813141">
          <w:rPr>
            <w:rStyle w:val="Hyperlink"/>
            <w:rFonts w:ascii="Times New Roman" w:hAnsi="Times New Roman"/>
            <w:noProof/>
          </w:rPr>
          <w:t>Schools</w:t>
        </w:r>
        <w:r w:rsidR="006B0F28">
          <w:rPr>
            <w:noProof/>
            <w:webHidden/>
          </w:rPr>
          <w:tab/>
        </w:r>
        <w:r w:rsidR="006B0F28">
          <w:rPr>
            <w:noProof/>
            <w:webHidden/>
          </w:rPr>
          <w:fldChar w:fldCharType="begin"/>
        </w:r>
        <w:r w:rsidR="006B0F28">
          <w:rPr>
            <w:noProof/>
            <w:webHidden/>
          </w:rPr>
          <w:instrText xml:space="preserve"> PAGEREF _Toc518587623 \h </w:instrText>
        </w:r>
        <w:r w:rsidR="006B0F28">
          <w:rPr>
            <w:noProof/>
            <w:webHidden/>
          </w:rPr>
        </w:r>
        <w:r w:rsidR="006B0F28">
          <w:rPr>
            <w:noProof/>
            <w:webHidden/>
          </w:rPr>
          <w:fldChar w:fldCharType="separate"/>
        </w:r>
        <w:r w:rsidR="006B0F28">
          <w:rPr>
            <w:noProof/>
            <w:webHidden/>
          </w:rPr>
          <w:t>1</w:t>
        </w:r>
        <w:r w:rsidR="006B0F28">
          <w:rPr>
            <w:noProof/>
            <w:webHidden/>
          </w:rPr>
          <w:fldChar w:fldCharType="end"/>
        </w:r>
      </w:hyperlink>
    </w:p>
    <w:p w14:paraId="0A8E936C" w14:textId="77777777" w:rsidR="006B0F28" w:rsidRDefault="00763335" w:rsidP="006B0F28">
      <w:pPr>
        <w:pStyle w:val="TOC3"/>
        <w:tabs>
          <w:tab w:val="clear" w:pos="8208"/>
          <w:tab w:val="clear" w:pos="8640"/>
          <w:tab w:val="right" w:leader="dot" w:pos="10440"/>
        </w:tabs>
        <w:ind w:right="702"/>
        <w:rPr>
          <w:rFonts w:asciiTheme="minorHAnsi" w:hAnsiTheme="minorHAnsi" w:cstheme="minorBidi"/>
          <w:noProof/>
          <w:sz w:val="22"/>
          <w:szCs w:val="22"/>
        </w:rPr>
      </w:pPr>
      <w:hyperlink w:anchor="_Toc518587624" w:history="1">
        <w:r w:rsidR="006B0F28" w:rsidRPr="00813141">
          <w:rPr>
            <w:rStyle w:val="Hyperlink"/>
            <w:rFonts w:ascii="Times New Roman" w:hAnsi="Times New Roman"/>
            <w:noProof/>
          </w:rPr>
          <w:t>B.1.1.2</w:t>
        </w:r>
        <w:r w:rsidR="006B0F28">
          <w:rPr>
            <w:rFonts w:asciiTheme="minorHAnsi" w:hAnsiTheme="minorHAnsi" w:cstheme="minorBidi"/>
            <w:noProof/>
            <w:sz w:val="22"/>
            <w:szCs w:val="22"/>
          </w:rPr>
          <w:tab/>
        </w:r>
        <w:r w:rsidR="006B0F28" w:rsidRPr="00813141">
          <w:rPr>
            <w:rStyle w:val="Hyperlink"/>
            <w:rFonts w:ascii="Times New Roman" w:hAnsi="Times New Roman"/>
            <w:noProof/>
          </w:rPr>
          <w:t>Teachers</w:t>
        </w:r>
        <w:r w:rsidR="006B0F28">
          <w:rPr>
            <w:noProof/>
            <w:webHidden/>
          </w:rPr>
          <w:tab/>
        </w:r>
        <w:r w:rsidR="006B0F28">
          <w:rPr>
            <w:noProof/>
            <w:webHidden/>
          </w:rPr>
          <w:fldChar w:fldCharType="begin"/>
        </w:r>
        <w:r w:rsidR="006B0F28">
          <w:rPr>
            <w:noProof/>
            <w:webHidden/>
          </w:rPr>
          <w:instrText xml:space="preserve"> PAGEREF _Toc518587624 \h </w:instrText>
        </w:r>
        <w:r w:rsidR="006B0F28">
          <w:rPr>
            <w:noProof/>
            <w:webHidden/>
          </w:rPr>
        </w:r>
        <w:r w:rsidR="006B0F28">
          <w:rPr>
            <w:noProof/>
            <w:webHidden/>
          </w:rPr>
          <w:fldChar w:fldCharType="separate"/>
        </w:r>
        <w:r w:rsidR="006B0F28">
          <w:rPr>
            <w:noProof/>
            <w:webHidden/>
          </w:rPr>
          <w:t>2</w:t>
        </w:r>
        <w:r w:rsidR="006B0F28">
          <w:rPr>
            <w:noProof/>
            <w:webHidden/>
          </w:rPr>
          <w:fldChar w:fldCharType="end"/>
        </w:r>
      </w:hyperlink>
    </w:p>
    <w:p w14:paraId="1ABA5CE5"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25" w:history="1">
        <w:r w:rsidR="006B0F28" w:rsidRPr="00813141">
          <w:rPr>
            <w:rStyle w:val="Hyperlink"/>
            <w:rFonts w:ascii="Times New Roman" w:hAnsi="Times New Roman"/>
            <w:noProof/>
          </w:rPr>
          <w:t>B.1.2</w:t>
        </w:r>
        <w:r w:rsidR="006B0F28" w:rsidRPr="006B0F28">
          <w:rPr>
            <w:rStyle w:val="Hyperlink"/>
            <w:rFonts w:ascii="Times New Roman" w:hAnsi="Times New Roman"/>
          </w:rPr>
          <w:tab/>
        </w:r>
        <w:r w:rsidR="006B0F28" w:rsidRPr="00813141">
          <w:rPr>
            <w:rStyle w:val="Hyperlink"/>
            <w:rFonts w:ascii="Times New Roman" w:hAnsi="Times New Roman"/>
            <w:noProof/>
          </w:rPr>
          <w:t>Precision Requirements and Sample Sizes</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_Toc518587625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2</w:t>
        </w:r>
        <w:r w:rsidR="006B0F28" w:rsidRPr="006B0F28">
          <w:rPr>
            <w:rStyle w:val="Hyperlink"/>
            <w:rFonts w:ascii="Times New Roman" w:hAnsi="Times New Roman"/>
            <w:webHidden/>
          </w:rPr>
          <w:fldChar w:fldCharType="end"/>
        </w:r>
      </w:hyperlink>
    </w:p>
    <w:p w14:paraId="7A8A7BAE" w14:textId="77777777" w:rsidR="006B0F28" w:rsidRPr="006B0F28" w:rsidRDefault="00763335" w:rsidP="006B0F28">
      <w:pPr>
        <w:pStyle w:val="TOC1"/>
        <w:tabs>
          <w:tab w:val="clear" w:pos="1440"/>
          <w:tab w:val="clear" w:pos="8208"/>
          <w:tab w:val="clear" w:pos="8640"/>
          <w:tab w:val="left" w:pos="900"/>
          <w:tab w:val="right" w:leader="dot" w:pos="10440"/>
        </w:tabs>
        <w:ind w:left="900" w:right="702" w:hanging="630"/>
        <w:rPr>
          <w:rStyle w:val="Hyperlink"/>
          <w:rFonts w:ascii="Times New Roman" w:hAnsi="Times New Roman"/>
          <w:noProof/>
        </w:rPr>
      </w:pPr>
      <w:hyperlink w:anchor="_Toc518587626" w:history="1">
        <w:r w:rsidR="006B0F28" w:rsidRPr="00813141">
          <w:rPr>
            <w:rStyle w:val="Hyperlink"/>
            <w:rFonts w:ascii="Times New Roman" w:hAnsi="Times New Roman"/>
            <w:noProof/>
          </w:rPr>
          <w:t>B.2</w:t>
        </w:r>
        <w:r w:rsidR="006B0F28" w:rsidRPr="006B0F28">
          <w:rPr>
            <w:rStyle w:val="Hyperlink"/>
            <w:rFonts w:ascii="Times New Roman" w:hAnsi="Times New Roman"/>
            <w:noProof/>
          </w:rPr>
          <w:tab/>
        </w:r>
        <w:r w:rsidR="006B0F28" w:rsidRPr="00813141">
          <w:rPr>
            <w:rStyle w:val="Hyperlink"/>
            <w:rFonts w:ascii="Times New Roman" w:hAnsi="Times New Roman"/>
            <w:noProof/>
          </w:rPr>
          <w:t>Procedures for the Collection of Information</w:t>
        </w:r>
        <w:r w:rsidR="006B0F28" w:rsidRPr="006B0F28">
          <w:rPr>
            <w:rStyle w:val="Hyperlink"/>
            <w:rFonts w:ascii="Times New Roman" w:hAnsi="Times New Roman"/>
            <w:noProof/>
            <w:webHidden/>
          </w:rPr>
          <w:tab/>
        </w:r>
        <w:r w:rsidR="006B0F28" w:rsidRPr="006B0F28">
          <w:rPr>
            <w:rStyle w:val="Hyperlink"/>
            <w:rFonts w:ascii="Times New Roman" w:hAnsi="Times New Roman"/>
            <w:noProof/>
            <w:webHidden/>
          </w:rPr>
          <w:fldChar w:fldCharType="begin"/>
        </w:r>
        <w:r w:rsidR="006B0F28" w:rsidRPr="006B0F28">
          <w:rPr>
            <w:rStyle w:val="Hyperlink"/>
            <w:rFonts w:ascii="Times New Roman" w:hAnsi="Times New Roman"/>
            <w:noProof/>
            <w:webHidden/>
          </w:rPr>
          <w:instrText xml:space="preserve"> PAGEREF _Toc518587626 \h </w:instrText>
        </w:r>
        <w:r w:rsidR="006B0F28" w:rsidRPr="006B0F28">
          <w:rPr>
            <w:rStyle w:val="Hyperlink"/>
            <w:rFonts w:ascii="Times New Roman" w:hAnsi="Times New Roman"/>
            <w:noProof/>
            <w:webHidden/>
          </w:rPr>
        </w:r>
        <w:r w:rsidR="006B0F28" w:rsidRPr="006B0F28">
          <w:rPr>
            <w:rStyle w:val="Hyperlink"/>
            <w:rFonts w:ascii="Times New Roman" w:hAnsi="Times New Roman"/>
            <w:noProof/>
            <w:webHidden/>
          </w:rPr>
          <w:fldChar w:fldCharType="separate"/>
        </w:r>
        <w:r w:rsidR="006B0F28" w:rsidRPr="006B0F28">
          <w:rPr>
            <w:rStyle w:val="Hyperlink"/>
            <w:rFonts w:ascii="Times New Roman" w:hAnsi="Times New Roman"/>
            <w:noProof/>
            <w:webHidden/>
          </w:rPr>
          <w:t>6</w:t>
        </w:r>
        <w:r w:rsidR="006B0F28" w:rsidRPr="006B0F28">
          <w:rPr>
            <w:rStyle w:val="Hyperlink"/>
            <w:rFonts w:ascii="Times New Roman" w:hAnsi="Times New Roman"/>
            <w:noProof/>
            <w:webHidden/>
          </w:rPr>
          <w:fldChar w:fldCharType="end"/>
        </w:r>
      </w:hyperlink>
    </w:p>
    <w:p w14:paraId="2DB7AEC9"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27" w:history="1">
        <w:r w:rsidR="006B0F28" w:rsidRPr="00813141">
          <w:rPr>
            <w:rStyle w:val="Hyperlink"/>
            <w:rFonts w:ascii="Times New Roman" w:hAnsi="Times New Roman"/>
            <w:noProof/>
          </w:rPr>
          <w:t>B.2.2</w:t>
        </w:r>
        <w:r w:rsidR="006B0F28" w:rsidRPr="006B0F28">
          <w:rPr>
            <w:rStyle w:val="Hyperlink"/>
            <w:rFonts w:ascii="Times New Roman" w:hAnsi="Times New Roman"/>
          </w:rPr>
          <w:tab/>
        </w:r>
        <w:r w:rsidR="006B0F28" w:rsidRPr="00813141">
          <w:rPr>
            <w:rStyle w:val="Hyperlink"/>
            <w:rFonts w:ascii="Times New Roman" w:hAnsi="Times New Roman"/>
            <w:noProof/>
          </w:rPr>
          <w:t>School-level Data Collection Procedures</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_Toc518587627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8</w:t>
        </w:r>
        <w:r w:rsidR="006B0F28" w:rsidRPr="006B0F28">
          <w:rPr>
            <w:rStyle w:val="Hyperlink"/>
            <w:rFonts w:ascii="Times New Roman" w:hAnsi="Times New Roman"/>
            <w:webHidden/>
          </w:rPr>
          <w:fldChar w:fldCharType="end"/>
        </w:r>
      </w:hyperlink>
    </w:p>
    <w:p w14:paraId="7AB91022" w14:textId="77777777" w:rsidR="006B0F28" w:rsidRDefault="00763335" w:rsidP="006B0F28">
      <w:pPr>
        <w:pStyle w:val="TOC3"/>
        <w:tabs>
          <w:tab w:val="clear" w:pos="8208"/>
          <w:tab w:val="clear" w:pos="8640"/>
          <w:tab w:val="right" w:leader="dot" w:pos="10440"/>
        </w:tabs>
        <w:ind w:right="702"/>
        <w:rPr>
          <w:rFonts w:asciiTheme="minorHAnsi" w:hAnsiTheme="minorHAnsi" w:cstheme="minorBidi"/>
          <w:noProof/>
          <w:sz w:val="22"/>
          <w:szCs w:val="22"/>
        </w:rPr>
      </w:pPr>
      <w:hyperlink w:anchor="_Toc518587628" w:history="1">
        <w:r w:rsidR="006B0F28" w:rsidRPr="00813141">
          <w:rPr>
            <w:rStyle w:val="Hyperlink"/>
            <w:rFonts w:ascii="Times New Roman" w:hAnsi="Times New Roman"/>
            <w:noProof/>
          </w:rPr>
          <w:t>B.2.2.1</w:t>
        </w:r>
        <w:r w:rsidR="006B0F28">
          <w:rPr>
            <w:rFonts w:asciiTheme="minorHAnsi" w:hAnsiTheme="minorHAnsi" w:cstheme="minorBidi"/>
            <w:noProof/>
            <w:sz w:val="22"/>
            <w:szCs w:val="22"/>
          </w:rPr>
          <w:tab/>
        </w:r>
        <w:r w:rsidR="006B0F28" w:rsidRPr="00813141">
          <w:rPr>
            <w:rStyle w:val="Hyperlink"/>
            <w:rFonts w:ascii="Times New Roman" w:hAnsi="Times New Roman"/>
            <w:noProof/>
          </w:rPr>
          <w:t xml:space="preserve"> Priority Schools</w:t>
        </w:r>
        <w:r w:rsidR="006B0F28">
          <w:rPr>
            <w:noProof/>
            <w:webHidden/>
          </w:rPr>
          <w:tab/>
        </w:r>
        <w:r w:rsidR="006B0F28">
          <w:rPr>
            <w:noProof/>
            <w:webHidden/>
          </w:rPr>
          <w:fldChar w:fldCharType="begin"/>
        </w:r>
        <w:r w:rsidR="006B0F28">
          <w:rPr>
            <w:noProof/>
            <w:webHidden/>
          </w:rPr>
          <w:instrText xml:space="preserve"> PAGEREF _Toc518587628 \h </w:instrText>
        </w:r>
        <w:r w:rsidR="006B0F28">
          <w:rPr>
            <w:noProof/>
            <w:webHidden/>
          </w:rPr>
        </w:r>
        <w:r w:rsidR="006B0F28">
          <w:rPr>
            <w:noProof/>
            <w:webHidden/>
          </w:rPr>
          <w:fldChar w:fldCharType="separate"/>
        </w:r>
        <w:r w:rsidR="006B0F28">
          <w:rPr>
            <w:noProof/>
            <w:webHidden/>
          </w:rPr>
          <w:t>10</w:t>
        </w:r>
        <w:r w:rsidR="006B0F28">
          <w:rPr>
            <w:noProof/>
            <w:webHidden/>
          </w:rPr>
          <w:fldChar w:fldCharType="end"/>
        </w:r>
      </w:hyperlink>
    </w:p>
    <w:p w14:paraId="28ACF49E" w14:textId="77777777" w:rsidR="006B0F28" w:rsidRDefault="00763335" w:rsidP="006B0F28">
      <w:pPr>
        <w:pStyle w:val="TOC3"/>
        <w:tabs>
          <w:tab w:val="clear" w:pos="8208"/>
          <w:tab w:val="clear" w:pos="8640"/>
          <w:tab w:val="right" w:leader="dot" w:pos="10440"/>
        </w:tabs>
        <w:ind w:right="702"/>
        <w:rPr>
          <w:rFonts w:asciiTheme="minorHAnsi" w:hAnsiTheme="minorHAnsi" w:cstheme="minorBidi"/>
          <w:noProof/>
          <w:sz w:val="22"/>
          <w:szCs w:val="22"/>
        </w:rPr>
      </w:pPr>
      <w:hyperlink w:anchor="_Toc518587629" w:history="1">
        <w:r w:rsidR="006B0F28" w:rsidRPr="00813141">
          <w:rPr>
            <w:rStyle w:val="Hyperlink"/>
            <w:rFonts w:ascii="Times New Roman" w:hAnsi="Times New Roman"/>
            <w:noProof/>
          </w:rPr>
          <w:t>B.2.2.2</w:t>
        </w:r>
        <w:r w:rsidR="006B0F28">
          <w:rPr>
            <w:rFonts w:asciiTheme="minorHAnsi" w:hAnsiTheme="minorHAnsi" w:cstheme="minorBidi"/>
            <w:noProof/>
            <w:sz w:val="22"/>
            <w:szCs w:val="22"/>
          </w:rPr>
          <w:tab/>
        </w:r>
        <w:r w:rsidR="006B0F28" w:rsidRPr="00813141">
          <w:rPr>
            <w:rStyle w:val="Hyperlink"/>
            <w:rFonts w:ascii="Times New Roman" w:hAnsi="Times New Roman"/>
            <w:noProof/>
          </w:rPr>
          <w:t xml:space="preserve"> Non-priority Schools</w:t>
        </w:r>
        <w:r w:rsidR="006B0F28">
          <w:rPr>
            <w:noProof/>
            <w:webHidden/>
          </w:rPr>
          <w:tab/>
        </w:r>
        <w:r w:rsidR="006B0F28">
          <w:rPr>
            <w:noProof/>
            <w:webHidden/>
          </w:rPr>
          <w:fldChar w:fldCharType="begin"/>
        </w:r>
        <w:r w:rsidR="006B0F28">
          <w:rPr>
            <w:noProof/>
            <w:webHidden/>
          </w:rPr>
          <w:instrText xml:space="preserve"> PAGEREF _Toc518587629 \h </w:instrText>
        </w:r>
        <w:r w:rsidR="006B0F28">
          <w:rPr>
            <w:noProof/>
            <w:webHidden/>
          </w:rPr>
        </w:r>
        <w:r w:rsidR="006B0F28">
          <w:rPr>
            <w:noProof/>
            <w:webHidden/>
          </w:rPr>
          <w:fldChar w:fldCharType="separate"/>
        </w:r>
        <w:r w:rsidR="006B0F28">
          <w:rPr>
            <w:noProof/>
            <w:webHidden/>
          </w:rPr>
          <w:t>10</w:t>
        </w:r>
        <w:r w:rsidR="006B0F28">
          <w:rPr>
            <w:noProof/>
            <w:webHidden/>
          </w:rPr>
          <w:fldChar w:fldCharType="end"/>
        </w:r>
      </w:hyperlink>
    </w:p>
    <w:p w14:paraId="0E312C71"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30" w:history="1">
        <w:r w:rsidR="006B0F28" w:rsidRPr="00813141">
          <w:rPr>
            <w:rStyle w:val="Hyperlink"/>
            <w:rFonts w:ascii="Times New Roman" w:hAnsi="Times New Roman"/>
            <w:noProof/>
          </w:rPr>
          <w:t>B.2.3</w:t>
        </w:r>
        <w:r w:rsidR="006B0F28" w:rsidRPr="006B0F28">
          <w:rPr>
            <w:rStyle w:val="Hyperlink"/>
            <w:rFonts w:ascii="Times New Roman" w:hAnsi="Times New Roman"/>
          </w:rPr>
          <w:tab/>
        </w:r>
        <w:r w:rsidR="006B0F28" w:rsidRPr="00813141">
          <w:rPr>
            <w:rStyle w:val="Hyperlink"/>
            <w:rFonts w:ascii="Times New Roman" w:hAnsi="Times New Roman"/>
            <w:noProof/>
          </w:rPr>
          <w:t xml:space="preserve"> Teacher Data Collection</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_Toc518587630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11</w:t>
        </w:r>
        <w:r w:rsidR="006B0F28" w:rsidRPr="006B0F28">
          <w:rPr>
            <w:rStyle w:val="Hyperlink"/>
            <w:rFonts w:ascii="Times New Roman" w:hAnsi="Times New Roman"/>
            <w:webHidden/>
          </w:rPr>
          <w:fldChar w:fldCharType="end"/>
        </w:r>
      </w:hyperlink>
    </w:p>
    <w:p w14:paraId="0F8292C4" w14:textId="77777777" w:rsidR="006B0F28" w:rsidRPr="006B0F28" w:rsidRDefault="00763335" w:rsidP="006B0F28">
      <w:pPr>
        <w:pStyle w:val="TOC1"/>
        <w:tabs>
          <w:tab w:val="clear" w:pos="1440"/>
          <w:tab w:val="clear" w:pos="8208"/>
          <w:tab w:val="clear" w:pos="8640"/>
          <w:tab w:val="left" w:pos="900"/>
          <w:tab w:val="right" w:leader="dot" w:pos="10440"/>
        </w:tabs>
        <w:ind w:left="900" w:right="702" w:hanging="630"/>
        <w:rPr>
          <w:rStyle w:val="Hyperlink"/>
          <w:rFonts w:ascii="Times New Roman" w:hAnsi="Times New Roman"/>
        </w:rPr>
      </w:pPr>
      <w:hyperlink w:anchor="_Toc518587631" w:history="1">
        <w:r w:rsidR="006B0F28" w:rsidRPr="006B0F28">
          <w:rPr>
            <w:rStyle w:val="Hyperlink"/>
            <w:rFonts w:ascii="Times New Roman" w:hAnsi="Times New Roman"/>
            <w:noProof/>
          </w:rPr>
          <w:t>B</w:t>
        </w:r>
        <w:r w:rsidR="006B0F28" w:rsidRPr="00813141">
          <w:rPr>
            <w:rStyle w:val="Hyperlink"/>
            <w:rFonts w:ascii="Times New Roman" w:hAnsi="Times New Roman"/>
            <w:noProof/>
          </w:rPr>
          <w:t>.3</w:t>
        </w:r>
        <w:r w:rsidR="006B0F28" w:rsidRPr="006B0F28">
          <w:rPr>
            <w:rStyle w:val="Hyperlink"/>
            <w:rFonts w:ascii="Times New Roman" w:hAnsi="Times New Roman"/>
          </w:rPr>
          <w:tab/>
        </w:r>
        <w:r w:rsidR="006B0F28" w:rsidRPr="00813141">
          <w:rPr>
            <w:rStyle w:val="Hyperlink"/>
            <w:rFonts w:ascii="Times New Roman" w:hAnsi="Times New Roman"/>
            <w:noProof/>
          </w:rPr>
          <w:t>Methods to Secure Cooperation, Maximize Response Rates, and Deal with Nonresponse</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_Toc518587631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12</w:t>
        </w:r>
        <w:r w:rsidR="006B0F28" w:rsidRPr="006B0F28">
          <w:rPr>
            <w:rStyle w:val="Hyperlink"/>
            <w:rFonts w:ascii="Times New Roman" w:hAnsi="Times New Roman"/>
            <w:webHidden/>
          </w:rPr>
          <w:fldChar w:fldCharType="end"/>
        </w:r>
      </w:hyperlink>
    </w:p>
    <w:p w14:paraId="1F452705"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32" w:history="1">
        <w:r w:rsidR="006B0F28" w:rsidRPr="00813141">
          <w:rPr>
            <w:rStyle w:val="Hyperlink"/>
            <w:rFonts w:ascii="Times New Roman" w:hAnsi="Times New Roman"/>
            <w:noProof/>
          </w:rPr>
          <w:t>B.3.1</w:t>
        </w:r>
        <w:r w:rsidR="006B0F28" w:rsidRPr="006B0F28">
          <w:rPr>
            <w:rStyle w:val="Hyperlink"/>
            <w:rFonts w:ascii="Times New Roman" w:hAnsi="Times New Roman"/>
          </w:rPr>
          <w:tab/>
        </w:r>
        <w:r w:rsidR="006B0F28" w:rsidRPr="00813141">
          <w:rPr>
            <w:rStyle w:val="Hyperlink"/>
            <w:rFonts w:ascii="Times New Roman" w:hAnsi="Times New Roman"/>
            <w:noProof/>
          </w:rPr>
          <w:t>Methods to Secure Cooperation and Maximize Response Rates</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_Toc518587632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12</w:t>
        </w:r>
        <w:r w:rsidR="006B0F28" w:rsidRPr="006B0F28">
          <w:rPr>
            <w:rStyle w:val="Hyperlink"/>
            <w:rFonts w:ascii="Times New Roman" w:hAnsi="Times New Roman"/>
            <w:webHidden/>
          </w:rPr>
          <w:fldChar w:fldCharType="end"/>
        </w:r>
      </w:hyperlink>
    </w:p>
    <w:p w14:paraId="3AF6BF09"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33" w:history="1">
        <w:r w:rsidR="006B0F28" w:rsidRPr="00813141">
          <w:rPr>
            <w:rStyle w:val="Hyperlink"/>
            <w:rFonts w:ascii="Times New Roman" w:hAnsi="Times New Roman"/>
            <w:noProof/>
          </w:rPr>
          <w:t>B.3.2</w:t>
        </w:r>
        <w:r w:rsidR="006B0F28" w:rsidRPr="006B0F28">
          <w:rPr>
            <w:rStyle w:val="Hyperlink"/>
            <w:rFonts w:ascii="Times New Roman" w:hAnsi="Times New Roman"/>
          </w:rPr>
          <w:tab/>
        </w:r>
        <w:r w:rsidR="006B0F28" w:rsidRPr="00813141">
          <w:rPr>
            <w:rStyle w:val="Hyperlink"/>
            <w:rFonts w:ascii="Times New Roman" w:hAnsi="Times New Roman"/>
            <w:noProof/>
          </w:rPr>
          <w:t>Methods to Minimize Nonresponse</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_Toc518587633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13</w:t>
        </w:r>
        <w:r w:rsidR="006B0F28" w:rsidRPr="006B0F28">
          <w:rPr>
            <w:rStyle w:val="Hyperlink"/>
            <w:rFonts w:ascii="Times New Roman" w:hAnsi="Times New Roman"/>
            <w:webHidden/>
          </w:rPr>
          <w:fldChar w:fldCharType="end"/>
        </w:r>
      </w:hyperlink>
    </w:p>
    <w:p w14:paraId="270B9C68" w14:textId="77777777" w:rsidR="006B0F28" w:rsidRPr="006B0F28" w:rsidRDefault="00763335" w:rsidP="006B0F28">
      <w:pPr>
        <w:pStyle w:val="TOC1"/>
        <w:tabs>
          <w:tab w:val="clear" w:pos="1440"/>
          <w:tab w:val="clear" w:pos="8208"/>
          <w:tab w:val="clear" w:pos="8640"/>
          <w:tab w:val="left" w:pos="900"/>
          <w:tab w:val="right" w:leader="dot" w:pos="10440"/>
        </w:tabs>
        <w:ind w:left="900" w:right="702" w:hanging="630"/>
        <w:rPr>
          <w:rStyle w:val="Hyperlink"/>
          <w:rFonts w:ascii="Times New Roman" w:hAnsi="Times New Roman"/>
          <w:noProof/>
        </w:rPr>
      </w:pPr>
      <w:hyperlink w:anchor="_Toc518587634" w:history="1">
        <w:r w:rsidR="006B0F28" w:rsidRPr="00813141">
          <w:rPr>
            <w:rStyle w:val="Hyperlink"/>
            <w:rFonts w:ascii="Times New Roman" w:hAnsi="Times New Roman"/>
            <w:noProof/>
          </w:rPr>
          <w:t>B.4</w:t>
        </w:r>
        <w:r w:rsidR="006B0F28" w:rsidRPr="006B0F28">
          <w:rPr>
            <w:rStyle w:val="Hyperlink"/>
            <w:rFonts w:ascii="Times New Roman" w:hAnsi="Times New Roman"/>
            <w:noProof/>
          </w:rPr>
          <w:tab/>
        </w:r>
        <w:r w:rsidR="006B0F28" w:rsidRPr="00813141">
          <w:rPr>
            <w:rStyle w:val="Hyperlink"/>
            <w:rFonts w:ascii="Times New Roman" w:hAnsi="Times New Roman"/>
            <w:noProof/>
          </w:rPr>
          <w:t>Tests of Methods and Procedures</w:t>
        </w:r>
        <w:r w:rsidR="006B0F28" w:rsidRPr="006B0F28">
          <w:rPr>
            <w:rStyle w:val="Hyperlink"/>
            <w:rFonts w:ascii="Times New Roman" w:hAnsi="Times New Roman"/>
            <w:noProof/>
            <w:webHidden/>
          </w:rPr>
          <w:tab/>
        </w:r>
        <w:r w:rsidR="006B0F28" w:rsidRPr="006B0F28">
          <w:rPr>
            <w:rStyle w:val="Hyperlink"/>
            <w:rFonts w:ascii="Times New Roman" w:hAnsi="Times New Roman"/>
            <w:noProof/>
            <w:webHidden/>
          </w:rPr>
          <w:fldChar w:fldCharType="begin"/>
        </w:r>
        <w:r w:rsidR="006B0F28" w:rsidRPr="006B0F28">
          <w:rPr>
            <w:rStyle w:val="Hyperlink"/>
            <w:rFonts w:ascii="Times New Roman" w:hAnsi="Times New Roman"/>
            <w:noProof/>
            <w:webHidden/>
          </w:rPr>
          <w:instrText xml:space="preserve"> PAGEREF _Toc518587634 \h </w:instrText>
        </w:r>
        <w:r w:rsidR="006B0F28" w:rsidRPr="006B0F28">
          <w:rPr>
            <w:rStyle w:val="Hyperlink"/>
            <w:rFonts w:ascii="Times New Roman" w:hAnsi="Times New Roman"/>
            <w:noProof/>
            <w:webHidden/>
          </w:rPr>
        </w:r>
        <w:r w:rsidR="006B0F28" w:rsidRPr="006B0F28">
          <w:rPr>
            <w:rStyle w:val="Hyperlink"/>
            <w:rFonts w:ascii="Times New Roman" w:hAnsi="Times New Roman"/>
            <w:noProof/>
            <w:webHidden/>
          </w:rPr>
          <w:fldChar w:fldCharType="separate"/>
        </w:r>
        <w:r w:rsidR="006B0F28" w:rsidRPr="006B0F28">
          <w:rPr>
            <w:rStyle w:val="Hyperlink"/>
            <w:rFonts w:ascii="Times New Roman" w:hAnsi="Times New Roman"/>
            <w:noProof/>
            <w:webHidden/>
          </w:rPr>
          <w:t>17</w:t>
        </w:r>
        <w:r w:rsidR="006B0F28" w:rsidRPr="006B0F28">
          <w:rPr>
            <w:rStyle w:val="Hyperlink"/>
            <w:rFonts w:ascii="Times New Roman" w:hAnsi="Times New Roman"/>
            <w:noProof/>
            <w:webHidden/>
          </w:rPr>
          <w:fldChar w:fldCharType="end"/>
        </w:r>
      </w:hyperlink>
    </w:p>
    <w:p w14:paraId="037BF6FC"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35" w:history="1">
        <w:r w:rsidR="006B0F28" w:rsidRPr="00813141">
          <w:rPr>
            <w:rStyle w:val="Hyperlink"/>
            <w:rFonts w:ascii="Times New Roman" w:hAnsi="Times New Roman"/>
            <w:noProof/>
          </w:rPr>
          <w:t>B.4.1</w:t>
        </w:r>
        <w:r w:rsidR="006B0F28" w:rsidRPr="006B0F28">
          <w:rPr>
            <w:rStyle w:val="Hyperlink"/>
            <w:rFonts w:ascii="Times New Roman" w:hAnsi="Times New Roman"/>
          </w:rPr>
          <w:tab/>
        </w:r>
        <w:r w:rsidR="006B0F28" w:rsidRPr="00813141">
          <w:rPr>
            <w:rStyle w:val="Hyperlink"/>
            <w:rFonts w:ascii="Times New Roman" w:hAnsi="Times New Roman"/>
            <w:noProof/>
          </w:rPr>
          <w:t>Tests Influencing the Design of NTPS 2019-20</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_Toc518587635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17</w:t>
        </w:r>
        <w:r w:rsidR="006B0F28" w:rsidRPr="006B0F28">
          <w:rPr>
            <w:rStyle w:val="Hyperlink"/>
            <w:rFonts w:ascii="Times New Roman" w:hAnsi="Times New Roman"/>
            <w:webHidden/>
          </w:rPr>
          <w:fldChar w:fldCharType="end"/>
        </w:r>
      </w:hyperlink>
    </w:p>
    <w:p w14:paraId="45BED3AD" w14:textId="77777777" w:rsidR="006B0F28" w:rsidRPr="006B0F28" w:rsidRDefault="00763335" w:rsidP="006B0F28">
      <w:pPr>
        <w:pStyle w:val="TOC2"/>
        <w:tabs>
          <w:tab w:val="clear" w:pos="2160"/>
          <w:tab w:val="clear" w:pos="8208"/>
          <w:tab w:val="clear" w:pos="8640"/>
          <w:tab w:val="left" w:pos="1890"/>
          <w:tab w:val="right" w:leader="dot" w:pos="10440"/>
        </w:tabs>
        <w:ind w:left="1890" w:right="702"/>
        <w:rPr>
          <w:rStyle w:val="Hyperlink"/>
          <w:rFonts w:ascii="Times New Roman" w:hAnsi="Times New Roman"/>
        </w:rPr>
      </w:pPr>
      <w:hyperlink w:anchor="_Toc518587636" w:history="1">
        <w:r w:rsidR="006B0F28" w:rsidRPr="00813141">
          <w:rPr>
            <w:rStyle w:val="Hyperlink"/>
            <w:rFonts w:ascii="Times New Roman" w:hAnsi="Times New Roman"/>
            <w:noProof/>
          </w:rPr>
          <w:t>B.4.2</w:t>
        </w:r>
        <w:r w:rsidR="006B0F28" w:rsidRPr="006B0F28">
          <w:rPr>
            <w:rStyle w:val="Hyperlink"/>
            <w:rFonts w:ascii="Times New Roman" w:hAnsi="Times New Roman"/>
          </w:rPr>
          <w:tab/>
        </w:r>
        <w:r w:rsidR="006B0F28" w:rsidRPr="00813141">
          <w:rPr>
            <w:rStyle w:val="Hyperlink"/>
            <w:rFonts w:ascii="Times New Roman" w:hAnsi="Times New Roman"/>
            <w:noProof/>
          </w:rPr>
          <w:t>Tests Included in the Design of NTPS 2019-20</w:t>
        </w:r>
        <w:r w:rsidR="006B0F28" w:rsidRPr="006B0F28">
          <w:rPr>
            <w:rStyle w:val="Hyperlink"/>
            <w:rFonts w:ascii="Times New Roman" w:hAnsi="Times New Roman"/>
            <w:webHidden/>
          </w:rPr>
          <w:tab/>
        </w:r>
        <w:r w:rsidR="006B0F28" w:rsidRPr="006B0F28">
          <w:rPr>
            <w:rStyle w:val="Hyperlink"/>
            <w:rFonts w:ascii="Times New Roman" w:hAnsi="Times New Roman"/>
            <w:webHidden/>
          </w:rPr>
          <w:fldChar w:fldCharType="begin"/>
        </w:r>
        <w:r w:rsidR="006B0F28" w:rsidRPr="006B0F28">
          <w:rPr>
            <w:rStyle w:val="Hyperlink"/>
            <w:rFonts w:ascii="Times New Roman" w:hAnsi="Times New Roman"/>
            <w:webHidden/>
          </w:rPr>
          <w:instrText xml:space="preserve"> PAGEREF _Toc518587636 \h </w:instrText>
        </w:r>
        <w:r w:rsidR="006B0F28" w:rsidRPr="006B0F28">
          <w:rPr>
            <w:rStyle w:val="Hyperlink"/>
            <w:rFonts w:ascii="Times New Roman" w:hAnsi="Times New Roman"/>
            <w:webHidden/>
          </w:rPr>
        </w:r>
        <w:r w:rsidR="006B0F28" w:rsidRPr="006B0F28">
          <w:rPr>
            <w:rStyle w:val="Hyperlink"/>
            <w:rFonts w:ascii="Times New Roman" w:hAnsi="Times New Roman"/>
            <w:webHidden/>
          </w:rPr>
          <w:fldChar w:fldCharType="separate"/>
        </w:r>
        <w:r w:rsidR="006B0F28" w:rsidRPr="006B0F28">
          <w:rPr>
            <w:rStyle w:val="Hyperlink"/>
            <w:rFonts w:ascii="Times New Roman" w:hAnsi="Times New Roman"/>
            <w:webHidden/>
          </w:rPr>
          <w:t>21</w:t>
        </w:r>
        <w:r w:rsidR="006B0F28" w:rsidRPr="006B0F28">
          <w:rPr>
            <w:rStyle w:val="Hyperlink"/>
            <w:rFonts w:ascii="Times New Roman" w:hAnsi="Times New Roman"/>
            <w:webHidden/>
          </w:rPr>
          <w:fldChar w:fldCharType="end"/>
        </w:r>
      </w:hyperlink>
    </w:p>
    <w:p w14:paraId="46BEEF25" w14:textId="62E42170" w:rsidR="002565A7" w:rsidRPr="00D321F9" w:rsidRDefault="002565A7" w:rsidP="007D4EB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A50DEB">
          <w:headerReference w:type="default" r:id="rId13"/>
          <w:footerReference w:type="default" r:id="rId14"/>
          <w:headerReference w:type="first" r:id="rId15"/>
          <w:footerReference w:type="first" r:id="rId16"/>
          <w:pgSz w:w="12240" w:h="15840" w:code="1"/>
          <w:pgMar w:top="864" w:right="864" w:bottom="720" w:left="864" w:header="432" w:footer="288" w:gutter="0"/>
          <w:pgNumType w:fmt="lowerRoman" w:start="3"/>
          <w:cols w:space="720"/>
          <w:titlePg/>
          <w:docGrid w:linePitch="360"/>
        </w:sectPr>
      </w:pPr>
      <w:r w:rsidRPr="00D321F9">
        <w:rPr>
          <w:rFonts w:ascii="Times New Roman" w:hAnsi="Times New Roman"/>
        </w:rPr>
        <w:fldChar w:fldCharType="end"/>
      </w:r>
    </w:p>
    <w:p w14:paraId="109CECA3" w14:textId="415A87A9" w:rsidR="00FF3AA2" w:rsidRPr="00E407C6" w:rsidRDefault="00FF3AA2" w:rsidP="007D4EB8">
      <w:pPr>
        <w:pStyle w:val="Heading1"/>
        <w:tabs>
          <w:tab w:val="clear" w:pos="1152"/>
          <w:tab w:val="left" w:pos="810"/>
        </w:tabs>
        <w:spacing w:after="120" w:line="240" w:lineRule="auto"/>
        <w:ind w:left="1267" w:hanging="1267"/>
        <w:jc w:val="left"/>
        <w:rPr>
          <w:rFonts w:ascii="Times New Roman" w:hAnsi="Times New Roman"/>
          <w:color w:val="auto"/>
          <w:sz w:val="24"/>
          <w:szCs w:val="24"/>
        </w:rPr>
      </w:pPr>
      <w:bookmarkStart w:id="4" w:name="_Toc391625744"/>
      <w:bookmarkStart w:id="5" w:name="_Toc420609064"/>
      <w:bookmarkStart w:id="6" w:name="_Toc455154246"/>
      <w:bookmarkStart w:id="7" w:name="_Toc455496439"/>
      <w:bookmarkStart w:id="8" w:name="_Toc468187450"/>
      <w:bookmarkStart w:id="9" w:name="_Toc518587620"/>
      <w:r w:rsidRPr="00E407C6">
        <w:rPr>
          <w:rFonts w:ascii="Times New Roman" w:hAnsi="Times New Roman"/>
          <w:color w:val="auto"/>
          <w:sz w:val="24"/>
          <w:szCs w:val="24"/>
        </w:rPr>
        <w:t>Part B</w:t>
      </w:r>
      <w:r w:rsidRPr="00E407C6">
        <w:rPr>
          <w:rFonts w:ascii="Times New Roman" w:hAnsi="Times New Roman"/>
          <w:color w:val="auto"/>
          <w:sz w:val="24"/>
          <w:szCs w:val="24"/>
        </w:rPr>
        <w:tab/>
        <w:t xml:space="preserve">Collection of Information Employing Statistical </w:t>
      </w:r>
      <w:r w:rsidRPr="00E407C6">
        <w:rPr>
          <w:rFonts w:ascii="Times New Roman" w:hAnsi="Times New Roman"/>
          <w:color w:val="000000" w:themeColor="text1"/>
          <w:sz w:val="24"/>
          <w:szCs w:val="24"/>
        </w:rPr>
        <w:t>Method</w:t>
      </w:r>
      <w:bookmarkStart w:id="10" w:name="_Toc455153277"/>
      <w:bookmarkStart w:id="11" w:name="_Toc391625745"/>
      <w:bookmarkStart w:id="12" w:name="_Toc392706703"/>
      <w:bookmarkStart w:id="13" w:name="_Toc420609065"/>
      <w:bookmarkEnd w:id="4"/>
      <w:bookmarkEnd w:id="5"/>
      <w:bookmarkEnd w:id="6"/>
      <w:bookmarkEnd w:id="7"/>
      <w:bookmarkEnd w:id="8"/>
      <w:r w:rsidR="002E6FAD">
        <w:rPr>
          <w:rFonts w:ascii="Times New Roman" w:hAnsi="Times New Roman"/>
          <w:color w:val="000000" w:themeColor="text1"/>
          <w:sz w:val="24"/>
          <w:szCs w:val="24"/>
        </w:rPr>
        <w:t>s</w:t>
      </w:r>
      <w:bookmarkEnd w:id="9"/>
    </w:p>
    <w:p w14:paraId="49A251B5" w14:textId="60F53EDB" w:rsidR="00FF3AA2" w:rsidRPr="00E407C6" w:rsidRDefault="00094DFF" w:rsidP="00DA4888">
      <w:pPr>
        <w:spacing w:after="120" w:line="240" w:lineRule="auto"/>
        <w:rPr>
          <w:rFonts w:ascii="Times New Roman" w:hAnsi="Times New Roman"/>
          <w:szCs w:val="24"/>
        </w:rPr>
      </w:pPr>
      <w:r w:rsidRPr="00E407C6">
        <w:rPr>
          <w:rFonts w:ascii="Times New Roman" w:hAnsi="Times New Roman"/>
          <w:szCs w:val="24"/>
        </w:rPr>
        <w:t xml:space="preserve">This request is to contact districts and schools in order to begin preliminary activities for the NTPS </w:t>
      </w:r>
      <w:r w:rsidR="00393062">
        <w:rPr>
          <w:rFonts w:ascii="Times New Roman" w:hAnsi="Times New Roman"/>
          <w:szCs w:val="24"/>
        </w:rPr>
        <w:t>2019-20</w:t>
      </w:r>
      <w:r w:rsidRPr="00E407C6">
        <w:rPr>
          <w:rFonts w:ascii="Times New Roman" w:hAnsi="Times New Roman"/>
          <w:szCs w:val="24"/>
        </w:rPr>
        <w:t xml:space="preserve"> collection, includ</w:t>
      </w:r>
      <w:r w:rsidR="00DA4888">
        <w:rPr>
          <w:rFonts w:ascii="Times New Roman" w:hAnsi="Times New Roman"/>
          <w:szCs w:val="24"/>
        </w:rPr>
        <w:t>ing:</w:t>
      </w:r>
      <w:r w:rsidRPr="00E407C6">
        <w:rPr>
          <w:rFonts w:ascii="Times New Roman" w:hAnsi="Times New Roman"/>
          <w:szCs w:val="24"/>
        </w:rPr>
        <w:t xml:space="preserve"> (a) contacting and seeking research approvals from special handling districts, where applicable, </w:t>
      </w:r>
      <w:r w:rsidR="00A77ACD" w:rsidRPr="00E407C6">
        <w:rPr>
          <w:rFonts w:ascii="Times New Roman" w:hAnsi="Times New Roman"/>
          <w:szCs w:val="24"/>
        </w:rPr>
        <w:t xml:space="preserve">and </w:t>
      </w:r>
      <w:r w:rsidRPr="00E407C6">
        <w:rPr>
          <w:rFonts w:ascii="Times New Roman" w:hAnsi="Times New Roman"/>
          <w:szCs w:val="24"/>
        </w:rPr>
        <w:t xml:space="preserve">(b) notifying sampled schools of their selection for the survey and to verify mailing addresses. </w:t>
      </w:r>
      <w:bookmarkStart w:id="14" w:name="_Toc455153278"/>
      <w:r w:rsidR="00DA4888">
        <w:rPr>
          <w:rFonts w:ascii="Times New Roman" w:hAnsi="Times New Roman"/>
          <w:szCs w:val="24"/>
        </w:rPr>
        <w:t xml:space="preserve">This document </w:t>
      </w:r>
      <w:r w:rsidR="00DA4888" w:rsidRPr="00E407C6">
        <w:rPr>
          <w:rFonts w:ascii="Times New Roman" w:hAnsi="Times New Roman"/>
          <w:szCs w:val="24"/>
        </w:rPr>
        <w:t xml:space="preserve">describes the </w:t>
      </w:r>
      <w:r w:rsidR="00DA4888">
        <w:rPr>
          <w:rFonts w:ascii="Times New Roman" w:hAnsi="Times New Roman"/>
          <w:szCs w:val="24"/>
        </w:rPr>
        <w:t xml:space="preserve">preliminary plans for </w:t>
      </w:r>
      <w:r w:rsidR="00DA4888" w:rsidRPr="00E407C6">
        <w:rPr>
          <w:rFonts w:ascii="Times New Roman" w:hAnsi="Times New Roman"/>
          <w:szCs w:val="24"/>
        </w:rPr>
        <w:t xml:space="preserve">NTPS </w:t>
      </w:r>
      <w:r w:rsidR="00DA4888">
        <w:rPr>
          <w:rFonts w:ascii="Times New Roman" w:hAnsi="Times New Roman"/>
          <w:szCs w:val="24"/>
        </w:rPr>
        <w:t>2019-20</w:t>
      </w:r>
      <w:r w:rsidR="00DA4888" w:rsidRPr="00E407C6">
        <w:rPr>
          <w:rFonts w:ascii="Times New Roman" w:hAnsi="Times New Roman"/>
          <w:szCs w:val="24"/>
        </w:rPr>
        <w:t xml:space="preserve"> sample design, estimation details</w:t>
      </w:r>
      <w:r w:rsidR="00DA4888">
        <w:rPr>
          <w:rFonts w:ascii="Times New Roman" w:hAnsi="Times New Roman"/>
          <w:szCs w:val="24"/>
        </w:rPr>
        <w:t>, and recruitment and data collection procedures based on the NTPS 2017-18 design</w:t>
      </w:r>
      <w:r w:rsidR="00DA4888" w:rsidRPr="00E407C6">
        <w:rPr>
          <w:rFonts w:ascii="Times New Roman" w:hAnsi="Times New Roman"/>
          <w:szCs w:val="24"/>
        </w:rPr>
        <w:t>.</w:t>
      </w:r>
      <w:bookmarkEnd w:id="14"/>
      <w:r w:rsidR="00DA4888">
        <w:rPr>
          <w:rFonts w:ascii="Times New Roman" w:hAnsi="Times New Roman"/>
          <w:szCs w:val="24"/>
        </w:rPr>
        <w:t xml:space="preserve"> </w:t>
      </w:r>
      <w:r w:rsidR="00AA2E8F" w:rsidRPr="00E407C6">
        <w:rPr>
          <w:rFonts w:ascii="Times New Roman" w:hAnsi="Times New Roman"/>
          <w:szCs w:val="24"/>
        </w:rPr>
        <w:t xml:space="preserve">The NTPS </w:t>
      </w:r>
      <w:r w:rsidR="00393062">
        <w:rPr>
          <w:rFonts w:ascii="Times New Roman" w:hAnsi="Times New Roman"/>
          <w:szCs w:val="24"/>
        </w:rPr>
        <w:t>2019-20</w:t>
      </w:r>
      <w:r w:rsidR="00AA2E8F" w:rsidRPr="00E407C6">
        <w:rPr>
          <w:rFonts w:ascii="Times New Roman" w:hAnsi="Times New Roman"/>
          <w:szCs w:val="24"/>
        </w:rPr>
        <w:t xml:space="preserve"> </w:t>
      </w:r>
      <w:r w:rsidR="00DA4888">
        <w:rPr>
          <w:rFonts w:ascii="Times New Roman" w:hAnsi="Times New Roman"/>
          <w:szCs w:val="24"/>
        </w:rPr>
        <w:t xml:space="preserve">Main Study </w:t>
      </w:r>
      <w:r w:rsidR="00AA2E8F" w:rsidRPr="00E407C6">
        <w:rPr>
          <w:rFonts w:ascii="Times New Roman" w:hAnsi="Times New Roman"/>
          <w:szCs w:val="24"/>
        </w:rPr>
        <w:t xml:space="preserve">clearance request, </w:t>
      </w:r>
      <w:r w:rsidR="00DA4888">
        <w:rPr>
          <w:rFonts w:ascii="Times New Roman" w:hAnsi="Times New Roman"/>
          <w:szCs w:val="24"/>
        </w:rPr>
        <w:t>which will be published for public comment in December 2018, will describe the final</w:t>
      </w:r>
      <w:r w:rsidR="00AA2E8F" w:rsidRPr="00E407C6">
        <w:rPr>
          <w:rFonts w:ascii="Times New Roman" w:hAnsi="Times New Roman"/>
          <w:szCs w:val="24"/>
        </w:rPr>
        <w:t xml:space="preserve"> </w:t>
      </w:r>
      <w:r w:rsidR="00DA4888">
        <w:rPr>
          <w:rFonts w:ascii="Times New Roman" w:hAnsi="Times New Roman"/>
          <w:szCs w:val="24"/>
        </w:rPr>
        <w:t xml:space="preserve">sample design, </w:t>
      </w:r>
      <w:r w:rsidR="00B978D8">
        <w:rPr>
          <w:rFonts w:ascii="Times New Roman" w:hAnsi="Times New Roman"/>
          <w:szCs w:val="24"/>
        </w:rPr>
        <w:t>recruitment</w:t>
      </w:r>
      <w:r w:rsidR="00133768">
        <w:rPr>
          <w:rFonts w:ascii="Times New Roman" w:hAnsi="Times New Roman"/>
          <w:szCs w:val="24"/>
        </w:rPr>
        <w:t xml:space="preserve">, </w:t>
      </w:r>
      <w:r w:rsidR="00B978D8">
        <w:rPr>
          <w:rFonts w:ascii="Times New Roman" w:hAnsi="Times New Roman"/>
          <w:szCs w:val="24"/>
        </w:rPr>
        <w:t xml:space="preserve">and </w:t>
      </w:r>
      <w:r w:rsidR="00DA4888">
        <w:rPr>
          <w:rFonts w:ascii="Times New Roman" w:hAnsi="Times New Roman"/>
          <w:szCs w:val="24"/>
        </w:rPr>
        <w:t>data collection plans</w:t>
      </w:r>
      <w:r w:rsidR="00180AA0">
        <w:rPr>
          <w:rFonts w:ascii="Times New Roman" w:hAnsi="Times New Roman"/>
          <w:szCs w:val="24"/>
        </w:rPr>
        <w:t>.</w:t>
      </w:r>
      <w:bookmarkEnd w:id="10"/>
    </w:p>
    <w:p w14:paraId="57EFAAE9" w14:textId="32C4CEB3" w:rsidR="00C8143E" w:rsidRPr="00E407C6" w:rsidRDefault="00F153D0" w:rsidP="007D4EB8">
      <w:pPr>
        <w:pStyle w:val="Heading1"/>
        <w:spacing w:after="120" w:line="240" w:lineRule="auto"/>
        <w:jc w:val="left"/>
        <w:rPr>
          <w:rFonts w:ascii="Times New Roman" w:hAnsi="Times New Roman"/>
          <w:color w:val="auto"/>
          <w:sz w:val="24"/>
          <w:szCs w:val="24"/>
        </w:rPr>
      </w:pPr>
      <w:bookmarkStart w:id="15" w:name="_Toc455154247"/>
      <w:bookmarkStart w:id="16" w:name="_Toc455496440"/>
      <w:bookmarkStart w:id="17" w:name="_Toc468187451"/>
      <w:bookmarkStart w:id="18" w:name="_Toc518587621"/>
      <w:r w:rsidRPr="00E407C6">
        <w:rPr>
          <w:rFonts w:ascii="Times New Roman" w:hAnsi="Times New Roman"/>
          <w:color w:val="auto"/>
          <w:sz w:val="24"/>
          <w:szCs w:val="24"/>
        </w:rPr>
        <w:t>B.1</w:t>
      </w:r>
      <w:r w:rsidRPr="00E407C6">
        <w:rPr>
          <w:rFonts w:ascii="Times New Roman" w:hAnsi="Times New Roman"/>
          <w:color w:val="auto"/>
          <w:sz w:val="24"/>
          <w:szCs w:val="24"/>
        </w:rPr>
        <w:tab/>
        <w:t>Universe, Sample Design, and Estimation</w:t>
      </w:r>
      <w:bookmarkEnd w:id="11"/>
      <w:bookmarkEnd w:id="12"/>
      <w:bookmarkEnd w:id="13"/>
      <w:bookmarkEnd w:id="15"/>
      <w:bookmarkEnd w:id="16"/>
      <w:bookmarkEnd w:id="17"/>
      <w:bookmarkEnd w:id="18"/>
    </w:p>
    <w:p w14:paraId="116916EE" w14:textId="58877579" w:rsidR="0014296C" w:rsidRPr="00D321F9" w:rsidRDefault="00F153D0" w:rsidP="007D4EB8">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E62AA4">
        <w:rPr>
          <w:rFonts w:ascii="Times New Roman" w:hAnsi="Times New Roman"/>
          <w:szCs w:val="24"/>
        </w:rPr>
        <w:t>2019-20</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14:paraId="1AEC8FF5" w14:textId="3A84BD90" w:rsidR="00523FF5" w:rsidRPr="00D321F9" w:rsidRDefault="00F153D0" w:rsidP="007D4EB8">
      <w:pPr>
        <w:pStyle w:val="Heading2"/>
        <w:spacing w:after="120" w:line="240" w:lineRule="auto"/>
        <w:rPr>
          <w:rFonts w:ascii="Times New Roman" w:hAnsi="Times New Roman"/>
          <w:color w:val="auto"/>
          <w:sz w:val="24"/>
          <w:szCs w:val="24"/>
        </w:rPr>
      </w:pPr>
      <w:bookmarkStart w:id="19" w:name="_Toc391625746"/>
      <w:bookmarkStart w:id="20" w:name="_Toc392706704"/>
      <w:bookmarkStart w:id="21" w:name="_Toc420609066"/>
      <w:bookmarkStart w:id="22" w:name="_Toc455154248"/>
      <w:bookmarkStart w:id="23" w:name="_Toc455496441"/>
      <w:bookmarkStart w:id="24" w:name="_Toc468187452"/>
      <w:bookmarkStart w:id="25" w:name="_Toc518587622"/>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6" w:name="_Toc412576693"/>
      <w:bookmarkEnd w:id="19"/>
      <w:bookmarkEnd w:id="20"/>
      <w:bookmarkEnd w:id="21"/>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2"/>
      <w:bookmarkEnd w:id="23"/>
      <w:bookmarkEnd w:id="24"/>
      <w:bookmarkEnd w:id="25"/>
      <w:bookmarkEnd w:id="26"/>
    </w:p>
    <w:p w14:paraId="005B6474" w14:textId="4C86A600" w:rsidR="00523FF5" w:rsidRPr="00D321F9" w:rsidRDefault="005D0569" w:rsidP="007D4EB8">
      <w:pPr>
        <w:pStyle w:val="Heading3"/>
        <w:spacing w:after="120" w:line="240" w:lineRule="auto"/>
        <w:rPr>
          <w:rFonts w:ascii="Times New Roman" w:hAnsi="Times New Roman"/>
          <w:color w:val="auto"/>
          <w:sz w:val="24"/>
          <w:szCs w:val="24"/>
        </w:rPr>
      </w:pPr>
      <w:bookmarkStart w:id="27" w:name="_Toc412576694"/>
      <w:bookmarkStart w:id="28" w:name="_Toc468187453"/>
      <w:bookmarkStart w:id="29" w:name="_Toc518587623"/>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7"/>
      <w:bookmarkEnd w:id="28"/>
      <w:bookmarkEnd w:id="29"/>
    </w:p>
    <w:p w14:paraId="3C287662" w14:textId="59A6A8D6"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respondent universe for NTPS </w:t>
      </w:r>
      <w:r w:rsidR="00E62AA4">
        <w:rPr>
          <w:rFonts w:ascii="Times New Roman" w:hAnsi="Times New Roman"/>
          <w:szCs w:val="24"/>
        </w:rPr>
        <w:t>2019-20</w:t>
      </w:r>
      <w:r w:rsidRPr="00D321F9">
        <w:rPr>
          <w:rFonts w:ascii="Times New Roman" w:hAnsi="Times New Roman"/>
          <w:szCs w:val="24"/>
        </w:rPr>
        <w:t xml:space="preserve"> data collection consists of approximately </w:t>
      </w:r>
      <w:r w:rsidR="000B5DB3">
        <w:rPr>
          <w:rFonts w:ascii="Times New Roman" w:hAnsi="Times New Roman"/>
          <w:szCs w:val="24"/>
        </w:rPr>
        <w:t>9</w:t>
      </w:r>
      <w:r w:rsidR="00274578">
        <w:rPr>
          <w:rFonts w:ascii="Times New Roman" w:hAnsi="Times New Roman"/>
          <w:szCs w:val="24"/>
        </w:rPr>
        <w:t>4,000</w:t>
      </w:r>
      <w:r w:rsidRPr="00D321F9">
        <w:rPr>
          <w:rFonts w:ascii="Times New Roman" w:hAnsi="Times New Roman"/>
          <w:szCs w:val="24"/>
        </w:rPr>
        <w:t xml:space="preserve"> public schools and</w:t>
      </w:r>
      <w:r w:rsidR="000B5DB3">
        <w:rPr>
          <w:rFonts w:ascii="Times New Roman" w:hAnsi="Times New Roman"/>
          <w:szCs w:val="24"/>
        </w:rPr>
        <w:t xml:space="preserve"> 2</w:t>
      </w:r>
      <w:r w:rsidR="00274578">
        <w:rPr>
          <w:rFonts w:ascii="Times New Roman" w:hAnsi="Times New Roman"/>
          <w:szCs w:val="24"/>
        </w:rPr>
        <w:t>5,000</w:t>
      </w:r>
      <w:r w:rsidRPr="00D321F9">
        <w:rPr>
          <w:rFonts w:ascii="Times New Roman" w:hAnsi="Times New Roman"/>
          <w:szCs w:val="24"/>
        </w:rPr>
        <w:t xml:space="preserve">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14:paraId="775262F1" w14:textId="582910DF" w:rsidR="00BA615D" w:rsidRPr="00D321F9" w:rsidRDefault="00883A40" w:rsidP="007D4EB8">
      <w:pPr>
        <w:pStyle w:val="L1-FlLSp12"/>
        <w:spacing w:after="120" w:line="240" w:lineRule="auto"/>
        <w:rPr>
          <w:rFonts w:ascii="Times New Roman" w:hAnsi="Times New Roman"/>
          <w:szCs w:val="24"/>
        </w:rPr>
      </w:pPr>
      <w:r>
        <w:rPr>
          <w:rFonts w:ascii="Times New Roman" w:hAnsi="Times New Roman"/>
          <w:szCs w:val="24"/>
        </w:rPr>
        <w:t xml:space="preserve">The most recent final Common Core of Data (CCD) file available from </w:t>
      </w:r>
      <w:r w:rsidR="00BA615D" w:rsidRPr="00D321F9">
        <w:rPr>
          <w:rFonts w:ascii="Times New Roman" w:hAnsi="Times New Roman"/>
          <w:szCs w:val="24"/>
        </w:rPr>
        <w:t>NCES</w:t>
      </w:r>
      <w:r>
        <w:rPr>
          <w:rFonts w:ascii="Times New Roman" w:hAnsi="Times New Roman"/>
          <w:szCs w:val="24"/>
        </w:rPr>
        <w:t xml:space="preserve"> at the time of sampling in spring 2019 will be used </w:t>
      </w:r>
      <w:r w:rsidR="00BA615D" w:rsidRPr="00D321F9">
        <w:rPr>
          <w:rFonts w:ascii="Times New Roman" w:hAnsi="Times New Roman"/>
          <w:szCs w:val="24"/>
        </w:rPr>
        <w:t xml:space="preserve">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w:t>
      </w:r>
      <w:r w:rsidR="00BA615D" w:rsidRPr="00B631E6">
        <w:rPr>
          <w:rFonts w:ascii="Times New Roman" w:hAnsi="Times New Roman"/>
          <w:szCs w:val="24"/>
        </w:rPr>
        <w:t xml:space="preserve">Table 1 presents the number of public schools on the </w:t>
      </w:r>
      <w:r w:rsidRPr="00B631E6">
        <w:rPr>
          <w:rFonts w:ascii="Times New Roman" w:hAnsi="Times New Roman"/>
          <w:szCs w:val="24"/>
        </w:rPr>
        <w:t>201</w:t>
      </w:r>
      <w:r w:rsidR="00DE78E8" w:rsidRPr="00B631E6">
        <w:rPr>
          <w:rFonts w:ascii="Times New Roman" w:hAnsi="Times New Roman"/>
          <w:szCs w:val="24"/>
        </w:rPr>
        <w:t xml:space="preserve">7-18 NTPS public school universe, which are based on the 2014-15 CCD, </w:t>
      </w:r>
      <w:r w:rsidR="00BA615D" w:rsidRPr="00B631E6">
        <w:rPr>
          <w:rFonts w:ascii="Times New Roman" w:hAnsi="Times New Roman"/>
          <w:szCs w:val="24"/>
        </w:rPr>
        <w:t xml:space="preserve">by urbanicity and school level. The CCD </w:t>
      </w:r>
      <w:r w:rsidR="00F47589">
        <w:rPr>
          <w:rFonts w:ascii="Times New Roman" w:hAnsi="Times New Roman"/>
          <w:szCs w:val="24"/>
        </w:rPr>
        <w:t xml:space="preserve">that will be used to construct the sample </w:t>
      </w:r>
      <w:r w:rsidR="00BA615D" w:rsidRPr="00B631E6">
        <w:rPr>
          <w:rFonts w:ascii="Times New Roman" w:hAnsi="Times New Roman"/>
          <w:szCs w:val="24"/>
        </w:rPr>
        <w:t xml:space="preserve">for </w:t>
      </w:r>
      <w:r w:rsidR="00F47589">
        <w:rPr>
          <w:rFonts w:ascii="Times New Roman" w:hAnsi="Times New Roman"/>
          <w:szCs w:val="24"/>
        </w:rPr>
        <w:t xml:space="preserve">NTPS </w:t>
      </w:r>
      <w:r w:rsidR="00DC16F2" w:rsidRPr="00B631E6">
        <w:rPr>
          <w:rFonts w:ascii="Times New Roman" w:hAnsi="Times New Roman"/>
          <w:szCs w:val="24"/>
        </w:rPr>
        <w:t>201</w:t>
      </w:r>
      <w:r w:rsidR="00FF7414">
        <w:rPr>
          <w:rFonts w:ascii="Times New Roman" w:hAnsi="Times New Roman"/>
          <w:szCs w:val="24"/>
        </w:rPr>
        <w:t>9</w:t>
      </w:r>
      <w:r w:rsidR="00DC16F2" w:rsidRPr="00B631E6">
        <w:rPr>
          <w:rFonts w:ascii="Times New Roman" w:hAnsi="Times New Roman"/>
          <w:szCs w:val="24"/>
        </w:rPr>
        <w:t>-</w:t>
      </w:r>
      <w:r w:rsidR="00FF7414">
        <w:rPr>
          <w:rFonts w:ascii="Times New Roman" w:hAnsi="Times New Roman"/>
          <w:szCs w:val="24"/>
        </w:rPr>
        <w:t>20</w:t>
      </w:r>
      <w:r w:rsidR="00BA615D" w:rsidRPr="00B631E6">
        <w:rPr>
          <w:rFonts w:ascii="Times New Roman" w:hAnsi="Times New Roman"/>
          <w:szCs w:val="24"/>
        </w:rPr>
        <w:t xml:space="preserve"> is not </w:t>
      </w:r>
      <w:r w:rsidR="0043733F" w:rsidRPr="00B631E6">
        <w:rPr>
          <w:rFonts w:ascii="Times New Roman" w:hAnsi="Times New Roman"/>
          <w:szCs w:val="24"/>
        </w:rPr>
        <w:t xml:space="preserve">yet </w:t>
      </w:r>
      <w:r w:rsidR="00BA615D" w:rsidRPr="00B631E6">
        <w:rPr>
          <w:rFonts w:ascii="Times New Roman" w:hAnsi="Times New Roman"/>
          <w:szCs w:val="24"/>
        </w:rPr>
        <w:t xml:space="preserve">available at the time of </w:t>
      </w:r>
      <w:r w:rsidR="00C06D30">
        <w:rPr>
          <w:rFonts w:ascii="Times New Roman" w:hAnsi="Times New Roman"/>
          <w:szCs w:val="24"/>
        </w:rPr>
        <w:t xml:space="preserve">this </w:t>
      </w:r>
      <w:r w:rsidR="00BA615D" w:rsidRPr="00B631E6">
        <w:rPr>
          <w:rFonts w:ascii="Times New Roman" w:hAnsi="Times New Roman"/>
          <w:szCs w:val="24"/>
        </w:rPr>
        <w:t>submitt</w:t>
      </w:r>
      <w:r w:rsidR="00C06D30">
        <w:rPr>
          <w:rFonts w:ascii="Times New Roman" w:hAnsi="Times New Roman"/>
          <w:szCs w:val="24"/>
        </w:rPr>
        <w:t>al</w:t>
      </w:r>
      <w:r w:rsidR="00BA615D" w:rsidRPr="00B631E6">
        <w:rPr>
          <w:rFonts w:ascii="Times New Roman" w:hAnsi="Times New Roman"/>
          <w:szCs w:val="24"/>
        </w:rPr>
        <w:t>.</w:t>
      </w:r>
    </w:p>
    <w:p w14:paraId="1538E9A0" w14:textId="5E66AAA8" w:rsidR="00DE78E8" w:rsidRPr="00C06D30" w:rsidRDefault="00DE78E8" w:rsidP="00C06D30">
      <w:pPr>
        <w:keepNext/>
        <w:tabs>
          <w:tab w:val="left" w:pos="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1.</w:t>
      </w:r>
      <w:r w:rsidRPr="00C06D30">
        <w:rPr>
          <w:rFonts w:ascii="Times New Roman" w:eastAsia="Calibri" w:hAnsi="Times New Roman"/>
          <w:b/>
          <w:bCs/>
          <w:sz w:val="22"/>
          <w:szCs w:val="22"/>
        </w:rPr>
        <w:tab/>
        <w:t>Respondent universe by school level and urbanicity for the proposed public school sample, based on the 2017-18 NTPS Public School Universe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28"/>
        <w:gridCol w:w="1749"/>
        <w:gridCol w:w="1768"/>
        <w:gridCol w:w="1768"/>
        <w:gridCol w:w="1871"/>
      </w:tblGrid>
      <w:tr w:rsidR="00DE78E8" w:rsidRPr="000C3E2A" w14:paraId="6E45EAB3" w14:textId="77777777" w:rsidTr="00B631E6">
        <w:trPr>
          <w:trHeight w:val="144"/>
        </w:trPr>
        <w:tc>
          <w:tcPr>
            <w:tcW w:w="5000" w:type="pct"/>
            <w:gridSpan w:val="6"/>
            <w:shd w:val="clear" w:color="auto" w:fill="auto"/>
            <w:vAlign w:val="bottom"/>
          </w:tcPr>
          <w:p w14:paraId="43675573"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School level</w:t>
            </w:r>
          </w:p>
        </w:tc>
      </w:tr>
      <w:tr w:rsidR="00DE78E8" w:rsidRPr="000C3E2A" w14:paraId="43720680" w14:textId="77777777" w:rsidTr="00B631E6">
        <w:trPr>
          <w:trHeight w:val="144"/>
        </w:trPr>
        <w:tc>
          <w:tcPr>
            <w:tcW w:w="953" w:type="pct"/>
            <w:shd w:val="clear" w:color="auto" w:fill="auto"/>
            <w:vAlign w:val="bottom"/>
          </w:tcPr>
          <w:p w14:paraId="0B49D1A3" w14:textId="77777777" w:rsidR="00DE78E8" w:rsidRPr="00C06D30" w:rsidRDefault="00DE78E8" w:rsidP="007D4EB8">
            <w:pPr>
              <w:spacing w:line="240" w:lineRule="auto"/>
              <w:rPr>
                <w:rFonts w:ascii="Times New Roman" w:eastAsia="Malgun Gothic" w:hAnsi="Times New Roman"/>
                <w:b/>
                <w:sz w:val="20"/>
              </w:rPr>
            </w:pPr>
            <w:r w:rsidRPr="00C06D30">
              <w:rPr>
                <w:rFonts w:ascii="Times New Roman" w:eastAsia="Malgun Gothic" w:hAnsi="Times New Roman"/>
                <w:b/>
                <w:sz w:val="20"/>
              </w:rPr>
              <w:t>Region</w:t>
            </w:r>
          </w:p>
        </w:tc>
        <w:tc>
          <w:tcPr>
            <w:tcW w:w="712" w:type="pct"/>
            <w:shd w:val="clear" w:color="auto" w:fill="auto"/>
            <w:vAlign w:val="bottom"/>
          </w:tcPr>
          <w:p w14:paraId="29FC1064"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Primary</w:t>
            </w:r>
          </w:p>
        </w:tc>
        <w:tc>
          <w:tcPr>
            <w:tcW w:w="815" w:type="pct"/>
            <w:shd w:val="clear" w:color="auto" w:fill="auto"/>
            <w:vAlign w:val="bottom"/>
          </w:tcPr>
          <w:p w14:paraId="460D8C51"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Middle</w:t>
            </w:r>
          </w:p>
        </w:tc>
        <w:tc>
          <w:tcPr>
            <w:tcW w:w="824" w:type="pct"/>
            <w:shd w:val="clear" w:color="auto" w:fill="auto"/>
            <w:vAlign w:val="bottom"/>
          </w:tcPr>
          <w:p w14:paraId="10CCDDEA"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High</w:t>
            </w:r>
          </w:p>
        </w:tc>
        <w:tc>
          <w:tcPr>
            <w:tcW w:w="824" w:type="pct"/>
            <w:shd w:val="clear" w:color="auto" w:fill="auto"/>
            <w:vAlign w:val="bottom"/>
          </w:tcPr>
          <w:p w14:paraId="1E6A0F5C"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Combined</w:t>
            </w:r>
          </w:p>
        </w:tc>
        <w:tc>
          <w:tcPr>
            <w:tcW w:w="872" w:type="pct"/>
            <w:shd w:val="clear" w:color="auto" w:fill="auto"/>
            <w:vAlign w:val="bottom"/>
          </w:tcPr>
          <w:p w14:paraId="65DBFC7C" w14:textId="77777777" w:rsidR="00DE78E8" w:rsidRPr="00C06D30" w:rsidRDefault="00DE78E8"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Total</w:t>
            </w:r>
          </w:p>
        </w:tc>
      </w:tr>
      <w:tr w:rsidR="00FE0F6B" w:rsidRPr="000C3E2A" w14:paraId="4DB3821C" w14:textId="77777777" w:rsidTr="00B631E6">
        <w:trPr>
          <w:trHeight w:val="144"/>
        </w:trPr>
        <w:tc>
          <w:tcPr>
            <w:tcW w:w="953" w:type="pct"/>
            <w:shd w:val="clear" w:color="auto" w:fill="auto"/>
            <w:vAlign w:val="bottom"/>
          </w:tcPr>
          <w:p w14:paraId="08703418"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Central City</w:t>
            </w:r>
          </w:p>
        </w:tc>
        <w:tc>
          <w:tcPr>
            <w:tcW w:w="712" w:type="pct"/>
            <w:shd w:val="clear" w:color="auto" w:fill="auto"/>
            <w:vAlign w:val="bottom"/>
          </w:tcPr>
          <w:p w14:paraId="538B3D28" w14:textId="69A7ED2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15,308</w:t>
            </w:r>
          </w:p>
        </w:tc>
        <w:tc>
          <w:tcPr>
            <w:tcW w:w="815" w:type="pct"/>
            <w:shd w:val="clear" w:color="auto" w:fill="auto"/>
            <w:vAlign w:val="bottom"/>
          </w:tcPr>
          <w:p w14:paraId="1FB60977" w14:textId="6A4137EC"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3,699</w:t>
            </w:r>
          </w:p>
        </w:tc>
        <w:tc>
          <w:tcPr>
            <w:tcW w:w="824" w:type="pct"/>
            <w:shd w:val="clear" w:color="auto" w:fill="auto"/>
            <w:vAlign w:val="bottom"/>
          </w:tcPr>
          <w:p w14:paraId="2595DD38" w14:textId="630B3B4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5,407</w:t>
            </w:r>
          </w:p>
        </w:tc>
        <w:tc>
          <w:tcPr>
            <w:tcW w:w="824" w:type="pct"/>
            <w:shd w:val="clear" w:color="auto" w:fill="auto"/>
            <w:vAlign w:val="bottom"/>
          </w:tcPr>
          <w:p w14:paraId="01546FA9" w14:textId="40ED741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1,727</w:t>
            </w:r>
          </w:p>
        </w:tc>
        <w:tc>
          <w:tcPr>
            <w:tcW w:w="872" w:type="pct"/>
            <w:shd w:val="clear" w:color="auto" w:fill="auto"/>
            <w:vAlign w:val="bottom"/>
          </w:tcPr>
          <w:p w14:paraId="1F4C505B" w14:textId="708AC49B"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26,141</w:t>
            </w:r>
          </w:p>
        </w:tc>
      </w:tr>
      <w:tr w:rsidR="00FE0F6B" w:rsidRPr="000C3E2A" w14:paraId="5E5ED7CE" w14:textId="77777777" w:rsidTr="00B631E6">
        <w:trPr>
          <w:trHeight w:val="144"/>
        </w:trPr>
        <w:tc>
          <w:tcPr>
            <w:tcW w:w="953" w:type="pct"/>
            <w:shd w:val="clear" w:color="auto" w:fill="auto"/>
          </w:tcPr>
          <w:p w14:paraId="7A934359"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Suburban</w:t>
            </w:r>
          </w:p>
        </w:tc>
        <w:tc>
          <w:tcPr>
            <w:tcW w:w="712" w:type="pct"/>
            <w:shd w:val="clear" w:color="auto" w:fill="auto"/>
            <w:vAlign w:val="bottom"/>
          </w:tcPr>
          <w:p w14:paraId="7E8BA750" w14:textId="16A567FF"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17,933</w:t>
            </w:r>
          </w:p>
        </w:tc>
        <w:tc>
          <w:tcPr>
            <w:tcW w:w="815" w:type="pct"/>
            <w:shd w:val="clear" w:color="auto" w:fill="auto"/>
            <w:vAlign w:val="bottom"/>
          </w:tcPr>
          <w:p w14:paraId="4E9E9D2D" w14:textId="62935483"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5,136</w:t>
            </w:r>
          </w:p>
        </w:tc>
        <w:tc>
          <w:tcPr>
            <w:tcW w:w="824" w:type="pct"/>
            <w:shd w:val="clear" w:color="auto" w:fill="auto"/>
            <w:vAlign w:val="bottom"/>
          </w:tcPr>
          <w:p w14:paraId="36009D97" w14:textId="491E0C3E"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5,901</w:t>
            </w:r>
          </w:p>
        </w:tc>
        <w:tc>
          <w:tcPr>
            <w:tcW w:w="824" w:type="pct"/>
            <w:shd w:val="clear" w:color="auto" w:fill="auto"/>
            <w:vAlign w:val="bottom"/>
          </w:tcPr>
          <w:p w14:paraId="50AA8651" w14:textId="20C87A85"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1,220</w:t>
            </w:r>
          </w:p>
        </w:tc>
        <w:tc>
          <w:tcPr>
            <w:tcW w:w="872" w:type="pct"/>
            <w:shd w:val="clear" w:color="auto" w:fill="auto"/>
            <w:vAlign w:val="bottom"/>
          </w:tcPr>
          <w:p w14:paraId="38EFB0CF" w14:textId="46110B8B"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30,190</w:t>
            </w:r>
          </w:p>
        </w:tc>
      </w:tr>
      <w:tr w:rsidR="00FE0F6B" w:rsidRPr="000C3E2A" w14:paraId="5753462B" w14:textId="77777777" w:rsidTr="00B631E6">
        <w:trPr>
          <w:trHeight w:val="144"/>
        </w:trPr>
        <w:tc>
          <w:tcPr>
            <w:tcW w:w="953" w:type="pct"/>
            <w:shd w:val="clear" w:color="auto" w:fill="auto"/>
          </w:tcPr>
          <w:p w14:paraId="7789D52C"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Town</w:t>
            </w:r>
          </w:p>
        </w:tc>
        <w:tc>
          <w:tcPr>
            <w:tcW w:w="712" w:type="pct"/>
            <w:shd w:val="clear" w:color="auto" w:fill="auto"/>
            <w:vAlign w:val="bottom"/>
          </w:tcPr>
          <w:p w14:paraId="7DC3E2EE" w14:textId="16F4BB6D"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6,138</w:t>
            </w:r>
          </w:p>
        </w:tc>
        <w:tc>
          <w:tcPr>
            <w:tcW w:w="815" w:type="pct"/>
            <w:shd w:val="clear" w:color="auto" w:fill="auto"/>
            <w:vAlign w:val="bottom"/>
          </w:tcPr>
          <w:p w14:paraId="5EE5BEAB" w14:textId="45C6F59A"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2,340</w:t>
            </w:r>
          </w:p>
        </w:tc>
        <w:tc>
          <w:tcPr>
            <w:tcW w:w="824" w:type="pct"/>
            <w:shd w:val="clear" w:color="auto" w:fill="auto"/>
            <w:vAlign w:val="bottom"/>
          </w:tcPr>
          <w:p w14:paraId="2ED089DA" w14:textId="7CC8E6D7"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3,481</w:t>
            </w:r>
          </w:p>
        </w:tc>
        <w:tc>
          <w:tcPr>
            <w:tcW w:w="824" w:type="pct"/>
            <w:shd w:val="clear" w:color="auto" w:fill="auto"/>
            <w:vAlign w:val="bottom"/>
          </w:tcPr>
          <w:p w14:paraId="114540F9" w14:textId="424CB466"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876</w:t>
            </w:r>
          </w:p>
        </w:tc>
        <w:tc>
          <w:tcPr>
            <w:tcW w:w="872" w:type="pct"/>
            <w:shd w:val="clear" w:color="auto" w:fill="auto"/>
            <w:vAlign w:val="bottom"/>
          </w:tcPr>
          <w:p w14:paraId="28DA3C97" w14:textId="13B19548"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12,835</w:t>
            </w:r>
          </w:p>
        </w:tc>
      </w:tr>
      <w:tr w:rsidR="00FE0F6B" w:rsidRPr="000C3E2A" w14:paraId="04282D8D" w14:textId="77777777" w:rsidTr="00B631E6">
        <w:trPr>
          <w:trHeight w:val="144"/>
        </w:trPr>
        <w:tc>
          <w:tcPr>
            <w:tcW w:w="953" w:type="pct"/>
            <w:shd w:val="clear" w:color="auto" w:fill="auto"/>
          </w:tcPr>
          <w:p w14:paraId="30B7CD3E"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Rural</w:t>
            </w:r>
          </w:p>
        </w:tc>
        <w:tc>
          <w:tcPr>
            <w:tcW w:w="712" w:type="pct"/>
            <w:shd w:val="clear" w:color="auto" w:fill="auto"/>
            <w:vAlign w:val="bottom"/>
          </w:tcPr>
          <w:p w14:paraId="16499366" w14:textId="1EB8B809"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12,221</w:t>
            </w:r>
          </w:p>
        </w:tc>
        <w:tc>
          <w:tcPr>
            <w:tcW w:w="815" w:type="pct"/>
            <w:shd w:val="clear" w:color="auto" w:fill="auto"/>
            <w:vAlign w:val="bottom"/>
          </w:tcPr>
          <w:p w14:paraId="1FA87BA9" w14:textId="2F78F2AF"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3,189</w:t>
            </w:r>
          </w:p>
        </w:tc>
        <w:tc>
          <w:tcPr>
            <w:tcW w:w="824" w:type="pct"/>
            <w:shd w:val="clear" w:color="auto" w:fill="auto"/>
            <w:vAlign w:val="bottom"/>
          </w:tcPr>
          <w:p w14:paraId="1D9CC070" w14:textId="4E02ED01"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6,014</w:t>
            </w:r>
          </w:p>
        </w:tc>
        <w:tc>
          <w:tcPr>
            <w:tcW w:w="824" w:type="pct"/>
            <w:shd w:val="clear" w:color="auto" w:fill="auto"/>
            <w:vAlign w:val="bottom"/>
          </w:tcPr>
          <w:p w14:paraId="218F4B73" w14:textId="614B1980"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3,538</w:t>
            </w:r>
          </w:p>
        </w:tc>
        <w:tc>
          <w:tcPr>
            <w:tcW w:w="872" w:type="pct"/>
            <w:shd w:val="clear" w:color="auto" w:fill="auto"/>
            <w:vAlign w:val="bottom"/>
          </w:tcPr>
          <w:p w14:paraId="114E4E8D" w14:textId="191E310C"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24,962</w:t>
            </w:r>
          </w:p>
        </w:tc>
      </w:tr>
      <w:tr w:rsidR="00FE0F6B" w:rsidRPr="000C3E2A" w14:paraId="45D536A6" w14:textId="77777777" w:rsidTr="00B631E6">
        <w:trPr>
          <w:trHeight w:val="144"/>
        </w:trPr>
        <w:tc>
          <w:tcPr>
            <w:tcW w:w="953" w:type="pct"/>
            <w:shd w:val="clear" w:color="auto" w:fill="auto"/>
            <w:vAlign w:val="bottom"/>
          </w:tcPr>
          <w:p w14:paraId="146821CA" w14:textId="77777777" w:rsidR="00FE0F6B" w:rsidRPr="00C06D30" w:rsidRDefault="00FE0F6B" w:rsidP="007D4EB8">
            <w:pPr>
              <w:spacing w:line="240" w:lineRule="auto"/>
              <w:rPr>
                <w:rFonts w:ascii="Times New Roman" w:eastAsia="Malgun Gothic" w:hAnsi="Times New Roman"/>
                <w:sz w:val="20"/>
              </w:rPr>
            </w:pPr>
            <w:r w:rsidRPr="00C06D30">
              <w:rPr>
                <w:rFonts w:ascii="Times New Roman" w:eastAsia="Malgun Gothic" w:hAnsi="Times New Roman"/>
                <w:sz w:val="20"/>
              </w:rPr>
              <w:t>Total</w:t>
            </w:r>
          </w:p>
        </w:tc>
        <w:tc>
          <w:tcPr>
            <w:tcW w:w="712" w:type="pct"/>
            <w:shd w:val="clear" w:color="auto" w:fill="auto"/>
            <w:vAlign w:val="bottom"/>
          </w:tcPr>
          <w:p w14:paraId="79E4F242" w14:textId="364C6244"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51,600</w:t>
            </w:r>
          </w:p>
        </w:tc>
        <w:tc>
          <w:tcPr>
            <w:tcW w:w="815" w:type="pct"/>
            <w:shd w:val="clear" w:color="auto" w:fill="auto"/>
            <w:vAlign w:val="bottom"/>
          </w:tcPr>
          <w:p w14:paraId="5F2ED0CD" w14:textId="2B629A6E"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14,364</w:t>
            </w:r>
          </w:p>
        </w:tc>
        <w:tc>
          <w:tcPr>
            <w:tcW w:w="824" w:type="pct"/>
            <w:shd w:val="clear" w:color="auto" w:fill="auto"/>
            <w:vAlign w:val="bottom"/>
          </w:tcPr>
          <w:p w14:paraId="220D2802" w14:textId="00CB2BA2"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20,803</w:t>
            </w:r>
          </w:p>
        </w:tc>
        <w:tc>
          <w:tcPr>
            <w:tcW w:w="824" w:type="pct"/>
            <w:shd w:val="clear" w:color="auto" w:fill="auto"/>
            <w:vAlign w:val="bottom"/>
          </w:tcPr>
          <w:p w14:paraId="6DC49EE7" w14:textId="0D5585C6"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7,361</w:t>
            </w:r>
          </w:p>
        </w:tc>
        <w:tc>
          <w:tcPr>
            <w:tcW w:w="872" w:type="pct"/>
            <w:shd w:val="clear" w:color="auto" w:fill="auto"/>
            <w:vAlign w:val="bottom"/>
          </w:tcPr>
          <w:p w14:paraId="2B10FD61" w14:textId="24F9BEF2" w:rsidR="00FE0F6B" w:rsidRPr="00C06D30" w:rsidRDefault="00FE0F6B" w:rsidP="007D4EB8">
            <w:pPr>
              <w:spacing w:line="240" w:lineRule="auto"/>
              <w:jc w:val="right"/>
              <w:rPr>
                <w:rFonts w:ascii="Times New Roman" w:eastAsia="Malgun Gothic" w:hAnsi="Times New Roman"/>
                <w:sz w:val="20"/>
              </w:rPr>
            </w:pPr>
            <w:r w:rsidRPr="00D321F9">
              <w:rPr>
                <w:rFonts w:ascii="Times New Roman" w:hAnsi="Times New Roman"/>
                <w:sz w:val="22"/>
                <w:szCs w:val="22"/>
              </w:rPr>
              <w:t>94,128</w:t>
            </w:r>
          </w:p>
        </w:tc>
      </w:tr>
    </w:tbl>
    <w:p w14:paraId="1F9E51ED" w14:textId="722FA31F" w:rsidR="00DE78E8" w:rsidRPr="00C06D30" w:rsidRDefault="00DE78E8" w:rsidP="00C06D30">
      <w:pPr>
        <w:spacing w:after="200" w:line="240" w:lineRule="auto"/>
        <w:rPr>
          <w:rFonts w:ascii="Times New Roman" w:eastAsia="Malgun Gothic" w:hAnsi="Times New Roman"/>
          <w:sz w:val="18"/>
          <w:szCs w:val="18"/>
        </w:rPr>
      </w:pPr>
      <w:r w:rsidRPr="00C06D30">
        <w:rPr>
          <w:rFonts w:ascii="Times New Roman" w:eastAsia="Malgun Gothic" w:hAnsi="Times New Roman"/>
          <w:sz w:val="18"/>
          <w:szCs w:val="18"/>
        </w:rPr>
        <w:t>SOURCE: 2017-18 NTPS; 2014-15 CCD.</w:t>
      </w:r>
    </w:p>
    <w:p w14:paraId="6879F14F" w14:textId="6DCA5177" w:rsidR="002105A7" w:rsidRDefault="002105A7" w:rsidP="00C06D30">
      <w:pPr>
        <w:pStyle w:val="L1-FlLSp12"/>
        <w:widowControl w:val="0"/>
        <w:spacing w:after="120" w:line="240" w:lineRule="auto"/>
        <w:rPr>
          <w:rFonts w:ascii="Times New Roman" w:eastAsia="Calibri" w:hAnsi="Times New Roman"/>
          <w:szCs w:val="24"/>
        </w:rPr>
      </w:pPr>
      <w:r w:rsidRPr="00D321F9">
        <w:rPr>
          <w:rFonts w:ascii="Times New Roman" w:hAnsi="Times New Roman"/>
          <w:szCs w:val="24"/>
        </w:rPr>
        <w:t xml:space="preserve">The private school frame </w:t>
      </w:r>
      <w:r w:rsidR="005E2F49">
        <w:rPr>
          <w:rFonts w:ascii="Times New Roman" w:hAnsi="Times New Roman"/>
          <w:szCs w:val="24"/>
        </w:rPr>
        <w:t>will be</w:t>
      </w:r>
      <w:r w:rsidRPr="00D321F9">
        <w:rPr>
          <w:rFonts w:ascii="Times New Roman" w:hAnsi="Times New Roman"/>
          <w:szCs w:val="24"/>
        </w:rPr>
        <w:t xml:space="preserve"> drawn from the </w:t>
      </w:r>
      <w:r w:rsidR="00DC16F2">
        <w:rPr>
          <w:rFonts w:ascii="Times New Roman" w:hAnsi="Times New Roman"/>
          <w:szCs w:val="24"/>
        </w:rPr>
        <w:t>2017-18</w:t>
      </w:r>
      <w:r w:rsidRPr="00D321F9">
        <w:rPr>
          <w:rFonts w:ascii="Times New Roman" w:hAnsi="Times New Roman"/>
          <w:szCs w:val="24"/>
        </w:rPr>
        <w:t xml:space="preserve"> Private School Survey (PSS) frame. Preschools and schools with kindergarten as the highest grade </w:t>
      </w:r>
      <w:r w:rsidR="005E2F49">
        <w:rPr>
          <w:rFonts w:ascii="Times New Roman" w:hAnsi="Times New Roman"/>
          <w:szCs w:val="24"/>
        </w:rPr>
        <w:t>will be</w:t>
      </w:r>
      <w:r w:rsidR="005E2F49" w:rsidRPr="00D321F9">
        <w:rPr>
          <w:rFonts w:ascii="Times New Roman" w:hAnsi="Times New Roman"/>
          <w:szCs w:val="24"/>
        </w:rPr>
        <w:t xml:space="preserve"> </w:t>
      </w:r>
      <w:r w:rsidRPr="00D321F9">
        <w:rPr>
          <w:rFonts w:ascii="Times New Roman" w:hAnsi="Times New Roman"/>
          <w:szCs w:val="24"/>
        </w:rPr>
        <w:t xml:space="preserve">excluded. Table 2 presents the number of private schools on the </w:t>
      </w:r>
      <w:r w:rsidR="00DC16F2">
        <w:rPr>
          <w:rFonts w:ascii="Times New Roman" w:hAnsi="Times New Roman"/>
          <w:szCs w:val="24"/>
        </w:rPr>
        <w:t>201</w:t>
      </w:r>
      <w:r w:rsidR="00274578">
        <w:rPr>
          <w:rFonts w:ascii="Times New Roman" w:hAnsi="Times New Roman"/>
          <w:szCs w:val="24"/>
        </w:rPr>
        <w:t>5</w:t>
      </w:r>
      <w:r w:rsidR="00DC16F2">
        <w:rPr>
          <w:rFonts w:ascii="Times New Roman" w:hAnsi="Times New Roman"/>
          <w:szCs w:val="24"/>
        </w:rPr>
        <w:t>-1</w:t>
      </w:r>
      <w:r w:rsidR="00274578">
        <w:rPr>
          <w:rFonts w:ascii="Times New Roman" w:hAnsi="Times New Roman"/>
          <w:szCs w:val="24"/>
        </w:rPr>
        <w:t>6</w:t>
      </w:r>
      <w:r w:rsidR="005E2F49">
        <w:rPr>
          <w:rFonts w:ascii="Times New Roman" w:hAnsi="Times New Roman"/>
          <w:szCs w:val="24"/>
        </w:rPr>
        <w:t xml:space="preserve"> </w:t>
      </w:r>
      <w:r w:rsidRPr="00D321F9">
        <w:rPr>
          <w:rFonts w:ascii="Times New Roman" w:hAnsi="Times New Roman"/>
          <w:szCs w:val="24"/>
        </w:rPr>
        <w:t xml:space="preserve">PSS </w:t>
      </w:r>
      <w:r w:rsidR="00C06D30">
        <w:rPr>
          <w:rFonts w:ascii="Times New Roman" w:hAnsi="Times New Roman"/>
          <w:szCs w:val="24"/>
        </w:rPr>
        <w:t>universe by urbanicity and school level</w:t>
      </w:r>
      <w:r w:rsidRPr="00D321F9">
        <w:rPr>
          <w:rFonts w:ascii="Times New Roman" w:eastAsia="Calibri" w:hAnsi="Times New Roman"/>
          <w:szCs w:val="24"/>
        </w:rPr>
        <w:t>.</w:t>
      </w:r>
    </w:p>
    <w:p w14:paraId="4DF25E4E" w14:textId="074C785B" w:rsidR="00555F29" w:rsidRPr="00C06D30" w:rsidRDefault="00555F2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2.</w:t>
      </w:r>
      <w:r w:rsidRPr="00C06D30">
        <w:rPr>
          <w:rFonts w:ascii="Times New Roman" w:eastAsia="Calibri" w:hAnsi="Times New Roman"/>
          <w:b/>
          <w:bCs/>
          <w:sz w:val="22"/>
          <w:szCs w:val="22"/>
        </w:rPr>
        <w:tab/>
        <w:t>Respondent universe by school level and urbanicity for the proposed private school test sample, based on the 201</w:t>
      </w:r>
      <w:r w:rsidR="00274578">
        <w:rPr>
          <w:rFonts w:ascii="Times New Roman" w:eastAsia="Calibri" w:hAnsi="Times New Roman"/>
          <w:b/>
          <w:bCs/>
          <w:sz w:val="22"/>
          <w:szCs w:val="22"/>
        </w:rPr>
        <w:t>5</w:t>
      </w:r>
      <w:r w:rsidRPr="00C06D30">
        <w:rPr>
          <w:rFonts w:ascii="Times New Roman" w:eastAsia="Calibri" w:hAnsi="Times New Roman"/>
          <w:b/>
          <w:bCs/>
          <w:sz w:val="22"/>
          <w:szCs w:val="22"/>
        </w:rPr>
        <w:t>-1</w:t>
      </w:r>
      <w:r w:rsidR="00274578">
        <w:rPr>
          <w:rFonts w:ascii="Times New Roman" w:eastAsia="Calibri" w:hAnsi="Times New Roman"/>
          <w:b/>
          <w:bCs/>
          <w:sz w:val="22"/>
          <w:szCs w:val="22"/>
        </w:rPr>
        <w:t>6</w:t>
      </w:r>
      <w:r w:rsidRPr="00C06D30">
        <w:rPr>
          <w:rFonts w:ascii="Times New Roman" w:eastAsia="Calibri" w:hAnsi="Times New Roman"/>
          <w:b/>
          <w:bCs/>
          <w:sz w:val="22"/>
          <w:szCs w:val="22"/>
        </w:rPr>
        <w:t xml:space="preserve">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26"/>
        <w:gridCol w:w="2113"/>
        <w:gridCol w:w="2113"/>
        <w:gridCol w:w="2236"/>
      </w:tblGrid>
      <w:tr w:rsidR="00555F29" w:rsidRPr="000C3E2A" w14:paraId="5E56470F" w14:textId="77777777" w:rsidTr="00C06D30">
        <w:trPr>
          <w:trHeight w:val="144"/>
        </w:trPr>
        <w:tc>
          <w:tcPr>
            <w:tcW w:w="5000" w:type="pct"/>
            <w:gridSpan w:val="5"/>
            <w:shd w:val="clear" w:color="auto" w:fill="auto"/>
            <w:vAlign w:val="bottom"/>
          </w:tcPr>
          <w:p w14:paraId="6618BEA2" w14:textId="77777777" w:rsidR="00555F29" w:rsidRPr="00C06D30" w:rsidRDefault="00555F29" w:rsidP="007D4EB8">
            <w:pPr>
              <w:keepNext/>
              <w:spacing w:line="240" w:lineRule="auto"/>
              <w:jc w:val="center"/>
              <w:rPr>
                <w:rFonts w:ascii="Times New Roman" w:eastAsia="Malgun Gothic" w:hAnsi="Times New Roman"/>
                <w:b/>
                <w:sz w:val="20"/>
              </w:rPr>
            </w:pPr>
            <w:r w:rsidRPr="00C06D30">
              <w:rPr>
                <w:rFonts w:ascii="Times New Roman" w:eastAsia="Malgun Gothic" w:hAnsi="Times New Roman"/>
                <w:b/>
                <w:sz w:val="20"/>
              </w:rPr>
              <w:t>School level</w:t>
            </w:r>
          </w:p>
        </w:tc>
      </w:tr>
      <w:tr w:rsidR="00555F29" w:rsidRPr="000C3E2A" w14:paraId="3AA5E242" w14:textId="77777777" w:rsidTr="00C06D30">
        <w:trPr>
          <w:trHeight w:val="144"/>
        </w:trPr>
        <w:tc>
          <w:tcPr>
            <w:tcW w:w="1137" w:type="pct"/>
            <w:shd w:val="clear" w:color="auto" w:fill="auto"/>
            <w:vAlign w:val="bottom"/>
          </w:tcPr>
          <w:p w14:paraId="2EF0EE1B" w14:textId="77777777" w:rsidR="00555F29" w:rsidRPr="00C06D30" w:rsidRDefault="00555F29" w:rsidP="007D4EB8">
            <w:pPr>
              <w:spacing w:line="240" w:lineRule="auto"/>
              <w:rPr>
                <w:rFonts w:ascii="Times New Roman" w:eastAsia="Malgun Gothic" w:hAnsi="Times New Roman"/>
                <w:b/>
                <w:sz w:val="20"/>
              </w:rPr>
            </w:pPr>
            <w:r w:rsidRPr="00C06D30">
              <w:rPr>
                <w:rFonts w:ascii="Times New Roman" w:eastAsia="Malgun Gothic" w:hAnsi="Times New Roman"/>
                <w:b/>
                <w:sz w:val="20"/>
              </w:rPr>
              <w:t>Region</w:t>
            </w:r>
          </w:p>
        </w:tc>
        <w:tc>
          <w:tcPr>
            <w:tcW w:w="851" w:type="pct"/>
            <w:shd w:val="clear" w:color="auto" w:fill="auto"/>
            <w:vAlign w:val="bottom"/>
          </w:tcPr>
          <w:p w14:paraId="6BEB4B9C"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Elementary</w:t>
            </w:r>
          </w:p>
        </w:tc>
        <w:tc>
          <w:tcPr>
            <w:tcW w:w="985" w:type="pct"/>
            <w:shd w:val="clear" w:color="auto" w:fill="auto"/>
            <w:vAlign w:val="bottom"/>
          </w:tcPr>
          <w:p w14:paraId="3CC09CA7"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Secondary</w:t>
            </w:r>
          </w:p>
        </w:tc>
        <w:tc>
          <w:tcPr>
            <w:tcW w:w="985" w:type="pct"/>
            <w:shd w:val="clear" w:color="auto" w:fill="auto"/>
            <w:vAlign w:val="bottom"/>
          </w:tcPr>
          <w:p w14:paraId="44468B9C"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Combined</w:t>
            </w:r>
          </w:p>
        </w:tc>
        <w:tc>
          <w:tcPr>
            <w:tcW w:w="1041" w:type="pct"/>
            <w:shd w:val="clear" w:color="auto" w:fill="auto"/>
            <w:vAlign w:val="bottom"/>
          </w:tcPr>
          <w:p w14:paraId="6166AA73" w14:textId="77777777" w:rsidR="00555F29" w:rsidRPr="00C06D30" w:rsidRDefault="00555F29" w:rsidP="007D4EB8">
            <w:pPr>
              <w:spacing w:line="240" w:lineRule="auto"/>
              <w:jc w:val="center"/>
              <w:rPr>
                <w:rFonts w:ascii="Times New Roman" w:eastAsia="Malgun Gothic" w:hAnsi="Times New Roman"/>
                <w:b/>
                <w:sz w:val="20"/>
              </w:rPr>
            </w:pPr>
            <w:r w:rsidRPr="00C06D30">
              <w:rPr>
                <w:rFonts w:ascii="Times New Roman" w:eastAsia="Malgun Gothic" w:hAnsi="Times New Roman"/>
                <w:b/>
                <w:sz w:val="20"/>
              </w:rPr>
              <w:t>Total</w:t>
            </w:r>
          </w:p>
        </w:tc>
      </w:tr>
      <w:tr w:rsidR="00555F29" w:rsidRPr="000C3E2A" w14:paraId="345DC056" w14:textId="77777777" w:rsidTr="00C06D30">
        <w:trPr>
          <w:trHeight w:val="144"/>
        </w:trPr>
        <w:tc>
          <w:tcPr>
            <w:tcW w:w="1137" w:type="pct"/>
            <w:shd w:val="clear" w:color="auto" w:fill="auto"/>
            <w:vAlign w:val="bottom"/>
          </w:tcPr>
          <w:p w14:paraId="08E5C7B6"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Central City</w:t>
            </w:r>
          </w:p>
        </w:tc>
        <w:tc>
          <w:tcPr>
            <w:tcW w:w="851" w:type="pct"/>
            <w:shd w:val="clear" w:color="auto" w:fill="auto"/>
            <w:vAlign w:val="bottom"/>
          </w:tcPr>
          <w:p w14:paraId="722B3A6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4,975</w:t>
            </w:r>
          </w:p>
        </w:tc>
        <w:tc>
          <w:tcPr>
            <w:tcW w:w="985" w:type="pct"/>
            <w:shd w:val="clear" w:color="auto" w:fill="auto"/>
            <w:vAlign w:val="bottom"/>
          </w:tcPr>
          <w:p w14:paraId="7F6C5E7A"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1,121</w:t>
            </w:r>
          </w:p>
        </w:tc>
        <w:tc>
          <w:tcPr>
            <w:tcW w:w="985" w:type="pct"/>
            <w:shd w:val="clear" w:color="auto" w:fill="auto"/>
            <w:vAlign w:val="bottom"/>
          </w:tcPr>
          <w:p w14:paraId="7B715F3C"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2,702</w:t>
            </w:r>
          </w:p>
        </w:tc>
        <w:tc>
          <w:tcPr>
            <w:tcW w:w="1041" w:type="pct"/>
            <w:shd w:val="clear" w:color="auto" w:fill="auto"/>
            <w:vAlign w:val="bottom"/>
          </w:tcPr>
          <w:p w14:paraId="475F76CF"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8,798</w:t>
            </w:r>
          </w:p>
        </w:tc>
      </w:tr>
      <w:tr w:rsidR="00555F29" w:rsidRPr="000C3E2A" w14:paraId="485884E4" w14:textId="77777777" w:rsidTr="00C06D30">
        <w:trPr>
          <w:trHeight w:val="144"/>
        </w:trPr>
        <w:tc>
          <w:tcPr>
            <w:tcW w:w="1137" w:type="pct"/>
            <w:shd w:val="clear" w:color="auto" w:fill="auto"/>
          </w:tcPr>
          <w:p w14:paraId="0BA8749E"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Suburban</w:t>
            </w:r>
          </w:p>
        </w:tc>
        <w:tc>
          <w:tcPr>
            <w:tcW w:w="851" w:type="pct"/>
            <w:shd w:val="clear" w:color="auto" w:fill="auto"/>
            <w:vAlign w:val="bottom"/>
          </w:tcPr>
          <w:p w14:paraId="588E8EEA"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5,005</w:t>
            </w:r>
          </w:p>
        </w:tc>
        <w:tc>
          <w:tcPr>
            <w:tcW w:w="985" w:type="pct"/>
            <w:shd w:val="clear" w:color="auto" w:fill="auto"/>
            <w:vAlign w:val="bottom"/>
          </w:tcPr>
          <w:p w14:paraId="700D85B7"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871</w:t>
            </w:r>
          </w:p>
        </w:tc>
        <w:tc>
          <w:tcPr>
            <w:tcW w:w="985" w:type="pct"/>
            <w:shd w:val="clear" w:color="auto" w:fill="auto"/>
            <w:vAlign w:val="bottom"/>
          </w:tcPr>
          <w:p w14:paraId="51CFAE1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2,938</w:t>
            </w:r>
          </w:p>
        </w:tc>
        <w:tc>
          <w:tcPr>
            <w:tcW w:w="1041" w:type="pct"/>
            <w:shd w:val="clear" w:color="auto" w:fill="auto"/>
            <w:vAlign w:val="bottom"/>
          </w:tcPr>
          <w:p w14:paraId="2756CF3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8,814</w:t>
            </w:r>
          </w:p>
        </w:tc>
      </w:tr>
      <w:tr w:rsidR="00555F29" w:rsidRPr="000C3E2A" w14:paraId="4C28AE75" w14:textId="77777777" w:rsidTr="00C06D30">
        <w:trPr>
          <w:trHeight w:val="144"/>
        </w:trPr>
        <w:tc>
          <w:tcPr>
            <w:tcW w:w="1137" w:type="pct"/>
            <w:shd w:val="clear" w:color="auto" w:fill="auto"/>
          </w:tcPr>
          <w:p w14:paraId="06EEE7BD"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Town</w:t>
            </w:r>
          </w:p>
        </w:tc>
        <w:tc>
          <w:tcPr>
            <w:tcW w:w="851" w:type="pct"/>
            <w:shd w:val="clear" w:color="auto" w:fill="auto"/>
            <w:vAlign w:val="bottom"/>
          </w:tcPr>
          <w:p w14:paraId="163CE70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1,315</w:t>
            </w:r>
          </w:p>
        </w:tc>
        <w:tc>
          <w:tcPr>
            <w:tcW w:w="985" w:type="pct"/>
            <w:shd w:val="clear" w:color="auto" w:fill="auto"/>
            <w:vAlign w:val="bottom"/>
          </w:tcPr>
          <w:p w14:paraId="39778ED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145</w:t>
            </w:r>
          </w:p>
        </w:tc>
        <w:tc>
          <w:tcPr>
            <w:tcW w:w="985" w:type="pct"/>
            <w:shd w:val="clear" w:color="auto" w:fill="auto"/>
            <w:vAlign w:val="bottom"/>
          </w:tcPr>
          <w:p w14:paraId="3AAFE11E"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766</w:t>
            </w:r>
          </w:p>
        </w:tc>
        <w:tc>
          <w:tcPr>
            <w:tcW w:w="1041" w:type="pct"/>
            <w:shd w:val="clear" w:color="auto" w:fill="auto"/>
            <w:vAlign w:val="bottom"/>
          </w:tcPr>
          <w:p w14:paraId="085BFDEA"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2,226</w:t>
            </w:r>
          </w:p>
        </w:tc>
      </w:tr>
      <w:tr w:rsidR="00555F29" w:rsidRPr="000C3E2A" w14:paraId="5A3A7B5D" w14:textId="77777777" w:rsidTr="00C06D30">
        <w:trPr>
          <w:trHeight w:val="144"/>
        </w:trPr>
        <w:tc>
          <w:tcPr>
            <w:tcW w:w="1137" w:type="pct"/>
            <w:shd w:val="clear" w:color="auto" w:fill="auto"/>
          </w:tcPr>
          <w:p w14:paraId="4FB99E09"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Rural</w:t>
            </w:r>
          </w:p>
        </w:tc>
        <w:tc>
          <w:tcPr>
            <w:tcW w:w="851" w:type="pct"/>
            <w:shd w:val="clear" w:color="auto" w:fill="auto"/>
            <w:vAlign w:val="bottom"/>
          </w:tcPr>
          <w:p w14:paraId="1EF0AFD0"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2,735</w:t>
            </w:r>
          </w:p>
        </w:tc>
        <w:tc>
          <w:tcPr>
            <w:tcW w:w="985" w:type="pct"/>
            <w:shd w:val="clear" w:color="auto" w:fill="auto"/>
            <w:vAlign w:val="bottom"/>
          </w:tcPr>
          <w:p w14:paraId="129591A9"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472</w:t>
            </w:r>
          </w:p>
        </w:tc>
        <w:tc>
          <w:tcPr>
            <w:tcW w:w="985" w:type="pct"/>
            <w:shd w:val="clear" w:color="auto" w:fill="auto"/>
            <w:vAlign w:val="bottom"/>
          </w:tcPr>
          <w:p w14:paraId="0F01C4BC"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1,939</w:t>
            </w:r>
          </w:p>
        </w:tc>
        <w:tc>
          <w:tcPr>
            <w:tcW w:w="1041" w:type="pct"/>
            <w:shd w:val="clear" w:color="auto" w:fill="auto"/>
            <w:vAlign w:val="bottom"/>
          </w:tcPr>
          <w:p w14:paraId="51E5069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5,146</w:t>
            </w:r>
          </w:p>
        </w:tc>
      </w:tr>
      <w:tr w:rsidR="00555F29" w:rsidRPr="000C3E2A" w14:paraId="410E042F" w14:textId="77777777" w:rsidTr="00C06D30">
        <w:trPr>
          <w:trHeight w:val="144"/>
        </w:trPr>
        <w:tc>
          <w:tcPr>
            <w:tcW w:w="1137" w:type="pct"/>
            <w:shd w:val="clear" w:color="auto" w:fill="auto"/>
            <w:vAlign w:val="bottom"/>
          </w:tcPr>
          <w:p w14:paraId="109B7495" w14:textId="77777777" w:rsidR="00555F29" w:rsidRPr="00C06D30" w:rsidRDefault="00555F29" w:rsidP="007D4EB8">
            <w:pPr>
              <w:spacing w:line="240" w:lineRule="auto"/>
              <w:rPr>
                <w:rFonts w:ascii="Times New Roman" w:eastAsia="Malgun Gothic" w:hAnsi="Times New Roman"/>
                <w:sz w:val="20"/>
              </w:rPr>
            </w:pPr>
            <w:r w:rsidRPr="00C06D30">
              <w:rPr>
                <w:rFonts w:ascii="Times New Roman" w:eastAsia="Malgun Gothic" w:hAnsi="Times New Roman"/>
                <w:sz w:val="20"/>
              </w:rPr>
              <w:t>Total</w:t>
            </w:r>
          </w:p>
        </w:tc>
        <w:tc>
          <w:tcPr>
            <w:tcW w:w="851" w:type="pct"/>
            <w:shd w:val="clear" w:color="auto" w:fill="auto"/>
            <w:vAlign w:val="bottom"/>
          </w:tcPr>
          <w:p w14:paraId="36D42AC8"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14,030</w:t>
            </w:r>
          </w:p>
        </w:tc>
        <w:tc>
          <w:tcPr>
            <w:tcW w:w="985" w:type="pct"/>
            <w:shd w:val="clear" w:color="auto" w:fill="auto"/>
            <w:vAlign w:val="bottom"/>
          </w:tcPr>
          <w:p w14:paraId="047A0C68"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2,609</w:t>
            </w:r>
          </w:p>
        </w:tc>
        <w:tc>
          <w:tcPr>
            <w:tcW w:w="985" w:type="pct"/>
            <w:shd w:val="clear" w:color="auto" w:fill="auto"/>
            <w:vAlign w:val="bottom"/>
          </w:tcPr>
          <w:p w14:paraId="593AABC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8,345</w:t>
            </w:r>
          </w:p>
        </w:tc>
        <w:tc>
          <w:tcPr>
            <w:tcW w:w="1041" w:type="pct"/>
            <w:shd w:val="clear" w:color="auto" w:fill="auto"/>
            <w:vAlign w:val="bottom"/>
          </w:tcPr>
          <w:p w14:paraId="3ADCBB66" w14:textId="77777777" w:rsidR="00555F29" w:rsidRPr="00C06D30" w:rsidRDefault="00555F29" w:rsidP="007D4EB8">
            <w:pPr>
              <w:spacing w:line="240" w:lineRule="auto"/>
              <w:jc w:val="right"/>
              <w:rPr>
                <w:rFonts w:ascii="Times New Roman" w:eastAsia="Malgun Gothic" w:hAnsi="Times New Roman"/>
                <w:sz w:val="20"/>
              </w:rPr>
            </w:pPr>
            <w:r w:rsidRPr="00C06D30">
              <w:rPr>
                <w:rFonts w:ascii="Times New Roman" w:eastAsia="Malgun Gothic" w:hAnsi="Times New Roman"/>
                <w:sz w:val="20"/>
              </w:rPr>
              <w:t>24,984</w:t>
            </w:r>
          </w:p>
        </w:tc>
      </w:tr>
    </w:tbl>
    <w:p w14:paraId="76BC49A6" w14:textId="13BFB374" w:rsidR="0043733F" w:rsidRPr="00C06D30" w:rsidRDefault="00555F29" w:rsidP="00F47589">
      <w:pPr>
        <w:spacing w:line="240" w:lineRule="auto"/>
        <w:rPr>
          <w:rFonts w:ascii="Times New Roman" w:eastAsia="Malgun Gothic" w:hAnsi="Times New Roman"/>
          <w:sz w:val="18"/>
          <w:szCs w:val="18"/>
        </w:rPr>
      </w:pPr>
      <w:r w:rsidRPr="00C06D30">
        <w:rPr>
          <w:rFonts w:ascii="Times New Roman" w:eastAsia="Malgun Gothic" w:hAnsi="Times New Roman"/>
          <w:sz w:val="18"/>
          <w:szCs w:val="18"/>
        </w:rPr>
        <w:t>SOURCE: 201</w:t>
      </w:r>
      <w:r w:rsidR="00274578">
        <w:rPr>
          <w:rFonts w:ascii="Times New Roman" w:eastAsia="Malgun Gothic" w:hAnsi="Times New Roman"/>
          <w:sz w:val="18"/>
          <w:szCs w:val="18"/>
        </w:rPr>
        <w:t>5</w:t>
      </w:r>
      <w:r w:rsidRPr="00C06D30">
        <w:rPr>
          <w:rFonts w:ascii="Times New Roman" w:eastAsia="Malgun Gothic" w:hAnsi="Times New Roman"/>
          <w:sz w:val="18"/>
          <w:szCs w:val="18"/>
        </w:rPr>
        <w:t>-1</w:t>
      </w:r>
      <w:r w:rsidR="00274578">
        <w:rPr>
          <w:rFonts w:ascii="Times New Roman" w:eastAsia="Malgun Gothic" w:hAnsi="Times New Roman"/>
          <w:sz w:val="18"/>
          <w:szCs w:val="18"/>
        </w:rPr>
        <w:t>6</w:t>
      </w:r>
      <w:r w:rsidRPr="00C06D30">
        <w:rPr>
          <w:rFonts w:ascii="Times New Roman" w:eastAsia="Malgun Gothic" w:hAnsi="Times New Roman"/>
          <w:sz w:val="18"/>
          <w:szCs w:val="18"/>
        </w:rPr>
        <w:t xml:space="preserve"> PSS</w:t>
      </w:r>
      <w:bookmarkStart w:id="30" w:name="_Toc468187454"/>
      <w:bookmarkStart w:id="31" w:name="_Toc412576696"/>
    </w:p>
    <w:p w14:paraId="06B56360" w14:textId="7237FDF3" w:rsidR="005D0569" w:rsidRPr="00D321F9" w:rsidRDefault="008B3BF8" w:rsidP="007D4EB8">
      <w:pPr>
        <w:pStyle w:val="Heading3"/>
        <w:spacing w:after="120" w:line="240" w:lineRule="auto"/>
        <w:rPr>
          <w:rFonts w:ascii="Times New Roman" w:hAnsi="Times New Roman"/>
          <w:color w:val="auto"/>
          <w:sz w:val="24"/>
          <w:szCs w:val="24"/>
        </w:rPr>
      </w:pPr>
      <w:bookmarkStart w:id="32" w:name="_Toc518587624"/>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0"/>
      <w:bookmarkEnd w:id="32"/>
    </w:p>
    <w:p w14:paraId="08D827D0" w14:textId="1C93F05D" w:rsidR="00BA615D" w:rsidRPr="00D321F9" w:rsidRDefault="00BA615D" w:rsidP="006B0F28">
      <w:pPr>
        <w:widowControl w:val="0"/>
        <w:spacing w:after="20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w:t>
      </w:r>
      <w:r w:rsidR="00591011">
        <w:rPr>
          <w:rFonts w:ascii="Times New Roman" w:hAnsi="Times New Roman"/>
          <w:szCs w:val="24"/>
        </w:rPr>
        <w:t xml:space="preserve">either </w:t>
      </w:r>
      <w:r w:rsidR="006D240F">
        <w:rPr>
          <w:rFonts w:ascii="Times New Roman" w:hAnsi="Times New Roman"/>
          <w:szCs w:val="24"/>
        </w:rPr>
        <w:t xml:space="preserve">(a) the </w:t>
      </w:r>
      <w:r w:rsidRPr="00D321F9">
        <w:rPr>
          <w:rFonts w:ascii="Times New Roman" w:hAnsi="Times New Roman"/>
          <w:szCs w:val="24"/>
        </w:rPr>
        <w:t>roster information provided by each participating sampled school</w:t>
      </w:r>
      <w:r w:rsidR="00591011">
        <w:rPr>
          <w:rFonts w:ascii="Times New Roman" w:hAnsi="Times New Roman"/>
          <w:szCs w:val="24"/>
        </w:rPr>
        <w:t xml:space="preserve"> collected on a Teacher Listing Form (TLF), </w:t>
      </w:r>
      <w:r w:rsidR="006D240F">
        <w:rPr>
          <w:rFonts w:ascii="Times New Roman" w:hAnsi="Times New Roman"/>
          <w:szCs w:val="24"/>
        </w:rPr>
        <w:t>(b)</w:t>
      </w:r>
      <w:r w:rsidR="00591011">
        <w:rPr>
          <w:rFonts w:ascii="Times New Roman" w:hAnsi="Times New Roman"/>
          <w:szCs w:val="24"/>
        </w:rPr>
        <w:t xml:space="preserve"> a clerical look-up operation, or </w:t>
      </w:r>
      <w:r w:rsidR="006D240F">
        <w:rPr>
          <w:rFonts w:ascii="Times New Roman" w:hAnsi="Times New Roman"/>
          <w:szCs w:val="24"/>
        </w:rPr>
        <w:t xml:space="preserve">(c) </w:t>
      </w:r>
      <w:r w:rsidR="00591011">
        <w:rPr>
          <w:rFonts w:ascii="Times New Roman" w:hAnsi="Times New Roman"/>
          <w:szCs w:val="24"/>
        </w:rPr>
        <w:t>purchased from a vendor</w:t>
      </w:r>
      <w:r w:rsidRPr="00D321F9">
        <w:rPr>
          <w:rFonts w:ascii="Times New Roman" w:hAnsi="Times New Roman"/>
          <w:szCs w:val="24"/>
        </w:rPr>
        <w:t>. Teachers within the sampled school are classified as ineligible for NTPS if they are a short-term substitute teacher, student teacher, a teacher’s aide</w:t>
      </w:r>
      <w:r w:rsidR="006D240F">
        <w:rPr>
          <w:rFonts w:ascii="Times New Roman" w:hAnsi="Times New Roman"/>
          <w:szCs w:val="24"/>
        </w:rPr>
        <w:t>,</w:t>
      </w:r>
      <w:r w:rsidRPr="00D321F9">
        <w:rPr>
          <w:rFonts w:ascii="Times New Roman" w:hAnsi="Times New Roman"/>
          <w:szCs w:val="24"/>
        </w:rPr>
        <w:t xml:space="preserve"> or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14:paraId="380EECB6" w14:textId="11C36C63" w:rsidR="00F153D0" w:rsidRPr="00D321F9" w:rsidRDefault="00F153D0" w:rsidP="007D4EB8">
      <w:pPr>
        <w:pStyle w:val="Heading2"/>
        <w:spacing w:after="120" w:line="240" w:lineRule="auto"/>
        <w:rPr>
          <w:rFonts w:ascii="Times New Roman" w:hAnsi="Times New Roman"/>
          <w:color w:val="auto"/>
          <w:sz w:val="24"/>
          <w:szCs w:val="24"/>
        </w:rPr>
      </w:pPr>
      <w:bookmarkStart w:id="33" w:name="_Toc391625747"/>
      <w:bookmarkStart w:id="34" w:name="_Toc392706705"/>
      <w:bookmarkStart w:id="35" w:name="_Toc420609067"/>
      <w:bookmarkStart w:id="36" w:name="_Toc455154249"/>
      <w:bookmarkStart w:id="37" w:name="_Toc455496442"/>
      <w:bookmarkStart w:id="38" w:name="_Toc468187455"/>
      <w:bookmarkStart w:id="39" w:name="_Toc518587625"/>
      <w:bookmarkEnd w:id="31"/>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3"/>
      <w:bookmarkEnd w:id="34"/>
      <w:bookmarkEnd w:id="35"/>
      <w:bookmarkEnd w:id="36"/>
      <w:bookmarkEnd w:id="37"/>
      <w:bookmarkEnd w:id="38"/>
      <w:bookmarkEnd w:id="39"/>
    </w:p>
    <w:p w14:paraId="40C590D0" w14:textId="5C8B762C" w:rsidR="007215B4"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This section details the school sample sizes and precision requirements for the NTPS </w:t>
      </w:r>
      <w:r w:rsidR="00180AA0">
        <w:rPr>
          <w:rFonts w:ascii="Times New Roman" w:hAnsi="Times New Roman"/>
          <w:szCs w:val="24"/>
        </w:rPr>
        <w:t>2019-20</w:t>
      </w:r>
      <w:r w:rsidRPr="00D321F9">
        <w:rPr>
          <w:rFonts w:ascii="Times New Roman" w:hAnsi="Times New Roman"/>
          <w:szCs w:val="24"/>
        </w:rPr>
        <w:t xml:space="preserve">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r w:rsidR="006D240F">
        <w:rPr>
          <w:rFonts w:ascii="Times New Roman" w:hAnsi="Times New Roman"/>
          <w:szCs w:val="24"/>
        </w:rPr>
        <w:t xml:space="preserve"> </w:t>
      </w:r>
      <w:r w:rsidR="006D240F" w:rsidRPr="006D240F">
        <w:rPr>
          <w:rFonts w:ascii="Times New Roman" w:hAnsi="Times New Roman"/>
          <w:color w:val="000000" w:themeColor="text1"/>
          <w:szCs w:val="24"/>
        </w:rPr>
        <w:t xml:space="preserve">The sample for NTPS 2019-20 is expected to include approximately the same sample sizes for both public and private schools and teachers </w:t>
      </w:r>
      <w:r w:rsidR="006D240F">
        <w:rPr>
          <w:rFonts w:ascii="Times New Roman" w:hAnsi="Times New Roman"/>
          <w:color w:val="000000" w:themeColor="text1"/>
          <w:szCs w:val="24"/>
        </w:rPr>
        <w:t xml:space="preserve">as </w:t>
      </w:r>
      <w:r w:rsidR="006D240F" w:rsidRPr="006D240F">
        <w:rPr>
          <w:rFonts w:ascii="Times New Roman" w:hAnsi="Times New Roman"/>
          <w:color w:val="000000" w:themeColor="text1"/>
          <w:szCs w:val="24"/>
        </w:rPr>
        <w:t>NTPS 2017-18</w:t>
      </w:r>
      <w:r w:rsidR="006D240F">
        <w:rPr>
          <w:rFonts w:ascii="Times New Roman" w:hAnsi="Times New Roman"/>
          <w:color w:val="000000" w:themeColor="text1"/>
          <w:szCs w:val="24"/>
        </w:rPr>
        <w:t>. H</w:t>
      </w:r>
      <w:r w:rsidR="006D240F" w:rsidRPr="00F41981">
        <w:rPr>
          <w:rFonts w:ascii="Times New Roman" w:hAnsi="Times New Roman"/>
          <w:color w:val="000000" w:themeColor="text1"/>
          <w:szCs w:val="24"/>
        </w:rPr>
        <w:t xml:space="preserve">owever, </w:t>
      </w:r>
      <w:r w:rsidR="006D240F" w:rsidRPr="006D240F">
        <w:rPr>
          <w:rFonts w:ascii="Times New Roman" w:hAnsi="Times New Roman"/>
          <w:color w:val="000000" w:themeColor="text1"/>
          <w:szCs w:val="24"/>
        </w:rPr>
        <w:t>after the 2017-18 NTPS data collection ends in July 2018, its results will inform the final NTPS 2019-20 study design – including sample sizes, precision requirements, and sampling methodologies – all of which will be fully specified in the NTPS 2019-20 Main Study submission in December 2018</w:t>
      </w:r>
      <w:r w:rsidR="006D240F" w:rsidRPr="00F41981">
        <w:rPr>
          <w:rFonts w:ascii="Times New Roman" w:hAnsi="Times New Roman"/>
          <w:color w:val="000000" w:themeColor="text1"/>
          <w:szCs w:val="24"/>
        </w:rPr>
        <w:t>.</w:t>
      </w:r>
    </w:p>
    <w:p w14:paraId="7E126D4D" w14:textId="03EBBEB2"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final NTPS </w:t>
      </w:r>
      <w:r w:rsidR="00591011">
        <w:rPr>
          <w:rFonts w:ascii="Times New Roman" w:hAnsi="Times New Roman"/>
          <w:szCs w:val="24"/>
        </w:rPr>
        <w:t>2017-18</w:t>
      </w:r>
      <w:r w:rsidRPr="00D321F9">
        <w:rPr>
          <w:rFonts w:ascii="Times New Roman" w:hAnsi="Times New Roman"/>
          <w:szCs w:val="24"/>
        </w:rPr>
        <w:t xml:space="preserve"> public sample include</w:t>
      </w:r>
      <w:r w:rsidR="00591011">
        <w:rPr>
          <w:rFonts w:ascii="Times New Roman" w:hAnsi="Times New Roman"/>
          <w:szCs w:val="24"/>
        </w:rPr>
        <w:t>d:</w:t>
      </w:r>
    </w:p>
    <w:p w14:paraId="23F82460" w14:textId="294B51A3" w:rsidR="00BA615D" w:rsidRPr="005A40F0" w:rsidRDefault="00591011" w:rsidP="007D4EB8">
      <w:pPr>
        <w:pStyle w:val="L1-FlLSp12"/>
        <w:numPr>
          <w:ilvl w:val="0"/>
          <w:numId w:val="7"/>
        </w:numPr>
        <w:spacing w:after="60" w:line="240" w:lineRule="auto"/>
        <w:rPr>
          <w:rFonts w:ascii="Times New Roman" w:hAnsi="Times New Roman"/>
          <w:szCs w:val="24"/>
        </w:rPr>
      </w:pPr>
      <w:r w:rsidRPr="005A40F0">
        <w:rPr>
          <w:rFonts w:ascii="Times New Roman" w:hAnsi="Times New Roman"/>
          <w:szCs w:val="24"/>
        </w:rPr>
        <w:t>10,600</w:t>
      </w:r>
      <w:r w:rsidR="00475989" w:rsidRPr="005A40F0">
        <w:rPr>
          <w:rFonts w:ascii="Times New Roman" w:hAnsi="Times New Roman"/>
          <w:szCs w:val="24"/>
        </w:rPr>
        <w:t xml:space="preserve"> schools and school principals </w:t>
      </w:r>
      <w:r w:rsidR="00BA615D" w:rsidRPr="005A40F0">
        <w:rPr>
          <w:rFonts w:ascii="Times New Roman" w:hAnsi="Times New Roman"/>
          <w:szCs w:val="24"/>
        </w:rPr>
        <w:t>(</w:t>
      </w:r>
      <w:r w:rsidR="008C29D3" w:rsidRPr="005A40F0">
        <w:rPr>
          <w:rFonts w:ascii="Times New Roman" w:hAnsi="Times New Roman"/>
          <w:szCs w:val="24"/>
        </w:rPr>
        <w:t xml:space="preserve">9,100 </w:t>
      </w:r>
      <w:r w:rsidR="00BA615D" w:rsidRPr="005A40F0">
        <w:rPr>
          <w:rFonts w:ascii="Times New Roman" w:hAnsi="Times New Roman"/>
          <w:szCs w:val="24"/>
        </w:rPr>
        <w:t xml:space="preserve">traditional public and </w:t>
      </w:r>
      <w:r w:rsidR="008C29D3" w:rsidRPr="005A40F0">
        <w:rPr>
          <w:rFonts w:ascii="Times New Roman" w:hAnsi="Times New Roman"/>
          <w:szCs w:val="24"/>
        </w:rPr>
        <w:t>1,500</w:t>
      </w:r>
      <w:r w:rsidR="00DC16F2" w:rsidRPr="005A40F0">
        <w:rPr>
          <w:rFonts w:ascii="Times New Roman" w:hAnsi="Times New Roman"/>
          <w:szCs w:val="24"/>
        </w:rPr>
        <w:t xml:space="preserve"> </w:t>
      </w:r>
      <w:r w:rsidR="00BA615D" w:rsidRPr="005A40F0">
        <w:rPr>
          <w:rFonts w:ascii="Times New Roman" w:hAnsi="Times New Roman"/>
          <w:szCs w:val="24"/>
        </w:rPr>
        <w:t>public charter)</w:t>
      </w:r>
      <w:r w:rsidR="00475989" w:rsidRPr="005A40F0">
        <w:rPr>
          <w:rFonts w:ascii="Times New Roman" w:hAnsi="Times New Roman"/>
          <w:szCs w:val="24"/>
        </w:rPr>
        <w:t xml:space="preserve">, with the goal of at least </w:t>
      </w:r>
      <w:r w:rsidR="008C29D3" w:rsidRPr="005A40F0">
        <w:rPr>
          <w:rFonts w:ascii="Times New Roman" w:hAnsi="Times New Roman"/>
          <w:szCs w:val="24"/>
        </w:rPr>
        <w:t>6,800</w:t>
      </w:r>
      <w:r w:rsidR="00DC16F2" w:rsidRPr="005A40F0">
        <w:rPr>
          <w:rFonts w:ascii="Times New Roman" w:hAnsi="Times New Roman"/>
          <w:szCs w:val="24"/>
        </w:rPr>
        <w:t xml:space="preserve"> </w:t>
      </w:r>
      <w:r w:rsidR="006D240F">
        <w:rPr>
          <w:rFonts w:ascii="Times New Roman" w:hAnsi="Times New Roman"/>
          <w:szCs w:val="24"/>
        </w:rPr>
        <w:t xml:space="preserve">completed </w:t>
      </w:r>
      <w:r w:rsidR="00475989" w:rsidRPr="005A40F0">
        <w:rPr>
          <w:rFonts w:ascii="Times New Roman" w:hAnsi="Times New Roman"/>
          <w:szCs w:val="24"/>
        </w:rPr>
        <w:t>interviews</w:t>
      </w:r>
      <w:r w:rsidR="00BA615D" w:rsidRPr="005A40F0">
        <w:rPr>
          <w:rFonts w:ascii="Times New Roman" w:hAnsi="Times New Roman"/>
          <w:szCs w:val="24"/>
        </w:rPr>
        <w:t>; and</w:t>
      </w:r>
    </w:p>
    <w:p w14:paraId="499CE254" w14:textId="46E33280" w:rsidR="00BA615D" w:rsidRPr="005A40F0" w:rsidRDefault="00072E7F" w:rsidP="00072E7F">
      <w:pPr>
        <w:pStyle w:val="L1-FlLSp12"/>
        <w:numPr>
          <w:ilvl w:val="0"/>
          <w:numId w:val="7"/>
        </w:numPr>
        <w:spacing w:after="120" w:line="240" w:lineRule="auto"/>
        <w:rPr>
          <w:rFonts w:ascii="Times New Roman" w:hAnsi="Times New Roman"/>
          <w:szCs w:val="24"/>
        </w:rPr>
      </w:pPr>
      <w:r w:rsidRPr="00072E7F">
        <w:rPr>
          <w:rFonts w:ascii="Times New Roman" w:hAnsi="Times New Roman"/>
          <w:szCs w:val="24"/>
        </w:rPr>
        <w:t>47,000 teachers (42,100 traditional public and 4,900 public charter), with the goal of at least 35,000 interviews</w:t>
      </w:r>
      <w:r w:rsidR="00BA615D" w:rsidRPr="005A40F0">
        <w:rPr>
          <w:rFonts w:ascii="Times New Roman" w:hAnsi="Times New Roman"/>
          <w:szCs w:val="24"/>
        </w:rPr>
        <w:t>.</w:t>
      </w:r>
    </w:p>
    <w:p w14:paraId="22A3809E" w14:textId="7CCC89D6" w:rsidR="00BA615D" w:rsidRPr="00D321F9" w:rsidRDefault="00BA615D"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The final NTPS </w:t>
      </w:r>
      <w:r w:rsidR="00F06609">
        <w:rPr>
          <w:rFonts w:ascii="Times New Roman" w:hAnsi="Times New Roman"/>
          <w:szCs w:val="24"/>
        </w:rPr>
        <w:t>2017-18</w:t>
      </w:r>
      <w:r w:rsidRPr="00D321F9">
        <w:rPr>
          <w:rFonts w:ascii="Times New Roman" w:hAnsi="Times New Roman"/>
          <w:szCs w:val="24"/>
        </w:rPr>
        <w:t xml:space="preserve"> private school sample include</w:t>
      </w:r>
      <w:r w:rsidR="00F06609">
        <w:rPr>
          <w:rFonts w:ascii="Times New Roman" w:hAnsi="Times New Roman"/>
          <w:szCs w:val="24"/>
        </w:rPr>
        <w:t>d:</w:t>
      </w:r>
    </w:p>
    <w:p w14:paraId="7589F301" w14:textId="2D2FCA49" w:rsidR="00BA615D" w:rsidRPr="00F06609" w:rsidRDefault="00F06609" w:rsidP="007D4EB8">
      <w:pPr>
        <w:pStyle w:val="L1-FlLSp12"/>
        <w:numPr>
          <w:ilvl w:val="0"/>
          <w:numId w:val="7"/>
        </w:numPr>
        <w:spacing w:after="60" w:line="240" w:lineRule="auto"/>
        <w:rPr>
          <w:rFonts w:ascii="Times New Roman" w:hAnsi="Times New Roman"/>
          <w:szCs w:val="24"/>
        </w:rPr>
      </w:pPr>
      <w:r w:rsidRPr="00F06609">
        <w:rPr>
          <w:rFonts w:ascii="Times New Roman" w:hAnsi="Times New Roman"/>
          <w:szCs w:val="24"/>
        </w:rPr>
        <w:t>4,000</w:t>
      </w:r>
      <w:r w:rsidR="00DC16F2" w:rsidRPr="00F06609">
        <w:rPr>
          <w:rFonts w:ascii="Times New Roman" w:hAnsi="Times New Roman"/>
          <w:szCs w:val="24"/>
        </w:rPr>
        <w:t xml:space="preserve"> </w:t>
      </w:r>
      <w:r w:rsidR="00475989" w:rsidRPr="00F06609">
        <w:rPr>
          <w:rFonts w:ascii="Times New Roman" w:hAnsi="Times New Roman"/>
          <w:szCs w:val="24"/>
        </w:rPr>
        <w:t xml:space="preserve">schools and school principals, </w:t>
      </w:r>
      <w:r w:rsidR="00BA615D" w:rsidRPr="00F06609">
        <w:rPr>
          <w:rFonts w:ascii="Times New Roman" w:hAnsi="Times New Roman"/>
          <w:szCs w:val="24"/>
        </w:rPr>
        <w:t>wi</w:t>
      </w:r>
      <w:r w:rsidR="00475989" w:rsidRPr="00F06609">
        <w:rPr>
          <w:rFonts w:ascii="Times New Roman" w:hAnsi="Times New Roman"/>
          <w:szCs w:val="24"/>
        </w:rPr>
        <w:t xml:space="preserve">th the goal of at least </w:t>
      </w:r>
      <w:r w:rsidRPr="00F06609">
        <w:rPr>
          <w:rFonts w:ascii="Times New Roman" w:hAnsi="Times New Roman"/>
          <w:szCs w:val="24"/>
        </w:rPr>
        <w:t>2,300</w:t>
      </w:r>
      <w:r w:rsidR="00DC16F2" w:rsidRPr="00F06609">
        <w:rPr>
          <w:rFonts w:ascii="Times New Roman" w:hAnsi="Times New Roman"/>
          <w:szCs w:val="24"/>
        </w:rPr>
        <w:t xml:space="preserve"> </w:t>
      </w:r>
      <w:r w:rsidR="006D240F">
        <w:rPr>
          <w:rFonts w:ascii="Times New Roman" w:hAnsi="Times New Roman"/>
          <w:szCs w:val="24"/>
        </w:rPr>
        <w:t xml:space="preserve">completed </w:t>
      </w:r>
      <w:r w:rsidR="00475989" w:rsidRPr="00F06609">
        <w:rPr>
          <w:rFonts w:ascii="Times New Roman" w:hAnsi="Times New Roman"/>
          <w:szCs w:val="24"/>
        </w:rPr>
        <w:t>interviews</w:t>
      </w:r>
      <w:r w:rsidR="00BA615D" w:rsidRPr="00F06609">
        <w:rPr>
          <w:rFonts w:ascii="Times New Roman" w:hAnsi="Times New Roman"/>
          <w:szCs w:val="24"/>
        </w:rPr>
        <w:t>; and</w:t>
      </w:r>
    </w:p>
    <w:p w14:paraId="40B9762D" w14:textId="35B34705" w:rsidR="00243F0A" w:rsidRPr="006D240F" w:rsidRDefault="00072E7F" w:rsidP="00072E7F">
      <w:pPr>
        <w:pStyle w:val="L1-FlLSp12"/>
        <w:numPr>
          <w:ilvl w:val="0"/>
          <w:numId w:val="7"/>
        </w:numPr>
        <w:spacing w:after="120" w:line="240" w:lineRule="auto"/>
        <w:rPr>
          <w:rFonts w:ascii="Times New Roman" w:hAnsi="Times New Roman"/>
          <w:szCs w:val="24"/>
        </w:rPr>
      </w:pPr>
      <w:r w:rsidRPr="00072E7F">
        <w:rPr>
          <w:rFonts w:ascii="Times New Roman" w:hAnsi="Times New Roman"/>
          <w:szCs w:val="24"/>
        </w:rPr>
        <w:t>9,000 teachers, with the goal of at least 6,000 interviews</w:t>
      </w:r>
      <w:r w:rsidR="00BA615D" w:rsidRPr="00D321F9">
        <w:rPr>
          <w:rFonts w:ascii="Times New Roman" w:hAnsi="Times New Roman"/>
          <w:szCs w:val="24"/>
        </w:rPr>
        <w:t>.</w:t>
      </w:r>
    </w:p>
    <w:p w14:paraId="771C7D0D" w14:textId="4CBB18F6" w:rsidR="00C535B2" w:rsidRPr="00D321F9" w:rsidRDefault="00C535B2" w:rsidP="007D4EB8">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14:paraId="1F160EE1" w14:textId="777156C7" w:rsidR="00BA615D" w:rsidRPr="00D321F9" w:rsidRDefault="00BA615D" w:rsidP="007D4EB8">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level of precision achieved by NTPS </w:t>
      </w:r>
      <w:r w:rsidR="00203C57">
        <w:rPr>
          <w:rFonts w:ascii="Times New Roman" w:hAnsi="Times New Roman"/>
          <w:szCs w:val="24"/>
        </w:rPr>
        <w:t>2017-18</w:t>
      </w:r>
      <w:r w:rsidRPr="00D321F9">
        <w:rPr>
          <w:rFonts w:ascii="Times New Roman" w:hAnsi="Times New Roman"/>
          <w:szCs w:val="24"/>
        </w:rPr>
        <w:t xml:space="preserve"> </w:t>
      </w:r>
      <w:r w:rsidR="00B42BEE">
        <w:rPr>
          <w:rFonts w:ascii="Times New Roman" w:hAnsi="Times New Roman"/>
          <w:szCs w:val="24"/>
        </w:rPr>
        <w:t>will be</w:t>
      </w:r>
      <w:r w:rsidR="00B42BEE" w:rsidRPr="00D321F9">
        <w:rPr>
          <w:rFonts w:ascii="Times New Roman" w:hAnsi="Times New Roman"/>
          <w:szCs w:val="24"/>
        </w:rPr>
        <w:t xml:space="preserve"> </w:t>
      </w:r>
      <w:r w:rsidRPr="00D321F9">
        <w:rPr>
          <w:rFonts w:ascii="Times New Roman" w:hAnsi="Times New Roman"/>
          <w:szCs w:val="24"/>
        </w:rPr>
        <w:t xml:space="preserve">evaluated to inform the sample design decisions for NTPS </w:t>
      </w:r>
      <w:r w:rsidR="00203C57">
        <w:rPr>
          <w:rFonts w:ascii="Times New Roman" w:hAnsi="Times New Roman"/>
          <w:szCs w:val="24"/>
        </w:rPr>
        <w:t>2019-20</w:t>
      </w:r>
      <w:r w:rsidRPr="00D321F9">
        <w:rPr>
          <w:rFonts w:ascii="Times New Roman" w:hAnsi="Times New Roman"/>
          <w:szCs w:val="24"/>
        </w:rPr>
        <w:t xml:space="preserve">. In particular, publishability and bias indicators (described in Section B.3.2) </w:t>
      </w:r>
      <w:r w:rsidR="00B42BEE">
        <w:rPr>
          <w:rFonts w:ascii="Times New Roman" w:hAnsi="Times New Roman"/>
          <w:szCs w:val="24"/>
        </w:rPr>
        <w:t xml:space="preserve">will be </w:t>
      </w:r>
      <w:r w:rsidRPr="00D321F9">
        <w:rPr>
          <w:rFonts w:ascii="Times New Roman" w:hAnsi="Times New Roman"/>
          <w:szCs w:val="24"/>
        </w:rPr>
        <w:t xml:space="preserve">reviewed in order to improve the </w:t>
      </w:r>
      <w:r w:rsidR="006D240F" w:rsidRPr="00D321F9">
        <w:rPr>
          <w:rFonts w:ascii="Times New Roman" w:hAnsi="Times New Roman"/>
          <w:szCs w:val="24"/>
        </w:rPr>
        <w:t xml:space="preserve">NTPS </w:t>
      </w:r>
      <w:r w:rsidR="006D240F">
        <w:rPr>
          <w:rFonts w:ascii="Times New Roman" w:hAnsi="Times New Roman"/>
          <w:szCs w:val="24"/>
        </w:rPr>
        <w:t xml:space="preserve">2019-20 </w:t>
      </w:r>
      <w:r w:rsidRPr="00D321F9">
        <w:rPr>
          <w:rFonts w:ascii="Times New Roman" w:hAnsi="Times New Roman"/>
          <w:szCs w:val="24"/>
        </w:rPr>
        <w:t xml:space="preserve">school sample design. The </w:t>
      </w:r>
      <w:r w:rsidR="006D240F" w:rsidRPr="00D321F9">
        <w:rPr>
          <w:rFonts w:ascii="Times New Roman" w:hAnsi="Times New Roman"/>
          <w:szCs w:val="24"/>
        </w:rPr>
        <w:t xml:space="preserve">NTPS </w:t>
      </w:r>
      <w:r w:rsidR="006D240F">
        <w:rPr>
          <w:rFonts w:ascii="Times New Roman" w:hAnsi="Times New Roman"/>
          <w:szCs w:val="24"/>
        </w:rPr>
        <w:t xml:space="preserve">2019-20 </w:t>
      </w:r>
      <w:r w:rsidRPr="00D321F9">
        <w:rPr>
          <w:rFonts w:ascii="Times New Roman" w:hAnsi="Times New Roman"/>
          <w:szCs w:val="24"/>
        </w:rPr>
        <w:t>oversampling stratification will be based preliminarily on the following domains:</w:t>
      </w:r>
    </w:p>
    <w:p w14:paraId="2C459944"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Charter/Non-charter;</w:t>
      </w:r>
    </w:p>
    <w:p w14:paraId="0515A325"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14:paraId="2A2062F6"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Urbanicity (city, suburb, town, rural);</w:t>
      </w:r>
    </w:p>
    <w:p w14:paraId="37814AC3" w14:textId="77777777" w:rsidR="00BA615D" w:rsidRPr="00D321F9" w:rsidRDefault="00BA615D" w:rsidP="007D4EB8">
      <w:pPr>
        <w:pStyle w:val="L1-FlLSp12"/>
        <w:numPr>
          <w:ilvl w:val="2"/>
          <w:numId w:val="11"/>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14:paraId="761DFB0B" w14:textId="77777777" w:rsidR="00BA615D" w:rsidRPr="00D321F9" w:rsidRDefault="00BA615D" w:rsidP="007D4EB8">
      <w:pPr>
        <w:pStyle w:val="L1-FlLSp12"/>
        <w:numPr>
          <w:ilvl w:val="2"/>
          <w:numId w:val="11"/>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14:paraId="77EA77C6" w14:textId="77777777" w:rsidR="00BE5E42" w:rsidRPr="00BE5E42" w:rsidRDefault="00BE5E42" w:rsidP="00BE5E42">
      <w:pPr>
        <w:pStyle w:val="L1-FlLSp12"/>
        <w:widowControl w:val="0"/>
        <w:spacing w:after="120" w:line="240" w:lineRule="auto"/>
        <w:rPr>
          <w:rFonts w:ascii="Times New Roman" w:hAnsi="Times New Roman"/>
          <w:szCs w:val="24"/>
        </w:rPr>
      </w:pPr>
      <w:r w:rsidRPr="00BE5E42">
        <w:rPr>
          <w:rFonts w:ascii="Times New Roman" w:hAnsi="Times New Roman"/>
          <w:szCs w:val="24"/>
        </w:rPr>
        <w:t>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fall below the CV 30% minimum with the uncertainties about response and about exact values of design effects, we set as a target a CV of 25% as a lower bound. This corresponds to an expected standard error of 5%. This considerably reduces the chance of falling below the 30% boundary (if we set 30% itself as the target, we would be below it one-half of the time). Our target goal then for each state is to make sure that the expected standard error is no larger than 5% for a population proportion of 20% (a CV of 25%), at both the school and teacher level.</w:t>
      </w:r>
    </w:p>
    <w:p w14:paraId="42314846" w14:textId="037FC14B" w:rsidR="00BA615D" w:rsidRPr="00D321F9" w:rsidRDefault="00BE5E42" w:rsidP="00BE5E42">
      <w:pPr>
        <w:pStyle w:val="L1-FlLSp12"/>
        <w:widowControl w:val="0"/>
        <w:spacing w:after="120" w:line="240" w:lineRule="auto"/>
        <w:rPr>
          <w:rFonts w:ascii="Times New Roman" w:hAnsi="Times New Roman"/>
          <w:szCs w:val="24"/>
        </w:rPr>
      </w:pPr>
      <w:r w:rsidRPr="00BE5E42">
        <w:rPr>
          <w:rFonts w:ascii="Times New Roman" w:hAnsi="Times New Roman"/>
          <w:szCs w:val="24"/>
        </w:rPr>
        <w:t>Table 3 presents a portion of the analysis for public schools by school type, grade level, urbanicity, and poverty status. Presented are the anticipated number of responding schools or principals for the NTPS design and the expected precision based on analyses using the NTPS 2015-16 final response rates and CV of 25%</w:t>
      </w:r>
      <w:r w:rsidR="00231D7C">
        <w:rPr>
          <w:rFonts w:ascii="Times New Roman" w:hAnsi="Times New Roman"/>
          <w:szCs w:val="24"/>
        </w:rPr>
        <w:t>.</w:t>
      </w:r>
      <w:bookmarkStart w:id="40" w:name="_Toc403465048"/>
      <w:r>
        <w:rPr>
          <w:rFonts w:ascii="Times New Roman" w:hAnsi="Times New Roman"/>
          <w:szCs w:val="24"/>
        </w:rPr>
        <w:t xml:space="preserve"> </w:t>
      </w:r>
      <w:r w:rsidRPr="00BE5E42">
        <w:rPr>
          <w:rFonts w:ascii="Times New Roman" w:hAnsi="Times New Roman"/>
          <w:szCs w:val="24"/>
        </w:rPr>
        <w:t>The analys</w:t>
      </w:r>
      <w:r>
        <w:rPr>
          <w:rFonts w:ascii="Times New Roman" w:hAnsi="Times New Roman"/>
          <w:szCs w:val="24"/>
        </w:rPr>
        <w:t>i</w:t>
      </w:r>
      <w:r w:rsidRPr="00BE5E42">
        <w:rPr>
          <w:rFonts w:ascii="Times New Roman" w:hAnsi="Times New Roman"/>
          <w:szCs w:val="24"/>
        </w:rPr>
        <w:t xml:space="preserve">s using the NTPS 2017-18 final response rates </w:t>
      </w:r>
      <w:r>
        <w:rPr>
          <w:rFonts w:ascii="Times New Roman" w:hAnsi="Times New Roman"/>
          <w:szCs w:val="24"/>
        </w:rPr>
        <w:t>with</w:t>
      </w:r>
      <w:r w:rsidRPr="00BE5E42">
        <w:rPr>
          <w:rFonts w:ascii="Times New Roman" w:hAnsi="Times New Roman"/>
          <w:szCs w:val="24"/>
        </w:rPr>
        <w:t xml:space="preserve"> CV of 25% will be completed in June 2019, at which time NCES will submit a change request with the final analys</w:t>
      </w:r>
      <w:r>
        <w:rPr>
          <w:rFonts w:ascii="Times New Roman" w:hAnsi="Times New Roman"/>
          <w:szCs w:val="24"/>
        </w:rPr>
        <w:t>i</w:t>
      </w:r>
      <w:r w:rsidRPr="00BE5E42">
        <w:rPr>
          <w:rFonts w:ascii="Times New Roman" w:hAnsi="Times New Roman"/>
          <w:szCs w:val="24"/>
        </w:rPr>
        <w:t xml:space="preserve">s results </w:t>
      </w:r>
      <w:r>
        <w:rPr>
          <w:rFonts w:ascii="Times New Roman" w:hAnsi="Times New Roman"/>
          <w:szCs w:val="24"/>
        </w:rPr>
        <w:t>in a</w:t>
      </w:r>
      <w:r w:rsidRPr="00BE5E42">
        <w:rPr>
          <w:rFonts w:ascii="Times New Roman" w:hAnsi="Times New Roman"/>
          <w:szCs w:val="24"/>
        </w:rPr>
        <w:t xml:space="preserve"> revised Table 3.</w:t>
      </w:r>
    </w:p>
    <w:p w14:paraId="77AE742D" w14:textId="581FDC9E" w:rsidR="00BA615D" w:rsidRPr="00C06D30" w:rsidRDefault="00BA615D"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3. </w:t>
      </w:r>
      <w:bookmarkEnd w:id="40"/>
      <w:r w:rsidR="006D240F" w:rsidRPr="006D240F">
        <w:rPr>
          <w:rFonts w:ascii="Times New Roman" w:eastAsia="Calibri" w:hAnsi="Times New Roman"/>
          <w:b/>
          <w:bCs/>
          <w:sz w:val="22"/>
          <w:szCs w:val="22"/>
        </w:rPr>
        <w:t>NTPS 2017-18 school-domain expected interviews, standard errors, and design effects with state oversampling to achieve 25% CV or less</w:t>
      </w:r>
    </w:p>
    <w:tbl>
      <w:tblPr>
        <w:tblW w:w="0" w:type="auto"/>
        <w:tblLayout w:type="fixed"/>
        <w:tblLook w:val="04A0" w:firstRow="1" w:lastRow="0" w:firstColumn="1" w:lastColumn="0" w:noHBand="0" w:noVBand="1"/>
      </w:tblPr>
      <w:tblGrid>
        <w:gridCol w:w="3168"/>
        <w:gridCol w:w="1710"/>
        <w:gridCol w:w="2430"/>
        <w:gridCol w:w="1800"/>
        <w:gridCol w:w="1764"/>
      </w:tblGrid>
      <w:tr w:rsidR="006D240F" w:rsidRPr="00D321F9" w14:paraId="296229C2" w14:textId="77777777" w:rsidTr="006D240F">
        <w:tc>
          <w:tcPr>
            <w:tcW w:w="3168" w:type="dxa"/>
            <w:tcBorders>
              <w:top w:val="single" w:sz="8" w:space="0" w:color="auto"/>
              <w:left w:val="nil"/>
              <w:bottom w:val="single" w:sz="8" w:space="0" w:color="auto"/>
              <w:right w:val="single" w:sz="8" w:space="0" w:color="auto"/>
            </w:tcBorders>
            <w:shd w:val="clear" w:color="auto" w:fill="auto"/>
            <w:vAlign w:val="bottom"/>
            <w:hideMark/>
          </w:tcPr>
          <w:p w14:paraId="679C76CB"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788641C7"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14:paraId="51966F0C"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14:paraId="132EEDAA"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1764" w:type="dxa"/>
            <w:tcBorders>
              <w:top w:val="single" w:sz="8" w:space="0" w:color="auto"/>
              <w:left w:val="nil"/>
              <w:bottom w:val="single" w:sz="8" w:space="0" w:color="auto"/>
              <w:right w:val="nil"/>
            </w:tcBorders>
            <w:shd w:val="clear" w:color="auto" w:fill="auto"/>
            <w:vAlign w:val="bottom"/>
            <w:hideMark/>
          </w:tcPr>
          <w:p w14:paraId="0A603F1E" w14:textId="77777777" w:rsidR="006D240F" w:rsidRPr="00D321F9" w:rsidRDefault="006D240F" w:rsidP="006D240F">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6D240F" w:rsidRPr="00D321F9" w14:paraId="48B148A2"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35E8B25F"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All</w:t>
            </w:r>
          </w:p>
        </w:tc>
        <w:tc>
          <w:tcPr>
            <w:tcW w:w="1710" w:type="dxa"/>
            <w:tcBorders>
              <w:top w:val="nil"/>
              <w:left w:val="nil"/>
              <w:bottom w:val="single" w:sz="8" w:space="0" w:color="auto"/>
              <w:right w:val="single" w:sz="8" w:space="0" w:color="auto"/>
            </w:tcBorders>
            <w:shd w:val="clear" w:color="auto" w:fill="auto"/>
            <w:noWrap/>
            <w:vAlign w:val="bottom"/>
            <w:hideMark/>
          </w:tcPr>
          <w:p w14:paraId="3B0FB783"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94,128</w:t>
            </w:r>
          </w:p>
        </w:tc>
        <w:tc>
          <w:tcPr>
            <w:tcW w:w="2430" w:type="dxa"/>
            <w:tcBorders>
              <w:top w:val="nil"/>
              <w:left w:val="nil"/>
              <w:bottom w:val="nil"/>
              <w:right w:val="single" w:sz="8" w:space="0" w:color="auto"/>
            </w:tcBorders>
            <w:shd w:val="clear" w:color="auto" w:fill="auto"/>
            <w:noWrap/>
            <w:vAlign w:val="bottom"/>
            <w:hideMark/>
          </w:tcPr>
          <w:p w14:paraId="64FFDDA0"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6,700</w:t>
            </w:r>
          </w:p>
        </w:tc>
        <w:tc>
          <w:tcPr>
            <w:tcW w:w="1800" w:type="dxa"/>
            <w:tcBorders>
              <w:top w:val="nil"/>
              <w:left w:val="nil"/>
              <w:bottom w:val="nil"/>
              <w:right w:val="single" w:sz="8" w:space="0" w:color="auto"/>
            </w:tcBorders>
            <w:shd w:val="clear" w:color="auto" w:fill="auto"/>
            <w:noWrap/>
            <w:vAlign w:val="bottom"/>
            <w:hideMark/>
          </w:tcPr>
          <w:p w14:paraId="46E63671"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0.63%</w:t>
            </w:r>
          </w:p>
        </w:tc>
        <w:tc>
          <w:tcPr>
            <w:tcW w:w="1764" w:type="dxa"/>
            <w:tcBorders>
              <w:top w:val="nil"/>
              <w:left w:val="nil"/>
              <w:bottom w:val="nil"/>
              <w:right w:val="nil"/>
            </w:tcBorders>
            <w:shd w:val="clear" w:color="auto" w:fill="auto"/>
            <w:noWrap/>
            <w:hideMark/>
          </w:tcPr>
          <w:p w14:paraId="08C3556F" w14:textId="77777777" w:rsidR="006D240F" w:rsidRPr="00DD78A7" w:rsidRDefault="006D240F" w:rsidP="006D240F">
            <w:pPr>
              <w:jc w:val="center"/>
            </w:pPr>
            <w:r w:rsidRPr="00DD78A7">
              <w:t>1.680</w:t>
            </w:r>
          </w:p>
        </w:tc>
      </w:tr>
      <w:tr w:rsidR="006D240F" w:rsidRPr="00D321F9" w14:paraId="03739708" w14:textId="77777777" w:rsidTr="006D240F">
        <w:tc>
          <w:tcPr>
            <w:tcW w:w="3168" w:type="dxa"/>
            <w:tcBorders>
              <w:top w:val="nil"/>
              <w:left w:val="nil"/>
              <w:bottom w:val="nil"/>
              <w:right w:val="single" w:sz="8" w:space="0" w:color="auto"/>
            </w:tcBorders>
            <w:shd w:val="clear" w:color="auto" w:fill="auto"/>
            <w:noWrap/>
            <w:vAlign w:val="center"/>
            <w:hideMark/>
          </w:tcPr>
          <w:p w14:paraId="543C495D"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Charter</w:t>
            </w:r>
          </w:p>
        </w:tc>
        <w:tc>
          <w:tcPr>
            <w:tcW w:w="1710" w:type="dxa"/>
            <w:tcBorders>
              <w:top w:val="nil"/>
              <w:left w:val="nil"/>
              <w:bottom w:val="nil"/>
              <w:right w:val="single" w:sz="8" w:space="0" w:color="auto"/>
            </w:tcBorders>
            <w:shd w:val="clear" w:color="auto" w:fill="auto"/>
            <w:noWrap/>
            <w:vAlign w:val="bottom"/>
            <w:hideMark/>
          </w:tcPr>
          <w:p w14:paraId="27D75ECF"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6,530</w:t>
            </w:r>
          </w:p>
        </w:tc>
        <w:tc>
          <w:tcPr>
            <w:tcW w:w="2430" w:type="dxa"/>
            <w:tcBorders>
              <w:top w:val="single" w:sz="8" w:space="0" w:color="auto"/>
              <w:left w:val="nil"/>
              <w:bottom w:val="nil"/>
              <w:right w:val="single" w:sz="8" w:space="0" w:color="auto"/>
            </w:tcBorders>
            <w:shd w:val="clear" w:color="auto" w:fill="auto"/>
            <w:noWrap/>
            <w:vAlign w:val="bottom"/>
            <w:hideMark/>
          </w:tcPr>
          <w:p w14:paraId="0C5D05DE"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774</w:t>
            </w:r>
          </w:p>
        </w:tc>
        <w:tc>
          <w:tcPr>
            <w:tcW w:w="1800" w:type="dxa"/>
            <w:tcBorders>
              <w:top w:val="single" w:sz="8" w:space="0" w:color="auto"/>
              <w:left w:val="nil"/>
              <w:bottom w:val="nil"/>
              <w:right w:val="single" w:sz="8" w:space="0" w:color="auto"/>
            </w:tcBorders>
            <w:shd w:val="clear" w:color="auto" w:fill="auto"/>
            <w:noWrap/>
            <w:vAlign w:val="bottom"/>
            <w:hideMark/>
          </w:tcPr>
          <w:p w14:paraId="67B6C0E1"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1.69%</w:t>
            </w:r>
          </w:p>
        </w:tc>
        <w:tc>
          <w:tcPr>
            <w:tcW w:w="1764" w:type="dxa"/>
            <w:tcBorders>
              <w:top w:val="single" w:sz="8" w:space="0" w:color="auto"/>
              <w:left w:val="nil"/>
              <w:bottom w:val="nil"/>
              <w:right w:val="nil"/>
            </w:tcBorders>
            <w:shd w:val="clear" w:color="auto" w:fill="auto"/>
            <w:noWrap/>
            <w:hideMark/>
          </w:tcPr>
          <w:p w14:paraId="69127085" w14:textId="77777777" w:rsidR="006D240F" w:rsidRPr="00DD78A7" w:rsidRDefault="006D240F" w:rsidP="006D240F">
            <w:pPr>
              <w:jc w:val="center"/>
            </w:pPr>
            <w:r w:rsidRPr="00DD78A7">
              <w:t>1.375</w:t>
            </w:r>
          </w:p>
        </w:tc>
      </w:tr>
      <w:tr w:rsidR="006D240F" w:rsidRPr="00D321F9" w14:paraId="35E783CA" w14:textId="77777777" w:rsidTr="006D240F">
        <w:tc>
          <w:tcPr>
            <w:tcW w:w="3168" w:type="dxa"/>
            <w:tcBorders>
              <w:top w:val="nil"/>
              <w:left w:val="nil"/>
              <w:bottom w:val="nil"/>
              <w:right w:val="single" w:sz="8" w:space="0" w:color="auto"/>
            </w:tcBorders>
            <w:shd w:val="clear" w:color="auto" w:fill="auto"/>
            <w:noWrap/>
            <w:vAlign w:val="center"/>
            <w:hideMark/>
          </w:tcPr>
          <w:p w14:paraId="0475B2ED"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Non-charter</w:t>
            </w:r>
          </w:p>
        </w:tc>
        <w:tc>
          <w:tcPr>
            <w:tcW w:w="1710" w:type="dxa"/>
            <w:tcBorders>
              <w:top w:val="nil"/>
              <w:left w:val="nil"/>
              <w:bottom w:val="single" w:sz="8" w:space="0" w:color="auto"/>
              <w:right w:val="single" w:sz="8" w:space="0" w:color="auto"/>
            </w:tcBorders>
            <w:shd w:val="clear" w:color="auto" w:fill="auto"/>
            <w:noWrap/>
            <w:vAlign w:val="bottom"/>
            <w:hideMark/>
          </w:tcPr>
          <w:p w14:paraId="325DD73C"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87,598</w:t>
            </w:r>
          </w:p>
        </w:tc>
        <w:tc>
          <w:tcPr>
            <w:tcW w:w="2430" w:type="dxa"/>
            <w:tcBorders>
              <w:top w:val="nil"/>
              <w:left w:val="nil"/>
              <w:bottom w:val="single" w:sz="8" w:space="0" w:color="auto"/>
              <w:right w:val="single" w:sz="8" w:space="0" w:color="auto"/>
            </w:tcBorders>
            <w:shd w:val="clear" w:color="auto" w:fill="auto"/>
            <w:noWrap/>
            <w:vAlign w:val="bottom"/>
            <w:hideMark/>
          </w:tcPr>
          <w:p w14:paraId="5516E7EC"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5,926</w:t>
            </w:r>
          </w:p>
        </w:tc>
        <w:tc>
          <w:tcPr>
            <w:tcW w:w="1800" w:type="dxa"/>
            <w:tcBorders>
              <w:top w:val="nil"/>
              <w:left w:val="nil"/>
              <w:bottom w:val="single" w:sz="8" w:space="0" w:color="auto"/>
              <w:right w:val="single" w:sz="8" w:space="0" w:color="auto"/>
            </w:tcBorders>
            <w:shd w:val="clear" w:color="auto" w:fill="auto"/>
            <w:noWrap/>
            <w:vAlign w:val="bottom"/>
            <w:hideMark/>
          </w:tcPr>
          <w:p w14:paraId="6ACC1B61"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0.67%</w:t>
            </w:r>
          </w:p>
        </w:tc>
        <w:tc>
          <w:tcPr>
            <w:tcW w:w="1764" w:type="dxa"/>
            <w:tcBorders>
              <w:top w:val="nil"/>
              <w:left w:val="nil"/>
              <w:bottom w:val="single" w:sz="8" w:space="0" w:color="auto"/>
              <w:right w:val="nil"/>
            </w:tcBorders>
            <w:shd w:val="clear" w:color="auto" w:fill="auto"/>
            <w:noWrap/>
            <w:hideMark/>
          </w:tcPr>
          <w:p w14:paraId="33433F7E" w14:textId="77777777" w:rsidR="006D240F" w:rsidRPr="00DD78A7" w:rsidRDefault="006D240F" w:rsidP="006D240F">
            <w:pPr>
              <w:jc w:val="center"/>
            </w:pPr>
            <w:r w:rsidRPr="00DD78A7">
              <w:t>1.658</w:t>
            </w:r>
          </w:p>
        </w:tc>
      </w:tr>
      <w:tr w:rsidR="006D240F" w:rsidRPr="00D321F9" w14:paraId="04DD5E49" w14:textId="77777777" w:rsidTr="006D240F">
        <w:tc>
          <w:tcPr>
            <w:tcW w:w="3168" w:type="dxa"/>
            <w:tcBorders>
              <w:top w:val="single" w:sz="8" w:space="0" w:color="auto"/>
              <w:left w:val="nil"/>
              <w:bottom w:val="nil"/>
              <w:right w:val="single" w:sz="8" w:space="0" w:color="auto"/>
            </w:tcBorders>
            <w:shd w:val="clear" w:color="auto" w:fill="auto"/>
            <w:noWrap/>
            <w:vAlign w:val="center"/>
            <w:hideMark/>
          </w:tcPr>
          <w:p w14:paraId="0DB7AD02"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Primary</w:t>
            </w:r>
          </w:p>
        </w:tc>
        <w:tc>
          <w:tcPr>
            <w:tcW w:w="1710" w:type="dxa"/>
            <w:tcBorders>
              <w:top w:val="nil"/>
              <w:left w:val="nil"/>
              <w:bottom w:val="nil"/>
              <w:right w:val="single" w:sz="8" w:space="0" w:color="auto"/>
            </w:tcBorders>
            <w:shd w:val="clear" w:color="auto" w:fill="auto"/>
            <w:noWrap/>
            <w:vAlign w:val="bottom"/>
            <w:hideMark/>
          </w:tcPr>
          <w:p w14:paraId="5A74EA49"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51,600</w:t>
            </w:r>
          </w:p>
        </w:tc>
        <w:tc>
          <w:tcPr>
            <w:tcW w:w="2430" w:type="dxa"/>
            <w:tcBorders>
              <w:top w:val="nil"/>
              <w:left w:val="nil"/>
              <w:bottom w:val="nil"/>
              <w:right w:val="single" w:sz="8" w:space="0" w:color="auto"/>
            </w:tcBorders>
            <w:shd w:val="clear" w:color="auto" w:fill="auto"/>
            <w:noWrap/>
            <w:vAlign w:val="bottom"/>
            <w:hideMark/>
          </w:tcPr>
          <w:p w14:paraId="524CD413"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3,028</w:t>
            </w:r>
          </w:p>
        </w:tc>
        <w:tc>
          <w:tcPr>
            <w:tcW w:w="1800" w:type="dxa"/>
            <w:tcBorders>
              <w:top w:val="nil"/>
              <w:left w:val="nil"/>
              <w:bottom w:val="nil"/>
              <w:right w:val="single" w:sz="8" w:space="0" w:color="auto"/>
            </w:tcBorders>
            <w:shd w:val="clear" w:color="auto" w:fill="auto"/>
            <w:noWrap/>
            <w:vAlign w:val="bottom"/>
            <w:hideMark/>
          </w:tcPr>
          <w:p w14:paraId="6870C9C5"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0.89%</w:t>
            </w:r>
          </w:p>
        </w:tc>
        <w:tc>
          <w:tcPr>
            <w:tcW w:w="1764" w:type="dxa"/>
            <w:tcBorders>
              <w:top w:val="nil"/>
              <w:left w:val="nil"/>
              <w:bottom w:val="nil"/>
              <w:right w:val="nil"/>
            </w:tcBorders>
            <w:shd w:val="clear" w:color="auto" w:fill="auto"/>
            <w:noWrap/>
            <w:hideMark/>
          </w:tcPr>
          <w:p w14:paraId="49F987D9" w14:textId="77777777" w:rsidR="006D240F" w:rsidRPr="00DD78A7" w:rsidRDefault="006D240F" w:rsidP="006D240F">
            <w:pPr>
              <w:jc w:val="center"/>
            </w:pPr>
            <w:r w:rsidRPr="00DD78A7">
              <w:t>1.489</w:t>
            </w:r>
          </w:p>
        </w:tc>
      </w:tr>
      <w:tr w:rsidR="006D240F" w:rsidRPr="00D321F9" w14:paraId="6D580290" w14:textId="77777777" w:rsidTr="006D240F">
        <w:tc>
          <w:tcPr>
            <w:tcW w:w="3168" w:type="dxa"/>
            <w:tcBorders>
              <w:top w:val="nil"/>
              <w:left w:val="nil"/>
              <w:bottom w:val="nil"/>
              <w:right w:val="single" w:sz="8" w:space="0" w:color="auto"/>
            </w:tcBorders>
            <w:shd w:val="clear" w:color="auto" w:fill="auto"/>
            <w:noWrap/>
            <w:vAlign w:val="center"/>
            <w:hideMark/>
          </w:tcPr>
          <w:p w14:paraId="3B76D0D0"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Middle</w:t>
            </w:r>
          </w:p>
        </w:tc>
        <w:tc>
          <w:tcPr>
            <w:tcW w:w="1710" w:type="dxa"/>
            <w:tcBorders>
              <w:top w:val="nil"/>
              <w:left w:val="nil"/>
              <w:bottom w:val="nil"/>
              <w:right w:val="single" w:sz="8" w:space="0" w:color="auto"/>
            </w:tcBorders>
            <w:shd w:val="clear" w:color="auto" w:fill="auto"/>
            <w:noWrap/>
            <w:vAlign w:val="bottom"/>
            <w:hideMark/>
          </w:tcPr>
          <w:p w14:paraId="5835A18A"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14,364</w:t>
            </w:r>
          </w:p>
        </w:tc>
        <w:tc>
          <w:tcPr>
            <w:tcW w:w="2430" w:type="dxa"/>
            <w:tcBorders>
              <w:top w:val="nil"/>
              <w:left w:val="nil"/>
              <w:bottom w:val="nil"/>
              <w:right w:val="single" w:sz="8" w:space="0" w:color="auto"/>
            </w:tcBorders>
            <w:shd w:val="clear" w:color="auto" w:fill="auto"/>
            <w:noWrap/>
            <w:vAlign w:val="bottom"/>
            <w:hideMark/>
          </w:tcPr>
          <w:p w14:paraId="1C830D24"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1,122</w:t>
            </w:r>
          </w:p>
        </w:tc>
        <w:tc>
          <w:tcPr>
            <w:tcW w:w="1800" w:type="dxa"/>
            <w:tcBorders>
              <w:top w:val="nil"/>
              <w:left w:val="nil"/>
              <w:bottom w:val="nil"/>
              <w:right w:val="single" w:sz="8" w:space="0" w:color="auto"/>
            </w:tcBorders>
            <w:shd w:val="clear" w:color="auto" w:fill="auto"/>
            <w:noWrap/>
            <w:vAlign w:val="bottom"/>
            <w:hideMark/>
          </w:tcPr>
          <w:p w14:paraId="6A9BE808"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1.43%</w:t>
            </w:r>
          </w:p>
        </w:tc>
        <w:tc>
          <w:tcPr>
            <w:tcW w:w="1764" w:type="dxa"/>
            <w:tcBorders>
              <w:top w:val="nil"/>
              <w:left w:val="nil"/>
              <w:bottom w:val="nil"/>
              <w:right w:val="nil"/>
            </w:tcBorders>
            <w:shd w:val="clear" w:color="auto" w:fill="auto"/>
            <w:noWrap/>
            <w:hideMark/>
          </w:tcPr>
          <w:p w14:paraId="7A215F75" w14:textId="77777777" w:rsidR="006D240F" w:rsidRPr="00DD78A7" w:rsidRDefault="006D240F" w:rsidP="006D240F">
            <w:pPr>
              <w:jc w:val="center"/>
            </w:pPr>
            <w:r w:rsidRPr="00DD78A7">
              <w:t>1.431</w:t>
            </w:r>
          </w:p>
        </w:tc>
      </w:tr>
      <w:tr w:rsidR="006D240F" w:rsidRPr="00D321F9" w14:paraId="5B1BC45A" w14:textId="77777777" w:rsidTr="006D240F">
        <w:tc>
          <w:tcPr>
            <w:tcW w:w="3168" w:type="dxa"/>
            <w:tcBorders>
              <w:top w:val="nil"/>
              <w:left w:val="nil"/>
              <w:bottom w:val="nil"/>
              <w:right w:val="single" w:sz="8" w:space="0" w:color="auto"/>
            </w:tcBorders>
            <w:shd w:val="clear" w:color="auto" w:fill="auto"/>
            <w:noWrap/>
            <w:vAlign w:val="center"/>
            <w:hideMark/>
          </w:tcPr>
          <w:p w14:paraId="64674047"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High</w:t>
            </w:r>
          </w:p>
        </w:tc>
        <w:tc>
          <w:tcPr>
            <w:tcW w:w="1710" w:type="dxa"/>
            <w:tcBorders>
              <w:top w:val="nil"/>
              <w:left w:val="nil"/>
              <w:bottom w:val="nil"/>
              <w:right w:val="single" w:sz="8" w:space="0" w:color="auto"/>
            </w:tcBorders>
            <w:shd w:val="clear" w:color="auto" w:fill="auto"/>
            <w:noWrap/>
            <w:vAlign w:val="bottom"/>
            <w:hideMark/>
          </w:tcPr>
          <w:p w14:paraId="6819C845"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20,803</w:t>
            </w:r>
          </w:p>
        </w:tc>
        <w:tc>
          <w:tcPr>
            <w:tcW w:w="2430" w:type="dxa"/>
            <w:tcBorders>
              <w:top w:val="nil"/>
              <w:left w:val="nil"/>
              <w:bottom w:val="nil"/>
              <w:right w:val="single" w:sz="8" w:space="0" w:color="auto"/>
            </w:tcBorders>
            <w:shd w:val="clear" w:color="auto" w:fill="auto"/>
            <w:noWrap/>
            <w:vAlign w:val="bottom"/>
            <w:hideMark/>
          </w:tcPr>
          <w:p w14:paraId="4024EF29"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1,739</w:t>
            </w:r>
          </w:p>
        </w:tc>
        <w:tc>
          <w:tcPr>
            <w:tcW w:w="1800" w:type="dxa"/>
            <w:tcBorders>
              <w:top w:val="nil"/>
              <w:left w:val="nil"/>
              <w:bottom w:val="nil"/>
              <w:right w:val="single" w:sz="8" w:space="0" w:color="auto"/>
            </w:tcBorders>
            <w:shd w:val="clear" w:color="auto" w:fill="auto"/>
            <w:noWrap/>
            <w:vAlign w:val="bottom"/>
            <w:hideMark/>
          </w:tcPr>
          <w:p w14:paraId="63F7C78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1.40%</w:t>
            </w:r>
          </w:p>
        </w:tc>
        <w:tc>
          <w:tcPr>
            <w:tcW w:w="1764" w:type="dxa"/>
            <w:tcBorders>
              <w:top w:val="nil"/>
              <w:left w:val="nil"/>
              <w:bottom w:val="nil"/>
              <w:right w:val="nil"/>
            </w:tcBorders>
            <w:shd w:val="clear" w:color="auto" w:fill="auto"/>
            <w:noWrap/>
            <w:hideMark/>
          </w:tcPr>
          <w:p w14:paraId="33AEFC8F" w14:textId="77777777" w:rsidR="006D240F" w:rsidRPr="00DD78A7" w:rsidRDefault="006D240F" w:rsidP="006D240F">
            <w:pPr>
              <w:jc w:val="center"/>
            </w:pPr>
            <w:r w:rsidRPr="00DD78A7">
              <w:t>2.125</w:t>
            </w:r>
          </w:p>
        </w:tc>
      </w:tr>
      <w:tr w:rsidR="006D240F" w:rsidRPr="00D321F9" w14:paraId="22DE3728"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534898B2"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Combined</w:t>
            </w:r>
          </w:p>
        </w:tc>
        <w:tc>
          <w:tcPr>
            <w:tcW w:w="1710" w:type="dxa"/>
            <w:tcBorders>
              <w:top w:val="nil"/>
              <w:left w:val="nil"/>
              <w:bottom w:val="nil"/>
              <w:right w:val="single" w:sz="8" w:space="0" w:color="auto"/>
            </w:tcBorders>
            <w:shd w:val="clear" w:color="auto" w:fill="auto"/>
            <w:noWrap/>
            <w:vAlign w:val="bottom"/>
            <w:hideMark/>
          </w:tcPr>
          <w:p w14:paraId="2316C300"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7,361</w:t>
            </w:r>
          </w:p>
        </w:tc>
        <w:tc>
          <w:tcPr>
            <w:tcW w:w="2430" w:type="dxa"/>
            <w:tcBorders>
              <w:top w:val="nil"/>
              <w:left w:val="nil"/>
              <w:bottom w:val="nil"/>
              <w:right w:val="single" w:sz="8" w:space="0" w:color="auto"/>
            </w:tcBorders>
            <w:shd w:val="clear" w:color="auto" w:fill="auto"/>
            <w:noWrap/>
            <w:vAlign w:val="bottom"/>
            <w:hideMark/>
          </w:tcPr>
          <w:p w14:paraId="3B43A4C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810</w:t>
            </w:r>
          </w:p>
        </w:tc>
        <w:tc>
          <w:tcPr>
            <w:tcW w:w="1800" w:type="dxa"/>
            <w:tcBorders>
              <w:top w:val="nil"/>
              <w:left w:val="nil"/>
              <w:bottom w:val="nil"/>
              <w:right w:val="single" w:sz="8" w:space="0" w:color="auto"/>
            </w:tcBorders>
            <w:shd w:val="clear" w:color="auto" w:fill="auto"/>
            <w:noWrap/>
            <w:vAlign w:val="bottom"/>
            <w:hideMark/>
          </w:tcPr>
          <w:p w14:paraId="2D152E9A"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1.89%</w:t>
            </w:r>
          </w:p>
        </w:tc>
        <w:tc>
          <w:tcPr>
            <w:tcW w:w="1764" w:type="dxa"/>
            <w:tcBorders>
              <w:top w:val="nil"/>
              <w:left w:val="nil"/>
              <w:bottom w:val="nil"/>
              <w:right w:val="nil"/>
            </w:tcBorders>
            <w:shd w:val="clear" w:color="auto" w:fill="auto"/>
            <w:noWrap/>
            <w:hideMark/>
          </w:tcPr>
          <w:p w14:paraId="20A9884A" w14:textId="77777777" w:rsidR="006D240F" w:rsidRPr="00DD78A7" w:rsidRDefault="006D240F" w:rsidP="006D240F">
            <w:pPr>
              <w:jc w:val="center"/>
            </w:pPr>
            <w:r w:rsidRPr="00DD78A7">
              <w:t>1.814</w:t>
            </w:r>
          </w:p>
        </w:tc>
      </w:tr>
      <w:tr w:rsidR="006D240F" w:rsidRPr="00D321F9" w14:paraId="5B6CBD1D" w14:textId="77777777" w:rsidTr="006D240F">
        <w:tc>
          <w:tcPr>
            <w:tcW w:w="3168" w:type="dxa"/>
            <w:tcBorders>
              <w:top w:val="nil"/>
              <w:left w:val="nil"/>
              <w:bottom w:val="nil"/>
              <w:right w:val="single" w:sz="8" w:space="0" w:color="auto"/>
            </w:tcBorders>
            <w:shd w:val="clear" w:color="auto" w:fill="auto"/>
            <w:noWrap/>
            <w:vAlign w:val="center"/>
            <w:hideMark/>
          </w:tcPr>
          <w:p w14:paraId="41F6BCD1"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City</w:t>
            </w:r>
          </w:p>
        </w:tc>
        <w:tc>
          <w:tcPr>
            <w:tcW w:w="1710" w:type="dxa"/>
            <w:tcBorders>
              <w:top w:val="single" w:sz="8" w:space="0" w:color="auto"/>
              <w:left w:val="nil"/>
              <w:bottom w:val="nil"/>
              <w:right w:val="single" w:sz="8" w:space="0" w:color="auto"/>
            </w:tcBorders>
            <w:shd w:val="clear" w:color="auto" w:fill="auto"/>
            <w:noWrap/>
            <w:vAlign w:val="bottom"/>
            <w:hideMark/>
          </w:tcPr>
          <w:p w14:paraId="31B67C1D"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26,141</w:t>
            </w:r>
          </w:p>
        </w:tc>
        <w:tc>
          <w:tcPr>
            <w:tcW w:w="2430" w:type="dxa"/>
            <w:tcBorders>
              <w:top w:val="single" w:sz="8" w:space="0" w:color="auto"/>
              <w:left w:val="nil"/>
              <w:bottom w:val="nil"/>
              <w:right w:val="single" w:sz="8" w:space="0" w:color="auto"/>
            </w:tcBorders>
            <w:shd w:val="clear" w:color="auto" w:fill="auto"/>
            <w:noWrap/>
            <w:vAlign w:val="bottom"/>
            <w:hideMark/>
          </w:tcPr>
          <w:p w14:paraId="40C42460"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1,941</w:t>
            </w:r>
          </w:p>
        </w:tc>
        <w:tc>
          <w:tcPr>
            <w:tcW w:w="1800" w:type="dxa"/>
            <w:tcBorders>
              <w:top w:val="single" w:sz="8" w:space="0" w:color="auto"/>
              <w:left w:val="nil"/>
              <w:bottom w:val="nil"/>
              <w:right w:val="single" w:sz="8" w:space="0" w:color="auto"/>
            </w:tcBorders>
            <w:shd w:val="clear" w:color="auto" w:fill="auto"/>
            <w:noWrap/>
            <w:vAlign w:val="bottom"/>
            <w:hideMark/>
          </w:tcPr>
          <w:p w14:paraId="3FB4476C"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single" w:sz="8" w:space="0" w:color="auto"/>
              <w:left w:val="nil"/>
              <w:bottom w:val="nil"/>
              <w:right w:val="nil"/>
            </w:tcBorders>
            <w:shd w:val="clear" w:color="auto" w:fill="auto"/>
            <w:noWrap/>
            <w:hideMark/>
          </w:tcPr>
          <w:p w14:paraId="0224DE31" w14:textId="77777777" w:rsidR="006D240F" w:rsidRPr="00DD78A7" w:rsidRDefault="006D240F" w:rsidP="006D240F">
            <w:pPr>
              <w:jc w:val="center"/>
            </w:pPr>
            <w:r w:rsidRPr="00DD78A7">
              <w:t>1.673</w:t>
            </w:r>
          </w:p>
        </w:tc>
      </w:tr>
      <w:tr w:rsidR="006D240F" w:rsidRPr="00D321F9" w14:paraId="010DE6DF" w14:textId="77777777" w:rsidTr="006D240F">
        <w:tc>
          <w:tcPr>
            <w:tcW w:w="3168" w:type="dxa"/>
            <w:tcBorders>
              <w:top w:val="nil"/>
              <w:left w:val="nil"/>
              <w:bottom w:val="nil"/>
              <w:right w:val="single" w:sz="8" w:space="0" w:color="auto"/>
            </w:tcBorders>
            <w:shd w:val="clear" w:color="auto" w:fill="auto"/>
            <w:noWrap/>
            <w:vAlign w:val="center"/>
            <w:hideMark/>
          </w:tcPr>
          <w:p w14:paraId="759FEE08"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Suburban</w:t>
            </w:r>
          </w:p>
        </w:tc>
        <w:tc>
          <w:tcPr>
            <w:tcW w:w="1710" w:type="dxa"/>
            <w:tcBorders>
              <w:top w:val="nil"/>
              <w:left w:val="nil"/>
              <w:bottom w:val="nil"/>
              <w:right w:val="single" w:sz="8" w:space="0" w:color="auto"/>
            </w:tcBorders>
            <w:shd w:val="clear" w:color="auto" w:fill="auto"/>
            <w:noWrap/>
            <w:vAlign w:val="bottom"/>
            <w:hideMark/>
          </w:tcPr>
          <w:p w14:paraId="137B9A5A"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30,190</w:t>
            </w:r>
          </w:p>
        </w:tc>
        <w:tc>
          <w:tcPr>
            <w:tcW w:w="2430" w:type="dxa"/>
            <w:tcBorders>
              <w:top w:val="nil"/>
              <w:left w:val="nil"/>
              <w:bottom w:val="nil"/>
              <w:right w:val="single" w:sz="8" w:space="0" w:color="auto"/>
            </w:tcBorders>
            <w:shd w:val="clear" w:color="auto" w:fill="auto"/>
            <w:noWrap/>
            <w:vAlign w:val="bottom"/>
            <w:hideMark/>
          </w:tcPr>
          <w:p w14:paraId="07DD2253"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1,972</w:t>
            </w:r>
          </w:p>
        </w:tc>
        <w:tc>
          <w:tcPr>
            <w:tcW w:w="1800" w:type="dxa"/>
            <w:tcBorders>
              <w:top w:val="nil"/>
              <w:left w:val="nil"/>
              <w:bottom w:val="nil"/>
              <w:right w:val="single" w:sz="8" w:space="0" w:color="auto"/>
            </w:tcBorders>
            <w:shd w:val="clear" w:color="auto" w:fill="auto"/>
            <w:noWrap/>
            <w:vAlign w:val="bottom"/>
            <w:hideMark/>
          </w:tcPr>
          <w:p w14:paraId="497A8366"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1.13%</w:t>
            </w:r>
          </w:p>
        </w:tc>
        <w:tc>
          <w:tcPr>
            <w:tcW w:w="1764" w:type="dxa"/>
            <w:tcBorders>
              <w:top w:val="nil"/>
              <w:left w:val="nil"/>
              <w:bottom w:val="nil"/>
              <w:right w:val="nil"/>
            </w:tcBorders>
            <w:shd w:val="clear" w:color="auto" w:fill="auto"/>
            <w:noWrap/>
            <w:hideMark/>
          </w:tcPr>
          <w:p w14:paraId="7C0FB133" w14:textId="77777777" w:rsidR="006D240F" w:rsidRPr="00DD78A7" w:rsidRDefault="006D240F" w:rsidP="006D240F">
            <w:pPr>
              <w:jc w:val="center"/>
            </w:pPr>
            <w:r w:rsidRPr="00DD78A7">
              <w:t>1.581</w:t>
            </w:r>
          </w:p>
        </w:tc>
      </w:tr>
      <w:tr w:rsidR="006D240F" w:rsidRPr="00D321F9" w14:paraId="39F91063" w14:textId="77777777" w:rsidTr="006D240F">
        <w:tc>
          <w:tcPr>
            <w:tcW w:w="3168" w:type="dxa"/>
            <w:tcBorders>
              <w:top w:val="nil"/>
              <w:left w:val="nil"/>
              <w:bottom w:val="nil"/>
              <w:right w:val="single" w:sz="8" w:space="0" w:color="auto"/>
            </w:tcBorders>
            <w:shd w:val="clear" w:color="auto" w:fill="auto"/>
            <w:noWrap/>
            <w:vAlign w:val="center"/>
            <w:hideMark/>
          </w:tcPr>
          <w:p w14:paraId="0D5E975C"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Town</w:t>
            </w:r>
          </w:p>
        </w:tc>
        <w:tc>
          <w:tcPr>
            <w:tcW w:w="1710" w:type="dxa"/>
            <w:tcBorders>
              <w:top w:val="nil"/>
              <w:left w:val="nil"/>
              <w:bottom w:val="nil"/>
              <w:right w:val="single" w:sz="8" w:space="0" w:color="auto"/>
            </w:tcBorders>
            <w:shd w:val="clear" w:color="auto" w:fill="auto"/>
            <w:noWrap/>
            <w:vAlign w:val="bottom"/>
            <w:hideMark/>
          </w:tcPr>
          <w:p w14:paraId="00E16D8F"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12,835</w:t>
            </w:r>
          </w:p>
        </w:tc>
        <w:tc>
          <w:tcPr>
            <w:tcW w:w="2430" w:type="dxa"/>
            <w:tcBorders>
              <w:top w:val="nil"/>
              <w:left w:val="nil"/>
              <w:bottom w:val="nil"/>
              <w:right w:val="single" w:sz="8" w:space="0" w:color="auto"/>
            </w:tcBorders>
            <w:shd w:val="clear" w:color="auto" w:fill="auto"/>
            <w:noWrap/>
            <w:vAlign w:val="bottom"/>
            <w:hideMark/>
          </w:tcPr>
          <w:p w14:paraId="6334AA5A"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1,047</w:t>
            </w:r>
          </w:p>
        </w:tc>
        <w:tc>
          <w:tcPr>
            <w:tcW w:w="1800" w:type="dxa"/>
            <w:tcBorders>
              <w:top w:val="nil"/>
              <w:left w:val="nil"/>
              <w:bottom w:val="nil"/>
              <w:right w:val="single" w:sz="8" w:space="0" w:color="auto"/>
            </w:tcBorders>
            <w:shd w:val="clear" w:color="auto" w:fill="auto"/>
            <w:noWrap/>
            <w:vAlign w:val="bottom"/>
            <w:hideMark/>
          </w:tcPr>
          <w:p w14:paraId="76782502"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1.61%</w:t>
            </w:r>
          </w:p>
        </w:tc>
        <w:tc>
          <w:tcPr>
            <w:tcW w:w="1764" w:type="dxa"/>
            <w:tcBorders>
              <w:top w:val="nil"/>
              <w:left w:val="nil"/>
              <w:bottom w:val="nil"/>
              <w:right w:val="nil"/>
            </w:tcBorders>
            <w:shd w:val="clear" w:color="auto" w:fill="auto"/>
            <w:noWrap/>
            <w:hideMark/>
          </w:tcPr>
          <w:p w14:paraId="7A30B768" w14:textId="77777777" w:rsidR="006D240F" w:rsidRPr="00DD78A7" w:rsidRDefault="006D240F" w:rsidP="006D240F">
            <w:pPr>
              <w:jc w:val="center"/>
            </w:pPr>
            <w:r w:rsidRPr="00DD78A7">
              <w:t>1.696</w:t>
            </w:r>
          </w:p>
        </w:tc>
      </w:tr>
      <w:tr w:rsidR="006D240F" w:rsidRPr="00D321F9" w14:paraId="459EB287"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22F66655"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Rural</w:t>
            </w:r>
          </w:p>
        </w:tc>
        <w:tc>
          <w:tcPr>
            <w:tcW w:w="1710" w:type="dxa"/>
            <w:tcBorders>
              <w:top w:val="nil"/>
              <w:left w:val="nil"/>
              <w:bottom w:val="single" w:sz="8" w:space="0" w:color="auto"/>
              <w:right w:val="single" w:sz="8" w:space="0" w:color="auto"/>
            </w:tcBorders>
            <w:shd w:val="clear" w:color="auto" w:fill="auto"/>
            <w:noWrap/>
            <w:vAlign w:val="bottom"/>
            <w:hideMark/>
          </w:tcPr>
          <w:p w14:paraId="61C07F7A"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24,962</w:t>
            </w:r>
          </w:p>
        </w:tc>
        <w:tc>
          <w:tcPr>
            <w:tcW w:w="2430" w:type="dxa"/>
            <w:tcBorders>
              <w:top w:val="nil"/>
              <w:left w:val="nil"/>
              <w:bottom w:val="single" w:sz="8" w:space="0" w:color="auto"/>
              <w:right w:val="single" w:sz="8" w:space="0" w:color="auto"/>
            </w:tcBorders>
            <w:shd w:val="clear" w:color="auto" w:fill="auto"/>
            <w:noWrap/>
            <w:vAlign w:val="bottom"/>
            <w:hideMark/>
          </w:tcPr>
          <w:p w14:paraId="30E758CB"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1,740</w:t>
            </w:r>
          </w:p>
        </w:tc>
        <w:tc>
          <w:tcPr>
            <w:tcW w:w="1800" w:type="dxa"/>
            <w:tcBorders>
              <w:top w:val="nil"/>
              <w:left w:val="nil"/>
              <w:bottom w:val="single" w:sz="8" w:space="0" w:color="auto"/>
              <w:right w:val="single" w:sz="8" w:space="0" w:color="auto"/>
            </w:tcBorders>
            <w:shd w:val="clear" w:color="auto" w:fill="auto"/>
            <w:noWrap/>
            <w:vAlign w:val="bottom"/>
            <w:hideMark/>
          </w:tcPr>
          <w:p w14:paraId="364625AF"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1.28%</w:t>
            </w:r>
          </w:p>
        </w:tc>
        <w:tc>
          <w:tcPr>
            <w:tcW w:w="1764" w:type="dxa"/>
            <w:tcBorders>
              <w:top w:val="nil"/>
              <w:left w:val="nil"/>
              <w:bottom w:val="single" w:sz="8" w:space="0" w:color="auto"/>
              <w:right w:val="nil"/>
            </w:tcBorders>
            <w:shd w:val="clear" w:color="auto" w:fill="auto"/>
            <w:noWrap/>
            <w:hideMark/>
          </w:tcPr>
          <w:p w14:paraId="3C207E6B" w14:textId="77777777" w:rsidR="006D240F" w:rsidRPr="00DD78A7" w:rsidRDefault="006D240F" w:rsidP="006D240F">
            <w:pPr>
              <w:jc w:val="center"/>
            </w:pPr>
            <w:r w:rsidRPr="00DD78A7">
              <w:t>1.775</w:t>
            </w:r>
          </w:p>
        </w:tc>
      </w:tr>
      <w:tr w:rsidR="006D240F" w:rsidRPr="00D321F9" w14:paraId="79DB0003" w14:textId="77777777" w:rsidTr="006D240F">
        <w:tc>
          <w:tcPr>
            <w:tcW w:w="3168" w:type="dxa"/>
            <w:tcBorders>
              <w:top w:val="nil"/>
              <w:left w:val="nil"/>
              <w:bottom w:val="nil"/>
              <w:right w:val="single" w:sz="8" w:space="0" w:color="auto"/>
            </w:tcBorders>
            <w:shd w:val="clear" w:color="auto" w:fill="auto"/>
            <w:noWrap/>
            <w:vAlign w:val="center"/>
            <w:hideMark/>
          </w:tcPr>
          <w:p w14:paraId="7433AED8"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1710" w:type="dxa"/>
            <w:tcBorders>
              <w:top w:val="nil"/>
              <w:left w:val="nil"/>
              <w:bottom w:val="nil"/>
              <w:right w:val="single" w:sz="8" w:space="0" w:color="auto"/>
            </w:tcBorders>
            <w:shd w:val="clear" w:color="auto" w:fill="auto"/>
            <w:noWrap/>
            <w:vAlign w:val="bottom"/>
            <w:hideMark/>
          </w:tcPr>
          <w:p w14:paraId="7DC79172"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8,208</w:t>
            </w:r>
          </w:p>
        </w:tc>
        <w:tc>
          <w:tcPr>
            <w:tcW w:w="2430" w:type="dxa"/>
            <w:tcBorders>
              <w:top w:val="nil"/>
              <w:left w:val="nil"/>
              <w:bottom w:val="nil"/>
              <w:right w:val="single" w:sz="8" w:space="0" w:color="auto"/>
            </w:tcBorders>
            <w:shd w:val="clear" w:color="auto" w:fill="auto"/>
            <w:noWrap/>
            <w:vAlign w:val="bottom"/>
            <w:hideMark/>
          </w:tcPr>
          <w:p w14:paraId="6C23C1B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332</w:t>
            </w:r>
          </w:p>
        </w:tc>
        <w:tc>
          <w:tcPr>
            <w:tcW w:w="1800" w:type="dxa"/>
            <w:tcBorders>
              <w:top w:val="nil"/>
              <w:left w:val="nil"/>
              <w:bottom w:val="nil"/>
              <w:right w:val="single" w:sz="8" w:space="0" w:color="auto"/>
            </w:tcBorders>
            <w:shd w:val="clear" w:color="auto" w:fill="auto"/>
            <w:noWrap/>
            <w:vAlign w:val="bottom"/>
            <w:hideMark/>
          </w:tcPr>
          <w:p w14:paraId="32CB7AB3"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3.44%</w:t>
            </w:r>
          </w:p>
        </w:tc>
        <w:tc>
          <w:tcPr>
            <w:tcW w:w="1764" w:type="dxa"/>
            <w:tcBorders>
              <w:top w:val="nil"/>
              <w:left w:val="nil"/>
              <w:bottom w:val="nil"/>
              <w:right w:val="nil"/>
            </w:tcBorders>
            <w:shd w:val="clear" w:color="auto" w:fill="auto"/>
            <w:noWrap/>
            <w:hideMark/>
          </w:tcPr>
          <w:p w14:paraId="432EEA30" w14:textId="77777777" w:rsidR="006D240F" w:rsidRPr="00DD78A7" w:rsidRDefault="006D240F" w:rsidP="006D240F">
            <w:pPr>
              <w:jc w:val="center"/>
            </w:pPr>
            <w:r w:rsidRPr="00DD78A7">
              <w:t>2.464</w:t>
            </w:r>
          </w:p>
        </w:tc>
      </w:tr>
      <w:tr w:rsidR="006D240F" w:rsidRPr="00D321F9" w14:paraId="742C0035" w14:textId="77777777" w:rsidTr="006D240F">
        <w:tc>
          <w:tcPr>
            <w:tcW w:w="3168" w:type="dxa"/>
            <w:tcBorders>
              <w:top w:val="nil"/>
              <w:left w:val="nil"/>
              <w:bottom w:val="nil"/>
              <w:right w:val="single" w:sz="8" w:space="0" w:color="auto"/>
            </w:tcBorders>
            <w:shd w:val="clear" w:color="auto" w:fill="auto"/>
            <w:noWrap/>
            <w:vAlign w:val="center"/>
            <w:hideMark/>
          </w:tcPr>
          <w:p w14:paraId="619C655B"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1710" w:type="dxa"/>
            <w:tcBorders>
              <w:top w:val="nil"/>
              <w:left w:val="nil"/>
              <w:bottom w:val="nil"/>
              <w:right w:val="single" w:sz="8" w:space="0" w:color="auto"/>
            </w:tcBorders>
            <w:shd w:val="clear" w:color="auto" w:fill="auto"/>
            <w:noWrap/>
            <w:vAlign w:val="bottom"/>
            <w:hideMark/>
          </w:tcPr>
          <w:p w14:paraId="47E92E0C"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7,618</w:t>
            </w:r>
          </w:p>
        </w:tc>
        <w:tc>
          <w:tcPr>
            <w:tcW w:w="2430" w:type="dxa"/>
            <w:tcBorders>
              <w:top w:val="nil"/>
              <w:left w:val="nil"/>
              <w:bottom w:val="nil"/>
              <w:right w:val="single" w:sz="8" w:space="0" w:color="auto"/>
            </w:tcBorders>
            <w:shd w:val="clear" w:color="auto" w:fill="auto"/>
            <w:noWrap/>
            <w:vAlign w:val="bottom"/>
            <w:hideMark/>
          </w:tcPr>
          <w:p w14:paraId="579861F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490</w:t>
            </w:r>
          </w:p>
        </w:tc>
        <w:tc>
          <w:tcPr>
            <w:tcW w:w="1800" w:type="dxa"/>
            <w:tcBorders>
              <w:top w:val="nil"/>
              <w:left w:val="nil"/>
              <w:bottom w:val="nil"/>
              <w:right w:val="single" w:sz="8" w:space="0" w:color="auto"/>
            </w:tcBorders>
            <w:shd w:val="clear" w:color="auto" w:fill="auto"/>
            <w:noWrap/>
            <w:vAlign w:val="bottom"/>
            <w:hideMark/>
          </w:tcPr>
          <w:p w14:paraId="0BF3383F"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2.30%</w:t>
            </w:r>
          </w:p>
        </w:tc>
        <w:tc>
          <w:tcPr>
            <w:tcW w:w="1764" w:type="dxa"/>
            <w:tcBorders>
              <w:top w:val="nil"/>
              <w:left w:val="nil"/>
              <w:bottom w:val="nil"/>
              <w:right w:val="nil"/>
            </w:tcBorders>
            <w:shd w:val="clear" w:color="auto" w:fill="auto"/>
            <w:noWrap/>
            <w:hideMark/>
          </w:tcPr>
          <w:p w14:paraId="0CC17180" w14:textId="77777777" w:rsidR="006D240F" w:rsidRPr="00DD78A7" w:rsidRDefault="006D240F" w:rsidP="006D240F">
            <w:pPr>
              <w:jc w:val="center"/>
            </w:pPr>
            <w:r w:rsidRPr="00DD78A7">
              <w:t>1.621</w:t>
            </w:r>
          </w:p>
        </w:tc>
      </w:tr>
      <w:tr w:rsidR="006D240F" w:rsidRPr="00D321F9" w14:paraId="2ACF2230" w14:textId="77777777" w:rsidTr="006D240F">
        <w:tc>
          <w:tcPr>
            <w:tcW w:w="3168" w:type="dxa"/>
            <w:tcBorders>
              <w:top w:val="nil"/>
              <w:left w:val="nil"/>
              <w:bottom w:val="nil"/>
              <w:right w:val="single" w:sz="8" w:space="0" w:color="auto"/>
            </w:tcBorders>
            <w:shd w:val="clear" w:color="auto" w:fill="auto"/>
            <w:noWrap/>
            <w:vAlign w:val="center"/>
            <w:hideMark/>
          </w:tcPr>
          <w:p w14:paraId="5710E0BF"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1710" w:type="dxa"/>
            <w:tcBorders>
              <w:top w:val="nil"/>
              <w:left w:val="nil"/>
              <w:bottom w:val="nil"/>
              <w:right w:val="single" w:sz="8" w:space="0" w:color="auto"/>
            </w:tcBorders>
            <w:shd w:val="clear" w:color="auto" w:fill="auto"/>
            <w:noWrap/>
            <w:vAlign w:val="bottom"/>
            <w:hideMark/>
          </w:tcPr>
          <w:p w14:paraId="3D8AE404"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36,116</w:t>
            </w:r>
          </w:p>
        </w:tc>
        <w:tc>
          <w:tcPr>
            <w:tcW w:w="2430" w:type="dxa"/>
            <w:tcBorders>
              <w:top w:val="nil"/>
              <w:left w:val="nil"/>
              <w:bottom w:val="nil"/>
              <w:right w:val="single" w:sz="8" w:space="0" w:color="auto"/>
            </w:tcBorders>
            <w:shd w:val="clear" w:color="auto" w:fill="auto"/>
            <w:noWrap/>
            <w:vAlign w:val="bottom"/>
            <w:hideMark/>
          </w:tcPr>
          <w:p w14:paraId="145A451F"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2,376</w:t>
            </w:r>
          </w:p>
        </w:tc>
        <w:tc>
          <w:tcPr>
            <w:tcW w:w="1800" w:type="dxa"/>
            <w:tcBorders>
              <w:top w:val="nil"/>
              <w:left w:val="nil"/>
              <w:bottom w:val="nil"/>
              <w:right w:val="single" w:sz="8" w:space="0" w:color="auto"/>
            </w:tcBorders>
            <w:shd w:val="clear" w:color="auto" w:fill="auto"/>
            <w:noWrap/>
            <w:vAlign w:val="bottom"/>
            <w:hideMark/>
          </w:tcPr>
          <w:p w14:paraId="661A7DA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1.00%</w:t>
            </w:r>
          </w:p>
        </w:tc>
        <w:tc>
          <w:tcPr>
            <w:tcW w:w="1764" w:type="dxa"/>
            <w:tcBorders>
              <w:top w:val="nil"/>
              <w:left w:val="nil"/>
              <w:bottom w:val="nil"/>
              <w:right w:val="nil"/>
            </w:tcBorders>
            <w:shd w:val="clear" w:color="auto" w:fill="auto"/>
            <w:noWrap/>
            <w:hideMark/>
          </w:tcPr>
          <w:p w14:paraId="2153E6EF" w14:textId="77777777" w:rsidR="006D240F" w:rsidRPr="00DD78A7" w:rsidRDefault="006D240F" w:rsidP="006D240F">
            <w:pPr>
              <w:jc w:val="center"/>
            </w:pPr>
            <w:r w:rsidRPr="00DD78A7">
              <w:t>1.489</w:t>
            </w:r>
          </w:p>
        </w:tc>
      </w:tr>
      <w:tr w:rsidR="006D240F" w:rsidRPr="00D321F9" w14:paraId="641A8282" w14:textId="77777777" w:rsidTr="006D240F">
        <w:tc>
          <w:tcPr>
            <w:tcW w:w="3168" w:type="dxa"/>
            <w:tcBorders>
              <w:top w:val="nil"/>
              <w:left w:val="nil"/>
              <w:bottom w:val="nil"/>
              <w:right w:val="single" w:sz="8" w:space="0" w:color="auto"/>
            </w:tcBorders>
            <w:shd w:val="clear" w:color="auto" w:fill="auto"/>
            <w:noWrap/>
            <w:vAlign w:val="center"/>
            <w:hideMark/>
          </w:tcPr>
          <w:p w14:paraId="675F4A3A"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1710" w:type="dxa"/>
            <w:tcBorders>
              <w:top w:val="nil"/>
              <w:left w:val="nil"/>
              <w:bottom w:val="nil"/>
              <w:right w:val="single" w:sz="8" w:space="0" w:color="auto"/>
            </w:tcBorders>
            <w:shd w:val="clear" w:color="auto" w:fill="auto"/>
            <w:noWrap/>
            <w:vAlign w:val="bottom"/>
            <w:hideMark/>
          </w:tcPr>
          <w:p w14:paraId="4DAF7527"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23,552</w:t>
            </w:r>
          </w:p>
        </w:tc>
        <w:tc>
          <w:tcPr>
            <w:tcW w:w="2430" w:type="dxa"/>
            <w:tcBorders>
              <w:top w:val="nil"/>
              <w:left w:val="nil"/>
              <w:bottom w:val="nil"/>
              <w:right w:val="single" w:sz="8" w:space="0" w:color="auto"/>
            </w:tcBorders>
            <w:shd w:val="clear" w:color="auto" w:fill="auto"/>
            <w:noWrap/>
            <w:vAlign w:val="bottom"/>
            <w:hideMark/>
          </w:tcPr>
          <w:p w14:paraId="5F2E2A17"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1,653</w:t>
            </w:r>
          </w:p>
        </w:tc>
        <w:tc>
          <w:tcPr>
            <w:tcW w:w="1800" w:type="dxa"/>
            <w:tcBorders>
              <w:top w:val="nil"/>
              <w:left w:val="nil"/>
              <w:bottom w:val="nil"/>
              <w:right w:val="single" w:sz="8" w:space="0" w:color="auto"/>
            </w:tcBorders>
            <w:shd w:val="clear" w:color="auto" w:fill="auto"/>
            <w:noWrap/>
            <w:vAlign w:val="bottom"/>
            <w:hideMark/>
          </w:tcPr>
          <w:p w14:paraId="091194C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1.15%</w:t>
            </w:r>
          </w:p>
        </w:tc>
        <w:tc>
          <w:tcPr>
            <w:tcW w:w="1764" w:type="dxa"/>
            <w:tcBorders>
              <w:top w:val="nil"/>
              <w:left w:val="nil"/>
              <w:bottom w:val="nil"/>
              <w:right w:val="nil"/>
            </w:tcBorders>
            <w:shd w:val="clear" w:color="auto" w:fill="auto"/>
            <w:noWrap/>
            <w:hideMark/>
          </w:tcPr>
          <w:p w14:paraId="0285DA76" w14:textId="77777777" w:rsidR="006D240F" w:rsidRPr="00DD78A7" w:rsidRDefault="006D240F" w:rsidP="006D240F">
            <w:pPr>
              <w:jc w:val="center"/>
            </w:pPr>
            <w:r w:rsidRPr="00DD78A7">
              <w:t>1.377</w:t>
            </w:r>
          </w:p>
        </w:tc>
      </w:tr>
      <w:tr w:rsidR="006D240F" w:rsidRPr="00D321F9" w14:paraId="30891041" w14:textId="77777777" w:rsidTr="006D240F">
        <w:tc>
          <w:tcPr>
            <w:tcW w:w="3168" w:type="dxa"/>
            <w:tcBorders>
              <w:top w:val="nil"/>
              <w:left w:val="nil"/>
              <w:bottom w:val="nil"/>
              <w:right w:val="single" w:sz="8" w:space="0" w:color="auto"/>
            </w:tcBorders>
            <w:shd w:val="clear" w:color="auto" w:fill="auto"/>
            <w:noWrap/>
            <w:vAlign w:val="center"/>
            <w:hideMark/>
          </w:tcPr>
          <w:p w14:paraId="680DA46C"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1710" w:type="dxa"/>
            <w:tcBorders>
              <w:top w:val="nil"/>
              <w:left w:val="nil"/>
              <w:bottom w:val="nil"/>
              <w:right w:val="single" w:sz="8" w:space="0" w:color="auto"/>
            </w:tcBorders>
            <w:shd w:val="clear" w:color="auto" w:fill="auto"/>
            <w:noWrap/>
            <w:vAlign w:val="bottom"/>
            <w:hideMark/>
          </w:tcPr>
          <w:p w14:paraId="6E69A2FD"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9,395</w:t>
            </w:r>
          </w:p>
        </w:tc>
        <w:tc>
          <w:tcPr>
            <w:tcW w:w="2430" w:type="dxa"/>
            <w:tcBorders>
              <w:top w:val="nil"/>
              <w:left w:val="nil"/>
              <w:bottom w:val="nil"/>
              <w:right w:val="single" w:sz="8" w:space="0" w:color="auto"/>
            </w:tcBorders>
            <w:shd w:val="clear" w:color="auto" w:fill="auto"/>
            <w:noWrap/>
            <w:vAlign w:val="bottom"/>
            <w:hideMark/>
          </w:tcPr>
          <w:p w14:paraId="659EC95B"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789</w:t>
            </w:r>
          </w:p>
        </w:tc>
        <w:tc>
          <w:tcPr>
            <w:tcW w:w="1800" w:type="dxa"/>
            <w:tcBorders>
              <w:top w:val="nil"/>
              <w:left w:val="nil"/>
              <w:bottom w:val="nil"/>
              <w:right w:val="single" w:sz="8" w:space="0" w:color="auto"/>
            </w:tcBorders>
            <w:shd w:val="clear" w:color="auto" w:fill="auto"/>
            <w:noWrap/>
            <w:vAlign w:val="bottom"/>
            <w:hideMark/>
          </w:tcPr>
          <w:p w14:paraId="179F953B"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1.65%</w:t>
            </w:r>
          </w:p>
        </w:tc>
        <w:tc>
          <w:tcPr>
            <w:tcW w:w="1764" w:type="dxa"/>
            <w:tcBorders>
              <w:top w:val="nil"/>
              <w:left w:val="nil"/>
              <w:bottom w:val="nil"/>
              <w:right w:val="nil"/>
            </w:tcBorders>
            <w:shd w:val="clear" w:color="auto" w:fill="auto"/>
            <w:noWrap/>
            <w:hideMark/>
          </w:tcPr>
          <w:p w14:paraId="602CC4DC" w14:textId="77777777" w:rsidR="006D240F" w:rsidRPr="00DD78A7" w:rsidRDefault="006D240F" w:rsidP="006D240F">
            <w:pPr>
              <w:jc w:val="center"/>
            </w:pPr>
            <w:r w:rsidRPr="00DD78A7">
              <w:t>1.343</w:t>
            </w:r>
          </w:p>
        </w:tc>
      </w:tr>
      <w:tr w:rsidR="006D240F" w:rsidRPr="00D321F9" w14:paraId="6F8B1DE9"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15414969"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1710" w:type="dxa"/>
            <w:tcBorders>
              <w:top w:val="nil"/>
              <w:left w:val="nil"/>
              <w:bottom w:val="single" w:sz="8" w:space="0" w:color="auto"/>
              <w:right w:val="single" w:sz="8" w:space="0" w:color="auto"/>
            </w:tcBorders>
            <w:shd w:val="clear" w:color="auto" w:fill="auto"/>
            <w:noWrap/>
            <w:vAlign w:val="bottom"/>
            <w:hideMark/>
          </w:tcPr>
          <w:p w14:paraId="04A9F2AD"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9,239</w:t>
            </w:r>
          </w:p>
        </w:tc>
        <w:tc>
          <w:tcPr>
            <w:tcW w:w="2430" w:type="dxa"/>
            <w:tcBorders>
              <w:top w:val="nil"/>
              <w:left w:val="nil"/>
              <w:bottom w:val="nil"/>
              <w:right w:val="single" w:sz="8" w:space="0" w:color="auto"/>
            </w:tcBorders>
            <w:shd w:val="clear" w:color="auto" w:fill="auto"/>
            <w:noWrap/>
            <w:vAlign w:val="bottom"/>
            <w:hideMark/>
          </w:tcPr>
          <w:p w14:paraId="06CF8CCD"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1,060</w:t>
            </w:r>
          </w:p>
        </w:tc>
        <w:tc>
          <w:tcPr>
            <w:tcW w:w="1800" w:type="dxa"/>
            <w:tcBorders>
              <w:top w:val="nil"/>
              <w:left w:val="nil"/>
              <w:bottom w:val="nil"/>
              <w:right w:val="single" w:sz="8" w:space="0" w:color="auto"/>
            </w:tcBorders>
            <w:shd w:val="clear" w:color="auto" w:fill="auto"/>
            <w:noWrap/>
            <w:vAlign w:val="bottom"/>
            <w:hideMark/>
          </w:tcPr>
          <w:p w14:paraId="63593F8E"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1.38%</w:t>
            </w:r>
          </w:p>
        </w:tc>
        <w:tc>
          <w:tcPr>
            <w:tcW w:w="1764" w:type="dxa"/>
            <w:tcBorders>
              <w:top w:val="nil"/>
              <w:left w:val="nil"/>
              <w:bottom w:val="nil"/>
              <w:right w:val="nil"/>
            </w:tcBorders>
            <w:shd w:val="clear" w:color="auto" w:fill="auto"/>
            <w:noWrap/>
            <w:hideMark/>
          </w:tcPr>
          <w:p w14:paraId="71E8156E" w14:textId="77777777" w:rsidR="006D240F" w:rsidRPr="00DD78A7" w:rsidRDefault="006D240F" w:rsidP="006D240F">
            <w:pPr>
              <w:jc w:val="center"/>
            </w:pPr>
            <w:r w:rsidRPr="00DD78A7">
              <w:t>1.255</w:t>
            </w:r>
          </w:p>
        </w:tc>
      </w:tr>
      <w:tr w:rsidR="006D240F" w:rsidRPr="00D321F9" w14:paraId="58361577" w14:textId="77777777" w:rsidTr="006D240F">
        <w:tc>
          <w:tcPr>
            <w:tcW w:w="3168" w:type="dxa"/>
            <w:tcBorders>
              <w:top w:val="nil"/>
              <w:left w:val="nil"/>
              <w:bottom w:val="nil"/>
              <w:right w:val="single" w:sz="8" w:space="0" w:color="auto"/>
            </w:tcBorders>
            <w:shd w:val="clear" w:color="auto" w:fill="auto"/>
            <w:noWrap/>
            <w:vAlign w:val="center"/>
            <w:hideMark/>
          </w:tcPr>
          <w:p w14:paraId="470764B6"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1710" w:type="dxa"/>
            <w:tcBorders>
              <w:top w:val="nil"/>
              <w:left w:val="nil"/>
              <w:bottom w:val="nil"/>
              <w:right w:val="single" w:sz="8" w:space="0" w:color="auto"/>
            </w:tcBorders>
            <w:shd w:val="clear" w:color="auto" w:fill="auto"/>
            <w:noWrap/>
            <w:vAlign w:val="bottom"/>
            <w:hideMark/>
          </w:tcPr>
          <w:p w14:paraId="01AF77B5"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26,066</w:t>
            </w:r>
          </w:p>
        </w:tc>
        <w:tc>
          <w:tcPr>
            <w:tcW w:w="2430" w:type="dxa"/>
            <w:tcBorders>
              <w:top w:val="single" w:sz="8" w:space="0" w:color="auto"/>
              <w:left w:val="nil"/>
              <w:bottom w:val="nil"/>
              <w:right w:val="single" w:sz="8" w:space="0" w:color="auto"/>
            </w:tcBorders>
            <w:shd w:val="clear" w:color="auto" w:fill="auto"/>
            <w:noWrap/>
            <w:vAlign w:val="bottom"/>
            <w:hideMark/>
          </w:tcPr>
          <w:p w14:paraId="43900936"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1,928</w:t>
            </w:r>
          </w:p>
        </w:tc>
        <w:tc>
          <w:tcPr>
            <w:tcW w:w="1800" w:type="dxa"/>
            <w:tcBorders>
              <w:top w:val="single" w:sz="8" w:space="0" w:color="auto"/>
              <w:left w:val="nil"/>
              <w:bottom w:val="nil"/>
              <w:right w:val="single" w:sz="8" w:space="0" w:color="auto"/>
            </w:tcBorders>
            <w:shd w:val="clear" w:color="auto" w:fill="auto"/>
            <w:noWrap/>
            <w:vAlign w:val="bottom"/>
            <w:hideMark/>
          </w:tcPr>
          <w:p w14:paraId="07BE27C7"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1.27%</w:t>
            </w:r>
          </w:p>
        </w:tc>
        <w:tc>
          <w:tcPr>
            <w:tcW w:w="1764" w:type="dxa"/>
            <w:tcBorders>
              <w:top w:val="single" w:sz="8" w:space="0" w:color="auto"/>
              <w:left w:val="nil"/>
              <w:bottom w:val="nil"/>
              <w:right w:val="nil"/>
            </w:tcBorders>
            <w:shd w:val="clear" w:color="auto" w:fill="auto"/>
            <w:noWrap/>
            <w:hideMark/>
          </w:tcPr>
          <w:p w14:paraId="2508A887" w14:textId="77777777" w:rsidR="006D240F" w:rsidRPr="00DD78A7" w:rsidRDefault="006D240F" w:rsidP="006D240F">
            <w:pPr>
              <w:jc w:val="center"/>
            </w:pPr>
            <w:r w:rsidRPr="00DD78A7">
              <w:t>1.947</w:t>
            </w:r>
          </w:p>
        </w:tc>
      </w:tr>
      <w:tr w:rsidR="006D240F" w:rsidRPr="00D321F9" w14:paraId="40F72B06" w14:textId="77777777" w:rsidTr="006D240F">
        <w:tc>
          <w:tcPr>
            <w:tcW w:w="3168" w:type="dxa"/>
            <w:tcBorders>
              <w:top w:val="nil"/>
              <w:left w:val="nil"/>
              <w:bottom w:val="nil"/>
              <w:right w:val="single" w:sz="8" w:space="0" w:color="auto"/>
            </w:tcBorders>
            <w:shd w:val="clear" w:color="auto" w:fill="auto"/>
            <w:noWrap/>
            <w:vAlign w:val="center"/>
            <w:hideMark/>
          </w:tcPr>
          <w:p w14:paraId="2DE24894"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1710" w:type="dxa"/>
            <w:tcBorders>
              <w:top w:val="nil"/>
              <w:left w:val="nil"/>
              <w:bottom w:val="nil"/>
              <w:right w:val="single" w:sz="8" w:space="0" w:color="auto"/>
            </w:tcBorders>
            <w:shd w:val="clear" w:color="auto" w:fill="auto"/>
            <w:noWrap/>
            <w:vAlign w:val="bottom"/>
            <w:hideMark/>
          </w:tcPr>
          <w:p w14:paraId="5D072124"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15,561</w:t>
            </w:r>
          </w:p>
        </w:tc>
        <w:tc>
          <w:tcPr>
            <w:tcW w:w="2430" w:type="dxa"/>
            <w:tcBorders>
              <w:top w:val="nil"/>
              <w:left w:val="nil"/>
              <w:bottom w:val="nil"/>
              <w:right w:val="single" w:sz="8" w:space="0" w:color="auto"/>
            </w:tcBorders>
            <w:shd w:val="clear" w:color="auto" w:fill="auto"/>
            <w:noWrap/>
            <w:vAlign w:val="bottom"/>
            <w:hideMark/>
          </w:tcPr>
          <w:p w14:paraId="758F57F0"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1,194</w:t>
            </w:r>
          </w:p>
        </w:tc>
        <w:tc>
          <w:tcPr>
            <w:tcW w:w="1800" w:type="dxa"/>
            <w:tcBorders>
              <w:top w:val="nil"/>
              <w:left w:val="nil"/>
              <w:bottom w:val="nil"/>
              <w:right w:val="single" w:sz="8" w:space="0" w:color="auto"/>
            </w:tcBorders>
            <w:shd w:val="clear" w:color="auto" w:fill="auto"/>
            <w:noWrap/>
            <w:vAlign w:val="bottom"/>
            <w:hideMark/>
          </w:tcPr>
          <w:p w14:paraId="172D87AE"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1.46%</w:t>
            </w:r>
          </w:p>
        </w:tc>
        <w:tc>
          <w:tcPr>
            <w:tcW w:w="1764" w:type="dxa"/>
            <w:tcBorders>
              <w:top w:val="nil"/>
              <w:left w:val="nil"/>
              <w:bottom w:val="nil"/>
              <w:right w:val="nil"/>
            </w:tcBorders>
            <w:shd w:val="clear" w:color="auto" w:fill="auto"/>
            <w:noWrap/>
            <w:hideMark/>
          </w:tcPr>
          <w:p w14:paraId="48BACA7E" w14:textId="77777777" w:rsidR="006D240F" w:rsidRPr="00DD78A7" w:rsidRDefault="006D240F" w:rsidP="006D240F">
            <w:pPr>
              <w:jc w:val="center"/>
            </w:pPr>
            <w:r w:rsidRPr="00DD78A7">
              <w:t>1.590</w:t>
            </w:r>
          </w:p>
        </w:tc>
      </w:tr>
      <w:tr w:rsidR="006D240F" w:rsidRPr="00D321F9" w14:paraId="5A17D84D" w14:textId="77777777" w:rsidTr="006D240F">
        <w:tc>
          <w:tcPr>
            <w:tcW w:w="3168" w:type="dxa"/>
            <w:tcBorders>
              <w:top w:val="nil"/>
              <w:left w:val="nil"/>
              <w:bottom w:val="nil"/>
              <w:right w:val="single" w:sz="8" w:space="0" w:color="auto"/>
            </w:tcBorders>
            <w:shd w:val="clear" w:color="auto" w:fill="auto"/>
            <w:noWrap/>
            <w:vAlign w:val="center"/>
            <w:hideMark/>
          </w:tcPr>
          <w:p w14:paraId="653A6A8E"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1710" w:type="dxa"/>
            <w:tcBorders>
              <w:top w:val="nil"/>
              <w:left w:val="nil"/>
              <w:bottom w:val="nil"/>
              <w:right w:val="single" w:sz="8" w:space="0" w:color="auto"/>
            </w:tcBorders>
            <w:shd w:val="clear" w:color="auto" w:fill="auto"/>
            <w:noWrap/>
            <w:vAlign w:val="bottom"/>
            <w:hideMark/>
          </w:tcPr>
          <w:p w14:paraId="0D16C093"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26,182</w:t>
            </w:r>
          </w:p>
        </w:tc>
        <w:tc>
          <w:tcPr>
            <w:tcW w:w="2430" w:type="dxa"/>
            <w:tcBorders>
              <w:top w:val="nil"/>
              <w:left w:val="nil"/>
              <w:bottom w:val="nil"/>
              <w:right w:val="single" w:sz="8" w:space="0" w:color="auto"/>
            </w:tcBorders>
            <w:shd w:val="clear" w:color="auto" w:fill="auto"/>
            <w:noWrap/>
            <w:vAlign w:val="bottom"/>
            <w:hideMark/>
          </w:tcPr>
          <w:p w14:paraId="3CE68BF6"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1,828</w:t>
            </w:r>
          </w:p>
        </w:tc>
        <w:tc>
          <w:tcPr>
            <w:tcW w:w="1800" w:type="dxa"/>
            <w:tcBorders>
              <w:top w:val="nil"/>
              <w:left w:val="nil"/>
              <w:bottom w:val="nil"/>
              <w:right w:val="single" w:sz="8" w:space="0" w:color="auto"/>
            </w:tcBorders>
            <w:shd w:val="clear" w:color="auto" w:fill="auto"/>
            <w:noWrap/>
            <w:vAlign w:val="bottom"/>
            <w:hideMark/>
          </w:tcPr>
          <w:p w14:paraId="73943DEC"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nil"/>
              <w:left w:val="nil"/>
              <w:bottom w:val="nil"/>
              <w:right w:val="nil"/>
            </w:tcBorders>
            <w:shd w:val="clear" w:color="auto" w:fill="auto"/>
            <w:noWrap/>
            <w:hideMark/>
          </w:tcPr>
          <w:p w14:paraId="1918739C" w14:textId="77777777" w:rsidR="006D240F" w:rsidRPr="00DD78A7" w:rsidRDefault="006D240F" w:rsidP="006D240F">
            <w:pPr>
              <w:jc w:val="center"/>
            </w:pPr>
            <w:r w:rsidRPr="00DD78A7">
              <w:t>1.574</w:t>
            </w:r>
          </w:p>
        </w:tc>
      </w:tr>
      <w:tr w:rsidR="006D240F" w:rsidRPr="00D321F9" w14:paraId="37DFC917" w14:textId="77777777" w:rsidTr="006D240F">
        <w:tc>
          <w:tcPr>
            <w:tcW w:w="3168" w:type="dxa"/>
            <w:tcBorders>
              <w:top w:val="nil"/>
              <w:left w:val="nil"/>
              <w:bottom w:val="nil"/>
              <w:right w:val="single" w:sz="8" w:space="0" w:color="auto"/>
            </w:tcBorders>
            <w:shd w:val="clear" w:color="auto" w:fill="auto"/>
            <w:noWrap/>
            <w:vAlign w:val="center"/>
            <w:hideMark/>
          </w:tcPr>
          <w:p w14:paraId="5FD1D764"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1710" w:type="dxa"/>
            <w:tcBorders>
              <w:top w:val="nil"/>
              <w:left w:val="nil"/>
              <w:bottom w:val="nil"/>
              <w:right w:val="single" w:sz="8" w:space="0" w:color="auto"/>
            </w:tcBorders>
            <w:shd w:val="clear" w:color="auto" w:fill="auto"/>
            <w:noWrap/>
            <w:vAlign w:val="bottom"/>
            <w:hideMark/>
          </w:tcPr>
          <w:p w14:paraId="1040F3DE"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24,417</w:t>
            </w:r>
          </w:p>
        </w:tc>
        <w:tc>
          <w:tcPr>
            <w:tcW w:w="2430" w:type="dxa"/>
            <w:tcBorders>
              <w:top w:val="nil"/>
              <w:left w:val="nil"/>
              <w:bottom w:val="nil"/>
              <w:right w:val="single" w:sz="8" w:space="0" w:color="auto"/>
            </w:tcBorders>
            <w:shd w:val="clear" w:color="auto" w:fill="auto"/>
            <w:noWrap/>
            <w:vAlign w:val="bottom"/>
            <w:hideMark/>
          </w:tcPr>
          <w:p w14:paraId="26D84BA4"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1,601</w:t>
            </w:r>
          </w:p>
        </w:tc>
        <w:tc>
          <w:tcPr>
            <w:tcW w:w="1800" w:type="dxa"/>
            <w:tcBorders>
              <w:top w:val="nil"/>
              <w:left w:val="nil"/>
              <w:bottom w:val="nil"/>
              <w:right w:val="single" w:sz="8" w:space="0" w:color="auto"/>
            </w:tcBorders>
            <w:shd w:val="clear" w:color="auto" w:fill="auto"/>
            <w:noWrap/>
            <w:vAlign w:val="bottom"/>
            <w:hideMark/>
          </w:tcPr>
          <w:p w14:paraId="52DA8AB3"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1.23%</w:t>
            </w:r>
          </w:p>
        </w:tc>
        <w:tc>
          <w:tcPr>
            <w:tcW w:w="1764" w:type="dxa"/>
            <w:tcBorders>
              <w:top w:val="nil"/>
              <w:left w:val="nil"/>
              <w:bottom w:val="nil"/>
              <w:right w:val="nil"/>
            </w:tcBorders>
            <w:shd w:val="clear" w:color="auto" w:fill="auto"/>
            <w:noWrap/>
            <w:hideMark/>
          </w:tcPr>
          <w:p w14:paraId="2507D0BE" w14:textId="77777777" w:rsidR="006D240F" w:rsidRPr="00DD78A7" w:rsidRDefault="006D240F" w:rsidP="006D240F">
            <w:pPr>
              <w:jc w:val="center"/>
            </w:pPr>
            <w:r w:rsidRPr="00DD78A7">
              <w:t>1.507</w:t>
            </w:r>
          </w:p>
        </w:tc>
      </w:tr>
      <w:tr w:rsidR="006D240F" w:rsidRPr="00D321F9" w14:paraId="1DF28AB2" w14:textId="77777777" w:rsidTr="006D240F">
        <w:tc>
          <w:tcPr>
            <w:tcW w:w="3168" w:type="dxa"/>
            <w:tcBorders>
              <w:top w:val="nil"/>
              <w:left w:val="nil"/>
              <w:bottom w:val="single" w:sz="8" w:space="0" w:color="auto"/>
              <w:right w:val="single" w:sz="8" w:space="0" w:color="auto"/>
            </w:tcBorders>
            <w:shd w:val="clear" w:color="auto" w:fill="auto"/>
            <w:noWrap/>
            <w:vAlign w:val="center"/>
            <w:hideMark/>
          </w:tcPr>
          <w:p w14:paraId="1F323673" w14:textId="77777777" w:rsidR="006D240F" w:rsidRPr="00D321F9" w:rsidRDefault="006D240F" w:rsidP="006D240F">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1710" w:type="dxa"/>
            <w:tcBorders>
              <w:top w:val="nil"/>
              <w:left w:val="nil"/>
              <w:bottom w:val="single" w:sz="8" w:space="0" w:color="auto"/>
              <w:right w:val="single" w:sz="8" w:space="0" w:color="auto"/>
            </w:tcBorders>
            <w:shd w:val="clear" w:color="auto" w:fill="auto"/>
            <w:noWrap/>
            <w:vAlign w:val="bottom"/>
            <w:hideMark/>
          </w:tcPr>
          <w:p w14:paraId="645F8B01" w14:textId="77777777" w:rsidR="006D240F" w:rsidRPr="000334B8" w:rsidRDefault="006D240F" w:rsidP="006D240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1,902</w:t>
            </w:r>
          </w:p>
        </w:tc>
        <w:tc>
          <w:tcPr>
            <w:tcW w:w="2430" w:type="dxa"/>
            <w:tcBorders>
              <w:top w:val="nil"/>
              <w:left w:val="nil"/>
              <w:bottom w:val="single" w:sz="8" w:space="0" w:color="auto"/>
              <w:right w:val="single" w:sz="8" w:space="0" w:color="auto"/>
            </w:tcBorders>
            <w:shd w:val="clear" w:color="auto" w:fill="auto"/>
            <w:noWrap/>
            <w:vAlign w:val="bottom"/>
            <w:hideMark/>
          </w:tcPr>
          <w:p w14:paraId="40648C2A" w14:textId="77777777" w:rsidR="006D240F" w:rsidRPr="000334B8" w:rsidRDefault="006D240F" w:rsidP="006D240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148</w:t>
            </w:r>
          </w:p>
        </w:tc>
        <w:tc>
          <w:tcPr>
            <w:tcW w:w="1800" w:type="dxa"/>
            <w:tcBorders>
              <w:top w:val="nil"/>
              <w:left w:val="nil"/>
              <w:bottom w:val="single" w:sz="8" w:space="0" w:color="auto"/>
              <w:right w:val="single" w:sz="8" w:space="0" w:color="auto"/>
            </w:tcBorders>
            <w:shd w:val="clear" w:color="auto" w:fill="auto"/>
            <w:noWrap/>
            <w:vAlign w:val="bottom"/>
            <w:hideMark/>
          </w:tcPr>
          <w:p w14:paraId="6C620930" w14:textId="77777777" w:rsidR="006D240F" w:rsidRPr="000334B8" w:rsidRDefault="006D240F" w:rsidP="006D240F">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5.30%</w:t>
            </w:r>
          </w:p>
        </w:tc>
        <w:tc>
          <w:tcPr>
            <w:tcW w:w="1764" w:type="dxa"/>
            <w:tcBorders>
              <w:top w:val="nil"/>
              <w:left w:val="nil"/>
              <w:bottom w:val="single" w:sz="8" w:space="0" w:color="auto"/>
              <w:right w:val="nil"/>
            </w:tcBorders>
            <w:shd w:val="clear" w:color="auto" w:fill="auto"/>
            <w:noWrap/>
            <w:hideMark/>
          </w:tcPr>
          <w:p w14:paraId="08075FCA" w14:textId="77777777" w:rsidR="006D240F" w:rsidRDefault="006D240F" w:rsidP="006D240F">
            <w:pPr>
              <w:jc w:val="center"/>
            </w:pPr>
            <w:r w:rsidRPr="00DD78A7">
              <w:t>2.603</w:t>
            </w:r>
          </w:p>
        </w:tc>
      </w:tr>
    </w:tbl>
    <w:p w14:paraId="602FA7B5" w14:textId="610F17B4" w:rsidR="009139C9" w:rsidRPr="00D321F9" w:rsidRDefault="009139C9" w:rsidP="00A50DEB">
      <w:pPr>
        <w:pStyle w:val="L1-FlLSp12"/>
        <w:widowControl w:val="0"/>
        <w:spacing w:line="240" w:lineRule="auto"/>
        <w:rPr>
          <w:rFonts w:ascii="Times New Roman" w:hAnsi="Times New Roman"/>
          <w:szCs w:val="24"/>
        </w:rPr>
      </w:pPr>
    </w:p>
    <w:p w14:paraId="2B8ABDB0" w14:textId="29BBA6A0" w:rsidR="009139C9" w:rsidRPr="00D321F9" w:rsidRDefault="00BE5E42" w:rsidP="007D4EB8">
      <w:pPr>
        <w:pStyle w:val="L1-FlLSp12"/>
        <w:widowControl w:val="0"/>
        <w:spacing w:after="120" w:line="240" w:lineRule="auto"/>
        <w:rPr>
          <w:rFonts w:ascii="Times New Roman" w:hAnsi="Times New Roman"/>
          <w:szCs w:val="24"/>
        </w:rPr>
      </w:pPr>
      <w:r w:rsidRPr="00BE5E42">
        <w:rPr>
          <w:rFonts w:ascii="Times New Roman" w:hAnsi="Times New Roman"/>
          <w:szCs w:val="24"/>
        </w:rPr>
        <w:t>Table 4 provides the analogous precision analysis for public school teachers. The expected standard errors were calculated based on analyses using the NTPS 2015-16 final response rates and CV of 25%.</w:t>
      </w:r>
      <w:r>
        <w:rPr>
          <w:rFonts w:ascii="Times New Roman" w:hAnsi="Times New Roman"/>
          <w:szCs w:val="24"/>
        </w:rPr>
        <w:t xml:space="preserve"> </w:t>
      </w:r>
      <w:r w:rsidRPr="00BE5E42">
        <w:rPr>
          <w:rFonts w:ascii="Times New Roman" w:hAnsi="Times New Roman"/>
          <w:szCs w:val="24"/>
        </w:rPr>
        <w:t>The analys</w:t>
      </w:r>
      <w:r>
        <w:rPr>
          <w:rFonts w:ascii="Times New Roman" w:hAnsi="Times New Roman"/>
          <w:szCs w:val="24"/>
        </w:rPr>
        <w:t>i</w:t>
      </w:r>
      <w:r w:rsidRPr="00BE5E42">
        <w:rPr>
          <w:rFonts w:ascii="Times New Roman" w:hAnsi="Times New Roman"/>
          <w:szCs w:val="24"/>
        </w:rPr>
        <w:t xml:space="preserve">s using the NTPS 2017-18 final response rates </w:t>
      </w:r>
      <w:r>
        <w:rPr>
          <w:rFonts w:ascii="Times New Roman" w:hAnsi="Times New Roman"/>
          <w:szCs w:val="24"/>
        </w:rPr>
        <w:t>with</w:t>
      </w:r>
      <w:r w:rsidRPr="00BE5E42">
        <w:rPr>
          <w:rFonts w:ascii="Times New Roman" w:hAnsi="Times New Roman"/>
          <w:szCs w:val="24"/>
        </w:rPr>
        <w:t xml:space="preserve"> CV of 25% will be completed in June 2019, at which time NCES will submit a change request with the final analys</w:t>
      </w:r>
      <w:r>
        <w:rPr>
          <w:rFonts w:ascii="Times New Roman" w:hAnsi="Times New Roman"/>
          <w:szCs w:val="24"/>
        </w:rPr>
        <w:t>i</w:t>
      </w:r>
      <w:r w:rsidRPr="00BE5E42">
        <w:rPr>
          <w:rFonts w:ascii="Times New Roman" w:hAnsi="Times New Roman"/>
          <w:szCs w:val="24"/>
        </w:rPr>
        <w:t xml:space="preserve">s results </w:t>
      </w:r>
      <w:r>
        <w:rPr>
          <w:rFonts w:ascii="Times New Roman" w:hAnsi="Times New Roman"/>
          <w:szCs w:val="24"/>
        </w:rPr>
        <w:t>in a</w:t>
      </w:r>
      <w:r w:rsidRPr="00BE5E42">
        <w:rPr>
          <w:rFonts w:ascii="Times New Roman" w:hAnsi="Times New Roman"/>
          <w:szCs w:val="24"/>
        </w:rPr>
        <w:t xml:space="preserve"> revised Table </w:t>
      </w:r>
      <w:r w:rsidR="00107DD3">
        <w:rPr>
          <w:rFonts w:ascii="Times New Roman" w:hAnsi="Times New Roman"/>
          <w:szCs w:val="24"/>
        </w:rPr>
        <w:t>4</w:t>
      </w:r>
      <w:r w:rsidR="000666F6">
        <w:rPr>
          <w:rFonts w:ascii="Times New Roman" w:hAnsi="Times New Roman"/>
          <w:szCs w:val="24"/>
        </w:rPr>
        <w:t>.</w:t>
      </w:r>
      <w:bookmarkStart w:id="41" w:name="_Toc412576699"/>
    </w:p>
    <w:p w14:paraId="049BCC27" w14:textId="6CFA585B" w:rsidR="009139C9" w:rsidRPr="00C06D30" w:rsidRDefault="009139C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4. </w:t>
      </w:r>
      <w:r w:rsidR="00BE5E42" w:rsidRPr="00BE5E42">
        <w:rPr>
          <w:rFonts w:ascii="Times New Roman" w:eastAsia="Calibri" w:hAnsi="Times New Roman"/>
          <w:b/>
          <w:bCs/>
          <w:sz w:val="22"/>
          <w:szCs w:val="22"/>
        </w:rPr>
        <w:t>NTPS 2017-18 major domain expected teacher interviews, standard errors, and design effects with state oversampling to achieve 25% CV or less</w:t>
      </w:r>
    </w:p>
    <w:tbl>
      <w:tblPr>
        <w:tblW w:w="0" w:type="auto"/>
        <w:tblLook w:val="04A0" w:firstRow="1" w:lastRow="0" w:firstColumn="1" w:lastColumn="0" w:noHBand="0" w:noVBand="1"/>
      </w:tblPr>
      <w:tblGrid>
        <w:gridCol w:w="2856"/>
        <w:gridCol w:w="2778"/>
        <w:gridCol w:w="2422"/>
        <w:gridCol w:w="1612"/>
        <w:gridCol w:w="1060"/>
      </w:tblGrid>
      <w:tr w:rsidR="00BE5E42" w:rsidRPr="00D321F9" w14:paraId="1EB7DADF" w14:textId="77777777" w:rsidTr="00072E7F">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14:paraId="2A5B0C8E"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01FD757D"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7390DDFA"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17A0A80D"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14:paraId="095BB83E" w14:textId="77777777" w:rsidR="00BE5E42" w:rsidRPr="00D321F9" w:rsidRDefault="00BE5E42" w:rsidP="00072E7F">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BE5E42" w:rsidRPr="00D321F9" w14:paraId="77EBB848"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0E546745" w14:textId="77777777" w:rsidR="00BE5E42" w:rsidRPr="00D321F9" w:rsidRDefault="00BE5E42" w:rsidP="00072E7F">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14:paraId="570A75C4" w14:textId="77777777" w:rsidR="00BE5E42" w:rsidRPr="00D321F9" w:rsidRDefault="00BE5E42" w:rsidP="00072E7F">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hideMark/>
          </w:tcPr>
          <w:p w14:paraId="4754C6C8" w14:textId="77777777" w:rsidR="00BE5E42" w:rsidRPr="008A7FA9" w:rsidRDefault="00BE5E42" w:rsidP="00072E7F">
            <w:pPr>
              <w:ind w:right="771"/>
              <w:jc w:val="right"/>
            </w:pPr>
            <w:r w:rsidRPr="008A7FA9">
              <w:t>34,722</w:t>
            </w:r>
          </w:p>
        </w:tc>
        <w:tc>
          <w:tcPr>
            <w:tcW w:w="0" w:type="auto"/>
            <w:tcBorders>
              <w:top w:val="nil"/>
              <w:left w:val="nil"/>
              <w:bottom w:val="nil"/>
              <w:right w:val="single" w:sz="8" w:space="0" w:color="auto"/>
            </w:tcBorders>
            <w:shd w:val="clear" w:color="auto" w:fill="auto"/>
            <w:noWrap/>
            <w:hideMark/>
          </w:tcPr>
          <w:p w14:paraId="1A5AB3AF" w14:textId="77777777" w:rsidR="00BE5E42" w:rsidRPr="009E26A9" w:rsidRDefault="00BE5E42" w:rsidP="00072E7F">
            <w:pPr>
              <w:jc w:val="center"/>
            </w:pPr>
            <w:r w:rsidRPr="009E26A9">
              <w:t>0.44%</w:t>
            </w:r>
          </w:p>
        </w:tc>
        <w:tc>
          <w:tcPr>
            <w:tcW w:w="0" w:type="auto"/>
            <w:tcBorders>
              <w:top w:val="nil"/>
              <w:left w:val="nil"/>
              <w:bottom w:val="nil"/>
              <w:right w:val="nil"/>
            </w:tcBorders>
            <w:shd w:val="clear" w:color="auto" w:fill="auto"/>
            <w:noWrap/>
            <w:hideMark/>
          </w:tcPr>
          <w:p w14:paraId="24AC0FED" w14:textId="77777777" w:rsidR="00BE5E42" w:rsidRPr="00014240" w:rsidRDefault="00BE5E42" w:rsidP="00072E7F">
            <w:pPr>
              <w:jc w:val="center"/>
            </w:pPr>
            <w:r w:rsidRPr="00014240">
              <w:t>4.25</w:t>
            </w:r>
          </w:p>
        </w:tc>
      </w:tr>
      <w:tr w:rsidR="00BE5E42" w:rsidRPr="00D321F9" w14:paraId="2143543D" w14:textId="77777777" w:rsidTr="00072E7F">
        <w:tc>
          <w:tcPr>
            <w:tcW w:w="0" w:type="auto"/>
            <w:tcBorders>
              <w:top w:val="nil"/>
              <w:left w:val="nil"/>
              <w:bottom w:val="nil"/>
              <w:right w:val="single" w:sz="8" w:space="0" w:color="auto"/>
            </w:tcBorders>
            <w:shd w:val="clear" w:color="auto" w:fill="auto"/>
            <w:noWrap/>
            <w:vAlign w:val="center"/>
            <w:hideMark/>
          </w:tcPr>
          <w:p w14:paraId="2909A369" w14:textId="77777777" w:rsidR="00BE5E42" w:rsidRPr="00D321F9" w:rsidRDefault="00BE5E42" w:rsidP="00072E7F">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14:paraId="71CEB35B" w14:textId="77777777" w:rsidR="00BE5E42" w:rsidRPr="00D321F9" w:rsidRDefault="00BE5E42" w:rsidP="00072E7F">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hideMark/>
          </w:tcPr>
          <w:p w14:paraId="21C39D73" w14:textId="77777777" w:rsidR="00BE5E42" w:rsidRPr="008A7FA9" w:rsidRDefault="00BE5E42" w:rsidP="00072E7F">
            <w:pPr>
              <w:ind w:right="771"/>
              <w:jc w:val="right"/>
            </w:pPr>
            <w:r w:rsidRPr="008A7FA9">
              <w:t>3,394</w:t>
            </w:r>
          </w:p>
        </w:tc>
        <w:tc>
          <w:tcPr>
            <w:tcW w:w="0" w:type="auto"/>
            <w:tcBorders>
              <w:top w:val="single" w:sz="8" w:space="0" w:color="auto"/>
              <w:left w:val="nil"/>
              <w:bottom w:val="nil"/>
              <w:right w:val="single" w:sz="8" w:space="0" w:color="auto"/>
            </w:tcBorders>
            <w:shd w:val="clear" w:color="auto" w:fill="auto"/>
            <w:noWrap/>
            <w:hideMark/>
          </w:tcPr>
          <w:p w14:paraId="687C1420" w14:textId="77777777" w:rsidR="00BE5E42" w:rsidRPr="009E26A9" w:rsidRDefault="00BE5E42" w:rsidP="00072E7F">
            <w:pPr>
              <w:jc w:val="center"/>
            </w:pPr>
            <w:r w:rsidRPr="009E26A9">
              <w:t>1.24%</w:t>
            </w:r>
          </w:p>
        </w:tc>
        <w:tc>
          <w:tcPr>
            <w:tcW w:w="0" w:type="auto"/>
            <w:tcBorders>
              <w:top w:val="single" w:sz="8" w:space="0" w:color="auto"/>
              <w:left w:val="nil"/>
              <w:bottom w:val="nil"/>
              <w:right w:val="nil"/>
            </w:tcBorders>
            <w:shd w:val="clear" w:color="auto" w:fill="auto"/>
            <w:noWrap/>
            <w:hideMark/>
          </w:tcPr>
          <w:p w14:paraId="7B1CF72C" w14:textId="77777777" w:rsidR="00BE5E42" w:rsidRPr="00014240" w:rsidRDefault="00BE5E42" w:rsidP="00072E7F">
            <w:pPr>
              <w:jc w:val="center"/>
            </w:pPr>
            <w:r w:rsidRPr="00014240">
              <w:t>3.25</w:t>
            </w:r>
          </w:p>
        </w:tc>
      </w:tr>
      <w:tr w:rsidR="00BE5E42" w:rsidRPr="00D321F9" w14:paraId="1A760402" w14:textId="77777777" w:rsidTr="00072E7F">
        <w:tc>
          <w:tcPr>
            <w:tcW w:w="0" w:type="auto"/>
            <w:tcBorders>
              <w:top w:val="nil"/>
              <w:left w:val="nil"/>
              <w:bottom w:val="nil"/>
              <w:right w:val="single" w:sz="8" w:space="0" w:color="auto"/>
            </w:tcBorders>
            <w:shd w:val="clear" w:color="auto" w:fill="auto"/>
            <w:noWrap/>
            <w:vAlign w:val="center"/>
            <w:hideMark/>
          </w:tcPr>
          <w:p w14:paraId="2F036860" w14:textId="77777777" w:rsidR="00BE5E42" w:rsidRPr="00D321F9" w:rsidRDefault="00BE5E42" w:rsidP="00072E7F">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14:paraId="30C7F7E7" w14:textId="77777777" w:rsidR="00BE5E42" w:rsidRPr="00D321F9" w:rsidRDefault="00BE5E42" w:rsidP="00072E7F">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hideMark/>
          </w:tcPr>
          <w:p w14:paraId="027E2845" w14:textId="77777777" w:rsidR="00BE5E42" w:rsidRPr="008A7FA9" w:rsidRDefault="00BE5E42" w:rsidP="00072E7F">
            <w:pPr>
              <w:ind w:right="771"/>
              <w:jc w:val="right"/>
            </w:pPr>
            <w:r w:rsidRPr="008A7FA9">
              <w:t>31,329</w:t>
            </w:r>
          </w:p>
        </w:tc>
        <w:tc>
          <w:tcPr>
            <w:tcW w:w="0" w:type="auto"/>
            <w:tcBorders>
              <w:top w:val="nil"/>
              <w:left w:val="nil"/>
              <w:bottom w:val="single" w:sz="8" w:space="0" w:color="auto"/>
              <w:right w:val="single" w:sz="8" w:space="0" w:color="auto"/>
            </w:tcBorders>
            <w:shd w:val="clear" w:color="auto" w:fill="auto"/>
            <w:noWrap/>
            <w:hideMark/>
          </w:tcPr>
          <w:p w14:paraId="3CDBA041" w14:textId="77777777" w:rsidR="00BE5E42" w:rsidRPr="009E26A9" w:rsidRDefault="00BE5E42" w:rsidP="00072E7F">
            <w:pPr>
              <w:jc w:val="center"/>
            </w:pPr>
            <w:r w:rsidRPr="009E26A9">
              <w:t>0.46%</w:t>
            </w:r>
          </w:p>
        </w:tc>
        <w:tc>
          <w:tcPr>
            <w:tcW w:w="0" w:type="auto"/>
            <w:tcBorders>
              <w:top w:val="nil"/>
              <w:left w:val="nil"/>
              <w:bottom w:val="single" w:sz="8" w:space="0" w:color="auto"/>
              <w:right w:val="nil"/>
            </w:tcBorders>
            <w:shd w:val="clear" w:color="auto" w:fill="auto"/>
            <w:noWrap/>
            <w:hideMark/>
          </w:tcPr>
          <w:p w14:paraId="509FB881" w14:textId="77777777" w:rsidR="00BE5E42" w:rsidRPr="00014240" w:rsidRDefault="00BE5E42" w:rsidP="00072E7F">
            <w:pPr>
              <w:jc w:val="center"/>
            </w:pPr>
            <w:r w:rsidRPr="00014240">
              <w:t>4.14</w:t>
            </w:r>
          </w:p>
        </w:tc>
      </w:tr>
      <w:tr w:rsidR="00BE5E42" w:rsidRPr="00D321F9" w14:paraId="4364EA43" w14:textId="77777777" w:rsidTr="00072E7F">
        <w:tc>
          <w:tcPr>
            <w:tcW w:w="0" w:type="auto"/>
            <w:tcBorders>
              <w:top w:val="single" w:sz="8" w:space="0" w:color="auto"/>
              <w:left w:val="nil"/>
              <w:bottom w:val="nil"/>
              <w:right w:val="single" w:sz="8" w:space="0" w:color="auto"/>
            </w:tcBorders>
            <w:shd w:val="clear" w:color="auto" w:fill="auto"/>
            <w:noWrap/>
            <w:vAlign w:val="center"/>
            <w:hideMark/>
          </w:tcPr>
          <w:p w14:paraId="3C847DB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14:paraId="41D7D023"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hideMark/>
          </w:tcPr>
          <w:p w14:paraId="0F58B5D2" w14:textId="77777777" w:rsidR="00BE5E42" w:rsidRPr="008A7FA9" w:rsidRDefault="00BE5E42" w:rsidP="00072E7F">
            <w:pPr>
              <w:widowControl w:val="0"/>
              <w:ind w:right="771"/>
              <w:jc w:val="right"/>
            </w:pPr>
            <w:r w:rsidRPr="008A7FA9">
              <w:t>13,507</w:t>
            </w:r>
          </w:p>
        </w:tc>
        <w:tc>
          <w:tcPr>
            <w:tcW w:w="0" w:type="auto"/>
            <w:tcBorders>
              <w:top w:val="nil"/>
              <w:left w:val="nil"/>
              <w:bottom w:val="nil"/>
              <w:right w:val="single" w:sz="8" w:space="0" w:color="auto"/>
            </w:tcBorders>
            <w:shd w:val="clear" w:color="auto" w:fill="auto"/>
            <w:noWrap/>
            <w:hideMark/>
          </w:tcPr>
          <w:p w14:paraId="5943EA5E" w14:textId="77777777" w:rsidR="00BE5E42" w:rsidRPr="009E26A9" w:rsidRDefault="00BE5E42" w:rsidP="00072E7F">
            <w:pPr>
              <w:widowControl w:val="0"/>
              <w:jc w:val="center"/>
            </w:pPr>
            <w:r w:rsidRPr="009E26A9">
              <w:t>0.67%</w:t>
            </w:r>
          </w:p>
        </w:tc>
        <w:tc>
          <w:tcPr>
            <w:tcW w:w="0" w:type="auto"/>
            <w:tcBorders>
              <w:top w:val="nil"/>
              <w:left w:val="nil"/>
              <w:bottom w:val="nil"/>
              <w:right w:val="nil"/>
            </w:tcBorders>
            <w:shd w:val="clear" w:color="auto" w:fill="auto"/>
            <w:noWrap/>
            <w:hideMark/>
          </w:tcPr>
          <w:p w14:paraId="1D82F104" w14:textId="77777777" w:rsidR="00BE5E42" w:rsidRPr="00014240" w:rsidRDefault="00BE5E42" w:rsidP="00072E7F">
            <w:pPr>
              <w:widowControl w:val="0"/>
              <w:jc w:val="center"/>
            </w:pPr>
            <w:r w:rsidRPr="00014240">
              <w:t>3.80</w:t>
            </w:r>
          </w:p>
        </w:tc>
      </w:tr>
      <w:tr w:rsidR="00BE5E42" w:rsidRPr="00D321F9" w14:paraId="620F5228" w14:textId="77777777" w:rsidTr="00072E7F">
        <w:tc>
          <w:tcPr>
            <w:tcW w:w="0" w:type="auto"/>
            <w:tcBorders>
              <w:top w:val="nil"/>
              <w:left w:val="nil"/>
              <w:bottom w:val="nil"/>
              <w:right w:val="single" w:sz="8" w:space="0" w:color="auto"/>
            </w:tcBorders>
            <w:shd w:val="clear" w:color="auto" w:fill="auto"/>
            <w:noWrap/>
            <w:vAlign w:val="center"/>
            <w:hideMark/>
          </w:tcPr>
          <w:p w14:paraId="117BF4F1"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14:paraId="5B708AE7"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hideMark/>
          </w:tcPr>
          <w:p w14:paraId="078DB975" w14:textId="77777777" w:rsidR="00BE5E42" w:rsidRPr="008A7FA9" w:rsidRDefault="00BE5E42" w:rsidP="00072E7F">
            <w:pPr>
              <w:widowControl w:val="0"/>
              <w:ind w:right="771"/>
              <w:jc w:val="right"/>
            </w:pPr>
            <w:r w:rsidRPr="008A7FA9">
              <w:t>6,368</w:t>
            </w:r>
          </w:p>
        </w:tc>
        <w:tc>
          <w:tcPr>
            <w:tcW w:w="0" w:type="auto"/>
            <w:tcBorders>
              <w:top w:val="nil"/>
              <w:left w:val="nil"/>
              <w:bottom w:val="nil"/>
              <w:right w:val="single" w:sz="8" w:space="0" w:color="auto"/>
            </w:tcBorders>
            <w:shd w:val="clear" w:color="auto" w:fill="auto"/>
            <w:noWrap/>
            <w:hideMark/>
          </w:tcPr>
          <w:p w14:paraId="63106271" w14:textId="77777777" w:rsidR="00BE5E42" w:rsidRPr="009E26A9" w:rsidRDefault="00BE5E42" w:rsidP="00072E7F">
            <w:pPr>
              <w:widowControl w:val="0"/>
              <w:jc w:val="center"/>
            </w:pPr>
            <w:r w:rsidRPr="009E26A9">
              <w:t>1.01%</w:t>
            </w:r>
          </w:p>
        </w:tc>
        <w:tc>
          <w:tcPr>
            <w:tcW w:w="0" w:type="auto"/>
            <w:tcBorders>
              <w:top w:val="nil"/>
              <w:left w:val="nil"/>
              <w:bottom w:val="nil"/>
              <w:right w:val="nil"/>
            </w:tcBorders>
            <w:shd w:val="clear" w:color="auto" w:fill="auto"/>
            <w:noWrap/>
            <w:hideMark/>
          </w:tcPr>
          <w:p w14:paraId="069D77F3" w14:textId="77777777" w:rsidR="00BE5E42" w:rsidRPr="00014240" w:rsidRDefault="00BE5E42" w:rsidP="00072E7F">
            <w:pPr>
              <w:widowControl w:val="0"/>
              <w:jc w:val="center"/>
            </w:pPr>
            <w:r w:rsidRPr="00014240">
              <w:t>4.09</w:t>
            </w:r>
          </w:p>
        </w:tc>
      </w:tr>
      <w:tr w:rsidR="00BE5E42" w:rsidRPr="00D321F9" w14:paraId="38A7BEC6" w14:textId="77777777" w:rsidTr="00072E7F">
        <w:tc>
          <w:tcPr>
            <w:tcW w:w="0" w:type="auto"/>
            <w:tcBorders>
              <w:top w:val="nil"/>
              <w:left w:val="nil"/>
              <w:bottom w:val="nil"/>
              <w:right w:val="single" w:sz="8" w:space="0" w:color="auto"/>
            </w:tcBorders>
            <w:shd w:val="clear" w:color="auto" w:fill="auto"/>
            <w:noWrap/>
            <w:vAlign w:val="center"/>
            <w:hideMark/>
          </w:tcPr>
          <w:p w14:paraId="00CFC12C"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14:paraId="3D32530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hideMark/>
          </w:tcPr>
          <w:p w14:paraId="4EA82D87" w14:textId="77777777" w:rsidR="00BE5E42" w:rsidRPr="008A7FA9" w:rsidRDefault="00BE5E42" w:rsidP="00072E7F">
            <w:pPr>
              <w:widowControl w:val="0"/>
              <w:ind w:right="771"/>
              <w:jc w:val="right"/>
            </w:pPr>
            <w:r w:rsidRPr="008A7FA9">
              <w:t>11,154</w:t>
            </w:r>
          </w:p>
        </w:tc>
        <w:tc>
          <w:tcPr>
            <w:tcW w:w="0" w:type="auto"/>
            <w:tcBorders>
              <w:top w:val="nil"/>
              <w:left w:val="nil"/>
              <w:bottom w:val="nil"/>
              <w:right w:val="single" w:sz="8" w:space="0" w:color="auto"/>
            </w:tcBorders>
            <w:shd w:val="clear" w:color="auto" w:fill="auto"/>
            <w:noWrap/>
            <w:hideMark/>
          </w:tcPr>
          <w:p w14:paraId="24E76E42" w14:textId="77777777" w:rsidR="00BE5E42" w:rsidRPr="009E26A9" w:rsidRDefault="00BE5E42" w:rsidP="00072E7F">
            <w:pPr>
              <w:widowControl w:val="0"/>
              <w:jc w:val="center"/>
            </w:pPr>
            <w:r w:rsidRPr="009E26A9">
              <w:t>0.82%</w:t>
            </w:r>
          </w:p>
        </w:tc>
        <w:tc>
          <w:tcPr>
            <w:tcW w:w="0" w:type="auto"/>
            <w:tcBorders>
              <w:top w:val="nil"/>
              <w:left w:val="nil"/>
              <w:bottom w:val="nil"/>
              <w:right w:val="nil"/>
            </w:tcBorders>
            <w:shd w:val="clear" w:color="auto" w:fill="auto"/>
            <w:noWrap/>
            <w:hideMark/>
          </w:tcPr>
          <w:p w14:paraId="5D7DA820" w14:textId="77777777" w:rsidR="00BE5E42" w:rsidRPr="00014240" w:rsidRDefault="00BE5E42" w:rsidP="00072E7F">
            <w:pPr>
              <w:widowControl w:val="0"/>
              <w:jc w:val="center"/>
            </w:pPr>
            <w:r w:rsidRPr="00014240">
              <w:t>4.72</w:t>
            </w:r>
          </w:p>
        </w:tc>
      </w:tr>
      <w:tr w:rsidR="00BE5E42" w:rsidRPr="00D321F9" w14:paraId="73B00C8B"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164E820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14:paraId="5CDF270D"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hideMark/>
          </w:tcPr>
          <w:p w14:paraId="77E9F5C3" w14:textId="77777777" w:rsidR="00BE5E42" w:rsidRPr="008A7FA9" w:rsidRDefault="00BE5E42" w:rsidP="00072E7F">
            <w:pPr>
              <w:widowControl w:val="0"/>
              <w:ind w:right="771"/>
              <w:jc w:val="right"/>
            </w:pPr>
            <w:r w:rsidRPr="008A7FA9">
              <w:t>3,694</w:t>
            </w:r>
          </w:p>
        </w:tc>
        <w:tc>
          <w:tcPr>
            <w:tcW w:w="0" w:type="auto"/>
            <w:tcBorders>
              <w:top w:val="nil"/>
              <w:left w:val="nil"/>
              <w:bottom w:val="nil"/>
              <w:right w:val="single" w:sz="8" w:space="0" w:color="auto"/>
            </w:tcBorders>
            <w:shd w:val="clear" w:color="auto" w:fill="auto"/>
            <w:noWrap/>
            <w:hideMark/>
          </w:tcPr>
          <w:p w14:paraId="65862416" w14:textId="77777777" w:rsidR="00BE5E42" w:rsidRPr="009E26A9" w:rsidRDefault="00BE5E42" w:rsidP="00072E7F">
            <w:pPr>
              <w:widowControl w:val="0"/>
              <w:jc w:val="center"/>
            </w:pPr>
            <w:r w:rsidRPr="009E26A9">
              <w:t>1.23%</w:t>
            </w:r>
          </w:p>
        </w:tc>
        <w:tc>
          <w:tcPr>
            <w:tcW w:w="0" w:type="auto"/>
            <w:tcBorders>
              <w:top w:val="nil"/>
              <w:left w:val="nil"/>
              <w:bottom w:val="nil"/>
              <w:right w:val="nil"/>
            </w:tcBorders>
            <w:shd w:val="clear" w:color="auto" w:fill="auto"/>
            <w:noWrap/>
            <w:hideMark/>
          </w:tcPr>
          <w:p w14:paraId="66234F8F" w14:textId="77777777" w:rsidR="00BE5E42" w:rsidRPr="00014240" w:rsidRDefault="00BE5E42" w:rsidP="00072E7F">
            <w:pPr>
              <w:widowControl w:val="0"/>
              <w:jc w:val="center"/>
            </w:pPr>
            <w:r w:rsidRPr="00014240">
              <w:t>3.47</w:t>
            </w:r>
          </w:p>
        </w:tc>
      </w:tr>
      <w:tr w:rsidR="00BE5E42" w:rsidRPr="00D321F9" w14:paraId="2F8F61F3" w14:textId="77777777" w:rsidTr="00072E7F">
        <w:tc>
          <w:tcPr>
            <w:tcW w:w="0" w:type="auto"/>
            <w:tcBorders>
              <w:top w:val="nil"/>
              <w:left w:val="nil"/>
              <w:bottom w:val="nil"/>
              <w:right w:val="single" w:sz="8" w:space="0" w:color="auto"/>
            </w:tcBorders>
            <w:shd w:val="clear" w:color="auto" w:fill="auto"/>
            <w:noWrap/>
            <w:vAlign w:val="center"/>
            <w:hideMark/>
          </w:tcPr>
          <w:p w14:paraId="43DE2A6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14:paraId="3D0D9FA3"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hideMark/>
          </w:tcPr>
          <w:p w14:paraId="4EB21179" w14:textId="77777777" w:rsidR="00BE5E42" w:rsidRPr="008A7FA9" w:rsidRDefault="00BE5E42" w:rsidP="00072E7F">
            <w:pPr>
              <w:widowControl w:val="0"/>
              <w:ind w:right="771"/>
              <w:jc w:val="right"/>
            </w:pPr>
            <w:r w:rsidRPr="008A7FA9">
              <w:t>10,328</w:t>
            </w:r>
          </w:p>
        </w:tc>
        <w:tc>
          <w:tcPr>
            <w:tcW w:w="0" w:type="auto"/>
            <w:tcBorders>
              <w:top w:val="single" w:sz="8" w:space="0" w:color="auto"/>
              <w:left w:val="nil"/>
              <w:bottom w:val="nil"/>
              <w:right w:val="single" w:sz="8" w:space="0" w:color="auto"/>
            </w:tcBorders>
            <w:shd w:val="clear" w:color="auto" w:fill="auto"/>
            <w:noWrap/>
            <w:hideMark/>
          </w:tcPr>
          <w:p w14:paraId="20551FF5" w14:textId="77777777" w:rsidR="00BE5E42" w:rsidRPr="009E26A9" w:rsidRDefault="00BE5E42" w:rsidP="00072E7F">
            <w:pPr>
              <w:widowControl w:val="0"/>
              <w:jc w:val="center"/>
            </w:pPr>
            <w:r w:rsidRPr="009E26A9">
              <w:t>0.82%</w:t>
            </w:r>
          </w:p>
        </w:tc>
        <w:tc>
          <w:tcPr>
            <w:tcW w:w="0" w:type="auto"/>
            <w:tcBorders>
              <w:top w:val="single" w:sz="8" w:space="0" w:color="auto"/>
              <w:left w:val="nil"/>
              <w:bottom w:val="nil"/>
              <w:right w:val="nil"/>
            </w:tcBorders>
            <w:shd w:val="clear" w:color="auto" w:fill="auto"/>
            <w:noWrap/>
            <w:hideMark/>
          </w:tcPr>
          <w:p w14:paraId="7CB7BB0A" w14:textId="77777777" w:rsidR="00BE5E42" w:rsidRPr="00014240" w:rsidRDefault="00BE5E42" w:rsidP="00072E7F">
            <w:pPr>
              <w:widowControl w:val="0"/>
              <w:jc w:val="center"/>
            </w:pPr>
            <w:r w:rsidRPr="00014240">
              <w:t>4.36</w:t>
            </w:r>
          </w:p>
        </w:tc>
      </w:tr>
      <w:tr w:rsidR="00BE5E42" w:rsidRPr="00D321F9" w14:paraId="0E85E37D" w14:textId="77777777" w:rsidTr="00072E7F">
        <w:tc>
          <w:tcPr>
            <w:tcW w:w="0" w:type="auto"/>
            <w:tcBorders>
              <w:top w:val="nil"/>
              <w:left w:val="nil"/>
              <w:bottom w:val="nil"/>
              <w:right w:val="single" w:sz="8" w:space="0" w:color="auto"/>
            </w:tcBorders>
            <w:shd w:val="clear" w:color="auto" w:fill="auto"/>
            <w:noWrap/>
            <w:vAlign w:val="center"/>
            <w:hideMark/>
          </w:tcPr>
          <w:p w14:paraId="2AAD6FBC"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14:paraId="5AA44B93"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hideMark/>
          </w:tcPr>
          <w:p w14:paraId="6BF41CCB" w14:textId="77777777" w:rsidR="00BE5E42" w:rsidRPr="008A7FA9" w:rsidRDefault="00BE5E42" w:rsidP="00072E7F">
            <w:pPr>
              <w:widowControl w:val="0"/>
              <w:ind w:right="771"/>
              <w:jc w:val="right"/>
            </w:pPr>
            <w:r w:rsidRPr="008A7FA9">
              <w:t>11,377</w:t>
            </w:r>
          </w:p>
        </w:tc>
        <w:tc>
          <w:tcPr>
            <w:tcW w:w="0" w:type="auto"/>
            <w:tcBorders>
              <w:top w:val="nil"/>
              <w:left w:val="nil"/>
              <w:bottom w:val="nil"/>
              <w:right w:val="single" w:sz="8" w:space="0" w:color="auto"/>
            </w:tcBorders>
            <w:shd w:val="clear" w:color="auto" w:fill="auto"/>
            <w:noWrap/>
            <w:hideMark/>
          </w:tcPr>
          <w:p w14:paraId="0F018226" w14:textId="77777777" w:rsidR="00BE5E42" w:rsidRPr="009E26A9" w:rsidRDefault="00BE5E42" w:rsidP="00072E7F">
            <w:pPr>
              <w:widowControl w:val="0"/>
              <w:jc w:val="center"/>
            </w:pPr>
            <w:r w:rsidRPr="009E26A9">
              <w:t>0.77%</w:t>
            </w:r>
          </w:p>
        </w:tc>
        <w:tc>
          <w:tcPr>
            <w:tcW w:w="0" w:type="auto"/>
            <w:tcBorders>
              <w:top w:val="nil"/>
              <w:left w:val="nil"/>
              <w:bottom w:val="nil"/>
              <w:right w:val="nil"/>
            </w:tcBorders>
            <w:shd w:val="clear" w:color="auto" w:fill="auto"/>
            <w:noWrap/>
            <w:hideMark/>
          </w:tcPr>
          <w:p w14:paraId="47EA9C95" w14:textId="77777777" w:rsidR="00BE5E42" w:rsidRPr="00014240" w:rsidRDefault="00BE5E42" w:rsidP="00072E7F">
            <w:pPr>
              <w:widowControl w:val="0"/>
              <w:jc w:val="center"/>
            </w:pPr>
            <w:r w:rsidRPr="00014240">
              <w:t>4.19</w:t>
            </w:r>
          </w:p>
        </w:tc>
      </w:tr>
      <w:tr w:rsidR="00BE5E42" w:rsidRPr="00D321F9" w14:paraId="45222515" w14:textId="77777777" w:rsidTr="00072E7F">
        <w:tc>
          <w:tcPr>
            <w:tcW w:w="0" w:type="auto"/>
            <w:tcBorders>
              <w:top w:val="nil"/>
              <w:left w:val="nil"/>
              <w:bottom w:val="nil"/>
              <w:right w:val="single" w:sz="8" w:space="0" w:color="auto"/>
            </w:tcBorders>
            <w:shd w:val="clear" w:color="auto" w:fill="auto"/>
            <w:noWrap/>
            <w:vAlign w:val="center"/>
            <w:hideMark/>
          </w:tcPr>
          <w:p w14:paraId="4174E057"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14:paraId="3BCF50B5"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hideMark/>
          </w:tcPr>
          <w:p w14:paraId="1B580733" w14:textId="77777777" w:rsidR="00BE5E42" w:rsidRPr="008A7FA9" w:rsidRDefault="00BE5E42" w:rsidP="00072E7F">
            <w:pPr>
              <w:widowControl w:val="0"/>
              <w:ind w:right="771"/>
              <w:jc w:val="right"/>
            </w:pPr>
            <w:r w:rsidRPr="008A7FA9">
              <w:t>5,126</w:t>
            </w:r>
          </w:p>
        </w:tc>
        <w:tc>
          <w:tcPr>
            <w:tcW w:w="0" w:type="auto"/>
            <w:tcBorders>
              <w:top w:val="nil"/>
              <w:left w:val="nil"/>
              <w:bottom w:val="nil"/>
              <w:right w:val="single" w:sz="8" w:space="0" w:color="auto"/>
            </w:tcBorders>
            <w:shd w:val="clear" w:color="auto" w:fill="auto"/>
            <w:noWrap/>
            <w:hideMark/>
          </w:tcPr>
          <w:p w14:paraId="1B18E208" w14:textId="77777777" w:rsidR="00BE5E42" w:rsidRPr="009E26A9" w:rsidRDefault="00BE5E42" w:rsidP="00072E7F">
            <w:pPr>
              <w:widowControl w:val="0"/>
              <w:jc w:val="center"/>
            </w:pPr>
            <w:r w:rsidRPr="009E26A9">
              <w:t>1.10%</w:t>
            </w:r>
          </w:p>
        </w:tc>
        <w:tc>
          <w:tcPr>
            <w:tcW w:w="0" w:type="auto"/>
            <w:tcBorders>
              <w:top w:val="nil"/>
              <w:left w:val="nil"/>
              <w:bottom w:val="nil"/>
              <w:right w:val="nil"/>
            </w:tcBorders>
            <w:shd w:val="clear" w:color="auto" w:fill="auto"/>
            <w:noWrap/>
            <w:hideMark/>
          </w:tcPr>
          <w:p w14:paraId="24A410B8" w14:textId="77777777" w:rsidR="00BE5E42" w:rsidRPr="00014240" w:rsidRDefault="00BE5E42" w:rsidP="00072E7F">
            <w:pPr>
              <w:widowControl w:val="0"/>
              <w:jc w:val="center"/>
            </w:pPr>
            <w:r w:rsidRPr="00014240">
              <w:t>3.85</w:t>
            </w:r>
          </w:p>
        </w:tc>
      </w:tr>
      <w:tr w:rsidR="00BE5E42" w:rsidRPr="00D321F9" w14:paraId="45DBB4AE"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49F55FFC"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14:paraId="657019B7"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hideMark/>
          </w:tcPr>
          <w:p w14:paraId="18977326" w14:textId="77777777" w:rsidR="00BE5E42" w:rsidRPr="008A7FA9" w:rsidRDefault="00BE5E42" w:rsidP="00072E7F">
            <w:pPr>
              <w:widowControl w:val="0"/>
              <w:ind w:right="771"/>
              <w:jc w:val="right"/>
            </w:pPr>
            <w:r w:rsidRPr="008A7FA9">
              <w:t>7,891</w:t>
            </w:r>
          </w:p>
        </w:tc>
        <w:tc>
          <w:tcPr>
            <w:tcW w:w="0" w:type="auto"/>
            <w:tcBorders>
              <w:top w:val="nil"/>
              <w:left w:val="nil"/>
              <w:bottom w:val="single" w:sz="8" w:space="0" w:color="auto"/>
              <w:right w:val="single" w:sz="8" w:space="0" w:color="auto"/>
            </w:tcBorders>
            <w:shd w:val="clear" w:color="auto" w:fill="auto"/>
            <w:noWrap/>
            <w:hideMark/>
          </w:tcPr>
          <w:p w14:paraId="05294157" w14:textId="77777777" w:rsidR="00BE5E42" w:rsidRPr="009E26A9" w:rsidRDefault="00BE5E42" w:rsidP="00072E7F">
            <w:pPr>
              <w:widowControl w:val="0"/>
              <w:jc w:val="center"/>
            </w:pPr>
            <w:r w:rsidRPr="009E26A9">
              <w:t>0.90%</w:t>
            </w:r>
          </w:p>
        </w:tc>
        <w:tc>
          <w:tcPr>
            <w:tcW w:w="0" w:type="auto"/>
            <w:tcBorders>
              <w:top w:val="nil"/>
              <w:left w:val="nil"/>
              <w:bottom w:val="single" w:sz="8" w:space="0" w:color="auto"/>
              <w:right w:val="nil"/>
            </w:tcBorders>
            <w:shd w:val="clear" w:color="auto" w:fill="auto"/>
            <w:noWrap/>
            <w:hideMark/>
          </w:tcPr>
          <w:p w14:paraId="1ABC537D" w14:textId="77777777" w:rsidR="00BE5E42" w:rsidRPr="00014240" w:rsidRDefault="00BE5E42" w:rsidP="00072E7F">
            <w:pPr>
              <w:widowControl w:val="0"/>
              <w:jc w:val="center"/>
            </w:pPr>
            <w:r w:rsidRPr="00014240">
              <w:t>3.99</w:t>
            </w:r>
          </w:p>
        </w:tc>
      </w:tr>
      <w:tr w:rsidR="00BE5E42" w:rsidRPr="00D321F9" w14:paraId="454C9AE5" w14:textId="77777777" w:rsidTr="00072E7F">
        <w:tc>
          <w:tcPr>
            <w:tcW w:w="0" w:type="auto"/>
            <w:tcBorders>
              <w:top w:val="nil"/>
              <w:left w:val="nil"/>
              <w:bottom w:val="nil"/>
              <w:right w:val="single" w:sz="8" w:space="0" w:color="auto"/>
            </w:tcBorders>
            <w:shd w:val="clear" w:color="auto" w:fill="auto"/>
            <w:noWrap/>
            <w:vAlign w:val="center"/>
            <w:hideMark/>
          </w:tcPr>
          <w:p w14:paraId="18AF61FD"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14:paraId="1B4ED42B"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hideMark/>
          </w:tcPr>
          <w:p w14:paraId="3A2E445F" w14:textId="77777777" w:rsidR="00BE5E42" w:rsidRPr="008A7FA9" w:rsidRDefault="00BE5E42" w:rsidP="00072E7F">
            <w:pPr>
              <w:widowControl w:val="0"/>
              <w:ind w:right="771"/>
              <w:jc w:val="right"/>
            </w:pPr>
            <w:r w:rsidRPr="008A7FA9">
              <w:t>712</w:t>
            </w:r>
          </w:p>
        </w:tc>
        <w:tc>
          <w:tcPr>
            <w:tcW w:w="0" w:type="auto"/>
            <w:tcBorders>
              <w:top w:val="nil"/>
              <w:left w:val="nil"/>
              <w:bottom w:val="nil"/>
              <w:right w:val="single" w:sz="8" w:space="0" w:color="auto"/>
            </w:tcBorders>
            <w:shd w:val="clear" w:color="auto" w:fill="auto"/>
            <w:noWrap/>
            <w:hideMark/>
          </w:tcPr>
          <w:p w14:paraId="1C01C6AF" w14:textId="77777777" w:rsidR="00BE5E42" w:rsidRPr="009E26A9" w:rsidRDefault="00BE5E42" w:rsidP="00072E7F">
            <w:pPr>
              <w:widowControl w:val="0"/>
              <w:jc w:val="center"/>
            </w:pPr>
            <w:r w:rsidRPr="009E26A9">
              <w:t>2.49%</w:t>
            </w:r>
          </w:p>
        </w:tc>
        <w:tc>
          <w:tcPr>
            <w:tcW w:w="0" w:type="auto"/>
            <w:tcBorders>
              <w:top w:val="nil"/>
              <w:left w:val="nil"/>
              <w:bottom w:val="nil"/>
              <w:right w:val="nil"/>
            </w:tcBorders>
            <w:shd w:val="clear" w:color="auto" w:fill="auto"/>
            <w:noWrap/>
            <w:hideMark/>
          </w:tcPr>
          <w:p w14:paraId="0B2FD6B5" w14:textId="77777777" w:rsidR="00BE5E42" w:rsidRPr="00014240" w:rsidRDefault="00BE5E42" w:rsidP="00072E7F">
            <w:pPr>
              <w:widowControl w:val="0"/>
              <w:jc w:val="center"/>
            </w:pPr>
            <w:r w:rsidRPr="00014240">
              <w:t>2.75</w:t>
            </w:r>
          </w:p>
        </w:tc>
      </w:tr>
      <w:tr w:rsidR="00BE5E42" w:rsidRPr="00D321F9" w14:paraId="2368FAEF" w14:textId="77777777" w:rsidTr="00072E7F">
        <w:tc>
          <w:tcPr>
            <w:tcW w:w="0" w:type="auto"/>
            <w:tcBorders>
              <w:top w:val="nil"/>
              <w:left w:val="nil"/>
              <w:bottom w:val="nil"/>
              <w:right w:val="single" w:sz="8" w:space="0" w:color="auto"/>
            </w:tcBorders>
            <w:shd w:val="clear" w:color="auto" w:fill="auto"/>
            <w:noWrap/>
            <w:vAlign w:val="center"/>
            <w:hideMark/>
          </w:tcPr>
          <w:p w14:paraId="26DF256D"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14:paraId="59AB7F1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hideMark/>
          </w:tcPr>
          <w:p w14:paraId="233793E9" w14:textId="77777777" w:rsidR="00BE5E42" w:rsidRPr="008A7FA9" w:rsidRDefault="00BE5E42" w:rsidP="00072E7F">
            <w:pPr>
              <w:widowControl w:val="0"/>
              <w:ind w:right="771"/>
              <w:jc w:val="right"/>
            </w:pPr>
            <w:r w:rsidRPr="008A7FA9">
              <w:t>1,519</w:t>
            </w:r>
          </w:p>
        </w:tc>
        <w:tc>
          <w:tcPr>
            <w:tcW w:w="0" w:type="auto"/>
            <w:tcBorders>
              <w:top w:val="nil"/>
              <w:left w:val="nil"/>
              <w:bottom w:val="nil"/>
              <w:right w:val="single" w:sz="8" w:space="0" w:color="auto"/>
            </w:tcBorders>
            <w:shd w:val="clear" w:color="auto" w:fill="auto"/>
            <w:noWrap/>
            <w:hideMark/>
          </w:tcPr>
          <w:p w14:paraId="26322378" w14:textId="77777777" w:rsidR="00BE5E42" w:rsidRPr="009E26A9" w:rsidRDefault="00BE5E42" w:rsidP="00072E7F">
            <w:pPr>
              <w:widowControl w:val="0"/>
              <w:jc w:val="center"/>
            </w:pPr>
            <w:r w:rsidRPr="009E26A9">
              <w:t>1.85%</w:t>
            </w:r>
          </w:p>
        </w:tc>
        <w:tc>
          <w:tcPr>
            <w:tcW w:w="0" w:type="auto"/>
            <w:tcBorders>
              <w:top w:val="nil"/>
              <w:left w:val="nil"/>
              <w:bottom w:val="nil"/>
              <w:right w:val="nil"/>
            </w:tcBorders>
            <w:shd w:val="clear" w:color="auto" w:fill="auto"/>
            <w:noWrap/>
            <w:hideMark/>
          </w:tcPr>
          <w:p w14:paraId="6C87738E" w14:textId="77777777" w:rsidR="00BE5E42" w:rsidRPr="00014240" w:rsidRDefault="00BE5E42" w:rsidP="00072E7F">
            <w:pPr>
              <w:widowControl w:val="0"/>
              <w:jc w:val="center"/>
            </w:pPr>
            <w:r w:rsidRPr="00014240">
              <w:t>3.26</w:t>
            </w:r>
          </w:p>
        </w:tc>
      </w:tr>
      <w:tr w:rsidR="00BE5E42" w:rsidRPr="00D321F9" w14:paraId="3B90B10B" w14:textId="77777777" w:rsidTr="00072E7F">
        <w:tc>
          <w:tcPr>
            <w:tcW w:w="0" w:type="auto"/>
            <w:tcBorders>
              <w:top w:val="nil"/>
              <w:left w:val="nil"/>
              <w:bottom w:val="nil"/>
              <w:right w:val="single" w:sz="8" w:space="0" w:color="auto"/>
            </w:tcBorders>
            <w:shd w:val="clear" w:color="auto" w:fill="auto"/>
            <w:noWrap/>
            <w:vAlign w:val="center"/>
            <w:hideMark/>
          </w:tcPr>
          <w:p w14:paraId="0D6F6F54"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14:paraId="070EAE74"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hideMark/>
          </w:tcPr>
          <w:p w14:paraId="59474FD0" w14:textId="77777777" w:rsidR="00BE5E42" w:rsidRPr="008A7FA9" w:rsidRDefault="00BE5E42" w:rsidP="00072E7F">
            <w:pPr>
              <w:widowControl w:val="0"/>
              <w:ind w:right="771"/>
              <w:jc w:val="right"/>
            </w:pPr>
            <w:r w:rsidRPr="008A7FA9">
              <w:t>9,999</w:t>
            </w:r>
          </w:p>
        </w:tc>
        <w:tc>
          <w:tcPr>
            <w:tcW w:w="0" w:type="auto"/>
            <w:tcBorders>
              <w:top w:val="nil"/>
              <w:left w:val="nil"/>
              <w:bottom w:val="nil"/>
              <w:right w:val="single" w:sz="8" w:space="0" w:color="auto"/>
            </w:tcBorders>
            <w:shd w:val="clear" w:color="auto" w:fill="auto"/>
            <w:noWrap/>
            <w:hideMark/>
          </w:tcPr>
          <w:p w14:paraId="1FCDB6D5" w14:textId="77777777" w:rsidR="00BE5E42" w:rsidRPr="009E26A9" w:rsidRDefault="00BE5E42" w:rsidP="00072E7F">
            <w:pPr>
              <w:widowControl w:val="0"/>
              <w:jc w:val="center"/>
            </w:pPr>
            <w:r w:rsidRPr="009E26A9">
              <w:t>0.77%</w:t>
            </w:r>
          </w:p>
        </w:tc>
        <w:tc>
          <w:tcPr>
            <w:tcW w:w="0" w:type="auto"/>
            <w:tcBorders>
              <w:top w:val="nil"/>
              <w:left w:val="nil"/>
              <w:bottom w:val="nil"/>
              <w:right w:val="nil"/>
            </w:tcBorders>
            <w:shd w:val="clear" w:color="auto" w:fill="auto"/>
            <w:noWrap/>
            <w:hideMark/>
          </w:tcPr>
          <w:p w14:paraId="31EBBBCF" w14:textId="77777777" w:rsidR="00BE5E42" w:rsidRPr="00014240" w:rsidRDefault="00BE5E42" w:rsidP="00072E7F">
            <w:pPr>
              <w:widowControl w:val="0"/>
              <w:jc w:val="center"/>
            </w:pPr>
            <w:r w:rsidRPr="00014240">
              <w:t>3.73</w:t>
            </w:r>
          </w:p>
        </w:tc>
      </w:tr>
      <w:tr w:rsidR="00BE5E42" w:rsidRPr="00D321F9" w14:paraId="1732CB73" w14:textId="77777777" w:rsidTr="00072E7F">
        <w:tc>
          <w:tcPr>
            <w:tcW w:w="0" w:type="auto"/>
            <w:tcBorders>
              <w:top w:val="nil"/>
              <w:left w:val="nil"/>
              <w:bottom w:val="nil"/>
              <w:right w:val="single" w:sz="8" w:space="0" w:color="auto"/>
            </w:tcBorders>
            <w:shd w:val="clear" w:color="auto" w:fill="auto"/>
            <w:noWrap/>
            <w:vAlign w:val="center"/>
            <w:hideMark/>
          </w:tcPr>
          <w:p w14:paraId="38E4B95B"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14:paraId="39A7A10A"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hideMark/>
          </w:tcPr>
          <w:p w14:paraId="6ED9D353" w14:textId="77777777" w:rsidR="00BE5E42" w:rsidRPr="008A7FA9" w:rsidRDefault="00BE5E42" w:rsidP="00072E7F">
            <w:pPr>
              <w:widowControl w:val="0"/>
              <w:ind w:right="771"/>
              <w:jc w:val="right"/>
            </w:pPr>
            <w:r w:rsidRPr="008A7FA9">
              <w:t>9,544</w:t>
            </w:r>
          </w:p>
        </w:tc>
        <w:tc>
          <w:tcPr>
            <w:tcW w:w="0" w:type="auto"/>
            <w:tcBorders>
              <w:top w:val="nil"/>
              <w:left w:val="nil"/>
              <w:bottom w:val="nil"/>
              <w:right w:val="single" w:sz="8" w:space="0" w:color="auto"/>
            </w:tcBorders>
            <w:shd w:val="clear" w:color="auto" w:fill="auto"/>
            <w:noWrap/>
            <w:hideMark/>
          </w:tcPr>
          <w:p w14:paraId="358CF710" w14:textId="77777777" w:rsidR="00BE5E42" w:rsidRPr="009E26A9" w:rsidRDefault="00BE5E42" w:rsidP="00072E7F">
            <w:pPr>
              <w:widowControl w:val="0"/>
              <w:jc w:val="center"/>
            </w:pPr>
            <w:r w:rsidRPr="009E26A9">
              <w:t>0.84%</w:t>
            </w:r>
          </w:p>
        </w:tc>
        <w:tc>
          <w:tcPr>
            <w:tcW w:w="0" w:type="auto"/>
            <w:tcBorders>
              <w:top w:val="nil"/>
              <w:left w:val="nil"/>
              <w:bottom w:val="nil"/>
              <w:right w:val="nil"/>
            </w:tcBorders>
            <w:shd w:val="clear" w:color="auto" w:fill="auto"/>
            <w:noWrap/>
            <w:hideMark/>
          </w:tcPr>
          <w:p w14:paraId="7BEEE777" w14:textId="77777777" w:rsidR="00BE5E42" w:rsidRPr="00014240" w:rsidRDefault="00BE5E42" w:rsidP="00072E7F">
            <w:pPr>
              <w:widowControl w:val="0"/>
              <w:jc w:val="center"/>
            </w:pPr>
            <w:r w:rsidRPr="00014240">
              <w:t>4.22</w:t>
            </w:r>
          </w:p>
        </w:tc>
      </w:tr>
      <w:tr w:rsidR="00BE5E42" w:rsidRPr="00D321F9" w14:paraId="46B759DE" w14:textId="77777777" w:rsidTr="00072E7F">
        <w:tc>
          <w:tcPr>
            <w:tcW w:w="0" w:type="auto"/>
            <w:tcBorders>
              <w:top w:val="nil"/>
              <w:left w:val="nil"/>
              <w:bottom w:val="nil"/>
              <w:right w:val="single" w:sz="8" w:space="0" w:color="auto"/>
            </w:tcBorders>
            <w:shd w:val="clear" w:color="auto" w:fill="auto"/>
            <w:noWrap/>
            <w:vAlign w:val="center"/>
            <w:hideMark/>
          </w:tcPr>
          <w:p w14:paraId="12B3C0FD"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14:paraId="14FF64F5"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hideMark/>
          </w:tcPr>
          <w:p w14:paraId="24D0C394" w14:textId="77777777" w:rsidR="00BE5E42" w:rsidRPr="008A7FA9" w:rsidRDefault="00BE5E42" w:rsidP="00072E7F">
            <w:pPr>
              <w:widowControl w:val="0"/>
              <w:ind w:right="771"/>
              <w:jc w:val="right"/>
            </w:pPr>
            <w:r w:rsidRPr="008A7FA9">
              <w:t>4,909</w:t>
            </w:r>
          </w:p>
        </w:tc>
        <w:tc>
          <w:tcPr>
            <w:tcW w:w="0" w:type="auto"/>
            <w:tcBorders>
              <w:top w:val="nil"/>
              <w:left w:val="nil"/>
              <w:bottom w:val="nil"/>
              <w:right w:val="single" w:sz="8" w:space="0" w:color="auto"/>
            </w:tcBorders>
            <w:shd w:val="clear" w:color="auto" w:fill="auto"/>
            <w:noWrap/>
            <w:hideMark/>
          </w:tcPr>
          <w:p w14:paraId="77EBBD8F" w14:textId="77777777" w:rsidR="00BE5E42" w:rsidRPr="009E26A9" w:rsidRDefault="00BE5E42" w:rsidP="00072E7F">
            <w:pPr>
              <w:widowControl w:val="0"/>
              <w:jc w:val="center"/>
            </w:pPr>
            <w:r w:rsidRPr="009E26A9">
              <w:t>1.20%</w:t>
            </w:r>
          </w:p>
        </w:tc>
        <w:tc>
          <w:tcPr>
            <w:tcW w:w="0" w:type="auto"/>
            <w:tcBorders>
              <w:top w:val="nil"/>
              <w:left w:val="nil"/>
              <w:bottom w:val="nil"/>
              <w:right w:val="nil"/>
            </w:tcBorders>
            <w:shd w:val="clear" w:color="auto" w:fill="auto"/>
            <w:noWrap/>
            <w:hideMark/>
          </w:tcPr>
          <w:p w14:paraId="29D40B04" w14:textId="77777777" w:rsidR="00BE5E42" w:rsidRPr="00014240" w:rsidRDefault="00BE5E42" w:rsidP="00072E7F">
            <w:pPr>
              <w:widowControl w:val="0"/>
              <w:jc w:val="center"/>
            </w:pPr>
            <w:r w:rsidRPr="00014240">
              <w:t>4.38</w:t>
            </w:r>
          </w:p>
        </w:tc>
      </w:tr>
      <w:tr w:rsidR="00BE5E42" w:rsidRPr="00D321F9" w14:paraId="47956BA6"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02FF6315"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14:paraId="1A88D06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hideMark/>
          </w:tcPr>
          <w:p w14:paraId="0DAFECF8" w14:textId="77777777" w:rsidR="00BE5E42" w:rsidRPr="008A7FA9" w:rsidRDefault="00BE5E42" w:rsidP="00072E7F">
            <w:pPr>
              <w:widowControl w:val="0"/>
              <w:ind w:right="771"/>
              <w:jc w:val="right"/>
            </w:pPr>
            <w:r w:rsidRPr="008A7FA9">
              <w:t>8,039</w:t>
            </w:r>
          </w:p>
        </w:tc>
        <w:tc>
          <w:tcPr>
            <w:tcW w:w="0" w:type="auto"/>
            <w:tcBorders>
              <w:top w:val="nil"/>
              <w:left w:val="nil"/>
              <w:bottom w:val="nil"/>
              <w:right w:val="single" w:sz="8" w:space="0" w:color="auto"/>
            </w:tcBorders>
            <w:shd w:val="clear" w:color="auto" w:fill="auto"/>
            <w:noWrap/>
            <w:hideMark/>
          </w:tcPr>
          <w:p w14:paraId="31229FA4" w14:textId="77777777" w:rsidR="00BE5E42" w:rsidRPr="009E26A9" w:rsidRDefault="00BE5E42" w:rsidP="00072E7F">
            <w:pPr>
              <w:widowControl w:val="0"/>
              <w:jc w:val="center"/>
            </w:pPr>
            <w:r w:rsidRPr="009E26A9">
              <w:t>0.98%</w:t>
            </w:r>
          </w:p>
        </w:tc>
        <w:tc>
          <w:tcPr>
            <w:tcW w:w="0" w:type="auto"/>
            <w:tcBorders>
              <w:top w:val="nil"/>
              <w:left w:val="nil"/>
              <w:bottom w:val="nil"/>
              <w:right w:val="nil"/>
            </w:tcBorders>
            <w:shd w:val="clear" w:color="auto" w:fill="auto"/>
            <w:noWrap/>
            <w:hideMark/>
          </w:tcPr>
          <w:p w14:paraId="18531D3D" w14:textId="77777777" w:rsidR="00BE5E42" w:rsidRPr="00014240" w:rsidRDefault="00BE5E42" w:rsidP="00072E7F">
            <w:pPr>
              <w:widowControl w:val="0"/>
              <w:jc w:val="center"/>
            </w:pPr>
            <w:r w:rsidRPr="00014240">
              <w:t>4.81</w:t>
            </w:r>
          </w:p>
        </w:tc>
      </w:tr>
      <w:tr w:rsidR="00BE5E42" w:rsidRPr="00D321F9" w14:paraId="3BCDA8C3" w14:textId="77777777" w:rsidTr="00072E7F">
        <w:tc>
          <w:tcPr>
            <w:tcW w:w="0" w:type="auto"/>
            <w:tcBorders>
              <w:top w:val="nil"/>
              <w:left w:val="nil"/>
              <w:bottom w:val="nil"/>
              <w:right w:val="single" w:sz="8" w:space="0" w:color="auto"/>
            </w:tcBorders>
            <w:shd w:val="clear" w:color="auto" w:fill="auto"/>
            <w:noWrap/>
            <w:vAlign w:val="center"/>
            <w:hideMark/>
          </w:tcPr>
          <w:p w14:paraId="4A4FABE0"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14:paraId="6D8191C8"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hideMark/>
          </w:tcPr>
          <w:p w14:paraId="1EC28498" w14:textId="77777777" w:rsidR="00BE5E42" w:rsidRPr="008A7FA9" w:rsidRDefault="00BE5E42" w:rsidP="00072E7F">
            <w:pPr>
              <w:widowControl w:val="0"/>
              <w:ind w:right="771"/>
              <w:jc w:val="right"/>
            </w:pPr>
            <w:r w:rsidRPr="008A7FA9">
              <w:t>10,524</w:t>
            </w:r>
          </w:p>
        </w:tc>
        <w:tc>
          <w:tcPr>
            <w:tcW w:w="0" w:type="auto"/>
            <w:tcBorders>
              <w:top w:val="single" w:sz="8" w:space="0" w:color="auto"/>
              <w:left w:val="nil"/>
              <w:bottom w:val="nil"/>
              <w:right w:val="single" w:sz="8" w:space="0" w:color="auto"/>
            </w:tcBorders>
            <w:shd w:val="clear" w:color="auto" w:fill="auto"/>
            <w:noWrap/>
            <w:hideMark/>
          </w:tcPr>
          <w:p w14:paraId="27657417" w14:textId="77777777" w:rsidR="00BE5E42" w:rsidRPr="009E26A9" w:rsidRDefault="00BE5E42" w:rsidP="00072E7F">
            <w:pPr>
              <w:widowControl w:val="0"/>
              <w:jc w:val="center"/>
            </w:pPr>
            <w:r w:rsidRPr="009E26A9">
              <w:t>0.82%</w:t>
            </w:r>
          </w:p>
        </w:tc>
        <w:tc>
          <w:tcPr>
            <w:tcW w:w="0" w:type="auto"/>
            <w:tcBorders>
              <w:top w:val="single" w:sz="8" w:space="0" w:color="auto"/>
              <w:left w:val="nil"/>
              <w:bottom w:val="nil"/>
              <w:right w:val="nil"/>
            </w:tcBorders>
            <w:shd w:val="clear" w:color="auto" w:fill="auto"/>
            <w:noWrap/>
            <w:hideMark/>
          </w:tcPr>
          <w:p w14:paraId="7A236B05" w14:textId="77777777" w:rsidR="00BE5E42" w:rsidRPr="00014240" w:rsidRDefault="00BE5E42" w:rsidP="00072E7F">
            <w:pPr>
              <w:widowControl w:val="0"/>
              <w:jc w:val="center"/>
            </w:pPr>
            <w:r w:rsidRPr="00014240">
              <w:t>4.46</w:t>
            </w:r>
          </w:p>
        </w:tc>
      </w:tr>
      <w:tr w:rsidR="00BE5E42" w:rsidRPr="00D321F9" w14:paraId="76A476B7" w14:textId="77777777" w:rsidTr="00072E7F">
        <w:tc>
          <w:tcPr>
            <w:tcW w:w="0" w:type="auto"/>
            <w:tcBorders>
              <w:top w:val="nil"/>
              <w:left w:val="nil"/>
              <w:bottom w:val="nil"/>
              <w:right w:val="single" w:sz="8" w:space="0" w:color="auto"/>
            </w:tcBorders>
            <w:shd w:val="clear" w:color="auto" w:fill="auto"/>
            <w:noWrap/>
            <w:vAlign w:val="center"/>
            <w:hideMark/>
          </w:tcPr>
          <w:p w14:paraId="5BD003C0"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14:paraId="562CBE75"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hideMark/>
          </w:tcPr>
          <w:p w14:paraId="0D9362F4" w14:textId="77777777" w:rsidR="00BE5E42" w:rsidRPr="008A7FA9" w:rsidRDefault="00BE5E42" w:rsidP="00072E7F">
            <w:pPr>
              <w:widowControl w:val="0"/>
              <w:ind w:right="771"/>
              <w:jc w:val="right"/>
            </w:pPr>
            <w:r w:rsidRPr="008A7FA9">
              <w:t>6,253</w:t>
            </w:r>
          </w:p>
        </w:tc>
        <w:tc>
          <w:tcPr>
            <w:tcW w:w="0" w:type="auto"/>
            <w:tcBorders>
              <w:top w:val="nil"/>
              <w:left w:val="nil"/>
              <w:bottom w:val="nil"/>
              <w:right w:val="single" w:sz="8" w:space="0" w:color="auto"/>
            </w:tcBorders>
            <w:shd w:val="clear" w:color="auto" w:fill="auto"/>
            <w:noWrap/>
            <w:hideMark/>
          </w:tcPr>
          <w:p w14:paraId="6A47D2F3" w14:textId="77777777" w:rsidR="00BE5E42" w:rsidRPr="009E26A9" w:rsidRDefault="00BE5E42" w:rsidP="00072E7F">
            <w:pPr>
              <w:widowControl w:val="0"/>
              <w:jc w:val="center"/>
            </w:pPr>
            <w:r w:rsidRPr="009E26A9">
              <w:t>1.05%</w:t>
            </w:r>
          </w:p>
        </w:tc>
        <w:tc>
          <w:tcPr>
            <w:tcW w:w="0" w:type="auto"/>
            <w:tcBorders>
              <w:top w:val="nil"/>
              <w:left w:val="nil"/>
              <w:bottom w:val="nil"/>
              <w:right w:val="nil"/>
            </w:tcBorders>
            <w:shd w:val="clear" w:color="auto" w:fill="auto"/>
            <w:noWrap/>
            <w:hideMark/>
          </w:tcPr>
          <w:p w14:paraId="6074A9D7" w14:textId="77777777" w:rsidR="00BE5E42" w:rsidRPr="00014240" w:rsidRDefault="00BE5E42" w:rsidP="00072E7F">
            <w:pPr>
              <w:widowControl w:val="0"/>
              <w:jc w:val="center"/>
            </w:pPr>
            <w:r w:rsidRPr="00014240">
              <w:t>4.34</w:t>
            </w:r>
          </w:p>
        </w:tc>
      </w:tr>
      <w:tr w:rsidR="00BE5E42" w:rsidRPr="00D321F9" w14:paraId="1BA6BCA8" w14:textId="77777777" w:rsidTr="00072E7F">
        <w:tc>
          <w:tcPr>
            <w:tcW w:w="0" w:type="auto"/>
            <w:tcBorders>
              <w:top w:val="nil"/>
              <w:left w:val="nil"/>
              <w:bottom w:val="nil"/>
              <w:right w:val="single" w:sz="8" w:space="0" w:color="auto"/>
            </w:tcBorders>
            <w:shd w:val="clear" w:color="auto" w:fill="auto"/>
            <w:noWrap/>
            <w:vAlign w:val="center"/>
            <w:hideMark/>
          </w:tcPr>
          <w:p w14:paraId="1E6B53FA"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14:paraId="16815D4A"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hideMark/>
          </w:tcPr>
          <w:p w14:paraId="7BE48D96" w14:textId="77777777" w:rsidR="00BE5E42" w:rsidRPr="008A7FA9" w:rsidRDefault="00BE5E42" w:rsidP="00072E7F">
            <w:pPr>
              <w:widowControl w:val="0"/>
              <w:ind w:right="771"/>
              <w:jc w:val="right"/>
            </w:pPr>
            <w:r w:rsidRPr="008A7FA9">
              <w:t>9,287</w:t>
            </w:r>
          </w:p>
        </w:tc>
        <w:tc>
          <w:tcPr>
            <w:tcW w:w="0" w:type="auto"/>
            <w:tcBorders>
              <w:top w:val="nil"/>
              <w:left w:val="nil"/>
              <w:bottom w:val="nil"/>
              <w:right w:val="single" w:sz="8" w:space="0" w:color="auto"/>
            </w:tcBorders>
            <w:shd w:val="clear" w:color="auto" w:fill="auto"/>
            <w:noWrap/>
            <w:hideMark/>
          </w:tcPr>
          <w:p w14:paraId="0A18AC0E" w14:textId="77777777" w:rsidR="00BE5E42" w:rsidRPr="009E26A9" w:rsidRDefault="00BE5E42" w:rsidP="00072E7F">
            <w:pPr>
              <w:widowControl w:val="0"/>
              <w:jc w:val="center"/>
            </w:pPr>
            <w:r w:rsidRPr="009E26A9">
              <w:t>0.84%</w:t>
            </w:r>
          </w:p>
        </w:tc>
        <w:tc>
          <w:tcPr>
            <w:tcW w:w="0" w:type="auto"/>
            <w:tcBorders>
              <w:top w:val="nil"/>
              <w:left w:val="nil"/>
              <w:bottom w:val="nil"/>
              <w:right w:val="nil"/>
            </w:tcBorders>
            <w:shd w:val="clear" w:color="auto" w:fill="auto"/>
            <w:noWrap/>
            <w:hideMark/>
          </w:tcPr>
          <w:p w14:paraId="6F8D5299" w14:textId="77777777" w:rsidR="00BE5E42" w:rsidRPr="00014240" w:rsidRDefault="00BE5E42" w:rsidP="00072E7F">
            <w:pPr>
              <w:widowControl w:val="0"/>
              <w:jc w:val="center"/>
            </w:pPr>
            <w:r w:rsidRPr="00014240">
              <w:t>4.11</w:t>
            </w:r>
          </w:p>
        </w:tc>
      </w:tr>
      <w:tr w:rsidR="00BE5E42" w:rsidRPr="00D321F9" w14:paraId="3C2014EA" w14:textId="77777777" w:rsidTr="00072E7F">
        <w:tc>
          <w:tcPr>
            <w:tcW w:w="0" w:type="auto"/>
            <w:tcBorders>
              <w:top w:val="nil"/>
              <w:left w:val="nil"/>
              <w:bottom w:val="nil"/>
              <w:right w:val="single" w:sz="8" w:space="0" w:color="auto"/>
            </w:tcBorders>
            <w:shd w:val="clear" w:color="auto" w:fill="auto"/>
            <w:noWrap/>
            <w:vAlign w:val="center"/>
            <w:hideMark/>
          </w:tcPr>
          <w:p w14:paraId="66A04348"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14:paraId="2D422196"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hideMark/>
          </w:tcPr>
          <w:p w14:paraId="5D0F37B4" w14:textId="77777777" w:rsidR="00BE5E42" w:rsidRPr="008A7FA9" w:rsidRDefault="00BE5E42" w:rsidP="00072E7F">
            <w:pPr>
              <w:widowControl w:val="0"/>
              <w:ind w:right="771"/>
              <w:jc w:val="right"/>
            </w:pPr>
            <w:r w:rsidRPr="008A7FA9">
              <w:t>7,829</w:t>
            </w:r>
          </w:p>
        </w:tc>
        <w:tc>
          <w:tcPr>
            <w:tcW w:w="0" w:type="auto"/>
            <w:tcBorders>
              <w:top w:val="nil"/>
              <w:left w:val="nil"/>
              <w:bottom w:val="nil"/>
              <w:right w:val="single" w:sz="8" w:space="0" w:color="auto"/>
            </w:tcBorders>
            <w:shd w:val="clear" w:color="auto" w:fill="auto"/>
            <w:noWrap/>
            <w:hideMark/>
          </w:tcPr>
          <w:p w14:paraId="2BD8E7C8" w14:textId="77777777" w:rsidR="00BE5E42" w:rsidRPr="009E26A9" w:rsidRDefault="00BE5E42" w:rsidP="00072E7F">
            <w:pPr>
              <w:widowControl w:val="0"/>
              <w:jc w:val="center"/>
            </w:pPr>
            <w:r w:rsidRPr="009E26A9">
              <w:t>0.91%</w:t>
            </w:r>
          </w:p>
        </w:tc>
        <w:tc>
          <w:tcPr>
            <w:tcW w:w="0" w:type="auto"/>
            <w:tcBorders>
              <w:top w:val="nil"/>
              <w:left w:val="nil"/>
              <w:bottom w:val="nil"/>
              <w:right w:val="nil"/>
            </w:tcBorders>
            <w:shd w:val="clear" w:color="auto" w:fill="auto"/>
            <w:noWrap/>
            <w:hideMark/>
          </w:tcPr>
          <w:p w14:paraId="3B40B302" w14:textId="77777777" w:rsidR="00BE5E42" w:rsidRPr="00014240" w:rsidRDefault="00BE5E42" w:rsidP="00072E7F">
            <w:pPr>
              <w:widowControl w:val="0"/>
              <w:jc w:val="center"/>
            </w:pPr>
            <w:r w:rsidRPr="00014240">
              <w:t>4.06</w:t>
            </w:r>
          </w:p>
        </w:tc>
      </w:tr>
      <w:tr w:rsidR="00BE5E42" w:rsidRPr="00D321F9" w14:paraId="3AA75897" w14:textId="77777777" w:rsidTr="00072E7F">
        <w:tc>
          <w:tcPr>
            <w:tcW w:w="0" w:type="auto"/>
            <w:tcBorders>
              <w:top w:val="nil"/>
              <w:left w:val="nil"/>
              <w:bottom w:val="single" w:sz="8" w:space="0" w:color="auto"/>
              <w:right w:val="single" w:sz="8" w:space="0" w:color="auto"/>
            </w:tcBorders>
            <w:shd w:val="clear" w:color="auto" w:fill="auto"/>
            <w:noWrap/>
            <w:vAlign w:val="center"/>
            <w:hideMark/>
          </w:tcPr>
          <w:p w14:paraId="35CF2FE6" w14:textId="77777777" w:rsidR="00BE5E42" w:rsidRPr="00D321F9" w:rsidRDefault="00BE5E42" w:rsidP="00072E7F">
            <w:pPr>
              <w:widowControl w:val="0"/>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14:paraId="686D4AB1" w14:textId="77777777" w:rsidR="00BE5E42" w:rsidRPr="00D321F9" w:rsidRDefault="00BE5E42" w:rsidP="00072E7F">
            <w:pPr>
              <w:widowControl w:val="0"/>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hideMark/>
          </w:tcPr>
          <w:p w14:paraId="43D754B9" w14:textId="77777777" w:rsidR="00BE5E42" w:rsidRDefault="00BE5E42" w:rsidP="00072E7F">
            <w:pPr>
              <w:widowControl w:val="0"/>
              <w:ind w:right="771"/>
              <w:jc w:val="right"/>
            </w:pPr>
            <w:r w:rsidRPr="008A7FA9">
              <w:t>831</w:t>
            </w:r>
          </w:p>
        </w:tc>
        <w:tc>
          <w:tcPr>
            <w:tcW w:w="0" w:type="auto"/>
            <w:tcBorders>
              <w:top w:val="nil"/>
              <w:left w:val="nil"/>
              <w:bottom w:val="single" w:sz="8" w:space="0" w:color="auto"/>
              <w:right w:val="single" w:sz="8" w:space="0" w:color="auto"/>
            </w:tcBorders>
            <w:shd w:val="clear" w:color="auto" w:fill="auto"/>
            <w:noWrap/>
            <w:hideMark/>
          </w:tcPr>
          <w:p w14:paraId="36DA10AE" w14:textId="77777777" w:rsidR="00BE5E42" w:rsidRDefault="00BE5E42" w:rsidP="00072E7F">
            <w:pPr>
              <w:widowControl w:val="0"/>
              <w:jc w:val="center"/>
            </w:pPr>
            <w:r w:rsidRPr="009E26A9">
              <w:t>3.00%</w:t>
            </w:r>
          </w:p>
        </w:tc>
        <w:tc>
          <w:tcPr>
            <w:tcW w:w="0" w:type="auto"/>
            <w:tcBorders>
              <w:top w:val="nil"/>
              <w:left w:val="nil"/>
              <w:bottom w:val="single" w:sz="8" w:space="0" w:color="auto"/>
              <w:right w:val="nil"/>
            </w:tcBorders>
            <w:shd w:val="clear" w:color="auto" w:fill="auto"/>
            <w:noWrap/>
            <w:hideMark/>
          </w:tcPr>
          <w:p w14:paraId="66BEA406" w14:textId="77777777" w:rsidR="00BE5E42" w:rsidRDefault="00BE5E42" w:rsidP="00072E7F">
            <w:pPr>
              <w:widowControl w:val="0"/>
              <w:jc w:val="center"/>
            </w:pPr>
            <w:r w:rsidRPr="00014240">
              <w:t>4.68</w:t>
            </w:r>
          </w:p>
        </w:tc>
      </w:tr>
    </w:tbl>
    <w:p w14:paraId="0E7AE8FE" w14:textId="77777777" w:rsidR="002E21B6" w:rsidRPr="00D321F9" w:rsidRDefault="002E21B6" w:rsidP="00BE5E42">
      <w:pPr>
        <w:pStyle w:val="L1-FlLSp12"/>
        <w:spacing w:line="240" w:lineRule="auto"/>
        <w:rPr>
          <w:rFonts w:ascii="Times New Roman" w:hAnsi="Times New Roman"/>
          <w:b/>
          <w:bCs/>
          <w:i/>
          <w:iCs/>
          <w:szCs w:val="24"/>
        </w:rPr>
      </w:pPr>
    </w:p>
    <w:p w14:paraId="31112115" w14:textId="725CABB6" w:rsidR="009139C9" w:rsidRPr="00751493" w:rsidRDefault="009139C9" w:rsidP="007D4EB8">
      <w:pPr>
        <w:pStyle w:val="L1-FlLSp12"/>
        <w:spacing w:after="120" w:line="240" w:lineRule="auto"/>
        <w:rPr>
          <w:rFonts w:ascii="Times New Roman" w:hAnsi="Times New Roman"/>
          <w:b/>
          <w:bCs/>
          <w:i/>
          <w:iCs/>
          <w:szCs w:val="24"/>
        </w:rPr>
      </w:pPr>
      <w:r w:rsidRPr="00751493">
        <w:rPr>
          <w:rFonts w:ascii="Times New Roman" w:hAnsi="Times New Roman"/>
          <w:b/>
          <w:bCs/>
          <w:i/>
          <w:iCs/>
          <w:szCs w:val="24"/>
        </w:rPr>
        <w:t>Sampling – Private Schools</w:t>
      </w:r>
      <w:bookmarkEnd w:id="41"/>
    </w:p>
    <w:p w14:paraId="7069501B" w14:textId="66715E89" w:rsidR="00F0191A" w:rsidRPr="003D02A7" w:rsidRDefault="00F0191A" w:rsidP="007D4EB8">
      <w:pPr>
        <w:pStyle w:val="L1-FlLSp12"/>
        <w:spacing w:after="120" w:line="240" w:lineRule="auto"/>
        <w:rPr>
          <w:rFonts w:ascii="Times New Roman" w:hAnsi="Times New Roman"/>
          <w:szCs w:val="24"/>
        </w:rPr>
      </w:pPr>
      <w:r w:rsidRPr="003D02A7">
        <w:rPr>
          <w:rFonts w:ascii="Times New Roman" w:hAnsi="Times New Roman"/>
          <w:szCs w:val="24"/>
        </w:rPr>
        <w:t xml:space="preserve">To inform the sample design for NTPS </w:t>
      </w:r>
      <w:r w:rsidR="00A71B47" w:rsidRPr="003D02A7">
        <w:rPr>
          <w:rFonts w:ascii="Times New Roman" w:hAnsi="Times New Roman"/>
          <w:szCs w:val="24"/>
        </w:rPr>
        <w:t>2019-20</w:t>
      </w:r>
      <w:r w:rsidRPr="003D02A7">
        <w:rPr>
          <w:rFonts w:ascii="Times New Roman" w:hAnsi="Times New Roman"/>
          <w:szCs w:val="24"/>
        </w:rPr>
        <w:t xml:space="preserve"> </w:t>
      </w:r>
      <w:r w:rsidR="008B76A6" w:rsidRPr="003D02A7">
        <w:rPr>
          <w:rFonts w:ascii="Times New Roman" w:hAnsi="Times New Roman"/>
          <w:szCs w:val="24"/>
        </w:rPr>
        <w:t>p</w:t>
      </w:r>
      <w:r w:rsidRPr="003D02A7">
        <w:rPr>
          <w:rFonts w:ascii="Times New Roman" w:hAnsi="Times New Roman"/>
          <w:szCs w:val="24"/>
        </w:rPr>
        <w:t xml:space="preserve">rivate </w:t>
      </w:r>
      <w:r w:rsidR="008B76A6" w:rsidRPr="003D02A7">
        <w:rPr>
          <w:rFonts w:ascii="Times New Roman" w:hAnsi="Times New Roman"/>
          <w:szCs w:val="24"/>
        </w:rPr>
        <w:t>school</w:t>
      </w:r>
      <w:r w:rsidR="00C36230">
        <w:rPr>
          <w:rFonts w:ascii="Times New Roman" w:hAnsi="Times New Roman"/>
          <w:szCs w:val="24"/>
        </w:rPr>
        <w:t>s</w:t>
      </w:r>
      <w:r w:rsidR="008B76A6" w:rsidRPr="003D02A7">
        <w:rPr>
          <w:rFonts w:ascii="Times New Roman" w:hAnsi="Times New Roman"/>
          <w:szCs w:val="24"/>
        </w:rPr>
        <w:t>,</w:t>
      </w:r>
      <w:r w:rsidRPr="003D02A7">
        <w:rPr>
          <w:rFonts w:ascii="Times New Roman" w:hAnsi="Times New Roman"/>
          <w:szCs w:val="24"/>
        </w:rPr>
        <w:t xml:space="preserve"> NCES </w:t>
      </w:r>
      <w:r w:rsidR="002059CA" w:rsidRPr="003D02A7">
        <w:rPr>
          <w:rFonts w:ascii="Times New Roman" w:hAnsi="Times New Roman"/>
          <w:szCs w:val="24"/>
        </w:rPr>
        <w:t xml:space="preserve">will evaluate </w:t>
      </w:r>
      <w:r w:rsidRPr="003D02A7">
        <w:rPr>
          <w:rFonts w:ascii="Times New Roman" w:hAnsi="Times New Roman"/>
          <w:szCs w:val="24"/>
        </w:rPr>
        <w:t xml:space="preserve">the level of precision achieved </w:t>
      </w:r>
      <w:r w:rsidR="00C36230">
        <w:rPr>
          <w:rFonts w:ascii="Times New Roman" w:hAnsi="Times New Roman"/>
          <w:szCs w:val="24"/>
        </w:rPr>
        <w:t>in</w:t>
      </w:r>
      <w:r w:rsidRPr="003D02A7">
        <w:rPr>
          <w:rFonts w:ascii="Times New Roman" w:hAnsi="Times New Roman"/>
          <w:szCs w:val="24"/>
        </w:rPr>
        <w:t xml:space="preserve"> </w:t>
      </w:r>
      <w:r w:rsidR="00A71B47" w:rsidRPr="003D02A7">
        <w:rPr>
          <w:rFonts w:ascii="Times New Roman" w:hAnsi="Times New Roman"/>
          <w:szCs w:val="24"/>
        </w:rPr>
        <w:t>NTPS</w:t>
      </w:r>
      <w:r w:rsidR="00C36230">
        <w:rPr>
          <w:rFonts w:ascii="Times New Roman" w:hAnsi="Times New Roman"/>
          <w:szCs w:val="24"/>
        </w:rPr>
        <w:t xml:space="preserve"> </w:t>
      </w:r>
      <w:r w:rsidR="00C36230" w:rsidRPr="003D02A7">
        <w:rPr>
          <w:rFonts w:ascii="Times New Roman" w:hAnsi="Times New Roman"/>
          <w:szCs w:val="24"/>
        </w:rPr>
        <w:t>2017-18</w:t>
      </w:r>
      <w:r w:rsidRPr="003D02A7">
        <w:rPr>
          <w:rFonts w:ascii="Times New Roman" w:hAnsi="Times New Roman"/>
          <w:szCs w:val="24"/>
        </w:rPr>
        <w:t xml:space="preserve">. The precision analysis </w:t>
      </w:r>
      <w:r w:rsidR="002059CA" w:rsidRPr="003D02A7">
        <w:rPr>
          <w:rFonts w:ascii="Times New Roman" w:hAnsi="Times New Roman"/>
          <w:szCs w:val="24"/>
        </w:rPr>
        <w:t>will be</w:t>
      </w:r>
      <w:r w:rsidRPr="003D02A7">
        <w:rPr>
          <w:rFonts w:ascii="Times New Roman" w:hAnsi="Times New Roman"/>
          <w:szCs w:val="24"/>
        </w:rPr>
        <w:t xml:space="preserve"> based on analysis variables and on proportions to address important characteristics. The following variables </w:t>
      </w:r>
      <w:r w:rsidR="002059CA" w:rsidRPr="003D02A7">
        <w:rPr>
          <w:rFonts w:ascii="Times New Roman" w:hAnsi="Times New Roman"/>
          <w:szCs w:val="24"/>
        </w:rPr>
        <w:t>will be</w:t>
      </w:r>
      <w:r w:rsidRPr="003D02A7">
        <w:rPr>
          <w:rFonts w:ascii="Times New Roman" w:hAnsi="Times New Roman"/>
          <w:szCs w:val="24"/>
        </w:rPr>
        <w:t xml:space="preserve"> evaluated:</w:t>
      </w:r>
    </w:p>
    <w:p w14:paraId="13330516" w14:textId="26EA39C3" w:rsidR="00F0191A" w:rsidRPr="003D02A7" w:rsidRDefault="00F0191A" w:rsidP="007D4EB8">
      <w:pPr>
        <w:pStyle w:val="L1-FlLSp12"/>
        <w:numPr>
          <w:ilvl w:val="0"/>
          <w:numId w:val="12"/>
        </w:numPr>
        <w:tabs>
          <w:tab w:val="clear" w:pos="1152"/>
        </w:tabs>
        <w:spacing w:after="60" w:line="240" w:lineRule="auto"/>
        <w:rPr>
          <w:rFonts w:ascii="Times New Roman" w:hAnsi="Times New Roman"/>
          <w:szCs w:val="24"/>
        </w:rPr>
      </w:pPr>
      <w:r w:rsidRPr="003D02A7">
        <w:rPr>
          <w:rFonts w:ascii="Times New Roman" w:hAnsi="Times New Roman"/>
          <w:szCs w:val="24"/>
        </w:rPr>
        <w:t xml:space="preserve">School type (Religious – Catholic, Religious – </w:t>
      </w:r>
      <w:r w:rsidR="00D4552E" w:rsidRPr="003D02A7">
        <w:rPr>
          <w:rFonts w:ascii="Times New Roman" w:hAnsi="Times New Roman"/>
          <w:szCs w:val="24"/>
        </w:rPr>
        <w:t>Other</w:t>
      </w:r>
      <w:r w:rsidRPr="003D02A7">
        <w:rPr>
          <w:rFonts w:ascii="Times New Roman" w:hAnsi="Times New Roman"/>
          <w:szCs w:val="24"/>
        </w:rPr>
        <w:t>, Non-Religious);</w:t>
      </w:r>
    </w:p>
    <w:p w14:paraId="2756D86A" w14:textId="77777777" w:rsidR="00F0191A" w:rsidRPr="003D02A7" w:rsidRDefault="00F0191A" w:rsidP="007D4EB8">
      <w:pPr>
        <w:pStyle w:val="L1-FlLSp12"/>
        <w:numPr>
          <w:ilvl w:val="0"/>
          <w:numId w:val="12"/>
        </w:numPr>
        <w:tabs>
          <w:tab w:val="clear" w:pos="1152"/>
        </w:tabs>
        <w:spacing w:after="60" w:line="240" w:lineRule="auto"/>
        <w:rPr>
          <w:rFonts w:ascii="Times New Roman" w:hAnsi="Times New Roman"/>
          <w:szCs w:val="24"/>
        </w:rPr>
      </w:pPr>
      <w:r w:rsidRPr="003D02A7">
        <w:rPr>
          <w:rFonts w:ascii="Times New Roman" w:hAnsi="Times New Roman"/>
          <w:szCs w:val="24"/>
        </w:rPr>
        <w:t>Grade Level (Elementary, Secondary, Combined); and</w:t>
      </w:r>
    </w:p>
    <w:p w14:paraId="49B90F8F" w14:textId="77777777" w:rsidR="00F0191A" w:rsidRPr="003D02A7" w:rsidRDefault="00F0191A" w:rsidP="007D4EB8">
      <w:pPr>
        <w:pStyle w:val="L1-FlLSp12"/>
        <w:numPr>
          <w:ilvl w:val="0"/>
          <w:numId w:val="12"/>
        </w:numPr>
        <w:tabs>
          <w:tab w:val="clear" w:pos="1152"/>
        </w:tabs>
        <w:spacing w:after="120" w:line="240" w:lineRule="auto"/>
        <w:rPr>
          <w:rFonts w:ascii="Times New Roman" w:hAnsi="Times New Roman"/>
          <w:szCs w:val="24"/>
        </w:rPr>
      </w:pPr>
      <w:r w:rsidRPr="003D02A7">
        <w:rPr>
          <w:rFonts w:ascii="Times New Roman" w:hAnsi="Times New Roman"/>
          <w:szCs w:val="24"/>
        </w:rPr>
        <w:t>Region (Northeast, Midwest, South, West).</w:t>
      </w:r>
    </w:p>
    <w:p w14:paraId="2B1D8CE2" w14:textId="7E501653" w:rsidR="007215B4" w:rsidRPr="003D02A7" w:rsidRDefault="00F0191A" w:rsidP="007D4EB8">
      <w:pPr>
        <w:pStyle w:val="L1-FlLSp12"/>
        <w:tabs>
          <w:tab w:val="clear" w:pos="1152"/>
        </w:tabs>
        <w:spacing w:after="120" w:line="240" w:lineRule="auto"/>
        <w:rPr>
          <w:rFonts w:ascii="Times New Roman" w:hAnsi="Times New Roman"/>
          <w:szCs w:val="24"/>
        </w:rPr>
      </w:pPr>
      <w:r w:rsidRPr="003D02A7">
        <w:rPr>
          <w:rFonts w:ascii="Times New Roman" w:hAnsi="Times New Roman"/>
          <w:szCs w:val="24"/>
        </w:rPr>
        <w:t xml:space="preserve">The sample design for private schools </w:t>
      </w:r>
      <w:r w:rsidR="002059CA" w:rsidRPr="003D02A7">
        <w:rPr>
          <w:rFonts w:ascii="Times New Roman" w:hAnsi="Times New Roman"/>
          <w:szCs w:val="24"/>
        </w:rPr>
        <w:t xml:space="preserve">will be </w:t>
      </w:r>
      <w:r w:rsidRPr="003D02A7">
        <w:rPr>
          <w:rFonts w:ascii="Times New Roman" w:hAnsi="Times New Roman"/>
          <w:szCs w:val="24"/>
        </w:rPr>
        <w:t>broadly consistent with the private school design for</w:t>
      </w:r>
      <w:r w:rsidR="002059CA" w:rsidRPr="003D02A7">
        <w:rPr>
          <w:rFonts w:ascii="Times New Roman" w:hAnsi="Times New Roman"/>
          <w:szCs w:val="24"/>
        </w:rPr>
        <w:t xml:space="preserve"> the NTPS 2017-18 NTPS private school test. </w:t>
      </w:r>
      <w:r w:rsidRPr="003D02A7">
        <w:rPr>
          <w:rFonts w:ascii="Times New Roman" w:hAnsi="Times New Roman"/>
          <w:szCs w:val="24"/>
        </w:rPr>
        <w:t xml:space="preserve">The desired goal was to achieve a CV of less than 30 percent </w:t>
      </w:r>
      <w:r w:rsidR="000F2C09" w:rsidRPr="003D02A7">
        <w:rPr>
          <w:rFonts w:ascii="Times New Roman" w:hAnsi="Times New Roman"/>
          <w:szCs w:val="24"/>
        </w:rPr>
        <w:t>for a population proportion of 20%</w:t>
      </w:r>
      <w:r w:rsidR="000F2C09" w:rsidRPr="003D02A7">
        <w:rPr>
          <w:rFonts w:ascii="Times New Roman" w:hAnsi="Times New Roman"/>
          <w:szCs w:val="24"/>
          <w:lang w:eastAsia="ko-KR"/>
        </w:rPr>
        <w:t xml:space="preserve"> </w:t>
      </w:r>
      <w:r w:rsidRPr="003D02A7">
        <w:rPr>
          <w:rFonts w:ascii="Times New Roman" w:hAnsi="Times New Roman"/>
          <w:szCs w:val="24"/>
        </w:rPr>
        <w:t>in order to meet NCES standards for reporting.</w:t>
      </w:r>
    </w:p>
    <w:p w14:paraId="7F3C1956" w14:textId="4B595994" w:rsidR="00F0191A" w:rsidRPr="003D02A7" w:rsidRDefault="00F0191A" w:rsidP="007D4EB8">
      <w:pPr>
        <w:pStyle w:val="L1-FlLSp12"/>
        <w:spacing w:after="120" w:line="240" w:lineRule="auto"/>
        <w:rPr>
          <w:rFonts w:ascii="Times New Roman" w:hAnsi="Times New Roman"/>
          <w:szCs w:val="24"/>
        </w:rPr>
      </w:pPr>
      <w:r w:rsidRPr="003D02A7">
        <w:rPr>
          <w:rFonts w:ascii="Times New Roman" w:hAnsi="Times New Roman"/>
          <w:szCs w:val="24"/>
        </w:rPr>
        <w:t>In order to better equalize precision across major school domains for private schools</w:t>
      </w:r>
      <w:r w:rsidR="00783663">
        <w:rPr>
          <w:rFonts w:ascii="Times New Roman" w:hAnsi="Times New Roman"/>
          <w:szCs w:val="24"/>
        </w:rPr>
        <w:t xml:space="preserve"> as was done in NTPS 2017-18,</w:t>
      </w:r>
      <w:r w:rsidRPr="003D02A7">
        <w:rPr>
          <w:rFonts w:ascii="Times New Roman" w:hAnsi="Times New Roman"/>
          <w:szCs w:val="24"/>
        </w:rPr>
        <w:t xml:space="preserve"> NCES plans to oversample</w:t>
      </w:r>
      <w:r w:rsidR="00783663">
        <w:rPr>
          <w:rFonts w:ascii="Times New Roman" w:hAnsi="Times New Roman"/>
          <w:szCs w:val="24"/>
        </w:rPr>
        <w:t xml:space="preserve"> for NTPS 2019-20</w:t>
      </w:r>
      <w:r w:rsidRPr="003D02A7">
        <w:rPr>
          <w:rFonts w:ascii="Times New Roman" w:hAnsi="Times New Roman"/>
          <w:szCs w:val="24"/>
        </w:rPr>
        <w:t xml:space="preserve"> as follows:</w:t>
      </w:r>
    </w:p>
    <w:p w14:paraId="3FA4EF01" w14:textId="57E4B2BE" w:rsidR="00F0191A" w:rsidRPr="003D02A7" w:rsidRDefault="00F0191A" w:rsidP="007D4EB8">
      <w:pPr>
        <w:pStyle w:val="L1-FlLSp12"/>
        <w:numPr>
          <w:ilvl w:val="0"/>
          <w:numId w:val="13"/>
        </w:numPr>
        <w:tabs>
          <w:tab w:val="clear" w:pos="1152"/>
        </w:tabs>
        <w:spacing w:after="60" w:line="240" w:lineRule="auto"/>
        <w:rPr>
          <w:rFonts w:ascii="Times New Roman" w:hAnsi="Times New Roman"/>
          <w:szCs w:val="24"/>
        </w:rPr>
      </w:pPr>
      <w:r w:rsidRPr="003D02A7">
        <w:rPr>
          <w:rFonts w:ascii="Times New Roman" w:hAnsi="Times New Roman"/>
          <w:szCs w:val="24"/>
        </w:rPr>
        <w:t xml:space="preserve">Secondary schools </w:t>
      </w:r>
      <w:r w:rsidR="00B77269">
        <w:rPr>
          <w:rFonts w:ascii="Times New Roman" w:hAnsi="Times New Roman"/>
          <w:szCs w:val="24"/>
        </w:rPr>
        <w:t>will be</w:t>
      </w:r>
      <w:r w:rsidRPr="003D02A7">
        <w:rPr>
          <w:rFonts w:ascii="Times New Roman" w:hAnsi="Times New Roman"/>
          <w:szCs w:val="24"/>
        </w:rPr>
        <w:t xml:space="preserve"> sampled at a rate proportional to 3.33 times the measure of size (as determined by number of FTE teachers);</w:t>
      </w:r>
    </w:p>
    <w:p w14:paraId="3571CF75" w14:textId="3A2DF037" w:rsidR="00F0191A" w:rsidRPr="003D02A7" w:rsidRDefault="00F0191A" w:rsidP="007D4EB8">
      <w:pPr>
        <w:pStyle w:val="L1-FlLSp12"/>
        <w:numPr>
          <w:ilvl w:val="0"/>
          <w:numId w:val="13"/>
        </w:numPr>
        <w:tabs>
          <w:tab w:val="clear" w:pos="1152"/>
        </w:tabs>
        <w:spacing w:after="60" w:line="240" w:lineRule="auto"/>
        <w:rPr>
          <w:rFonts w:ascii="Times New Roman" w:hAnsi="Times New Roman"/>
          <w:szCs w:val="24"/>
        </w:rPr>
      </w:pPr>
      <w:r w:rsidRPr="003D02A7">
        <w:rPr>
          <w:rFonts w:ascii="Times New Roman" w:hAnsi="Times New Roman"/>
          <w:szCs w:val="24"/>
        </w:rPr>
        <w:t>Non-</w:t>
      </w:r>
      <w:r w:rsidR="00C13B53" w:rsidRPr="003D02A7">
        <w:rPr>
          <w:rFonts w:ascii="Times New Roman" w:hAnsi="Times New Roman"/>
          <w:szCs w:val="24"/>
        </w:rPr>
        <w:t>Religious</w:t>
      </w:r>
      <w:r w:rsidRPr="003D02A7">
        <w:rPr>
          <w:rFonts w:ascii="Times New Roman" w:hAnsi="Times New Roman"/>
          <w:szCs w:val="24"/>
        </w:rPr>
        <w:t xml:space="preserve"> schools </w:t>
      </w:r>
      <w:r w:rsidR="00B77269">
        <w:rPr>
          <w:rFonts w:ascii="Times New Roman" w:hAnsi="Times New Roman"/>
          <w:szCs w:val="24"/>
        </w:rPr>
        <w:t>will be</w:t>
      </w:r>
      <w:r w:rsidRPr="003D02A7">
        <w:rPr>
          <w:rFonts w:ascii="Times New Roman" w:hAnsi="Times New Roman"/>
          <w:szCs w:val="24"/>
        </w:rPr>
        <w:t xml:space="preserve"> sampled at a rate proportional to 1.43 times the measure of size (except for secondary non-</w:t>
      </w:r>
      <w:r w:rsidR="00C13B53" w:rsidRPr="003D02A7">
        <w:rPr>
          <w:rFonts w:ascii="Times New Roman" w:hAnsi="Times New Roman"/>
          <w:szCs w:val="24"/>
        </w:rPr>
        <w:t>religious</w:t>
      </w:r>
      <w:r w:rsidRPr="003D02A7">
        <w:rPr>
          <w:rFonts w:ascii="Times New Roman" w:hAnsi="Times New Roman"/>
          <w:szCs w:val="24"/>
        </w:rPr>
        <w:t xml:space="preserve"> schools, which are sampled at the 3.33 rate); and</w:t>
      </w:r>
    </w:p>
    <w:p w14:paraId="6A308A07" w14:textId="1F52C1C5" w:rsidR="00F0191A" w:rsidRPr="003D02A7" w:rsidRDefault="00F0191A" w:rsidP="007D4EB8">
      <w:pPr>
        <w:pStyle w:val="L1-FlLSp12"/>
        <w:numPr>
          <w:ilvl w:val="0"/>
          <w:numId w:val="13"/>
        </w:numPr>
        <w:tabs>
          <w:tab w:val="clear" w:pos="1152"/>
        </w:tabs>
        <w:spacing w:after="120" w:line="240" w:lineRule="auto"/>
        <w:rPr>
          <w:rFonts w:ascii="Times New Roman" w:hAnsi="Times New Roman"/>
          <w:szCs w:val="24"/>
        </w:rPr>
      </w:pPr>
      <w:r w:rsidRPr="003D02A7">
        <w:rPr>
          <w:rFonts w:ascii="Times New Roman" w:hAnsi="Times New Roman"/>
          <w:szCs w:val="24"/>
        </w:rPr>
        <w:t xml:space="preserve">Other strata </w:t>
      </w:r>
      <w:r w:rsidR="00B77269">
        <w:rPr>
          <w:rFonts w:ascii="Times New Roman" w:hAnsi="Times New Roman"/>
          <w:szCs w:val="24"/>
        </w:rPr>
        <w:t>will be</w:t>
      </w:r>
      <w:r w:rsidR="00283494">
        <w:rPr>
          <w:rFonts w:ascii="Times New Roman" w:hAnsi="Times New Roman"/>
          <w:szCs w:val="24"/>
        </w:rPr>
        <w:t xml:space="preserve"> </w:t>
      </w:r>
      <w:r w:rsidRPr="003D02A7">
        <w:rPr>
          <w:rFonts w:ascii="Times New Roman" w:hAnsi="Times New Roman"/>
          <w:szCs w:val="24"/>
        </w:rPr>
        <w:t>sampled at a rate proportional to 1.0 times the measure of size.</w:t>
      </w:r>
    </w:p>
    <w:p w14:paraId="1918460F" w14:textId="72005004" w:rsidR="00B77269" w:rsidRDefault="00B77269" w:rsidP="007D4EB8">
      <w:pPr>
        <w:pStyle w:val="L1-FlLSp12"/>
        <w:tabs>
          <w:tab w:val="clear" w:pos="1152"/>
        </w:tabs>
        <w:spacing w:after="120" w:line="240" w:lineRule="auto"/>
        <w:rPr>
          <w:rFonts w:ascii="Times New Roman" w:hAnsi="Times New Roman"/>
          <w:szCs w:val="24"/>
        </w:rPr>
      </w:pPr>
      <w:r w:rsidRPr="00B77269">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w:t>
      </w:r>
      <w:r w:rsidR="009906B8">
        <w:rPr>
          <w:rFonts w:ascii="Times New Roman" w:hAnsi="Times New Roman"/>
          <w:szCs w:val="24"/>
        </w:rPr>
        <w:t>2019-20</w:t>
      </w:r>
      <w:r w:rsidR="009906B8" w:rsidRPr="00D321F9">
        <w:rPr>
          <w:rFonts w:ascii="Times New Roman" w:hAnsi="Times New Roman"/>
          <w:szCs w:val="24"/>
        </w:rPr>
        <w:t xml:space="preserve"> </w:t>
      </w:r>
      <w:r w:rsidRPr="00B77269">
        <w:rPr>
          <w:rFonts w:ascii="Times New Roman" w:hAnsi="Times New Roman"/>
          <w:szCs w:val="24"/>
        </w:rPr>
        <w:t xml:space="preserve">will be similar to the rate for </w:t>
      </w:r>
      <w:r w:rsidR="009906B8" w:rsidRPr="00B77269">
        <w:rPr>
          <w:rFonts w:ascii="Times New Roman" w:hAnsi="Times New Roman"/>
          <w:szCs w:val="24"/>
        </w:rPr>
        <w:t>NTPS 2017-18</w:t>
      </w:r>
      <w:r w:rsidRPr="00B77269">
        <w:rPr>
          <w:rFonts w:ascii="Times New Roman" w:hAnsi="Times New Roman"/>
          <w:szCs w:val="24"/>
        </w:rPr>
        <w:t>,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r w:rsidR="009906B8">
        <w:rPr>
          <w:rFonts w:ascii="Times New Roman" w:hAnsi="Times New Roman"/>
          <w:szCs w:val="24"/>
        </w:rPr>
        <w:t xml:space="preserve">. </w:t>
      </w:r>
      <w:r w:rsidR="009906B8" w:rsidRPr="009906B8">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p>
    <w:p w14:paraId="66487FFC" w14:textId="174CDF06" w:rsidR="007D1CEC" w:rsidRPr="00D321F9" w:rsidRDefault="007D1CEC" w:rsidP="007D4EB8">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NTPS </w:t>
      </w:r>
      <w:r w:rsidR="009906B8">
        <w:rPr>
          <w:rFonts w:ascii="Times New Roman" w:hAnsi="Times New Roman"/>
          <w:szCs w:val="24"/>
        </w:rPr>
        <w:t>2019-20</w:t>
      </w:r>
      <w:r w:rsidR="009906B8" w:rsidRPr="00D321F9">
        <w:rPr>
          <w:rFonts w:ascii="Times New Roman" w:hAnsi="Times New Roman"/>
          <w:szCs w:val="24"/>
        </w:rPr>
        <w:t xml:space="preserve"> </w:t>
      </w:r>
      <w:r w:rsidRPr="00D321F9">
        <w:rPr>
          <w:rFonts w:ascii="Times New Roman" w:hAnsi="Times New Roman"/>
          <w:szCs w:val="24"/>
        </w:rPr>
        <w:t>will have an implicit stratification based on the proposed systematic sampling sort order, which uses a hierarchy of the following domains</w:t>
      </w:r>
      <w:r w:rsidR="00783663">
        <w:rPr>
          <w:rFonts w:ascii="Times New Roman" w:hAnsi="Times New Roman"/>
          <w:szCs w:val="24"/>
        </w:rPr>
        <w:t>, as was done for NTPS 2017-18</w:t>
      </w:r>
      <w:r w:rsidRPr="00D321F9">
        <w:rPr>
          <w:rFonts w:ascii="Times New Roman" w:hAnsi="Times New Roman"/>
          <w:szCs w:val="24"/>
        </w:rPr>
        <w:t>:</w:t>
      </w:r>
    </w:p>
    <w:p w14:paraId="0662C962"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Three-level affiliation (Catholic, non-Catholic religious, nonreligious);</w:t>
      </w:r>
    </w:p>
    <w:p w14:paraId="16D4581F"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14:paraId="6B45547B"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Four-level Census region (Northeast, South, Central, Midwest);</w:t>
      </w:r>
    </w:p>
    <w:p w14:paraId="5DC6EDDD"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Four-level urbanicity (city, suburb, town, rural);</w:t>
      </w:r>
    </w:p>
    <w:p w14:paraId="33A028CD"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14:paraId="224A216F"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14:paraId="10F15474"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State;</w:t>
      </w:r>
    </w:p>
    <w:p w14:paraId="1541914D"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Highest grade;</w:t>
      </w:r>
    </w:p>
    <w:p w14:paraId="0F70026E"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Twelve-level urbanicity (large city, medium-sized city, small city, etc.);</w:t>
      </w:r>
    </w:p>
    <w:p w14:paraId="5719E610"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Zip code;</w:t>
      </w:r>
    </w:p>
    <w:p w14:paraId="179BE52F" w14:textId="77777777" w:rsidR="007D1CEC" w:rsidRPr="00D321F9"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School enrollment;</w:t>
      </w:r>
    </w:p>
    <w:p w14:paraId="52B3E8BB" w14:textId="77777777" w:rsidR="007D1CEC" w:rsidRDefault="007D1CEC" w:rsidP="007D4EB8">
      <w:pPr>
        <w:pStyle w:val="ListParagraph"/>
        <w:numPr>
          <w:ilvl w:val="1"/>
          <w:numId w:val="16"/>
        </w:numPr>
        <w:spacing w:after="120" w:line="240" w:lineRule="auto"/>
        <w:contextualSpacing/>
        <w:rPr>
          <w:rFonts w:ascii="Times New Roman" w:hAnsi="Times New Roman"/>
          <w:szCs w:val="24"/>
        </w:rPr>
      </w:pPr>
      <w:r w:rsidRPr="00D321F9">
        <w:rPr>
          <w:rFonts w:ascii="Times New Roman" w:hAnsi="Times New Roman"/>
          <w:szCs w:val="24"/>
        </w:rPr>
        <w:t>PIN number.</w:t>
      </w:r>
    </w:p>
    <w:p w14:paraId="0544BFDF" w14:textId="18B9AFD7" w:rsidR="007215B4" w:rsidRDefault="00F0191A" w:rsidP="007D4EB8">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
    <w:p w14:paraId="2513A654" w14:textId="27B27BD1" w:rsidR="009139C9" w:rsidRPr="00D321F9" w:rsidRDefault="009139C9" w:rsidP="007D4EB8">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14:paraId="689D14AB" w14:textId="6ECD9BF1" w:rsidR="002958AB" w:rsidRPr="00C06D30" w:rsidRDefault="002E21B6"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5. School-domain expected interviews, standard errors, and design effects </w:t>
      </w:r>
      <w:r w:rsidR="005117A4" w:rsidRPr="00C06D30">
        <w:rPr>
          <w:rFonts w:ascii="Times New Roman" w:eastAsia="Calibri" w:hAnsi="Times New Roman"/>
          <w:b/>
          <w:bCs/>
          <w:sz w:val="22"/>
          <w:szCs w:val="22"/>
        </w:rPr>
        <w:t xml:space="preserve">for the NTPS </w:t>
      </w:r>
      <w:r w:rsidR="00313047" w:rsidRPr="00C06D30">
        <w:rPr>
          <w:rFonts w:ascii="Times New Roman" w:eastAsia="Calibri" w:hAnsi="Times New Roman"/>
          <w:b/>
          <w:bCs/>
          <w:sz w:val="22"/>
          <w:szCs w:val="22"/>
        </w:rPr>
        <w:t>2017-18</w:t>
      </w:r>
      <w:r w:rsidR="005117A4" w:rsidRPr="00C06D30">
        <w:rPr>
          <w:rFonts w:ascii="Times New Roman" w:eastAsia="Calibri" w:hAnsi="Times New Roman"/>
          <w:b/>
          <w:bCs/>
          <w:sz w:val="22"/>
          <w:szCs w:val="22"/>
        </w:rPr>
        <w:t xml:space="preserve"> private school</w:t>
      </w:r>
      <w:r w:rsidR="00B65493" w:rsidRPr="00C06D30">
        <w:rPr>
          <w:rFonts w:ascii="Times New Roman" w:eastAsia="Calibri" w:hAnsi="Times New Roman"/>
          <w:b/>
          <w:bCs/>
          <w:sz w:val="22"/>
          <w:szCs w:val="22"/>
        </w:rPr>
        <w:t xml:space="preserve"> sample</w:t>
      </w:r>
    </w:p>
    <w:tbl>
      <w:tblPr>
        <w:tblW w:w="0" w:type="auto"/>
        <w:tblLook w:val="04A0" w:firstRow="1" w:lastRow="0" w:firstColumn="1" w:lastColumn="0" w:noHBand="0" w:noVBand="1"/>
      </w:tblPr>
      <w:tblGrid>
        <w:gridCol w:w="1542"/>
        <w:gridCol w:w="1495"/>
        <w:gridCol w:w="3942"/>
        <w:gridCol w:w="2379"/>
        <w:gridCol w:w="1370"/>
      </w:tblGrid>
      <w:tr w:rsidR="00D321F9" w:rsidRPr="00446E30" w14:paraId="05AAD6EE" w14:textId="77777777"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14:paraId="23B2CC03"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1D495EF7"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22CCF556"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14:paraId="2BECA249"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14:paraId="301A8D48" w14:textId="77777777" w:rsidR="002958AB" w:rsidRPr="00446E30" w:rsidRDefault="002958AB"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Design Effect</w:t>
            </w:r>
          </w:p>
        </w:tc>
      </w:tr>
      <w:tr w:rsidR="00D321F9" w:rsidRPr="00446E30" w14:paraId="2001C075" w14:textId="77777777"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6041ECA" w14:textId="7777777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671DD2F1" w14:textId="4AC9BEDE"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7E326427" w14:textId="4AFAD340"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2</w:t>
            </w:r>
            <w:r w:rsidRPr="00446E30">
              <w:rPr>
                <w:rFonts w:ascii="Times New Roman" w:hAnsi="Times New Roman"/>
                <w:lang w:eastAsia="ko-KR"/>
              </w:rPr>
              <w:t>,</w:t>
            </w:r>
            <w:r w:rsidRPr="00446E30">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6E392EFE" w14:textId="138716D1"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14:paraId="22CCA5CF" w14:textId="40831E3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1.65</w:t>
            </w:r>
          </w:p>
        </w:tc>
      </w:tr>
      <w:tr w:rsidR="00D321F9" w:rsidRPr="00446E30" w14:paraId="54AAA94C" w14:textId="77777777" w:rsidTr="00175C20">
        <w:tc>
          <w:tcPr>
            <w:tcW w:w="0" w:type="auto"/>
            <w:tcBorders>
              <w:top w:val="single" w:sz="4" w:space="0" w:color="auto"/>
              <w:left w:val="nil"/>
              <w:bottom w:val="nil"/>
              <w:right w:val="single" w:sz="4" w:space="0" w:color="auto"/>
            </w:tcBorders>
            <w:shd w:val="clear" w:color="auto" w:fill="auto"/>
            <w:noWrap/>
            <w:vAlign w:val="center"/>
            <w:hideMark/>
          </w:tcPr>
          <w:p w14:paraId="7E40FC33" w14:textId="34BF2B4C"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E183D78" w14:textId="3F6AFC4C"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2FAF1B2" w14:textId="012B69CC"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0170FFC" w14:textId="79865899"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14:paraId="5FCCF39D" w14:textId="3201ED34"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1.55</w:t>
            </w:r>
          </w:p>
        </w:tc>
      </w:tr>
      <w:tr w:rsidR="00D321F9" w:rsidRPr="00446E30" w14:paraId="3FB1EEF2" w14:textId="77777777" w:rsidTr="00175C20">
        <w:tc>
          <w:tcPr>
            <w:tcW w:w="0" w:type="auto"/>
            <w:tcBorders>
              <w:top w:val="nil"/>
              <w:left w:val="nil"/>
              <w:right w:val="single" w:sz="4" w:space="0" w:color="auto"/>
            </w:tcBorders>
            <w:shd w:val="clear" w:color="auto" w:fill="auto"/>
            <w:noWrap/>
            <w:vAlign w:val="center"/>
          </w:tcPr>
          <w:p w14:paraId="74B04ABC" w14:textId="24ECDB2D"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14:paraId="2A2FF3C0" w14:textId="065DC9FA"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14:paraId="0CA6E47F" w14:textId="0EF5C06E"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14:paraId="79988425" w14:textId="04E3FBF4"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1.80%</w:t>
            </w:r>
          </w:p>
        </w:tc>
        <w:tc>
          <w:tcPr>
            <w:tcW w:w="0" w:type="auto"/>
            <w:tcBorders>
              <w:top w:val="nil"/>
              <w:left w:val="single" w:sz="4" w:space="0" w:color="auto"/>
              <w:right w:val="nil"/>
            </w:tcBorders>
            <w:shd w:val="clear" w:color="auto" w:fill="auto"/>
            <w:noWrap/>
            <w:vAlign w:val="bottom"/>
          </w:tcPr>
          <w:p w14:paraId="6B127F7E" w14:textId="394577C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1.57</w:t>
            </w:r>
          </w:p>
        </w:tc>
      </w:tr>
      <w:tr w:rsidR="00D321F9" w:rsidRPr="00446E30" w14:paraId="72D36FCB" w14:textId="77777777" w:rsidTr="00175C20">
        <w:tc>
          <w:tcPr>
            <w:tcW w:w="0" w:type="auto"/>
            <w:tcBorders>
              <w:top w:val="nil"/>
              <w:left w:val="nil"/>
              <w:bottom w:val="single" w:sz="4" w:space="0" w:color="auto"/>
              <w:right w:val="single" w:sz="4" w:space="0" w:color="auto"/>
            </w:tcBorders>
            <w:shd w:val="clear" w:color="auto" w:fill="auto"/>
            <w:noWrap/>
            <w:vAlign w:val="center"/>
            <w:hideMark/>
          </w:tcPr>
          <w:p w14:paraId="322DAB97" w14:textId="18AE820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C97AD" w14:textId="22EB8467"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376D3" w14:textId="39104F8E"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27895" w14:textId="41C8BAA6"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14:paraId="6C78D6C0" w14:textId="4CAD57C2"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1.46</w:t>
            </w:r>
          </w:p>
        </w:tc>
      </w:tr>
      <w:tr w:rsidR="00D321F9" w:rsidRPr="00446E30" w14:paraId="5AA4525B" w14:textId="77777777" w:rsidTr="00175C20">
        <w:tc>
          <w:tcPr>
            <w:tcW w:w="0" w:type="auto"/>
            <w:tcBorders>
              <w:top w:val="single" w:sz="4" w:space="0" w:color="auto"/>
              <w:left w:val="nil"/>
              <w:bottom w:val="nil"/>
              <w:right w:val="single" w:sz="8" w:space="0" w:color="auto"/>
            </w:tcBorders>
            <w:shd w:val="clear" w:color="auto" w:fill="auto"/>
            <w:noWrap/>
            <w:vAlign w:val="center"/>
            <w:hideMark/>
          </w:tcPr>
          <w:p w14:paraId="3474BC41" w14:textId="5CD70635"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14:paraId="7D66C6AD" w14:textId="6D38EE2A"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14:paraId="6AE0DC79" w14:textId="310C8512"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14:paraId="4F76F116" w14:textId="4859C3FA"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14:paraId="210BBED2" w14:textId="36C02FC1"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1.34</w:t>
            </w:r>
          </w:p>
        </w:tc>
      </w:tr>
      <w:tr w:rsidR="00D321F9" w:rsidRPr="00446E30" w14:paraId="167383BD" w14:textId="77777777" w:rsidTr="00175C20">
        <w:tc>
          <w:tcPr>
            <w:tcW w:w="0" w:type="auto"/>
            <w:tcBorders>
              <w:top w:val="nil"/>
              <w:left w:val="nil"/>
              <w:bottom w:val="nil"/>
              <w:right w:val="single" w:sz="8" w:space="0" w:color="auto"/>
            </w:tcBorders>
            <w:shd w:val="clear" w:color="auto" w:fill="auto"/>
            <w:noWrap/>
            <w:vAlign w:val="center"/>
            <w:hideMark/>
          </w:tcPr>
          <w:p w14:paraId="466973FB" w14:textId="46C09B66"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14:paraId="56933481" w14:textId="28F965A2"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14:paraId="68522E46" w14:textId="05F4C21A"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14:paraId="33C62579" w14:textId="19C721C2"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1.69%</w:t>
            </w:r>
          </w:p>
        </w:tc>
        <w:tc>
          <w:tcPr>
            <w:tcW w:w="0" w:type="auto"/>
            <w:tcBorders>
              <w:top w:val="nil"/>
              <w:left w:val="nil"/>
              <w:bottom w:val="nil"/>
              <w:right w:val="nil"/>
            </w:tcBorders>
            <w:shd w:val="clear" w:color="auto" w:fill="auto"/>
            <w:noWrap/>
            <w:vAlign w:val="bottom"/>
            <w:hideMark/>
          </w:tcPr>
          <w:p w14:paraId="539857F7" w14:textId="0766DFC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1.17</w:t>
            </w:r>
          </w:p>
        </w:tc>
      </w:tr>
      <w:tr w:rsidR="00D321F9" w:rsidRPr="00446E30" w14:paraId="4DFE4584" w14:textId="77777777" w:rsidTr="00175C20">
        <w:tc>
          <w:tcPr>
            <w:tcW w:w="0" w:type="auto"/>
            <w:tcBorders>
              <w:top w:val="nil"/>
              <w:left w:val="nil"/>
              <w:bottom w:val="single" w:sz="8" w:space="0" w:color="auto"/>
              <w:right w:val="single" w:sz="8" w:space="0" w:color="auto"/>
            </w:tcBorders>
            <w:shd w:val="clear" w:color="auto" w:fill="auto"/>
            <w:noWrap/>
            <w:vAlign w:val="center"/>
            <w:hideMark/>
          </w:tcPr>
          <w:p w14:paraId="68919770" w14:textId="7777777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14:paraId="346BA337" w14:textId="1FCB303A"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14:paraId="206154AB" w14:textId="10A48A86"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14:paraId="50F9D5DF" w14:textId="1363025C"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1.72%</w:t>
            </w:r>
          </w:p>
        </w:tc>
        <w:tc>
          <w:tcPr>
            <w:tcW w:w="0" w:type="auto"/>
            <w:tcBorders>
              <w:top w:val="nil"/>
              <w:left w:val="nil"/>
              <w:bottom w:val="nil"/>
              <w:right w:val="nil"/>
            </w:tcBorders>
            <w:shd w:val="clear" w:color="auto" w:fill="auto"/>
            <w:noWrap/>
            <w:vAlign w:val="bottom"/>
            <w:hideMark/>
          </w:tcPr>
          <w:p w14:paraId="1B8EBD3B" w14:textId="585E486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1.45</w:t>
            </w:r>
          </w:p>
        </w:tc>
      </w:tr>
      <w:tr w:rsidR="00D321F9" w:rsidRPr="00446E30" w14:paraId="73ECCE5E" w14:textId="77777777" w:rsidTr="00175C20">
        <w:tc>
          <w:tcPr>
            <w:tcW w:w="0" w:type="auto"/>
            <w:tcBorders>
              <w:top w:val="nil"/>
              <w:left w:val="nil"/>
              <w:bottom w:val="nil"/>
              <w:right w:val="single" w:sz="8" w:space="0" w:color="auto"/>
            </w:tcBorders>
            <w:shd w:val="clear" w:color="auto" w:fill="auto"/>
            <w:noWrap/>
            <w:hideMark/>
          </w:tcPr>
          <w:p w14:paraId="2EBDC4ED" w14:textId="46121B6F"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14:paraId="4138881F" w14:textId="69A3716B"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14:paraId="30CAE6CD" w14:textId="340D88F7"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14:paraId="730522A2" w14:textId="064C3FE1"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14:paraId="270E8ABA" w14:textId="363B4D8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1.92</w:t>
            </w:r>
          </w:p>
        </w:tc>
      </w:tr>
      <w:tr w:rsidR="00D321F9" w:rsidRPr="00446E30" w14:paraId="71AC2A9F" w14:textId="77777777" w:rsidTr="00175C20">
        <w:tc>
          <w:tcPr>
            <w:tcW w:w="0" w:type="auto"/>
            <w:tcBorders>
              <w:top w:val="nil"/>
              <w:left w:val="nil"/>
              <w:bottom w:val="nil"/>
              <w:right w:val="single" w:sz="8" w:space="0" w:color="auto"/>
            </w:tcBorders>
            <w:shd w:val="clear" w:color="auto" w:fill="auto"/>
            <w:noWrap/>
            <w:hideMark/>
          </w:tcPr>
          <w:p w14:paraId="5EB5F351" w14:textId="5ABF2E4B"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14:paraId="05445E58" w14:textId="2B265171"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14:paraId="2AE4095F" w14:textId="1C1A86D2"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14:paraId="09484C38" w14:textId="40B2D80B"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2.24%</w:t>
            </w:r>
          </w:p>
        </w:tc>
        <w:tc>
          <w:tcPr>
            <w:tcW w:w="0" w:type="auto"/>
            <w:tcBorders>
              <w:top w:val="nil"/>
              <w:left w:val="nil"/>
              <w:bottom w:val="nil"/>
              <w:right w:val="nil"/>
            </w:tcBorders>
            <w:shd w:val="clear" w:color="auto" w:fill="auto"/>
            <w:noWrap/>
            <w:vAlign w:val="bottom"/>
            <w:hideMark/>
          </w:tcPr>
          <w:p w14:paraId="35A0B77E" w14:textId="2816E8D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1.61</w:t>
            </w:r>
          </w:p>
        </w:tc>
      </w:tr>
      <w:tr w:rsidR="00D321F9" w:rsidRPr="00446E30" w14:paraId="512AD3CE" w14:textId="77777777" w:rsidTr="00175C20">
        <w:tc>
          <w:tcPr>
            <w:tcW w:w="0" w:type="auto"/>
            <w:tcBorders>
              <w:top w:val="nil"/>
              <w:left w:val="nil"/>
              <w:bottom w:val="nil"/>
              <w:right w:val="single" w:sz="8" w:space="0" w:color="auto"/>
            </w:tcBorders>
            <w:shd w:val="clear" w:color="auto" w:fill="auto"/>
            <w:noWrap/>
            <w:hideMark/>
          </w:tcPr>
          <w:p w14:paraId="74EC0B65" w14:textId="3EB006A1"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14:paraId="1E7E28CA" w14:textId="7A3181E5"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14:paraId="68EF940A" w14:textId="11EFB848"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14:paraId="4A0F287C" w14:textId="347D67C4"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1.86%</w:t>
            </w:r>
          </w:p>
        </w:tc>
        <w:tc>
          <w:tcPr>
            <w:tcW w:w="0" w:type="auto"/>
            <w:tcBorders>
              <w:top w:val="nil"/>
              <w:left w:val="nil"/>
              <w:bottom w:val="nil"/>
              <w:right w:val="nil"/>
            </w:tcBorders>
            <w:shd w:val="clear" w:color="auto" w:fill="auto"/>
            <w:noWrap/>
            <w:vAlign w:val="bottom"/>
            <w:hideMark/>
          </w:tcPr>
          <w:p w14:paraId="4291099E" w14:textId="4A029A3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1.53</w:t>
            </w:r>
          </w:p>
        </w:tc>
      </w:tr>
      <w:tr w:rsidR="00D34CE0" w:rsidRPr="00446E30" w14:paraId="2C6BFA36" w14:textId="77777777" w:rsidTr="00175C20">
        <w:tc>
          <w:tcPr>
            <w:tcW w:w="0" w:type="auto"/>
            <w:tcBorders>
              <w:top w:val="nil"/>
              <w:left w:val="nil"/>
              <w:bottom w:val="single" w:sz="8" w:space="0" w:color="auto"/>
              <w:right w:val="single" w:sz="8" w:space="0" w:color="auto"/>
            </w:tcBorders>
            <w:shd w:val="clear" w:color="auto" w:fill="auto"/>
            <w:noWrap/>
            <w:hideMark/>
          </w:tcPr>
          <w:p w14:paraId="730C64C4" w14:textId="196405EB"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14:paraId="3D82B8BA" w14:textId="3B5CC23C" w:rsidR="00D34CE0" w:rsidRPr="00446E30" w:rsidRDefault="00D34CE0" w:rsidP="007D4EB8">
            <w:pPr>
              <w:tabs>
                <w:tab w:val="decimal" w:pos="709"/>
              </w:tabs>
              <w:spacing w:line="240" w:lineRule="auto"/>
              <w:rPr>
                <w:rFonts w:ascii="Times New Roman" w:hAnsi="Times New Roman"/>
                <w:sz w:val="22"/>
                <w:szCs w:val="22"/>
              </w:rPr>
            </w:pPr>
            <w:r w:rsidRPr="00446E30">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14:paraId="5AF5856B" w14:textId="60E37C9C" w:rsidR="00D34CE0" w:rsidRPr="00446E30" w:rsidRDefault="00D34CE0" w:rsidP="007D4EB8">
            <w:pPr>
              <w:tabs>
                <w:tab w:val="decimal" w:pos="891"/>
              </w:tabs>
              <w:spacing w:line="240" w:lineRule="auto"/>
              <w:rPr>
                <w:rFonts w:ascii="Times New Roman" w:hAnsi="Times New Roman"/>
                <w:sz w:val="22"/>
                <w:szCs w:val="22"/>
              </w:rPr>
            </w:pPr>
            <w:r w:rsidRPr="00446E30">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14:paraId="180C4F83" w14:textId="123048D6" w:rsidR="00D34CE0" w:rsidRPr="00446E30" w:rsidRDefault="00D34CE0" w:rsidP="007D4EB8">
            <w:pPr>
              <w:tabs>
                <w:tab w:val="decimal" w:pos="383"/>
              </w:tabs>
              <w:spacing w:line="240" w:lineRule="auto"/>
              <w:rPr>
                <w:rFonts w:ascii="Times New Roman" w:hAnsi="Times New Roman"/>
                <w:sz w:val="22"/>
                <w:szCs w:val="22"/>
              </w:rPr>
            </w:pPr>
            <w:r w:rsidRPr="00446E30">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14:paraId="2B530ED0" w14:textId="6166FD40"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1.58</w:t>
            </w:r>
          </w:p>
        </w:tc>
      </w:tr>
    </w:tbl>
    <w:p w14:paraId="704C201C" w14:textId="5344D72B" w:rsidR="009139C9" w:rsidRPr="00446E30" w:rsidRDefault="009139C9" w:rsidP="007D4EB8">
      <w:pPr>
        <w:pStyle w:val="L1-FlLSp12"/>
        <w:spacing w:line="240" w:lineRule="auto"/>
        <w:rPr>
          <w:rFonts w:ascii="Times New Roman" w:hAnsi="Times New Roman"/>
          <w:bCs/>
          <w:iCs/>
          <w:sz w:val="22"/>
          <w:szCs w:val="22"/>
        </w:rPr>
      </w:pPr>
    </w:p>
    <w:p w14:paraId="35E48604" w14:textId="77777777" w:rsidR="007215B4" w:rsidRPr="00446E30" w:rsidRDefault="009139C9" w:rsidP="007D4EB8">
      <w:pPr>
        <w:pStyle w:val="L1-FlLSp12"/>
        <w:widowControl w:val="0"/>
        <w:spacing w:after="120" w:line="240" w:lineRule="auto"/>
        <w:rPr>
          <w:rFonts w:ascii="Times New Roman" w:hAnsi="Times New Roman"/>
          <w:szCs w:val="24"/>
        </w:rPr>
      </w:pPr>
      <w:r w:rsidRPr="00446E30">
        <w:rPr>
          <w:rFonts w:ascii="Times New Roman" w:hAnsi="Times New Roman"/>
          <w:szCs w:val="24"/>
        </w:rPr>
        <w:t xml:space="preserve">Table 6 provides the analogous precision analysis for </w:t>
      </w:r>
      <w:r w:rsidR="00735D3A" w:rsidRPr="00446E30">
        <w:rPr>
          <w:rFonts w:ascii="Times New Roman" w:hAnsi="Times New Roman"/>
          <w:szCs w:val="24"/>
        </w:rPr>
        <w:t>private</w:t>
      </w:r>
      <w:r w:rsidRPr="00446E30">
        <w:rPr>
          <w:rFonts w:ascii="Times New Roman" w:hAnsi="Times New Roman"/>
          <w:szCs w:val="24"/>
        </w:rPr>
        <w:t xml:space="preserve"> school teachers.</w:t>
      </w:r>
    </w:p>
    <w:p w14:paraId="1D18C11B" w14:textId="7B1494B6" w:rsidR="005117A4" w:rsidRPr="00C06D30" w:rsidRDefault="009139C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6. </w:t>
      </w:r>
      <w:r w:rsidR="00E94B4D" w:rsidRPr="00C06D30">
        <w:rPr>
          <w:rFonts w:ascii="Times New Roman" w:eastAsia="Calibri" w:hAnsi="Times New Roman"/>
          <w:b/>
          <w:bCs/>
          <w:sz w:val="22"/>
          <w:szCs w:val="22"/>
        </w:rPr>
        <w:t>Teacher-</w:t>
      </w:r>
      <w:r w:rsidRPr="00C06D30">
        <w:rPr>
          <w:rFonts w:ascii="Times New Roman" w:eastAsia="Calibri" w:hAnsi="Times New Roman"/>
          <w:b/>
          <w:bCs/>
          <w:sz w:val="22"/>
          <w:szCs w:val="22"/>
        </w:rPr>
        <w:t xml:space="preserve">domain expected interviews, standard errors, and design </w:t>
      </w:r>
      <w:r w:rsidR="005117A4" w:rsidRPr="00C06D30">
        <w:rPr>
          <w:rFonts w:ascii="Times New Roman" w:eastAsia="Calibri" w:hAnsi="Times New Roman"/>
          <w:b/>
          <w:bCs/>
          <w:sz w:val="22"/>
          <w:szCs w:val="22"/>
        </w:rPr>
        <w:t xml:space="preserve">for the NTPS </w:t>
      </w:r>
      <w:r w:rsidR="00E3053A" w:rsidRPr="00C06D30">
        <w:rPr>
          <w:rFonts w:ascii="Times New Roman" w:eastAsia="Calibri" w:hAnsi="Times New Roman"/>
          <w:b/>
          <w:bCs/>
          <w:sz w:val="22"/>
          <w:szCs w:val="22"/>
        </w:rPr>
        <w:t>2017-18</w:t>
      </w:r>
      <w:r w:rsidR="005117A4" w:rsidRPr="00C06D30">
        <w:rPr>
          <w:rFonts w:ascii="Times New Roman" w:eastAsia="Calibri" w:hAnsi="Times New Roman"/>
          <w:b/>
          <w:bCs/>
          <w:sz w:val="22"/>
          <w:szCs w:val="22"/>
        </w:rPr>
        <w:t xml:space="preserve"> private school </w:t>
      </w:r>
      <w:r w:rsidR="00B65493" w:rsidRPr="00C06D30">
        <w:rPr>
          <w:rFonts w:ascii="Times New Roman" w:eastAsia="Calibri" w:hAnsi="Times New Roman"/>
          <w:b/>
          <w:bCs/>
          <w:sz w:val="22"/>
          <w:szCs w:val="22"/>
        </w:rPr>
        <w:t>sample</w:t>
      </w:r>
    </w:p>
    <w:tbl>
      <w:tblPr>
        <w:tblW w:w="5000" w:type="pct"/>
        <w:tblLook w:val="04A0" w:firstRow="1" w:lastRow="0" w:firstColumn="1" w:lastColumn="0" w:noHBand="0" w:noVBand="1"/>
      </w:tblPr>
      <w:tblGrid>
        <w:gridCol w:w="1705"/>
        <w:gridCol w:w="2884"/>
        <w:gridCol w:w="2884"/>
        <w:gridCol w:w="1680"/>
        <w:gridCol w:w="1575"/>
      </w:tblGrid>
      <w:tr w:rsidR="00D321F9" w:rsidRPr="00446E30" w14:paraId="182C8677" w14:textId="77777777"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14:paraId="63A3CA4F"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14:paraId="1D951C22" w14:textId="707D1AD5"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Frame Full-Time Equiva</w:t>
            </w:r>
            <w:r w:rsidR="00FF6ED2" w:rsidRPr="00446E30">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14:paraId="7C64F93F"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14:paraId="48BAEF3B"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14:paraId="46788253" w14:textId="77777777" w:rsidR="00735D3A" w:rsidRPr="00446E30" w:rsidRDefault="00735D3A" w:rsidP="007D4EB8">
            <w:pPr>
              <w:spacing w:line="240" w:lineRule="auto"/>
              <w:jc w:val="center"/>
              <w:rPr>
                <w:rFonts w:ascii="Times New Roman" w:hAnsi="Times New Roman"/>
                <w:b/>
                <w:bCs/>
                <w:sz w:val="22"/>
                <w:szCs w:val="22"/>
              </w:rPr>
            </w:pPr>
            <w:r w:rsidRPr="00446E30">
              <w:rPr>
                <w:rFonts w:ascii="Times New Roman" w:hAnsi="Times New Roman"/>
                <w:b/>
                <w:bCs/>
                <w:sz w:val="22"/>
                <w:szCs w:val="22"/>
              </w:rPr>
              <w:t>Design Effect</w:t>
            </w:r>
          </w:p>
        </w:tc>
      </w:tr>
      <w:tr w:rsidR="00D321F9" w:rsidRPr="00446E30" w14:paraId="12A5B1A2" w14:textId="77777777" w:rsidTr="00583030">
        <w:tc>
          <w:tcPr>
            <w:tcW w:w="795" w:type="pct"/>
            <w:tcBorders>
              <w:top w:val="nil"/>
              <w:left w:val="nil"/>
              <w:bottom w:val="single" w:sz="8" w:space="0" w:color="auto"/>
              <w:right w:val="single" w:sz="8" w:space="0" w:color="auto"/>
            </w:tcBorders>
            <w:shd w:val="clear" w:color="auto" w:fill="auto"/>
            <w:noWrap/>
            <w:vAlign w:val="center"/>
            <w:hideMark/>
          </w:tcPr>
          <w:p w14:paraId="7F2F54AD" w14:textId="7777777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14:paraId="55D05BB2" w14:textId="5B42C643"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14:paraId="355A9667" w14:textId="470E7357"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14:paraId="6F48C5FB" w14:textId="106BAA7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0.99%</w:t>
            </w:r>
          </w:p>
        </w:tc>
        <w:tc>
          <w:tcPr>
            <w:tcW w:w="734" w:type="pct"/>
            <w:tcBorders>
              <w:top w:val="nil"/>
              <w:left w:val="nil"/>
              <w:bottom w:val="nil"/>
              <w:right w:val="nil"/>
            </w:tcBorders>
            <w:shd w:val="clear" w:color="auto" w:fill="auto"/>
            <w:noWrap/>
            <w:vAlign w:val="bottom"/>
            <w:hideMark/>
          </w:tcPr>
          <w:p w14:paraId="55E022D9" w14:textId="0D76A917"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3.58</w:t>
            </w:r>
          </w:p>
        </w:tc>
      </w:tr>
      <w:tr w:rsidR="00D321F9" w:rsidRPr="00446E30" w14:paraId="655DFC9D" w14:textId="77777777" w:rsidTr="00583030">
        <w:tc>
          <w:tcPr>
            <w:tcW w:w="795" w:type="pct"/>
            <w:tcBorders>
              <w:top w:val="nil"/>
              <w:left w:val="nil"/>
              <w:bottom w:val="nil"/>
              <w:right w:val="single" w:sz="4" w:space="0" w:color="auto"/>
            </w:tcBorders>
            <w:shd w:val="clear" w:color="auto" w:fill="auto"/>
            <w:noWrap/>
            <w:vAlign w:val="center"/>
            <w:hideMark/>
          </w:tcPr>
          <w:p w14:paraId="799C3C4F" w14:textId="1C418A62"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14:paraId="79C2A632" w14:textId="41D2BF64"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14:paraId="3B6EC3FA" w14:textId="19669FD4"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14:paraId="23611262" w14:textId="110E53C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14:paraId="5E0AF4CB" w14:textId="6DB0788B"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3.98</w:t>
            </w:r>
          </w:p>
        </w:tc>
      </w:tr>
      <w:tr w:rsidR="00D321F9" w:rsidRPr="00446E30" w14:paraId="5DDD4863" w14:textId="77777777" w:rsidTr="00583030">
        <w:tc>
          <w:tcPr>
            <w:tcW w:w="795" w:type="pct"/>
            <w:tcBorders>
              <w:top w:val="nil"/>
              <w:left w:val="nil"/>
              <w:bottom w:val="nil"/>
              <w:right w:val="single" w:sz="4" w:space="0" w:color="auto"/>
            </w:tcBorders>
            <w:shd w:val="clear" w:color="auto" w:fill="auto"/>
            <w:noWrap/>
            <w:vAlign w:val="center"/>
          </w:tcPr>
          <w:p w14:paraId="15022102" w14:textId="6ED4BC17"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14:paraId="0DB90E84" w14:textId="36CB2F1E"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14:paraId="0F6E87B1" w14:textId="260D4D61"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14:paraId="1E584B73" w14:textId="675E56D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1.72%</w:t>
            </w:r>
          </w:p>
        </w:tc>
        <w:tc>
          <w:tcPr>
            <w:tcW w:w="734" w:type="pct"/>
            <w:tcBorders>
              <w:top w:val="nil"/>
              <w:left w:val="single" w:sz="4" w:space="0" w:color="auto"/>
              <w:right w:val="nil"/>
            </w:tcBorders>
            <w:shd w:val="clear" w:color="auto" w:fill="auto"/>
            <w:noWrap/>
            <w:vAlign w:val="bottom"/>
          </w:tcPr>
          <w:p w14:paraId="3C532C75" w14:textId="293605F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3.24</w:t>
            </w:r>
          </w:p>
        </w:tc>
      </w:tr>
      <w:tr w:rsidR="00D321F9" w:rsidRPr="00446E30" w14:paraId="614D5F20" w14:textId="77777777" w:rsidTr="00583030">
        <w:tc>
          <w:tcPr>
            <w:tcW w:w="795" w:type="pct"/>
            <w:tcBorders>
              <w:top w:val="nil"/>
              <w:left w:val="nil"/>
              <w:bottom w:val="nil"/>
              <w:right w:val="single" w:sz="4" w:space="0" w:color="auto"/>
            </w:tcBorders>
            <w:shd w:val="clear" w:color="auto" w:fill="auto"/>
            <w:noWrap/>
            <w:vAlign w:val="center"/>
            <w:hideMark/>
          </w:tcPr>
          <w:p w14:paraId="61B11050" w14:textId="1890A83C"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14:paraId="60CBC1E0" w14:textId="2E1C2E1A"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14:paraId="03D98F09" w14:textId="0092B9CD"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14:paraId="4C510BE2" w14:textId="17EEA33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14:paraId="5C41BF1B" w14:textId="38F79812"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3.40</w:t>
            </w:r>
          </w:p>
        </w:tc>
      </w:tr>
      <w:tr w:rsidR="00D321F9" w:rsidRPr="00446E30" w14:paraId="2B87E8E3" w14:textId="77777777" w:rsidTr="00583030">
        <w:tc>
          <w:tcPr>
            <w:tcW w:w="795" w:type="pct"/>
            <w:tcBorders>
              <w:top w:val="single" w:sz="8" w:space="0" w:color="auto"/>
              <w:left w:val="nil"/>
              <w:bottom w:val="nil"/>
              <w:right w:val="single" w:sz="8" w:space="0" w:color="auto"/>
            </w:tcBorders>
            <w:shd w:val="clear" w:color="auto" w:fill="auto"/>
            <w:noWrap/>
            <w:vAlign w:val="center"/>
            <w:hideMark/>
          </w:tcPr>
          <w:p w14:paraId="7047332D" w14:textId="0D91C6E4"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14:paraId="76833C68" w14:textId="6D527AD0"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14:paraId="23B153C0" w14:textId="2C87DA9E"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14:paraId="64E6AADD" w14:textId="72DAA54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1.65%</w:t>
            </w:r>
          </w:p>
        </w:tc>
        <w:tc>
          <w:tcPr>
            <w:tcW w:w="734" w:type="pct"/>
            <w:tcBorders>
              <w:top w:val="nil"/>
              <w:left w:val="nil"/>
              <w:bottom w:val="nil"/>
              <w:right w:val="nil"/>
            </w:tcBorders>
            <w:shd w:val="clear" w:color="auto" w:fill="auto"/>
            <w:noWrap/>
            <w:vAlign w:val="bottom"/>
            <w:hideMark/>
          </w:tcPr>
          <w:p w14:paraId="0035D062" w14:textId="49048D3C"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2.81</w:t>
            </w:r>
          </w:p>
        </w:tc>
      </w:tr>
      <w:tr w:rsidR="00D321F9" w:rsidRPr="00446E30" w14:paraId="72AF1D5E" w14:textId="77777777" w:rsidTr="00583030">
        <w:tc>
          <w:tcPr>
            <w:tcW w:w="795" w:type="pct"/>
            <w:tcBorders>
              <w:top w:val="nil"/>
              <w:left w:val="nil"/>
              <w:bottom w:val="nil"/>
              <w:right w:val="single" w:sz="8" w:space="0" w:color="auto"/>
            </w:tcBorders>
            <w:shd w:val="clear" w:color="auto" w:fill="auto"/>
            <w:noWrap/>
            <w:vAlign w:val="center"/>
            <w:hideMark/>
          </w:tcPr>
          <w:p w14:paraId="78BF046E" w14:textId="4EAAFFDA"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14:paraId="5319DD5B" w14:textId="7942BB3D"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14:paraId="224DCD65" w14:textId="11262BDC"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14:paraId="1DCD4D4C" w14:textId="006D4C5A"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1.66%</w:t>
            </w:r>
          </w:p>
        </w:tc>
        <w:tc>
          <w:tcPr>
            <w:tcW w:w="734" w:type="pct"/>
            <w:tcBorders>
              <w:top w:val="nil"/>
              <w:left w:val="nil"/>
              <w:bottom w:val="nil"/>
              <w:right w:val="nil"/>
            </w:tcBorders>
            <w:shd w:val="clear" w:color="auto" w:fill="auto"/>
            <w:noWrap/>
            <w:vAlign w:val="bottom"/>
            <w:hideMark/>
          </w:tcPr>
          <w:p w14:paraId="681B1986" w14:textId="7C16B95C"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3.32</w:t>
            </w:r>
          </w:p>
        </w:tc>
      </w:tr>
      <w:tr w:rsidR="00D321F9" w:rsidRPr="00446E30" w14:paraId="240410AD" w14:textId="77777777" w:rsidTr="00583030">
        <w:tc>
          <w:tcPr>
            <w:tcW w:w="795" w:type="pct"/>
            <w:tcBorders>
              <w:top w:val="nil"/>
              <w:left w:val="nil"/>
              <w:bottom w:val="single" w:sz="8" w:space="0" w:color="auto"/>
              <w:right w:val="single" w:sz="8" w:space="0" w:color="auto"/>
            </w:tcBorders>
            <w:shd w:val="clear" w:color="auto" w:fill="auto"/>
            <w:noWrap/>
            <w:vAlign w:val="center"/>
            <w:hideMark/>
          </w:tcPr>
          <w:p w14:paraId="43068A5F" w14:textId="0ED2061F"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14:paraId="6CF735A7" w14:textId="18828893"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14:paraId="62D22B05" w14:textId="2A41907B"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14:paraId="33C959A0" w14:textId="3050818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1.53%</w:t>
            </w:r>
          </w:p>
        </w:tc>
        <w:tc>
          <w:tcPr>
            <w:tcW w:w="734" w:type="pct"/>
            <w:tcBorders>
              <w:top w:val="nil"/>
              <w:left w:val="nil"/>
              <w:bottom w:val="nil"/>
              <w:right w:val="nil"/>
            </w:tcBorders>
            <w:shd w:val="clear" w:color="auto" w:fill="auto"/>
            <w:noWrap/>
            <w:vAlign w:val="bottom"/>
            <w:hideMark/>
          </w:tcPr>
          <w:p w14:paraId="4E801DCD" w14:textId="1B85A60F"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3.31</w:t>
            </w:r>
          </w:p>
        </w:tc>
      </w:tr>
      <w:tr w:rsidR="00D321F9" w:rsidRPr="00446E30" w14:paraId="0E04F0E9" w14:textId="77777777" w:rsidTr="00583030">
        <w:tc>
          <w:tcPr>
            <w:tcW w:w="795" w:type="pct"/>
            <w:tcBorders>
              <w:top w:val="nil"/>
              <w:left w:val="nil"/>
              <w:bottom w:val="nil"/>
              <w:right w:val="single" w:sz="8" w:space="0" w:color="auto"/>
            </w:tcBorders>
            <w:shd w:val="clear" w:color="auto" w:fill="auto"/>
            <w:noWrap/>
            <w:hideMark/>
          </w:tcPr>
          <w:p w14:paraId="4B007019" w14:textId="109B05E0"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14:paraId="6AD95236" w14:textId="1DE2CE0A"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14:paraId="2E33C75F" w14:textId="71403FA6"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14:paraId="137454C4" w14:textId="48D6B7F8"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14:paraId="70E4A117" w14:textId="705C77E3"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3.84</w:t>
            </w:r>
          </w:p>
        </w:tc>
      </w:tr>
      <w:tr w:rsidR="00D321F9" w:rsidRPr="00446E30" w14:paraId="661962E5" w14:textId="77777777" w:rsidTr="00583030">
        <w:tc>
          <w:tcPr>
            <w:tcW w:w="795" w:type="pct"/>
            <w:tcBorders>
              <w:top w:val="nil"/>
              <w:left w:val="nil"/>
              <w:bottom w:val="nil"/>
              <w:right w:val="single" w:sz="8" w:space="0" w:color="auto"/>
            </w:tcBorders>
            <w:shd w:val="clear" w:color="auto" w:fill="auto"/>
            <w:noWrap/>
            <w:hideMark/>
          </w:tcPr>
          <w:p w14:paraId="6E9AD05E" w14:textId="12E06253"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14:paraId="4438890E" w14:textId="022EEC67"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14:paraId="47EEAEEF" w14:textId="267034A8"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14:paraId="2AB9E04A" w14:textId="39A0C7CE"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2.13%</w:t>
            </w:r>
          </w:p>
        </w:tc>
        <w:tc>
          <w:tcPr>
            <w:tcW w:w="734" w:type="pct"/>
            <w:tcBorders>
              <w:top w:val="nil"/>
              <w:left w:val="nil"/>
              <w:bottom w:val="nil"/>
              <w:right w:val="nil"/>
            </w:tcBorders>
            <w:shd w:val="clear" w:color="auto" w:fill="auto"/>
            <w:noWrap/>
            <w:vAlign w:val="bottom"/>
            <w:hideMark/>
          </w:tcPr>
          <w:p w14:paraId="37DE4C14" w14:textId="681DFB35"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3.50</w:t>
            </w:r>
          </w:p>
        </w:tc>
      </w:tr>
      <w:tr w:rsidR="00D321F9" w:rsidRPr="00446E30" w14:paraId="6062A2C1" w14:textId="77777777" w:rsidTr="00583030">
        <w:trPr>
          <w:trHeight w:val="80"/>
        </w:trPr>
        <w:tc>
          <w:tcPr>
            <w:tcW w:w="795" w:type="pct"/>
            <w:tcBorders>
              <w:top w:val="nil"/>
              <w:left w:val="nil"/>
              <w:bottom w:val="nil"/>
              <w:right w:val="single" w:sz="8" w:space="0" w:color="auto"/>
            </w:tcBorders>
            <w:shd w:val="clear" w:color="auto" w:fill="auto"/>
            <w:noWrap/>
            <w:hideMark/>
          </w:tcPr>
          <w:p w14:paraId="76F3DDE7" w14:textId="479DB40C"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14:paraId="0494EAA5" w14:textId="4E9E09C5"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14:paraId="5FFA7C01" w14:textId="613B0422"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14:paraId="277417D1" w14:textId="301A6B10"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1.74%</w:t>
            </w:r>
          </w:p>
        </w:tc>
        <w:tc>
          <w:tcPr>
            <w:tcW w:w="734" w:type="pct"/>
            <w:tcBorders>
              <w:top w:val="nil"/>
              <w:left w:val="nil"/>
              <w:bottom w:val="nil"/>
              <w:right w:val="nil"/>
            </w:tcBorders>
            <w:shd w:val="clear" w:color="auto" w:fill="auto"/>
            <w:noWrap/>
            <w:vAlign w:val="bottom"/>
            <w:hideMark/>
          </w:tcPr>
          <w:p w14:paraId="2BC28485" w14:textId="008A0F12"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3.48</w:t>
            </w:r>
          </w:p>
        </w:tc>
      </w:tr>
      <w:tr w:rsidR="00D34CE0" w:rsidRPr="00D321F9" w14:paraId="72A573CA" w14:textId="77777777" w:rsidTr="00583030">
        <w:tc>
          <w:tcPr>
            <w:tcW w:w="795" w:type="pct"/>
            <w:tcBorders>
              <w:top w:val="nil"/>
              <w:left w:val="nil"/>
              <w:bottom w:val="single" w:sz="8" w:space="0" w:color="auto"/>
              <w:right w:val="single" w:sz="8" w:space="0" w:color="auto"/>
            </w:tcBorders>
            <w:shd w:val="clear" w:color="auto" w:fill="auto"/>
            <w:noWrap/>
            <w:hideMark/>
          </w:tcPr>
          <w:p w14:paraId="430AA80B" w14:textId="1136F2E6" w:rsidR="00D34CE0" w:rsidRPr="00446E30" w:rsidRDefault="00D34CE0" w:rsidP="007D4EB8">
            <w:pPr>
              <w:spacing w:line="240" w:lineRule="auto"/>
              <w:rPr>
                <w:rFonts w:ascii="Times New Roman" w:hAnsi="Times New Roman"/>
                <w:sz w:val="22"/>
                <w:szCs w:val="22"/>
              </w:rPr>
            </w:pPr>
            <w:r w:rsidRPr="00446E30">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14:paraId="0ADD9759" w14:textId="6BF61CED" w:rsidR="00D34CE0" w:rsidRPr="00446E30" w:rsidRDefault="00D34CE0" w:rsidP="007D4EB8">
            <w:pPr>
              <w:tabs>
                <w:tab w:val="decimal" w:pos="799"/>
              </w:tabs>
              <w:spacing w:line="240" w:lineRule="auto"/>
              <w:rPr>
                <w:rFonts w:ascii="Times New Roman" w:hAnsi="Times New Roman"/>
                <w:sz w:val="22"/>
                <w:szCs w:val="22"/>
              </w:rPr>
            </w:pPr>
            <w:r w:rsidRPr="00446E30">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14:paraId="7203F3A4" w14:textId="4B70D93D" w:rsidR="00D34CE0" w:rsidRPr="00446E30" w:rsidRDefault="00D34CE0" w:rsidP="007D4EB8">
            <w:pPr>
              <w:tabs>
                <w:tab w:val="decimal" w:pos="903"/>
              </w:tabs>
              <w:spacing w:line="240" w:lineRule="auto"/>
              <w:rPr>
                <w:rFonts w:ascii="Times New Roman" w:hAnsi="Times New Roman"/>
                <w:sz w:val="22"/>
                <w:szCs w:val="22"/>
              </w:rPr>
            </w:pPr>
            <w:r w:rsidRPr="00446E30">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14:paraId="1CA6D144" w14:textId="434ADFBD" w:rsidR="00D34CE0" w:rsidRPr="00446E30" w:rsidRDefault="00D34CE0" w:rsidP="007D4EB8">
            <w:pPr>
              <w:spacing w:line="240" w:lineRule="auto"/>
              <w:jc w:val="center"/>
              <w:rPr>
                <w:rFonts w:ascii="Times New Roman" w:hAnsi="Times New Roman"/>
                <w:sz w:val="22"/>
                <w:szCs w:val="22"/>
              </w:rPr>
            </w:pPr>
            <w:r w:rsidRPr="00446E30">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14:paraId="46B6ECC1" w14:textId="2A762E27" w:rsidR="00D34CE0" w:rsidRPr="00D321F9" w:rsidRDefault="00D34CE0" w:rsidP="007D4EB8">
            <w:pPr>
              <w:spacing w:line="240" w:lineRule="auto"/>
              <w:jc w:val="center"/>
              <w:rPr>
                <w:rFonts w:ascii="Times New Roman" w:hAnsi="Times New Roman"/>
                <w:sz w:val="22"/>
                <w:szCs w:val="22"/>
              </w:rPr>
            </w:pPr>
            <w:r w:rsidRPr="00446E30">
              <w:rPr>
                <w:rFonts w:ascii="Times New Roman" w:hAnsi="Times New Roman"/>
              </w:rPr>
              <w:t>3.47</w:t>
            </w:r>
          </w:p>
        </w:tc>
      </w:tr>
    </w:tbl>
    <w:p w14:paraId="5DA733A9" w14:textId="77777777" w:rsidR="009139C9" w:rsidRPr="00D321F9" w:rsidRDefault="009139C9" w:rsidP="00A50DEB">
      <w:pPr>
        <w:pStyle w:val="L1-FlLSp12"/>
        <w:spacing w:before="120" w:after="120" w:line="240" w:lineRule="auto"/>
        <w:rPr>
          <w:rFonts w:ascii="Times New Roman" w:hAnsi="Times New Roman"/>
          <w:b/>
          <w:bCs/>
          <w:i/>
          <w:iCs/>
          <w:szCs w:val="24"/>
        </w:rPr>
      </w:pPr>
      <w:bookmarkStart w:id="42" w:name="_Toc412576700"/>
      <w:r w:rsidRPr="00D321F9">
        <w:rPr>
          <w:rFonts w:ascii="Times New Roman" w:hAnsi="Times New Roman"/>
          <w:b/>
          <w:bCs/>
          <w:i/>
          <w:iCs/>
          <w:szCs w:val="24"/>
        </w:rPr>
        <w:t>Sampling – Principals within All Schools</w:t>
      </w:r>
      <w:bookmarkEnd w:id="42"/>
    </w:p>
    <w:p w14:paraId="7275C5D7" w14:textId="6830A29D" w:rsidR="009139C9" w:rsidRPr="00D321F9" w:rsidRDefault="009139C9" w:rsidP="007D4EB8">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14:paraId="2B33B514" w14:textId="77777777" w:rsidR="009139C9" w:rsidRPr="00D321F9" w:rsidRDefault="009139C9" w:rsidP="009906B8">
      <w:pPr>
        <w:pStyle w:val="L1-FlLSp12"/>
        <w:keepNext/>
        <w:spacing w:after="120" w:line="240" w:lineRule="auto"/>
        <w:rPr>
          <w:rFonts w:ascii="Times New Roman" w:hAnsi="Times New Roman"/>
          <w:b/>
          <w:bCs/>
          <w:szCs w:val="24"/>
        </w:rPr>
      </w:pPr>
      <w:bookmarkStart w:id="43" w:name="_Toc412576701"/>
      <w:r w:rsidRPr="00D321F9">
        <w:rPr>
          <w:rFonts w:ascii="Times New Roman" w:hAnsi="Times New Roman"/>
          <w:b/>
          <w:bCs/>
          <w:szCs w:val="24"/>
        </w:rPr>
        <w:t>Survey Weights</w:t>
      </w:r>
      <w:bookmarkEnd w:id="43"/>
    </w:p>
    <w:p w14:paraId="01779D8C" w14:textId="422A5B6E" w:rsidR="007F1D78" w:rsidRPr="00D321F9" w:rsidRDefault="009139C9" w:rsidP="009906B8">
      <w:pPr>
        <w:pStyle w:val="L1-FlLSp12"/>
        <w:widowControl w:val="0"/>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14:paraId="6BCD204A" w14:textId="0842B071" w:rsidR="009139C9" w:rsidRPr="00D321F9" w:rsidRDefault="009139C9" w:rsidP="007D4EB8">
      <w:pPr>
        <w:pStyle w:val="L1-FlLSp12"/>
        <w:spacing w:after="120" w:line="240" w:lineRule="auto"/>
        <w:rPr>
          <w:rFonts w:ascii="Times New Roman" w:hAnsi="Times New Roman"/>
          <w:b/>
          <w:bCs/>
          <w:szCs w:val="24"/>
        </w:rPr>
      </w:pPr>
      <w:bookmarkStart w:id="44" w:name="_Toc412576702"/>
      <w:r w:rsidRPr="00D321F9">
        <w:rPr>
          <w:rFonts w:ascii="Times New Roman" w:hAnsi="Times New Roman"/>
          <w:b/>
          <w:bCs/>
          <w:szCs w:val="24"/>
        </w:rPr>
        <w:t>Response Rates</w:t>
      </w:r>
      <w:bookmarkEnd w:id="44"/>
    </w:p>
    <w:p w14:paraId="375CB54A" w14:textId="54801C7B" w:rsidR="009139C9" w:rsidRPr="00EF0ACC" w:rsidRDefault="009139C9" w:rsidP="007D4EB8">
      <w:pPr>
        <w:pStyle w:val="Header"/>
        <w:spacing w:after="120" w:line="240" w:lineRule="auto"/>
        <w:rPr>
          <w:rFonts w:ascii="Times New Roman" w:hAnsi="Times New Roman"/>
          <w:b/>
          <w:bCs/>
          <w:i/>
          <w:iCs/>
          <w:sz w:val="24"/>
          <w:szCs w:val="24"/>
        </w:rPr>
      </w:pPr>
      <w:r w:rsidRPr="00AC0599">
        <w:rPr>
          <w:rFonts w:ascii="Times New Roman" w:hAnsi="Times New Roman"/>
          <w:sz w:val="24"/>
          <w:szCs w:val="24"/>
        </w:rPr>
        <w:t xml:space="preserve">We expect the NTPS </w:t>
      </w:r>
      <w:r w:rsidR="00825F98" w:rsidRPr="00AC0599">
        <w:rPr>
          <w:rFonts w:ascii="Times New Roman" w:hAnsi="Times New Roman"/>
          <w:sz w:val="24"/>
          <w:szCs w:val="24"/>
        </w:rPr>
        <w:t>2019-20</w:t>
      </w:r>
      <w:r w:rsidRPr="00AC0599">
        <w:rPr>
          <w:rFonts w:ascii="Times New Roman" w:hAnsi="Times New Roman"/>
          <w:sz w:val="24"/>
          <w:szCs w:val="24"/>
        </w:rPr>
        <w:t xml:space="preserve"> response rates to ap</w:t>
      </w:r>
      <w:r w:rsidR="00C71C8A" w:rsidRPr="00AC0599">
        <w:rPr>
          <w:rFonts w:ascii="Times New Roman" w:hAnsi="Times New Roman"/>
          <w:sz w:val="24"/>
          <w:szCs w:val="24"/>
        </w:rPr>
        <w:t xml:space="preserve">proximate those of NTPS </w:t>
      </w:r>
      <w:r w:rsidR="00825F98" w:rsidRPr="00AC0599">
        <w:rPr>
          <w:rFonts w:ascii="Times New Roman" w:hAnsi="Times New Roman"/>
          <w:sz w:val="24"/>
          <w:szCs w:val="24"/>
        </w:rPr>
        <w:t>2017-18</w:t>
      </w:r>
      <w:r w:rsidR="00C71C8A" w:rsidRPr="00AC0599">
        <w:rPr>
          <w:rFonts w:ascii="Times New Roman" w:hAnsi="Times New Roman"/>
          <w:sz w:val="24"/>
          <w:szCs w:val="24"/>
        </w:rPr>
        <w:t xml:space="preserve"> </w:t>
      </w:r>
      <w:r w:rsidR="00463240" w:rsidRPr="00AC0599">
        <w:rPr>
          <w:rFonts w:ascii="Times New Roman" w:hAnsi="Times New Roman"/>
          <w:sz w:val="24"/>
          <w:szCs w:val="24"/>
        </w:rPr>
        <w:t xml:space="preserve">(for public </w:t>
      </w:r>
      <w:r w:rsidR="00825F98" w:rsidRPr="00AC0599">
        <w:rPr>
          <w:rFonts w:ascii="Times New Roman" w:hAnsi="Times New Roman"/>
          <w:sz w:val="24"/>
          <w:szCs w:val="24"/>
        </w:rPr>
        <w:t xml:space="preserve">and private </w:t>
      </w:r>
      <w:r w:rsidR="00463240" w:rsidRPr="00AC0599">
        <w:rPr>
          <w:rFonts w:ascii="Times New Roman" w:hAnsi="Times New Roman"/>
          <w:sz w:val="24"/>
          <w:szCs w:val="24"/>
        </w:rPr>
        <w:t xml:space="preserve">schools) </w:t>
      </w:r>
      <w:r w:rsidRPr="00AC0599">
        <w:rPr>
          <w:rFonts w:ascii="Times New Roman" w:hAnsi="Times New Roman"/>
          <w:sz w:val="24"/>
          <w:szCs w:val="24"/>
        </w:rPr>
        <w:t>or to fall lower given the long-term trend in declining response ra</w:t>
      </w:r>
      <w:r w:rsidR="002B2D4F" w:rsidRPr="00AC0599">
        <w:rPr>
          <w:rFonts w:ascii="Times New Roman" w:hAnsi="Times New Roman"/>
          <w:sz w:val="24"/>
          <w:szCs w:val="24"/>
        </w:rPr>
        <w:t>tes for federal surveys. Table 7</w:t>
      </w:r>
      <w:r w:rsidRPr="00AC0599">
        <w:rPr>
          <w:rFonts w:ascii="Times New Roman" w:hAnsi="Times New Roman"/>
          <w:sz w:val="24"/>
          <w:szCs w:val="24"/>
        </w:rPr>
        <w:t xml:space="preserve"> provides the base-weighted response rates for </w:t>
      </w:r>
      <w:r w:rsidR="009F1465" w:rsidRPr="00AC0599">
        <w:rPr>
          <w:rFonts w:ascii="Times New Roman" w:hAnsi="Times New Roman"/>
          <w:sz w:val="24"/>
          <w:szCs w:val="24"/>
        </w:rPr>
        <w:t>NTPS 2015-16</w:t>
      </w:r>
      <w:r w:rsidRPr="00AC0599">
        <w:rPr>
          <w:rFonts w:ascii="Times New Roman" w:hAnsi="Times New Roman"/>
          <w:sz w:val="24"/>
          <w:szCs w:val="24"/>
        </w:rPr>
        <w:t xml:space="preserve">, </w:t>
      </w:r>
      <w:r w:rsidR="00D847EF">
        <w:rPr>
          <w:rFonts w:ascii="Times New Roman" w:hAnsi="Times New Roman"/>
          <w:sz w:val="24"/>
          <w:szCs w:val="24"/>
        </w:rPr>
        <w:t>given that</w:t>
      </w:r>
      <w:r w:rsidRPr="00AC0599">
        <w:rPr>
          <w:rFonts w:ascii="Times New Roman" w:hAnsi="Times New Roman"/>
          <w:sz w:val="24"/>
          <w:szCs w:val="24"/>
        </w:rPr>
        <w:t xml:space="preserve"> the final base-weighted response rates are not yet calculated for NTPS </w:t>
      </w:r>
      <w:r w:rsidR="009F1465" w:rsidRPr="00AC0599">
        <w:rPr>
          <w:rFonts w:ascii="Times New Roman" w:hAnsi="Times New Roman"/>
          <w:sz w:val="24"/>
          <w:szCs w:val="24"/>
        </w:rPr>
        <w:t>2017-18</w:t>
      </w:r>
      <w:r w:rsidRPr="00AC0599">
        <w:rPr>
          <w:rFonts w:ascii="Times New Roman" w:hAnsi="Times New Roman"/>
          <w:sz w:val="24"/>
          <w:szCs w:val="24"/>
        </w:rPr>
        <w:t>.</w:t>
      </w:r>
      <w:r w:rsidR="00AC0599" w:rsidRPr="00AC0599">
        <w:rPr>
          <w:rFonts w:ascii="Times New Roman" w:hAnsi="Times New Roman"/>
          <w:sz w:val="24"/>
          <w:szCs w:val="24"/>
        </w:rPr>
        <w:t xml:space="preserve"> Table 8 provides the preliminary unweighted response rates for NTPS 2017-18 as of mid-May. Note that as of mid-May</w:t>
      </w:r>
      <w:r w:rsidR="00D847EF">
        <w:rPr>
          <w:rFonts w:ascii="Times New Roman" w:hAnsi="Times New Roman"/>
          <w:sz w:val="24"/>
          <w:szCs w:val="24"/>
        </w:rPr>
        <w:t xml:space="preserve"> 2018</w:t>
      </w:r>
      <w:r w:rsidR="00AC0599" w:rsidRPr="00AC0599">
        <w:rPr>
          <w:rFonts w:ascii="Times New Roman" w:hAnsi="Times New Roman"/>
          <w:sz w:val="24"/>
          <w:szCs w:val="24"/>
        </w:rPr>
        <w:t xml:space="preserve">, data collection is still ongoing, especially for teachers; for this reason, teacher response rates are not reported in Table 8. The </w:t>
      </w:r>
      <w:r w:rsidR="00AC0599" w:rsidRPr="00AC0599">
        <w:rPr>
          <w:rFonts w:ascii="Times New Roman" w:hAnsi="Times New Roman"/>
          <w:color w:val="000000" w:themeColor="text1"/>
          <w:sz w:val="24"/>
          <w:szCs w:val="24"/>
        </w:rPr>
        <w:t xml:space="preserve">final NTPS </w:t>
      </w:r>
      <w:r w:rsidR="00EF0ACC">
        <w:rPr>
          <w:rFonts w:ascii="Times New Roman" w:hAnsi="Times New Roman"/>
          <w:color w:val="000000" w:themeColor="text1"/>
          <w:sz w:val="24"/>
          <w:szCs w:val="24"/>
        </w:rPr>
        <w:t>2017-18 response rates will be included</w:t>
      </w:r>
      <w:r w:rsidR="00AC0599" w:rsidRPr="00AC0599">
        <w:rPr>
          <w:rFonts w:ascii="Times New Roman" w:hAnsi="Times New Roman"/>
          <w:color w:val="000000" w:themeColor="text1"/>
          <w:sz w:val="24"/>
          <w:szCs w:val="24"/>
        </w:rPr>
        <w:t xml:space="preserve"> in the </w:t>
      </w:r>
      <w:r w:rsidR="00D847EF" w:rsidRPr="00AC0599">
        <w:rPr>
          <w:rFonts w:ascii="Times New Roman" w:hAnsi="Times New Roman"/>
          <w:sz w:val="24"/>
          <w:szCs w:val="24"/>
        </w:rPr>
        <w:t xml:space="preserve">NTPS 2019-20 </w:t>
      </w:r>
      <w:r w:rsidR="006F14E8">
        <w:rPr>
          <w:rFonts w:ascii="Times New Roman" w:hAnsi="Times New Roman"/>
          <w:color w:val="000000" w:themeColor="text1"/>
          <w:sz w:val="24"/>
          <w:szCs w:val="24"/>
        </w:rPr>
        <w:t>Main Study</w:t>
      </w:r>
      <w:r w:rsidR="00AC0599" w:rsidRPr="00AC0599">
        <w:rPr>
          <w:rFonts w:ascii="Times New Roman" w:hAnsi="Times New Roman"/>
          <w:color w:val="000000" w:themeColor="text1"/>
          <w:sz w:val="24"/>
          <w:szCs w:val="24"/>
        </w:rPr>
        <w:t xml:space="preserve"> </w:t>
      </w:r>
      <w:r w:rsidR="00D847EF">
        <w:rPr>
          <w:rFonts w:ascii="Times New Roman" w:hAnsi="Times New Roman"/>
          <w:color w:val="000000" w:themeColor="text1"/>
          <w:sz w:val="24"/>
          <w:szCs w:val="24"/>
        </w:rPr>
        <w:t>submission</w:t>
      </w:r>
      <w:r w:rsidR="00AC0599" w:rsidRPr="00AC0599">
        <w:rPr>
          <w:rFonts w:ascii="Times New Roman" w:hAnsi="Times New Roman"/>
          <w:color w:val="000000" w:themeColor="text1"/>
          <w:sz w:val="24"/>
          <w:szCs w:val="24"/>
        </w:rPr>
        <w:t xml:space="preserve"> in December 2018.</w:t>
      </w:r>
    </w:p>
    <w:p w14:paraId="7AA39BD7" w14:textId="472E4641" w:rsidR="009139C9" w:rsidRPr="00C06D30" w:rsidRDefault="009139C9"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 xml:space="preserve">Table 7. Base-weighted response rates for </w:t>
      </w:r>
      <w:r w:rsidR="00B65493" w:rsidRPr="00C06D30">
        <w:rPr>
          <w:rFonts w:ascii="Times New Roman" w:eastAsia="Calibri" w:hAnsi="Times New Roman"/>
          <w:b/>
          <w:bCs/>
          <w:sz w:val="22"/>
          <w:szCs w:val="22"/>
        </w:rPr>
        <w:t>NTPS 2015-16</w:t>
      </w:r>
      <w:r w:rsidRPr="00C06D30">
        <w:rPr>
          <w:rFonts w:ascii="Times New Roman" w:eastAsia="Calibri" w:hAnsi="Times New Roman"/>
          <w:b/>
          <w:bCs/>
          <w:sz w:val="22"/>
          <w:szCs w:val="22"/>
        </w:rPr>
        <w:t xml:space="preserve">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566"/>
        <w:gridCol w:w="2448"/>
        <w:gridCol w:w="2332"/>
      </w:tblGrid>
      <w:tr w:rsidR="00D321F9" w:rsidRPr="00E358BA" w14:paraId="02AD80D3" w14:textId="77777777" w:rsidTr="009139C9">
        <w:tc>
          <w:tcPr>
            <w:tcW w:w="1576" w:type="pct"/>
            <w:vMerge w:val="restart"/>
            <w:vAlign w:val="bottom"/>
          </w:tcPr>
          <w:p w14:paraId="719E7DA4"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School Type</w:t>
            </w:r>
          </w:p>
        </w:tc>
        <w:tc>
          <w:tcPr>
            <w:tcW w:w="3424" w:type="pct"/>
            <w:gridSpan w:val="3"/>
            <w:vAlign w:val="bottom"/>
          </w:tcPr>
          <w:p w14:paraId="6846E434" w14:textId="77777777" w:rsidR="009139C9" w:rsidRPr="00E358BA" w:rsidRDefault="009139C9" w:rsidP="007D4EB8">
            <w:pPr>
              <w:pStyle w:val="L1-FlLSp12"/>
              <w:spacing w:line="240" w:lineRule="auto"/>
              <w:jc w:val="center"/>
              <w:rPr>
                <w:rFonts w:ascii="Times New Roman" w:hAnsi="Times New Roman"/>
                <w:b/>
                <w:bCs/>
                <w:sz w:val="20"/>
              </w:rPr>
            </w:pPr>
            <w:r w:rsidRPr="00E358BA">
              <w:rPr>
                <w:rFonts w:ascii="Times New Roman" w:hAnsi="Times New Roman"/>
                <w:b/>
                <w:bCs/>
                <w:sz w:val="20"/>
              </w:rPr>
              <w:t>Unit of Observation</w:t>
            </w:r>
          </w:p>
        </w:tc>
      </w:tr>
      <w:tr w:rsidR="00D321F9" w:rsidRPr="00E358BA" w14:paraId="104D4475" w14:textId="77777777" w:rsidTr="009139C9">
        <w:tc>
          <w:tcPr>
            <w:tcW w:w="1576" w:type="pct"/>
            <w:vMerge/>
          </w:tcPr>
          <w:p w14:paraId="5533E1A3" w14:textId="77777777" w:rsidR="009139C9" w:rsidRPr="00E358BA" w:rsidRDefault="009139C9" w:rsidP="007D4EB8">
            <w:pPr>
              <w:pStyle w:val="L1-FlLSp12"/>
              <w:spacing w:line="240" w:lineRule="auto"/>
              <w:rPr>
                <w:rFonts w:ascii="Times New Roman" w:hAnsi="Times New Roman"/>
                <w:b/>
                <w:bCs/>
                <w:sz w:val="20"/>
              </w:rPr>
            </w:pPr>
          </w:p>
        </w:tc>
        <w:tc>
          <w:tcPr>
            <w:tcW w:w="1196" w:type="pct"/>
          </w:tcPr>
          <w:p w14:paraId="426412E4"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Teacher</w:t>
            </w:r>
          </w:p>
        </w:tc>
        <w:tc>
          <w:tcPr>
            <w:tcW w:w="1141" w:type="pct"/>
          </w:tcPr>
          <w:p w14:paraId="14359C28"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Principal</w:t>
            </w:r>
          </w:p>
        </w:tc>
        <w:tc>
          <w:tcPr>
            <w:tcW w:w="1087" w:type="pct"/>
          </w:tcPr>
          <w:p w14:paraId="67B47083" w14:textId="77777777" w:rsidR="009139C9" w:rsidRPr="00E358BA" w:rsidRDefault="009139C9" w:rsidP="007D4EB8">
            <w:pPr>
              <w:pStyle w:val="L1-FlLSp12"/>
              <w:spacing w:line="240" w:lineRule="auto"/>
              <w:rPr>
                <w:rFonts w:ascii="Times New Roman" w:hAnsi="Times New Roman"/>
                <w:b/>
                <w:bCs/>
                <w:sz w:val="20"/>
              </w:rPr>
            </w:pPr>
            <w:r w:rsidRPr="00E358BA">
              <w:rPr>
                <w:rFonts w:ascii="Times New Roman" w:hAnsi="Times New Roman"/>
                <w:b/>
                <w:bCs/>
                <w:sz w:val="20"/>
              </w:rPr>
              <w:t>School</w:t>
            </w:r>
          </w:p>
        </w:tc>
      </w:tr>
      <w:tr w:rsidR="00B10C22" w:rsidRPr="00E358BA" w14:paraId="7727A67B" w14:textId="77777777" w:rsidTr="009139C9">
        <w:tc>
          <w:tcPr>
            <w:tcW w:w="1576" w:type="pct"/>
          </w:tcPr>
          <w:p w14:paraId="7F48016F"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Traditional Public</w:t>
            </w:r>
          </w:p>
        </w:tc>
        <w:tc>
          <w:tcPr>
            <w:tcW w:w="1196" w:type="pct"/>
          </w:tcPr>
          <w:p w14:paraId="086C03BA" w14:textId="7530BE05"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67.9</w:t>
            </w:r>
          </w:p>
        </w:tc>
        <w:tc>
          <w:tcPr>
            <w:tcW w:w="1141" w:type="pct"/>
          </w:tcPr>
          <w:p w14:paraId="32D7A88C" w14:textId="69F6B6BB"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71.8</w:t>
            </w:r>
          </w:p>
        </w:tc>
        <w:tc>
          <w:tcPr>
            <w:tcW w:w="1087" w:type="pct"/>
          </w:tcPr>
          <w:p w14:paraId="1669E29F" w14:textId="38CD19F2"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72.5</w:t>
            </w:r>
          </w:p>
        </w:tc>
      </w:tr>
      <w:tr w:rsidR="00B10C22" w:rsidRPr="00E358BA" w14:paraId="27E151EE" w14:textId="77777777" w:rsidTr="009139C9">
        <w:tc>
          <w:tcPr>
            <w:tcW w:w="1576" w:type="pct"/>
          </w:tcPr>
          <w:p w14:paraId="472AA9C7"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Charter</w:t>
            </w:r>
          </w:p>
        </w:tc>
        <w:tc>
          <w:tcPr>
            <w:tcW w:w="1196" w:type="pct"/>
          </w:tcPr>
          <w:p w14:paraId="4AC0231D" w14:textId="2F6935FA"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66.2</w:t>
            </w:r>
          </w:p>
        </w:tc>
        <w:tc>
          <w:tcPr>
            <w:tcW w:w="1141" w:type="pct"/>
          </w:tcPr>
          <w:p w14:paraId="480FF7FC" w14:textId="72488239"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71.9</w:t>
            </w:r>
          </w:p>
        </w:tc>
        <w:tc>
          <w:tcPr>
            <w:tcW w:w="1087" w:type="pct"/>
          </w:tcPr>
          <w:p w14:paraId="27A96055" w14:textId="62B8ACB5"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73.2</w:t>
            </w:r>
          </w:p>
        </w:tc>
      </w:tr>
    </w:tbl>
    <w:p w14:paraId="5ED02930" w14:textId="78CD93B0" w:rsidR="00751493" w:rsidRPr="00E358BA" w:rsidRDefault="00751493" w:rsidP="007D4EB8">
      <w:pPr>
        <w:pStyle w:val="L1-FlLSp12"/>
        <w:spacing w:after="120" w:line="240" w:lineRule="auto"/>
        <w:rPr>
          <w:rFonts w:ascii="Times New Roman" w:hAnsi="Times New Roman"/>
          <w:szCs w:val="24"/>
        </w:rPr>
      </w:pPr>
    </w:p>
    <w:p w14:paraId="72C908B3" w14:textId="6431260C" w:rsidR="00751493" w:rsidRPr="00C06D30" w:rsidRDefault="00751493" w:rsidP="00C06D30">
      <w:pPr>
        <w:keepNext/>
        <w:tabs>
          <w:tab w:val="left" w:pos="900"/>
        </w:tabs>
        <w:spacing w:before="120" w:after="40" w:line="240" w:lineRule="auto"/>
        <w:ind w:left="907" w:hanging="907"/>
        <w:rPr>
          <w:rFonts w:ascii="Times New Roman" w:eastAsia="Calibri" w:hAnsi="Times New Roman"/>
          <w:b/>
          <w:bCs/>
          <w:sz w:val="22"/>
          <w:szCs w:val="22"/>
        </w:rPr>
      </w:pPr>
      <w:r w:rsidRPr="00C06D30">
        <w:rPr>
          <w:rFonts w:ascii="Times New Roman" w:eastAsia="Calibri" w:hAnsi="Times New Roman"/>
          <w:b/>
          <w:bCs/>
          <w:sz w:val="22"/>
          <w:szCs w:val="22"/>
        </w:rPr>
        <w:t>Table 8. Preliminary unweighted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3218"/>
        <w:gridCol w:w="3066"/>
      </w:tblGrid>
      <w:tr w:rsidR="00751493" w:rsidRPr="00E358BA" w14:paraId="21848717" w14:textId="77777777" w:rsidTr="00D847EF">
        <w:tc>
          <w:tcPr>
            <w:tcW w:w="2071" w:type="pct"/>
            <w:vMerge w:val="restart"/>
            <w:vAlign w:val="bottom"/>
          </w:tcPr>
          <w:p w14:paraId="255FBB4E" w14:textId="77777777" w:rsidR="00751493" w:rsidRPr="00E358BA" w:rsidRDefault="00751493" w:rsidP="007D4EB8">
            <w:pPr>
              <w:pStyle w:val="L1-FlLSp12"/>
              <w:spacing w:line="240" w:lineRule="auto"/>
              <w:rPr>
                <w:rFonts w:ascii="Times New Roman" w:hAnsi="Times New Roman"/>
                <w:b/>
                <w:bCs/>
                <w:sz w:val="20"/>
              </w:rPr>
            </w:pPr>
            <w:r w:rsidRPr="00E358BA">
              <w:rPr>
                <w:rFonts w:ascii="Times New Roman" w:hAnsi="Times New Roman"/>
                <w:b/>
                <w:bCs/>
                <w:sz w:val="20"/>
              </w:rPr>
              <w:t>School Type</w:t>
            </w:r>
          </w:p>
        </w:tc>
        <w:tc>
          <w:tcPr>
            <w:tcW w:w="2929" w:type="pct"/>
            <w:gridSpan w:val="2"/>
            <w:vAlign w:val="bottom"/>
          </w:tcPr>
          <w:p w14:paraId="64A177F9" w14:textId="77777777" w:rsidR="00751493" w:rsidRPr="00E358BA" w:rsidRDefault="00751493" w:rsidP="007D4EB8">
            <w:pPr>
              <w:pStyle w:val="L1-FlLSp12"/>
              <w:spacing w:line="240" w:lineRule="auto"/>
              <w:jc w:val="center"/>
              <w:rPr>
                <w:rFonts w:ascii="Times New Roman" w:hAnsi="Times New Roman"/>
                <w:b/>
                <w:bCs/>
                <w:sz w:val="20"/>
              </w:rPr>
            </w:pPr>
            <w:r w:rsidRPr="00E358BA">
              <w:rPr>
                <w:rFonts w:ascii="Times New Roman" w:hAnsi="Times New Roman"/>
                <w:b/>
                <w:bCs/>
                <w:sz w:val="20"/>
              </w:rPr>
              <w:t>Unit of Observation</w:t>
            </w:r>
          </w:p>
        </w:tc>
      </w:tr>
      <w:tr w:rsidR="00AC0599" w:rsidRPr="00E358BA" w14:paraId="51216B2B" w14:textId="77777777" w:rsidTr="00D847EF">
        <w:tc>
          <w:tcPr>
            <w:tcW w:w="2071" w:type="pct"/>
            <w:vMerge/>
          </w:tcPr>
          <w:p w14:paraId="743F4BF4" w14:textId="77777777" w:rsidR="00AC0599" w:rsidRPr="00E358BA" w:rsidRDefault="00AC0599" w:rsidP="007D4EB8">
            <w:pPr>
              <w:pStyle w:val="L1-FlLSp12"/>
              <w:spacing w:line="240" w:lineRule="auto"/>
              <w:rPr>
                <w:rFonts w:ascii="Times New Roman" w:hAnsi="Times New Roman"/>
                <w:b/>
                <w:bCs/>
                <w:sz w:val="20"/>
              </w:rPr>
            </w:pPr>
          </w:p>
        </w:tc>
        <w:tc>
          <w:tcPr>
            <w:tcW w:w="1500" w:type="pct"/>
          </w:tcPr>
          <w:p w14:paraId="49FBE188" w14:textId="77777777" w:rsidR="00AC0599" w:rsidRPr="00E358BA" w:rsidRDefault="00AC0599" w:rsidP="007D4EB8">
            <w:pPr>
              <w:pStyle w:val="L1-FlLSp12"/>
              <w:spacing w:line="240" w:lineRule="auto"/>
              <w:rPr>
                <w:rFonts w:ascii="Times New Roman" w:hAnsi="Times New Roman"/>
                <w:b/>
                <w:bCs/>
                <w:sz w:val="20"/>
              </w:rPr>
            </w:pPr>
            <w:r w:rsidRPr="00E358BA">
              <w:rPr>
                <w:rFonts w:ascii="Times New Roman" w:hAnsi="Times New Roman"/>
                <w:b/>
                <w:bCs/>
                <w:sz w:val="20"/>
              </w:rPr>
              <w:t>Principal</w:t>
            </w:r>
          </w:p>
        </w:tc>
        <w:tc>
          <w:tcPr>
            <w:tcW w:w="1429" w:type="pct"/>
          </w:tcPr>
          <w:p w14:paraId="5F080129" w14:textId="77777777" w:rsidR="00AC0599" w:rsidRPr="00E358BA" w:rsidRDefault="00AC0599" w:rsidP="007D4EB8">
            <w:pPr>
              <w:pStyle w:val="L1-FlLSp12"/>
              <w:spacing w:line="240" w:lineRule="auto"/>
              <w:rPr>
                <w:rFonts w:ascii="Times New Roman" w:hAnsi="Times New Roman"/>
                <w:b/>
                <w:bCs/>
                <w:sz w:val="20"/>
              </w:rPr>
            </w:pPr>
            <w:r w:rsidRPr="00E358BA">
              <w:rPr>
                <w:rFonts w:ascii="Times New Roman" w:hAnsi="Times New Roman"/>
                <w:b/>
                <w:bCs/>
                <w:sz w:val="20"/>
              </w:rPr>
              <w:t>School</w:t>
            </w:r>
          </w:p>
        </w:tc>
      </w:tr>
      <w:tr w:rsidR="00B10C22" w:rsidRPr="00E358BA" w14:paraId="50ADC8C7" w14:textId="77777777" w:rsidTr="00D847EF">
        <w:tc>
          <w:tcPr>
            <w:tcW w:w="2071" w:type="pct"/>
          </w:tcPr>
          <w:p w14:paraId="0A193255"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Traditional Public</w:t>
            </w:r>
          </w:p>
        </w:tc>
        <w:tc>
          <w:tcPr>
            <w:tcW w:w="1500" w:type="pct"/>
          </w:tcPr>
          <w:p w14:paraId="0EDB700C" w14:textId="19F5A5FC"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69.6</w:t>
            </w:r>
          </w:p>
        </w:tc>
        <w:tc>
          <w:tcPr>
            <w:tcW w:w="1429" w:type="pct"/>
          </w:tcPr>
          <w:p w14:paraId="13662533" w14:textId="7FED6EEA"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71.9</w:t>
            </w:r>
          </w:p>
        </w:tc>
      </w:tr>
      <w:tr w:rsidR="00B10C22" w:rsidRPr="00E358BA" w14:paraId="3456FE36" w14:textId="77777777" w:rsidTr="00D847EF">
        <w:tc>
          <w:tcPr>
            <w:tcW w:w="2071" w:type="pct"/>
          </w:tcPr>
          <w:p w14:paraId="35FC5D6D" w14:textId="77777777"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Charter</w:t>
            </w:r>
          </w:p>
        </w:tc>
        <w:tc>
          <w:tcPr>
            <w:tcW w:w="1500" w:type="pct"/>
          </w:tcPr>
          <w:p w14:paraId="5C890003" w14:textId="52C4F3F4"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62.2</w:t>
            </w:r>
          </w:p>
        </w:tc>
        <w:tc>
          <w:tcPr>
            <w:tcW w:w="1429" w:type="pct"/>
          </w:tcPr>
          <w:p w14:paraId="0ED24969" w14:textId="68CFB586"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65.9</w:t>
            </w:r>
          </w:p>
        </w:tc>
      </w:tr>
      <w:tr w:rsidR="00B10C22" w:rsidRPr="009F1465" w14:paraId="33392233" w14:textId="77777777" w:rsidTr="00D847EF">
        <w:tc>
          <w:tcPr>
            <w:tcW w:w="2071" w:type="pct"/>
          </w:tcPr>
          <w:p w14:paraId="40DD3F1F" w14:textId="66A5CCCC" w:rsidR="00B10C22" w:rsidRPr="00E358BA" w:rsidRDefault="00B10C22" w:rsidP="007D4EB8">
            <w:pPr>
              <w:pStyle w:val="L1-FlLSp12"/>
              <w:spacing w:line="240" w:lineRule="auto"/>
              <w:rPr>
                <w:rFonts w:ascii="Times New Roman" w:hAnsi="Times New Roman"/>
                <w:sz w:val="20"/>
              </w:rPr>
            </w:pPr>
            <w:r w:rsidRPr="00E358BA">
              <w:rPr>
                <w:rFonts w:ascii="Times New Roman" w:hAnsi="Times New Roman"/>
                <w:sz w:val="20"/>
              </w:rPr>
              <w:t>Private</w:t>
            </w:r>
          </w:p>
        </w:tc>
        <w:tc>
          <w:tcPr>
            <w:tcW w:w="1500" w:type="pct"/>
          </w:tcPr>
          <w:p w14:paraId="50AA43AB" w14:textId="0373C660"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62.3</w:t>
            </w:r>
          </w:p>
        </w:tc>
        <w:tc>
          <w:tcPr>
            <w:tcW w:w="1429" w:type="pct"/>
          </w:tcPr>
          <w:p w14:paraId="2EF2C9EC" w14:textId="0B8E0B8C" w:rsidR="00B10C22" w:rsidRPr="00E358BA" w:rsidRDefault="00B10C22" w:rsidP="007D4EB8">
            <w:pPr>
              <w:pStyle w:val="L1-FlLSp12"/>
              <w:spacing w:line="240" w:lineRule="auto"/>
              <w:rPr>
                <w:rFonts w:ascii="Times New Roman" w:hAnsi="Times New Roman"/>
                <w:sz w:val="20"/>
              </w:rPr>
            </w:pPr>
            <w:r>
              <w:rPr>
                <w:rFonts w:ascii="Times New Roman" w:hAnsi="Times New Roman"/>
                <w:sz w:val="20"/>
              </w:rPr>
              <w:t>65.9</w:t>
            </w:r>
          </w:p>
        </w:tc>
      </w:tr>
    </w:tbl>
    <w:p w14:paraId="086338E2" w14:textId="77777777" w:rsidR="00751493" w:rsidRPr="00D321F9" w:rsidRDefault="00751493" w:rsidP="007D4EB8">
      <w:pPr>
        <w:pStyle w:val="L1-FlLSp12"/>
        <w:spacing w:line="240" w:lineRule="auto"/>
        <w:rPr>
          <w:rFonts w:ascii="Times New Roman" w:hAnsi="Times New Roman"/>
          <w:sz w:val="22"/>
          <w:szCs w:val="22"/>
        </w:rPr>
      </w:pPr>
    </w:p>
    <w:p w14:paraId="48A886A0" w14:textId="65DD03BE" w:rsidR="00C8143E" w:rsidRPr="00D321F9" w:rsidRDefault="00204E0B" w:rsidP="007D4EB8">
      <w:pPr>
        <w:pStyle w:val="Heading1"/>
        <w:keepNext w:val="0"/>
        <w:tabs>
          <w:tab w:val="clear" w:pos="1152"/>
        </w:tabs>
        <w:spacing w:after="120" w:line="240" w:lineRule="auto"/>
        <w:jc w:val="left"/>
        <w:rPr>
          <w:rFonts w:ascii="Times New Roman" w:hAnsi="Times New Roman"/>
          <w:color w:val="auto"/>
          <w:sz w:val="24"/>
          <w:szCs w:val="24"/>
        </w:rPr>
      </w:pPr>
      <w:bookmarkStart w:id="45" w:name="_Toc391625750"/>
      <w:bookmarkStart w:id="46" w:name="_Toc392706708"/>
      <w:bookmarkStart w:id="47" w:name="_Toc420609070"/>
      <w:bookmarkStart w:id="48" w:name="_Toc455154250"/>
      <w:bookmarkStart w:id="49" w:name="_Toc455496443"/>
      <w:bookmarkStart w:id="50" w:name="_Toc468187456"/>
      <w:bookmarkStart w:id="51" w:name="_Toc518587626"/>
      <w:r>
        <w:rPr>
          <w:rFonts w:ascii="Times New Roman" w:hAnsi="Times New Roman"/>
          <w:color w:val="auto"/>
          <w:sz w:val="24"/>
          <w:szCs w:val="24"/>
        </w:rPr>
        <w:t>B.2</w:t>
      </w:r>
      <w:r>
        <w:rPr>
          <w:rFonts w:ascii="Times New Roman" w:hAnsi="Times New Roman"/>
          <w:color w:val="auto"/>
          <w:sz w:val="24"/>
          <w:szCs w:val="24"/>
        </w:rPr>
        <w:tab/>
      </w:r>
      <w:r w:rsidR="00F153D0" w:rsidRPr="00D321F9">
        <w:rPr>
          <w:rFonts w:ascii="Times New Roman" w:hAnsi="Times New Roman"/>
          <w:color w:val="auto"/>
          <w:sz w:val="24"/>
          <w:szCs w:val="24"/>
        </w:rPr>
        <w:t>Procedures for the Collection of Information</w:t>
      </w:r>
      <w:bookmarkEnd w:id="45"/>
      <w:bookmarkEnd w:id="46"/>
      <w:bookmarkEnd w:id="47"/>
      <w:bookmarkEnd w:id="48"/>
      <w:bookmarkEnd w:id="49"/>
      <w:bookmarkEnd w:id="50"/>
      <w:bookmarkEnd w:id="51"/>
    </w:p>
    <w:p w14:paraId="63D930EF" w14:textId="294A43C0" w:rsidR="00622089" w:rsidRDefault="00962F09" w:rsidP="007D4EB8">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00622089" w:rsidRPr="00622089">
        <w:rPr>
          <w:rFonts w:ascii="Times New Roman" w:hAnsi="Times New Roman"/>
          <w:szCs w:val="24"/>
        </w:rPr>
        <w:t xml:space="preserve">the operations for the preliminary field activities for NTPS </w:t>
      </w:r>
      <w:r w:rsidR="009F1465">
        <w:rPr>
          <w:rFonts w:ascii="Times New Roman" w:hAnsi="Times New Roman"/>
          <w:szCs w:val="24"/>
        </w:rPr>
        <w:t>2019-20</w:t>
      </w:r>
      <w:r>
        <w:rPr>
          <w:rFonts w:ascii="Times New Roman" w:hAnsi="Times New Roman"/>
          <w:szCs w:val="24"/>
        </w:rPr>
        <w:t xml:space="preserve">, with </w:t>
      </w:r>
      <w:r w:rsidR="00622089" w:rsidRPr="00622089">
        <w:rPr>
          <w:rFonts w:ascii="Times New Roman" w:hAnsi="Times New Roman"/>
          <w:szCs w:val="24"/>
        </w:rPr>
        <w:t>Section B.2.1</w:t>
      </w:r>
      <w:r>
        <w:rPr>
          <w:rFonts w:ascii="Times New Roman" w:hAnsi="Times New Roman"/>
          <w:szCs w:val="24"/>
        </w:rPr>
        <w:t>.1</w:t>
      </w:r>
      <w:r w:rsidR="00622089" w:rsidRPr="00622089">
        <w:rPr>
          <w:rFonts w:ascii="Times New Roman" w:hAnsi="Times New Roman"/>
          <w:szCs w:val="24"/>
        </w:rPr>
        <w:t xml:space="preserve"> describ</w:t>
      </w:r>
      <w:r>
        <w:rPr>
          <w:rFonts w:ascii="Times New Roman" w:hAnsi="Times New Roman"/>
          <w:szCs w:val="24"/>
        </w:rPr>
        <w:t>ing</w:t>
      </w:r>
      <w:r w:rsidR="00622089" w:rsidRPr="00622089">
        <w:rPr>
          <w:rFonts w:ascii="Times New Roman" w:hAnsi="Times New Roman"/>
          <w:szCs w:val="24"/>
        </w:rPr>
        <w:t xml:space="preserve"> </w:t>
      </w:r>
      <w:r w:rsidR="00622089" w:rsidRPr="00204E0B">
        <w:rPr>
          <w:rFonts w:ascii="Times New Roman" w:hAnsi="Times New Roman"/>
          <w:color w:val="000000" w:themeColor="text1"/>
          <w:szCs w:val="24"/>
        </w:rPr>
        <w:t>special districts operation</w:t>
      </w:r>
      <w:r w:rsidR="00622089" w:rsidRPr="00204E0B">
        <w:rPr>
          <w:rFonts w:ascii="Times New Roman" w:hAnsi="Times New Roman"/>
          <w:szCs w:val="24"/>
        </w:rPr>
        <w:t xml:space="preserve"> and</w:t>
      </w:r>
      <w:r w:rsidR="00622089">
        <w:rPr>
          <w:rFonts w:ascii="Times New Roman" w:hAnsi="Times New Roman"/>
          <w:szCs w:val="24"/>
        </w:rPr>
        <w:t xml:space="preserve"> </w:t>
      </w:r>
      <w:r w:rsidR="00622089" w:rsidRPr="00622089">
        <w:rPr>
          <w:rFonts w:ascii="Times New Roman" w:hAnsi="Times New Roman"/>
          <w:szCs w:val="24"/>
        </w:rPr>
        <w:t>Section B.2.</w:t>
      </w:r>
      <w:r>
        <w:rPr>
          <w:rFonts w:ascii="Times New Roman" w:hAnsi="Times New Roman"/>
          <w:szCs w:val="24"/>
        </w:rPr>
        <w:t>1.</w:t>
      </w:r>
      <w:r w:rsidR="00622089" w:rsidRPr="00622089">
        <w:rPr>
          <w:rFonts w:ascii="Times New Roman" w:hAnsi="Times New Roman"/>
          <w:szCs w:val="24"/>
        </w:rPr>
        <w:t xml:space="preserve">2 </w:t>
      </w:r>
      <w:r w:rsidR="00622089" w:rsidRPr="00204E0B">
        <w:rPr>
          <w:rFonts w:ascii="Times New Roman" w:hAnsi="Times New Roman"/>
          <w:color w:val="000000" w:themeColor="text1"/>
          <w:szCs w:val="24"/>
        </w:rPr>
        <w:t>the school pre-contact letter</w:t>
      </w:r>
      <w:r w:rsidR="00622089"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with </w:t>
      </w:r>
      <w:r w:rsidR="00622089" w:rsidRPr="00622089">
        <w:rPr>
          <w:rFonts w:ascii="Times New Roman" w:hAnsi="Times New Roman"/>
          <w:szCs w:val="24"/>
        </w:rPr>
        <w:t>Section B.2.</w:t>
      </w:r>
      <w:r>
        <w:rPr>
          <w:rFonts w:ascii="Times New Roman" w:hAnsi="Times New Roman"/>
          <w:szCs w:val="24"/>
        </w:rPr>
        <w:t>2.</w:t>
      </w:r>
      <w:r w:rsidR="00622089" w:rsidRPr="00622089">
        <w:rPr>
          <w:rFonts w:ascii="Times New Roman" w:hAnsi="Times New Roman"/>
          <w:szCs w:val="24"/>
        </w:rPr>
        <w:t>1 describ</w:t>
      </w:r>
      <w:r>
        <w:rPr>
          <w:rFonts w:ascii="Times New Roman" w:hAnsi="Times New Roman"/>
          <w:szCs w:val="24"/>
        </w:rPr>
        <w:t>ing</w:t>
      </w:r>
      <w:r w:rsidR="00622089"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00AA76BC">
        <w:rPr>
          <w:rFonts w:ascii="Times New Roman" w:hAnsi="Times New Roman"/>
          <w:szCs w:val="24"/>
        </w:rPr>
        <w:t xml:space="preserve">and </w:t>
      </w:r>
      <w:r w:rsidR="00622089" w:rsidRPr="00622089">
        <w:rPr>
          <w:rFonts w:ascii="Times New Roman" w:hAnsi="Times New Roman"/>
          <w:szCs w:val="24"/>
        </w:rPr>
        <w:t>Section B.2.</w:t>
      </w:r>
      <w:r w:rsidR="002574DC">
        <w:rPr>
          <w:rFonts w:ascii="Times New Roman" w:hAnsi="Times New Roman"/>
          <w:szCs w:val="24"/>
        </w:rPr>
        <w:t>2.</w:t>
      </w:r>
      <w:r w:rsidR="00622089"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00622089" w:rsidRPr="00622089">
        <w:rPr>
          <w:rFonts w:ascii="Times New Roman" w:hAnsi="Times New Roman"/>
          <w:szCs w:val="24"/>
        </w:rPr>
        <w:t>for the Teacher Questionnaire.</w:t>
      </w:r>
    </w:p>
    <w:p w14:paraId="5213B43F" w14:textId="0AFE82B8" w:rsidR="00E47EBC" w:rsidRPr="00204E0B" w:rsidRDefault="00E47EBC" w:rsidP="007D4EB8">
      <w:pPr>
        <w:tabs>
          <w:tab w:val="left" w:pos="720"/>
        </w:tabs>
        <w:spacing w:after="120" w:line="240" w:lineRule="auto"/>
        <w:rPr>
          <w:rFonts w:ascii="Times New Roman" w:hAnsi="Times New Roman"/>
          <w:b/>
          <w:szCs w:val="24"/>
        </w:rPr>
      </w:pPr>
      <w:bookmarkStart w:id="52" w:name="_Toc455154251"/>
      <w:bookmarkStart w:id="53" w:name="_Toc455496444"/>
      <w:r w:rsidRPr="00204E0B">
        <w:rPr>
          <w:rFonts w:ascii="Times New Roman" w:hAnsi="Times New Roman"/>
          <w:b/>
          <w:color w:val="000000" w:themeColor="text1"/>
          <w:szCs w:val="24"/>
        </w:rPr>
        <w:t>B.2.1</w:t>
      </w:r>
      <w:r>
        <w:rPr>
          <w:rFonts w:ascii="Times New Roman" w:hAnsi="Times New Roman"/>
          <w:b/>
          <w:color w:val="000000" w:themeColor="text1"/>
          <w:szCs w:val="24"/>
        </w:rPr>
        <w:tab/>
      </w:r>
      <w:r w:rsidRPr="00204E0B">
        <w:rPr>
          <w:rFonts w:ascii="Times New Roman" w:hAnsi="Times New Roman"/>
          <w:b/>
          <w:szCs w:val="24"/>
        </w:rPr>
        <w:t>Preliminary Field Activities</w:t>
      </w:r>
    </w:p>
    <w:p w14:paraId="24881B62" w14:textId="303C8CF9" w:rsidR="0023465F" w:rsidRPr="00204E0B" w:rsidRDefault="003E240A" w:rsidP="007D4EB8">
      <w:pPr>
        <w:tabs>
          <w:tab w:val="left" w:pos="900"/>
        </w:tabs>
        <w:spacing w:after="120" w:line="240" w:lineRule="auto"/>
        <w:rPr>
          <w:rFonts w:ascii="Times New Roman" w:hAnsi="Times New Roman"/>
          <w:b/>
          <w:szCs w:val="24"/>
        </w:rPr>
      </w:pPr>
      <w:r w:rsidRPr="00204E0B">
        <w:rPr>
          <w:rFonts w:ascii="Times New Roman" w:hAnsi="Times New Roman"/>
          <w:b/>
          <w:color w:val="000000" w:themeColor="text1"/>
          <w:szCs w:val="24"/>
        </w:rPr>
        <w:t>B.2.1</w:t>
      </w:r>
      <w:r w:rsidR="00E47EBC">
        <w:rPr>
          <w:rFonts w:ascii="Times New Roman" w:hAnsi="Times New Roman"/>
          <w:b/>
          <w:color w:val="000000" w:themeColor="text1"/>
          <w:szCs w:val="24"/>
        </w:rPr>
        <w:t>.1</w:t>
      </w:r>
      <w:r w:rsidR="00204E0B">
        <w:rPr>
          <w:rFonts w:ascii="Times New Roman" w:hAnsi="Times New Roman"/>
          <w:b/>
          <w:color w:val="000000" w:themeColor="text1"/>
          <w:szCs w:val="24"/>
        </w:rPr>
        <w:tab/>
      </w:r>
      <w:bookmarkEnd w:id="52"/>
      <w:bookmarkEnd w:id="53"/>
      <w:r w:rsidR="0023465F" w:rsidRPr="00204E0B">
        <w:rPr>
          <w:rFonts w:ascii="Times New Roman" w:hAnsi="Times New Roman"/>
          <w:b/>
          <w:szCs w:val="24"/>
        </w:rPr>
        <w:t>Special Contact District Operation</w:t>
      </w:r>
    </w:p>
    <w:p w14:paraId="2F2575D1" w14:textId="5AE92038"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14:paraId="467042AF" w14:textId="508EDCE8" w:rsidR="00976B45"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Pr>
          <w:rFonts w:ascii="Times New Roman" w:eastAsia="Times New Roman" w:hAnsi="Times New Roman"/>
        </w:rPr>
        <w:t xml:space="preserve">Some districts </w:t>
      </w:r>
      <w:r w:rsidR="00137710">
        <w:rPr>
          <w:rFonts w:ascii="Times New Roman" w:eastAsia="Times New Roman" w:hAnsi="Times New Roman"/>
        </w:rPr>
        <w:t>identified</w:t>
      </w:r>
      <w:r>
        <w:rPr>
          <w:rFonts w:ascii="Times New Roman" w:eastAsia="Times New Roman" w:hAnsi="Times New Roman"/>
        </w:rPr>
        <w:t xml:space="preserve"> as </w:t>
      </w:r>
      <w:r w:rsidR="00976B45">
        <w:rPr>
          <w:rFonts w:ascii="Times New Roman" w:eastAsia="Times New Roman" w:hAnsi="Times New Roman"/>
        </w:rPr>
        <w:t>being</w:t>
      </w:r>
      <w:r>
        <w:rPr>
          <w:rFonts w:ascii="Times New Roman" w:eastAsia="Times New Roman" w:hAnsi="Times New Roman"/>
        </w:rPr>
        <w:t xml:space="preserve"> a special contact district from the previous cycle may be incorrect and staff will verify </w:t>
      </w:r>
      <w:r w:rsidR="00137710">
        <w:rPr>
          <w:rFonts w:ascii="Times New Roman" w:eastAsia="Times New Roman" w:hAnsi="Times New Roman"/>
        </w:rPr>
        <w:t xml:space="preserve">whether a given district has requirements for conducting external research </w:t>
      </w:r>
      <w:r>
        <w:rPr>
          <w:rFonts w:ascii="Times New Roman" w:eastAsia="Times New Roman" w:hAnsi="Times New Roman"/>
        </w:rPr>
        <w:t xml:space="preserve">before </w:t>
      </w:r>
      <w:r w:rsidR="00137710">
        <w:rPr>
          <w:rFonts w:ascii="Times New Roman" w:eastAsia="Times New Roman" w:hAnsi="Times New Roman"/>
        </w:rPr>
        <w:t>proceeding</w:t>
      </w:r>
      <w:r>
        <w:rPr>
          <w:rFonts w:ascii="Times New Roman" w:eastAsia="Times New Roman" w:hAnsi="Times New Roman"/>
        </w:rPr>
        <w:t>.</w:t>
      </w:r>
    </w:p>
    <w:p w14:paraId="7FEBF411" w14:textId="41AE2359" w:rsidR="00A2457E" w:rsidRPr="00826726"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The following are examples of the type of information that will be gathered from each district’s website in order to prepare </w:t>
      </w:r>
      <w:r w:rsidR="00976B45" w:rsidRPr="00976B45">
        <w:rPr>
          <w:rFonts w:ascii="Times New Roman" w:eastAsia="Times New Roman" w:hAnsi="Times New Roman"/>
        </w:rPr>
        <w:t>a research application for submission to this district</w:t>
      </w:r>
      <w:r w:rsidRPr="00826726">
        <w:rPr>
          <w:rFonts w:ascii="Times New Roman" w:eastAsia="Times New Roman" w:hAnsi="Times New Roman"/>
        </w:rPr>
        <w:t>:</w:t>
      </w:r>
    </w:p>
    <w:p w14:paraId="19FF2105"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Name and contact information for the district office or department that reviews applications to conduct external research, and the name and contact information of the person in charge of that office.</w:t>
      </w:r>
    </w:p>
    <w:p w14:paraId="6BA2856B"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review schedules and submission deadlines.</w:t>
      </w:r>
    </w:p>
    <w:p w14:paraId="54E55A72"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application fees are required, and if so, how much.</w:t>
      </w:r>
    </w:p>
    <w:p w14:paraId="7DCBBBE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 district sponsor is required.</w:t>
      </w:r>
    </w:p>
    <w:p w14:paraId="0BF55E40"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Whether an online application is required, and if so, the link to the application if possible.</w:t>
      </w:r>
    </w:p>
    <w:p w14:paraId="5F2D66FC" w14:textId="563A4994"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Information about research topics</w:t>
      </w:r>
      <w:r w:rsidR="00976B45">
        <w:rPr>
          <w:rFonts w:ascii="Times New Roman" w:eastAsia="Times New Roman" w:hAnsi="Times New Roman"/>
        </w:rPr>
        <w:t xml:space="preserve"> </w:t>
      </w:r>
      <w:r w:rsidR="00976B45" w:rsidRPr="00976B45">
        <w:rPr>
          <w:rFonts w:ascii="Times New Roman" w:eastAsia="Times New Roman" w:hAnsi="Times New Roman"/>
        </w:rPr>
        <w:t xml:space="preserve">and/or </w:t>
      </w:r>
      <w:r w:rsidRPr="00826726">
        <w:rPr>
          <w:rFonts w:ascii="Times New Roman" w:eastAsia="Times New Roman" w:hAnsi="Times New Roman"/>
        </w:rPr>
        <w:t>agenda on which the district is focusing.</w:t>
      </w:r>
    </w:p>
    <w:p w14:paraId="6BD4B20D" w14:textId="77777777"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The web link to the main research department or office website.</w:t>
      </w:r>
    </w:p>
    <w:p w14:paraId="59BF9B20" w14:textId="15258ACF" w:rsidR="00A2457E" w:rsidRPr="00826726" w:rsidRDefault="00A2457E" w:rsidP="007D4EB8">
      <w:pPr>
        <w:numPr>
          <w:ilvl w:val="0"/>
          <w:numId w:val="17"/>
        </w:numPr>
        <w:spacing w:after="120" w:line="240" w:lineRule="auto"/>
        <w:contextualSpacing/>
        <w:rPr>
          <w:rFonts w:ascii="Times New Roman" w:eastAsia="Times New Roman" w:hAnsi="Times New Roman"/>
        </w:rPr>
      </w:pPr>
      <w:r w:rsidRPr="00826726">
        <w:rPr>
          <w:rFonts w:ascii="Times New Roman" w:eastAsia="Times New Roman" w:hAnsi="Times New Roman"/>
        </w:rPr>
        <w:t>Research guidelines, instructions, application forms, District Action Plans, Strategic Plan or Goals, if any.</w:t>
      </w:r>
    </w:p>
    <w:p w14:paraId="2F8329C3" w14:textId="495A4562" w:rsidR="00976B45"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Recruitment staff will contact districts by phone and email to obtain key information not listed on the district’s website, (e.g., requirements for the research application, research application submission </w:t>
      </w:r>
      <w:r w:rsidR="00976B45">
        <w:rPr>
          <w:rFonts w:ascii="Times New Roman" w:hAnsi="Times New Roman"/>
        </w:rPr>
        <w:t>deadlines, etc.</w:t>
      </w:r>
      <w:r w:rsidRPr="00826726">
        <w:rPr>
          <w:rFonts w:ascii="Times New Roman" w:eastAsia="Times New Roman" w:hAnsi="Times New Roman"/>
        </w:rPr>
        <w:t>).</w:t>
      </w:r>
    </w:p>
    <w:p w14:paraId="2E3EE689" w14:textId="3C85E36E" w:rsidR="00A2457E" w:rsidRDefault="004E6A6F" w:rsidP="007D4EB8">
      <w:pPr>
        <w:spacing w:after="120" w:line="240" w:lineRule="auto"/>
        <w:rPr>
          <w:rFonts w:ascii="Times New Roman" w:eastAsia="Times New Roman" w:hAnsi="Times New Roman"/>
        </w:rPr>
      </w:pPr>
      <w:r w:rsidRPr="004E6A6F">
        <w:rPr>
          <w:rFonts w:ascii="Times New Roman" w:eastAsia="Times New Roman" w:hAnsi="Times New Roman"/>
        </w:rPr>
        <w:t xml:space="preserve">NTPS staff </w:t>
      </w:r>
      <w:r w:rsidR="00A2457E" w:rsidRPr="00826726">
        <w:rPr>
          <w:rFonts w:ascii="Times New Roman" w:eastAsia="Times New Roman" w:hAnsi="Times New Roman"/>
        </w:rPr>
        <w:t>develop</w:t>
      </w:r>
      <w:r w:rsidR="00A2457E">
        <w:rPr>
          <w:rFonts w:ascii="Times New Roman" w:eastAsia="Times New Roman" w:hAnsi="Times New Roman"/>
        </w:rPr>
        <w:t>ed</w:t>
      </w:r>
      <w:r w:rsidR="00A2457E" w:rsidRPr="00826726">
        <w:rPr>
          <w:rFonts w:ascii="Times New Roman" w:eastAsia="Times New Roman" w:hAnsi="Times New Roman"/>
        </w:rPr>
        <w:t xml:space="preserve"> a generic research application that covers the information typically requested in district research applications. Staff will customize the generic research application </w:t>
      </w:r>
      <w:r>
        <w:rPr>
          <w:rFonts w:ascii="Times New Roman" w:eastAsia="Times New Roman" w:hAnsi="Times New Roman"/>
        </w:rPr>
        <w:t>to each</w:t>
      </w:r>
      <w:r w:rsidR="00A2457E" w:rsidRPr="00826726">
        <w:rPr>
          <w:rFonts w:ascii="Times New Roman" w:eastAsia="Times New Roman" w:hAnsi="Times New Roman"/>
        </w:rPr>
        <w:t xml:space="preserve"> district</w:t>
      </w:r>
      <w:r>
        <w:rPr>
          <w:rFonts w:ascii="Times New Roman" w:eastAsia="Times New Roman" w:hAnsi="Times New Roman"/>
        </w:rPr>
        <w:t>’</w:t>
      </w:r>
      <w:r w:rsidR="00A2457E" w:rsidRPr="00826726">
        <w:rPr>
          <w:rFonts w:ascii="Times New Roman" w:eastAsia="Times New Roman" w:hAnsi="Times New Roman"/>
        </w:rPr>
        <w:t>s specific requirements that need to be addressed or included in the</w:t>
      </w:r>
      <w:r>
        <w:rPr>
          <w:rFonts w:ascii="Times New Roman" w:eastAsia="Times New Roman" w:hAnsi="Times New Roman"/>
        </w:rPr>
        <w:t xml:space="preserve"> research</w:t>
      </w:r>
      <w:r w:rsidR="00A2457E" w:rsidRPr="00826726">
        <w:rPr>
          <w:rFonts w:ascii="Times New Roman" w:eastAsia="Times New Roman" w:hAnsi="Times New Roman"/>
        </w:rPr>
        <w:t xml:space="preserve"> application (e.g., how the study addresses key district goals, or inclusion of a district study sponsor), or submit the generic application with minimal changes to districts that do not have specific application requirements.</w:t>
      </w:r>
    </w:p>
    <w:p w14:paraId="409F2A97" w14:textId="64CC3981" w:rsidR="00A2457E" w:rsidRPr="00826726" w:rsidRDefault="00A2457E" w:rsidP="007D4EB8">
      <w:pPr>
        <w:spacing w:after="120" w:line="240" w:lineRule="auto"/>
        <w:rPr>
          <w:rFonts w:ascii="Times New Roman" w:eastAsia="Times New Roman" w:hAnsi="Times New Roman"/>
        </w:rPr>
      </w:pPr>
      <w:r w:rsidRPr="00826726">
        <w:rPr>
          <w:rFonts w:ascii="Times New Roman" w:eastAsia="Times New Roman" w:hAnsi="Times New Roman"/>
        </w:rPr>
        <w:t xml:space="preserve">Using the information obtained from the district website or phone or email exchanges, </w:t>
      </w:r>
      <w:r w:rsidR="004E6A6F">
        <w:rPr>
          <w:rFonts w:ascii="Times New Roman" w:eastAsia="Times New Roman" w:hAnsi="Times New Roman"/>
        </w:rPr>
        <w:t>a</w:t>
      </w:r>
      <w:r w:rsidRPr="00826726">
        <w:rPr>
          <w:rFonts w:ascii="Times New Roman" w:eastAsia="Times New Roman" w:hAnsi="Times New Roman"/>
        </w:rPr>
        <w:t xml:space="preserve"> district research request packet </w:t>
      </w:r>
      <w:r w:rsidR="004E6A6F">
        <w:rPr>
          <w:rFonts w:ascii="Times New Roman" w:eastAsia="Times New Roman" w:hAnsi="Times New Roman"/>
        </w:rPr>
        <w:t>will be</w:t>
      </w:r>
      <w:r w:rsidRPr="00826726">
        <w:rPr>
          <w:rFonts w:ascii="Times New Roman" w:eastAsia="Times New Roman" w:hAnsi="Times New Roman"/>
        </w:rPr>
        <w:t xml:space="preserve"> prepared. Each research application will include the following documents, where applicable:</w:t>
      </w:r>
    </w:p>
    <w:p w14:paraId="3531B9D9" w14:textId="09C6E8F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District research application cover letter</w:t>
      </w:r>
      <w:r w:rsidR="004E6A6F">
        <w:rPr>
          <w:rFonts w:ascii="Times New Roman" w:eastAsia="Times New Roman" w:hAnsi="Times New Roman"/>
        </w:rPr>
        <w:t>;</w:t>
      </w:r>
    </w:p>
    <w:p w14:paraId="4FB38F40" w14:textId="2EE37903"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Research application (district-specific or generic, as required by the district)</w:t>
      </w:r>
      <w:r w:rsidR="004E6A6F">
        <w:rPr>
          <w:rFonts w:ascii="Times New Roman" w:eastAsia="Times New Roman" w:hAnsi="Times New Roman"/>
        </w:rPr>
        <w:t>;</w:t>
      </w:r>
    </w:p>
    <w:p w14:paraId="368B66CA" w14:textId="67A62D8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Study summary</w:t>
      </w:r>
      <w:r w:rsidR="004E6A6F">
        <w:rPr>
          <w:rFonts w:ascii="Times New Roman" w:eastAsia="Times New Roman" w:hAnsi="Times New Roman"/>
        </w:rPr>
        <w:t>;</w:t>
      </w:r>
    </w:p>
    <w:p w14:paraId="1CF31360" w14:textId="6D2E3C4F"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FAQ document</w:t>
      </w:r>
      <w:r w:rsidR="004E6A6F">
        <w:rPr>
          <w:rFonts w:ascii="Times New Roman" w:eastAsia="Times New Roman" w:hAnsi="Times New Roman"/>
        </w:rPr>
        <w:t>;</w:t>
      </w:r>
    </w:p>
    <w:p w14:paraId="343B01FF" w14:textId="21CC847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Special contact district approval form</w:t>
      </w:r>
      <w:r w:rsidR="004E6A6F">
        <w:rPr>
          <w:rFonts w:ascii="Times New Roman" w:eastAsia="Times New Roman" w:hAnsi="Times New Roman"/>
        </w:rPr>
        <w:t>;</w:t>
      </w:r>
    </w:p>
    <w:p w14:paraId="56C86F59" w14:textId="3E033E2C"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Participant informed consent form (if required by the district)</w:t>
      </w:r>
      <w:r w:rsidR="004E6A6F">
        <w:rPr>
          <w:rFonts w:ascii="Times New Roman" w:eastAsia="Times New Roman" w:hAnsi="Times New Roman"/>
        </w:rPr>
        <w:t>;</w:t>
      </w:r>
    </w:p>
    <w:p w14:paraId="62648FC2" w14:textId="7772B9B1" w:rsidR="00A2457E" w:rsidRPr="00826726" w:rsidRDefault="004E6A6F" w:rsidP="007D4EB8">
      <w:pPr>
        <w:numPr>
          <w:ilvl w:val="0"/>
          <w:numId w:val="18"/>
        </w:numPr>
        <w:spacing w:after="120" w:line="240" w:lineRule="auto"/>
        <w:contextualSpacing/>
        <w:rPr>
          <w:rFonts w:ascii="Times New Roman" w:eastAsia="Times New Roman" w:hAnsi="Times New Roman"/>
        </w:rPr>
      </w:pPr>
      <w:r>
        <w:rPr>
          <w:rFonts w:ascii="Times New Roman" w:hAnsi="Times New Roman"/>
        </w:rPr>
        <w:t xml:space="preserve">NTPS </w:t>
      </w:r>
      <w:r w:rsidR="00A2457E" w:rsidRPr="00826726">
        <w:rPr>
          <w:rFonts w:ascii="Times New Roman" w:eastAsia="Times New Roman" w:hAnsi="Times New Roman"/>
        </w:rPr>
        <w:t>Project Director’s resume</w:t>
      </w:r>
      <w:r>
        <w:rPr>
          <w:rFonts w:ascii="Times New Roman" w:eastAsia="Times New Roman" w:hAnsi="Times New Roman"/>
        </w:rPr>
        <w:t>;</w:t>
      </w:r>
    </w:p>
    <w:p w14:paraId="46EBEAEE" w14:textId="1C3A5AB5" w:rsidR="00A2457E" w:rsidRPr="00826726" w:rsidRDefault="00A2457E" w:rsidP="007D4EB8">
      <w:pPr>
        <w:numPr>
          <w:ilvl w:val="0"/>
          <w:numId w:val="18"/>
        </w:numPr>
        <w:spacing w:after="120" w:line="240" w:lineRule="auto"/>
        <w:contextualSpacing/>
        <w:rPr>
          <w:rFonts w:ascii="Times New Roman" w:eastAsia="Times New Roman" w:hAnsi="Times New Roman"/>
        </w:rPr>
      </w:pPr>
      <w:r w:rsidRPr="00826726">
        <w:rPr>
          <w:rFonts w:ascii="Times New Roman" w:eastAsia="Times New Roman" w:hAnsi="Times New Roman"/>
        </w:rPr>
        <w:t>Copy of questionnaires</w:t>
      </w:r>
      <w:r w:rsidR="004E6A6F">
        <w:rPr>
          <w:rFonts w:ascii="Times New Roman" w:eastAsia="Times New Roman" w:hAnsi="Times New Roman"/>
        </w:rPr>
        <w:t>; and</w:t>
      </w:r>
    </w:p>
    <w:p w14:paraId="63A0840D" w14:textId="0686FEAF" w:rsidR="00A2457E" w:rsidRPr="00826726" w:rsidRDefault="00A2457E" w:rsidP="007D4EB8">
      <w:pPr>
        <w:numPr>
          <w:ilvl w:val="0"/>
          <w:numId w:val="18"/>
        </w:numPr>
        <w:spacing w:after="120" w:line="240" w:lineRule="auto"/>
        <w:rPr>
          <w:rFonts w:ascii="Times New Roman" w:eastAsia="Times New Roman" w:hAnsi="Times New Roman"/>
        </w:rPr>
      </w:pPr>
      <w:r w:rsidRPr="00826726">
        <w:rPr>
          <w:rFonts w:ascii="Times New Roman" w:eastAsia="Times New Roman" w:hAnsi="Times New Roman"/>
        </w:rPr>
        <w:t>Application fee (if required by the district)</w:t>
      </w:r>
      <w:r w:rsidR="004E6A6F">
        <w:rPr>
          <w:rFonts w:ascii="Times New Roman" w:eastAsia="Times New Roman" w:hAnsi="Times New Roman"/>
        </w:rPr>
        <w:t>.</w:t>
      </w:r>
    </w:p>
    <w:p w14:paraId="1FF6CD87" w14:textId="4A39259A" w:rsidR="00A2457E" w:rsidRPr="00826726" w:rsidRDefault="004E6A6F" w:rsidP="007D4EB8">
      <w:pPr>
        <w:spacing w:after="120" w:line="240" w:lineRule="auto"/>
        <w:rPr>
          <w:rFonts w:ascii="Times New Roman" w:eastAsia="Times New Roman" w:hAnsi="Times New Roman"/>
        </w:rPr>
      </w:pPr>
      <w:r>
        <w:rPr>
          <w:rFonts w:ascii="Times New Roman" w:eastAsia="Times New Roman" w:hAnsi="Times New Roman"/>
        </w:rPr>
        <w:t xml:space="preserve">Where </w:t>
      </w:r>
      <w:r w:rsidR="00BC1D9C">
        <w:rPr>
          <w:rFonts w:ascii="Times New Roman" w:eastAsia="Times New Roman" w:hAnsi="Times New Roman"/>
        </w:rPr>
        <w:t xml:space="preserve">required or </w:t>
      </w:r>
      <w:r w:rsidR="00AA76BC">
        <w:rPr>
          <w:rFonts w:ascii="Times New Roman" w:eastAsia="Times New Roman" w:hAnsi="Times New Roman"/>
        </w:rPr>
        <w:t>requested</w:t>
      </w:r>
      <w:r>
        <w:rPr>
          <w:rFonts w:ascii="Times New Roman" w:eastAsia="Times New Roman" w:hAnsi="Times New Roman"/>
        </w:rPr>
        <w:t>, a</w:t>
      </w:r>
      <w:r w:rsidR="007F12D5">
        <w:rPr>
          <w:rFonts w:ascii="Times New Roman" w:eastAsia="Times New Roman" w:hAnsi="Times New Roman"/>
        </w:rPr>
        <w:t xml:space="preserve">pplications will include the </w:t>
      </w:r>
      <w:r>
        <w:rPr>
          <w:rFonts w:ascii="Times New Roman" w:eastAsia="Times New Roman" w:hAnsi="Times New Roman"/>
        </w:rPr>
        <w:t xml:space="preserve">draft </w:t>
      </w:r>
      <w:r w:rsidR="009F1465">
        <w:rPr>
          <w:rFonts w:ascii="Times New Roman" w:eastAsia="Times New Roman" w:hAnsi="Times New Roman"/>
        </w:rPr>
        <w:t>2019-20</w:t>
      </w:r>
      <w:r w:rsidR="007F12D5">
        <w:rPr>
          <w:rFonts w:ascii="Times New Roman" w:eastAsia="Times New Roman" w:hAnsi="Times New Roman"/>
        </w:rPr>
        <w:t xml:space="preserve"> NTPS questionnaires</w:t>
      </w:r>
      <w:r w:rsidR="00BC1D9C">
        <w:rPr>
          <w:rFonts w:ascii="Times New Roman" w:eastAsia="Times New Roman" w:hAnsi="Times New Roman"/>
        </w:rPr>
        <w:t>, which are t</w:t>
      </w:r>
      <w:r w:rsidR="00365874">
        <w:rPr>
          <w:rFonts w:ascii="Times New Roman" w:eastAsia="Times New Roman" w:hAnsi="Times New Roman"/>
        </w:rPr>
        <w:t xml:space="preserve">he 2015-16 questionnaires included in </w:t>
      </w:r>
      <w:r w:rsidR="00E1112C">
        <w:rPr>
          <w:rFonts w:ascii="Times New Roman" w:eastAsia="Times New Roman" w:hAnsi="Times New Roman"/>
        </w:rPr>
        <w:t xml:space="preserve">Appendix B of </w:t>
      </w:r>
      <w:r>
        <w:rPr>
          <w:rFonts w:ascii="Times New Roman" w:eastAsia="Times New Roman" w:hAnsi="Times New Roman"/>
        </w:rPr>
        <w:t>this submission</w:t>
      </w:r>
      <w:r w:rsidR="00BC1D9C">
        <w:rPr>
          <w:rFonts w:ascii="Times New Roman" w:eastAsia="Times New Roman" w:hAnsi="Times New Roman"/>
        </w:rPr>
        <w:t>. Th</w:t>
      </w:r>
      <w:r w:rsidR="007F12D5">
        <w:rPr>
          <w:rFonts w:ascii="Times New Roman" w:eastAsia="Times New Roman" w:hAnsi="Times New Roman"/>
        </w:rPr>
        <w:t xml:space="preserve">e </w:t>
      </w:r>
      <w:r w:rsidR="009F1465">
        <w:rPr>
          <w:rFonts w:ascii="Times New Roman" w:eastAsia="Times New Roman" w:hAnsi="Times New Roman"/>
        </w:rPr>
        <w:t>2017-18</w:t>
      </w:r>
      <w:r w:rsidR="007F12D5">
        <w:rPr>
          <w:rFonts w:ascii="Times New Roman" w:eastAsia="Times New Roman" w:hAnsi="Times New Roman"/>
        </w:rPr>
        <w:t xml:space="preserve"> NTPS questionnaires will </w:t>
      </w:r>
      <w:r>
        <w:rPr>
          <w:rFonts w:ascii="Times New Roman" w:eastAsia="Times New Roman" w:hAnsi="Times New Roman"/>
        </w:rPr>
        <w:t xml:space="preserve">be </w:t>
      </w:r>
      <w:r w:rsidR="007F12D5">
        <w:rPr>
          <w:rFonts w:ascii="Times New Roman" w:eastAsia="Times New Roman" w:hAnsi="Times New Roman"/>
        </w:rPr>
        <w:t xml:space="preserve">provided to districts </w:t>
      </w:r>
      <w:r>
        <w:rPr>
          <w:rFonts w:ascii="Times New Roman" w:eastAsia="Times New Roman" w:hAnsi="Times New Roman"/>
        </w:rPr>
        <w:t>that</w:t>
      </w:r>
      <w:r w:rsidR="007F12D5">
        <w:rPr>
          <w:rFonts w:ascii="Times New Roman" w:eastAsia="Times New Roman" w:hAnsi="Times New Roman"/>
        </w:rPr>
        <w:t xml:space="preserve"> request</w:t>
      </w:r>
      <w:r>
        <w:rPr>
          <w:rFonts w:ascii="Times New Roman" w:eastAsia="Times New Roman" w:hAnsi="Times New Roman"/>
        </w:rPr>
        <w:t xml:space="preserve"> them</w:t>
      </w:r>
      <w:r w:rsidR="007F12D5">
        <w:rPr>
          <w:rFonts w:ascii="Times New Roman" w:eastAsia="Times New Roman" w:hAnsi="Times New Roman"/>
        </w:rPr>
        <w:t xml:space="preserve">. </w:t>
      </w:r>
      <w:r w:rsidR="00A2457E" w:rsidRPr="00826726">
        <w:rPr>
          <w:rFonts w:ascii="Times New Roman" w:eastAsia="Times New Roman" w:hAnsi="Times New Roman"/>
        </w:rPr>
        <w:t>Other information about the study may be required by the district and will be included with the application or provided upon request.</w:t>
      </w:r>
    </w:p>
    <w:p w14:paraId="4D118B32" w14:textId="074AA720" w:rsidR="004E6A6F" w:rsidRPr="00826726" w:rsidRDefault="00A2457E" w:rsidP="00A50DEB">
      <w:pPr>
        <w:widowControl w:val="0"/>
        <w:spacing w:after="120" w:line="240" w:lineRule="auto"/>
        <w:rPr>
          <w:rFonts w:ascii="Times New Roman" w:eastAsia="Times New Roman" w:hAnsi="Times New Roman"/>
        </w:rPr>
      </w:pPr>
      <w:r w:rsidRPr="00826726">
        <w:rPr>
          <w:rFonts w:ascii="Times New Roman" w:eastAsia="Times New Roman" w:hAnsi="Times New Roman"/>
        </w:rPr>
        <w:t xml:space="preserve">Approximately one week after the application is submitted to the district (either electronically or </w:t>
      </w:r>
      <w:r w:rsidR="004E6A6F">
        <w:rPr>
          <w:rFonts w:ascii="Times New Roman" w:eastAsia="Times New Roman" w:hAnsi="Times New Roman"/>
        </w:rPr>
        <w:t xml:space="preserve">in </w:t>
      </w:r>
      <w:r w:rsidRPr="00826726">
        <w:rPr>
          <w:rFonts w:ascii="Times New Roman" w:eastAsia="Times New Roman" w:hAnsi="Times New Roman"/>
        </w:rPr>
        <w:t xml:space="preserve">hard copy, as required by the district), </w:t>
      </w:r>
      <w:r w:rsidR="004E6A6F">
        <w:rPr>
          <w:rFonts w:ascii="Times New Roman" w:hAnsi="Times New Roman"/>
        </w:rPr>
        <w:t xml:space="preserve">NTPS </w:t>
      </w:r>
      <w:r w:rsidRPr="00826726">
        <w:rPr>
          <w:rFonts w:ascii="Times New Roman" w:eastAsia="Times New Roman" w:hAnsi="Times New Roman"/>
        </w:rPr>
        <w:t>district recruitment staff will contact the district</w:t>
      </w:r>
      <w:r w:rsidR="004E6A6F">
        <w:rPr>
          <w:rFonts w:ascii="Times New Roman" w:eastAsia="Times New Roman" w:hAnsi="Times New Roman"/>
        </w:rPr>
        <w:t>’s</w:t>
      </w:r>
      <w:r w:rsidRPr="00826726">
        <w:rPr>
          <w:rFonts w:ascii="Times New Roman" w:eastAsia="Times New Roman" w:hAnsi="Times New Roman"/>
        </w:rPr>
        <w:t xml:space="preserve"> research office to confirm receipt of the package and </w:t>
      </w:r>
      <w:r w:rsidR="004E6A6F">
        <w:rPr>
          <w:rFonts w:ascii="Times New Roman" w:eastAsia="Times New Roman" w:hAnsi="Times New Roman"/>
        </w:rPr>
        <w:t xml:space="preserve">to </w:t>
      </w:r>
      <w:r w:rsidRPr="00826726">
        <w:rPr>
          <w:rFonts w:ascii="Times New Roman" w:eastAsia="Times New Roman" w:hAnsi="Times New Roman"/>
        </w:rPr>
        <w:t xml:space="preserve">ask when the district expects to review the research application and when a decision will be made. If additional information is requested by the district (e.g., the list of sampled schools), recruitment staff will </w:t>
      </w:r>
      <w:r w:rsidR="004E6A6F" w:rsidRPr="004E6A6F">
        <w:rPr>
          <w:rFonts w:ascii="Times New Roman" w:eastAsia="Times New Roman" w:hAnsi="Times New Roman"/>
        </w:rPr>
        <w:t>follow up on such requests and will be available to answer any questions the district may have throughout the data collection period</w:t>
      </w:r>
      <w:r w:rsidR="00C32243">
        <w:rPr>
          <w:rFonts w:ascii="Times New Roman" w:eastAsia="Times New Roman" w:hAnsi="Times New Roman"/>
        </w:rPr>
        <w:t>.</w:t>
      </w:r>
    </w:p>
    <w:p w14:paraId="1CB45249" w14:textId="032B7256" w:rsidR="00C32243" w:rsidRPr="0023465F" w:rsidRDefault="00C32243" w:rsidP="007D4EB8">
      <w:pPr>
        <w:tabs>
          <w:tab w:val="left" w:pos="720"/>
        </w:tabs>
        <w:spacing w:after="120" w:line="240" w:lineRule="auto"/>
        <w:rPr>
          <w:rFonts w:ascii="Times New Roman" w:hAnsi="Times New Roman"/>
          <w:szCs w:val="24"/>
        </w:rPr>
      </w:pPr>
      <w:r w:rsidRPr="00C32243">
        <w:rPr>
          <w:rFonts w:ascii="Times New Roman" w:hAnsi="Times New Roman"/>
          <w:szCs w:val="24"/>
        </w:rPr>
        <w:t>Some districts charge a fee (~$50-200) to process research application requests, which will be paid as necessary</w:t>
      </w:r>
      <w:r>
        <w:rPr>
          <w:rFonts w:ascii="Times New Roman" w:hAnsi="Times New Roman"/>
          <w:szCs w:val="24"/>
        </w:rPr>
        <w:t>.</w:t>
      </w:r>
    </w:p>
    <w:p w14:paraId="74DB0A22" w14:textId="7BBE8873" w:rsidR="00E47EBC" w:rsidRPr="00204E0B" w:rsidRDefault="00E47EBC" w:rsidP="007D4EB8">
      <w:pPr>
        <w:tabs>
          <w:tab w:val="left" w:pos="900"/>
        </w:tabs>
        <w:spacing w:after="120" w:line="240" w:lineRule="auto"/>
        <w:rPr>
          <w:rFonts w:ascii="Times New Roman" w:hAnsi="Times New Roman"/>
          <w:b/>
          <w:szCs w:val="24"/>
        </w:rPr>
      </w:pPr>
      <w:r w:rsidRPr="00204E0B">
        <w:rPr>
          <w:rFonts w:ascii="Times New Roman" w:hAnsi="Times New Roman"/>
          <w:b/>
          <w:color w:val="000000" w:themeColor="text1"/>
          <w:szCs w:val="24"/>
        </w:rPr>
        <w:t>B.2.1</w:t>
      </w:r>
      <w:r>
        <w:rPr>
          <w:rFonts w:ascii="Times New Roman" w:hAnsi="Times New Roman"/>
          <w:b/>
          <w:color w:val="000000" w:themeColor="text1"/>
          <w:szCs w:val="24"/>
        </w:rPr>
        <w:t>.2</w:t>
      </w:r>
      <w:r>
        <w:rPr>
          <w:rFonts w:ascii="Times New Roman" w:hAnsi="Times New Roman"/>
          <w:b/>
          <w:color w:val="000000" w:themeColor="text1"/>
          <w:szCs w:val="24"/>
        </w:rPr>
        <w:tab/>
      </w:r>
      <w:r w:rsidRPr="00E47EBC">
        <w:rPr>
          <w:rFonts w:ascii="Times New Roman" w:hAnsi="Times New Roman"/>
          <w:b/>
          <w:szCs w:val="24"/>
        </w:rPr>
        <w:t>School Pre-Contact Letters</w:t>
      </w:r>
    </w:p>
    <w:p w14:paraId="54212385" w14:textId="715ACEAF" w:rsidR="0023465F" w:rsidRDefault="0023465F" w:rsidP="007D4EB8">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bookmarkStart w:id="54" w:name="_Toc455496445"/>
    </w:p>
    <w:p w14:paraId="00F3F8D9" w14:textId="2E4629B0" w:rsidR="0025530B" w:rsidRPr="00E47EBC" w:rsidRDefault="00204E0B" w:rsidP="007D4EB8">
      <w:pPr>
        <w:pStyle w:val="Heading2"/>
        <w:keepNext w:val="0"/>
        <w:spacing w:after="120" w:line="240" w:lineRule="auto"/>
        <w:rPr>
          <w:rFonts w:ascii="Times New Roman" w:hAnsi="Times New Roman"/>
          <w:color w:val="auto"/>
          <w:sz w:val="24"/>
          <w:szCs w:val="24"/>
        </w:rPr>
      </w:pPr>
      <w:bookmarkStart w:id="55" w:name="_Toc455496447"/>
      <w:bookmarkStart w:id="56" w:name="_Toc468187457"/>
      <w:bookmarkStart w:id="57" w:name="_Toc518587627"/>
      <w:r w:rsidRPr="00E47EBC">
        <w:rPr>
          <w:rFonts w:ascii="Times New Roman" w:hAnsi="Times New Roman"/>
          <w:color w:val="auto"/>
          <w:sz w:val="24"/>
          <w:szCs w:val="24"/>
        </w:rPr>
        <w:t>B.2.2</w:t>
      </w:r>
      <w:r w:rsidRPr="00E47EBC">
        <w:rPr>
          <w:rFonts w:ascii="Times New Roman" w:hAnsi="Times New Roman"/>
          <w:color w:val="000000" w:themeColor="text1"/>
          <w:sz w:val="24"/>
          <w:szCs w:val="24"/>
        </w:rPr>
        <w:tab/>
      </w:r>
      <w:bookmarkEnd w:id="54"/>
      <w:bookmarkEnd w:id="55"/>
      <w:bookmarkEnd w:id="56"/>
      <w:r w:rsidR="00E47EBC" w:rsidRPr="00E47EBC">
        <w:rPr>
          <w:rFonts w:ascii="Times New Roman" w:hAnsi="Times New Roman"/>
          <w:color w:val="000000" w:themeColor="text1"/>
          <w:sz w:val="24"/>
          <w:szCs w:val="24"/>
        </w:rPr>
        <w:t>School-level Data Collection Procedures</w:t>
      </w:r>
      <w:bookmarkEnd w:id="57"/>
    </w:p>
    <w:p w14:paraId="29765BC3" w14:textId="7C73F998" w:rsidR="00B13F2D" w:rsidRPr="007D4EB8" w:rsidRDefault="00B13F2D" w:rsidP="007D4EB8">
      <w:pPr>
        <w:tabs>
          <w:tab w:val="left" w:pos="720"/>
        </w:tabs>
        <w:spacing w:after="120" w:line="240" w:lineRule="auto"/>
        <w:rPr>
          <w:rFonts w:ascii="Times New Roman" w:hAnsi="Times New Roman"/>
          <w:color w:val="000000" w:themeColor="text1"/>
          <w:szCs w:val="24"/>
        </w:rPr>
      </w:pPr>
      <w:r w:rsidRPr="007D4EB8">
        <w:rPr>
          <w:rFonts w:ascii="Times New Roman" w:hAnsi="Times New Roman"/>
          <w:color w:val="000000" w:themeColor="text1"/>
          <w:szCs w:val="24"/>
        </w:rPr>
        <w:t xml:space="preserve">This section describes the data collection procedures used for the NTPS 2017-18 </w:t>
      </w:r>
      <w:r w:rsidR="006F14E8">
        <w:rPr>
          <w:rFonts w:ascii="Times New Roman" w:hAnsi="Times New Roman"/>
          <w:color w:val="000000" w:themeColor="text1"/>
          <w:szCs w:val="24"/>
        </w:rPr>
        <w:t>full-scale</w:t>
      </w:r>
      <w:r w:rsidR="00BC1D9C">
        <w:rPr>
          <w:rFonts w:ascii="Times New Roman" w:hAnsi="Times New Roman"/>
          <w:color w:val="000000" w:themeColor="text1"/>
          <w:szCs w:val="24"/>
        </w:rPr>
        <w:t xml:space="preserve"> </w:t>
      </w:r>
      <w:r w:rsidR="00BC1D9C" w:rsidRPr="007D4EB8">
        <w:rPr>
          <w:rFonts w:ascii="Times New Roman" w:hAnsi="Times New Roman"/>
          <w:color w:val="000000" w:themeColor="text1"/>
          <w:szCs w:val="24"/>
        </w:rPr>
        <w:t xml:space="preserve">data collection </w:t>
      </w:r>
      <w:r w:rsidRPr="007D4EB8">
        <w:rPr>
          <w:rFonts w:ascii="Times New Roman" w:hAnsi="Times New Roman"/>
          <w:color w:val="000000" w:themeColor="text1"/>
          <w:szCs w:val="24"/>
        </w:rPr>
        <w:t xml:space="preserve">including the Teacher Listing Form (TLF), School Questionnaire (SQ), Principal Questionnaire (PQ), and Teacher Questionnaire (TQ). The final data collection procedures for NTPS 2019-20 are under development and will be fully specified in the </w:t>
      </w:r>
      <w:r w:rsidR="00BC1D9C" w:rsidRPr="007D4EB8">
        <w:rPr>
          <w:rFonts w:ascii="Times New Roman" w:hAnsi="Times New Roman"/>
          <w:color w:val="000000" w:themeColor="text1"/>
          <w:szCs w:val="24"/>
        </w:rPr>
        <w:t xml:space="preserve">NTPS 2019-20 </w:t>
      </w:r>
      <w:r w:rsidR="006F14E8">
        <w:rPr>
          <w:rFonts w:ascii="Times New Roman" w:hAnsi="Times New Roman"/>
          <w:color w:val="000000" w:themeColor="text1"/>
          <w:szCs w:val="24"/>
        </w:rPr>
        <w:t>Main Study</w:t>
      </w:r>
      <w:r w:rsidRPr="007D4EB8">
        <w:rPr>
          <w:rFonts w:ascii="Times New Roman" w:hAnsi="Times New Roman"/>
          <w:color w:val="000000" w:themeColor="text1"/>
          <w:szCs w:val="24"/>
        </w:rPr>
        <w:t xml:space="preserve"> submi</w:t>
      </w:r>
      <w:r w:rsidR="00BC1D9C">
        <w:rPr>
          <w:rFonts w:ascii="Times New Roman" w:hAnsi="Times New Roman"/>
          <w:color w:val="000000" w:themeColor="text1"/>
          <w:szCs w:val="24"/>
        </w:rPr>
        <w:t>ssion</w:t>
      </w:r>
      <w:r w:rsidRPr="007D4EB8">
        <w:rPr>
          <w:rFonts w:ascii="Times New Roman" w:hAnsi="Times New Roman"/>
          <w:color w:val="000000" w:themeColor="text1"/>
          <w:szCs w:val="24"/>
        </w:rPr>
        <w:t xml:space="preserve"> in </w:t>
      </w:r>
      <w:r w:rsidR="00133768" w:rsidRPr="007D4EB8">
        <w:rPr>
          <w:rFonts w:ascii="Times New Roman" w:hAnsi="Times New Roman"/>
          <w:color w:val="000000" w:themeColor="text1"/>
          <w:szCs w:val="24"/>
        </w:rPr>
        <w:t xml:space="preserve">December </w:t>
      </w:r>
      <w:r w:rsidRPr="007D4EB8">
        <w:rPr>
          <w:rFonts w:ascii="Times New Roman" w:hAnsi="Times New Roman"/>
          <w:color w:val="000000" w:themeColor="text1"/>
          <w:szCs w:val="24"/>
        </w:rPr>
        <w:t>2018.</w:t>
      </w:r>
    </w:p>
    <w:p w14:paraId="5E0361C3" w14:textId="72C669F8" w:rsidR="0025530B" w:rsidRPr="00D321F9" w:rsidRDefault="0025530B" w:rsidP="007D4EB8">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B13F2D">
        <w:rPr>
          <w:rFonts w:ascii="Times New Roman" w:hAnsi="Times New Roman"/>
          <w:szCs w:val="24"/>
        </w:rPr>
        <w:t>2017-18</w:t>
      </w:r>
      <w:r w:rsidRPr="00D321F9">
        <w:rPr>
          <w:rFonts w:ascii="Times New Roman" w:hAnsi="Times New Roman"/>
          <w:szCs w:val="24"/>
        </w:rPr>
        <w:t xml:space="preserve"> are summarized in Exhibit 1.</w:t>
      </w:r>
    </w:p>
    <w:p w14:paraId="0346DF67" w14:textId="5FBEE54D" w:rsidR="00076AC2" w:rsidRPr="00D321F9" w:rsidRDefault="00076AC2" w:rsidP="007D4EB8">
      <w:pPr>
        <w:spacing w:after="120" w:line="240" w:lineRule="auto"/>
        <w:rPr>
          <w:rFonts w:ascii="Times New Roman" w:hAnsi="Times New Roman"/>
          <w:szCs w:val="24"/>
        </w:rPr>
      </w:pPr>
      <w:r w:rsidRPr="00D321F9">
        <w:rPr>
          <w:rFonts w:ascii="Times New Roman" w:hAnsi="Times New Roman"/>
          <w:szCs w:val="24"/>
        </w:rPr>
        <w:t>In July</w:t>
      </w:r>
      <w:r w:rsidR="00B13F2D">
        <w:rPr>
          <w:rFonts w:ascii="Times New Roman" w:hAnsi="Times New Roman"/>
          <w:szCs w:val="24"/>
        </w:rPr>
        <w:t xml:space="preserve"> 2017</w:t>
      </w:r>
      <w:r w:rsidRPr="00D321F9">
        <w:rPr>
          <w:rFonts w:ascii="Times New Roman" w:hAnsi="Times New Roman"/>
          <w:szCs w:val="24"/>
        </w:rPr>
        <w:t>, all schools receive</w:t>
      </w:r>
      <w:r w:rsidR="00B13F2D">
        <w:rPr>
          <w:rFonts w:ascii="Times New Roman" w:hAnsi="Times New Roman"/>
          <w:szCs w:val="24"/>
        </w:rPr>
        <w:t>d</w:t>
      </w:r>
      <w:r w:rsidRPr="00D321F9">
        <w:rPr>
          <w:rFonts w:ascii="Times New Roman" w:hAnsi="Times New Roman"/>
          <w:szCs w:val="24"/>
        </w:rPr>
        <w:t xml:space="preserve"> an advance letter addressed to the principal at the school address. The letter </w:t>
      </w:r>
      <w:r w:rsidR="00B13F2D" w:rsidRPr="00D321F9">
        <w:rPr>
          <w:rFonts w:ascii="Times New Roman" w:hAnsi="Times New Roman"/>
          <w:szCs w:val="24"/>
        </w:rPr>
        <w:t>include</w:t>
      </w:r>
      <w:r w:rsidR="00BC1D9C">
        <w:rPr>
          <w:rFonts w:ascii="Times New Roman" w:hAnsi="Times New Roman"/>
          <w:szCs w:val="24"/>
        </w:rPr>
        <w:t>s</w:t>
      </w:r>
      <w:r w:rsidR="00B13F2D" w:rsidRPr="00D321F9">
        <w:rPr>
          <w:rFonts w:ascii="Times New Roman" w:hAnsi="Times New Roman"/>
          <w:szCs w:val="24"/>
        </w:rPr>
        <w:t xml:space="preserve"> </w:t>
      </w:r>
      <w:r w:rsidRPr="00D321F9">
        <w:rPr>
          <w:rFonts w:ascii="Times New Roman" w:hAnsi="Times New Roman"/>
          <w:szCs w:val="24"/>
        </w:rPr>
        <w:t>instructions for completing a brief screener interview online</w:t>
      </w:r>
      <w:r w:rsidR="00BC1D9C">
        <w:rPr>
          <w:rFonts w:ascii="Times New Roman" w:hAnsi="Times New Roman"/>
          <w:szCs w:val="24"/>
        </w:rPr>
        <w:t xml:space="preserve"> </w:t>
      </w:r>
      <w:r w:rsidR="00BC1D9C" w:rsidRPr="00BC1D9C">
        <w:rPr>
          <w:rFonts w:ascii="Times New Roman" w:hAnsi="Times New Roman"/>
          <w:szCs w:val="24"/>
        </w:rPr>
        <w:t>using the NTPS Respondent Portal</w:t>
      </w:r>
      <w:r w:rsidR="00B1538F">
        <w:rPr>
          <w:rFonts w:ascii="Times New Roman" w:hAnsi="Times New Roman"/>
          <w:szCs w:val="24"/>
        </w:rPr>
        <w:t>.</w:t>
      </w:r>
      <w:r w:rsidRPr="00D321F9">
        <w:rPr>
          <w:rFonts w:ascii="Times New Roman" w:hAnsi="Times New Roman"/>
          <w:szCs w:val="24"/>
        </w:rPr>
        <w:t xml:space="preserve">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t>
      </w:r>
      <w:r w:rsidR="00B13F2D">
        <w:rPr>
          <w:rFonts w:ascii="Times New Roman" w:hAnsi="Times New Roman"/>
          <w:szCs w:val="24"/>
        </w:rPr>
        <w:t>is 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 xml:space="preserve">the completion of NTPS questionnaires within their school, and materials </w:t>
      </w:r>
      <w:r w:rsidR="00B13F2D">
        <w:rPr>
          <w:rFonts w:ascii="Times New Roman" w:hAnsi="Times New Roman"/>
          <w:szCs w:val="24"/>
        </w:rPr>
        <w:t>are</w:t>
      </w:r>
      <w:r w:rsidR="00D049DE" w:rsidRPr="00D321F9">
        <w:rPr>
          <w:rFonts w:ascii="Times New Roman" w:hAnsi="Times New Roman"/>
          <w:szCs w:val="24"/>
        </w:rPr>
        <w:t xml:space="preserve"> mailed to him or her throughout data collection.</w:t>
      </w:r>
      <w:r w:rsidR="00F5136C" w:rsidRPr="00D321F9">
        <w:rPr>
          <w:rFonts w:ascii="Times New Roman" w:hAnsi="Times New Roman"/>
          <w:szCs w:val="24"/>
        </w:rPr>
        <w:t xml:space="preserve"> Principals who </w:t>
      </w:r>
      <w:r w:rsidR="00BC1D9C">
        <w:rPr>
          <w:rFonts w:ascii="Times New Roman" w:hAnsi="Times New Roman"/>
          <w:szCs w:val="24"/>
        </w:rPr>
        <w:t>do</w:t>
      </w:r>
      <w:r w:rsidR="00F5136C" w:rsidRPr="00D321F9">
        <w:rPr>
          <w:rFonts w:ascii="Times New Roman" w:hAnsi="Times New Roman"/>
          <w:szCs w:val="24"/>
        </w:rPr>
        <w:t xml:space="preserve"> not self-screen </w:t>
      </w:r>
      <w:r w:rsidR="00BC1D9C">
        <w:rPr>
          <w:rFonts w:ascii="Times New Roman" w:hAnsi="Times New Roman"/>
          <w:szCs w:val="24"/>
        </w:rPr>
        <w:t>are</w:t>
      </w:r>
      <w:r w:rsidR="00F5136C" w:rsidRPr="00D321F9">
        <w:rPr>
          <w:rFonts w:ascii="Times New Roman" w:hAnsi="Times New Roman"/>
          <w:szCs w:val="24"/>
        </w:rPr>
        <w:t xml:space="preserve"> contacted by telephone</w:t>
      </w:r>
      <w:r w:rsidR="005068A3">
        <w:rPr>
          <w:rFonts w:ascii="Times New Roman" w:hAnsi="Times New Roman"/>
          <w:szCs w:val="24"/>
        </w:rPr>
        <w:t xml:space="preserve"> to complete the screener</w:t>
      </w:r>
      <w:r w:rsidR="00F5136C" w:rsidRPr="00D321F9">
        <w:rPr>
          <w:rFonts w:ascii="Times New Roman" w:hAnsi="Times New Roman"/>
          <w:szCs w:val="24"/>
        </w:rPr>
        <w:t>.</w:t>
      </w:r>
      <w:r w:rsidR="00BC1D9C">
        <w:rPr>
          <w:rFonts w:ascii="Times New Roman" w:hAnsi="Times New Roman"/>
          <w:szCs w:val="24"/>
        </w:rPr>
        <w:t xml:space="preserve"> </w:t>
      </w:r>
      <w:r w:rsidR="00BC1D9C" w:rsidRPr="00BC1D9C">
        <w:rPr>
          <w:rFonts w:ascii="Times New Roman" w:hAnsi="Times New Roman"/>
          <w:szCs w:val="24"/>
        </w:rPr>
        <w:t xml:space="preserve">A reminder email </w:t>
      </w:r>
      <w:r w:rsidR="00BC1D9C">
        <w:rPr>
          <w:rFonts w:ascii="Times New Roman" w:hAnsi="Times New Roman"/>
          <w:szCs w:val="24"/>
        </w:rPr>
        <w:t>was</w:t>
      </w:r>
      <w:r w:rsidR="00BC1D9C" w:rsidRPr="00BC1D9C">
        <w:rPr>
          <w:rFonts w:ascii="Times New Roman" w:hAnsi="Times New Roman"/>
          <w:szCs w:val="24"/>
        </w:rPr>
        <w:t xml:space="preserve"> sent to non-responding school principals in August 2017</w:t>
      </w:r>
      <w:r w:rsidR="00BC1D9C">
        <w:rPr>
          <w:rFonts w:ascii="Times New Roman" w:hAnsi="Times New Roman"/>
          <w:szCs w:val="24"/>
        </w:rPr>
        <w:t>.</w:t>
      </w:r>
    </w:p>
    <w:p w14:paraId="0EDCAF52" w14:textId="5097B474" w:rsidR="00652E63"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t>
      </w:r>
      <w:r w:rsidR="00B13F2D">
        <w:rPr>
          <w:rFonts w:ascii="Times New Roman" w:hAnsi="Times New Roman"/>
          <w:szCs w:val="24"/>
        </w:rPr>
        <w:t xml:space="preserve">enter </w:t>
      </w:r>
      <w:r w:rsidRPr="00D321F9">
        <w:rPr>
          <w:rFonts w:ascii="Times New Roman" w:hAnsi="Times New Roman"/>
          <w:szCs w:val="24"/>
        </w:rPr>
        <w:t xml:space="preserve">one of two data collection paths. The data collection methodology employed </w:t>
      </w:r>
      <w:r w:rsidR="00BE274B">
        <w:rPr>
          <w:rFonts w:ascii="Times New Roman" w:hAnsi="Times New Roman"/>
          <w:szCs w:val="24"/>
        </w:rPr>
        <w:t>i</w:t>
      </w:r>
      <w:r w:rsidR="00B13F2D">
        <w:rPr>
          <w:rFonts w:ascii="Times New Roman" w:hAnsi="Times New Roman"/>
          <w:szCs w:val="24"/>
        </w:rPr>
        <w:t>s</w:t>
      </w:r>
      <w:r w:rsidRPr="00D321F9">
        <w:rPr>
          <w:rFonts w:ascii="Times New Roman" w:hAnsi="Times New Roman"/>
          <w:szCs w:val="24"/>
        </w:rPr>
        <w:t xml:space="preserv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w:t>
      </w:r>
      <w:r w:rsidR="009F1465">
        <w:rPr>
          <w:rFonts w:ascii="Times New Roman" w:hAnsi="Times New Roman"/>
          <w:szCs w:val="24"/>
        </w:rPr>
        <w:t>201</w:t>
      </w:r>
      <w:r w:rsidR="00B13F2D">
        <w:rPr>
          <w:rFonts w:ascii="Times New Roman" w:hAnsi="Times New Roman"/>
          <w:szCs w:val="24"/>
        </w:rPr>
        <w:t>5</w:t>
      </w:r>
      <w:r w:rsidR="009F1465">
        <w:rPr>
          <w:rFonts w:ascii="Times New Roman" w:hAnsi="Times New Roman"/>
          <w:szCs w:val="24"/>
        </w:rPr>
        <w:t>-1</w:t>
      </w:r>
      <w:r w:rsidR="00B13F2D">
        <w:rPr>
          <w:rFonts w:ascii="Times New Roman" w:hAnsi="Times New Roman"/>
          <w:szCs w:val="24"/>
        </w:rPr>
        <w:t>6</w:t>
      </w:r>
      <w:r w:rsidR="004627C6" w:rsidRPr="00D321F9">
        <w:rPr>
          <w:rFonts w:ascii="Times New Roman" w:hAnsi="Times New Roman"/>
          <w:szCs w:val="24"/>
        </w:rPr>
        <w:t xml:space="preserve"> NTPS data collection</w:t>
      </w:r>
      <w:r w:rsidR="00BE274B">
        <w:rPr>
          <w:rFonts w:ascii="Times New Roman" w:hAnsi="Times New Roman"/>
          <w:szCs w:val="24"/>
        </w:rPr>
        <w:t>. T</w:t>
      </w:r>
      <w:r w:rsidR="004627C6" w:rsidRPr="00D321F9">
        <w:rPr>
          <w:rFonts w:ascii="Times New Roman" w:hAnsi="Times New Roman"/>
          <w:szCs w:val="24"/>
        </w:rPr>
        <w:t xml:space="preserve">he same model with updated information </w:t>
      </w:r>
      <w:r w:rsidR="00B13F2D">
        <w:rPr>
          <w:rFonts w:ascii="Times New Roman" w:hAnsi="Times New Roman"/>
          <w:szCs w:val="24"/>
        </w:rPr>
        <w:t>was</w:t>
      </w:r>
      <w:r w:rsidR="004627C6" w:rsidRPr="00D321F9">
        <w:rPr>
          <w:rFonts w:ascii="Times New Roman" w:hAnsi="Times New Roman"/>
          <w:szCs w:val="24"/>
        </w:rPr>
        <w:t xml:space="preserve"> used for the </w:t>
      </w:r>
      <w:r w:rsidR="009F1465">
        <w:rPr>
          <w:rFonts w:ascii="Times New Roman" w:hAnsi="Times New Roman"/>
          <w:szCs w:val="24"/>
        </w:rPr>
        <w:t>201</w:t>
      </w:r>
      <w:r w:rsidR="00B13F2D">
        <w:rPr>
          <w:rFonts w:ascii="Times New Roman" w:hAnsi="Times New Roman"/>
          <w:szCs w:val="24"/>
        </w:rPr>
        <w:t>7</w:t>
      </w:r>
      <w:r w:rsidR="009F1465">
        <w:rPr>
          <w:rFonts w:ascii="Times New Roman" w:hAnsi="Times New Roman"/>
          <w:szCs w:val="24"/>
        </w:rPr>
        <w:t>-</w:t>
      </w:r>
      <w:r w:rsidR="00B13F2D">
        <w:rPr>
          <w:rFonts w:ascii="Times New Roman" w:hAnsi="Times New Roman"/>
          <w:szCs w:val="24"/>
        </w:rPr>
        <w:t>18</w:t>
      </w:r>
      <w:r w:rsidR="004627C6" w:rsidRPr="00D321F9">
        <w:rPr>
          <w:rFonts w:ascii="Times New Roman" w:hAnsi="Times New Roman"/>
          <w:szCs w:val="24"/>
        </w:rPr>
        <w:t xml:space="preserve"> NTPS data collection</w:t>
      </w:r>
      <w:r w:rsidR="00B13F2D">
        <w:rPr>
          <w:rFonts w:ascii="Times New Roman" w:hAnsi="Times New Roman"/>
          <w:szCs w:val="24"/>
        </w:rPr>
        <w:t xml:space="preserve"> and will be used </w:t>
      </w:r>
      <w:r w:rsidR="00BE274B">
        <w:rPr>
          <w:rFonts w:ascii="Times New Roman" w:hAnsi="Times New Roman"/>
          <w:szCs w:val="24"/>
        </w:rPr>
        <w:t xml:space="preserve">again </w:t>
      </w:r>
      <w:r w:rsidR="00B13F2D">
        <w:rPr>
          <w:rFonts w:ascii="Times New Roman" w:hAnsi="Times New Roman"/>
          <w:szCs w:val="24"/>
        </w:rPr>
        <w:t>for the 2019-20 NTPS data collection</w:t>
      </w:r>
      <w:r w:rsidR="004627C6" w:rsidRPr="00D321F9">
        <w:rPr>
          <w:rFonts w:ascii="Times New Roman" w:hAnsi="Times New Roman"/>
          <w:szCs w:val="24"/>
        </w:rPr>
        <w:t>.</w:t>
      </w:r>
    </w:p>
    <w:p w14:paraId="45EE7B46" w14:textId="06DBBBBF" w:rsidR="0092218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Prior to the start of NTPS </w:t>
      </w:r>
      <w:r w:rsidR="00B13F2D">
        <w:rPr>
          <w:rFonts w:ascii="Times New Roman" w:hAnsi="Times New Roman"/>
          <w:szCs w:val="24"/>
        </w:rPr>
        <w:t>2017</w:t>
      </w:r>
      <w:r w:rsidR="009F1465">
        <w:rPr>
          <w:rFonts w:ascii="Times New Roman" w:hAnsi="Times New Roman"/>
          <w:szCs w:val="24"/>
        </w:rPr>
        <w:t>-</w:t>
      </w:r>
      <w:r w:rsidR="00B13F2D">
        <w:rPr>
          <w:rFonts w:ascii="Times New Roman" w:hAnsi="Times New Roman"/>
          <w:szCs w:val="24"/>
        </w:rPr>
        <w:t>18</w:t>
      </w:r>
      <w:r w:rsidR="00B13F2D" w:rsidRPr="00D321F9">
        <w:rPr>
          <w:rFonts w:ascii="Times New Roman" w:hAnsi="Times New Roman"/>
          <w:szCs w:val="24"/>
        </w:rPr>
        <w:t xml:space="preserve"> </w:t>
      </w:r>
      <w:r w:rsidRPr="00D321F9">
        <w:rPr>
          <w:rFonts w:ascii="Times New Roman" w:hAnsi="Times New Roman"/>
          <w:szCs w:val="24"/>
        </w:rPr>
        <w:t xml:space="preserve">data collection, a propensity model </w:t>
      </w:r>
      <w:r w:rsidR="00B13F2D">
        <w:rPr>
          <w:rFonts w:ascii="Times New Roman" w:hAnsi="Times New Roman"/>
          <w:szCs w:val="24"/>
        </w:rPr>
        <w:t>was</w:t>
      </w:r>
      <w:r w:rsidRPr="00D321F9">
        <w:rPr>
          <w:rFonts w:ascii="Times New Roman" w:hAnsi="Times New Roman"/>
          <w:szCs w:val="24"/>
        </w:rPr>
        <w:t xml:space="preserv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w:t>
      </w:r>
      <w:r w:rsidR="00BE274B">
        <w:rPr>
          <w:rFonts w:ascii="Times New Roman" w:hAnsi="Times New Roman"/>
          <w:szCs w:val="24"/>
        </w:rPr>
        <w:t>a</w:t>
      </w:r>
      <w:r w:rsidR="0003791D">
        <w:rPr>
          <w:rFonts w:ascii="Times New Roman" w:hAnsi="Times New Roman"/>
          <w:szCs w:val="24"/>
        </w:rPr>
        <w:t>re</w:t>
      </w:r>
      <w:r w:rsidR="0003791D" w:rsidRPr="00D321F9">
        <w:rPr>
          <w:rFonts w:ascii="Times New Roman" w:hAnsi="Times New Roman"/>
          <w:szCs w:val="24"/>
        </w:rPr>
        <w:t xml:space="preserve"> </w:t>
      </w:r>
      <w:r w:rsidR="004627C6" w:rsidRPr="00D321F9">
        <w:rPr>
          <w:rFonts w:ascii="Times New Roman" w:hAnsi="Times New Roman"/>
          <w:szCs w:val="24"/>
        </w:rPr>
        <w:t xml:space="preserve">made to prioritize field operations </w:t>
      </w:r>
      <w:r w:rsidR="00D64876">
        <w:rPr>
          <w:rFonts w:ascii="Times New Roman" w:hAnsi="Times New Roman"/>
          <w:szCs w:val="24"/>
        </w:rPr>
        <w:t xml:space="preserve">in these school </w:t>
      </w:r>
      <w:r w:rsidR="004627C6" w:rsidRPr="00D321F9">
        <w:rPr>
          <w:rFonts w:ascii="Times New Roman" w:hAnsi="Times New Roman"/>
          <w:szCs w:val="24"/>
        </w:rPr>
        <w:t>early during data collection.</w:t>
      </w:r>
    </w:p>
    <w:p w14:paraId="3D16C3B7" w14:textId="1B738028" w:rsidR="00BE274B" w:rsidRDefault="00BE274B" w:rsidP="007D4EB8">
      <w:pPr>
        <w:tabs>
          <w:tab w:val="left" w:pos="720"/>
        </w:tabs>
        <w:spacing w:after="120" w:line="240" w:lineRule="auto"/>
        <w:rPr>
          <w:rFonts w:ascii="Times New Roman" w:hAnsi="Times New Roman"/>
          <w:szCs w:val="24"/>
        </w:rPr>
      </w:pPr>
      <w:r w:rsidRPr="00BE274B">
        <w:rPr>
          <w:rFonts w:ascii="Times New Roman" w:hAnsi="Times New Roman"/>
          <w:szCs w:val="24"/>
        </w:rPr>
        <w:t xml:space="preserve">Between late February and early March 2018, an additional reminder email </w:t>
      </w:r>
      <w:r>
        <w:rPr>
          <w:rFonts w:ascii="Times New Roman" w:hAnsi="Times New Roman"/>
          <w:szCs w:val="24"/>
        </w:rPr>
        <w:t>was</w:t>
      </w:r>
      <w:r w:rsidRPr="00BE274B">
        <w:rPr>
          <w:rFonts w:ascii="Times New Roman" w:hAnsi="Times New Roman"/>
          <w:szCs w:val="24"/>
        </w:rPr>
        <w:t xml:space="preserve"> sent to Principals and/or Survey Coordinators of nonresponding schools, and between late February and early June 2018, an email reminder </w:t>
      </w:r>
      <w:r>
        <w:rPr>
          <w:rFonts w:ascii="Times New Roman" w:hAnsi="Times New Roman"/>
          <w:szCs w:val="24"/>
        </w:rPr>
        <w:t>was</w:t>
      </w:r>
      <w:r w:rsidRPr="00BE274B">
        <w:rPr>
          <w:rFonts w:ascii="Times New Roman" w:hAnsi="Times New Roman"/>
          <w:szCs w:val="24"/>
        </w:rPr>
        <w:t xml:space="preserve"> sent to teachers who </w:t>
      </w:r>
      <w:r>
        <w:rPr>
          <w:rFonts w:ascii="Times New Roman" w:hAnsi="Times New Roman"/>
          <w:szCs w:val="24"/>
        </w:rPr>
        <w:t>we</w:t>
      </w:r>
      <w:r w:rsidRPr="00BE274B">
        <w:rPr>
          <w:rFonts w:ascii="Times New Roman" w:hAnsi="Times New Roman"/>
          <w:szCs w:val="24"/>
        </w:rPr>
        <w:t>re not eligible for the contingency plan incentive experiment. Each of these emails include</w:t>
      </w:r>
      <w:r>
        <w:rPr>
          <w:rFonts w:ascii="Times New Roman" w:hAnsi="Times New Roman"/>
          <w:szCs w:val="24"/>
        </w:rPr>
        <w:t>d</w:t>
      </w:r>
      <w:r w:rsidRPr="00BE274B">
        <w:rPr>
          <w:rFonts w:ascii="Times New Roman" w:hAnsi="Times New Roman"/>
          <w:szCs w:val="24"/>
        </w:rPr>
        <w:t xml:space="preserve"> a link to an informational NTPS video and to the relevant survey, the respondent’s User ID, and selected findings from the 2015-16 NTPS.</w:t>
      </w:r>
    </w:p>
    <w:p w14:paraId="0595FD44" w14:textId="77777777" w:rsidR="00BE274B" w:rsidRPr="00EE4D95" w:rsidRDefault="00BE274B" w:rsidP="00BE274B">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t xml:space="preserve">Exhibit 1: </w:t>
      </w:r>
      <w:r w:rsidRPr="00EE4D95">
        <w:rPr>
          <w:rFonts w:ascii="Times New Roman" w:hAnsi="Times New Roman"/>
          <w:b/>
          <w:bCs/>
          <w:sz w:val="22"/>
          <w:szCs w:val="22"/>
        </w:rPr>
        <w:t>2017-18 National Teacher and Principal Survey – School-Level Data Collection Operations</w:t>
      </w:r>
    </w:p>
    <w:p w14:paraId="233C5959" w14:textId="6621CFA7" w:rsidR="000E283A" w:rsidRPr="000E283A" w:rsidRDefault="00BE274B" w:rsidP="00BE274B">
      <w:pPr>
        <w:pStyle w:val="L1-FlLSp12"/>
        <w:spacing w:line="240" w:lineRule="auto"/>
        <w:jc w:val="center"/>
      </w:pPr>
      <w:r>
        <w:rPr>
          <w:rFonts w:ascii="Times New Roman" w:hAnsi="Times New Roman"/>
          <w:noProof/>
        </w:rPr>
        <mc:AlternateContent>
          <mc:Choice Requires="wps">
            <w:drawing>
              <wp:anchor distT="0" distB="0" distL="114300" distR="114300" simplePos="0" relativeHeight="251659264" behindDoc="0" locked="0" layoutInCell="1" allowOverlap="1" wp14:anchorId="3A2818F3" wp14:editId="2F51F680">
                <wp:simplePos x="0" y="0"/>
                <wp:positionH relativeFrom="column">
                  <wp:posOffset>5241621</wp:posOffset>
                </wp:positionH>
                <wp:positionV relativeFrom="paragraph">
                  <wp:posOffset>6903720</wp:posOffset>
                </wp:positionV>
                <wp:extent cx="1600200" cy="604299"/>
                <wp:effectExtent l="0" t="0" r="19050" b="24765"/>
                <wp:wrapNone/>
                <wp:docPr id="6" name="Flowchart: Process 6"/>
                <wp:cNvGraphicFramePr/>
                <a:graphic xmlns:a="http://schemas.openxmlformats.org/drawingml/2006/main">
                  <a:graphicData uri="http://schemas.microsoft.com/office/word/2010/wordprocessingShape">
                    <wps:wsp>
                      <wps:cNvSpPr/>
                      <wps:spPr>
                        <a:xfrm>
                          <a:off x="0" y="0"/>
                          <a:ext cx="1600200" cy="604299"/>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7927DA1B" w14:textId="77777777" w:rsidR="00FF7414" w:rsidRPr="0014277C" w:rsidRDefault="00FF7414" w:rsidP="00BE274B">
                            <w:pPr>
                              <w:spacing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14:paraId="08E7426F" w14:textId="77777777" w:rsidR="00FF7414" w:rsidRPr="0014277C" w:rsidRDefault="00FF7414"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February-Early March</w:t>
                            </w:r>
                          </w:p>
                          <w:p w14:paraId="2AEC6322" w14:textId="77777777" w:rsidR="00FF7414" w:rsidRPr="0014277C" w:rsidRDefault="00FF7414" w:rsidP="00BE274B">
                            <w:pPr>
                              <w:spacing w:line="240" w:lineRule="auto"/>
                              <w:jc w:val="center"/>
                              <w:rPr>
                                <w:rFonts w:asciiTheme="minorHAnsi" w:hAnsiTheme="minorHAnsi"/>
                                <w:sz w:val="8"/>
                                <w:szCs w:val="8"/>
                              </w:rPr>
                            </w:pPr>
                          </w:p>
                          <w:p w14:paraId="49A3DBC7" w14:textId="77777777" w:rsidR="00FF7414" w:rsidRPr="0014277C" w:rsidRDefault="00FF7414" w:rsidP="00BE274B">
                            <w:pPr>
                              <w:spacing w:line="240" w:lineRule="auto"/>
                              <w:jc w:val="center"/>
                              <w:rPr>
                                <w:rFonts w:asciiTheme="minorHAnsi" w:hAnsiTheme="minorHAnsi"/>
                                <w:sz w:val="14"/>
                                <w:szCs w:val="14"/>
                              </w:rPr>
                            </w:pPr>
                            <w:r w:rsidRPr="0014277C">
                              <w:rPr>
                                <w:rFonts w:asciiTheme="minorHAnsi" w:hAnsiTheme="minorHAnsi"/>
                                <w:sz w:val="14"/>
                                <w:szCs w:val="14"/>
                              </w:rPr>
                              <w:t>Reminder email to Teachers</w:t>
                            </w:r>
                          </w:p>
                          <w:p w14:paraId="2E3345A0" w14:textId="77777777" w:rsidR="00FF7414" w:rsidRPr="0014277C" w:rsidRDefault="00FF7414"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6" type="#_x0000_t109" style="position:absolute;left:0;text-align:left;margin-left:412.75pt;margin-top:543.6pt;width:126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JScgIAADIFAAAOAAAAZHJzL2Uyb0RvYy54bWysVN9v2yAQfp+0/wHxvtqOsmyx6lRRqk6T&#10;qjZaO/WZYKitAceAxM7++h3YcbsuT9NeMOf7/d13XF71WpGDcL4FU9HiIqdEGA51a54r+v3x5sNn&#10;SnxgpmYKjKjoUXh6tXr/7rKzpZhBA6oWjmAQ48vOVrQJwZZZ5nkjNPMXYIVBpQSnWUDRPWe1Yx1G&#10;1yqb5fki68DV1gEX3uPf60FJVym+lIKHeym9CERVFGsL6XTp3MUzW12y8tkx27R8LIP9QxWatQaT&#10;TqGuWWBk79q/QumWO/AgwwUHnYGULRepB+ymyN9089AwK1IvCI63E0z+/4Xld4etI21d0QUlhmkc&#10;0Y2CjjfMhZJsB2DJIuLUWV+i+YPdulHyeI1N99Lp+MV2SJ+wPU7Yij4Qjj+LRZ7jwCjhqFvk89ly&#10;GYNmL97W+fBFgCbxUlGJZWxiGWMRCV52uPVhcDuZY4xY2VBLuoWjErEcZb4Jib1h9lnyTqwSG+XI&#10;gSEfGOfChNQblpGso5tslZoci3OOKhRj7aNtdBOJbZNjfs7xz4yTR8oKJkzOujXgzgWof0yZB/tT&#10;90PPsf3Q7/pxPjuojzhdBwPtveU3LWJ7y3zYMoc8x3Hg7oZ7PCLcFYXxRkkD7te5/9Ee6YdaSjrc&#10;m4r6n3vmBCXqq0FiLov5PC5aEuYfP81QcK81u9cas9cbwFEU+EpYnq7RPqjTVTrQT7ji65gVVcxw&#10;zF1RHtxJ2IRhn/GR4GK9Tma4XJaFW/NgeQweAY58eeyfmLMjwQJS8w5OO8bKN9wabKOngfU+gGwT&#10;8SLEA64j9LiYicbjIxI3/7WcrF6eutVvAAAA//8DAFBLAwQUAAYACAAAACEAsl4SzeMAAAAOAQAA&#10;DwAAAGRycy9kb3ducmV2LnhtbEyPwU7DMBBE70j8g7VIXBC1G9HGCnGqChUh4ERBlXpz4yWJGtuR&#10;7bTh79me4La7M5p5W64m27MThth5p2A+E8DQ1d50rlHw9fl8L4HFpJ3RvXeo4AcjrKrrq1IXxp/d&#10;B562qWEU4mKhFbQpDQXnsW7R6jjzAzrSvn2wOtEaGm6CPlO47XkmxJJb3TlqaPWATy3Wx+1oqXd8&#10;udu82SDfj36zbsblXtrdq1K3N9P6EVjCKf2Z4YJP6FAR08GPzkTWK5DZYkFWEoTMM2AXi8hzuh1o&#10;msvsAXhV8v9vVL8AAAD//wMAUEsBAi0AFAAGAAgAAAAhALaDOJL+AAAA4QEAABMAAAAAAAAAAAAA&#10;AAAAAAAAAFtDb250ZW50X1R5cGVzXS54bWxQSwECLQAUAAYACAAAACEAOP0h/9YAAACUAQAACwAA&#10;AAAAAAAAAAAAAAAvAQAAX3JlbHMvLnJlbHNQSwECLQAUAAYACAAAACEAX2hCUnICAAAyBQAADgAA&#10;AAAAAAAAAAAAAAAuAgAAZHJzL2Uyb0RvYy54bWxQSwECLQAUAAYACAAAACEAsl4SzeMAAAAOAQAA&#10;DwAAAAAAAAAAAAAAAADMBAAAZHJzL2Rvd25yZXYueG1sUEsFBgAAAAAEAAQA8wAAANwFAAAAAA==&#10;" fillcolor="white [3201]" strokecolor="#f79646 [3209]" strokeweight="2pt">
                <v:textbox>
                  <w:txbxContent>
                    <w:p w14:paraId="7927DA1B" w14:textId="77777777" w:rsidR="00FF7414" w:rsidRPr="0014277C" w:rsidRDefault="00FF7414" w:rsidP="00BE274B">
                      <w:pPr>
                        <w:spacing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14:paraId="08E7426F" w14:textId="77777777" w:rsidR="00FF7414" w:rsidRPr="0014277C" w:rsidRDefault="00FF7414"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February-Early March</w:t>
                      </w:r>
                    </w:p>
                    <w:p w14:paraId="2AEC6322" w14:textId="77777777" w:rsidR="00FF7414" w:rsidRPr="0014277C" w:rsidRDefault="00FF7414" w:rsidP="00BE274B">
                      <w:pPr>
                        <w:spacing w:line="240" w:lineRule="auto"/>
                        <w:jc w:val="center"/>
                        <w:rPr>
                          <w:rFonts w:asciiTheme="minorHAnsi" w:hAnsiTheme="minorHAnsi"/>
                          <w:sz w:val="8"/>
                          <w:szCs w:val="8"/>
                        </w:rPr>
                      </w:pPr>
                    </w:p>
                    <w:p w14:paraId="49A3DBC7" w14:textId="77777777" w:rsidR="00FF7414" w:rsidRPr="0014277C" w:rsidRDefault="00FF7414" w:rsidP="00BE274B">
                      <w:pPr>
                        <w:spacing w:line="240" w:lineRule="auto"/>
                        <w:jc w:val="center"/>
                        <w:rPr>
                          <w:rFonts w:asciiTheme="minorHAnsi" w:hAnsiTheme="minorHAnsi"/>
                          <w:sz w:val="14"/>
                          <w:szCs w:val="14"/>
                        </w:rPr>
                      </w:pPr>
                      <w:r w:rsidRPr="0014277C">
                        <w:rPr>
                          <w:rFonts w:asciiTheme="minorHAnsi" w:hAnsiTheme="minorHAnsi"/>
                          <w:sz w:val="14"/>
                          <w:szCs w:val="14"/>
                        </w:rPr>
                        <w:t>Reminder email to Teachers</w:t>
                      </w:r>
                    </w:p>
                    <w:p w14:paraId="2E3345A0" w14:textId="77777777" w:rsidR="00FF7414" w:rsidRPr="0014277C" w:rsidRDefault="00FF7414" w:rsidP="00BE274B">
                      <w:pPr>
                        <w:spacing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v:textbox>
              </v:shape>
            </w:pict>
          </mc:Fallback>
        </mc:AlternateContent>
      </w:r>
      <w:r>
        <w:rPr>
          <w:rFonts w:ascii="Times New Roman" w:hAnsi="Times New Roman"/>
          <w:noProof/>
        </w:rPr>
        <mc:AlternateContent>
          <mc:Choice Requires="wpg">
            <w:drawing>
              <wp:anchor distT="0" distB="0" distL="114300" distR="114300" simplePos="0" relativeHeight="251660288" behindDoc="0" locked="0" layoutInCell="1" allowOverlap="1" wp14:anchorId="766A4644" wp14:editId="6616A0A0">
                <wp:simplePos x="0" y="0"/>
                <wp:positionH relativeFrom="column">
                  <wp:posOffset>3584050</wp:posOffset>
                </wp:positionH>
                <wp:positionV relativeFrom="paragraph">
                  <wp:posOffset>982345</wp:posOffset>
                </wp:positionV>
                <wp:extent cx="3546283" cy="254000"/>
                <wp:effectExtent l="38100" t="0" r="16510" b="12700"/>
                <wp:wrapNone/>
                <wp:docPr id="4" name="Group 4"/>
                <wp:cNvGraphicFramePr/>
                <a:graphic xmlns:a="http://schemas.openxmlformats.org/drawingml/2006/main">
                  <a:graphicData uri="http://schemas.microsoft.com/office/word/2010/wordprocessingGroup">
                    <wpg:wgp>
                      <wpg:cNvGrpSpPr/>
                      <wpg:grpSpPr>
                        <a:xfrm>
                          <a:off x="0" y="0"/>
                          <a:ext cx="3546283" cy="254000"/>
                          <a:chOff x="0" y="0"/>
                          <a:chExt cx="3546283" cy="254000"/>
                        </a:xfrm>
                      </wpg:grpSpPr>
                      <wps:wsp>
                        <wps:cNvPr id="307" name="Text Box 2"/>
                        <wps:cNvSpPr txBox="1">
                          <a:spLocks noChangeArrowheads="1"/>
                        </wps:cNvSpPr>
                        <wps:spPr bwMode="auto">
                          <a:xfrm>
                            <a:off x="2107096" y="0"/>
                            <a:ext cx="1439187" cy="254000"/>
                          </a:xfrm>
                          <a:prstGeom prst="rect">
                            <a:avLst/>
                          </a:prstGeom>
                          <a:solidFill>
                            <a:srgbClr val="FFFFFF"/>
                          </a:solidFill>
                          <a:ln w="9525">
                            <a:solidFill>
                              <a:srgbClr val="000000"/>
                            </a:solidFill>
                            <a:miter lim="800000"/>
                            <a:headEnd/>
                            <a:tailEnd/>
                          </a:ln>
                        </wps:spPr>
                        <wps:txbx>
                          <w:txbxContent>
                            <w:p w14:paraId="0002C6EC" w14:textId="77777777" w:rsidR="00FF7414" w:rsidRPr="00211A44" w:rsidRDefault="00FF7414" w:rsidP="00BE274B">
                              <w:pPr>
                                <w:rPr>
                                  <w:sz w:val="18"/>
                                  <w:szCs w:val="18"/>
                                </w:rPr>
                              </w:pPr>
                              <w:r w:rsidRPr="00211A44">
                                <w:rPr>
                                  <w:sz w:val="18"/>
                                  <w:szCs w:val="18"/>
                                </w:rPr>
                                <w:t>Reminder Email (8/22/17)</w:t>
                              </w:r>
                            </w:p>
                          </w:txbxContent>
                        </wps:txbx>
                        <wps:bodyPr rot="0" vert="horz" wrap="square" lIns="91440" tIns="45720" rIns="91440" bIns="45720" anchor="t" anchorCtr="0">
                          <a:noAutofit/>
                        </wps:bodyPr>
                      </wps:wsp>
                      <wps:wsp>
                        <wps:cNvPr id="3" name="Straight Arrow Connector 3"/>
                        <wps:cNvCnPr/>
                        <wps:spPr>
                          <a:xfrm flipH="1" flipV="1">
                            <a:off x="0" y="103367"/>
                            <a:ext cx="2107096" cy="238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o:spid="_x0000_s1027" style="position:absolute;left:0;text-align:left;margin-left:282.2pt;margin-top:77.35pt;width:279.25pt;height:20pt;z-index:251660288" coordsize="3546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24OAMAAAsIAAAOAAAAZHJzL2Uyb0RvYy54bWy0Vdtu1DAQfUfiHyy/0yR7aXejplXZ0oJU&#10;oKKFd6/jJBaObWzvJsvXM3Yu27tEEfuQ9WVmfOb4zPj4tK0F2jJjuZIZTg5ijJikKueyzPD324t3&#10;C4ysIzInQkmW4R2z+PTk7ZvjRqdsoiolcmYQBJE2bXSGK+d0GkWWVqwm9kBpJmGzUKYmDqamjHJD&#10;Gohei2gSx4dRo0yujaLMWlg97zbxSYhfFIy6r0VhmUMiw4DNha8J37X/RifHJC0N0RWnPQzyChQ1&#10;4RIOHUOdE0fQxvBHoWpOjbKqcAdU1ZEqCk5ZyAGySeIH2VwatdEhlzJtSj3SBNQ+4OnVYemX7bVB&#10;PM/wDCNJariicCqaeWoaXaZgcWn0jb42/ULZzXy2bWFq/w95oDaQuhtJZa1DFBan89nhZDHFiMLe&#10;ZD6L4551WsHVPHKj1YeXHaPh2MijG8E0GgRk9xzZf+PopiKaBeqtZ6DnaBofDSzd+vzeqxZNOqKC&#10;mWcJuRaWoRaCHqy+UvSnRVKtKiJLdmaMaipGcsCXeE/IYnT1hNvU+iDr5rPK4TLIxqkQ6AHVkyQ+&#10;ipeHGD0mPJlNl8kCgN4nfOSNpNpYd8lUjfwgwwaqJJxBtlfWeUx7E3+7VgmeX3AhwsSU65UwaEug&#10;oi7CL6TxwExI1GR4OZ/MOxqeDQFy6BUBp947qeYOWoPgdYYXoxFJPXkfZA4wSeoIF90YnIXs2fQE&#10;dlS6dt0GcQeqPblrle+AXqO6TgCdCwaVMr8xaqALZNj+2hDDMBKfJFzRMpnNfNsIk9n8aAITc3dn&#10;fXeHSAqhMuww6oYrF1qNhyrVGVxlwQO/eyQ9ZFBuh/j/S3gQ8I0zhJeVQ0GSaKWkBB0og6Z3BL2S&#10;fdl3svSJeCGiQnD90Ss4jH4Mar/XB5J4Oj088sFIOjSDUbZBm9PFPLSZ56Vpe5Ajuq6qnhGqV8Ao&#10;CuR22heQL7heoU8oxLqdYN5LyG+sAK3sK9c/QWyUOqGUSdeVbG/t3Qooi9Ex7rT+kmNvHzgJz9Pf&#10;OLPBI5yspBuday6Veep01w6Qi85+qJEu770Qh1YUlBhaK7w4oRX0r6N/0u7OQ6D9G37yBwAA//8D&#10;AFBLAwQUAAYACAAAACEAX/7pEOIAAAAMAQAADwAAAGRycy9kb3ducmV2LnhtbEyPQU+DQBCF7yb+&#10;h82YeLMLCLVFlqZp1FNjYmtietvCFEjZWcJugf57pye9zcx7efO9bDWZVgzYu8aSgnAWgEAqbNlQ&#10;peB7//60AOG8plK3llDBFR2s8vu7TKelHekLh52vBIeQS7WC2vsuldIVNRrtZrZDYu1ke6M9r30l&#10;y16PHG5aGQXBXBrdEH+odYebGovz7mIUfIx6XD+Hb8P2fNpcD/vk82cbolKPD9P6FYTHyf+Z4YbP&#10;6JAz09FeqHSiVZDM45itLCTxC4ibI4yiJYgjT0s+yTyT/0vkvwAAAP//AwBQSwECLQAUAAYACAAA&#10;ACEAtoM4kv4AAADhAQAAEwAAAAAAAAAAAAAAAAAAAAAAW0NvbnRlbnRfVHlwZXNdLnhtbFBLAQIt&#10;ABQABgAIAAAAIQA4/SH/1gAAAJQBAAALAAAAAAAAAAAAAAAAAC8BAABfcmVscy8ucmVsc1BLAQIt&#10;ABQABgAIAAAAIQBl5M24OAMAAAsIAAAOAAAAAAAAAAAAAAAAAC4CAABkcnMvZTJvRG9jLnhtbFBL&#10;AQItABQABgAIAAAAIQBf/ukQ4gAAAAwBAAAPAAAAAAAAAAAAAAAAAJIFAABkcnMvZG93bnJldi54&#10;bWxQSwUGAAAAAAQABADzAAAAoQYAAAAA&#10;">
                <v:shapetype id="_x0000_t202" coordsize="21600,21600" o:spt="202" path="m,l,21600r21600,l21600,xe">
                  <v:stroke joinstyle="miter"/>
                  <v:path gradientshapeok="t" o:connecttype="rect"/>
                </v:shapetype>
                <v:shape id="Text Box 2" o:spid="_x0000_s1028" type="#_x0000_t202" style="position:absolute;left:21070;width:1439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0002C6EC" w14:textId="77777777" w:rsidR="00FF7414" w:rsidRPr="00211A44" w:rsidRDefault="00FF7414" w:rsidP="00BE274B">
                        <w:pPr>
                          <w:rPr>
                            <w:sz w:val="18"/>
                            <w:szCs w:val="18"/>
                          </w:rPr>
                        </w:pPr>
                        <w:r w:rsidRPr="00211A44">
                          <w:rPr>
                            <w:sz w:val="18"/>
                            <w:szCs w:val="18"/>
                          </w:rPr>
                          <w:t>Reminder Email (8/22/17)</w:t>
                        </w:r>
                      </w:p>
                    </w:txbxContent>
                  </v:textbox>
                </v:shape>
                <v:shapetype id="_x0000_t32" coordsize="21600,21600" o:spt="32" o:oned="t" path="m,l21600,21600e" filled="f">
                  <v:path arrowok="t" fillok="f" o:connecttype="none"/>
                  <o:lock v:ext="edit" shapetype="t"/>
                </v:shapetype>
                <v:shape id="Straight Arrow Connector 3" o:spid="_x0000_s1029" type="#_x0000_t32" style="position:absolute;top:1033;width:21070;height:2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TcIAAADaAAAADwAAAGRycy9kb3ducmV2LnhtbESPQWsCMRSE74X+h/AK3mpWxbZsjSKC&#10;oAeRaqvXR/LcXbp5WTZPXf+9KRQ8DjPzDTOZdb5WF2pjFdjAoJ+BIrbBVVwY+N4vXz9ARUF2WAcm&#10;AzeKMJs+P00wd+HKX3TZSaEShGOOBkqRJtc62pI8xn5oiJN3Cq1HSbIttGvxmuC+1sMse9MeK04L&#10;JTa0KMn+7s7ewDmcNvMf9z46DI6ytpWst2THxvReuvknKKFOHuH/9soZGMHflXQD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TcIAAADaAAAADwAAAAAAAAAAAAAA&#10;AAChAgAAZHJzL2Rvd25yZXYueG1sUEsFBgAAAAAEAAQA+QAAAJADAAAAAA==&#10;" strokecolor="#4579b8 [3044]">
                  <v:stroke endarrow="open"/>
                </v:shape>
              </v:group>
            </w:pict>
          </mc:Fallback>
        </mc:AlternateContent>
      </w:r>
      <w:r w:rsidRPr="00D321F9">
        <w:rPr>
          <w:rFonts w:ascii="Times New Roman" w:hAnsi="Times New Roman"/>
        </w:rPr>
        <w:object w:dxaOrig="11576" w:dyaOrig="19496" w14:anchorId="0E3DE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85pt;height:699.95pt" o:ole="">
            <v:imagedata r:id="rId17" o:title=""/>
          </v:shape>
          <o:OLEObject Type="Embed" ProgID="Visio.Drawing.11" ShapeID="_x0000_i1025" DrawAspect="Content" ObjectID="_1593491197" r:id="rId18"/>
        </w:object>
      </w:r>
    </w:p>
    <w:p w14:paraId="39A146FB" w14:textId="77777777" w:rsidR="00B1538F" w:rsidRDefault="00B1538F" w:rsidP="007D4EB8">
      <w:pPr>
        <w:pStyle w:val="Heading3"/>
        <w:spacing w:after="120" w:line="240" w:lineRule="auto"/>
        <w:rPr>
          <w:rFonts w:ascii="Times New Roman" w:hAnsi="Times New Roman"/>
          <w:color w:val="auto"/>
          <w:sz w:val="24"/>
          <w:szCs w:val="24"/>
        </w:rPr>
      </w:pPr>
      <w:bookmarkStart w:id="58" w:name="_Toc518587628"/>
      <w:r w:rsidRPr="00D321F9">
        <w:rPr>
          <w:rFonts w:ascii="Times New Roman" w:hAnsi="Times New Roman"/>
          <w:color w:val="auto"/>
          <w:sz w:val="24"/>
          <w:szCs w:val="24"/>
        </w:rPr>
        <w:t>B.2.</w:t>
      </w:r>
      <w:r>
        <w:rPr>
          <w:rFonts w:ascii="Times New Roman" w:hAnsi="Times New Roman"/>
          <w:color w:val="auto"/>
          <w:sz w:val="24"/>
          <w:szCs w:val="24"/>
        </w:rPr>
        <w:t>2.1</w:t>
      </w:r>
      <w:r w:rsidRPr="00D321F9">
        <w:rPr>
          <w:rFonts w:ascii="Times New Roman" w:hAnsi="Times New Roman"/>
          <w:color w:val="auto"/>
          <w:sz w:val="24"/>
          <w:szCs w:val="24"/>
        </w:rPr>
        <w:tab/>
      </w:r>
      <w:r w:rsidRPr="00D321F9">
        <w:rPr>
          <w:rFonts w:ascii="Times New Roman" w:hAnsi="Times New Roman"/>
          <w:color w:val="auto"/>
          <w:sz w:val="24"/>
          <w:szCs w:val="24"/>
        </w:rPr>
        <w:tab/>
        <w:t>Priority Schools</w:t>
      </w:r>
      <w:bookmarkEnd w:id="58"/>
    </w:p>
    <w:p w14:paraId="6511E228" w14:textId="2EE20BA8" w:rsidR="007215B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w:t>
      </w:r>
      <w:r w:rsidR="00BA3AD2">
        <w:rPr>
          <w:rFonts w:ascii="Times New Roman" w:hAnsi="Times New Roman"/>
          <w:szCs w:val="24"/>
        </w:rPr>
        <w:t>201</w:t>
      </w:r>
      <w:r w:rsidR="005C02D9">
        <w:rPr>
          <w:rFonts w:ascii="Times New Roman" w:hAnsi="Times New Roman"/>
          <w:szCs w:val="24"/>
        </w:rPr>
        <w:t>7</w:t>
      </w:r>
      <w:r w:rsidRPr="00D321F9">
        <w:rPr>
          <w:rFonts w:ascii="Times New Roman" w:hAnsi="Times New Roman"/>
          <w:szCs w:val="24"/>
        </w:rPr>
        <w:t xml:space="preserve">, principals or survey coordinators at priority schools </w:t>
      </w:r>
      <w:r w:rsidR="005C02D9">
        <w:rPr>
          <w:rFonts w:ascii="Times New Roman" w:hAnsi="Times New Roman"/>
          <w:szCs w:val="24"/>
        </w:rPr>
        <w:t>were</w:t>
      </w:r>
      <w:r w:rsidRPr="00D321F9">
        <w:rPr>
          <w:rFonts w:ascii="Times New Roman" w:hAnsi="Times New Roman"/>
          <w:szCs w:val="24"/>
        </w:rPr>
        <w:t xml:space="preserve"> mailed a letter, at the school address, informing them that their school may receive a personal visit from Census Bureau staff in the coming weeks. About ten days later, data collection beg</w:t>
      </w:r>
      <w:r w:rsidR="005C02D9">
        <w:rPr>
          <w:rFonts w:ascii="Times New Roman" w:hAnsi="Times New Roman"/>
          <w:szCs w:val="24"/>
        </w:rPr>
        <w:t>a</w:t>
      </w:r>
      <w:r w:rsidRPr="00D321F9">
        <w:rPr>
          <w:rFonts w:ascii="Times New Roman" w:hAnsi="Times New Roman"/>
          <w:szCs w:val="24"/>
        </w:rPr>
        <w:t>n with a personal visit from a Census Bureau Field Representative. The expectation for the personal visit is that the Census Bureau Field Representative w</w:t>
      </w:r>
      <w:r w:rsidR="005C02D9">
        <w:rPr>
          <w:rFonts w:ascii="Times New Roman" w:hAnsi="Times New Roman"/>
          <w:szCs w:val="24"/>
        </w:rPr>
        <w:t>ould</w:t>
      </w:r>
      <w:r w:rsidRPr="00D321F9">
        <w:rPr>
          <w:rFonts w:ascii="Times New Roman" w:hAnsi="Times New Roman"/>
          <w:szCs w:val="24"/>
        </w:rPr>
        <w:t xml:space="preserve">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t>
      </w:r>
      <w:r w:rsidR="005C02D9">
        <w:rPr>
          <w:rFonts w:ascii="Times New Roman" w:hAnsi="Times New Roman"/>
          <w:szCs w:val="24"/>
        </w:rPr>
        <w:t>was</w:t>
      </w:r>
      <w:r w:rsidRPr="00D321F9">
        <w:rPr>
          <w:rFonts w:ascii="Times New Roman" w:hAnsi="Times New Roman"/>
          <w:szCs w:val="24"/>
        </w:rPr>
        <w:t xml:space="preserv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only need</w:t>
      </w:r>
      <w:r w:rsidR="005C02D9">
        <w:rPr>
          <w:rFonts w:ascii="Times New Roman" w:hAnsi="Times New Roman"/>
          <w:szCs w:val="24"/>
        </w:rPr>
        <w:t>ed</w:t>
      </w:r>
      <w:r w:rsidRPr="00D321F9">
        <w:rPr>
          <w:rFonts w:ascii="Times New Roman" w:hAnsi="Times New Roman"/>
          <w:szCs w:val="24"/>
        </w:rPr>
        <w:t xml:space="preserve"> to verify that the teacher information is complete and accurate. The Field Representative also distribute</w:t>
      </w:r>
      <w:r w:rsidR="005C02D9">
        <w:rPr>
          <w:rFonts w:ascii="Times New Roman" w:hAnsi="Times New Roman"/>
          <w:szCs w:val="24"/>
        </w:rPr>
        <w:t>d</w:t>
      </w:r>
      <w:r w:rsidRPr="00D321F9">
        <w:rPr>
          <w:rFonts w:ascii="Times New Roman" w:hAnsi="Times New Roman"/>
          <w:szCs w:val="24"/>
        </w:rPr>
        <w:t xml:space="preserve"> sealed letters containing login information for the school and principal questionnaires.</w:t>
      </w:r>
      <w:r w:rsidR="00063B34">
        <w:rPr>
          <w:rFonts w:ascii="Times New Roman" w:hAnsi="Times New Roman"/>
          <w:szCs w:val="24"/>
        </w:rPr>
        <w:t xml:space="preserve"> </w:t>
      </w:r>
      <w:r w:rsidR="00063B34" w:rsidRPr="00063B34">
        <w:rPr>
          <w:rFonts w:ascii="Times New Roman" w:hAnsi="Times New Roman"/>
          <w:szCs w:val="24"/>
        </w:rPr>
        <w:t>If the Field Representative note</w:t>
      </w:r>
      <w:r w:rsidR="00063B34">
        <w:rPr>
          <w:rFonts w:ascii="Times New Roman" w:hAnsi="Times New Roman"/>
          <w:szCs w:val="24"/>
        </w:rPr>
        <w:t>d</w:t>
      </w:r>
      <w:r w:rsidR="00063B34" w:rsidRPr="00063B34">
        <w:rPr>
          <w:rFonts w:ascii="Times New Roman" w:hAnsi="Times New Roman"/>
          <w:szCs w:val="24"/>
        </w:rPr>
        <w:t xml:space="preserve"> that the school has shown reluctance or initially refused to participate in the study, the Regional Office of the Field Representative sen</w:t>
      </w:r>
      <w:r w:rsidR="00063B34">
        <w:rPr>
          <w:rFonts w:ascii="Times New Roman" w:hAnsi="Times New Roman"/>
          <w:szCs w:val="24"/>
        </w:rPr>
        <w:t>t</w:t>
      </w:r>
      <w:r w:rsidR="00063B34" w:rsidRPr="00063B34">
        <w:rPr>
          <w:rFonts w:ascii="Times New Roman" w:hAnsi="Times New Roman"/>
          <w:szCs w:val="24"/>
        </w:rPr>
        <w:t xml:space="preserve"> out a “letter of better understanding” to help encourage participation</w:t>
      </w:r>
      <w:r w:rsidR="00063B34">
        <w:rPr>
          <w:rFonts w:ascii="Times New Roman" w:hAnsi="Times New Roman"/>
          <w:szCs w:val="24"/>
        </w:rPr>
        <w:t>.</w:t>
      </w:r>
    </w:p>
    <w:p w14:paraId="236C7DCA" w14:textId="7B2057B2" w:rsidR="00F5136C" w:rsidRPr="00D321F9"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w:t>
      </w:r>
      <w:r w:rsidR="00063B34">
        <w:rPr>
          <w:rFonts w:ascii="Times New Roman" w:hAnsi="Times New Roman"/>
          <w:szCs w:val="24"/>
        </w:rPr>
        <w:t>wa</w:t>
      </w:r>
      <w:r w:rsidRPr="00D321F9">
        <w:rPr>
          <w:rFonts w:ascii="Times New Roman" w:hAnsi="Times New Roman"/>
          <w:szCs w:val="24"/>
        </w:rPr>
        <w:t>s unsuccessful receive</w:t>
      </w:r>
      <w:r w:rsidR="005C02D9">
        <w:rPr>
          <w:rFonts w:ascii="Times New Roman" w:hAnsi="Times New Roman"/>
          <w:szCs w:val="24"/>
        </w:rPr>
        <w:t>d</w:t>
      </w:r>
      <w:r w:rsidRPr="00D321F9">
        <w:rPr>
          <w:rFonts w:ascii="Times New Roman" w:hAnsi="Times New Roman"/>
          <w:szCs w:val="24"/>
        </w:rPr>
        <w:t xml:space="preserve"> an initial package </w:t>
      </w:r>
      <w:r w:rsidR="00CE3971" w:rsidRPr="00D321F9">
        <w:rPr>
          <w:rFonts w:ascii="Times New Roman" w:hAnsi="Times New Roman"/>
          <w:szCs w:val="24"/>
        </w:rPr>
        <w:t xml:space="preserve">in late October </w:t>
      </w:r>
      <w:r w:rsidR="00BA3AD2">
        <w:rPr>
          <w:rFonts w:ascii="Times New Roman" w:hAnsi="Times New Roman"/>
          <w:szCs w:val="24"/>
        </w:rPr>
        <w:t>201</w:t>
      </w:r>
      <w:r w:rsidR="005C02D9">
        <w:rPr>
          <w:rFonts w:ascii="Times New Roman" w:hAnsi="Times New Roman"/>
          <w:szCs w:val="24"/>
        </w:rPr>
        <w:t>7</w:t>
      </w:r>
      <w:r w:rsidR="005068A3">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t>
      </w:r>
      <w:r w:rsidR="005C02D9">
        <w:rPr>
          <w:rFonts w:ascii="Times New Roman" w:hAnsi="Times New Roman"/>
          <w:szCs w:val="24"/>
        </w:rPr>
        <w:t>was</w:t>
      </w:r>
      <w:r w:rsidRPr="00D321F9">
        <w:rPr>
          <w:rFonts w:ascii="Times New Roman" w:hAnsi="Times New Roman"/>
          <w:szCs w:val="24"/>
        </w:rPr>
        <w:t xml:space="preserv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package contain</w:t>
      </w:r>
      <w:r w:rsidR="005C02D9">
        <w:rPr>
          <w:rFonts w:ascii="Times New Roman" w:hAnsi="Times New Roman"/>
          <w:szCs w:val="24"/>
        </w:rPr>
        <w:t>ed</w:t>
      </w:r>
      <w:r w:rsidRPr="00D321F9">
        <w:rPr>
          <w:rFonts w:ascii="Times New Roman" w:hAnsi="Times New Roman"/>
          <w:szCs w:val="24"/>
        </w:rPr>
        <w:t xml:space="preserve"> a letter to the survey coordinator or principal and three individual sealed envelopes that contain</w:t>
      </w:r>
      <w:r w:rsidR="005C02D9">
        <w:rPr>
          <w:rFonts w:ascii="Times New Roman" w:hAnsi="Times New Roman"/>
          <w:szCs w:val="24"/>
        </w:rPr>
        <w:t>ed</w:t>
      </w:r>
      <w:r w:rsidRPr="00D321F9">
        <w:rPr>
          <w:rFonts w:ascii="Times New Roman" w:hAnsi="Times New Roman"/>
          <w:szCs w:val="24"/>
        </w:rPr>
        <w:t xml:space="preserve">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t>
      </w:r>
      <w:r w:rsidR="005C02D9">
        <w:rPr>
          <w:rFonts w:ascii="Times New Roman" w:hAnsi="Times New Roman"/>
          <w:szCs w:val="24"/>
        </w:rPr>
        <w:t>was</w:t>
      </w:r>
      <w:r w:rsidR="005C02D9" w:rsidRPr="00D321F9">
        <w:rPr>
          <w:rFonts w:ascii="Times New Roman" w:hAnsi="Times New Roman"/>
          <w:szCs w:val="24"/>
        </w:rPr>
        <w:t xml:space="preserve"> </w:t>
      </w:r>
      <w:r w:rsidR="003D6BFF" w:rsidRPr="00D321F9">
        <w:rPr>
          <w:rFonts w:ascii="Times New Roman" w:hAnsi="Times New Roman"/>
          <w:szCs w:val="24"/>
        </w:rPr>
        <w:t xml:space="preserve">also used to contact the survey coordinator and principal. </w:t>
      </w:r>
      <w:r w:rsidR="00CE3C5F">
        <w:rPr>
          <w:rFonts w:ascii="Times New Roman" w:hAnsi="Times New Roman"/>
          <w:szCs w:val="24"/>
        </w:rPr>
        <w:t>Additionally, p</w:t>
      </w:r>
      <w:r w:rsidRPr="00D321F9">
        <w:rPr>
          <w:rFonts w:ascii="Times New Roman" w:hAnsi="Times New Roman"/>
          <w:szCs w:val="24"/>
        </w:rPr>
        <w:t>rincipals and survey coordinators w</w:t>
      </w:r>
      <w:r w:rsidR="005C02D9">
        <w:rPr>
          <w:rFonts w:ascii="Times New Roman" w:hAnsi="Times New Roman"/>
          <w:szCs w:val="24"/>
        </w:rPr>
        <w:t>ere</w:t>
      </w:r>
      <w:r w:rsidRPr="00D321F9">
        <w:rPr>
          <w:rFonts w:ascii="Times New Roman" w:hAnsi="Times New Roman"/>
          <w:szCs w:val="24"/>
        </w:rPr>
        <w:t xml:space="preserve"> contacted by email around the same time the initial packages are mailed to the sampled schools. </w:t>
      </w:r>
      <w:r w:rsidR="00D0554F" w:rsidRPr="00D321F9">
        <w:rPr>
          <w:rFonts w:ascii="Times New Roman" w:hAnsi="Times New Roman"/>
          <w:szCs w:val="24"/>
        </w:rPr>
        <w:t xml:space="preserve">The emails </w:t>
      </w:r>
      <w:r w:rsidR="003D6BFF" w:rsidRPr="00D321F9">
        <w:rPr>
          <w:rFonts w:ascii="Times New Roman" w:hAnsi="Times New Roman"/>
          <w:szCs w:val="24"/>
        </w:rPr>
        <w:t>include</w:t>
      </w:r>
      <w:r w:rsidR="005C02D9">
        <w:rPr>
          <w:rFonts w:ascii="Times New Roman" w:hAnsi="Times New Roman"/>
          <w:szCs w:val="24"/>
        </w:rPr>
        <w:t>d</w:t>
      </w:r>
      <w:r w:rsidR="003D6BFF" w:rsidRPr="00D321F9">
        <w:rPr>
          <w:rFonts w:ascii="Times New Roman" w:hAnsi="Times New Roman"/>
          <w:szCs w:val="24"/>
        </w:rPr>
        <w:t xml:space="preserv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t>
      </w:r>
      <w:r w:rsidR="00A3741B">
        <w:rPr>
          <w:rFonts w:ascii="Times New Roman" w:hAnsi="Times New Roman"/>
          <w:szCs w:val="24"/>
        </w:rPr>
        <w:t>was</w:t>
      </w:r>
      <w:r w:rsidRPr="00D321F9">
        <w:rPr>
          <w:rFonts w:ascii="Times New Roman" w:hAnsi="Times New Roman"/>
          <w:szCs w:val="24"/>
        </w:rPr>
        <w:t xml:space="preserv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14:paraId="6F881764" w14:textId="5E1E52AC" w:rsidR="007215B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w:t>
      </w:r>
      <w:r w:rsidR="00A3741B">
        <w:rPr>
          <w:rFonts w:ascii="Times New Roman" w:hAnsi="Times New Roman"/>
          <w:szCs w:val="24"/>
        </w:rPr>
        <w:t>2017</w:t>
      </w:r>
      <w:r w:rsidR="00BA3AD2">
        <w:rPr>
          <w:rFonts w:ascii="Times New Roman" w:hAnsi="Times New Roman"/>
          <w:szCs w:val="24"/>
        </w:rPr>
        <w:t>,</w:t>
      </w:r>
      <w:r w:rsidRPr="00D321F9">
        <w:rPr>
          <w:rFonts w:ascii="Times New Roman" w:hAnsi="Times New Roman"/>
          <w:szCs w:val="24"/>
        </w:rPr>
        <w:t xml:space="preserve"> a second package </w:t>
      </w:r>
      <w:r w:rsidR="00A3741B">
        <w:rPr>
          <w:rFonts w:ascii="Times New Roman" w:hAnsi="Times New Roman"/>
          <w:szCs w:val="24"/>
        </w:rPr>
        <w:t>was</w:t>
      </w:r>
      <w:r w:rsidRPr="00D321F9">
        <w:rPr>
          <w:rFonts w:ascii="Times New Roman" w:hAnsi="Times New Roman"/>
          <w:szCs w:val="24"/>
        </w:rPr>
        <w:t xml:space="preserv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include</w:t>
      </w:r>
      <w:r w:rsidR="00A3741B">
        <w:rPr>
          <w:rFonts w:ascii="Times New Roman" w:hAnsi="Times New Roman"/>
          <w:szCs w:val="24"/>
        </w:rPr>
        <w:t>d</w:t>
      </w:r>
      <w:r w:rsidRPr="00D321F9">
        <w:rPr>
          <w:rFonts w:ascii="Times New Roman" w:hAnsi="Times New Roman"/>
          <w:szCs w:val="24"/>
        </w:rPr>
        <w:t xml:space="preserve"> a reminder letter, a pre-populated paper TLF and </w:t>
      </w:r>
      <w:r w:rsidR="00CE3C5F">
        <w:rPr>
          <w:rFonts w:ascii="Times New Roman" w:hAnsi="Times New Roman"/>
          <w:szCs w:val="24"/>
        </w:rPr>
        <w:t xml:space="preserve">a </w:t>
      </w:r>
      <w:r w:rsidRPr="00D321F9">
        <w:rPr>
          <w:rFonts w:ascii="Times New Roman" w:hAnsi="Times New Roman"/>
          <w:szCs w:val="24"/>
        </w:rPr>
        <w:t xml:space="preserve">return envelope (if applicable), and/or replacement materials for completing the principal and/or school questionnaires online. Principal and survey coordinator email addresses </w:t>
      </w:r>
      <w:r w:rsidR="00A3741B">
        <w:rPr>
          <w:rFonts w:ascii="Times New Roman" w:hAnsi="Times New Roman"/>
          <w:szCs w:val="24"/>
        </w:rPr>
        <w:t xml:space="preserve">were </w:t>
      </w:r>
      <w:r w:rsidRPr="00D321F9">
        <w:rPr>
          <w:rFonts w:ascii="Times New Roman" w:hAnsi="Times New Roman"/>
          <w:szCs w:val="24"/>
        </w:rPr>
        <w:t>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14:paraId="0AB7110E" w14:textId="13DDAAF5" w:rsidR="00F5136C" w:rsidRPr="00D321F9"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w:t>
      </w:r>
      <w:r w:rsidR="00A3741B">
        <w:rPr>
          <w:rFonts w:ascii="Times New Roman" w:hAnsi="Times New Roman"/>
          <w:szCs w:val="24"/>
        </w:rPr>
        <w:t>2018</w:t>
      </w:r>
      <w:r w:rsidRPr="00D321F9">
        <w:rPr>
          <w:rFonts w:ascii="Times New Roman" w:hAnsi="Times New Roman"/>
          <w:szCs w:val="24"/>
        </w:rPr>
        <w:t xml:space="preserve">, priority schools </w:t>
      </w:r>
      <w:r w:rsidR="00D0554F" w:rsidRPr="00D321F9">
        <w:rPr>
          <w:rFonts w:ascii="Times New Roman" w:hAnsi="Times New Roman"/>
          <w:szCs w:val="24"/>
        </w:rPr>
        <w:t>that h</w:t>
      </w:r>
      <w:r w:rsidR="00A3741B">
        <w:rPr>
          <w:rFonts w:ascii="Times New Roman" w:hAnsi="Times New Roman"/>
          <w:szCs w:val="24"/>
        </w:rPr>
        <w:t>ad</w:t>
      </w:r>
      <w:r w:rsidR="00D0554F" w:rsidRPr="00D321F9">
        <w:rPr>
          <w:rFonts w:ascii="Times New Roman" w:hAnsi="Times New Roman"/>
          <w:szCs w:val="24"/>
        </w:rPr>
        <w:t xml:space="preserve"> not</w:t>
      </w:r>
      <w:r w:rsidR="00A3741B">
        <w:rPr>
          <w:rFonts w:ascii="Times New Roman" w:hAnsi="Times New Roman"/>
          <w:szCs w:val="24"/>
        </w:rPr>
        <w:t xml:space="preserve"> yet</w:t>
      </w:r>
      <w:r w:rsidR="00D0554F" w:rsidRPr="00D321F9">
        <w:rPr>
          <w:rFonts w:ascii="Times New Roman" w:hAnsi="Times New Roman"/>
          <w:szCs w:val="24"/>
        </w:rPr>
        <w:t xml:space="preserve"> provided or verified their</w:t>
      </w:r>
      <w:r w:rsidRPr="00D321F9">
        <w:rPr>
          <w:rFonts w:ascii="Times New Roman" w:hAnsi="Times New Roman"/>
          <w:szCs w:val="24"/>
        </w:rPr>
        <w:t xml:space="preserve"> TLF </w:t>
      </w:r>
      <w:r w:rsidR="00A3741B">
        <w:rPr>
          <w:rFonts w:ascii="Times New Roman" w:hAnsi="Times New Roman"/>
          <w:szCs w:val="24"/>
        </w:rPr>
        <w:t>had</w:t>
      </w:r>
      <w:r w:rsidRPr="00D321F9">
        <w:rPr>
          <w:rFonts w:ascii="Times New Roman" w:hAnsi="Times New Roman"/>
          <w:szCs w:val="24"/>
        </w:rPr>
        <w:t xml:space="preser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w:t>
      </w:r>
      <w:r w:rsidR="00A3741B">
        <w:rPr>
          <w:rFonts w:ascii="Times New Roman" w:hAnsi="Times New Roman"/>
          <w:szCs w:val="24"/>
        </w:rPr>
        <w:t>ed</w:t>
      </w:r>
      <w:r w:rsidRPr="00D321F9">
        <w:rPr>
          <w:rFonts w:ascii="Times New Roman" w:hAnsi="Times New Roman"/>
          <w:szCs w:val="24"/>
        </w:rPr>
        <w:t xml:space="preserve">, a third package </w:t>
      </w:r>
      <w:r w:rsidR="00A3741B">
        <w:rPr>
          <w:rFonts w:ascii="Times New Roman" w:hAnsi="Times New Roman"/>
          <w:szCs w:val="24"/>
        </w:rPr>
        <w:t>was</w:t>
      </w:r>
      <w:r w:rsidRPr="00D321F9">
        <w:rPr>
          <w:rFonts w:ascii="Times New Roman" w:hAnsi="Times New Roman"/>
          <w:szCs w:val="24"/>
        </w:rPr>
        <w:t xml:space="preserve"> mailed to the survey coordinator or principal at the school address. This package include</w:t>
      </w:r>
      <w:r w:rsidR="00A3741B">
        <w:rPr>
          <w:rFonts w:ascii="Times New Roman" w:hAnsi="Times New Roman"/>
          <w:szCs w:val="24"/>
        </w:rPr>
        <w:t>d</w:t>
      </w:r>
      <w:r w:rsidRPr="00D321F9">
        <w:rPr>
          <w:rFonts w:ascii="Times New Roman" w:hAnsi="Times New Roman"/>
          <w:szCs w:val="24"/>
        </w:rPr>
        <w:t xml:space="preserve"> a reminder letter, paper versions of the principal and/or school questionnaire(s), and postage-paid addressed return envelopes. Principal and survey coordinator email addresses </w:t>
      </w:r>
      <w:r w:rsidR="00A3741B">
        <w:rPr>
          <w:rFonts w:ascii="Times New Roman" w:hAnsi="Times New Roman"/>
          <w:szCs w:val="24"/>
        </w:rPr>
        <w:t xml:space="preserve">were </w:t>
      </w:r>
      <w:r w:rsidRPr="00D321F9">
        <w:rPr>
          <w:rFonts w:ascii="Times New Roman" w:hAnsi="Times New Roman"/>
          <w:szCs w:val="24"/>
        </w:rPr>
        <w:t>used as means of reminding nonresponding schools to complete their questionnaires.</w:t>
      </w:r>
    </w:p>
    <w:p w14:paraId="4AC604FD" w14:textId="79B1E7A3" w:rsidR="007215B4" w:rsidRDefault="00F5136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A3741B">
        <w:rPr>
          <w:rFonts w:ascii="Times New Roman" w:hAnsi="Times New Roman"/>
          <w:szCs w:val="24"/>
        </w:rPr>
        <w:t>2018</w:t>
      </w:r>
      <w:r w:rsidR="00BA3AD2">
        <w:rPr>
          <w:rFonts w:ascii="Times New Roman" w:hAnsi="Times New Roman"/>
          <w:szCs w:val="24"/>
        </w:rPr>
        <w:t>,</w:t>
      </w:r>
      <w:r w:rsidRPr="00D321F9">
        <w:rPr>
          <w:rFonts w:ascii="Times New Roman" w:hAnsi="Times New Roman"/>
          <w:szCs w:val="24"/>
        </w:rPr>
        <w:t xml:space="preserve"> priority schools that ha</w:t>
      </w:r>
      <w:r w:rsidR="00A3741B">
        <w:rPr>
          <w:rFonts w:ascii="Times New Roman" w:hAnsi="Times New Roman"/>
          <w:szCs w:val="24"/>
        </w:rPr>
        <w:t>d</w:t>
      </w:r>
      <w:r w:rsidRPr="00D321F9">
        <w:rPr>
          <w:rFonts w:ascii="Times New Roman" w:hAnsi="Times New Roman"/>
          <w:szCs w:val="24"/>
        </w:rPr>
        <w:t xml:space="preserve"> not yet completed their school and/or principal questionnaires w</w:t>
      </w:r>
      <w:r w:rsidR="00A3741B">
        <w:rPr>
          <w:rFonts w:ascii="Times New Roman" w:hAnsi="Times New Roman"/>
          <w:szCs w:val="24"/>
        </w:rPr>
        <w:t>ere</w:t>
      </w:r>
      <w:r w:rsidRPr="00D321F9">
        <w:rPr>
          <w:rFonts w:ascii="Times New Roman" w:hAnsi="Times New Roman"/>
          <w:szCs w:val="24"/>
        </w:rPr>
        <w:t xml:space="preserve"> sent to a telephone reminder operation aimed at </w:t>
      </w:r>
      <w:r w:rsidR="00063B34" w:rsidRPr="00D321F9">
        <w:rPr>
          <w:rFonts w:ascii="Times New Roman" w:hAnsi="Times New Roman"/>
          <w:szCs w:val="24"/>
        </w:rPr>
        <w:t>prompting</w:t>
      </w:r>
      <w:r w:rsidRPr="00D321F9">
        <w:rPr>
          <w:rFonts w:ascii="Times New Roman" w:hAnsi="Times New Roman"/>
          <w:szCs w:val="24"/>
        </w:rPr>
        <w:t xml:space="preserve"> the survey coordinator or school principal to complete their questionnaires. If outstanding school-level forms remain</w:t>
      </w:r>
      <w:r w:rsidR="00063B34">
        <w:rPr>
          <w:rFonts w:ascii="Times New Roman" w:hAnsi="Times New Roman"/>
          <w:szCs w:val="24"/>
        </w:rPr>
        <w:t>ed</w:t>
      </w:r>
      <w:r w:rsidRPr="00D321F9">
        <w:rPr>
          <w:rFonts w:ascii="Times New Roman" w:hAnsi="Times New Roman"/>
          <w:szCs w:val="24"/>
        </w:rPr>
        <w:t xml:space="preserve"> after the telephone reminder operation, one more attempt by mail, email, and telephone </w:t>
      </w:r>
      <w:r w:rsidR="00A3741B">
        <w:rPr>
          <w:rFonts w:ascii="Times New Roman" w:hAnsi="Times New Roman"/>
          <w:szCs w:val="24"/>
        </w:rPr>
        <w:t>was</w:t>
      </w:r>
      <w:r w:rsidR="00A3741B" w:rsidRPr="00D321F9">
        <w:rPr>
          <w:rFonts w:ascii="Times New Roman" w:hAnsi="Times New Roman"/>
          <w:szCs w:val="24"/>
        </w:rPr>
        <w:t xml:space="preserve"> </w:t>
      </w:r>
      <w:r w:rsidRPr="00D321F9">
        <w:rPr>
          <w:rFonts w:ascii="Times New Roman" w:hAnsi="Times New Roman"/>
          <w:szCs w:val="24"/>
        </w:rPr>
        <w:t>be made to remind the school to complete their outstanding questionnaire(s).</w:t>
      </w:r>
    </w:p>
    <w:p w14:paraId="31700CA1" w14:textId="1B58AAC0" w:rsidR="00830976" w:rsidRPr="00D321F9" w:rsidRDefault="00204E0B" w:rsidP="007D4EB8">
      <w:pPr>
        <w:pStyle w:val="Heading3"/>
        <w:spacing w:after="120" w:line="240" w:lineRule="auto"/>
        <w:rPr>
          <w:rFonts w:ascii="Times New Roman" w:hAnsi="Times New Roman"/>
          <w:color w:val="auto"/>
          <w:sz w:val="24"/>
          <w:szCs w:val="24"/>
        </w:rPr>
      </w:pPr>
      <w:bookmarkStart w:id="59" w:name="_Toc468187459"/>
      <w:bookmarkStart w:id="60" w:name="_Toc518587629"/>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59"/>
      <w:bookmarkEnd w:id="60"/>
    </w:p>
    <w:p w14:paraId="6A9E26FF" w14:textId="6076A23E" w:rsidR="0025530B" w:rsidRPr="00D321F9" w:rsidRDefault="00EF761B" w:rsidP="007D4EB8">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00541925" w:rsidRPr="00D321F9">
        <w:rPr>
          <w:rFonts w:ascii="Times New Roman" w:hAnsi="Times New Roman"/>
          <w:szCs w:val="24"/>
        </w:rPr>
        <w:t xml:space="preserve">September </w:t>
      </w:r>
      <w:r w:rsidR="00BA3AD2">
        <w:rPr>
          <w:rFonts w:ascii="Times New Roman" w:hAnsi="Times New Roman"/>
          <w:szCs w:val="24"/>
        </w:rPr>
        <w:t>201</w:t>
      </w:r>
      <w:r w:rsidR="00AD3D15">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t>
      </w:r>
      <w:r w:rsidR="0025530B" w:rsidRPr="00D321F9">
        <w:rPr>
          <w:rFonts w:ascii="Times New Roman" w:hAnsi="Times New Roman"/>
          <w:szCs w:val="24"/>
        </w:rPr>
        <w:t>receive</w:t>
      </w:r>
      <w:r w:rsidR="00AD3D15">
        <w:rPr>
          <w:rFonts w:ascii="Times New Roman" w:hAnsi="Times New Roman"/>
          <w:szCs w:val="24"/>
        </w:rPr>
        <w:t>d</w:t>
      </w:r>
      <w:r w:rsidR="0025530B" w:rsidRPr="00D321F9">
        <w:rPr>
          <w:rFonts w:ascii="Times New Roman" w:hAnsi="Times New Roman"/>
          <w:szCs w:val="24"/>
        </w:rPr>
        <w:t xml:space="preser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w:t>
      </w:r>
      <w:r w:rsidR="00AD3D15">
        <w:rPr>
          <w:rFonts w:ascii="Times New Roman" w:hAnsi="Times New Roman"/>
          <w:szCs w:val="24"/>
        </w:rPr>
        <w:t xml:space="preserve">as </w:t>
      </w:r>
      <w:r w:rsidR="00541925" w:rsidRPr="00D321F9">
        <w:rPr>
          <w:rFonts w:ascii="Times New Roman" w:hAnsi="Times New Roman"/>
          <w:szCs w:val="24"/>
        </w:rPr>
        <w:t xml:space="preserve">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contain</w:t>
      </w:r>
      <w:r w:rsidR="00AD3D15">
        <w:rPr>
          <w:rFonts w:ascii="Times New Roman" w:hAnsi="Times New Roman"/>
          <w:szCs w:val="24"/>
        </w:rPr>
        <w:t>ed</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w:t>
      </w:r>
      <w:r w:rsidR="00F55578">
        <w:rPr>
          <w:rFonts w:ascii="Times New Roman" w:hAnsi="Times New Roman"/>
          <w:szCs w:val="24"/>
        </w:rPr>
        <w:t>ed</w:t>
      </w:r>
      <w:r w:rsidR="00541925" w:rsidRPr="00D321F9">
        <w:rPr>
          <w:rFonts w:ascii="Times New Roman" w:hAnsi="Times New Roman"/>
          <w:szCs w:val="24"/>
        </w:rPr>
        <w:t xml:space="preserve">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Principals and survey coordinators w</w:t>
      </w:r>
      <w:r w:rsidR="00F55578">
        <w:rPr>
          <w:rFonts w:ascii="Times New Roman" w:hAnsi="Times New Roman"/>
          <w:szCs w:val="24"/>
        </w:rPr>
        <w:t>ere</w:t>
      </w:r>
      <w:r w:rsidR="00D049DE" w:rsidRPr="00D321F9">
        <w:rPr>
          <w:rFonts w:ascii="Times New Roman" w:hAnsi="Times New Roman"/>
          <w:szCs w:val="24"/>
        </w:rPr>
        <w:t xml:space="preserve"> also contacted by email around the same time the initial packages </w:t>
      </w:r>
      <w:r w:rsidR="00B71496">
        <w:rPr>
          <w:rFonts w:ascii="Times New Roman" w:hAnsi="Times New Roman"/>
          <w:szCs w:val="24"/>
        </w:rPr>
        <w:t>were</w:t>
      </w:r>
      <w:r w:rsidR="00B71496" w:rsidRPr="00D321F9">
        <w:rPr>
          <w:rFonts w:ascii="Times New Roman" w:hAnsi="Times New Roman"/>
          <w:szCs w:val="24"/>
        </w:rPr>
        <w:t xml:space="preserve"> mailed</w:t>
      </w:r>
      <w:r w:rsidR="00D049DE" w:rsidRPr="00D321F9">
        <w:rPr>
          <w:rFonts w:ascii="Times New Roman" w:hAnsi="Times New Roman"/>
          <w:szCs w:val="24"/>
        </w:rPr>
        <w:t xml:space="preserve"> to the sampled schools. </w:t>
      </w:r>
      <w:r w:rsidRPr="00D321F9">
        <w:rPr>
          <w:rFonts w:ascii="Times New Roman" w:hAnsi="Times New Roman"/>
          <w:szCs w:val="24"/>
        </w:rPr>
        <w:t>The emails contain</w:t>
      </w:r>
      <w:r w:rsidR="00795783">
        <w:rPr>
          <w:rFonts w:ascii="Times New Roman" w:hAnsi="Times New Roman"/>
          <w:szCs w:val="24"/>
        </w:rPr>
        <w:t>ed</w:t>
      </w:r>
      <w:r w:rsidRPr="00D321F9">
        <w:rPr>
          <w:rFonts w:ascii="Times New Roman" w:hAnsi="Times New Roman"/>
          <w:szCs w:val="24"/>
        </w:rPr>
        <w:t xml:space="preserve"> the appropriate hyperlinks and User IDs to complete the NTPS questionnaires online.</w:t>
      </w:r>
    </w:p>
    <w:p w14:paraId="6658C52C" w14:textId="5935B770" w:rsidR="007215B4" w:rsidRDefault="00D049DE" w:rsidP="00795783">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About three weeks later, a second package </w:t>
      </w:r>
      <w:r w:rsidR="00F55578">
        <w:rPr>
          <w:rFonts w:ascii="Times New Roman" w:hAnsi="Times New Roman"/>
          <w:szCs w:val="24"/>
        </w:rPr>
        <w:t>was</w:t>
      </w:r>
      <w:r w:rsidRPr="00D321F9">
        <w:rPr>
          <w:rFonts w:ascii="Times New Roman" w:hAnsi="Times New Roman"/>
          <w:szCs w:val="24"/>
        </w:rPr>
        <w:t xml:space="preserv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w:t>
      </w:r>
      <w:r w:rsidR="00B71496" w:rsidRPr="00D321F9">
        <w:rPr>
          <w:rFonts w:ascii="Times New Roman" w:hAnsi="Times New Roman"/>
          <w:szCs w:val="24"/>
        </w:rPr>
        <w:t>package included</w:t>
      </w:r>
      <w:r w:rsidR="00104794" w:rsidRPr="00D321F9">
        <w:rPr>
          <w:rFonts w:ascii="Times New Roman" w:hAnsi="Times New Roman"/>
          <w:szCs w:val="24"/>
        </w:rPr>
        <w:t xml:space="preserve"> </w:t>
      </w:r>
      <w:r w:rsidRPr="00D321F9">
        <w:rPr>
          <w:rFonts w:ascii="Times New Roman" w:hAnsi="Times New Roman"/>
          <w:szCs w:val="24"/>
        </w:rPr>
        <w:t>a reminder letter to the survey coordinator or principal and replacement materials for completing the 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t>
      </w:r>
      <w:r w:rsidR="00F55578">
        <w:rPr>
          <w:rFonts w:ascii="Times New Roman" w:hAnsi="Times New Roman"/>
          <w:szCs w:val="24"/>
        </w:rPr>
        <w:t>were</w:t>
      </w:r>
      <w:r w:rsidRPr="00D321F9">
        <w:rPr>
          <w:rFonts w:ascii="Times New Roman" w:hAnsi="Times New Roman"/>
          <w:szCs w:val="24"/>
        </w:rPr>
        <w:t xml:space="preserv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14:paraId="3764E4F3" w14:textId="509ED3A0" w:rsidR="007215B4" w:rsidRDefault="0025530B"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A22ED6">
        <w:rPr>
          <w:rFonts w:ascii="Times New Roman" w:hAnsi="Times New Roman"/>
          <w:szCs w:val="24"/>
        </w:rPr>
        <w:t>201</w:t>
      </w:r>
      <w:r w:rsidR="00F55578">
        <w:rPr>
          <w:rFonts w:ascii="Times New Roman" w:hAnsi="Times New Roman"/>
          <w:szCs w:val="24"/>
        </w:rPr>
        <w:t>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w:t>
      </w:r>
      <w:r w:rsidR="0049679A">
        <w:rPr>
          <w:rFonts w:ascii="Times New Roman" w:hAnsi="Times New Roman"/>
          <w:szCs w:val="24"/>
        </w:rPr>
        <w:t>d</w:t>
      </w:r>
      <w:r w:rsidR="00104794" w:rsidRPr="00D321F9">
        <w:rPr>
          <w:rFonts w:ascii="Times New Roman" w:hAnsi="Times New Roman"/>
          <w:szCs w:val="24"/>
        </w:rPr>
        <w:t xml:space="preserve"> not</w:t>
      </w:r>
      <w:r w:rsidR="0049679A">
        <w:rPr>
          <w:rFonts w:ascii="Times New Roman" w:hAnsi="Times New Roman"/>
          <w:szCs w:val="24"/>
        </w:rPr>
        <w:t xml:space="preserve"> yet</w:t>
      </w:r>
      <w:r w:rsidR="00104794" w:rsidRPr="00D321F9">
        <w:rPr>
          <w:rFonts w:ascii="Times New Roman" w:hAnsi="Times New Roman"/>
          <w:szCs w:val="24"/>
        </w:rPr>
        <w:t xml:space="preserve"> completed their TLF electronically w</w:t>
      </w:r>
      <w:r w:rsidR="0049679A">
        <w:rPr>
          <w:rFonts w:ascii="Times New Roman" w:hAnsi="Times New Roman"/>
          <w:szCs w:val="24"/>
        </w:rPr>
        <w:t>ere</w:t>
      </w:r>
      <w:r w:rsidR="00104794" w:rsidRPr="00D321F9">
        <w:rPr>
          <w:rFonts w:ascii="Times New Roman" w:hAnsi="Times New Roman"/>
          <w:szCs w:val="24"/>
        </w:rPr>
        <w:t xml:space="preserve"> sent to a telephone reminder operation aimed at </w:t>
      </w:r>
      <w:r w:rsidR="00795783">
        <w:rPr>
          <w:rFonts w:ascii="Times New Roman" w:hAnsi="Times New Roman"/>
          <w:szCs w:val="24"/>
        </w:rPr>
        <w:t>prompting</w:t>
      </w:r>
      <w:r w:rsidR="00104794" w:rsidRPr="00D321F9">
        <w:rPr>
          <w:rFonts w:ascii="Times New Roman" w:hAnsi="Times New Roman"/>
          <w:szCs w:val="24"/>
        </w:rPr>
        <w:t xml:space="preserve"> the survey coordinator or school principal to complete their TLF online. Non-priority schools </w:t>
      </w:r>
      <w:r w:rsidR="00EF761B" w:rsidRPr="00D321F9">
        <w:rPr>
          <w:rFonts w:ascii="Times New Roman" w:hAnsi="Times New Roman"/>
          <w:szCs w:val="24"/>
        </w:rPr>
        <w:t>that completed their TLF</w:t>
      </w:r>
      <w:r w:rsidR="00104794" w:rsidRPr="00D321F9">
        <w:rPr>
          <w:rFonts w:ascii="Times New Roman" w:hAnsi="Times New Roman"/>
          <w:szCs w:val="24"/>
        </w:rPr>
        <w:t xml:space="preserve"> but </w:t>
      </w:r>
      <w:r w:rsidR="00EF761B" w:rsidRPr="00D321F9">
        <w:rPr>
          <w:rFonts w:ascii="Times New Roman" w:hAnsi="Times New Roman"/>
          <w:szCs w:val="24"/>
        </w:rPr>
        <w:t>ha</w:t>
      </w:r>
      <w:r w:rsidR="0049679A">
        <w:rPr>
          <w:rFonts w:ascii="Times New Roman" w:hAnsi="Times New Roman"/>
          <w:szCs w:val="24"/>
        </w:rPr>
        <w:t>d</w:t>
      </w:r>
      <w:r w:rsidR="00EF761B" w:rsidRPr="00D321F9">
        <w:rPr>
          <w:rFonts w:ascii="Times New Roman" w:hAnsi="Times New Roman"/>
          <w:szCs w:val="24"/>
        </w:rPr>
        <w:t xml:space="preserve"> not </w:t>
      </w:r>
      <w:r w:rsidR="0049679A">
        <w:rPr>
          <w:rFonts w:ascii="Times New Roman" w:hAnsi="Times New Roman"/>
          <w:szCs w:val="24"/>
        </w:rPr>
        <w:t xml:space="preserve">yet </w:t>
      </w:r>
      <w:r w:rsidR="00EF761B" w:rsidRPr="00D321F9">
        <w:rPr>
          <w:rFonts w:ascii="Times New Roman" w:hAnsi="Times New Roman"/>
          <w:szCs w:val="24"/>
        </w:rPr>
        <w:t xml:space="preserve">returned either the Principal Questionnaire or School Questionnaire </w:t>
      </w:r>
      <w:r w:rsidR="00104794" w:rsidRPr="00D321F9">
        <w:rPr>
          <w:rFonts w:ascii="Times New Roman" w:hAnsi="Times New Roman"/>
          <w:szCs w:val="24"/>
        </w:rPr>
        <w:t>receive</w:t>
      </w:r>
      <w:r w:rsidR="0049679A">
        <w:rPr>
          <w:rFonts w:ascii="Times New Roman" w:hAnsi="Times New Roman"/>
          <w:szCs w:val="24"/>
        </w:rPr>
        <w:t>d</w:t>
      </w:r>
      <w:r w:rsidR="00104794" w:rsidRPr="00D321F9">
        <w:rPr>
          <w:rFonts w:ascii="Times New Roman" w:hAnsi="Times New Roman"/>
          <w:szCs w:val="24"/>
        </w:rPr>
        <w:t xml:space="preserve"> a reminder letter and email during this time.</w:t>
      </w:r>
    </w:p>
    <w:p w14:paraId="19CB71F6" w14:textId="5F7773CE" w:rsidR="00FE67BA" w:rsidRPr="00D321F9" w:rsidRDefault="00FE67BA" w:rsidP="007D4EB8">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w:t>
      </w:r>
      <w:r w:rsidR="00A22ED6">
        <w:rPr>
          <w:rFonts w:ascii="Times New Roman" w:hAnsi="Times New Roman"/>
          <w:szCs w:val="24"/>
        </w:rPr>
        <w:t>201</w:t>
      </w:r>
      <w:r w:rsidR="0049679A">
        <w:rPr>
          <w:rFonts w:ascii="Times New Roman" w:hAnsi="Times New Roman"/>
          <w:szCs w:val="24"/>
        </w:rPr>
        <w:t>7</w:t>
      </w:r>
      <w:r w:rsidRPr="00D321F9">
        <w:rPr>
          <w:rFonts w:ascii="Times New Roman" w:hAnsi="Times New Roman"/>
          <w:szCs w:val="24"/>
        </w:rPr>
        <w:t xml:space="preserve">, non-priority schools with outstanding school-level questionnaires </w:t>
      </w:r>
      <w:r w:rsidR="0049679A">
        <w:rPr>
          <w:rFonts w:ascii="Times New Roman" w:hAnsi="Times New Roman"/>
          <w:szCs w:val="24"/>
        </w:rPr>
        <w:t>were</w:t>
      </w:r>
      <w:r w:rsidRPr="00D321F9">
        <w:rPr>
          <w:rFonts w:ascii="Times New Roman" w:hAnsi="Times New Roman"/>
          <w:szCs w:val="24"/>
        </w:rPr>
        <w:t xml:space="preserve"> mailed a third package</w:t>
      </w:r>
      <w:r w:rsidR="00F0338C" w:rsidRPr="00D321F9">
        <w:rPr>
          <w:rFonts w:ascii="Times New Roman" w:hAnsi="Times New Roman"/>
          <w:szCs w:val="24"/>
        </w:rPr>
        <w:t xml:space="preserve">. The package </w:t>
      </w:r>
      <w:r w:rsidRPr="00D321F9">
        <w:rPr>
          <w:rFonts w:ascii="Times New Roman" w:hAnsi="Times New Roman"/>
          <w:szCs w:val="24"/>
        </w:rPr>
        <w:t>include</w:t>
      </w:r>
      <w:r w:rsidR="0049679A">
        <w:rPr>
          <w:rFonts w:ascii="Times New Roman" w:hAnsi="Times New Roman"/>
          <w:szCs w:val="24"/>
        </w:rPr>
        <w:t>d</w:t>
      </w:r>
      <w:r w:rsidRPr="00D321F9">
        <w:rPr>
          <w:rFonts w:ascii="Times New Roman" w:hAnsi="Times New Roman"/>
          <w:szCs w:val="24"/>
        </w:rPr>
        <w:t xml:space="preserve"> a reminder letter to the survey coordinator or principal, paper versions of the questionnaires that </w:t>
      </w:r>
      <w:r w:rsidR="00795783">
        <w:rPr>
          <w:rFonts w:ascii="Times New Roman" w:hAnsi="Times New Roman"/>
          <w:szCs w:val="24"/>
        </w:rPr>
        <w:t>we</w:t>
      </w:r>
      <w:r w:rsidRPr="00D321F9">
        <w:rPr>
          <w:rFonts w:ascii="Times New Roman" w:hAnsi="Times New Roman"/>
          <w:szCs w:val="24"/>
        </w:rPr>
        <w:t>re still outstanding, and postage-paid return envelopes.</w:t>
      </w:r>
      <w:r w:rsidR="00AC0A1C" w:rsidRPr="00D321F9">
        <w:rPr>
          <w:rFonts w:ascii="Times New Roman" w:hAnsi="Times New Roman"/>
          <w:szCs w:val="24"/>
        </w:rPr>
        <w:t xml:space="preserve"> If the TLF </w:t>
      </w:r>
      <w:r w:rsidR="0049679A">
        <w:rPr>
          <w:rFonts w:ascii="Times New Roman" w:hAnsi="Times New Roman"/>
          <w:szCs w:val="24"/>
        </w:rPr>
        <w:t>was</w:t>
      </w:r>
      <w:r w:rsidR="00AC0A1C" w:rsidRPr="00D321F9">
        <w:rPr>
          <w:rFonts w:ascii="Times New Roman" w:hAnsi="Times New Roman"/>
          <w:szCs w:val="24"/>
        </w:rPr>
        <w:t xml:space="preserve"> one of the outstanding questionnaires, the version included in this third mailout </w:t>
      </w:r>
      <w:r w:rsidR="0049679A">
        <w:rPr>
          <w:rFonts w:ascii="Times New Roman" w:hAnsi="Times New Roman"/>
          <w:szCs w:val="24"/>
        </w:rPr>
        <w:t xml:space="preserve">was </w:t>
      </w:r>
      <w:r w:rsidR="00AC0A1C" w:rsidRPr="00D321F9">
        <w:rPr>
          <w:rFonts w:ascii="Times New Roman" w:hAnsi="Times New Roman"/>
          <w:szCs w:val="24"/>
        </w:rPr>
        <w:t>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w:t>
      </w:r>
      <w:r w:rsidR="0049679A">
        <w:rPr>
          <w:rFonts w:ascii="Times New Roman" w:hAnsi="Times New Roman"/>
          <w:szCs w:val="24"/>
        </w:rPr>
        <w:t>ere</w:t>
      </w:r>
      <w:r w:rsidRPr="00D321F9">
        <w:rPr>
          <w:rFonts w:ascii="Times New Roman" w:hAnsi="Times New Roman"/>
          <w:szCs w:val="24"/>
        </w:rPr>
        <w:t xml:space="preserv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14:paraId="11F39F19" w14:textId="205BDEBE" w:rsidR="00AC0A1C" w:rsidRPr="00D321F9" w:rsidRDefault="00FE67BA" w:rsidP="007D4EB8">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w:t>
      </w:r>
      <w:r w:rsidR="00A22ED6">
        <w:rPr>
          <w:rFonts w:ascii="Times New Roman" w:hAnsi="Times New Roman"/>
          <w:szCs w:val="24"/>
        </w:rPr>
        <w:t>20</w:t>
      </w:r>
      <w:r w:rsidR="007A07A2">
        <w:rPr>
          <w:rFonts w:ascii="Times New Roman" w:hAnsi="Times New Roman"/>
          <w:szCs w:val="24"/>
        </w:rPr>
        <w:t>18</w:t>
      </w:r>
      <w:r w:rsidRPr="00D321F9">
        <w:rPr>
          <w:rFonts w:ascii="Times New Roman" w:hAnsi="Times New Roman"/>
          <w:szCs w:val="24"/>
        </w:rPr>
        <w:t>, non-priority schools that ha</w:t>
      </w:r>
      <w:r w:rsidR="0049679A">
        <w:rPr>
          <w:rFonts w:ascii="Times New Roman" w:hAnsi="Times New Roman"/>
          <w:szCs w:val="24"/>
        </w:rPr>
        <w:t>d</w:t>
      </w:r>
      <w:r w:rsidRPr="00D321F9">
        <w:rPr>
          <w:rFonts w:ascii="Times New Roman" w:hAnsi="Times New Roman"/>
          <w:szCs w:val="24"/>
        </w:rPr>
        <w:t xml:space="preserve"> not yet completed their TLF </w:t>
      </w:r>
      <w:r w:rsidR="0049679A">
        <w:rPr>
          <w:rFonts w:ascii="Times New Roman" w:hAnsi="Times New Roman"/>
          <w:szCs w:val="24"/>
        </w:rPr>
        <w:t>were</w:t>
      </w:r>
      <w:r w:rsidR="00914910" w:rsidRPr="00D321F9">
        <w:rPr>
          <w:rFonts w:ascii="Times New Roman" w:hAnsi="Times New Roman"/>
          <w:szCs w:val="24"/>
        </w:rPr>
        <w:t xml:space="preserve"> sent to a Field operation, where sampled schools receive</w:t>
      </w:r>
      <w:r w:rsidR="0049679A">
        <w:rPr>
          <w:rFonts w:ascii="Times New Roman" w:hAnsi="Times New Roman"/>
          <w:szCs w:val="24"/>
        </w:rPr>
        <w:t>d</w:t>
      </w:r>
      <w:r w:rsidR="00914910" w:rsidRPr="00D321F9">
        <w:rPr>
          <w:rFonts w:ascii="Times New Roman" w:hAnsi="Times New Roman"/>
          <w:szCs w:val="24"/>
        </w:rPr>
        <w:t xml:space="preserve"> an in-person visit from a Field Representative. The expectation for the personal visit </w:t>
      </w:r>
      <w:r w:rsidR="0049679A">
        <w:rPr>
          <w:rFonts w:ascii="Times New Roman" w:hAnsi="Times New Roman"/>
          <w:szCs w:val="24"/>
        </w:rPr>
        <w:t>was</w:t>
      </w:r>
      <w:r w:rsidR="00914910" w:rsidRPr="00D321F9">
        <w:rPr>
          <w:rFonts w:ascii="Times New Roman" w:hAnsi="Times New Roman"/>
          <w:szCs w:val="24"/>
        </w:rPr>
        <w:t xml:space="preserve">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w</w:t>
      </w:r>
      <w:r w:rsidR="0049679A">
        <w:rPr>
          <w:rFonts w:ascii="Times New Roman" w:hAnsi="Times New Roman"/>
          <w:szCs w:val="24"/>
        </w:rPr>
        <w:t>ould</w:t>
      </w:r>
      <w:r w:rsidR="00504C15">
        <w:rPr>
          <w:rFonts w:ascii="Times New Roman" w:hAnsi="Times New Roman"/>
          <w:szCs w:val="24"/>
        </w:rPr>
        <w:t xml:space="preserve">: (a) </w:t>
      </w:r>
      <w:r w:rsidR="00914910" w:rsidRPr="00D321F9">
        <w:rPr>
          <w:rFonts w:ascii="Times New Roman" w:hAnsi="Times New Roman"/>
          <w:szCs w:val="24"/>
        </w:rPr>
        <w:t>verify the school’s TLF, which w</w:t>
      </w:r>
      <w:r w:rsidR="0049679A">
        <w:rPr>
          <w:rFonts w:ascii="Times New Roman" w:hAnsi="Times New Roman"/>
          <w:szCs w:val="24"/>
        </w:rPr>
        <w:t xml:space="preserve">as </w:t>
      </w:r>
      <w:r w:rsidR="00914910" w:rsidRPr="00D321F9">
        <w:rPr>
          <w:rFonts w:ascii="Times New Roman" w:hAnsi="Times New Roman"/>
          <w:szCs w:val="24"/>
        </w:rPr>
        <w:t xml:space="preserve">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w:t>
      </w:r>
      <w:r w:rsidR="00504C15">
        <w:rPr>
          <w:rFonts w:ascii="Times New Roman" w:hAnsi="Times New Roman"/>
          <w:szCs w:val="24"/>
        </w:rPr>
        <w:t>such data were</w:t>
      </w:r>
      <w:r w:rsidR="00F0338C" w:rsidRPr="00D321F9">
        <w:rPr>
          <w:rFonts w:ascii="Times New Roman" w:hAnsi="Times New Roman"/>
          <w:szCs w:val="24"/>
        </w:rPr>
        <w:t xml:space="preserve"> available</w:t>
      </w:r>
      <w:r w:rsidR="00914910" w:rsidRPr="00D321F9">
        <w:rPr>
          <w:rFonts w:ascii="Times New Roman" w:hAnsi="Times New Roman"/>
          <w:szCs w:val="24"/>
        </w:rPr>
        <w:t xml:space="preserve">, and </w:t>
      </w:r>
      <w:r w:rsidR="00504C15">
        <w:rPr>
          <w:rFonts w:ascii="Times New Roman" w:hAnsi="Times New Roman"/>
          <w:szCs w:val="24"/>
        </w:rPr>
        <w:t xml:space="preserve">(b) </w:t>
      </w:r>
      <w:r w:rsidR="00914910" w:rsidRPr="00D321F9">
        <w:rPr>
          <w:rFonts w:ascii="Times New Roman" w:hAnsi="Times New Roman"/>
          <w:szCs w:val="24"/>
        </w:rPr>
        <w:t xml:space="preserve">distribute paper school and/or principal questionnaires as needed. </w:t>
      </w:r>
      <w:r w:rsidR="00F0338C" w:rsidRPr="00D321F9">
        <w:rPr>
          <w:rFonts w:ascii="Times New Roman" w:hAnsi="Times New Roman"/>
          <w:szCs w:val="24"/>
        </w:rPr>
        <w:t>After the Field operation, non-priority schools that ha</w:t>
      </w:r>
      <w:r w:rsidR="0049679A">
        <w:rPr>
          <w:rFonts w:ascii="Times New Roman" w:hAnsi="Times New Roman"/>
          <w:szCs w:val="24"/>
        </w:rPr>
        <w:t>d</w:t>
      </w:r>
      <w:r w:rsidR="00F0338C" w:rsidRPr="00D321F9">
        <w:rPr>
          <w:rFonts w:ascii="Times New Roman" w:hAnsi="Times New Roman"/>
          <w:szCs w:val="24"/>
        </w:rPr>
        <w:t xml:space="preserve"> not provided or verified their TLF </w:t>
      </w:r>
      <w:r w:rsidR="0049679A">
        <w:rPr>
          <w:rFonts w:ascii="Times New Roman" w:hAnsi="Times New Roman"/>
          <w:szCs w:val="24"/>
        </w:rPr>
        <w:t>had</w:t>
      </w:r>
      <w:r w:rsidR="00F0338C" w:rsidRPr="00D321F9">
        <w:rPr>
          <w:rFonts w:ascii="Times New Roman" w:hAnsi="Times New Roman"/>
          <w:szCs w:val="24"/>
        </w:rPr>
        <w:t xml:space="preser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14:paraId="62498C31" w14:textId="600A319A" w:rsidR="007215B4" w:rsidRDefault="00FF0697"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w:t>
      </w:r>
      <w:r w:rsidR="00A22ED6">
        <w:rPr>
          <w:rFonts w:ascii="Times New Roman" w:hAnsi="Times New Roman"/>
          <w:szCs w:val="24"/>
        </w:rPr>
        <w:t>20</w:t>
      </w:r>
      <w:r w:rsidR="00504C15">
        <w:rPr>
          <w:rFonts w:ascii="Times New Roman" w:hAnsi="Times New Roman"/>
          <w:szCs w:val="24"/>
        </w:rPr>
        <w:t>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w:t>
      </w:r>
      <w:r w:rsidR="00652E63">
        <w:rPr>
          <w:rFonts w:ascii="Times New Roman" w:hAnsi="Times New Roman"/>
          <w:szCs w:val="24"/>
        </w:rPr>
        <w:t xml:space="preserve"> </w:t>
      </w:r>
      <w:r w:rsidR="00A533A0" w:rsidRPr="00D321F9">
        <w:rPr>
          <w:rFonts w:ascii="Times New Roman" w:hAnsi="Times New Roman"/>
          <w:szCs w:val="24"/>
        </w:rPr>
        <w:t>completed their TLF but ha</w:t>
      </w:r>
      <w:r w:rsidR="0049679A">
        <w:rPr>
          <w:rFonts w:ascii="Times New Roman" w:hAnsi="Times New Roman"/>
          <w:szCs w:val="24"/>
        </w:rPr>
        <w:t>d</w:t>
      </w:r>
      <w:r w:rsidR="00A533A0" w:rsidRPr="00D321F9">
        <w:rPr>
          <w:rFonts w:ascii="Times New Roman" w:hAnsi="Times New Roman"/>
          <w:szCs w:val="24"/>
        </w:rPr>
        <w:t xml:space="preserve"> not completed their school and/or principal questionnaire </w:t>
      </w:r>
      <w:r w:rsidR="003974A5">
        <w:rPr>
          <w:rFonts w:ascii="Times New Roman" w:hAnsi="Times New Roman"/>
          <w:szCs w:val="24"/>
        </w:rPr>
        <w:t>were</w:t>
      </w:r>
      <w:r w:rsidRPr="00D321F9">
        <w:rPr>
          <w:rFonts w:ascii="Times New Roman" w:hAnsi="Times New Roman"/>
          <w:szCs w:val="24"/>
        </w:rPr>
        <w:t xml:space="preserve"> sent a reminder email and </w:t>
      </w:r>
      <w:r w:rsidR="003974A5">
        <w:rPr>
          <w:rFonts w:ascii="Times New Roman" w:hAnsi="Times New Roman"/>
          <w:szCs w:val="24"/>
        </w:rPr>
        <w:t xml:space="preserve">were </w:t>
      </w:r>
      <w:r w:rsidRPr="00D321F9">
        <w:rPr>
          <w:rFonts w:ascii="Times New Roman" w:hAnsi="Times New Roman"/>
          <w:szCs w:val="24"/>
        </w:rPr>
        <w:t>contacted by telephone.</w:t>
      </w:r>
    </w:p>
    <w:p w14:paraId="5CD65E82" w14:textId="36B44549" w:rsidR="007215B4" w:rsidRPr="00A2457E" w:rsidRDefault="00F0338C" w:rsidP="007D4EB8">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remain</w:t>
      </w:r>
      <w:r w:rsidR="007A07A2">
        <w:rPr>
          <w:rFonts w:ascii="Times New Roman" w:hAnsi="Times New Roman"/>
          <w:szCs w:val="24"/>
        </w:rPr>
        <w:t>ed</w:t>
      </w:r>
      <w:r w:rsidRPr="00D321F9">
        <w:rPr>
          <w:rFonts w:ascii="Times New Roman" w:hAnsi="Times New Roman"/>
          <w:szCs w:val="24"/>
        </w:rPr>
        <w:t xml:space="preserve"> after the field </w:t>
      </w:r>
      <w:r w:rsidR="00FF0697" w:rsidRPr="00D321F9">
        <w:rPr>
          <w:rFonts w:ascii="Times New Roman" w:hAnsi="Times New Roman"/>
          <w:szCs w:val="24"/>
        </w:rPr>
        <w:t xml:space="preserve">or telephone </w:t>
      </w:r>
      <w:r w:rsidRPr="00D321F9">
        <w:rPr>
          <w:rFonts w:ascii="Times New Roman" w:hAnsi="Times New Roman"/>
          <w:szCs w:val="24"/>
        </w:rPr>
        <w:t xml:space="preserve">operation, </w:t>
      </w:r>
      <w:r w:rsidR="00504C15">
        <w:rPr>
          <w:rFonts w:ascii="Times New Roman" w:hAnsi="Times New Roman"/>
          <w:szCs w:val="24"/>
        </w:rPr>
        <w:t>contacts</w:t>
      </w:r>
      <w:r w:rsidRPr="00D321F9">
        <w:rPr>
          <w:rFonts w:ascii="Times New Roman" w:hAnsi="Times New Roman"/>
          <w:szCs w:val="24"/>
        </w:rPr>
        <w:t xml:space="preserve"> </w:t>
      </w:r>
      <w:r w:rsidRPr="00A2457E">
        <w:rPr>
          <w:rFonts w:ascii="Times New Roman" w:hAnsi="Times New Roman"/>
          <w:szCs w:val="24"/>
        </w:rPr>
        <w:t>by mail, email, telephone</w:t>
      </w:r>
      <w:r w:rsidR="00FF0697" w:rsidRPr="00A2457E">
        <w:rPr>
          <w:rFonts w:ascii="Times New Roman" w:hAnsi="Times New Roman"/>
          <w:szCs w:val="24"/>
        </w:rPr>
        <w:t>, and in-person visit (if not previously visited)</w:t>
      </w:r>
      <w:r w:rsidRPr="00A2457E">
        <w:rPr>
          <w:rFonts w:ascii="Times New Roman" w:hAnsi="Times New Roman"/>
          <w:szCs w:val="24"/>
        </w:rPr>
        <w:t xml:space="preserve"> </w:t>
      </w:r>
      <w:r w:rsidR="00504C15">
        <w:rPr>
          <w:rFonts w:ascii="Times New Roman" w:hAnsi="Times New Roman"/>
          <w:szCs w:val="24"/>
        </w:rPr>
        <w:t>were</w:t>
      </w:r>
      <w:r w:rsidRPr="00A2457E">
        <w:rPr>
          <w:rFonts w:ascii="Times New Roman" w:hAnsi="Times New Roman"/>
          <w:szCs w:val="24"/>
        </w:rPr>
        <w:t xml:space="preserve"> made to attempt to remind the school to complete their outstanding questionnaire(s).</w:t>
      </w:r>
    </w:p>
    <w:p w14:paraId="6E229C29" w14:textId="6CC58AD9" w:rsidR="00AC0A1C" w:rsidRPr="00A2457E" w:rsidRDefault="00202F49" w:rsidP="007D4EB8">
      <w:pPr>
        <w:pStyle w:val="Heading2"/>
        <w:spacing w:after="120" w:line="240" w:lineRule="auto"/>
        <w:rPr>
          <w:rFonts w:ascii="Times New Roman" w:hAnsi="Times New Roman"/>
          <w:color w:val="auto"/>
          <w:sz w:val="24"/>
          <w:szCs w:val="24"/>
        </w:rPr>
      </w:pPr>
      <w:bookmarkStart w:id="61" w:name="_Toc468187460"/>
      <w:bookmarkStart w:id="62" w:name="_Toc518587630"/>
      <w:r w:rsidRPr="00A2457E">
        <w:rPr>
          <w:rFonts w:ascii="Times New Roman" w:hAnsi="Times New Roman"/>
          <w:color w:val="auto"/>
          <w:sz w:val="24"/>
          <w:szCs w:val="24"/>
        </w:rPr>
        <w:t>B.2.</w:t>
      </w:r>
      <w:r w:rsidR="00D227F1" w:rsidRPr="00A2457E">
        <w:rPr>
          <w:rFonts w:ascii="Times New Roman" w:hAnsi="Times New Roman"/>
          <w:color w:val="auto"/>
          <w:sz w:val="24"/>
          <w:szCs w:val="24"/>
        </w:rPr>
        <w:t>3</w:t>
      </w:r>
      <w:r w:rsidRPr="00A2457E">
        <w:rPr>
          <w:rFonts w:ascii="Times New Roman" w:hAnsi="Times New Roman"/>
          <w:color w:val="auto"/>
          <w:sz w:val="24"/>
          <w:szCs w:val="24"/>
        </w:rPr>
        <w:tab/>
      </w:r>
      <w:r w:rsidRPr="00A2457E">
        <w:rPr>
          <w:rFonts w:ascii="Times New Roman" w:hAnsi="Times New Roman"/>
          <w:color w:val="auto"/>
          <w:sz w:val="24"/>
          <w:szCs w:val="24"/>
        </w:rPr>
        <w:tab/>
      </w:r>
      <w:r w:rsidR="00AC0A1C" w:rsidRPr="00A2457E">
        <w:rPr>
          <w:rFonts w:ascii="Times New Roman" w:hAnsi="Times New Roman"/>
          <w:color w:val="auto"/>
          <w:sz w:val="24"/>
          <w:szCs w:val="24"/>
        </w:rPr>
        <w:t>Teacher Data Collection</w:t>
      </w:r>
      <w:bookmarkEnd w:id="61"/>
      <w:bookmarkEnd w:id="62"/>
    </w:p>
    <w:p w14:paraId="720224B0" w14:textId="2D579C76" w:rsidR="001A4F34" w:rsidRPr="00A2457E" w:rsidRDefault="002E4370" w:rsidP="007D4EB8">
      <w:pPr>
        <w:tabs>
          <w:tab w:val="left" w:pos="720"/>
        </w:tabs>
        <w:spacing w:after="120" w:line="240" w:lineRule="auto"/>
        <w:rPr>
          <w:rFonts w:ascii="Times New Roman" w:hAnsi="Times New Roman"/>
          <w:szCs w:val="24"/>
        </w:rPr>
      </w:pPr>
      <w:r w:rsidRPr="00A2457E">
        <w:rPr>
          <w:rFonts w:ascii="Times New Roman" w:hAnsi="Times New Roman"/>
          <w:szCs w:val="24"/>
        </w:rPr>
        <w:t xml:space="preserve">Teachers </w:t>
      </w:r>
      <w:r w:rsidR="00471239">
        <w:rPr>
          <w:rFonts w:ascii="Times New Roman" w:hAnsi="Times New Roman"/>
          <w:szCs w:val="24"/>
        </w:rPr>
        <w:t>were</w:t>
      </w:r>
      <w:r w:rsidRPr="00A2457E">
        <w:rPr>
          <w:rFonts w:ascii="Times New Roman" w:hAnsi="Times New Roman"/>
          <w:szCs w:val="24"/>
        </w:rPr>
        <w:t xml:space="preserve"> sampled weekly from completed or verified TLFs throughout data collection. </w:t>
      </w:r>
      <w:r w:rsidR="001631F9" w:rsidRPr="00A2457E">
        <w:rPr>
          <w:rFonts w:ascii="Times New Roman" w:hAnsi="Times New Roman"/>
          <w:szCs w:val="24"/>
        </w:rPr>
        <w:t xml:space="preserve">As teachers </w:t>
      </w:r>
      <w:r w:rsidR="00471239">
        <w:rPr>
          <w:rFonts w:ascii="Times New Roman" w:hAnsi="Times New Roman"/>
          <w:szCs w:val="24"/>
        </w:rPr>
        <w:t>were</w:t>
      </w:r>
      <w:r w:rsidR="00471239" w:rsidRPr="00A2457E">
        <w:rPr>
          <w:rFonts w:ascii="Times New Roman" w:hAnsi="Times New Roman"/>
          <w:szCs w:val="24"/>
        </w:rPr>
        <w:t xml:space="preserve"> </w:t>
      </w:r>
      <w:r w:rsidR="001631F9" w:rsidRPr="00A2457E">
        <w:rPr>
          <w:rFonts w:ascii="Times New Roman" w:hAnsi="Times New Roman"/>
          <w:szCs w:val="24"/>
        </w:rPr>
        <w:t xml:space="preserve">sampled, </w:t>
      </w:r>
      <w:r w:rsidRPr="00A2457E">
        <w:rPr>
          <w:rFonts w:ascii="Times New Roman" w:hAnsi="Times New Roman"/>
          <w:szCs w:val="24"/>
        </w:rPr>
        <w:t>they</w:t>
      </w:r>
      <w:r w:rsidR="001631F9" w:rsidRPr="00A2457E">
        <w:rPr>
          <w:rFonts w:ascii="Times New Roman" w:hAnsi="Times New Roman"/>
          <w:szCs w:val="24"/>
        </w:rPr>
        <w:t xml:space="preserve"> </w:t>
      </w:r>
      <w:r w:rsidR="00471239">
        <w:rPr>
          <w:rFonts w:ascii="Times New Roman" w:hAnsi="Times New Roman"/>
          <w:szCs w:val="24"/>
        </w:rPr>
        <w:t>were</w:t>
      </w:r>
      <w:r w:rsidR="001631F9" w:rsidRPr="00A2457E">
        <w:rPr>
          <w:rFonts w:ascii="Times New Roman" w:hAnsi="Times New Roman"/>
          <w:szCs w:val="24"/>
        </w:rPr>
        <w:t xml:space="preserve"> mailed an initial teacher package containing a letter</w:t>
      </w:r>
      <w:r w:rsidRPr="00A2457E">
        <w:rPr>
          <w:rFonts w:ascii="Times New Roman" w:hAnsi="Times New Roman"/>
          <w:szCs w:val="24"/>
        </w:rPr>
        <w:t xml:space="preserve"> that introduce</w:t>
      </w:r>
      <w:r w:rsidR="00D71EE4">
        <w:rPr>
          <w:rFonts w:ascii="Times New Roman" w:hAnsi="Times New Roman"/>
          <w:szCs w:val="24"/>
        </w:rPr>
        <w:t>d</w:t>
      </w:r>
      <w:r w:rsidRPr="00A2457E">
        <w:rPr>
          <w:rFonts w:ascii="Times New Roman" w:hAnsi="Times New Roman"/>
          <w:szCs w:val="24"/>
        </w:rPr>
        <w:t xml:space="preserve"> the survey</w:t>
      </w:r>
      <w:r w:rsidR="00D71EE4">
        <w:rPr>
          <w:rFonts w:ascii="Times New Roman" w:hAnsi="Times New Roman"/>
          <w:szCs w:val="24"/>
        </w:rPr>
        <w:t xml:space="preserve"> and</w:t>
      </w:r>
      <w:r w:rsidRPr="00A2457E">
        <w:rPr>
          <w:rFonts w:ascii="Times New Roman" w:hAnsi="Times New Roman"/>
          <w:szCs w:val="24"/>
        </w:rPr>
        <w:t xml:space="preserve"> provide</w:t>
      </w:r>
      <w:r w:rsidR="00D71EE4">
        <w:rPr>
          <w:rFonts w:ascii="Times New Roman" w:hAnsi="Times New Roman"/>
          <w:szCs w:val="24"/>
        </w:rPr>
        <w:t>d</w:t>
      </w:r>
      <w:r w:rsidRPr="00A2457E">
        <w:rPr>
          <w:rFonts w:ascii="Times New Roman" w:hAnsi="Times New Roman"/>
          <w:szCs w:val="24"/>
        </w:rPr>
        <w:t xml:space="preserve"> the </w:t>
      </w:r>
      <w:r w:rsidR="001631F9" w:rsidRPr="00A2457E">
        <w:rPr>
          <w:rFonts w:ascii="Times New Roman" w:hAnsi="Times New Roman"/>
          <w:szCs w:val="24"/>
        </w:rPr>
        <w:t>login information to complete their survey online</w:t>
      </w:r>
      <w:r w:rsidR="00CF155D" w:rsidRPr="00A2457E">
        <w:rPr>
          <w:rFonts w:ascii="Times New Roman" w:hAnsi="Times New Roman"/>
          <w:szCs w:val="24"/>
        </w:rPr>
        <w:t>.</w:t>
      </w:r>
      <w:r w:rsidR="00C43261" w:rsidRPr="00A2457E">
        <w:rPr>
          <w:rFonts w:ascii="Times New Roman" w:hAnsi="Times New Roman"/>
          <w:szCs w:val="24"/>
        </w:rPr>
        <w:t xml:space="preserve"> Around the same time, teachers for whom an email address </w:t>
      </w:r>
      <w:r w:rsidR="00471239">
        <w:rPr>
          <w:rFonts w:ascii="Times New Roman" w:hAnsi="Times New Roman"/>
          <w:szCs w:val="24"/>
        </w:rPr>
        <w:t>was</w:t>
      </w:r>
      <w:r w:rsidR="00C43261" w:rsidRPr="00A2457E">
        <w:rPr>
          <w:rFonts w:ascii="Times New Roman" w:hAnsi="Times New Roman"/>
          <w:szCs w:val="24"/>
        </w:rPr>
        <w:t xml:space="preserve"> available </w:t>
      </w:r>
      <w:r w:rsidR="00471239">
        <w:rPr>
          <w:rFonts w:ascii="Times New Roman" w:hAnsi="Times New Roman"/>
          <w:szCs w:val="24"/>
        </w:rPr>
        <w:t xml:space="preserve">were </w:t>
      </w:r>
      <w:r w:rsidR="00C43261" w:rsidRPr="00A2457E">
        <w:rPr>
          <w:rFonts w:ascii="Times New Roman" w:hAnsi="Times New Roman"/>
          <w:szCs w:val="24"/>
        </w:rPr>
        <w:t>also sent an email including the hyperlink and User ID to complete their teacher questionnaire online.</w:t>
      </w:r>
      <w:r w:rsidRPr="00A2457E">
        <w:rPr>
          <w:rFonts w:ascii="Times New Roman" w:hAnsi="Times New Roman"/>
          <w:szCs w:val="24"/>
        </w:rPr>
        <w:t xml:space="preserve"> </w:t>
      </w:r>
      <w:r w:rsidR="008307E5" w:rsidRPr="00A2457E">
        <w:rPr>
          <w:rFonts w:ascii="Times New Roman" w:hAnsi="Times New Roman"/>
          <w:szCs w:val="24"/>
        </w:rPr>
        <w:t>If</w:t>
      </w:r>
      <w:r w:rsidRPr="00A2457E">
        <w:rPr>
          <w:rFonts w:ascii="Times New Roman" w:hAnsi="Times New Roman"/>
          <w:szCs w:val="24"/>
        </w:rPr>
        <w:t xml:space="preserve"> the school </w:t>
      </w:r>
      <w:r w:rsidR="00471239">
        <w:rPr>
          <w:rFonts w:ascii="Times New Roman" w:hAnsi="Times New Roman"/>
          <w:szCs w:val="24"/>
        </w:rPr>
        <w:t xml:space="preserve">had </w:t>
      </w:r>
      <w:r w:rsidRPr="00A2457E">
        <w:rPr>
          <w:rFonts w:ascii="Times New Roman" w:hAnsi="Times New Roman"/>
          <w:szCs w:val="24"/>
        </w:rPr>
        <w:t xml:space="preserve">a survey coordinator established, the individually-sealed teacher packages </w:t>
      </w:r>
      <w:r w:rsidR="00471239">
        <w:rPr>
          <w:rFonts w:ascii="Times New Roman" w:hAnsi="Times New Roman"/>
          <w:szCs w:val="24"/>
        </w:rPr>
        <w:t>were</w:t>
      </w:r>
      <w:r w:rsidRPr="00A2457E">
        <w:rPr>
          <w:rFonts w:ascii="Times New Roman" w:hAnsi="Times New Roman"/>
          <w:szCs w:val="24"/>
        </w:rPr>
        <w:t xml:space="preserve"> sent to the survey coordinator, at the school address, with a cover letter. </w:t>
      </w:r>
      <w:r w:rsidR="001631F9" w:rsidRPr="00A2457E">
        <w:rPr>
          <w:rFonts w:ascii="Times New Roman" w:hAnsi="Times New Roman"/>
          <w:szCs w:val="24"/>
        </w:rPr>
        <w:t xml:space="preserve">If the school </w:t>
      </w:r>
      <w:r w:rsidR="00471239">
        <w:rPr>
          <w:rFonts w:ascii="Times New Roman" w:hAnsi="Times New Roman"/>
          <w:szCs w:val="24"/>
        </w:rPr>
        <w:t xml:space="preserve">did </w:t>
      </w:r>
      <w:r w:rsidR="001631F9" w:rsidRPr="00A2457E">
        <w:rPr>
          <w:rFonts w:ascii="Times New Roman" w:hAnsi="Times New Roman"/>
          <w:szCs w:val="24"/>
        </w:rPr>
        <w:t xml:space="preserve">not have a survey coordinator established, the </w:t>
      </w:r>
      <w:r w:rsidRPr="00A2457E">
        <w:rPr>
          <w:rFonts w:ascii="Times New Roman" w:hAnsi="Times New Roman"/>
          <w:szCs w:val="24"/>
        </w:rPr>
        <w:t xml:space="preserve">teacher packages </w:t>
      </w:r>
      <w:r w:rsidR="00471239">
        <w:rPr>
          <w:rFonts w:ascii="Times New Roman" w:hAnsi="Times New Roman"/>
          <w:szCs w:val="24"/>
        </w:rPr>
        <w:t>were</w:t>
      </w:r>
      <w:r w:rsidR="001631F9" w:rsidRPr="00A2457E">
        <w:rPr>
          <w:rFonts w:ascii="Times New Roman" w:hAnsi="Times New Roman"/>
          <w:szCs w:val="24"/>
        </w:rPr>
        <w:t xml:space="preserve"> </w:t>
      </w:r>
      <w:r w:rsidRPr="00A2457E">
        <w:rPr>
          <w:rFonts w:ascii="Times New Roman" w:hAnsi="Times New Roman"/>
          <w:szCs w:val="24"/>
        </w:rPr>
        <w:t xml:space="preserve">mailed individually </w:t>
      </w:r>
      <w:r w:rsidR="001631F9" w:rsidRPr="00A2457E">
        <w:rPr>
          <w:rFonts w:ascii="Times New Roman" w:hAnsi="Times New Roman"/>
          <w:szCs w:val="24"/>
        </w:rPr>
        <w:t>to the sampled teacher</w:t>
      </w:r>
      <w:r w:rsidRPr="00A2457E">
        <w:rPr>
          <w:rFonts w:ascii="Times New Roman" w:hAnsi="Times New Roman"/>
          <w:szCs w:val="24"/>
        </w:rPr>
        <w:t>s</w:t>
      </w:r>
      <w:r w:rsidR="008307E5" w:rsidRPr="00A2457E">
        <w:rPr>
          <w:rFonts w:ascii="Times New Roman" w:hAnsi="Times New Roman"/>
          <w:szCs w:val="24"/>
        </w:rPr>
        <w:t xml:space="preserve"> at the school address in most cases. Exceptions </w:t>
      </w:r>
      <w:r w:rsidR="00471239">
        <w:rPr>
          <w:rFonts w:ascii="Times New Roman" w:hAnsi="Times New Roman"/>
          <w:szCs w:val="24"/>
        </w:rPr>
        <w:t>were</w:t>
      </w:r>
      <w:r w:rsidR="008307E5" w:rsidRPr="00A2457E">
        <w:rPr>
          <w:rFonts w:ascii="Times New Roman" w:hAnsi="Times New Roman"/>
          <w:szCs w:val="24"/>
        </w:rPr>
        <w:t xml:space="preserve"> made to this for</w:t>
      </w:r>
      <w:r w:rsidR="002D744F" w:rsidRPr="00A2457E">
        <w:rPr>
          <w:rFonts w:ascii="Times New Roman" w:hAnsi="Times New Roman"/>
          <w:szCs w:val="24"/>
        </w:rPr>
        <w:t xml:space="preserve"> late sampled teachers whose materials </w:t>
      </w:r>
      <w:r w:rsidR="00471239">
        <w:rPr>
          <w:rFonts w:ascii="Times New Roman" w:hAnsi="Times New Roman"/>
          <w:szCs w:val="24"/>
        </w:rPr>
        <w:t>were</w:t>
      </w:r>
      <w:r w:rsidR="002D744F" w:rsidRPr="00A2457E">
        <w:rPr>
          <w:rFonts w:ascii="Times New Roman" w:hAnsi="Times New Roman"/>
          <w:szCs w:val="24"/>
        </w:rPr>
        <w:t xml:space="preserve"> mailed directly to their school’s principal to distribute.</w:t>
      </w:r>
    </w:p>
    <w:p w14:paraId="3C8120F8" w14:textId="08E44569" w:rsidR="002E4370" w:rsidRPr="00A2457E" w:rsidRDefault="002E4370" w:rsidP="007D4EB8">
      <w:pPr>
        <w:tabs>
          <w:tab w:val="left" w:pos="720"/>
        </w:tabs>
        <w:spacing w:after="120" w:line="240" w:lineRule="auto"/>
        <w:rPr>
          <w:rFonts w:ascii="Times New Roman" w:hAnsi="Times New Roman"/>
          <w:szCs w:val="24"/>
        </w:rPr>
      </w:pPr>
      <w:r w:rsidRPr="00A2457E">
        <w:rPr>
          <w:rFonts w:ascii="Times New Roman" w:hAnsi="Times New Roman"/>
          <w:szCs w:val="24"/>
        </w:rPr>
        <w:t>If the school’s teachers were sampled from a vendor or clerical list (</w:t>
      </w:r>
      <w:r w:rsidR="00451E5C" w:rsidRPr="00A2457E">
        <w:rPr>
          <w:rFonts w:ascii="Times New Roman" w:hAnsi="Times New Roman"/>
          <w:szCs w:val="24"/>
        </w:rPr>
        <w:t xml:space="preserve">where </w:t>
      </w:r>
      <w:r w:rsidRPr="00A2457E">
        <w:rPr>
          <w:rFonts w:ascii="Times New Roman" w:hAnsi="Times New Roman"/>
          <w:szCs w:val="24"/>
        </w:rPr>
        <w:t xml:space="preserve">the school did not complete or verify a TLF), materials for the sampled teachers to complete their teacher questionnaires </w:t>
      </w:r>
      <w:r w:rsidR="00471239">
        <w:rPr>
          <w:rFonts w:ascii="Times New Roman" w:hAnsi="Times New Roman"/>
          <w:szCs w:val="24"/>
        </w:rPr>
        <w:t>were</w:t>
      </w:r>
      <w:r w:rsidRPr="00A2457E">
        <w:rPr>
          <w:rFonts w:ascii="Times New Roman" w:hAnsi="Times New Roman"/>
          <w:szCs w:val="24"/>
        </w:rPr>
        <w:t xml:space="preserve"> mailed directly to the teachers at their school address regardless of whether a surv</w:t>
      </w:r>
      <w:r w:rsidR="008307E5" w:rsidRPr="00A2457E">
        <w:rPr>
          <w:rFonts w:ascii="Times New Roman" w:hAnsi="Times New Roman"/>
          <w:szCs w:val="24"/>
        </w:rPr>
        <w:t xml:space="preserve">ey coordinator was established. </w:t>
      </w:r>
      <w:r w:rsidR="002D744F" w:rsidRPr="00A2457E">
        <w:rPr>
          <w:rFonts w:ascii="Times New Roman" w:hAnsi="Times New Roman"/>
          <w:szCs w:val="24"/>
        </w:rPr>
        <w:t xml:space="preserve">Exceptions </w:t>
      </w:r>
      <w:r w:rsidR="000E283A">
        <w:rPr>
          <w:rFonts w:ascii="Times New Roman" w:hAnsi="Times New Roman"/>
          <w:szCs w:val="24"/>
        </w:rPr>
        <w:t xml:space="preserve">were </w:t>
      </w:r>
      <w:r w:rsidR="000E283A" w:rsidRPr="00A2457E">
        <w:rPr>
          <w:rFonts w:ascii="Times New Roman" w:hAnsi="Times New Roman"/>
          <w:szCs w:val="24"/>
        </w:rPr>
        <w:t>made</w:t>
      </w:r>
      <w:r w:rsidR="002D744F" w:rsidRPr="00A2457E">
        <w:rPr>
          <w:rFonts w:ascii="Times New Roman" w:hAnsi="Times New Roman"/>
          <w:szCs w:val="24"/>
        </w:rPr>
        <w:t xml:space="preserve"> to this for late sampled teachers whose materials </w:t>
      </w:r>
      <w:r w:rsidR="00471239">
        <w:rPr>
          <w:rFonts w:ascii="Times New Roman" w:hAnsi="Times New Roman"/>
          <w:szCs w:val="24"/>
        </w:rPr>
        <w:t>were</w:t>
      </w:r>
      <w:r w:rsidR="002D744F" w:rsidRPr="00A2457E">
        <w:rPr>
          <w:rFonts w:ascii="Times New Roman" w:hAnsi="Times New Roman"/>
          <w:szCs w:val="24"/>
        </w:rPr>
        <w:t xml:space="preserve"> mailed directly to their school’s survey coordinator (when there is one established) or </w:t>
      </w:r>
      <w:r w:rsidR="00451E5C" w:rsidRPr="00A2457E">
        <w:rPr>
          <w:rFonts w:ascii="Times New Roman" w:hAnsi="Times New Roman"/>
          <w:szCs w:val="24"/>
        </w:rPr>
        <w:t xml:space="preserve">the </w:t>
      </w:r>
      <w:r w:rsidR="002D744F" w:rsidRPr="00A2457E">
        <w:rPr>
          <w:rFonts w:ascii="Times New Roman" w:hAnsi="Times New Roman"/>
          <w:szCs w:val="24"/>
        </w:rPr>
        <w:t>principal to distribute.</w:t>
      </w:r>
    </w:p>
    <w:p w14:paraId="1B871431" w14:textId="78B29083" w:rsidR="002E4370" w:rsidRPr="00A2457E" w:rsidRDefault="002E4370" w:rsidP="007D4EB8">
      <w:pPr>
        <w:tabs>
          <w:tab w:val="left" w:pos="720"/>
        </w:tabs>
        <w:spacing w:after="120" w:line="240" w:lineRule="auto"/>
        <w:rPr>
          <w:rFonts w:ascii="Times New Roman" w:hAnsi="Times New Roman"/>
          <w:szCs w:val="24"/>
        </w:rPr>
      </w:pPr>
      <w:r w:rsidRPr="00A2457E">
        <w:rPr>
          <w:rFonts w:ascii="Times New Roman" w:hAnsi="Times New Roman"/>
          <w:szCs w:val="24"/>
        </w:rPr>
        <w:t xml:space="preserve">Teachers with a valid email address </w:t>
      </w:r>
      <w:r w:rsidR="00471239">
        <w:rPr>
          <w:rFonts w:ascii="Times New Roman" w:hAnsi="Times New Roman"/>
          <w:szCs w:val="24"/>
        </w:rPr>
        <w:t xml:space="preserve">were </w:t>
      </w:r>
      <w:r w:rsidRPr="00A2457E">
        <w:rPr>
          <w:rFonts w:ascii="Times New Roman" w:hAnsi="Times New Roman"/>
          <w:szCs w:val="24"/>
        </w:rPr>
        <w:t>sent an email containing the hyperlink to the online Teacher Questionnaire and their User ID a few days after their initial mailout.</w:t>
      </w:r>
    </w:p>
    <w:p w14:paraId="7EABF610" w14:textId="1E3701F0" w:rsidR="002E4370" w:rsidRPr="00A2457E" w:rsidRDefault="001A4F34" w:rsidP="007D4EB8">
      <w:pPr>
        <w:tabs>
          <w:tab w:val="left" w:pos="720"/>
        </w:tabs>
        <w:spacing w:after="120" w:line="240" w:lineRule="auto"/>
        <w:rPr>
          <w:rFonts w:ascii="Times New Roman" w:hAnsi="Times New Roman"/>
          <w:szCs w:val="24"/>
        </w:rPr>
      </w:pPr>
      <w:r w:rsidRPr="00A2457E">
        <w:rPr>
          <w:rFonts w:ascii="Times New Roman" w:hAnsi="Times New Roman"/>
          <w:szCs w:val="24"/>
        </w:rPr>
        <w:t xml:space="preserve">Each sampled teacher </w:t>
      </w:r>
      <w:r w:rsidR="00471239">
        <w:rPr>
          <w:rFonts w:ascii="Times New Roman" w:hAnsi="Times New Roman"/>
          <w:szCs w:val="24"/>
        </w:rPr>
        <w:t>could have received</w:t>
      </w:r>
      <w:r w:rsidRPr="00A2457E">
        <w:rPr>
          <w:rFonts w:ascii="Times New Roman" w:hAnsi="Times New Roman"/>
          <w:szCs w:val="24"/>
        </w:rPr>
        <w:t xml:space="preserve"> as many as three reminder packages to complete their outstanding Teacher Questionnaire. Each teacher mailing </w:t>
      </w:r>
      <w:r w:rsidR="00471239">
        <w:rPr>
          <w:rFonts w:ascii="Times New Roman" w:hAnsi="Times New Roman"/>
          <w:szCs w:val="24"/>
        </w:rPr>
        <w:t>was</w:t>
      </w:r>
      <w:r w:rsidRPr="00A2457E">
        <w:rPr>
          <w:rFonts w:ascii="Times New Roman" w:hAnsi="Times New Roman"/>
          <w:szCs w:val="24"/>
        </w:rPr>
        <w:t xml:space="preserve"> accompanied by an email to the teacher a few days after </w:t>
      </w:r>
      <w:r w:rsidR="002E4370" w:rsidRPr="00A2457E">
        <w:rPr>
          <w:rFonts w:ascii="Times New Roman" w:hAnsi="Times New Roman"/>
          <w:szCs w:val="24"/>
        </w:rPr>
        <w:t xml:space="preserve">the </w:t>
      </w:r>
      <w:r w:rsidRPr="00A2457E">
        <w:rPr>
          <w:rFonts w:ascii="Times New Roman" w:hAnsi="Times New Roman"/>
          <w:szCs w:val="24"/>
        </w:rPr>
        <w:t xml:space="preserve">mailing. The </w:t>
      </w:r>
      <w:r w:rsidR="002E4370" w:rsidRPr="00A2457E">
        <w:rPr>
          <w:rFonts w:ascii="Times New Roman" w:hAnsi="Times New Roman"/>
          <w:szCs w:val="24"/>
        </w:rPr>
        <w:t>first reminder letter contain</w:t>
      </w:r>
      <w:r w:rsidR="00471239">
        <w:rPr>
          <w:rFonts w:ascii="Times New Roman" w:hAnsi="Times New Roman"/>
          <w:szCs w:val="24"/>
        </w:rPr>
        <w:t>ed</w:t>
      </w:r>
      <w:r w:rsidRPr="00A2457E">
        <w:rPr>
          <w:rFonts w:ascii="Times New Roman" w:hAnsi="Times New Roman"/>
          <w:szCs w:val="24"/>
        </w:rPr>
        <w:t xml:space="preserve"> the login information for the T</w:t>
      </w:r>
      <w:r w:rsidR="002E4370" w:rsidRPr="00A2457E">
        <w:rPr>
          <w:rFonts w:ascii="Times New Roman" w:hAnsi="Times New Roman"/>
          <w:szCs w:val="24"/>
        </w:rPr>
        <w:t>eacher Questionnaire</w:t>
      </w:r>
      <w:r w:rsidRPr="00A2457E">
        <w:rPr>
          <w:rFonts w:ascii="Times New Roman" w:hAnsi="Times New Roman"/>
          <w:szCs w:val="24"/>
        </w:rPr>
        <w:t xml:space="preserve"> (URL and User ID)</w:t>
      </w:r>
      <w:r w:rsidR="002E4370" w:rsidRPr="00A2457E">
        <w:rPr>
          <w:rFonts w:ascii="Times New Roman" w:hAnsi="Times New Roman"/>
          <w:szCs w:val="24"/>
        </w:rPr>
        <w:t xml:space="preserve"> and </w:t>
      </w:r>
      <w:r w:rsidR="00471239">
        <w:rPr>
          <w:rFonts w:ascii="Times New Roman" w:hAnsi="Times New Roman"/>
          <w:szCs w:val="24"/>
        </w:rPr>
        <w:t>was</w:t>
      </w:r>
      <w:r w:rsidR="002E4370" w:rsidRPr="00A2457E">
        <w:rPr>
          <w:rFonts w:ascii="Times New Roman" w:hAnsi="Times New Roman"/>
          <w:szCs w:val="24"/>
        </w:rPr>
        <w:t xml:space="preserve"> sent to the survey coordinator (if applicable)</w:t>
      </w:r>
      <w:r w:rsidRPr="00A2457E">
        <w:rPr>
          <w:rFonts w:ascii="Times New Roman" w:hAnsi="Times New Roman"/>
          <w:szCs w:val="24"/>
        </w:rPr>
        <w:t xml:space="preserve">. </w:t>
      </w:r>
      <w:r w:rsidR="002E4370" w:rsidRPr="00A2457E">
        <w:rPr>
          <w:rFonts w:ascii="Times New Roman" w:hAnsi="Times New Roman"/>
          <w:szCs w:val="24"/>
        </w:rPr>
        <w:t>The second and third reminder packages include</w:t>
      </w:r>
      <w:r w:rsidR="00471239">
        <w:rPr>
          <w:rFonts w:ascii="Times New Roman" w:hAnsi="Times New Roman"/>
          <w:szCs w:val="24"/>
        </w:rPr>
        <w:t>d</w:t>
      </w:r>
      <w:r w:rsidR="002E4370" w:rsidRPr="00A2457E">
        <w:rPr>
          <w:rFonts w:ascii="Times New Roman" w:hAnsi="Times New Roman"/>
          <w:szCs w:val="24"/>
        </w:rPr>
        <w:t xml:space="preserve"> a</w:t>
      </w:r>
      <w:r w:rsidRPr="00A2457E">
        <w:rPr>
          <w:rFonts w:ascii="Times New Roman" w:hAnsi="Times New Roman"/>
          <w:szCs w:val="24"/>
        </w:rPr>
        <w:t xml:space="preserve"> </w:t>
      </w:r>
      <w:r w:rsidR="002E4370" w:rsidRPr="00A2457E">
        <w:rPr>
          <w:rFonts w:ascii="Times New Roman" w:hAnsi="Times New Roman"/>
          <w:szCs w:val="24"/>
        </w:rPr>
        <w:t xml:space="preserve">letter and a </w:t>
      </w:r>
      <w:r w:rsidRPr="00A2457E">
        <w:rPr>
          <w:rFonts w:ascii="Times New Roman" w:hAnsi="Times New Roman"/>
          <w:szCs w:val="24"/>
        </w:rPr>
        <w:t xml:space="preserve">paper questionnaire </w:t>
      </w:r>
      <w:r w:rsidR="002E4370" w:rsidRPr="00A2457E">
        <w:rPr>
          <w:rFonts w:ascii="Times New Roman" w:hAnsi="Times New Roman"/>
          <w:szCs w:val="24"/>
        </w:rPr>
        <w:t xml:space="preserve">and </w:t>
      </w:r>
      <w:r w:rsidR="00471239">
        <w:rPr>
          <w:rFonts w:ascii="Times New Roman" w:hAnsi="Times New Roman"/>
          <w:szCs w:val="24"/>
        </w:rPr>
        <w:t>were</w:t>
      </w:r>
      <w:r w:rsidR="002E4370" w:rsidRPr="00A2457E">
        <w:rPr>
          <w:rFonts w:ascii="Times New Roman" w:hAnsi="Times New Roman"/>
          <w:szCs w:val="24"/>
        </w:rPr>
        <w:t xml:space="preserve"> addressed directly to the sampled teachers at the school address, regardless of whether the school ha</w:t>
      </w:r>
      <w:r w:rsidR="00471239">
        <w:rPr>
          <w:rFonts w:ascii="Times New Roman" w:hAnsi="Times New Roman"/>
          <w:szCs w:val="24"/>
        </w:rPr>
        <w:t>d</w:t>
      </w:r>
      <w:r w:rsidR="002E4370" w:rsidRPr="00A2457E">
        <w:rPr>
          <w:rFonts w:ascii="Times New Roman" w:hAnsi="Times New Roman"/>
          <w:szCs w:val="24"/>
        </w:rPr>
        <w:t xml:space="preserve"> a survey coordinator established.</w:t>
      </w:r>
    </w:p>
    <w:p w14:paraId="0D4CFF67" w14:textId="4ACBA19C" w:rsidR="007215B4" w:rsidRPr="00A2457E" w:rsidRDefault="002E4370" w:rsidP="007D4EB8">
      <w:pPr>
        <w:widowControl w:val="0"/>
        <w:tabs>
          <w:tab w:val="left" w:pos="720"/>
        </w:tabs>
        <w:spacing w:after="120" w:line="240" w:lineRule="auto"/>
        <w:rPr>
          <w:rFonts w:ascii="Times New Roman" w:hAnsi="Times New Roman"/>
          <w:szCs w:val="24"/>
        </w:rPr>
      </w:pPr>
      <w:r w:rsidRPr="00A2457E">
        <w:rPr>
          <w:rFonts w:ascii="Times New Roman" w:hAnsi="Times New Roman"/>
          <w:szCs w:val="24"/>
        </w:rPr>
        <w:t xml:space="preserve">Beginning in late January </w:t>
      </w:r>
      <w:r w:rsidR="00C175DA" w:rsidRPr="00A2457E">
        <w:rPr>
          <w:rFonts w:ascii="Times New Roman" w:hAnsi="Times New Roman"/>
          <w:szCs w:val="24"/>
        </w:rPr>
        <w:t>2018</w:t>
      </w:r>
      <w:r w:rsidRPr="00A2457E">
        <w:rPr>
          <w:rFonts w:ascii="Times New Roman" w:hAnsi="Times New Roman"/>
          <w:szCs w:val="24"/>
        </w:rPr>
        <w:t>, telephone interviewers contact</w:t>
      </w:r>
      <w:r w:rsidR="00471239">
        <w:rPr>
          <w:rFonts w:ascii="Times New Roman" w:hAnsi="Times New Roman"/>
          <w:szCs w:val="24"/>
        </w:rPr>
        <w:t>ed</w:t>
      </w:r>
      <w:r w:rsidRPr="00A2457E">
        <w:rPr>
          <w:rFonts w:ascii="Times New Roman" w:hAnsi="Times New Roman"/>
          <w:szCs w:val="24"/>
        </w:rPr>
        <w:t xml:space="preserve"> survey coordinators to ask them to remind their schools’ sampled teachers to complete their questionnaires. </w:t>
      </w:r>
      <w:r w:rsidR="009A0223" w:rsidRPr="00A2457E">
        <w:rPr>
          <w:rFonts w:ascii="Times New Roman" w:hAnsi="Times New Roman"/>
          <w:szCs w:val="24"/>
        </w:rPr>
        <w:t>Telephone interviewers and/or Field Representatives contact</w:t>
      </w:r>
      <w:r w:rsidR="00471239">
        <w:rPr>
          <w:rFonts w:ascii="Times New Roman" w:hAnsi="Times New Roman"/>
          <w:szCs w:val="24"/>
        </w:rPr>
        <w:t>ed</w:t>
      </w:r>
      <w:r w:rsidR="009A0223" w:rsidRPr="00A2457E">
        <w:rPr>
          <w:rFonts w:ascii="Times New Roman" w:hAnsi="Times New Roman"/>
          <w:szCs w:val="24"/>
        </w:rPr>
        <w:t xml:space="preserve"> nonresponding teachers by phone or </w:t>
      </w:r>
      <w:r w:rsidR="00451E5C" w:rsidRPr="00A2457E">
        <w:rPr>
          <w:rFonts w:ascii="Times New Roman" w:hAnsi="Times New Roman"/>
          <w:szCs w:val="24"/>
        </w:rPr>
        <w:t xml:space="preserve">during an </w:t>
      </w:r>
      <w:r w:rsidR="009A0223" w:rsidRPr="00A2457E">
        <w:rPr>
          <w:rFonts w:ascii="Times New Roman" w:hAnsi="Times New Roman"/>
          <w:szCs w:val="24"/>
        </w:rPr>
        <w:t>in-person visit from late February through May 2018.</w:t>
      </w:r>
    </w:p>
    <w:p w14:paraId="3365CC25" w14:textId="13D53329" w:rsidR="00C8143E" w:rsidRPr="00A2457E" w:rsidRDefault="00F153D0" w:rsidP="007D4EB8">
      <w:pPr>
        <w:pStyle w:val="Heading1"/>
        <w:tabs>
          <w:tab w:val="clear" w:pos="1152"/>
          <w:tab w:val="left" w:pos="1170"/>
        </w:tabs>
        <w:spacing w:after="120" w:line="240" w:lineRule="auto"/>
        <w:ind w:left="1170" w:hanging="1170"/>
        <w:jc w:val="left"/>
        <w:rPr>
          <w:rFonts w:ascii="Times New Roman" w:hAnsi="Times New Roman"/>
          <w:color w:val="auto"/>
          <w:sz w:val="24"/>
          <w:szCs w:val="24"/>
        </w:rPr>
      </w:pPr>
      <w:bookmarkStart w:id="63" w:name="_Toc391625752"/>
      <w:bookmarkStart w:id="64" w:name="_Toc392706710"/>
      <w:bookmarkStart w:id="65" w:name="_Toc420609072"/>
      <w:bookmarkStart w:id="66" w:name="_Toc455154254"/>
      <w:bookmarkStart w:id="67" w:name="_Toc455496450"/>
      <w:bookmarkStart w:id="68" w:name="_Toc468187461"/>
      <w:bookmarkStart w:id="69" w:name="_Toc518587631"/>
      <w:r w:rsidRPr="00A2457E">
        <w:rPr>
          <w:rFonts w:ascii="Times New Roman" w:hAnsi="Times New Roman"/>
          <w:color w:val="auto"/>
          <w:sz w:val="24"/>
          <w:szCs w:val="24"/>
        </w:rPr>
        <w:t>B.3</w:t>
      </w:r>
      <w:r w:rsidRPr="00A2457E">
        <w:rPr>
          <w:rFonts w:ascii="Times New Roman" w:hAnsi="Times New Roman"/>
          <w:color w:val="auto"/>
          <w:sz w:val="24"/>
          <w:szCs w:val="24"/>
        </w:rPr>
        <w:tab/>
        <w:t>Methods to Secure Cooperation, Maximize Response Rates, and Deal with Nonresponse</w:t>
      </w:r>
      <w:bookmarkEnd w:id="63"/>
      <w:bookmarkEnd w:id="64"/>
      <w:bookmarkEnd w:id="65"/>
      <w:bookmarkEnd w:id="66"/>
      <w:bookmarkEnd w:id="67"/>
      <w:bookmarkEnd w:id="68"/>
      <w:bookmarkEnd w:id="69"/>
    </w:p>
    <w:p w14:paraId="2B1C8005" w14:textId="7DBE0014" w:rsidR="007215B4" w:rsidRPr="00A2457E" w:rsidRDefault="00F153D0"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This section describes </w:t>
      </w:r>
      <w:r w:rsidR="00404527" w:rsidRPr="00A2457E">
        <w:rPr>
          <w:rFonts w:ascii="Times New Roman" w:hAnsi="Times New Roman"/>
          <w:szCs w:val="24"/>
        </w:rPr>
        <w:t>the methods that NCES will use to secure cooperation, maximize response</w:t>
      </w:r>
      <w:r w:rsidR="00451E5C" w:rsidRPr="00A2457E">
        <w:rPr>
          <w:rFonts w:ascii="Times New Roman" w:hAnsi="Times New Roman"/>
          <w:szCs w:val="24"/>
        </w:rPr>
        <w:t xml:space="preserve"> rates</w:t>
      </w:r>
      <w:r w:rsidR="00404527" w:rsidRPr="00A2457E">
        <w:rPr>
          <w:rFonts w:ascii="Times New Roman" w:hAnsi="Times New Roman"/>
          <w:szCs w:val="24"/>
        </w:rPr>
        <w:t xml:space="preserve">, and deal with nonresponse for </w:t>
      </w:r>
      <w:r w:rsidR="00586EA4" w:rsidRPr="00A2457E">
        <w:rPr>
          <w:rFonts w:ascii="Times New Roman" w:hAnsi="Times New Roman"/>
          <w:szCs w:val="24"/>
        </w:rPr>
        <w:t xml:space="preserve">NTPS </w:t>
      </w:r>
      <w:r w:rsidR="00A22ED6">
        <w:rPr>
          <w:rFonts w:ascii="Times New Roman" w:hAnsi="Times New Roman"/>
          <w:szCs w:val="24"/>
        </w:rPr>
        <w:t>2019-20</w:t>
      </w:r>
      <w:r w:rsidR="00404527" w:rsidRPr="00A2457E">
        <w:rPr>
          <w:rFonts w:ascii="Times New Roman" w:hAnsi="Times New Roman"/>
          <w:szCs w:val="24"/>
        </w:rPr>
        <w:t xml:space="preserve">. </w:t>
      </w:r>
      <w:r w:rsidR="00D76A03" w:rsidRPr="00A2457E">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A2457E">
        <w:rPr>
          <w:rFonts w:ascii="Times New Roman" w:hAnsi="Times New Roman"/>
          <w:szCs w:val="24"/>
        </w:rPr>
        <w:t xml:space="preserve">used </w:t>
      </w:r>
      <w:r w:rsidR="00471239">
        <w:rPr>
          <w:rFonts w:ascii="Times New Roman" w:hAnsi="Times New Roman"/>
          <w:szCs w:val="24"/>
        </w:rPr>
        <w:t xml:space="preserve">in NTPS 2017-18 </w:t>
      </w:r>
      <w:r w:rsidR="001631F9" w:rsidRPr="00A2457E">
        <w:rPr>
          <w:rFonts w:ascii="Times New Roman" w:hAnsi="Times New Roman"/>
          <w:szCs w:val="24"/>
        </w:rPr>
        <w:t>to m</w:t>
      </w:r>
      <w:r w:rsidR="009510D0" w:rsidRPr="00A2457E">
        <w:rPr>
          <w:rFonts w:ascii="Times New Roman" w:hAnsi="Times New Roman"/>
          <w:szCs w:val="24"/>
        </w:rPr>
        <w:t>in</w:t>
      </w:r>
      <w:r w:rsidR="001631F9" w:rsidRPr="00A2457E">
        <w:rPr>
          <w:rFonts w:ascii="Times New Roman" w:hAnsi="Times New Roman"/>
          <w:szCs w:val="24"/>
        </w:rPr>
        <w:t>imize nonresponse</w:t>
      </w:r>
      <w:r w:rsidR="00471239">
        <w:rPr>
          <w:rFonts w:ascii="Times New Roman" w:hAnsi="Times New Roman"/>
          <w:szCs w:val="24"/>
        </w:rPr>
        <w:t>, including those added as change requests to try to boost response rates</w:t>
      </w:r>
      <w:r w:rsidR="001631F9" w:rsidRPr="00A2457E">
        <w:rPr>
          <w:rFonts w:ascii="Times New Roman" w:hAnsi="Times New Roman"/>
          <w:szCs w:val="24"/>
        </w:rPr>
        <w:t xml:space="preserve">. </w:t>
      </w:r>
      <w:r w:rsidR="00471239">
        <w:rPr>
          <w:rFonts w:ascii="Times New Roman" w:hAnsi="Times New Roman"/>
          <w:szCs w:val="24"/>
        </w:rPr>
        <w:t xml:space="preserve">The final methods selected for NTPS 2019-20 will be specified in the </w:t>
      </w:r>
      <w:r w:rsidR="00D71EE4">
        <w:rPr>
          <w:rFonts w:ascii="Times New Roman" w:hAnsi="Times New Roman"/>
          <w:szCs w:val="24"/>
        </w:rPr>
        <w:t xml:space="preserve">NTPS 2019-20 </w:t>
      </w:r>
      <w:r w:rsidR="006F14E8">
        <w:rPr>
          <w:rFonts w:ascii="Times New Roman" w:hAnsi="Times New Roman"/>
          <w:szCs w:val="24"/>
        </w:rPr>
        <w:t>Main Study</w:t>
      </w:r>
      <w:r w:rsidR="00471239">
        <w:rPr>
          <w:rFonts w:ascii="Times New Roman" w:hAnsi="Times New Roman"/>
          <w:szCs w:val="24"/>
        </w:rPr>
        <w:t xml:space="preserve"> </w:t>
      </w:r>
      <w:r w:rsidR="00D71EE4">
        <w:rPr>
          <w:rFonts w:ascii="Times New Roman" w:hAnsi="Times New Roman"/>
          <w:szCs w:val="24"/>
        </w:rPr>
        <w:t>submission</w:t>
      </w:r>
      <w:r w:rsidR="00471239">
        <w:rPr>
          <w:rFonts w:ascii="Times New Roman" w:hAnsi="Times New Roman"/>
          <w:szCs w:val="24"/>
        </w:rPr>
        <w:t xml:space="preserve"> in </w:t>
      </w:r>
      <w:r w:rsidR="00133768">
        <w:rPr>
          <w:rFonts w:ascii="Times New Roman" w:hAnsi="Times New Roman"/>
          <w:szCs w:val="24"/>
        </w:rPr>
        <w:t xml:space="preserve">December </w:t>
      </w:r>
      <w:r w:rsidR="00471239">
        <w:rPr>
          <w:rFonts w:ascii="Times New Roman" w:hAnsi="Times New Roman"/>
          <w:szCs w:val="24"/>
        </w:rPr>
        <w:t>2018.</w:t>
      </w:r>
    </w:p>
    <w:p w14:paraId="7E92D208" w14:textId="5DEEBED9" w:rsidR="00D71120" w:rsidRPr="00A2457E" w:rsidRDefault="00D71120" w:rsidP="007D4EB8">
      <w:pPr>
        <w:pStyle w:val="Heading2"/>
        <w:spacing w:after="120" w:line="240" w:lineRule="auto"/>
        <w:rPr>
          <w:rFonts w:ascii="Times New Roman" w:hAnsi="Times New Roman"/>
          <w:color w:val="auto"/>
          <w:sz w:val="24"/>
          <w:szCs w:val="24"/>
        </w:rPr>
      </w:pPr>
      <w:bookmarkStart w:id="70" w:name="_Toc455154255"/>
      <w:bookmarkStart w:id="71" w:name="_Toc455496451"/>
      <w:bookmarkStart w:id="72" w:name="_Toc468187462"/>
      <w:bookmarkStart w:id="73" w:name="_Toc518587632"/>
      <w:r w:rsidRPr="00A2457E">
        <w:rPr>
          <w:rFonts w:ascii="Times New Roman" w:hAnsi="Times New Roman"/>
          <w:color w:val="auto"/>
          <w:sz w:val="24"/>
          <w:szCs w:val="24"/>
        </w:rPr>
        <w:t>B.3.1</w:t>
      </w:r>
      <w:r w:rsidRPr="00A2457E">
        <w:rPr>
          <w:rFonts w:ascii="Times New Roman" w:hAnsi="Times New Roman"/>
          <w:color w:val="auto"/>
          <w:sz w:val="24"/>
          <w:szCs w:val="24"/>
        </w:rPr>
        <w:tab/>
        <w:t>Methods to Secure Cooperation</w:t>
      </w:r>
      <w:r w:rsidR="00586EA4" w:rsidRPr="00A2457E">
        <w:rPr>
          <w:rFonts w:ascii="Times New Roman" w:hAnsi="Times New Roman"/>
          <w:color w:val="auto"/>
          <w:sz w:val="24"/>
          <w:szCs w:val="24"/>
        </w:rPr>
        <w:t xml:space="preserve"> and Maximize Response Rates</w:t>
      </w:r>
      <w:bookmarkEnd w:id="70"/>
      <w:bookmarkEnd w:id="71"/>
      <w:bookmarkEnd w:id="72"/>
      <w:bookmarkEnd w:id="73"/>
    </w:p>
    <w:p w14:paraId="26CA85BF" w14:textId="5C331F51" w:rsidR="00586EA4" w:rsidRPr="00A2457E" w:rsidRDefault="00586EA4" w:rsidP="007D4EB8">
      <w:pPr>
        <w:pStyle w:val="L1-FlLSp12"/>
        <w:spacing w:after="120" w:line="240" w:lineRule="auto"/>
        <w:rPr>
          <w:rFonts w:ascii="Times New Roman" w:hAnsi="Times New Roman"/>
          <w:szCs w:val="24"/>
        </w:rPr>
      </w:pPr>
      <w:r w:rsidRPr="00A2457E">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14:paraId="4279B339" w14:textId="397B347D" w:rsidR="00586EA4" w:rsidRPr="00A2457E" w:rsidRDefault="00586EA4" w:rsidP="00D71EE4">
      <w:pPr>
        <w:pStyle w:val="ListParagraph"/>
        <w:numPr>
          <w:ilvl w:val="0"/>
          <w:numId w:val="8"/>
        </w:numPr>
        <w:spacing w:after="120" w:line="240" w:lineRule="auto"/>
        <w:ind w:left="540"/>
        <w:rPr>
          <w:rFonts w:ascii="Times New Roman" w:hAnsi="Times New Roman"/>
          <w:szCs w:val="24"/>
        </w:rPr>
      </w:pPr>
      <w:r w:rsidRPr="00A2457E">
        <w:rPr>
          <w:rFonts w:ascii="Times New Roman" w:hAnsi="Times New Roman"/>
          <w:b/>
          <w:i/>
          <w:iCs/>
          <w:szCs w:val="24"/>
        </w:rPr>
        <w:t>Visible support from top-level Federal, State, and local education officials</w:t>
      </w:r>
      <w:r w:rsidRPr="00A2457E">
        <w:rPr>
          <w:rFonts w:ascii="Times New Roman" w:hAnsi="Times New Roman"/>
          <w:b/>
          <w:szCs w:val="24"/>
        </w:rPr>
        <w:t xml:space="preserve">. </w:t>
      </w:r>
      <w:r w:rsidRPr="00A2457E">
        <w:rPr>
          <w:rFonts w:ascii="Times New Roman" w:hAnsi="Times New Roman"/>
          <w:iCs/>
          <w:szCs w:val="24"/>
        </w:rPr>
        <w:t xml:space="preserve">Without the support of high-level officials in the U.S. Department of Education, </w:t>
      </w:r>
      <w:r w:rsidRPr="00A2457E">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sidRPr="00A2457E">
        <w:rPr>
          <w:rFonts w:ascii="Times New Roman" w:hAnsi="Times New Roman"/>
          <w:szCs w:val="24"/>
        </w:rPr>
        <w:t xml:space="preserve">sampled districts that require prior research applications </w:t>
      </w:r>
      <w:r w:rsidR="009510D0" w:rsidRPr="00A2457E">
        <w:rPr>
          <w:rFonts w:ascii="Times New Roman" w:hAnsi="Times New Roman"/>
          <w:szCs w:val="24"/>
        </w:rPr>
        <w:t xml:space="preserve">and to </w:t>
      </w:r>
      <w:r w:rsidRPr="00A2457E">
        <w:rPr>
          <w:rFonts w:ascii="Times New Roman" w:hAnsi="Times New Roman"/>
          <w:szCs w:val="24"/>
        </w:rPr>
        <w:t>individual survey participants (principals and teachers) to encourage participation.</w:t>
      </w:r>
    </w:p>
    <w:p w14:paraId="51DD6C72" w14:textId="10FBA245" w:rsidR="00586EA4" w:rsidRPr="003C1F04" w:rsidRDefault="00586EA4" w:rsidP="007D4EB8">
      <w:pPr>
        <w:pStyle w:val="ListParagraph"/>
        <w:numPr>
          <w:ilvl w:val="0"/>
          <w:numId w:val="8"/>
        </w:numPr>
        <w:spacing w:after="60" w:line="240" w:lineRule="auto"/>
        <w:ind w:left="540"/>
        <w:rPr>
          <w:rFonts w:ascii="Times New Roman" w:hAnsi="Times New Roman"/>
          <w:szCs w:val="24"/>
        </w:rPr>
      </w:pPr>
      <w:r w:rsidRPr="003C1F04">
        <w:rPr>
          <w:rFonts w:ascii="Times New Roman" w:hAnsi="Times New Roman"/>
          <w:b/>
          <w:i/>
          <w:iCs/>
          <w:szCs w:val="24"/>
        </w:rPr>
        <w:t>Endorsements from key public school groups</w:t>
      </w:r>
      <w:r w:rsidRPr="003C1F04">
        <w:rPr>
          <w:rFonts w:ascii="Times New Roman" w:hAnsi="Times New Roman"/>
          <w:b/>
          <w:szCs w:val="24"/>
        </w:rPr>
        <w:t xml:space="preserve">. </w:t>
      </w:r>
      <w:r w:rsidRPr="003C1F04">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3C1F04">
        <w:rPr>
          <w:rFonts w:ascii="Times New Roman" w:hAnsi="Times New Roman"/>
          <w:szCs w:val="24"/>
        </w:rPr>
        <w:t xml:space="preserve">NCES </w:t>
      </w:r>
      <w:r w:rsidR="00C2492A" w:rsidRPr="003C1F04">
        <w:rPr>
          <w:rFonts w:ascii="Times New Roman" w:hAnsi="Times New Roman"/>
          <w:szCs w:val="24"/>
        </w:rPr>
        <w:t>obtained</w:t>
      </w:r>
      <w:r w:rsidRPr="003C1F04">
        <w:rPr>
          <w:rFonts w:ascii="Times New Roman" w:hAnsi="Times New Roman"/>
          <w:szCs w:val="24"/>
        </w:rPr>
        <w:t xml:space="preserve"> endorsement</w:t>
      </w:r>
      <w:r w:rsidR="00C2492A" w:rsidRPr="003C1F04">
        <w:rPr>
          <w:rFonts w:ascii="Times New Roman" w:hAnsi="Times New Roman"/>
          <w:szCs w:val="24"/>
        </w:rPr>
        <w:t>s</w:t>
      </w:r>
      <w:r w:rsidRPr="003C1F04">
        <w:rPr>
          <w:rFonts w:ascii="Times New Roman" w:hAnsi="Times New Roman"/>
          <w:szCs w:val="24"/>
        </w:rPr>
        <w:t xml:space="preserve"> </w:t>
      </w:r>
      <w:r w:rsidR="00B847A2" w:rsidRPr="003C1F04">
        <w:rPr>
          <w:rFonts w:ascii="Times New Roman" w:hAnsi="Times New Roman"/>
          <w:szCs w:val="24"/>
        </w:rPr>
        <w:t>for NTPS</w:t>
      </w:r>
      <w:r w:rsidR="00401966">
        <w:rPr>
          <w:rFonts w:ascii="Times New Roman" w:hAnsi="Times New Roman"/>
          <w:szCs w:val="24"/>
        </w:rPr>
        <w:t xml:space="preserve"> 2017-18</w:t>
      </w:r>
      <w:r w:rsidR="00B847A2" w:rsidRPr="003C1F04">
        <w:rPr>
          <w:rFonts w:ascii="Times New Roman" w:hAnsi="Times New Roman"/>
          <w:szCs w:val="24"/>
        </w:rPr>
        <w:t xml:space="preserve"> </w:t>
      </w:r>
      <w:r w:rsidR="00001333" w:rsidRPr="003C1F04">
        <w:rPr>
          <w:rFonts w:ascii="Times New Roman" w:hAnsi="Times New Roman"/>
          <w:szCs w:val="24"/>
        </w:rPr>
        <w:t xml:space="preserve">and </w:t>
      </w:r>
      <w:r w:rsidR="00001333">
        <w:rPr>
          <w:rFonts w:ascii="Times New Roman" w:hAnsi="Times New Roman"/>
          <w:szCs w:val="24"/>
        </w:rPr>
        <w:t>will again</w:t>
      </w:r>
      <w:r w:rsidR="00001333" w:rsidRPr="003C1F04">
        <w:rPr>
          <w:rFonts w:ascii="Times New Roman" w:hAnsi="Times New Roman"/>
          <w:szCs w:val="24"/>
        </w:rPr>
        <w:t xml:space="preserve"> </w:t>
      </w:r>
      <w:r w:rsidR="00001333">
        <w:rPr>
          <w:rFonts w:ascii="Times New Roman" w:hAnsi="Times New Roman"/>
          <w:szCs w:val="24"/>
        </w:rPr>
        <w:t>seek</w:t>
      </w:r>
      <w:r w:rsidR="00001333" w:rsidRPr="003C1F04">
        <w:rPr>
          <w:rFonts w:ascii="Times New Roman" w:hAnsi="Times New Roman"/>
          <w:szCs w:val="24"/>
        </w:rPr>
        <w:t xml:space="preserve"> endorsements for NTPS 2019-20</w:t>
      </w:r>
      <w:r w:rsidR="00001333">
        <w:rPr>
          <w:rFonts w:ascii="Times New Roman" w:hAnsi="Times New Roman"/>
          <w:szCs w:val="24"/>
        </w:rPr>
        <w:t xml:space="preserve"> </w:t>
      </w:r>
      <w:r w:rsidR="00C2492A" w:rsidRPr="003C1F04">
        <w:rPr>
          <w:rFonts w:ascii="Times New Roman" w:hAnsi="Times New Roman"/>
          <w:szCs w:val="24"/>
        </w:rPr>
        <w:t>from</w:t>
      </w:r>
      <w:r w:rsidRPr="003C1F04">
        <w:rPr>
          <w:rFonts w:ascii="Times New Roman" w:hAnsi="Times New Roman"/>
          <w:szCs w:val="24"/>
        </w:rPr>
        <w:t xml:space="preserve"> the following organizations or agencies:</w:t>
      </w:r>
    </w:p>
    <w:p w14:paraId="54E75C12"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Association of School Administrators</w:t>
      </w:r>
    </w:p>
    <w:p w14:paraId="4AC3F1EF"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Association of School Librarians</w:t>
      </w:r>
    </w:p>
    <w:p w14:paraId="5A253E08"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Federation of Teachers</w:t>
      </w:r>
    </w:p>
    <w:p w14:paraId="61C99B6F"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Montessori Society</w:t>
      </w:r>
    </w:p>
    <w:p w14:paraId="0E5CEC0F"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American School Counselors Association</w:t>
      </w:r>
    </w:p>
    <w:p w14:paraId="1DD8C328"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Association for Middle Level Education (formerly National Middle School Association)</w:t>
      </w:r>
    </w:p>
    <w:p w14:paraId="1FC3A8DB"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Association for Supervision and Curriculum Development</w:t>
      </w:r>
    </w:p>
    <w:p w14:paraId="30318C70"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Association of American Educators</w:t>
      </w:r>
    </w:p>
    <w:p w14:paraId="77E564F9"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Council of Chief State School Officers</w:t>
      </w:r>
    </w:p>
    <w:p w14:paraId="365F9ED1"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Council of the Great City Schools</w:t>
      </w:r>
    </w:p>
    <w:p w14:paraId="0D5C833B"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National Association of Elementary School Principals</w:t>
      </w:r>
    </w:p>
    <w:p w14:paraId="312336F7" w14:textId="77777777" w:rsidR="00BB1404" w:rsidRPr="003C1F04" w:rsidRDefault="00BB1404" w:rsidP="00001333">
      <w:pPr>
        <w:spacing w:line="240" w:lineRule="auto"/>
        <w:ind w:left="2160" w:right="144"/>
        <w:rPr>
          <w:rFonts w:ascii="Times New Roman" w:hAnsi="Times New Roman"/>
          <w:szCs w:val="24"/>
        </w:rPr>
      </w:pPr>
      <w:r w:rsidRPr="003C1F04">
        <w:rPr>
          <w:rFonts w:ascii="Times New Roman" w:hAnsi="Times New Roman"/>
          <w:szCs w:val="24"/>
        </w:rPr>
        <w:t>National Association of Secondary School Principals</w:t>
      </w:r>
    </w:p>
    <w:p w14:paraId="4C1DCE77" w14:textId="7018E853" w:rsidR="00BB1404" w:rsidRDefault="00BB1404" w:rsidP="00A50DEB">
      <w:pPr>
        <w:spacing w:after="120" w:line="240" w:lineRule="auto"/>
        <w:ind w:left="2160" w:right="144"/>
        <w:rPr>
          <w:rFonts w:ascii="Times New Roman" w:hAnsi="Times New Roman"/>
          <w:szCs w:val="24"/>
        </w:rPr>
      </w:pPr>
      <w:r w:rsidRPr="003C1F04">
        <w:rPr>
          <w:rFonts w:ascii="Times New Roman" w:hAnsi="Times New Roman"/>
          <w:szCs w:val="24"/>
        </w:rPr>
        <w:t>National Parent Teacher Association</w:t>
      </w:r>
    </w:p>
    <w:p w14:paraId="25D1389E" w14:textId="111CF289" w:rsidR="008D7C0C" w:rsidRPr="00401966" w:rsidRDefault="008D7C0C" w:rsidP="00A50DEB">
      <w:pPr>
        <w:pStyle w:val="ListParagraph"/>
        <w:widowControl w:val="0"/>
        <w:numPr>
          <w:ilvl w:val="0"/>
          <w:numId w:val="8"/>
        </w:numPr>
        <w:spacing w:after="60" w:line="240" w:lineRule="auto"/>
        <w:ind w:left="547" w:right="144"/>
        <w:rPr>
          <w:rFonts w:ascii="Times New Roman" w:hAnsi="Times New Roman"/>
          <w:szCs w:val="24"/>
        </w:rPr>
      </w:pPr>
      <w:r w:rsidRPr="00401966">
        <w:rPr>
          <w:rFonts w:ascii="Times New Roman" w:hAnsi="Times New Roman"/>
          <w:b/>
          <w:i/>
          <w:szCs w:val="24"/>
        </w:rPr>
        <w:t xml:space="preserve">Endorsements from key </w:t>
      </w:r>
      <w:r w:rsidR="00585D1B" w:rsidRPr="00401966">
        <w:rPr>
          <w:rFonts w:ascii="Times New Roman" w:hAnsi="Times New Roman"/>
          <w:b/>
          <w:i/>
          <w:szCs w:val="24"/>
        </w:rPr>
        <w:t xml:space="preserve">private </w:t>
      </w:r>
      <w:r w:rsidRPr="00401966">
        <w:rPr>
          <w:rFonts w:ascii="Times New Roman" w:hAnsi="Times New Roman"/>
          <w:b/>
          <w:i/>
          <w:szCs w:val="24"/>
        </w:rPr>
        <w:t>school groups.</w:t>
      </w:r>
      <w:r w:rsidR="00652E63">
        <w:rPr>
          <w:rFonts w:ascii="Times New Roman" w:hAnsi="Times New Roman"/>
          <w:szCs w:val="24"/>
        </w:rPr>
        <w:t xml:space="preserve"> </w:t>
      </w:r>
      <w:r w:rsidRPr="00401966">
        <w:rPr>
          <w:rFonts w:ascii="Times New Roman" w:hAnsi="Times New Roman"/>
          <w:szCs w:val="24"/>
        </w:rPr>
        <w:t xml:space="preserve">In addition to the endorsements from key public school groups, NCES also obtained endorsements for NTPS </w:t>
      </w:r>
      <w:r w:rsidR="00401966" w:rsidRPr="00401966">
        <w:rPr>
          <w:rFonts w:ascii="Times New Roman" w:hAnsi="Times New Roman"/>
          <w:szCs w:val="24"/>
        </w:rPr>
        <w:t xml:space="preserve">2017-18 </w:t>
      </w:r>
      <w:r w:rsidR="00001333" w:rsidRPr="003C1F04">
        <w:rPr>
          <w:rFonts w:ascii="Times New Roman" w:hAnsi="Times New Roman"/>
          <w:szCs w:val="24"/>
        </w:rPr>
        <w:t xml:space="preserve">and </w:t>
      </w:r>
      <w:r w:rsidR="00001333">
        <w:rPr>
          <w:rFonts w:ascii="Times New Roman" w:hAnsi="Times New Roman"/>
          <w:szCs w:val="24"/>
        </w:rPr>
        <w:t>will again</w:t>
      </w:r>
      <w:r w:rsidR="00001333" w:rsidRPr="003C1F04">
        <w:rPr>
          <w:rFonts w:ascii="Times New Roman" w:hAnsi="Times New Roman"/>
          <w:szCs w:val="24"/>
        </w:rPr>
        <w:t xml:space="preserve"> </w:t>
      </w:r>
      <w:r w:rsidR="00001333">
        <w:rPr>
          <w:rFonts w:ascii="Times New Roman" w:hAnsi="Times New Roman"/>
          <w:szCs w:val="24"/>
        </w:rPr>
        <w:t>seek</w:t>
      </w:r>
      <w:r w:rsidR="00001333" w:rsidRPr="003C1F04">
        <w:rPr>
          <w:rFonts w:ascii="Times New Roman" w:hAnsi="Times New Roman"/>
          <w:szCs w:val="24"/>
        </w:rPr>
        <w:t xml:space="preserve"> endorsements for NTPS 2019-20</w:t>
      </w:r>
      <w:r w:rsidR="00001333">
        <w:rPr>
          <w:rFonts w:ascii="Times New Roman" w:hAnsi="Times New Roman"/>
          <w:szCs w:val="24"/>
        </w:rPr>
        <w:t xml:space="preserve"> </w:t>
      </w:r>
      <w:r w:rsidRPr="00401966">
        <w:rPr>
          <w:rFonts w:ascii="Times New Roman" w:hAnsi="Times New Roman"/>
          <w:szCs w:val="24"/>
        </w:rPr>
        <w:t>from the following private school organizations or agencies:</w:t>
      </w:r>
    </w:p>
    <w:p w14:paraId="49A47891"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American Association of School Administrators</w:t>
      </w:r>
    </w:p>
    <w:p w14:paraId="45B21D87"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Association of Christian Teachers and Schools</w:t>
      </w:r>
    </w:p>
    <w:p w14:paraId="5D23AF7D"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Association of Military Colleges and Schools</w:t>
      </w:r>
    </w:p>
    <w:p w14:paraId="3D103A62"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Christian Schools International</w:t>
      </w:r>
    </w:p>
    <w:p w14:paraId="329C91A0"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Council for American Private Education</w:t>
      </w:r>
    </w:p>
    <w:p w14:paraId="3B8B80AA"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Council of Islamic Schools of North America</w:t>
      </w:r>
    </w:p>
    <w:p w14:paraId="71D3D5EB"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Evangelical Lutheran Church in America</w:t>
      </w:r>
    </w:p>
    <w:p w14:paraId="66C2823E"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Islamic School League of America</w:t>
      </w:r>
    </w:p>
    <w:p w14:paraId="4F0B77B0"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Jesuit Schools Network (formerly Jesuit Secondary Education Association)</w:t>
      </w:r>
    </w:p>
    <w:p w14:paraId="05FB7BC0"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Lutheran Church-Missouri Synod</w:t>
      </w:r>
    </w:p>
    <w:p w14:paraId="1BC71BF1"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Association of Episcopal Schools</w:t>
      </w:r>
    </w:p>
    <w:p w14:paraId="40879FF4"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Association of Independent Schools</w:t>
      </w:r>
    </w:p>
    <w:p w14:paraId="2E101E58"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Association of Private Special Education Centers</w:t>
      </w:r>
    </w:p>
    <w:p w14:paraId="3B68F37B"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Catholic Educational Association</w:t>
      </w:r>
    </w:p>
    <w:p w14:paraId="44518389"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Christian School Association</w:t>
      </w:r>
    </w:p>
    <w:p w14:paraId="062FEE0C"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National Council for Private School Accreditation</w:t>
      </w:r>
    </w:p>
    <w:p w14:paraId="77CBFC93"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Office of Education, General Conference of Seventh Day Adventists</w:t>
      </w:r>
    </w:p>
    <w:p w14:paraId="67A598C6" w14:textId="77777777" w:rsidR="00BB1404" w:rsidRPr="00BB1404" w:rsidRDefault="00BB1404" w:rsidP="007D4EB8">
      <w:pPr>
        <w:autoSpaceDE w:val="0"/>
        <w:autoSpaceDN w:val="0"/>
        <w:adjustRightInd w:val="0"/>
        <w:spacing w:line="240" w:lineRule="auto"/>
        <w:ind w:left="2160"/>
        <w:rPr>
          <w:rFonts w:ascii="Times New Roman" w:hAnsi="Times New Roman"/>
          <w:szCs w:val="24"/>
        </w:rPr>
      </w:pPr>
      <w:r w:rsidRPr="00BB1404">
        <w:rPr>
          <w:rFonts w:ascii="Times New Roman" w:hAnsi="Times New Roman"/>
          <w:szCs w:val="24"/>
        </w:rPr>
        <w:t>Oral Roberts University Educational Fellowship</w:t>
      </w:r>
    </w:p>
    <w:p w14:paraId="56E2CA0E" w14:textId="1E47498B" w:rsidR="00BB1404" w:rsidRDefault="00BB1404" w:rsidP="007D4EB8">
      <w:pPr>
        <w:pStyle w:val="CommentText"/>
        <w:ind w:left="2160"/>
        <w:rPr>
          <w:sz w:val="24"/>
          <w:szCs w:val="24"/>
        </w:rPr>
      </w:pPr>
      <w:r w:rsidRPr="00BB1404">
        <w:rPr>
          <w:sz w:val="24"/>
          <w:szCs w:val="24"/>
        </w:rPr>
        <w:t>United States Conference of Catholic Bishops</w:t>
      </w:r>
    </w:p>
    <w:p w14:paraId="2FDD2B9E" w14:textId="57DF45AE" w:rsidR="00401966" w:rsidRPr="00EC1587" w:rsidRDefault="00401966" w:rsidP="007D4EB8">
      <w:pPr>
        <w:pStyle w:val="CommentText"/>
        <w:ind w:left="2160"/>
      </w:pPr>
      <w:r>
        <w:rPr>
          <w:sz w:val="24"/>
          <w:szCs w:val="24"/>
        </w:rPr>
        <w:t>National Parent Teacher Association</w:t>
      </w:r>
    </w:p>
    <w:p w14:paraId="4F0F5B85" w14:textId="77777777" w:rsidR="00BB1404" w:rsidRPr="00BB1404" w:rsidRDefault="00BB1404" w:rsidP="007D4EB8">
      <w:pPr>
        <w:pStyle w:val="CommentText"/>
        <w:ind w:left="2160"/>
        <w:rPr>
          <w:highlight w:val="yellow"/>
        </w:rPr>
      </w:pPr>
    </w:p>
    <w:p w14:paraId="582B8E03" w14:textId="090A9400" w:rsidR="007215B4" w:rsidRPr="00A2457E" w:rsidRDefault="00586EA4" w:rsidP="007D4EB8">
      <w:pPr>
        <w:pStyle w:val="ListParagraph"/>
        <w:numPr>
          <w:ilvl w:val="0"/>
          <w:numId w:val="8"/>
        </w:numPr>
        <w:spacing w:after="120" w:line="240" w:lineRule="auto"/>
        <w:ind w:left="540"/>
        <w:rPr>
          <w:rFonts w:ascii="Times New Roman" w:hAnsi="Times New Roman"/>
          <w:szCs w:val="24"/>
        </w:rPr>
      </w:pPr>
      <w:r w:rsidRPr="0094546B">
        <w:rPr>
          <w:rFonts w:ascii="Times New Roman" w:hAnsi="Times New Roman"/>
          <w:b/>
          <w:i/>
          <w:iCs/>
          <w:szCs w:val="24"/>
        </w:rPr>
        <w:t>Stressing the importance of the survey and the respondents' participation</w:t>
      </w:r>
      <w:r w:rsidRPr="0094546B">
        <w:rPr>
          <w:rFonts w:ascii="Times New Roman" w:hAnsi="Times New Roman"/>
          <w:b/>
          <w:szCs w:val="24"/>
        </w:rPr>
        <w:t>.</w:t>
      </w:r>
      <w:r w:rsidRPr="00A2457E">
        <w:rPr>
          <w:rFonts w:ascii="Times New Roman" w:hAnsi="Times New Roman"/>
          <w:szCs w:val="24"/>
        </w:rPr>
        <w:t xml:space="preserve"> Official letters will be used to motivate respondents to return surveys. </w:t>
      </w:r>
      <w:r w:rsidR="00D76A03" w:rsidRPr="00A2457E">
        <w:rPr>
          <w:rFonts w:ascii="Times New Roman" w:hAnsi="Times New Roman"/>
          <w:szCs w:val="24"/>
        </w:rPr>
        <w:t xml:space="preserve">NTPS </w:t>
      </w:r>
      <w:r w:rsidR="00A22ED6">
        <w:rPr>
          <w:rFonts w:ascii="Times New Roman" w:hAnsi="Times New Roman"/>
          <w:szCs w:val="24"/>
        </w:rPr>
        <w:t>2019-20</w:t>
      </w:r>
      <w:r w:rsidR="00D76A03" w:rsidRPr="00A2457E">
        <w:rPr>
          <w:rFonts w:ascii="Times New Roman" w:hAnsi="Times New Roman"/>
          <w:szCs w:val="24"/>
        </w:rPr>
        <w:t xml:space="preserve"> respondent letters will </w:t>
      </w:r>
      <w:r w:rsidR="00682014" w:rsidRPr="00A2457E">
        <w:rPr>
          <w:rFonts w:ascii="Times New Roman" w:hAnsi="Times New Roman"/>
          <w:szCs w:val="24"/>
        </w:rPr>
        <w:t>be</w:t>
      </w:r>
      <w:r w:rsidR="00D76A03" w:rsidRPr="00A2457E">
        <w:rPr>
          <w:rFonts w:ascii="Times New Roman" w:hAnsi="Times New Roman"/>
          <w:szCs w:val="24"/>
        </w:rPr>
        <w:t xml:space="preserve"> sent </w:t>
      </w:r>
      <w:r w:rsidR="00D14608" w:rsidRPr="00A2457E">
        <w:rPr>
          <w:rFonts w:ascii="Times New Roman" w:hAnsi="Times New Roman"/>
          <w:szCs w:val="24"/>
        </w:rPr>
        <w:t xml:space="preserve">by the U.S. Census Bureau and </w:t>
      </w:r>
      <w:r w:rsidR="00D76A03" w:rsidRPr="00A2457E">
        <w:rPr>
          <w:rFonts w:ascii="Times New Roman" w:hAnsi="Times New Roman"/>
          <w:szCs w:val="24"/>
        </w:rPr>
        <w:t>signed by</w:t>
      </w:r>
      <w:r w:rsidRPr="00A2457E">
        <w:rPr>
          <w:rFonts w:ascii="Times New Roman" w:hAnsi="Times New Roman"/>
          <w:szCs w:val="24"/>
        </w:rPr>
        <w:t xml:space="preserve"> the </w:t>
      </w:r>
      <w:r w:rsidR="00F2503B" w:rsidRPr="00A2457E">
        <w:rPr>
          <w:rFonts w:ascii="Times New Roman" w:hAnsi="Times New Roman"/>
          <w:szCs w:val="24"/>
        </w:rPr>
        <w:t xml:space="preserve">NCES </w:t>
      </w:r>
      <w:r w:rsidRPr="00A2457E">
        <w:rPr>
          <w:rFonts w:ascii="Times New Roman" w:hAnsi="Times New Roman"/>
          <w:szCs w:val="24"/>
        </w:rPr>
        <w:t>Commissioner</w:t>
      </w:r>
      <w:r w:rsidR="0094546B">
        <w:rPr>
          <w:rFonts w:ascii="Times New Roman" w:hAnsi="Times New Roman"/>
          <w:szCs w:val="24"/>
        </w:rPr>
        <w:t>.</w:t>
      </w:r>
      <w:r w:rsidRPr="00A2457E">
        <w:rPr>
          <w:rFonts w:ascii="Times New Roman" w:hAnsi="Times New Roman"/>
          <w:szCs w:val="24"/>
        </w:rPr>
        <w:t xml:space="preserve"> </w:t>
      </w:r>
      <w:r w:rsidR="00682014" w:rsidRPr="00A2457E">
        <w:rPr>
          <w:rFonts w:ascii="Times New Roman" w:hAnsi="Times New Roman"/>
          <w:szCs w:val="24"/>
        </w:rPr>
        <w:t xml:space="preserve">Communications in the form of both letters and emails will be </w:t>
      </w:r>
      <w:r w:rsidR="00D76A03" w:rsidRPr="00A2457E">
        <w:rPr>
          <w:rFonts w:ascii="Times New Roman" w:hAnsi="Times New Roman"/>
          <w:szCs w:val="24"/>
        </w:rPr>
        <w:t>personaliz</w:t>
      </w:r>
      <w:r w:rsidR="00682014" w:rsidRPr="00A2457E">
        <w:rPr>
          <w:rFonts w:ascii="Times New Roman" w:hAnsi="Times New Roman"/>
          <w:szCs w:val="24"/>
        </w:rPr>
        <w:t>ed for the pr</w:t>
      </w:r>
      <w:r w:rsidR="003649E6" w:rsidRPr="00A2457E">
        <w:rPr>
          <w:rFonts w:ascii="Times New Roman" w:hAnsi="Times New Roman"/>
          <w:szCs w:val="24"/>
        </w:rPr>
        <w:t>incipal and survey coordinators, which is expected to have positive effects on the survey response rates.</w:t>
      </w:r>
    </w:p>
    <w:p w14:paraId="7001B753" w14:textId="41405435" w:rsidR="00D71120" w:rsidRPr="00A2457E" w:rsidRDefault="00D71120" w:rsidP="007D4EB8">
      <w:pPr>
        <w:pStyle w:val="Heading2"/>
        <w:spacing w:after="120" w:line="240" w:lineRule="auto"/>
        <w:rPr>
          <w:rFonts w:ascii="Times New Roman" w:hAnsi="Times New Roman"/>
          <w:color w:val="auto"/>
          <w:sz w:val="24"/>
          <w:szCs w:val="24"/>
        </w:rPr>
      </w:pPr>
      <w:bookmarkStart w:id="74" w:name="_Toc455154256"/>
      <w:bookmarkStart w:id="75" w:name="_Toc455496452"/>
      <w:bookmarkStart w:id="76" w:name="_Toc468187463"/>
      <w:bookmarkStart w:id="77" w:name="_Toc518587633"/>
      <w:r w:rsidRPr="00A2457E">
        <w:rPr>
          <w:rFonts w:ascii="Times New Roman" w:hAnsi="Times New Roman"/>
          <w:color w:val="auto"/>
          <w:sz w:val="24"/>
          <w:szCs w:val="24"/>
        </w:rPr>
        <w:t>B.3.2</w:t>
      </w:r>
      <w:r w:rsidRPr="00A2457E">
        <w:rPr>
          <w:rFonts w:ascii="Times New Roman" w:hAnsi="Times New Roman"/>
          <w:color w:val="auto"/>
          <w:sz w:val="24"/>
          <w:szCs w:val="24"/>
        </w:rPr>
        <w:tab/>
      </w:r>
      <w:r w:rsidR="00586EA4" w:rsidRPr="00A2457E">
        <w:rPr>
          <w:rFonts w:ascii="Times New Roman" w:hAnsi="Times New Roman"/>
          <w:color w:val="auto"/>
          <w:sz w:val="24"/>
          <w:szCs w:val="24"/>
        </w:rPr>
        <w:t xml:space="preserve">Methods to </w:t>
      </w:r>
      <w:r w:rsidR="009510D0" w:rsidRPr="00A2457E">
        <w:rPr>
          <w:rFonts w:ascii="Times New Roman" w:hAnsi="Times New Roman"/>
          <w:color w:val="auto"/>
          <w:sz w:val="24"/>
          <w:szCs w:val="24"/>
        </w:rPr>
        <w:t>Minimize</w:t>
      </w:r>
      <w:r w:rsidR="00586EA4" w:rsidRPr="00A2457E">
        <w:rPr>
          <w:rFonts w:ascii="Times New Roman" w:hAnsi="Times New Roman"/>
          <w:color w:val="auto"/>
          <w:sz w:val="24"/>
          <w:szCs w:val="24"/>
        </w:rPr>
        <w:t xml:space="preserve"> Nonresponse</w:t>
      </w:r>
      <w:bookmarkEnd w:id="74"/>
      <w:bookmarkEnd w:id="75"/>
      <w:bookmarkEnd w:id="76"/>
      <w:bookmarkEnd w:id="77"/>
    </w:p>
    <w:p w14:paraId="181C925C" w14:textId="5570C5F8" w:rsidR="00CE21FA" w:rsidRPr="00A2457E" w:rsidRDefault="00CE21FA" w:rsidP="007D4EB8">
      <w:pPr>
        <w:pStyle w:val="L1-FlLSp12"/>
        <w:widowControl w:val="0"/>
        <w:spacing w:after="120" w:line="240" w:lineRule="auto"/>
        <w:rPr>
          <w:rFonts w:ascii="Times New Roman" w:hAnsi="Times New Roman"/>
          <w:szCs w:val="24"/>
        </w:rPr>
      </w:pPr>
      <w:r w:rsidRPr="00A2457E">
        <w:rPr>
          <w:rFonts w:ascii="Times New Roman" w:hAnsi="Times New Roman"/>
          <w:szCs w:val="24"/>
        </w:rPr>
        <w:t>A major challenge in any survey is obtaining high response rates, and this is even more important today when response rates have been falling among federal surveys in general, and in NTPS in particular.</w:t>
      </w:r>
    </w:p>
    <w:p w14:paraId="1B27A0D3" w14:textId="0F9F6203" w:rsidR="00CE21FA"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w:t>
      </w:r>
      <w:r w:rsidR="00B5667E" w:rsidRPr="00A2457E">
        <w:rPr>
          <w:rFonts w:ascii="Times New Roman" w:hAnsi="Times New Roman"/>
          <w:szCs w:val="24"/>
        </w:rPr>
        <w:t xml:space="preserve">establishing survey </w:t>
      </w:r>
      <w:r w:rsidRPr="00A2457E">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14:paraId="3E9E21B6" w14:textId="53D4D6EA" w:rsidR="0014296C" w:rsidRPr="00A2457E" w:rsidRDefault="00CE21FA" w:rsidP="007D4EB8">
      <w:pPr>
        <w:pStyle w:val="L1-FlLSp12"/>
        <w:spacing w:after="120" w:line="240" w:lineRule="auto"/>
        <w:rPr>
          <w:rFonts w:ascii="Times New Roman" w:hAnsi="Times New Roman"/>
          <w:szCs w:val="24"/>
        </w:rPr>
      </w:pPr>
      <w:r w:rsidRPr="00A2457E">
        <w:rPr>
          <w:rFonts w:ascii="Times New Roman" w:hAnsi="Times New Roman"/>
          <w:szCs w:val="24"/>
        </w:rPr>
        <w:t xml:space="preserve">Methods selected to minimize nonresponse in NTPS </w:t>
      </w:r>
      <w:r w:rsidR="00A22ED6">
        <w:rPr>
          <w:rFonts w:ascii="Times New Roman" w:hAnsi="Times New Roman"/>
          <w:szCs w:val="24"/>
        </w:rPr>
        <w:t>2019-20</w:t>
      </w:r>
      <w:r w:rsidRPr="00A2457E">
        <w:rPr>
          <w:rFonts w:ascii="Times New Roman" w:hAnsi="Times New Roman"/>
          <w:szCs w:val="24"/>
        </w:rPr>
        <w:t xml:space="preserve"> will build upon those used in NTPS </w:t>
      </w:r>
      <w:r w:rsidR="00A22ED6">
        <w:rPr>
          <w:rFonts w:ascii="Times New Roman" w:hAnsi="Times New Roman"/>
          <w:szCs w:val="24"/>
        </w:rPr>
        <w:t>2017-18</w:t>
      </w:r>
      <w:r w:rsidRPr="00A2457E">
        <w:rPr>
          <w:rFonts w:ascii="Times New Roman" w:hAnsi="Times New Roman"/>
          <w:szCs w:val="24"/>
        </w:rPr>
        <w:t xml:space="preserve">, including actions </w:t>
      </w:r>
      <w:r w:rsidR="00F2503B" w:rsidRPr="00A2457E">
        <w:rPr>
          <w:rFonts w:ascii="Times New Roman" w:hAnsi="Times New Roman"/>
          <w:szCs w:val="24"/>
        </w:rPr>
        <w:t xml:space="preserve">that were </w:t>
      </w:r>
      <w:r w:rsidRPr="00A2457E">
        <w:rPr>
          <w:rFonts w:ascii="Times New Roman" w:hAnsi="Times New Roman"/>
          <w:szCs w:val="24"/>
        </w:rPr>
        <w:t xml:space="preserve">taken late in </w:t>
      </w:r>
      <w:r w:rsidR="00104F0E" w:rsidRPr="00A2457E">
        <w:rPr>
          <w:rFonts w:ascii="Times New Roman" w:hAnsi="Times New Roman"/>
          <w:szCs w:val="24"/>
        </w:rPr>
        <w:t>the</w:t>
      </w:r>
      <w:r w:rsidRPr="00A2457E">
        <w:rPr>
          <w:rFonts w:ascii="Times New Roman" w:hAnsi="Times New Roman"/>
          <w:szCs w:val="24"/>
        </w:rPr>
        <w:t xml:space="preserve"> data collection to boost principal and teacher response rates.</w:t>
      </w:r>
    </w:p>
    <w:p w14:paraId="226FBB3B" w14:textId="081620EB" w:rsidR="00404527" w:rsidRPr="00A2457E" w:rsidRDefault="00404527" w:rsidP="007D4EB8">
      <w:pPr>
        <w:spacing w:after="120" w:line="240" w:lineRule="auto"/>
        <w:rPr>
          <w:rFonts w:ascii="Times New Roman" w:hAnsi="Times New Roman"/>
          <w:b/>
          <w:szCs w:val="24"/>
        </w:rPr>
      </w:pPr>
      <w:r w:rsidRPr="00A2457E">
        <w:rPr>
          <w:rFonts w:ascii="Times New Roman" w:hAnsi="Times New Roman"/>
          <w:b/>
          <w:szCs w:val="24"/>
        </w:rPr>
        <w:t xml:space="preserve">Data Collection Strategies to Minimize </w:t>
      </w:r>
      <w:r w:rsidR="009620F1">
        <w:rPr>
          <w:rFonts w:ascii="Times New Roman" w:hAnsi="Times New Roman"/>
          <w:b/>
          <w:szCs w:val="24"/>
        </w:rPr>
        <w:t>Nonresponse</w:t>
      </w:r>
    </w:p>
    <w:p w14:paraId="08C0D12D" w14:textId="2EE8A263" w:rsidR="00DD2D1F" w:rsidRDefault="00DD2D1F"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Minimize survey burden</w:t>
      </w:r>
      <w:r w:rsidR="004E5B8D" w:rsidRPr="00A2457E">
        <w:rPr>
          <w:rFonts w:ascii="Times New Roman" w:hAnsi="Times New Roman"/>
          <w:b/>
          <w:i/>
          <w:iCs/>
          <w:szCs w:val="24"/>
        </w:rPr>
        <w:t xml:space="preserve"> on</w:t>
      </w:r>
      <w:r w:rsidRPr="00A2457E">
        <w:rPr>
          <w:rFonts w:ascii="Times New Roman" w:hAnsi="Times New Roman"/>
          <w:b/>
          <w:i/>
          <w:iCs/>
          <w:szCs w:val="24"/>
        </w:rPr>
        <w:t xml:space="preserve"> schoo</w:t>
      </w:r>
      <w:r w:rsidR="004E5B8D" w:rsidRPr="00A2457E">
        <w:rPr>
          <w:rFonts w:ascii="Times New Roman" w:hAnsi="Times New Roman"/>
          <w:b/>
          <w:i/>
          <w:iCs/>
          <w:szCs w:val="24"/>
        </w:rPr>
        <w:t>ls</w:t>
      </w:r>
      <w:r w:rsidRPr="00A2457E">
        <w:rPr>
          <w:rFonts w:ascii="Times New Roman" w:hAnsi="Times New Roman"/>
          <w:b/>
          <w:szCs w:val="24"/>
        </w:rPr>
        <w:t>.</w:t>
      </w:r>
      <w:r w:rsidRPr="00A2457E">
        <w:rPr>
          <w:rFonts w:ascii="Times New Roman" w:hAnsi="Times New Roman"/>
          <w:szCs w:val="24"/>
        </w:rPr>
        <w:t xml:space="preserve"> </w:t>
      </w:r>
      <w:r w:rsidR="009D3C8D" w:rsidRPr="00A2457E">
        <w:rPr>
          <w:rFonts w:ascii="Times New Roman" w:hAnsi="Times New Roman"/>
          <w:szCs w:val="24"/>
        </w:rPr>
        <w:t>NTPS</w:t>
      </w:r>
      <w:r w:rsidRPr="00A2457E">
        <w:rPr>
          <w:rFonts w:ascii="Times New Roman" w:hAnsi="Times New Roman"/>
          <w:szCs w:val="24"/>
        </w:rPr>
        <w:t xml:space="preserve"> </w:t>
      </w:r>
      <w:r w:rsidR="009D3C8D" w:rsidRPr="00A2457E">
        <w:rPr>
          <w:rFonts w:ascii="Times New Roman" w:hAnsi="Times New Roman"/>
          <w:szCs w:val="24"/>
        </w:rPr>
        <w:t xml:space="preserve">survey </w:t>
      </w:r>
      <w:r w:rsidRPr="00A2457E">
        <w:rPr>
          <w:rFonts w:ascii="Times New Roman" w:hAnsi="Times New Roman"/>
          <w:szCs w:val="24"/>
        </w:rPr>
        <w:t>procedures are designed to minimize burden on schools and sampled individuals (principals and teachers)</w:t>
      </w:r>
      <w:r w:rsidR="009D3C8D" w:rsidRPr="00A2457E">
        <w:rPr>
          <w:rFonts w:ascii="Times New Roman" w:hAnsi="Times New Roman"/>
          <w:szCs w:val="24"/>
        </w:rPr>
        <w:t>,</w:t>
      </w:r>
      <w:r w:rsidRPr="00A2457E">
        <w:rPr>
          <w:rFonts w:ascii="Times New Roman" w:hAnsi="Times New Roman"/>
          <w:szCs w:val="24"/>
        </w:rPr>
        <w:t xml:space="preserve"> and the survey instruments have been designed to be completed as quickly and easily as possible.</w:t>
      </w:r>
    </w:p>
    <w:p w14:paraId="2DAA7DBE" w14:textId="2224FF3C" w:rsidR="009C4DEF" w:rsidRPr="009C4DEF" w:rsidRDefault="001C3420" w:rsidP="00A50DEB">
      <w:pPr>
        <w:pStyle w:val="ListParagraph"/>
        <w:widowControl w:val="0"/>
        <w:spacing w:after="120" w:line="240" w:lineRule="auto"/>
        <w:ind w:left="547"/>
        <w:rPr>
          <w:rFonts w:ascii="Times New Roman" w:hAnsi="Times New Roman"/>
          <w:szCs w:val="24"/>
        </w:rPr>
      </w:pPr>
      <w:r w:rsidRPr="001C3420">
        <w:rPr>
          <w:rFonts w:ascii="Times New Roman" w:hAnsi="Times New Roman"/>
          <w:color w:val="000000" w:themeColor="text1"/>
          <w:szCs w:val="24"/>
        </w:rPr>
        <w:t>To reduce burden on schools, whenever possible, the TLF (both the electronic version in the NTPS Respondent Portal and the paper TLF) will be pre-populated with vendor teacher roster data, and the school will be asked to verify the teacher information rather than provide it from scratch</w:t>
      </w:r>
      <w:r w:rsidR="009C4DEF">
        <w:rPr>
          <w:rFonts w:ascii="Times New Roman" w:hAnsi="Times New Roman"/>
          <w:color w:val="000000" w:themeColor="text1"/>
          <w:szCs w:val="24"/>
        </w:rPr>
        <w:t xml:space="preserve">. Results from </w:t>
      </w:r>
      <w:r>
        <w:rPr>
          <w:rFonts w:ascii="Times New Roman" w:hAnsi="Times New Roman"/>
          <w:color w:val="000000" w:themeColor="text1"/>
          <w:szCs w:val="24"/>
        </w:rPr>
        <w:t xml:space="preserve">NTPS </w:t>
      </w:r>
      <w:r w:rsidR="009C4DEF">
        <w:rPr>
          <w:rFonts w:ascii="Times New Roman" w:hAnsi="Times New Roman"/>
          <w:color w:val="000000" w:themeColor="text1"/>
          <w:szCs w:val="24"/>
        </w:rPr>
        <w:t>2017-18 confirm</w:t>
      </w:r>
      <w:r>
        <w:rPr>
          <w:rFonts w:ascii="Times New Roman" w:hAnsi="Times New Roman"/>
          <w:color w:val="000000" w:themeColor="text1"/>
          <w:szCs w:val="24"/>
        </w:rPr>
        <w:t>ed</w:t>
      </w:r>
      <w:r w:rsidR="009C4DEF">
        <w:rPr>
          <w:rFonts w:ascii="Times New Roman" w:hAnsi="Times New Roman"/>
          <w:color w:val="000000" w:themeColor="text1"/>
          <w:szCs w:val="24"/>
        </w:rPr>
        <w:t xml:space="preserve"> that providing pre-populated TLFs </w:t>
      </w:r>
      <w:r w:rsidR="004D17BE">
        <w:rPr>
          <w:rFonts w:ascii="Times New Roman" w:hAnsi="Times New Roman"/>
          <w:color w:val="000000" w:themeColor="text1"/>
          <w:szCs w:val="24"/>
        </w:rPr>
        <w:t>was successful in reducing burden on sampled schools.</w:t>
      </w:r>
    </w:p>
    <w:p w14:paraId="682561F8" w14:textId="0F487299" w:rsidR="00DD2D1F" w:rsidRPr="00A2457E" w:rsidRDefault="00DD2D1F" w:rsidP="007D4EB8">
      <w:pPr>
        <w:pStyle w:val="ListParagraph"/>
        <w:spacing w:after="120" w:line="240" w:lineRule="auto"/>
        <w:ind w:left="540"/>
        <w:rPr>
          <w:rFonts w:ascii="Times New Roman" w:hAnsi="Times New Roman"/>
          <w:szCs w:val="24"/>
        </w:rPr>
      </w:pPr>
      <w:r w:rsidRPr="00A2457E">
        <w:rPr>
          <w:rFonts w:ascii="Times New Roman" w:hAnsi="Times New Roman"/>
          <w:szCs w:val="24"/>
        </w:rPr>
        <w:t xml:space="preserve">Good questionnaire design techniques have been employed to minimize item nonresponse. </w:t>
      </w:r>
      <w:r w:rsidR="009D3C8D" w:rsidRPr="00A2457E">
        <w:rPr>
          <w:rFonts w:ascii="Times New Roman" w:hAnsi="Times New Roman"/>
          <w:szCs w:val="24"/>
        </w:rPr>
        <w:t>Q</w:t>
      </w:r>
      <w:r w:rsidRPr="00A2457E">
        <w:rPr>
          <w:rFonts w:ascii="Times New Roman" w:hAnsi="Times New Roman"/>
          <w:szCs w:val="24"/>
        </w:rPr>
        <w:t xml:space="preserve">uestionnaires from </w:t>
      </w:r>
      <w:r w:rsidR="009D3C8D" w:rsidRPr="00A2457E">
        <w:rPr>
          <w:rFonts w:ascii="Times New Roman" w:hAnsi="Times New Roman"/>
          <w:szCs w:val="24"/>
        </w:rPr>
        <w:t xml:space="preserve">previous rounds of SASS and NTPS </w:t>
      </w:r>
      <w:r w:rsidR="00104F0E" w:rsidRPr="00A2457E">
        <w:rPr>
          <w:rFonts w:ascii="Times New Roman" w:hAnsi="Times New Roman"/>
          <w:szCs w:val="24"/>
        </w:rPr>
        <w:t>were</w:t>
      </w:r>
      <w:r w:rsidRPr="00A2457E">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14:paraId="3DD6C4CE" w14:textId="4304C347" w:rsidR="007215B4" w:rsidRPr="00A2457E" w:rsidRDefault="009D3C8D" w:rsidP="007D4EB8">
      <w:pPr>
        <w:pStyle w:val="ListParagraph"/>
        <w:spacing w:after="120" w:line="240" w:lineRule="auto"/>
        <w:ind w:left="540"/>
        <w:rPr>
          <w:rFonts w:ascii="Times New Roman" w:hAnsi="Times New Roman"/>
          <w:szCs w:val="24"/>
        </w:rPr>
      </w:pPr>
      <w:r w:rsidRPr="00A2457E">
        <w:rPr>
          <w:rFonts w:ascii="Times New Roman" w:hAnsi="Times New Roman"/>
          <w:szCs w:val="24"/>
        </w:rPr>
        <w:t xml:space="preserve">A key design feature of </w:t>
      </w:r>
      <w:r w:rsidR="00DD2D1F" w:rsidRPr="00A2457E">
        <w:rPr>
          <w:rFonts w:ascii="Times New Roman" w:hAnsi="Times New Roman"/>
          <w:szCs w:val="24"/>
        </w:rPr>
        <w:t xml:space="preserve">NTPS </w:t>
      </w:r>
      <w:r w:rsidRPr="00A2457E">
        <w:rPr>
          <w:rFonts w:ascii="Times New Roman" w:hAnsi="Times New Roman"/>
          <w:szCs w:val="24"/>
        </w:rPr>
        <w:t xml:space="preserve">is the ability to link to other </w:t>
      </w:r>
      <w:r w:rsidR="00DD2D1F" w:rsidRPr="00A2457E">
        <w:rPr>
          <w:rFonts w:ascii="Times New Roman" w:hAnsi="Times New Roman"/>
          <w:szCs w:val="24"/>
        </w:rPr>
        <w:t>NCES collections such as ED</w:t>
      </w:r>
      <w:r w:rsidR="00E908BF" w:rsidRPr="00A2457E">
        <w:rPr>
          <w:rFonts w:ascii="Times New Roman" w:hAnsi="Times New Roman"/>
          <w:i/>
          <w:szCs w:val="24"/>
        </w:rPr>
        <w:t>F</w:t>
      </w:r>
      <w:r w:rsidR="00DD2D1F" w:rsidRPr="00A2457E">
        <w:rPr>
          <w:rFonts w:ascii="Times New Roman" w:hAnsi="Times New Roman"/>
          <w:i/>
          <w:szCs w:val="24"/>
        </w:rPr>
        <w:t>acts</w:t>
      </w:r>
      <w:r w:rsidR="00DD2D1F" w:rsidRPr="00A2457E">
        <w:rPr>
          <w:rFonts w:ascii="Times New Roman" w:hAnsi="Times New Roman"/>
          <w:szCs w:val="24"/>
        </w:rPr>
        <w:t xml:space="preserve"> and the Civil Rights Data Collection (CRDC)</w:t>
      </w:r>
      <w:r w:rsidRPr="00A2457E">
        <w:rPr>
          <w:rFonts w:ascii="Times New Roman" w:hAnsi="Times New Roman"/>
          <w:szCs w:val="24"/>
        </w:rPr>
        <w:t>. Information from these sources will be incorporated</w:t>
      </w:r>
      <w:r w:rsidR="00DD2D1F" w:rsidRPr="00A2457E">
        <w:rPr>
          <w:rFonts w:ascii="Times New Roman" w:hAnsi="Times New Roman"/>
          <w:szCs w:val="24"/>
        </w:rPr>
        <w:t xml:space="preserve"> into final datasets to allow researchers and policymakers to </w:t>
      </w:r>
      <w:r w:rsidR="004E5B8D" w:rsidRPr="00A2457E">
        <w:rPr>
          <w:rFonts w:ascii="Times New Roman" w:hAnsi="Times New Roman"/>
          <w:szCs w:val="24"/>
        </w:rPr>
        <w:t>analyze</w:t>
      </w:r>
      <w:r w:rsidR="00DD2D1F" w:rsidRPr="00A2457E">
        <w:rPr>
          <w:rFonts w:ascii="Times New Roman" w:hAnsi="Times New Roman"/>
          <w:szCs w:val="24"/>
        </w:rPr>
        <w:t xml:space="preserve"> </w:t>
      </w:r>
      <w:r w:rsidR="004E5B8D" w:rsidRPr="00A2457E">
        <w:rPr>
          <w:rFonts w:ascii="Times New Roman" w:hAnsi="Times New Roman"/>
          <w:szCs w:val="24"/>
        </w:rPr>
        <w:t>those data together</w:t>
      </w:r>
      <w:r w:rsidR="00DD2D1F" w:rsidRPr="00A2457E">
        <w:rPr>
          <w:rFonts w:ascii="Times New Roman" w:hAnsi="Times New Roman"/>
          <w:szCs w:val="24"/>
        </w:rPr>
        <w:t xml:space="preserve">. This will further reduce the need to collect from schools </w:t>
      </w:r>
      <w:r w:rsidR="00E908BF" w:rsidRPr="00A2457E">
        <w:rPr>
          <w:rFonts w:ascii="Times New Roman" w:hAnsi="Times New Roman"/>
          <w:szCs w:val="24"/>
        </w:rPr>
        <w:t xml:space="preserve">data </w:t>
      </w:r>
      <w:r w:rsidR="00DD2D1F" w:rsidRPr="00A2457E">
        <w:rPr>
          <w:rFonts w:ascii="Times New Roman" w:hAnsi="Times New Roman"/>
          <w:szCs w:val="24"/>
        </w:rPr>
        <w:t xml:space="preserve">that have already been collected </w:t>
      </w:r>
      <w:r w:rsidR="004E5B8D" w:rsidRPr="00A2457E">
        <w:rPr>
          <w:rFonts w:ascii="Times New Roman" w:hAnsi="Times New Roman"/>
          <w:szCs w:val="24"/>
        </w:rPr>
        <w:t xml:space="preserve">from state or </w:t>
      </w:r>
      <w:r w:rsidR="00DD2D1F" w:rsidRPr="00A2457E">
        <w:rPr>
          <w:rFonts w:ascii="Times New Roman" w:hAnsi="Times New Roman"/>
          <w:szCs w:val="24"/>
        </w:rPr>
        <w:t>district</w:t>
      </w:r>
      <w:r w:rsidR="004E5B8D" w:rsidRPr="00A2457E">
        <w:rPr>
          <w:rFonts w:ascii="Times New Roman" w:hAnsi="Times New Roman"/>
          <w:szCs w:val="24"/>
        </w:rPr>
        <w:t xml:space="preserve"> </w:t>
      </w:r>
      <w:r w:rsidR="00E908BF" w:rsidRPr="00A2457E">
        <w:rPr>
          <w:rFonts w:ascii="Times New Roman" w:hAnsi="Times New Roman"/>
          <w:szCs w:val="24"/>
        </w:rPr>
        <w:t xml:space="preserve">education </w:t>
      </w:r>
      <w:r w:rsidR="004E5B8D" w:rsidRPr="00A2457E">
        <w:rPr>
          <w:rFonts w:ascii="Times New Roman" w:hAnsi="Times New Roman"/>
          <w:szCs w:val="24"/>
        </w:rPr>
        <w:t>agencies.</w:t>
      </w:r>
    </w:p>
    <w:p w14:paraId="282826F4" w14:textId="4E810A53" w:rsidR="00DD2D1F" w:rsidRPr="00A2457E" w:rsidRDefault="004E5B8D" w:rsidP="007D4EB8">
      <w:pPr>
        <w:pStyle w:val="ListParagraph"/>
        <w:numPr>
          <w:ilvl w:val="0"/>
          <w:numId w:val="14"/>
        </w:numPr>
        <w:spacing w:after="120" w:line="240" w:lineRule="auto"/>
        <w:ind w:left="540"/>
        <w:rPr>
          <w:rFonts w:ascii="Times New Roman" w:hAnsi="Times New Roman"/>
          <w:szCs w:val="24"/>
        </w:rPr>
      </w:pPr>
      <w:r w:rsidRPr="00A2457E">
        <w:rPr>
          <w:rFonts w:ascii="Times New Roman" w:hAnsi="Times New Roman"/>
          <w:b/>
          <w:i/>
          <w:iCs/>
          <w:szCs w:val="24"/>
        </w:rPr>
        <w:t>Recruit survey</w:t>
      </w:r>
      <w:r w:rsidR="00DD2D1F" w:rsidRPr="00A2457E">
        <w:rPr>
          <w:rFonts w:ascii="Times New Roman" w:hAnsi="Times New Roman"/>
          <w:b/>
          <w:i/>
          <w:iCs/>
          <w:szCs w:val="24"/>
        </w:rPr>
        <w:t xml:space="preserve"> coordinator</w:t>
      </w:r>
      <w:r w:rsidRPr="00A2457E">
        <w:rPr>
          <w:rFonts w:ascii="Times New Roman" w:hAnsi="Times New Roman"/>
          <w:b/>
          <w:i/>
          <w:iCs/>
          <w:szCs w:val="24"/>
        </w:rPr>
        <w:t>s</w:t>
      </w:r>
      <w:r w:rsidR="00DD2D1F" w:rsidRPr="00A2457E">
        <w:rPr>
          <w:rFonts w:ascii="Times New Roman" w:hAnsi="Times New Roman"/>
          <w:b/>
          <w:szCs w:val="24"/>
        </w:rPr>
        <w:t>.</w:t>
      </w:r>
      <w:r w:rsidR="00DD2D1F" w:rsidRPr="00A2457E">
        <w:rPr>
          <w:rFonts w:ascii="Times New Roman" w:hAnsi="Times New Roman"/>
          <w:szCs w:val="24"/>
        </w:rPr>
        <w:t xml:space="preserve"> </w:t>
      </w:r>
      <w:r w:rsidRPr="00A2457E">
        <w:rPr>
          <w:rFonts w:ascii="Times New Roman" w:hAnsi="Times New Roman"/>
          <w:szCs w:val="24"/>
        </w:rPr>
        <w:t>Successive administrations of SASS and NTPS have shown that an important procedure to</w:t>
      </w:r>
      <w:r w:rsidR="00E908BF" w:rsidRPr="00A2457E">
        <w:rPr>
          <w:rFonts w:ascii="Times New Roman" w:hAnsi="Times New Roman"/>
          <w:szCs w:val="24"/>
        </w:rPr>
        <w:t xml:space="preserve"> help</w:t>
      </w:r>
      <w:r w:rsidRPr="00A2457E">
        <w:rPr>
          <w:rFonts w:ascii="Times New Roman" w:hAnsi="Times New Roman"/>
          <w:szCs w:val="24"/>
        </w:rPr>
        <w:t xml:space="preserve"> maximize r</w:t>
      </w:r>
      <w:r w:rsidR="00DD2D1F" w:rsidRPr="00A2457E">
        <w:rPr>
          <w:rFonts w:ascii="Times New Roman" w:hAnsi="Times New Roman"/>
          <w:szCs w:val="24"/>
        </w:rPr>
        <w:t>esponse rates is</w:t>
      </w:r>
      <w:r w:rsidRPr="00A2457E">
        <w:rPr>
          <w:rFonts w:ascii="Times New Roman" w:hAnsi="Times New Roman"/>
          <w:szCs w:val="24"/>
        </w:rPr>
        <w:t xml:space="preserve"> to </w:t>
      </w:r>
      <w:r w:rsidR="00DD2D1F" w:rsidRPr="00A2457E">
        <w:rPr>
          <w:rFonts w:ascii="Times New Roman" w:hAnsi="Times New Roman"/>
          <w:szCs w:val="24"/>
        </w:rPr>
        <w:t xml:space="preserve">establish a school-based "survey coordinator" to serve as a primary point of contact for NTPS staff. The use of a </w:t>
      </w:r>
      <w:r w:rsidRPr="00A2457E">
        <w:rPr>
          <w:rFonts w:ascii="Times New Roman" w:hAnsi="Times New Roman"/>
          <w:szCs w:val="24"/>
        </w:rPr>
        <w:t>survey</w:t>
      </w:r>
      <w:r w:rsidR="00DD2D1F" w:rsidRPr="00A2457E">
        <w:rPr>
          <w:rFonts w:ascii="Times New Roman" w:hAnsi="Times New Roman"/>
          <w:szCs w:val="24"/>
        </w:rPr>
        <w:t xml:space="preserve"> coordinator is expected to help keep response rates high, provide some minimal data quality checks, and simplify the follow-up process by having one point of contact.</w:t>
      </w:r>
    </w:p>
    <w:p w14:paraId="4D56956B" w14:textId="615C314F" w:rsidR="007215B4" w:rsidRPr="00A2457E" w:rsidRDefault="00E908BF" w:rsidP="007D4EB8">
      <w:pPr>
        <w:pStyle w:val="ListParagraph"/>
        <w:numPr>
          <w:ilvl w:val="0"/>
          <w:numId w:val="14"/>
        </w:numPr>
        <w:spacing w:after="120" w:line="240" w:lineRule="auto"/>
        <w:ind w:left="540"/>
        <w:rPr>
          <w:rFonts w:ascii="Times New Roman" w:hAnsi="Times New Roman"/>
          <w:iCs/>
          <w:szCs w:val="24"/>
        </w:rPr>
      </w:pPr>
      <w:r w:rsidRPr="00A2457E">
        <w:rPr>
          <w:rFonts w:ascii="Times New Roman" w:hAnsi="Times New Roman"/>
          <w:b/>
          <w:i/>
          <w:iCs/>
          <w:szCs w:val="24"/>
        </w:rPr>
        <w:t>Tailor non</w:t>
      </w:r>
      <w:r w:rsidR="00DD2D1F" w:rsidRPr="00A2457E">
        <w:rPr>
          <w:rFonts w:ascii="Times New Roman" w:hAnsi="Times New Roman"/>
          <w:b/>
          <w:i/>
          <w:iCs/>
          <w:szCs w:val="24"/>
        </w:rPr>
        <w:t>response follow up strategies</w:t>
      </w:r>
      <w:r w:rsidR="004E5B8D" w:rsidRPr="00A2457E">
        <w:rPr>
          <w:rFonts w:ascii="Times New Roman" w:hAnsi="Times New Roman"/>
          <w:b/>
          <w:i/>
          <w:iCs/>
          <w:szCs w:val="24"/>
        </w:rPr>
        <w:t>.</w:t>
      </w:r>
      <w:r w:rsidR="004E5B8D" w:rsidRPr="00A2457E">
        <w:rPr>
          <w:rFonts w:ascii="Times New Roman" w:hAnsi="Times New Roman"/>
          <w:i/>
          <w:iCs/>
          <w:szCs w:val="24"/>
        </w:rPr>
        <w:t xml:space="preserve"> </w:t>
      </w:r>
      <w:r w:rsidR="004E5B8D" w:rsidRPr="00A2457E">
        <w:rPr>
          <w:rFonts w:ascii="Times New Roman" w:hAnsi="Times New Roman"/>
          <w:iCs/>
          <w:szCs w:val="24"/>
        </w:rPr>
        <w:t xml:space="preserve">In an effort to maximize response rates and minimize the potential for bias, NCES took a number of steps prior to the </w:t>
      </w:r>
      <w:r w:rsidR="00A22ED6">
        <w:rPr>
          <w:rFonts w:ascii="Times New Roman" w:hAnsi="Times New Roman"/>
          <w:iCs/>
          <w:szCs w:val="24"/>
        </w:rPr>
        <w:t>2017-18</w:t>
      </w:r>
      <w:r w:rsidR="004E5B8D" w:rsidRPr="00A2457E">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22ED6">
        <w:rPr>
          <w:rFonts w:ascii="Times New Roman" w:hAnsi="Times New Roman"/>
          <w:iCs/>
          <w:szCs w:val="24"/>
        </w:rPr>
        <w:t>2017-18</w:t>
      </w:r>
      <w:r w:rsidR="004D17BE">
        <w:rPr>
          <w:rFonts w:ascii="Times New Roman" w:hAnsi="Times New Roman"/>
          <w:iCs/>
          <w:szCs w:val="24"/>
        </w:rPr>
        <w:t xml:space="preserve"> and 2015-16 NTPS data, as well as SASS data, </w:t>
      </w:r>
      <w:r w:rsidR="004E5B8D" w:rsidRPr="00A2457E">
        <w:rPr>
          <w:rFonts w:ascii="Times New Roman" w:hAnsi="Times New Roman"/>
          <w:iCs/>
          <w:szCs w:val="24"/>
        </w:rPr>
        <w:t>as described below) and the highest potential impact on estimates.</w:t>
      </w:r>
    </w:p>
    <w:p w14:paraId="276B1650" w14:textId="133C0DE5" w:rsidR="00DD2D1F" w:rsidRPr="00A2457E" w:rsidRDefault="004E5B8D" w:rsidP="007D4EB8">
      <w:pPr>
        <w:pStyle w:val="ListParagraph"/>
        <w:spacing w:after="120" w:line="240" w:lineRule="auto"/>
        <w:ind w:left="540"/>
        <w:rPr>
          <w:rFonts w:ascii="Times New Roman" w:hAnsi="Times New Roman"/>
          <w:iCs/>
          <w:szCs w:val="24"/>
        </w:rPr>
      </w:pPr>
      <w:r w:rsidRPr="00A2457E">
        <w:rPr>
          <w:rFonts w:ascii="Times New Roman" w:hAnsi="Times New Roman"/>
          <w:iCs/>
          <w:szCs w:val="24"/>
        </w:rPr>
        <w:t>As in NTPS</w:t>
      </w:r>
      <w:r w:rsidR="00997AD1">
        <w:rPr>
          <w:rFonts w:ascii="Times New Roman" w:hAnsi="Times New Roman"/>
          <w:iCs/>
          <w:szCs w:val="24"/>
        </w:rPr>
        <w:t xml:space="preserve"> 2017-18</w:t>
      </w:r>
      <w:r w:rsidRPr="00A2457E">
        <w:rPr>
          <w:rFonts w:ascii="Times New Roman" w:hAnsi="Times New Roman"/>
          <w:iCs/>
          <w:szCs w:val="24"/>
        </w:rPr>
        <w:t>, schools sampled for NTPS</w:t>
      </w:r>
      <w:r w:rsidR="00997AD1">
        <w:rPr>
          <w:rFonts w:ascii="Times New Roman" w:hAnsi="Times New Roman"/>
          <w:iCs/>
          <w:szCs w:val="24"/>
        </w:rPr>
        <w:t xml:space="preserve"> 2019-20</w:t>
      </w:r>
      <w:r w:rsidRPr="00A2457E">
        <w:rPr>
          <w:rFonts w:ascii="Times New Roman" w:hAnsi="Times New Roman"/>
          <w:iCs/>
          <w:szCs w:val="24"/>
        </w:rPr>
        <w:t xml:space="preserve"> will b</w:t>
      </w:r>
      <w:r w:rsidR="00DD2D1F" w:rsidRPr="00A2457E">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14:paraId="5243D354" w14:textId="77777777" w:rsidR="00DD2D1F" w:rsidRPr="00A2457E" w:rsidRDefault="00763335" w:rsidP="007D4EB8">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14:paraId="0F0F164F" w14:textId="19AEADFE" w:rsidR="00DD2D1F" w:rsidRPr="00A2457E" w:rsidRDefault="009F5A09" w:rsidP="007D4EB8">
      <w:pPr>
        <w:pStyle w:val="ListParagraph"/>
        <w:spacing w:after="120" w:line="240" w:lineRule="auto"/>
        <w:ind w:left="540"/>
        <w:rPr>
          <w:rFonts w:ascii="Times New Roman" w:hAnsi="Times New Roman"/>
          <w:iCs/>
          <w:szCs w:val="24"/>
        </w:rPr>
      </w:pPr>
      <w:r>
        <w:rPr>
          <w:rFonts w:ascii="Times New Roman" w:hAnsi="Times New Roman"/>
          <w:iCs/>
          <w:szCs w:val="24"/>
        </w:rPr>
        <w:t>w</w:t>
      </w:r>
      <w:r w:rsidR="00836DBF" w:rsidRPr="00A2457E">
        <w:rPr>
          <w:rFonts w:ascii="Times New Roman" w:hAnsi="Times New Roman"/>
          <w:iCs/>
          <w:szCs w:val="24"/>
        </w:rPr>
        <w:t>here</w:t>
      </w:r>
      <w:r w:rsidR="00DD2D1F" w:rsidRPr="00A2457E">
        <w:rPr>
          <w:rFonts w:ascii="Times New Roman" w:hAnsi="Times New Roman"/>
          <w:iCs/>
          <w:szCs w:val="24"/>
        </w:rPr>
        <w:t>:</w:t>
      </w:r>
      <w:r w:rsidR="00DD2D1F" w:rsidRPr="00A2457E">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00DD2D1F" w:rsidRPr="00A2457E">
        <w:rPr>
          <w:rFonts w:ascii="Times New Roman" w:hAnsi="Times New Roman"/>
          <w:iCs/>
          <w:szCs w:val="24"/>
        </w:rPr>
        <w:t xml:space="preserve"> is the final weighted response influence for a school,</w:t>
      </w:r>
    </w:p>
    <w:p w14:paraId="50D7918A" w14:textId="77777777" w:rsidR="00DD2D1F" w:rsidRPr="00A2457E" w:rsidRDefault="00763335" w:rsidP="007D4EB8">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A2457E">
        <w:rPr>
          <w:rFonts w:ascii="Times New Roman" w:hAnsi="Times New Roman"/>
          <w:iCs/>
          <w:szCs w:val="24"/>
        </w:rPr>
        <w:t xml:space="preserve"> is the baseweight for a school, and</w:t>
      </w:r>
    </w:p>
    <w:p w14:paraId="78F747DA" w14:textId="1A485A0B" w:rsidR="00DD2D1F" w:rsidRPr="00A2457E" w:rsidRDefault="00763335" w:rsidP="007D4EB8">
      <w:pPr>
        <w:pStyle w:val="ListParagraph"/>
        <w:spacing w:after="120" w:line="240" w:lineRule="auto"/>
        <w:ind w:left="1260" w:firstLine="180"/>
        <w:rPr>
          <w:rFonts w:ascii="Times New Roman" w:hAnsi="Times New Roman"/>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A2457E">
        <w:rPr>
          <w:rFonts w:ascii="Times New Roman" w:hAnsi="Times New Roman"/>
          <w:iCs/>
          <w:szCs w:val="24"/>
        </w:rPr>
        <w:t xml:space="preserve"> is the estimated response propensity for a school</w:t>
      </w:r>
    </w:p>
    <w:p w14:paraId="422035D3" w14:textId="13A22A58" w:rsidR="00DD2D1F" w:rsidRPr="00A2457E" w:rsidRDefault="00DD2D1F" w:rsidP="007D4EB8">
      <w:pPr>
        <w:pStyle w:val="ListParagraph"/>
        <w:spacing w:after="120" w:line="240" w:lineRule="auto"/>
        <w:ind w:left="540"/>
        <w:rPr>
          <w:rFonts w:ascii="Times New Roman" w:hAnsi="Times New Roman"/>
          <w:iCs/>
          <w:szCs w:val="24"/>
        </w:rPr>
      </w:pPr>
      <w:r w:rsidRPr="00A2457E">
        <w:rPr>
          <w:rFonts w:ascii="Times New Roman" w:hAnsi="Times New Roman"/>
          <w:iCs/>
          <w:szCs w:val="24"/>
        </w:rPr>
        <w:t xml:space="preserve">As the formula shows, a case with either an extremely high weight or an extremely low response propensity </w:t>
      </w:r>
      <w:r w:rsidR="004B75CF" w:rsidRPr="00A2457E">
        <w:rPr>
          <w:rFonts w:ascii="Times New Roman" w:hAnsi="Times New Roman"/>
          <w:iCs/>
          <w:szCs w:val="24"/>
        </w:rPr>
        <w:t xml:space="preserve">has a </w:t>
      </w:r>
      <w:r w:rsidRPr="00A2457E">
        <w:rPr>
          <w:rFonts w:ascii="Times New Roman" w:hAnsi="Times New Roman"/>
          <w:iCs/>
          <w:szCs w:val="24"/>
        </w:rPr>
        <w:t xml:space="preserve">large response influence, </w:t>
      </w:r>
      <w:r w:rsidR="004B75CF" w:rsidRPr="00A2457E">
        <w:rPr>
          <w:rFonts w:ascii="Times New Roman" w:hAnsi="Times New Roman"/>
          <w:iCs/>
          <w:szCs w:val="24"/>
        </w:rPr>
        <w:t>meaning that their nonresponse will disproportionately affect the nonresponse adjustment cell</w:t>
      </w:r>
      <w:r w:rsidRPr="00A2457E">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A2457E">
        <w:rPr>
          <w:rFonts w:ascii="Times New Roman" w:hAnsi="Times New Roman"/>
          <w:iCs/>
          <w:szCs w:val="24"/>
        </w:rPr>
        <w:t xml:space="preserve">the formula takes </w:t>
      </w:r>
      <w:r w:rsidRPr="00A2457E">
        <w:rPr>
          <w:rFonts w:ascii="Times New Roman" w:hAnsi="Times New Roman"/>
          <w:iCs/>
          <w:szCs w:val="24"/>
        </w:rPr>
        <w:t>the natural log of the base weight</w:t>
      </w:r>
      <w:r w:rsidR="004B75CF" w:rsidRPr="00A2457E">
        <w:rPr>
          <w:rFonts w:ascii="Times New Roman" w:hAnsi="Times New Roman"/>
          <w:iCs/>
          <w:szCs w:val="24"/>
        </w:rPr>
        <w:t>.</w:t>
      </w:r>
    </w:p>
    <w:p w14:paraId="269ABDC1" w14:textId="50F4FC7C" w:rsidR="00A61FA5" w:rsidRPr="00A2457E" w:rsidRDefault="00137E07" w:rsidP="007D4EB8">
      <w:pPr>
        <w:pStyle w:val="ListParagraph"/>
        <w:spacing w:after="120" w:line="240" w:lineRule="auto"/>
        <w:ind w:left="540"/>
        <w:rPr>
          <w:rFonts w:ascii="Times New Roman" w:hAnsi="Times New Roman"/>
          <w:szCs w:val="24"/>
        </w:rPr>
      </w:pPr>
      <w:r w:rsidRPr="00137E07">
        <w:rPr>
          <w:rFonts w:ascii="Times New Roman" w:hAnsi="Times New Roman"/>
          <w:iCs/>
          <w:szCs w:val="24"/>
        </w:rPr>
        <w:t xml:space="preserve">The weighted response propensity model for NTPS </w:t>
      </w:r>
      <w:r w:rsidR="00997AD1">
        <w:rPr>
          <w:rFonts w:ascii="Times New Roman" w:hAnsi="Times New Roman"/>
          <w:iCs/>
          <w:szCs w:val="24"/>
        </w:rPr>
        <w:t xml:space="preserve">2017-18 </w:t>
      </w:r>
      <w:r w:rsidRPr="00137E07">
        <w:rPr>
          <w:rFonts w:ascii="Times New Roman" w:hAnsi="Times New Roman"/>
          <w:iCs/>
          <w:szCs w:val="24"/>
        </w:rPr>
        <w:t xml:space="preserve">was developed using data from </w:t>
      </w:r>
      <w:r w:rsidR="004D17BE">
        <w:rPr>
          <w:rFonts w:ascii="Times New Roman" w:hAnsi="Times New Roman"/>
          <w:iCs/>
          <w:szCs w:val="24"/>
        </w:rPr>
        <w:t>NTPS</w:t>
      </w:r>
      <w:r w:rsidR="00997AD1">
        <w:rPr>
          <w:rFonts w:ascii="Times New Roman" w:hAnsi="Times New Roman"/>
          <w:iCs/>
          <w:szCs w:val="24"/>
        </w:rPr>
        <w:t xml:space="preserve"> 2015-16</w:t>
      </w:r>
      <w:r w:rsidR="004D17BE">
        <w:rPr>
          <w:rFonts w:ascii="Times New Roman" w:hAnsi="Times New Roman"/>
          <w:iCs/>
          <w:szCs w:val="24"/>
        </w:rPr>
        <w:t xml:space="preserve"> and </w:t>
      </w:r>
      <w:r w:rsidRPr="004D17BE">
        <w:rPr>
          <w:rFonts w:ascii="Times New Roman" w:hAnsi="Times New Roman"/>
          <w:iCs/>
          <w:szCs w:val="24"/>
        </w:rPr>
        <w:t>SASS</w:t>
      </w:r>
      <w:r w:rsidR="00997AD1">
        <w:rPr>
          <w:rFonts w:ascii="Times New Roman" w:hAnsi="Times New Roman"/>
          <w:iCs/>
          <w:szCs w:val="24"/>
        </w:rPr>
        <w:t xml:space="preserve"> 2011-12</w:t>
      </w:r>
      <w:r w:rsidRPr="00137E07">
        <w:rPr>
          <w:rFonts w:ascii="Times New Roman" w:hAnsi="Times New Roman"/>
          <w:iCs/>
          <w:szCs w:val="24"/>
        </w:rPr>
        <w:t xml:space="preserve">. Specific categories of variables available for evaluation include geography, urbanicity, racial/ethnic makeup, enrollment, grades levels, percent </w:t>
      </w:r>
      <w:r w:rsidR="00836DBF">
        <w:rPr>
          <w:rFonts w:ascii="Times New Roman" w:hAnsi="Times New Roman"/>
          <w:iCs/>
          <w:szCs w:val="24"/>
        </w:rPr>
        <w:t>of free lunch recipients</w:t>
      </w:r>
      <w:r w:rsidRPr="00137E07">
        <w:rPr>
          <w:rFonts w:ascii="Times New Roman" w:hAnsi="Times New Roman"/>
          <w:iCs/>
          <w:szCs w:val="24"/>
        </w:rPr>
        <w:t xml:space="preserve">, and type of school. These variables are available in </w:t>
      </w:r>
      <w:r w:rsidR="009F5A09">
        <w:rPr>
          <w:rFonts w:ascii="Times New Roman" w:hAnsi="Times New Roman"/>
          <w:iCs/>
          <w:szCs w:val="24"/>
        </w:rPr>
        <w:t xml:space="preserve">the </w:t>
      </w:r>
      <w:r w:rsidRPr="00137E07">
        <w:rPr>
          <w:rFonts w:ascii="Times New Roman" w:hAnsi="Times New Roman"/>
          <w:iCs/>
          <w:szCs w:val="24"/>
        </w:rPr>
        <w:t>SASS 2011-2012</w:t>
      </w:r>
      <w:r w:rsidR="00A22ED6">
        <w:rPr>
          <w:rFonts w:ascii="Times New Roman" w:hAnsi="Times New Roman"/>
          <w:iCs/>
          <w:szCs w:val="24"/>
        </w:rPr>
        <w:t>,</w:t>
      </w:r>
      <w:r w:rsidR="004D17BE">
        <w:rPr>
          <w:rFonts w:ascii="Times New Roman" w:hAnsi="Times New Roman"/>
          <w:iCs/>
          <w:szCs w:val="24"/>
        </w:rPr>
        <w:t xml:space="preserve"> </w:t>
      </w:r>
      <w:r w:rsidRPr="00137E07">
        <w:rPr>
          <w:rFonts w:ascii="Times New Roman" w:hAnsi="Times New Roman"/>
          <w:iCs/>
          <w:szCs w:val="24"/>
        </w:rPr>
        <w:t>NTPS 2015-16</w:t>
      </w:r>
      <w:r w:rsidR="00A22ED6">
        <w:rPr>
          <w:rFonts w:ascii="Times New Roman" w:hAnsi="Times New Roman"/>
          <w:iCs/>
          <w:szCs w:val="24"/>
        </w:rPr>
        <w:t>, and NTPS 2017-18</w:t>
      </w:r>
      <w:r w:rsidRPr="00137E07">
        <w:rPr>
          <w:rFonts w:ascii="Times New Roman" w:hAnsi="Times New Roman"/>
          <w:iCs/>
          <w:szCs w:val="24"/>
        </w:rPr>
        <w:t xml:space="preserve"> sample files, enabling us to leverage past experience in creating the response propensity models. The NTPS </w:t>
      </w:r>
      <w:r w:rsidR="00A22ED6">
        <w:rPr>
          <w:rFonts w:ascii="Times New Roman" w:hAnsi="Times New Roman"/>
          <w:iCs/>
          <w:szCs w:val="24"/>
        </w:rPr>
        <w:t>2017-18</w:t>
      </w:r>
      <w:r w:rsidRPr="00137E07">
        <w:rPr>
          <w:rFonts w:ascii="Times New Roman" w:hAnsi="Times New Roman"/>
          <w:iCs/>
          <w:szCs w:val="24"/>
        </w:rPr>
        <w:t xml:space="preserve"> data collection plan employed propensity modeling to identify high priority schools and modified collection strategies in order to increase response rates for those schools. Results from the NTPS </w:t>
      </w:r>
      <w:r w:rsidR="00A22ED6">
        <w:rPr>
          <w:rFonts w:ascii="Times New Roman" w:hAnsi="Times New Roman"/>
          <w:iCs/>
          <w:szCs w:val="24"/>
        </w:rPr>
        <w:t>2017-18</w:t>
      </w:r>
      <w:r w:rsidRPr="00137E07">
        <w:rPr>
          <w:rFonts w:ascii="Times New Roman" w:hAnsi="Times New Roman"/>
          <w:iCs/>
          <w:szCs w:val="24"/>
        </w:rPr>
        <w:t xml:space="preserve"> data showed that the model and strategies used helped reduce declining response rates amongst those schools and thus the same propensity model and similar collection strategies will be used in NTPS</w:t>
      </w:r>
      <w:r w:rsidR="00997AD1">
        <w:rPr>
          <w:rFonts w:ascii="Times New Roman" w:hAnsi="Times New Roman"/>
          <w:iCs/>
          <w:szCs w:val="24"/>
        </w:rPr>
        <w:t xml:space="preserve"> 2019-20</w:t>
      </w:r>
      <w:r w:rsidR="00B756CF" w:rsidRPr="00A2457E">
        <w:rPr>
          <w:rFonts w:ascii="Times New Roman" w:hAnsi="Times New Roman"/>
          <w:iCs/>
          <w:szCs w:val="24"/>
        </w:rPr>
        <w:t>.</w:t>
      </w:r>
    </w:p>
    <w:p w14:paraId="1016D8CF" w14:textId="25084E77" w:rsidR="007215B4" w:rsidRPr="00A2457E" w:rsidRDefault="00D815C5" w:rsidP="009F5A09">
      <w:pPr>
        <w:pStyle w:val="ListParagraph"/>
        <w:widowControl w:val="0"/>
        <w:spacing w:after="120" w:line="240" w:lineRule="auto"/>
        <w:ind w:left="547"/>
        <w:rPr>
          <w:rFonts w:ascii="Times New Roman" w:hAnsi="Times New Roman"/>
          <w:iCs/>
          <w:szCs w:val="24"/>
        </w:rPr>
      </w:pPr>
      <w:r w:rsidRPr="00A2457E">
        <w:rPr>
          <w:rFonts w:ascii="Times New Roman" w:hAnsi="Times New Roman"/>
          <w:iCs/>
          <w:szCs w:val="24"/>
        </w:rPr>
        <w:t>The priority flag was assigned at the school level in NTPS</w:t>
      </w:r>
      <w:r w:rsidR="00C418E6">
        <w:rPr>
          <w:rFonts w:ascii="Times New Roman" w:hAnsi="Times New Roman"/>
          <w:iCs/>
          <w:szCs w:val="24"/>
        </w:rPr>
        <w:t xml:space="preserve"> 2017-18</w:t>
      </w:r>
      <w:r w:rsidR="00D977A1">
        <w:rPr>
          <w:rFonts w:ascii="Times New Roman" w:hAnsi="Times New Roman"/>
          <w:iCs/>
          <w:szCs w:val="24"/>
        </w:rPr>
        <w:t xml:space="preserve"> </w:t>
      </w:r>
      <w:r w:rsidR="00D977A1" w:rsidRPr="00D977A1">
        <w:rPr>
          <w:rFonts w:ascii="Times New Roman" w:hAnsi="Times New Roman"/>
          <w:iCs/>
          <w:szCs w:val="24"/>
        </w:rPr>
        <w:t>and the same will be done for</w:t>
      </w:r>
      <w:r w:rsidR="00D977A1">
        <w:rPr>
          <w:rFonts w:ascii="Times New Roman" w:hAnsi="Times New Roman"/>
          <w:iCs/>
          <w:szCs w:val="24"/>
        </w:rPr>
        <w:t xml:space="preserve"> </w:t>
      </w:r>
      <w:r w:rsidR="00D977A1" w:rsidRPr="00137E07">
        <w:rPr>
          <w:rFonts w:ascii="Times New Roman" w:hAnsi="Times New Roman"/>
          <w:iCs/>
          <w:szCs w:val="24"/>
        </w:rPr>
        <w:t>NTPS</w:t>
      </w:r>
      <w:r w:rsidR="00D977A1">
        <w:rPr>
          <w:rFonts w:ascii="Times New Roman" w:hAnsi="Times New Roman"/>
          <w:iCs/>
          <w:szCs w:val="24"/>
        </w:rPr>
        <w:t xml:space="preserve"> 2019-20</w:t>
      </w:r>
      <w:r w:rsidR="008D3CB2">
        <w:rPr>
          <w:rFonts w:ascii="Times New Roman" w:hAnsi="Times New Roman"/>
          <w:iCs/>
          <w:szCs w:val="24"/>
        </w:rPr>
        <w:t>.</w:t>
      </w:r>
      <w:r w:rsidRPr="00A2457E">
        <w:rPr>
          <w:rFonts w:ascii="Times New Roman" w:hAnsi="Times New Roman"/>
          <w:iCs/>
          <w:szCs w:val="24"/>
        </w:rPr>
        <w:t xml:space="preserve"> During data collection, the priority flag was used to move high priority schools and schools without a </w:t>
      </w:r>
      <w:r w:rsidR="00B5667E" w:rsidRPr="00A2457E">
        <w:rPr>
          <w:rFonts w:ascii="Times New Roman" w:hAnsi="Times New Roman"/>
          <w:iCs/>
          <w:szCs w:val="24"/>
        </w:rPr>
        <w:t xml:space="preserve">survey </w:t>
      </w:r>
      <w:r w:rsidRPr="00A2457E">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14:paraId="57144F50" w14:textId="4F14C4E5" w:rsidR="00D44D3C" w:rsidRPr="00A2457E" w:rsidRDefault="00974611" w:rsidP="007D4EB8">
      <w:pPr>
        <w:pStyle w:val="ListParagraph"/>
        <w:spacing w:after="120" w:line="240" w:lineRule="auto"/>
        <w:ind w:left="540"/>
        <w:rPr>
          <w:rFonts w:ascii="Times New Roman" w:hAnsi="Times New Roman"/>
          <w:iCs/>
          <w:szCs w:val="24"/>
        </w:rPr>
      </w:pPr>
      <w:r w:rsidRPr="00A2457E">
        <w:rPr>
          <w:rFonts w:ascii="Times New Roman" w:hAnsi="Times New Roman"/>
          <w:iCs/>
          <w:szCs w:val="24"/>
        </w:rPr>
        <w:t>NTPS</w:t>
      </w:r>
      <w:r w:rsidR="008D3CB2">
        <w:rPr>
          <w:rFonts w:ascii="Times New Roman" w:hAnsi="Times New Roman"/>
          <w:iCs/>
          <w:szCs w:val="24"/>
        </w:rPr>
        <w:t xml:space="preserve"> 2017-18</w:t>
      </w:r>
      <w:r w:rsidRPr="00A2457E">
        <w:rPr>
          <w:rFonts w:ascii="Times New Roman" w:hAnsi="Times New Roman"/>
          <w:iCs/>
          <w:szCs w:val="24"/>
        </w:rPr>
        <w:t xml:space="preserve"> data collection for priority schools </w:t>
      </w:r>
      <w:r w:rsidR="008D3CB2">
        <w:rPr>
          <w:rFonts w:ascii="Times New Roman" w:hAnsi="Times New Roman"/>
          <w:szCs w:val="24"/>
        </w:rPr>
        <w:t>began</w:t>
      </w:r>
      <w:r w:rsidRPr="00A2457E">
        <w:rPr>
          <w:rFonts w:ascii="Times New Roman" w:hAnsi="Times New Roman"/>
          <w:szCs w:val="24"/>
        </w:rPr>
        <w:t xml:space="preserve"> with a personal visit from </w:t>
      </w:r>
      <w:r w:rsidR="00B5667E" w:rsidRPr="00A2457E">
        <w:rPr>
          <w:rFonts w:ascii="Times New Roman" w:hAnsi="Times New Roman"/>
          <w:szCs w:val="24"/>
        </w:rPr>
        <w:t xml:space="preserve">a </w:t>
      </w:r>
      <w:r w:rsidRPr="00A2457E">
        <w:rPr>
          <w:rFonts w:ascii="Times New Roman" w:hAnsi="Times New Roman"/>
          <w:szCs w:val="24"/>
        </w:rPr>
        <w:t xml:space="preserve">Census Bureau Field </w:t>
      </w:r>
      <w:r w:rsidR="00B5667E" w:rsidRPr="00A2457E">
        <w:rPr>
          <w:rFonts w:ascii="Times New Roman" w:hAnsi="Times New Roman"/>
          <w:szCs w:val="24"/>
        </w:rPr>
        <w:t xml:space="preserve">Representative </w:t>
      </w:r>
      <w:r w:rsidRPr="00A2457E">
        <w:rPr>
          <w:rFonts w:ascii="Times New Roman" w:hAnsi="Times New Roman"/>
          <w:szCs w:val="24"/>
        </w:rPr>
        <w:t xml:space="preserve">rather than </w:t>
      </w:r>
      <w:r w:rsidR="00B5667E" w:rsidRPr="00A2457E">
        <w:rPr>
          <w:rFonts w:ascii="Times New Roman" w:hAnsi="Times New Roman"/>
          <w:szCs w:val="24"/>
        </w:rPr>
        <w:t xml:space="preserve">beginning with </w:t>
      </w:r>
      <w:r w:rsidRPr="00A2457E">
        <w:rPr>
          <w:rFonts w:ascii="Times New Roman" w:hAnsi="Times New Roman"/>
          <w:szCs w:val="24"/>
        </w:rPr>
        <w:t xml:space="preserve">a series of mailouts and telephone operations. </w:t>
      </w:r>
      <w:r w:rsidRPr="00A2457E">
        <w:rPr>
          <w:rFonts w:ascii="Times New Roman" w:hAnsi="Times New Roman"/>
          <w:iCs/>
          <w:szCs w:val="24"/>
        </w:rPr>
        <w:t xml:space="preserve">By </w:t>
      </w:r>
      <w:r w:rsidR="00B5667E" w:rsidRPr="00A2457E">
        <w:rPr>
          <w:rFonts w:ascii="Times New Roman" w:hAnsi="Times New Roman"/>
          <w:iCs/>
          <w:szCs w:val="24"/>
        </w:rPr>
        <w:t>contacting the school staff in-person at</w:t>
      </w:r>
      <w:r w:rsidRPr="00A2457E">
        <w:rPr>
          <w:rFonts w:ascii="Times New Roman" w:hAnsi="Times New Roman"/>
          <w:iCs/>
          <w:szCs w:val="24"/>
        </w:rPr>
        <w:t xml:space="preserve"> the beginning of data collection, costs </w:t>
      </w:r>
      <w:r w:rsidR="008D3CB2">
        <w:rPr>
          <w:rFonts w:ascii="Times New Roman" w:hAnsi="Times New Roman"/>
          <w:iCs/>
          <w:szCs w:val="24"/>
        </w:rPr>
        <w:t>were</w:t>
      </w:r>
      <w:r w:rsidR="00E17F74" w:rsidRPr="00A2457E">
        <w:rPr>
          <w:rFonts w:ascii="Times New Roman" w:hAnsi="Times New Roman"/>
          <w:iCs/>
          <w:szCs w:val="24"/>
        </w:rPr>
        <w:t xml:space="preserve"> expected to be</w:t>
      </w:r>
      <w:r w:rsidRPr="00A2457E">
        <w:rPr>
          <w:rFonts w:ascii="Times New Roman" w:hAnsi="Times New Roman"/>
          <w:iCs/>
          <w:szCs w:val="24"/>
        </w:rPr>
        <w:t xml:space="preserve"> reduced due to the omission of the mailout and telephone operations that typically </w:t>
      </w:r>
      <w:r w:rsidR="00B5667E" w:rsidRPr="00A2457E">
        <w:rPr>
          <w:rFonts w:ascii="Times New Roman" w:hAnsi="Times New Roman"/>
          <w:iCs/>
          <w:szCs w:val="24"/>
        </w:rPr>
        <w:t>precede</w:t>
      </w:r>
      <w:r w:rsidRPr="00A2457E">
        <w:rPr>
          <w:rFonts w:ascii="Times New Roman" w:hAnsi="Times New Roman"/>
          <w:iCs/>
          <w:szCs w:val="24"/>
        </w:rPr>
        <w:t xml:space="preserve"> field operations. In addition</w:t>
      </w:r>
      <w:r w:rsidR="00B5667E" w:rsidRPr="00A2457E">
        <w:rPr>
          <w:rFonts w:ascii="Times New Roman" w:hAnsi="Times New Roman"/>
          <w:iCs/>
          <w:szCs w:val="24"/>
        </w:rPr>
        <w:t>,</w:t>
      </w:r>
      <w:r w:rsidRPr="00A2457E">
        <w:rPr>
          <w:rFonts w:ascii="Times New Roman" w:hAnsi="Times New Roman"/>
          <w:iCs/>
          <w:szCs w:val="24"/>
        </w:rPr>
        <w:t xml:space="preserve"> this approach </w:t>
      </w:r>
      <w:r w:rsidR="008D3CB2">
        <w:rPr>
          <w:rFonts w:ascii="Times New Roman" w:hAnsi="Times New Roman"/>
          <w:iCs/>
          <w:szCs w:val="24"/>
        </w:rPr>
        <w:t>was</w:t>
      </w:r>
      <w:r w:rsidR="00E17F74" w:rsidRPr="00A2457E">
        <w:rPr>
          <w:rFonts w:ascii="Times New Roman" w:hAnsi="Times New Roman"/>
          <w:iCs/>
          <w:szCs w:val="24"/>
        </w:rPr>
        <w:t xml:space="preserve"> expected to</w:t>
      </w:r>
      <w:r w:rsidRPr="00A2457E">
        <w:rPr>
          <w:rFonts w:ascii="Times New Roman" w:hAnsi="Times New Roman"/>
          <w:iCs/>
          <w:szCs w:val="24"/>
        </w:rPr>
        <w:t xml:space="preserve"> raise the probability of response by providing the field staff more time to secure the completed questionnaires. </w:t>
      </w:r>
      <w:r w:rsidR="00B5667E" w:rsidRPr="00A2457E">
        <w:rPr>
          <w:rFonts w:ascii="Times New Roman" w:hAnsi="Times New Roman"/>
          <w:iCs/>
          <w:szCs w:val="24"/>
        </w:rPr>
        <w:t xml:space="preserve">The primary focus of the operation </w:t>
      </w:r>
      <w:r w:rsidR="008D3CB2" w:rsidRPr="00A2457E">
        <w:rPr>
          <w:rFonts w:ascii="Times New Roman" w:hAnsi="Times New Roman"/>
          <w:iCs/>
          <w:szCs w:val="24"/>
        </w:rPr>
        <w:t>w</w:t>
      </w:r>
      <w:r w:rsidR="00C86DDD">
        <w:rPr>
          <w:rFonts w:ascii="Times New Roman" w:hAnsi="Times New Roman"/>
          <w:iCs/>
          <w:szCs w:val="24"/>
        </w:rPr>
        <w:t>as</w:t>
      </w:r>
      <w:r w:rsidR="008D3CB2">
        <w:rPr>
          <w:rFonts w:ascii="Times New Roman" w:hAnsi="Times New Roman"/>
          <w:iCs/>
          <w:szCs w:val="24"/>
        </w:rPr>
        <w:t xml:space="preserve"> to</w:t>
      </w:r>
      <w:r w:rsidR="00B5667E" w:rsidRPr="00A2457E">
        <w:rPr>
          <w:rFonts w:ascii="Times New Roman" w:hAnsi="Times New Roman"/>
          <w:iCs/>
          <w:szCs w:val="24"/>
        </w:rPr>
        <w:t xml:space="preserve"> obtain a complete TLF; however, the Field Representative also deliver</w:t>
      </w:r>
      <w:r w:rsidR="008D3CB2">
        <w:rPr>
          <w:rFonts w:ascii="Times New Roman" w:hAnsi="Times New Roman"/>
          <w:iCs/>
          <w:szCs w:val="24"/>
        </w:rPr>
        <w:t>ed</w:t>
      </w:r>
      <w:r w:rsidR="00B5667E" w:rsidRPr="00A2457E">
        <w:rPr>
          <w:rFonts w:ascii="Times New Roman" w:hAnsi="Times New Roman"/>
          <w:iCs/>
          <w:szCs w:val="24"/>
        </w:rPr>
        <w:t xml:space="preserve"> the invitations to complete the school and principal questionnaires online.</w:t>
      </w:r>
      <w:r w:rsidRPr="00A2457E">
        <w:rPr>
          <w:rFonts w:ascii="Times New Roman" w:hAnsi="Times New Roman"/>
          <w:iCs/>
          <w:szCs w:val="24"/>
        </w:rPr>
        <w:t xml:space="preserve"> Throughout data </w:t>
      </w:r>
      <w:r w:rsidR="00836DBF" w:rsidRPr="00A2457E">
        <w:rPr>
          <w:rFonts w:ascii="Times New Roman" w:hAnsi="Times New Roman"/>
          <w:iCs/>
          <w:szCs w:val="24"/>
        </w:rPr>
        <w:t>collection,</w:t>
      </w:r>
      <w:r w:rsidRPr="00A2457E">
        <w:rPr>
          <w:rFonts w:ascii="Times New Roman" w:hAnsi="Times New Roman"/>
          <w:iCs/>
          <w:szCs w:val="24"/>
        </w:rPr>
        <w:t xml:space="preserve"> </w:t>
      </w:r>
      <w:r w:rsidR="00836DBF" w:rsidRPr="00A2457E">
        <w:rPr>
          <w:rFonts w:ascii="Times New Roman" w:hAnsi="Times New Roman"/>
          <w:iCs/>
          <w:szCs w:val="24"/>
        </w:rPr>
        <w:t>NTPS staff on a daily basis reviewed the cases assigned to field</w:t>
      </w:r>
      <w:r w:rsidRPr="00A2457E">
        <w:rPr>
          <w:rFonts w:ascii="Times New Roman" w:hAnsi="Times New Roman"/>
          <w:iCs/>
          <w:szCs w:val="24"/>
        </w:rPr>
        <w:t>.</w:t>
      </w:r>
    </w:p>
    <w:p w14:paraId="28333634" w14:textId="5BB04859" w:rsidR="001D4E3F" w:rsidRPr="00A2457E" w:rsidRDefault="00D815C5" w:rsidP="007D4EB8">
      <w:pPr>
        <w:pStyle w:val="ListParagraph"/>
        <w:spacing w:after="120" w:line="240" w:lineRule="auto"/>
        <w:ind w:left="540"/>
        <w:rPr>
          <w:rFonts w:ascii="Times New Roman" w:hAnsi="Times New Roman"/>
          <w:szCs w:val="24"/>
        </w:rPr>
      </w:pPr>
      <w:r w:rsidRPr="00A2457E">
        <w:rPr>
          <w:rFonts w:ascii="Times New Roman" w:hAnsi="Times New Roman"/>
          <w:iCs/>
          <w:szCs w:val="24"/>
        </w:rPr>
        <w:t xml:space="preserve">NTPS focuses on obtaining cooperation and improving response rates at the school level for a number of reasons. Past administrations of NTPS have shown that </w:t>
      </w:r>
      <w:r w:rsidR="00BF6B05" w:rsidRPr="00A2457E">
        <w:rPr>
          <w:rFonts w:ascii="Times New Roman" w:hAnsi="Times New Roman"/>
          <w:iCs/>
          <w:szCs w:val="24"/>
        </w:rPr>
        <w:t xml:space="preserve">when </w:t>
      </w:r>
      <w:r w:rsidRPr="00A2457E">
        <w:rPr>
          <w:rFonts w:ascii="Times New Roman" w:hAnsi="Times New Roman"/>
          <w:iCs/>
          <w:szCs w:val="24"/>
        </w:rPr>
        <w:t xml:space="preserve">cooperation is obtained at the school level, teachers and principals are </w:t>
      </w:r>
      <w:r w:rsidR="00BF6B05" w:rsidRPr="00A2457E">
        <w:rPr>
          <w:rFonts w:ascii="Times New Roman" w:hAnsi="Times New Roman"/>
          <w:iCs/>
          <w:szCs w:val="24"/>
        </w:rPr>
        <w:t xml:space="preserve">more </w:t>
      </w:r>
      <w:r w:rsidRPr="00A2457E">
        <w:rPr>
          <w:rFonts w:ascii="Times New Roman" w:hAnsi="Times New Roman"/>
          <w:iCs/>
          <w:szCs w:val="24"/>
        </w:rPr>
        <w:t xml:space="preserve">likely to respond. </w:t>
      </w:r>
      <w:r w:rsidR="00974611" w:rsidRPr="00A2457E">
        <w:rPr>
          <w:rFonts w:ascii="Times New Roman" w:hAnsi="Times New Roman"/>
          <w:iCs/>
          <w:szCs w:val="24"/>
        </w:rPr>
        <w:t>Additionally, e</w:t>
      </w:r>
      <w:r w:rsidRPr="00A2457E">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A2457E">
        <w:rPr>
          <w:rFonts w:ascii="Times New Roman" w:hAnsi="Times New Roman"/>
          <w:iCs/>
          <w:szCs w:val="24"/>
        </w:rPr>
        <w:t xml:space="preserve">Special districts are those that require additional applications or documentation to collect data in their schools. </w:t>
      </w:r>
      <w:r w:rsidRPr="00A2457E">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14:paraId="53BB20A8" w14:textId="7B1E5F76" w:rsidR="00652E63" w:rsidRPr="00D977A1" w:rsidRDefault="001D4E3F" w:rsidP="007D4EB8">
      <w:pPr>
        <w:pStyle w:val="ListParagraph"/>
        <w:numPr>
          <w:ilvl w:val="0"/>
          <w:numId w:val="14"/>
        </w:numPr>
        <w:spacing w:after="120" w:line="240" w:lineRule="auto"/>
        <w:ind w:left="540"/>
        <w:rPr>
          <w:rFonts w:ascii="Times New Roman" w:hAnsi="Times New Roman"/>
          <w:iCs/>
          <w:szCs w:val="24"/>
        </w:rPr>
      </w:pPr>
      <w:r w:rsidRPr="00D977A1">
        <w:rPr>
          <w:rFonts w:ascii="Times New Roman" w:hAnsi="Times New Roman"/>
          <w:b/>
          <w:i/>
          <w:iCs/>
          <w:szCs w:val="24"/>
        </w:rPr>
        <w:t>Use vendor lists for teach</w:t>
      </w:r>
      <w:r w:rsidR="00D977A1" w:rsidRPr="00D977A1">
        <w:rPr>
          <w:rFonts w:ascii="Times New Roman" w:hAnsi="Times New Roman"/>
          <w:b/>
          <w:i/>
          <w:iCs/>
          <w:szCs w:val="24"/>
        </w:rPr>
        <w:t>er</w:t>
      </w:r>
      <w:r w:rsidRPr="00D977A1">
        <w:rPr>
          <w:rFonts w:ascii="Times New Roman" w:hAnsi="Times New Roman"/>
          <w:b/>
          <w:i/>
          <w:iCs/>
          <w:szCs w:val="24"/>
        </w:rPr>
        <w:t xml:space="preserve"> sampling.</w:t>
      </w:r>
      <w:r w:rsidRPr="00D977A1" w:rsidDel="001D4E3F">
        <w:rPr>
          <w:rFonts w:ascii="Times New Roman" w:hAnsi="Times New Roman"/>
          <w:iCs/>
          <w:szCs w:val="24"/>
        </w:rPr>
        <w:t xml:space="preserve"> </w:t>
      </w:r>
      <w:r w:rsidR="00DD2D1F" w:rsidRPr="00D977A1">
        <w:rPr>
          <w:rFonts w:ascii="Times New Roman" w:hAnsi="Times New Roman"/>
          <w:iCs/>
          <w:szCs w:val="24"/>
        </w:rPr>
        <w:t>NTPS teacher-level response rates are calculated by multiplying response at the school level to the TLF by response at the teacher level. In the past</w:t>
      </w:r>
      <w:r w:rsidRPr="00D977A1">
        <w:rPr>
          <w:rFonts w:ascii="Times New Roman" w:hAnsi="Times New Roman"/>
          <w:iCs/>
          <w:szCs w:val="24"/>
        </w:rPr>
        <w:t>,</w:t>
      </w:r>
      <w:r w:rsidR="00DD2D1F" w:rsidRPr="00D977A1">
        <w:rPr>
          <w:rFonts w:ascii="Times New Roman" w:hAnsi="Times New Roman"/>
          <w:iCs/>
          <w:szCs w:val="24"/>
        </w:rPr>
        <w:t xml:space="preserve"> this has meant that if the school did not </w:t>
      </w:r>
      <w:r w:rsidR="00B5667E" w:rsidRPr="00D977A1">
        <w:rPr>
          <w:rFonts w:ascii="Times New Roman" w:hAnsi="Times New Roman"/>
          <w:iCs/>
          <w:szCs w:val="24"/>
        </w:rPr>
        <w:t>complete</w:t>
      </w:r>
      <w:r w:rsidR="00DD2D1F" w:rsidRPr="00D977A1">
        <w:rPr>
          <w:rFonts w:ascii="Times New Roman" w:hAnsi="Times New Roman"/>
          <w:iCs/>
          <w:szCs w:val="24"/>
        </w:rPr>
        <w:t xml:space="preserve"> the TLF, teachers from that school could not be sampled, ultimately lower</w:t>
      </w:r>
      <w:r w:rsidRPr="00D977A1">
        <w:rPr>
          <w:rFonts w:ascii="Times New Roman" w:hAnsi="Times New Roman"/>
          <w:iCs/>
          <w:szCs w:val="24"/>
        </w:rPr>
        <w:t xml:space="preserve">ing </w:t>
      </w:r>
      <w:r w:rsidR="00DD2D1F" w:rsidRPr="00D977A1">
        <w:rPr>
          <w:rFonts w:ascii="Times New Roman" w:hAnsi="Times New Roman"/>
          <w:iCs/>
          <w:szCs w:val="24"/>
        </w:rPr>
        <w:t xml:space="preserve">the teacher response rate. </w:t>
      </w:r>
      <w:r w:rsidR="00B5667E" w:rsidRPr="00D977A1">
        <w:rPr>
          <w:rFonts w:ascii="Times New Roman" w:hAnsi="Times New Roman"/>
          <w:iCs/>
          <w:szCs w:val="24"/>
        </w:rPr>
        <w:t xml:space="preserve">The goal in NTPS </w:t>
      </w:r>
      <w:r w:rsidR="00D977A1" w:rsidRPr="00D977A1">
        <w:rPr>
          <w:rFonts w:ascii="Times New Roman" w:hAnsi="Times New Roman"/>
          <w:iCs/>
          <w:szCs w:val="24"/>
        </w:rPr>
        <w:t xml:space="preserve">2015-16 and </w:t>
      </w:r>
      <w:r w:rsidR="00B82E81" w:rsidRPr="00D977A1">
        <w:rPr>
          <w:rFonts w:ascii="Times New Roman" w:hAnsi="Times New Roman"/>
          <w:iCs/>
          <w:szCs w:val="24"/>
        </w:rPr>
        <w:t>2017-18</w:t>
      </w:r>
      <w:r w:rsidR="00B5667E" w:rsidRPr="00D977A1">
        <w:rPr>
          <w:rFonts w:ascii="Times New Roman" w:hAnsi="Times New Roman"/>
          <w:iCs/>
          <w:szCs w:val="24"/>
        </w:rPr>
        <w:t xml:space="preserve"> was to improve the overall teacher response rate by allowing NTPS to sample teachers from schools that have not submitted a TLF; therefore, </w:t>
      </w:r>
      <w:r w:rsidRPr="00D977A1">
        <w:rPr>
          <w:rFonts w:ascii="Times New Roman" w:hAnsi="Times New Roman"/>
          <w:iCs/>
          <w:szCs w:val="24"/>
        </w:rPr>
        <w:t>TLFs received from sample schools were supplemented with vendor-purchased teacher lists</w:t>
      </w:r>
      <w:r w:rsidR="00B5667E" w:rsidRPr="00D977A1">
        <w:rPr>
          <w:rFonts w:ascii="Times New Roman" w:hAnsi="Times New Roman"/>
          <w:iCs/>
          <w:szCs w:val="24"/>
        </w:rPr>
        <w:t>. W</w:t>
      </w:r>
      <w:r w:rsidRPr="00D977A1">
        <w:rPr>
          <w:rFonts w:ascii="Times New Roman" w:hAnsi="Times New Roman"/>
          <w:iCs/>
          <w:szCs w:val="24"/>
        </w:rPr>
        <w:t xml:space="preserve">hen a vendor-purchased list was unavailable, a clerical operation </w:t>
      </w:r>
      <w:r w:rsidR="00B5667E" w:rsidRPr="00D977A1">
        <w:rPr>
          <w:rFonts w:ascii="Times New Roman" w:hAnsi="Times New Roman"/>
          <w:iCs/>
          <w:szCs w:val="24"/>
        </w:rPr>
        <w:t xml:space="preserve">was conducted to </w:t>
      </w:r>
      <w:r w:rsidRPr="00D977A1">
        <w:rPr>
          <w:rFonts w:ascii="Times New Roman" w:hAnsi="Times New Roman"/>
          <w:iCs/>
          <w:szCs w:val="24"/>
        </w:rPr>
        <w:t>look up teacher information on school and/or district websites.</w:t>
      </w:r>
      <w:r w:rsidR="00B5667E" w:rsidRPr="00D977A1">
        <w:rPr>
          <w:rFonts w:ascii="Times New Roman" w:hAnsi="Times New Roman"/>
          <w:iCs/>
          <w:szCs w:val="24"/>
        </w:rPr>
        <w:t xml:space="preserve"> </w:t>
      </w:r>
      <w:r w:rsidR="00C418E6" w:rsidRPr="00D977A1">
        <w:rPr>
          <w:rFonts w:ascii="Times New Roman" w:hAnsi="Times New Roman"/>
          <w:color w:val="000000" w:themeColor="text1"/>
          <w:szCs w:val="24"/>
        </w:rPr>
        <w:t>Whenever possible, the TLF was pre-populated with vendor teacher roster data, and the school was asked to verify the teacher information rath</w:t>
      </w:r>
      <w:r w:rsidR="00D977A1" w:rsidRPr="00D977A1">
        <w:rPr>
          <w:rFonts w:ascii="Times New Roman" w:hAnsi="Times New Roman"/>
          <w:color w:val="000000" w:themeColor="text1"/>
          <w:szCs w:val="24"/>
        </w:rPr>
        <w:t>er than provide it from scratch</w:t>
      </w:r>
      <w:r w:rsidR="00C418E6" w:rsidRPr="00D977A1">
        <w:rPr>
          <w:rFonts w:ascii="Times New Roman" w:hAnsi="Times New Roman"/>
          <w:color w:val="000000" w:themeColor="text1"/>
          <w:szCs w:val="24"/>
        </w:rPr>
        <w:t>.</w:t>
      </w:r>
      <w:r w:rsidR="00D977A1" w:rsidRPr="00D977A1">
        <w:rPr>
          <w:rFonts w:ascii="Times New Roman" w:hAnsi="Times New Roman"/>
          <w:color w:val="000000" w:themeColor="text1"/>
          <w:szCs w:val="24"/>
        </w:rPr>
        <w:t xml:space="preserve"> </w:t>
      </w:r>
      <w:r w:rsidR="00B5667E" w:rsidRPr="00D977A1">
        <w:rPr>
          <w:rFonts w:ascii="Times New Roman" w:hAnsi="Times New Roman"/>
          <w:iCs/>
          <w:szCs w:val="24"/>
        </w:rPr>
        <w:t xml:space="preserve">The vendor and clerically-researched lists were evaluated in </w:t>
      </w:r>
      <w:r w:rsidR="00B82E81" w:rsidRPr="00D977A1">
        <w:rPr>
          <w:rFonts w:ascii="Times New Roman" w:hAnsi="Times New Roman"/>
          <w:iCs/>
          <w:szCs w:val="24"/>
        </w:rPr>
        <w:t>NTPS</w:t>
      </w:r>
      <w:r w:rsidR="00C418E6" w:rsidRPr="00D977A1">
        <w:rPr>
          <w:rFonts w:ascii="Times New Roman" w:hAnsi="Times New Roman"/>
          <w:iCs/>
          <w:szCs w:val="24"/>
        </w:rPr>
        <w:t xml:space="preserve"> 2017-18</w:t>
      </w:r>
      <w:r w:rsidR="00B82E81" w:rsidRPr="00D977A1">
        <w:rPr>
          <w:rFonts w:ascii="Times New Roman" w:hAnsi="Times New Roman"/>
          <w:iCs/>
          <w:szCs w:val="24"/>
        </w:rPr>
        <w:t xml:space="preserve">, </w:t>
      </w:r>
      <w:r w:rsidR="00B5667E" w:rsidRPr="00D977A1">
        <w:rPr>
          <w:rFonts w:ascii="Times New Roman" w:hAnsi="Times New Roman"/>
          <w:iCs/>
          <w:szCs w:val="24"/>
        </w:rPr>
        <w:t>NTPS</w:t>
      </w:r>
      <w:r w:rsidR="00C418E6" w:rsidRPr="00D977A1">
        <w:rPr>
          <w:rFonts w:ascii="Times New Roman" w:hAnsi="Times New Roman"/>
          <w:iCs/>
          <w:szCs w:val="24"/>
        </w:rPr>
        <w:t xml:space="preserve"> 2015-16</w:t>
      </w:r>
      <w:r w:rsidR="001F7BDA">
        <w:rPr>
          <w:rFonts w:ascii="Times New Roman" w:hAnsi="Times New Roman"/>
          <w:iCs/>
          <w:szCs w:val="24"/>
        </w:rPr>
        <w:t>,</w:t>
      </w:r>
      <w:r w:rsidR="00B5667E" w:rsidRPr="00D977A1">
        <w:rPr>
          <w:rFonts w:ascii="Times New Roman" w:hAnsi="Times New Roman"/>
          <w:iCs/>
          <w:szCs w:val="24"/>
        </w:rPr>
        <w:t xml:space="preserve"> and </w:t>
      </w:r>
      <w:r w:rsidR="001F7BDA">
        <w:rPr>
          <w:rFonts w:ascii="Times New Roman" w:hAnsi="Times New Roman"/>
          <w:iCs/>
          <w:szCs w:val="24"/>
        </w:rPr>
        <w:t xml:space="preserve">the </w:t>
      </w:r>
      <w:r w:rsidR="00B5667E" w:rsidRPr="00D977A1">
        <w:rPr>
          <w:rFonts w:ascii="Times New Roman" w:hAnsi="Times New Roman"/>
          <w:iCs/>
          <w:szCs w:val="24"/>
        </w:rPr>
        <w:t>NTPS</w:t>
      </w:r>
      <w:r w:rsidR="00C418E6" w:rsidRPr="00D977A1">
        <w:rPr>
          <w:rFonts w:ascii="Times New Roman" w:hAnsi="Times New Roman"/>
          <w:iCs/>
          <w:szCs w:val="24"/>
        </w:rPr>
        <w:t xml:space="preserve"> 2014</w:t>
      </w:r>
      <w:r w:rsidR="00B5667E" w:rsidRPr="00D977A1">
        <w:rPr>
          <w:rFonts w:ascii="Times New Roman" w:hAnsi="Times New Roman"/>
          <w:iCs/>
          <w:szCs w:val="24"/>
        </w:rPr>
        <w:t xml:space="preserve"> pilot test and showed high levels of comparability to lists obtained directly from schools.</w:t>
      </w:r>
    </w:p>
    <w:p w14:paraId="70CBAB7C" w14:textId="1562CDAC" w:rsidR="00DD2D1F" w:rsidRPr="00C418E6" w:rsidRDefault="00DD2D1F" w:rsidP="007D4EB8">
      <w:pPr>
        <w:pStyle w:val="ListParagraph"/>
        <w:spacing w:after="120" w:line="240" w:lineRule="auto"/>
        <w:ind w:left="540"/>
        <w:rPr>
          <w:rFonts w:ascii="Times New Roman" w:hAnsi="Times New Roman"/>
          <w:iCs/>
          <w:szCs w:val="24"/>
        </w:rPr>
      </w:pPr>
      <w:r w:rsidRPr="00C418E6">
        <w:rPr>
          <w:rFonts w:ascii="Times New Roman" w:hAnsi="Times New Roman"/>
          <w:iCs/>
          <w:szCs w:val="24"/>
        </w:rPr>
        <w:t>In NTPS</w:t>
      </w:r>
      <w:r w:rsidR="00C418E6" w:rsidRPr="00C418E6">
        <w:rPr>
          <w:rFonts w:ascii="Times New Roman" w:hAnsi="Times New Roman"/>
          <w:iCs/>
          <w:szCs w:val="24"/>
        </w:rPr>
        <w:t xml:space="preserve"> 2019-20</w:t>
      </w:r>
      <w:r w:rsidRPr="00C418E6">
        <w:rPr>
          <w:rFonts w:ascii="Times New Roman" w:hAnsi="Times New Roman"/>
          <w:iCs/>
          <w:szCs w:val="24"/>
        </w:rPr>
        <w:t xml:space="preserve">, </w:t>
      </w:r>
      <w:r w:rsidR="001F7BDA">
        <w:rPr>
          <w:rFonts w:ascii="Times New Roman" w:hAnsi="Times New Roman"/>
          <w:color w:val="000000" w:themeColor="text1"/>
          <w:szCs w:val="24"/>
        </w:rPr>
        <w:t>whenever possible</w:t>
      </w:r>
      <w:r w:rsidR="001F7BDA">
        <w:rPr>
          <w:rFonts w:ascii="Times New Roman" w:hAnsi="Times New Roman"/>
          <w:iCs/>
          <w:szCs w:val="24"/>
        </w:rPr>
        <w:t xml:space="preserve">, </w:t>
      </w:r>
      <w:r w:rsidRPr="00C418E6">
        <w:rPr>
          <w:rFonts w:ascii="Times New Roman" w:hAnsi="Times New Roman"/>
          <w:iCs/>
          <w:szCs w:val="24"/>
        </w:rPr>
        <w:t xml:space="preserve">TLFs </w:t>
      </w:r>
      <w:r w:rsidR="001F7BDA">
        <w:rPr>
          <w:rFonts w:ascii="Times New Roman" w:hAnsi="Times New Roman"/>
          <w:iCs/>
          <w:szCs w:val="24"/>
        </w:rPr>
        <w:t xml:space="preserve">will once again be </w:t>
      </w:r>
      <w:r w:rsidR="001F7BDA">
        <w:rPr>
          <w:rFonts w:ascii="Times New Roman" w:hAnsi="Times New Roman"/>
          <w:color w:val="000000" w:themeColor="text1"/>
          <w:szCs w:val="24"/>
        </w:rPr>
        <w:t xml:space="preserve">pre-populated with </w:t>
      </w:r>
      <w:r w:rsidRPr="00C418E6">
        <w:rPr>
          <w:rFonts w:ascii="Times New Roman" w:hAnsi="Times New Roman"/>
          <w:iCs/>
          <w:szCs w:val="24"/>
        </w:rPr>
        <w:t xml:space="preserve">vendor-purchased teacher lists and </w:t>
      </w:r>
      <w:r w:rsidR="001F7BDA">
        <w:rPr>
          <w:rFonts w:ascii="Times New Roman" w:hAnsi="Times New Roman"/>
          <w:iCs/>
          <w:szCs w:val="24"/>
        </w:rPr>
        <w:t xml:space="preserve">those obtained through </w:t>
      </w:r>
      <w:r w:rsidRPr="00C418E6">
        <w:rPr>
          <w:rFonts w:ascii="Times New Roman" w:hAnsi="Times New Roman"/>
          <w:iCs/>
          <w:szCs w:val="24"/>
        </w:rPr>
        <w:t xml:space="preserve">a clerical look-up operation utilizing school </w:t>
      </w:r>
      <w:r w:rsidR="001F7BDA">
        <w:rPr>
          <w:rFonts w:ascii="Times New Roman" w:hAnsi="Times New Roman"/>
          <w:iCs/>
          <w:szCs w:val="24"/>
        </w:rPr>
        <w:t>websites</w:t>
      </w:r>
      <w:r w:rsidR="00C418E6">
        <w:rPr>
          <w:rFonts w:ascii="Times New Roman" w:hAnsi="Times New Roman"/>
          <w:color w:val="000000" w:themeColor="text1"/>
          <w:szCs w:val="24"/>
        </w:rPr>
        <w:t>, and school</w:t>
      </w:r>
      <w:r w:rsidR="001F7BDA">
        <w:rPr>
          <w:rFonts w:ascii="Times New Roman" w:hAnsi="Times New Roman"/>
          <w:color w:val="000000" w:themeColor="text1"/>
          <w:szCs w:val="24"/>
        </w:rPr>
        <w:t>s</w:t>
      </w:r>
      <w:r w:rsidR="00C418E6">
        <w:rPr>
          <w:rFonts w:ascii="Times New Roman" w:hAnsi="Times New Roman"/>
          <w:color w:val="000000" w:themeColor="text1"/>
          <w:szCs w:val="24"/>
        </w:rPr>
        <w:t xml:space="preserve"> will be asked to verify the teacher information rather than provide it from scratch</w:t>
      </w:r>
      <w:r w:rsidR="007D4EB8">
        <w:rPr>
          <w:rFonts w:ascii="Times New Roman" w:hAnsi="Times New Roman"/>
          <w:color w:val="000000" w:themeColor="text1"/>
          <w:szCs w:val="24"/>
        </w:rPr>
        <w:t>.</w:t>
      </w:r>
      <w:r w:rsidR="00807060">
        <w:rPr>
          <w:rFonts w:ascii="Times New Roman" w:hAnsi="Times New Roman"/>
          <w:color w:val="000000" w:themeColor="text1"/>
          <w:szCs w:val="24"/>
        </w:rPr>
        <w:t xml:space="preserve"> </w:t>
      </w:r>
      <w:r w:rsidRPr="00C418E6">
        <w:rPr>
          <w:rFonts w:ascii="Times New Roman" w:hAnsi="Times New Roman"/>
          <w:iCs/>
          <w:szCs w:val="24"/>
        </w:rPr>
        <w:t xml:space="preserve">This </w:t>
      </w:r>
      <w:r w:rsidR="001F7BDA">
        <w:rPr>
          <w:rFonts w:ascii="Times New Roman" w:hAnsi="Times New Roman"/>
          <w:iCs/>
          <w:szCs w:val="24"/>
        </w:rPr>
        <w:t>approach is expected to</w:t>
      </w:r>
      <w:r w:rsidRPr="00C418E6">
        <w:rPr>
          <w:rFonts w:ascii="Times New Roman" w:hAnsi="Times New Roman"/>
          <w:iCs/>
          <w:szCs w:val="24"/>
        </w:rPr>
        <w:t xml:space="preserve"> help improve the overall teacher response rate</w:t>
      </w:r>
      <w:r w:rsidR="000C55AC">
        <w:rPr>
          <w:rFonts w:ascii="Times New Roman" w:hAnsi="Times New Roman"/>
          <w:iCs/>
          <w:szCs w:val="24"/>
        </w:rPr>
        <w:t xml:space="preserve"> and</w:t>
      </w:r>
      <w:r w:rsidRPr="00C418E6">
        <w:rPr>
          <w:rFonts w:ascii="Times New Roman" w:hAnsi="Times New Roman"/>
          <w:iCs/>
          <w:szCs w:val="24"/>
        </w:rPr>
        <w:t xml:space="preserve"> allow teacher</w:t>
      </w:r>
      <w:r w:rsidR="00B5667E" w:rsidRPr="00C418E6">
        <w:rPr>
          <w:rFonts w:ascii="Times New Roman" w:hAnsi="Times New Roman"/>
          <w:iCs/>
          <w:szCs w:val="24"/>
        </w:rPr>
        <w:t xml:space="preserve"> </w:t>
      </w:r>
      <w:r w:rsidRPr="00C418E6">
        <w:rPr>
          <w:rFonts w:ascii="Times New Roman" w:hAnsi="Times New Roman"/>
          <w:iCs/>
          <w:szCs w:val="24"/>
        </w:rPr>
        <w:t>s</w:t>
      </w:r>
      <w:r w:rsidR="00B5667E" w:rsidRPr="00C418E6">
        <w:rPr>
          <w:rFonts w:ascii="Times New Roman" w:hAnsi="Times New Roman"/>
          <w:iCs/>
          <w:szCs w:val="24"/>
        </w:rPr>
        <w:t>ampling</w:t>
      </w:r>
      <w:r w:rsidRPr="00C418E6">
        <w:rPr>
          <w:rFonts w:ascii="Times New Roman" w:hAnsi="Times New Roman"/>
          <w:iCs/>
          <w:szCs w:val="24"/>
        </w:rPr>
        <w:t xml:space="preserve"> </w:t>
      </w:r>
      <w:r w:rsidR="001F7BDA">
        <w:rPr>
          <w:rFonts w:ascii="Times New Roman" w:hAnsi="Times New Roman"/>
          <w:iCs/>
          <w:szCs w:val="24"/>
        </w:rPr>
        <w:t>in</w:t>
      </w:r>
      <w:r w:rsidRPr="00C418E6">
        <w:rPr>
          <w:rFonts w:ascii="Times New Roman" w:hAnsi="Times New Roman"/>
          <w:iCs/>
          <w:szCs w:val="24"/>
        </w:rPr>
        <w:t xml:space="preserve"> schools that have not submitted a TLF</w:t>
      </w:r>
      <w:r w:rsidR="000C55AC">
        <w:rPr>
          <w:rFonts w:ascii="Times New Roman" w:hAnsi="Times New Roman"/>
          <w:iCs/>
          <w:szCs w:val="24"/>
        </w:rPr>
        <w:t xml:space="preserve"> as a last-ditch effort </w:t>
      </w:r>
      <w:r w:rsidR="001F7BDA">
        <w:rPr>
          <w:rFonts w:ascii="Times New Roman" w:hAnsi="Times New Roman"/>
          <w:iCs/>
          <w:szCs w:val="24"/>
        </w:rPr>
        <w:t>to collect data in such</w:t>
      </w:r>
      <w:r w:rsidR="000C55AC">
        <w:rPr>
          <w:rFonts w:ascii="Times New Roman" w:hAnsi="Times New Roman"/>
          <w:iCs/>
          <w:szCs w:val="24"/>
        </w:rPr>
        <w:t xml:space="preserve"> school</w:t>
      </w:r>
      <w:r w:rsidR="001F7BDA">
        <w:rPr>
          <w:rFonts w:ascii="Times New Roman" w:hAnsi="Times New Roman"/>
          <w:iCs/>
          <w:szCs w:val="24"/>
        </w:rPr>
        <w:t>s</w:t>
      </w:r>
      <w:r w:rsidR="001D4E3F" w:rsidRPr="00C418E6">
        <w:rPr>
          <w:rFonts w:ascii="Times New Roman" w:hAnsi="Times New Roman"/>
          <w:iCs/>
          <w:szCs w:val="24"/>
        </w:rPr>
        <w:t>.</w:t>
      </w:r>
    </w:p>
    <w:p w14:paraId="452FF2A2" w14:textId="477A77F8" w:rsidR="00974611" w:rsidRPr="00A2457E" w:rsidRDefault="00974611" w:rsidP="007D4EB8">
      <w:pPr>
        <w:pStyle w:val="ListParagraph"/>
        <w:numPr>
          <w:ilvl w:val="0"/>
          <w:numId w:val="14"/>
        </w:numPr>
        <w:spacing w:after="120" w:line="240" w:lineRule="auto"/>
        <w:ind w:left="540"/>
        <w:rPr>
          <w:rFonts w:ascii="Times New Roman" w:hAnsi="Times New Roman"/>
          <w:iCs/>
          <w:szCs w:val="24"/>
        </w:rPr>
      </w:pPr>
      <w:r w:rsidRPr="00A2457E">
        <w:rPr>
          <w:rFonts w:ascii="Times New Roman" w:hAnsi="Times New Roman"/>
          <w:b/>
          <w:i/>
          <w:iCs/>
          <w:szCs w:val="24"/>
        </w:rPr>
        <w:t>Monitor publishability and bias measures.</w:t>
      </w:r>
      <w:r w:rsidRPr="00A2457E">
        <w:rPr>
          <w:rFonts w:ascii="Times New Roman" w:hAnsi="Times New Roman"/>
          <w:iCs/>
          <w:szCs w:val="24"/>
        </w:rPr>
        <w:t xml:space="preserve"> For NTPS </w:t>
      </w:r>
      <w:r w:rsidR="00B82E81">
        <w:rPr>
          <w:rFonts w:ascii="Times New Roman" w:hAnsi="Times New Roman"/>
          <w:iCs/>
          <w:szCs w:val="24"/>
        </w:rPr>
        <w:t>2017-18</w:t>
      </w:r>
      <w:r w:rsidRPr="00A2457E">
        <w:rPr>
          <w:rFonts w:ascii="Times New Roman" w:hAnsi="Times New Roman"/>
          <w:iCs/>
          <w:szCs w:val="24"/>
        </w:rPr>
        <w:t xml:space="preserve">,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hampered reporting. These results will be considered in designing the sample and nonresponse follow-up strategies for NTPS </w:t>
      </w:r>
      <w:r w:rsidR="00B82E81">
        <w:rPr>
          <w:rFonts w:ascii="Times New Roman" w:hAnsi="Times New Roman"/>
          <w:iCs/>
          <w:szCs w:val="24"/>
        </w:rPr>
        <w:t>2019-20</w:t>
      </w:r>
      <w:r w:rsidRPr="00A2457E">
        <w:rPr>
          <w:rFonts w:ascii="Times New Roman" w:hAnsi="Times New Roman"/>
          <w:iCs/>
          <w:szCs w:val="24"/>
        </w:rPr>
        <w:t xml:space="preserve">. NCES also monitored R-indicators, a measure of </w:t>
      </w:r>
      <w:r w:rsidR="00BD18E3" w:rsidRPr="00A2457E">
        <w:rPr>
          <w:rFonts w:ascii="Times New Roman" w:hAnsi="Times New Roman"/>
          <w:iCs/>
          <w:szCs w:val="24"/>
        </w:rPr>
        <w:t xml:space="preserve">representativeness, or lack of </w:t>
      </w:r>
      <w:r w:rsidRPr="00A2457E">
        <w:rPr>
          <w:rFonts w:ascii="Times New Roman" w:hAnsi="Times New Roman"/>
          <w:iCs/>
          <w:szCs w:val="24"/>
        </w:rPr>
        <w:t xml:space="preserve">bias </w:t>
      </w:r>
      <w:r w:rsidR="00BD18E3" w:rsidRPr="00A2457E">
        <w:rPr>
          <w:rFonts w:ascii="Times New Roman" w:hAnsi="Times New Roman"/>
          <w:iCs/>
          <w:szCs w:val="24"/>
        </w:rPr>
        <w:t xml:space="preserve">in </w:t>
      </w:r>
      <w:r w:rsidRPr="00A2457E">
        <w:rPr>
          <w:rFonts w:ascii="Times New Roman" w:hAnsi="Times New Roman"/>
          <w:iCs/>
          <w:szCs w:val="24"/>
        </w:rPr>
        <w:t xml:space="preserve">the </w:t>
      </w:r>
      <w:r w:rsidR="00BD18E3" w:rsidRPr="00A2457E">
        <w:rPr>
          <w:rFonts w:ascii="Times New Roman" w:hAnsi="Times New Roman"/>
          <w:iCs/>
          <w:szCs w:val="24"/>
        </w:rPr>
        <w:t>respondent population</w:t>
      </w:r>
      <w:r w:rsidRPr="00A2457E">
        <w:rPr>
          <w:rFonts w:ascii="Times New Roman" w:hAnsi="Times New Roman"/>
          <w:iCs/>
          <w:szCs w:val="24"/>
        </w:rPr>
        <w:t>, on a weekly basis. The closer the R-indicator is to 1, the more balanced is the respondent population. Towards the end of data collection</w:t>
      </w:r>
      <w:r w:rsidR="00BD18E3" w:rsidRPr="00A2457E">
        <w:rPr>
          <w:rFonts w:ascii="Times New Roman" w:hAnsi="Times New Roman"/>
          <w:iCs/>
          <w:szCs w:val="24"/>
        </w:rPr>
        <w:t xml:space="preserve"> in </w:t>
      </w:r>
      <w:r w:rsidR="00D473E6">
        <w:rPr>
          <w:rFonts w:ascii="Times New Roman" w:hAnsi="Times New Roman"/>
          <w:iCs/>
          <w:szCs w:val="24"/>
        </w:rPr>
        <w:t>2017-18</w:t>
      </w:r>
      <w:r w:rsidRPr="00CA065C">
        <w:rPr>
          <w:rFonts w:ascii="Times New Roman" w:hAnsi="Times New Roman"/>
          <w:iCs/>
          <w:szCs w:val="24"/>
        </w:rPr>
        <w:t>, the R-indicator for the full sample indicated that the respondent population was fairly well balanced.</w:t>
      </w:r>
      <w:r w:rsidRPr="00A2457E">
        <w:rPr>
          <w:rFonts w:ascii="Times New Roman" w:hAnsi="Times New Roman"/>
          <w:iCs/>
          <w:szCs w:val="24"/>
        </w:rPr>
        <w:t xml:space="preserve"> NCES plans to continue to monitor these two indicators in NTPS </w:t>
      </w:r>
      <w:r w:rsidR="00D473E6">
        <w:rPr>
          <w:rFonts w:ascii="Times New Roman" w:hAnsi="Times New Roman"/>
          <w:iCs/>
          <w:szCs w:val="24"/>
        </w:rPr>
        <w:t>2019-20</w:t>
      </w:r>
      <w:r w:rsidRPr="00A2457E">
        <w:rPr>
          <w:rFonts w:ascii="Times New Roman" w:hAnsi="Times New Roman"/>
          <w:iCs/>
          <w:szCs w:val="24"/>
        </w:rPr>
        <w:t>.</w:t>
      </w:r>
    </w:p>
    <w:p w14:paraId="62FE18B5" w14:textId="2B49B9AF" w:rsidR="00652E63" w:rsidRDefault="00974611" w:rsidP="007D4EB8">
      <w:pPr>
        <w:pStyle w:val="ListParagraph"/>
        <w:numPr>
          <w:ilvl w:val="0"/>
          <w:numId w:val="14"/>
        </w:numPr>
        <w:spacing w:after="120" w:line="240" w:lineRule="auto"/>
        <w:ind w:left="540"/>
        <w:rPr>
          <w:rFonts w:ascii="Times New Roman" w:hAnsi="Times New Roman"/>
          <w:iCs/>
          <w:szCs w:val="24"/>
        </w:rPr>
      </w:pPr>
      <w:r w:rsidRPr="00671E66">
        <w:rPr>
          <w:rFonts w:ascii="Times New Roman" w:hAnsi="Times New Roman"/>
          <w:b/>
          <w:i/>
          <w:iCs/>
          <w:szCs w:val="24"/>
        </w:rPr>
        <w:t>Personalize principal</w:t>
      </w:r>
      <w:r w:rsidR="000D092A" w:rsidRPr="00671E66">
        <w:rPr>
          <w:rFonts w:ascii="Times New Roman" w:hAnsi="Times New Roman"/>
          <w:b/>
          <w:i/>
          <w:iCs/>
          <w:szCs w:val="24"/>
        </w:rPr>
        <w:t xml:space="preserve"> </w:t>
      </w:r>
      <w:r w:rsidR="00974BBC" w:rsidRPr="00671E66">
        <w:rPr>
          <w:rFonts w:ascii="Times New Roman" w:hAnsi="Times New Roman"/>
          <w:b/>
          <w:i/>
          <w:iCs/>
          <w:szCs w:val="24"/>
        </w:rPr>
        <w:t>contact materials</w:t>
      </w:r>
      <w:r w:rsidR="00974BBC" w:rsidRPr="003A336B">
        <w:rPr>
          <w:rFonts w:ascii="Times New Roman" w:hAnsi="Times New Roman"/>
          <w:iCs/>
          <w:szCs w:val="24"/>
        </w:rPr>
        <w:t>.</w:t>
      </w:r>
      <w:r w:rsidRPr="003A336B">
        <w:rPr>
          <w:rFonts w:ascii="Times New Roman" w:hAnsi="Times New Roman"/>
          <w:iCs/>
          <w:szCs w:val="24"/>
        </w:rPr>
        <w:t xml:space="preserve"> </w:t>
      </w:r>
      <w:r w:rsidR="003A336B">
        <w:rPr>
          <w:rFonts w:ascii="Times New Roman" w:hAnsi="Times New Roman"/>
          <w:iCs/>
          <w:szCs w:val="24"/>
        </w:rPr>
        <w:t xml:space="preserve">As was done in </w:t>
      </w:r>
      <w:r w:rsidR="003A336B" w:rsidRPr="00671E66">
        <w:rPr>
          <w:rFonts w:ascii="Times New Roman" w:hAnsi="Times New Roman"/>
          <w:iCs/>
          <w:szCs w:val="24"/>
        </w:rPr>
        <w:t>NTPS 2017-18</w:t>
      </w:r>
      <w:r w:rsidR="003A336B">
        <w:rPr>
          <w:rFonts w:ascii="Times New Roman" w:hAnsi="Times New Roman"/>
          <w:iCs/>
          <w:szCs w:val="24"/>
        </w:rPr>
        <w:t xml:space="preserve">, </w:t>
      </w:r>
      <w:r w:rsidR="003A336B" w:rsidRPr="003A336B">
        <w:rPr>
          <w:rFonts w:ascii="Times New Roman" w:hAnsi="Times New Roman"/>
          <w:iCs/>
          <w:szCs w:val="24"/>
        </w:rPr>
        <w:t>t</w:t>
      </w:r>
      <w:r w:rsidR="00195355" w:rsidRPr="00671E66">
        <w:rPr>
          <w:rFonts w:ascii="Times New Roman" w:hAnsi="Times New Roman"/>
          <w:iCs/>
          <w:szCs w:val="24"/>
        </w:rPr>
        <w:t xml:space="preserve">o </w:t>
      </w:r>
      <w:r w:rsidR="003A336B">
        <w:rPr>
          <w:rFonts w:ascii="Times New Roman" w:hAnsi="Times New Roman"/>
          <w:iCs/>
          <w:szCs w:val="24"/>
        </w:rPr>
        <w:t>maximize</w:t>
      </w:r>
      <w:r w:rsidR="00195355" w:rsidRPr="00671E66">
        <w:rPr>
          <w:rFonts w:ascii="Times New Roman" w:hAnsi="Times New Roman"/>
          <w:iCs/>
          <w:szCs w:val="24"/>
        </w:rPr>
        <w:t xml:space="preserve"> </w:t>
      </w:r>
      <w:r w:rsidR="003A336B">
        <w:rPr>
          <w:rFonts w:ascii="Times New Roman" w:hAnsi="Times New Roman"/>
          <w:iCs/>
          <w:szCs w:val="24"/>
        </w:rPr>
        <w:t xml:space="preserve">the chances </w:t>
      </w:r>
      <w:r w:rsidR="00195355" w:rsidRPr="00671E66">
        <w:rPr>
          <w:rFonts w:ascii="Times New Roman" w:hAnsi="Times New Roman"/>
          <w:iCs/>
          <w:szCs w:val="24"/>
        </w:rPr>
        <w:t xml:space="preserve">that all </w:t>
      </w:r>
      <w:r w:rsidR="00974BBC" w:rsidRPr="00671E66">
        <w:rPr>
          <w:rFonts w:ascii="Times New Roman" w:hAnsi="Times New Roman"/>
          <w:iCs/>
          <w:szCs w:val="24"/>
        </w:rPr>
        <w:t xml:space="preserve">mailed NTPS </w:t>
      </w:r>
      <w:r w:rsidR="003A336B" w:rsidRPr="00671E66">
        <w:rPr>
          <w:rFonts w:ascii="Times New Roman" w:hAnsi="Times New Roman"/>
          <w:iCs/>
          <w:szCs w:val="24"/>
        </w:rPr>
        <w:t>201</w:t>
      </w:r>
      <w:r w:rsidR="003A336B">
        <w:rPr>
          <w:rFonts w:ascii="Times New Roman" w:hAnsi="Times New Roman"/>
          <w:iCs/>
          <w:szCs w:val="24"/>
        </w:rPr>
        <w:t>9</w:t>
      </w:r>
      <w:r w:rsidR="003A336B" w:rsidRPr="00671E66">
        <w:rPr>
          <w:rFonts w:ascii="Times New Roman" w:hAnsi="Times New Roman"/>
          <w:iCs/>
          <w:szCs w:val="24"/>
        </w:rPr>
        <w:t>-</w:t>
      </w:r>
      <w:r w:rsidR="003A336B">
        <w:rPr>
          <w:rFonts w:ascii="Times New Roman" w:hAnsi="Times New Roman"/>
          <w:iCs/>
          <w:szCs w:val="24"/>
        </w:rPr>
        <w:t>20</w:t>
      </w:r>
      <w:r w:rsidR="003A336B" w:rsidRPr="00671E66">
        <w:rPr>
          <w:rFonts w:ascii="Times New Roman" w:hAnsi="Times New Roman"/>
          <w:iCs/>
          <w:szCs w:val="24"/>
        </w:rPr>
        <w:t xml:space="preserve"> </w:t>
      </w:r>
      <w:r w:rsidR="00974BBC" w:rsidRPr="00671E66">
        <w:rPr>
          <w:rFonts w:ascii="Times New Roman" w:hAnsi="Times New Roman"/>
          <w:iCs/>
          <w:szCs w:val="24"/>
        </w:rPr>
        <w:t xml:space="preserve">materials intended for the school principal successfully make it to the principal, all principal contact materials </w:t>
      </w:r>
      <w:r w:rsidR="003A336B">
        <w:rPr>
          <w:rFonts w:ascii="Times New Roman" w:hAnsi="Times New Roman"/>
          <w:iCs/>
          <w:szCs w:val="24"/>
        </w:rPr>
        <w:t>will</w:t>
      </w:r>
      <w:r w:rsidR="00974BBC" w:rsidRPr="00671E66">
        <w:rPr>
          <w:rFonts w:ascii="Times New Roman" w:hAnsi="Times New Roman"/>
          <w:iCs/>
          <w:szCs w:val="24"/>
        </w:rPr>
        <w:t xml:space="preserve"> be personalized with the principal’s name. Principal</w:t>
      </w:r>
      <w:r w:rsidR="00377BE9" w:rsidRPr="00671E66">
        <w:rPr>
          <w:rFonts w:ascii="Times New Roman" w:hAnsi="Times New Roman"/>
          <w:iCs/>
          <w:szCs w:val="24"/>
        </w:rPr>
        <w:t>s’</w:t>
      </w:r>
      <w:r w:rsidR="00974BBC" w:rsidRPr="00671E66">
        <w:rPr>
          <w:rFonts w:ascii="Times New Roman" w:hAnsi="Times New Roman"/>
          <w:iCs/>
          <w:szCs w:val="24"/>
        </w:rPr>
        <w:t xml:space="preserve"> name</w:t>
      </w:r>
      <w:r w:rsidR="00377BE9" w:rsidRPr="00671E66">
        <w:rPr>
          <w:rFonts w:ascii="Times New Roman" w:hAnsi="Times New Roman"/>
          <w:iCs/>
          <w:szCs w:val="24"/>
        </w:rPr>
        <w:t>s</w:t>
      </w:r>
      <w:r w:rsidR="00974BBC" w:rsidRPr="00671E66">
        <w:rPr>
          <w:rFonts w:ascii="Times New Roman" w:hAnsi="Times New Roman"/>
          <w:iCs/>
          <w:szCs w:val="24"/>
        </w:rPr>
        <w:t xml:space="preserve"> </w:t>
      </w:r>
      <w:r w:rsidR="003A336B">
        <w:rPr>
          <w:rFonts w:ascii="Times New Roman" w:hAnsi="Times New Roman"/>
          <w:iCs/>
          <w:szCs w:val="24"/>
        </w:rPr>
        <w:t>a</w:t>
      </w:r>
      <w:r w:rsidR="004D17BE" w:rsidRPr="00671E66">
        <w:rPr>
          <w:rFonts w:ascii="Times New Roman" w:hAnsi="Times New Roman"/>
          <w:iCs/>
          <w:szCs w:val="24"/>
        </w:rPr>
        <w:t>re</w:t>
      </w:r>
      <w:r w:rsidR="00974BBC" w:rsidRPr="00671E66">
        <w:rPr>
          <w:rFonts w:ascii="Times New Roman" w:hAnsi="Times New Roman"/>
          <w:iCs/>
          <w:szCs w:val="24"/>
        </w:rPr>
        <w:t xml:space="preserve"> obtained from vendor-purchased school staff lists. If a principal’s name </w:t>
      </w:r>
      <w:r w:rsidR="003A336B">
        <w:rPr>
          <w:rFonts w:ascii="Times New Roman" w:hAnsi="Times New Roman"/>
          <w:iCs/>
          <w:szCs w:val="24"/>
        </w:rPr>
        <w:t>i</w:t>
      </w:r>
      <w:r w:rsidR="004D17BE" w:rsidRPr="00671E66">
        <w:rPr>
          <w:rFonts w:ascii="Times New Roman" w:hAnsi="Times New Roman"/>
          <w:iCs/>
          <w:szCs w:val="24"/>
        </w:rPr>
        <w:t>s</w:t>
      </w:r>
      <w:r w:rsidR="00974BBC" w:rsidRPr="00671E66">
        <w:rPr>
          <w:rFonts w:ascii="Times New Roman" w:hAnsi="Times New Roman"/>
          <w:iCs/>
          <w:szCs w:val="24"/>
        </w:rPr>
        <w:t xml:space="preserve"> not available from the vendor, clerical staff research this information using school and district websites.</w:t>
      </w:r>
    </w:p>
    <w:p w14:paraId="5EB87A97" w14:textId="28284A0A" w:rsidR="007215B4" w:rsidRPr="00CB797A" w:rsidRDefault="000D092A" w:rsidP="007D4EB8">
      <w:pPr>
        <w:pStyle w:val="ListParagraph"/>
        <w:numPr>
          <w:ilvl w:val="0"/>
          <w:numId w:val="14"/>
        </w:numPr>
        <w:spacing w:after="120" w:line="240" w:lineRule="auto"/>
        <w:ind w:left="540"/>
        <w:rPr>
          <w:rFonts w:ascii="Times New Roman" w:hAnsi="Times New Roman"/>
          <w:iCs/>
          <w:szCs w:val="24"/>
        </w:rPr>
      </w:pPr>
      <w:r w:rsidRPr="00A2457E">
        <w:rPr>
          <w:rFonts w:ascii="Times New Roman" w:hAnsi="Times New Roman"/>
          <w:b/>
          <w:i/>
          <w:iCs/>
          <w:szCs w:val="24"/>
        </w:rPr>
        <w:t xml:space="preserve">Use of email to target principals, survey coordinators, and teachers. </w:t>
      </w:r>
      <w:r w:rsidRPr="00A2457E">
        <w:rPr>
          <w:rFonts w:ascii="Times New Roman" w:hAnsi="Times New Roman"/>
          <w:iCs/>
          <w:szCs w:val="24"/>
        </w:rPr>
        <w:t xml:space="preserve">NTPS </w:t>
      </w:r>
      <w:r w:rsidR="00592E9C">
        <w:rPr>
          <w:rFonts w:ascii="Times New Roman" w:hAnsi="Times New Roman"/>
          <w:iCs/>
          <w:szCs w:val="24"/>
        </w:rPr>
        <w:t>2017-18</w:t>
      </w:r>
      <w:r w:rsidR="00592E9C" w:rsidRPr="00A2457E">
        <w:rPr>
          <w:rFonts w:ascii="Times New Roman" w:hAnsi="Times New Roman"/>
          <w:iCs/>
          <w:szCs w:val="24"/>
        </w:rPr>
        <w:t xml:space="preserve"> </w:t>
      </w:r>
      <w:r w:rsidRPr="00A2457E">
        <w:rPr>
          <w:rFonts w:ascii="Times New Roman" w:hAnsi="Times New Roman"/>
          <w:iCs/>
          <w:szCs w:val="24"/>
        </w:rPr>
        <w:t>demonstrated that email was an effective tool to drive participation in both the NTPS teacher and principal surveys. It proved that teacher email addresses could be effectively collected on the TLF, school websites, and from vendor lists of teachers</w:t>
      </w:r>
      <w:r w:rsidR="00D60F8A" w:rsidRPr="00A2457E">
        <w:rPr>
          <w:rFonts w:ascii="Times New Roman" w:hAnsi="Times New Roman"/>
          <w:iCs/>
          <w:szCs w:val="24"/>
        </w:rPr>
        <w:t>;</w:t>
      </w:r>
      <w:r w:rsidRPr="00A2457E">
        <w:rPr>
          <w:rFonts w:ascii="Times New Roman" w:hAnsi="Times New Roman"/>
          <w:iCs/>
          <w:szCs w:val="24"/>
        </w:rPr>
        <w:t xml:space="preserve"> that principal email addresses could be effectively collected from school website</w:t>
      </w:r>
      <w:r w:rsidR="00377BE9" w:rsidRPr="00A2457E">
        <w:rPr>
          <w:rFonts w:ascii="Times New Roman" w:hAnsi="Times New Roman"/>
          <w:iCs/>
          <w:szCs w:val="24"/>
        </w:rPr>
        <w:t>s</w:t>
      </w:r>
      <w:r w:rsidRPr="00A2457E">
        <w:rPr>
          <w:rFonts w:ascii="Times New Roman" w:hAnsi="Times New Roman"/>
          <w:iCs/>
          <w:szCs w:val="24"/>
        </w:rPr>
        <w:t xml:space="preserve"> and from vendor purchased school data</w:t>
      </w:r>
      <w:r w:rsidR="00D60F8A" w:rsidRPr="00A2457E">
        <w:rPr>
          <w:rFonts w:ascii="Times New Roman" w:hAnsi="Times New Roman"/>
          <w:iCs/>
          <w:szCs w:val="24"/>
        </w:rPr>
        <w:t>;</w:t>
      </w:r>
      <w:r w:rsidRPr="00A2457E">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D473E6">
        <w:rPr>
          <w:rFonts w:ascii="Times New Roman" w:hAnsi="Times New Roman"/>
          <w:iCs/>
          <w:szCs w:val="24"/>
        </w:rPr>
        <w:t>2019-20</w:t>
      </w:r>
      <w:r w:rsidRPr="00A2457E">
        <w:rPr>
          <w:rFonts w:ascii="Times New Roman" w:hAnsi="Times New Roman"/>
          <w:iCs/>
          <w:szCs w:val="24"/>
        </w:rPr>
        <w:t xml:space="preserve"> NTPS data collection, teachers, principals, and survey </w:t>
      </w:r>
      <w:r w:rsidRPr="00CB797A">
        <w:rPr>
          <w:rFonts w:ascii="Times New Roman" w:hAnsi="Times New Roman"/>
          <w:iCs/>
          <w:szCs w:val="24"/>
        </w:rPr>
        <w:t>coordinators will be contacted via email. The emails will include login information to access the NTPS online survey instruments, in addition to text inviting and subsequently reminding these respondents to complete their survey online.</w:t>
      </w:r>
    </w:p>
    <w:p w14:paraId="54D97A43" w14:textId="5074EAA6" w:rsidR="007215B4" w:rsidRDefault="00396E14" w:rsidP="00D41989">
      <w:pPr>
        <w:pStyle w:val="L1-FlLSp12"/>
        <w:widowControl w:val="0"/>
        <w:numPr>
          <w:ilvl w:val="0"/>
          <w:numId w:val="14"/>
        </w:numPr>
        <w:spacing w:after="120" w:line="240" w:lineRule="auto"/>
        <w:ind w:left="540"/>
        <w:rPr>
          <w:rFonts w:ascii="Times New Roman" w:hAnsi="Times New Roman"/>
          <w:iCs/>
          <w:szCs w:val="24"/>
        </w:rPr>
      </w:pPr>
      <w:r w:rsidRPr="00CB797A">
        <w:rPr>
          <w:rFonts w:ascii="Times New Roman" w:hAnsi="Times New Roman"/>
          <w:b/>
          <w:i/>
          <w:iCs/>
          <w:szCs w:val="24"/>
        </w:rPr>
        <w:t>Use of additional</w:t>
      </w:r>
      <w:r w:rsidR="00974611" w:rsidRPr="00CB797A">
        <w:rPr>
          <w:rFonts w:ascii="Times New Roman" w:hAnsi="Times New Roman"/>
          <w:b/>
          <w:i/>
          <w:iCs/>
          <w:szCs w:val="24"/>
        </w:rPr>
        <w:t xml:space="preserve"> reminder ema</w:t>
      </w:r>
      <w:r w:rsidR="000D092A" w:rsidRPr="00CB797A">
        <w:rPr>
          <w:rFonts w:ascii="Times New Roman" w:hAnsi="Times New Roman"/>
          <w:b/>
          <w:i/>
          <w:iCs/>
          <w:szCs w:val="24"/>
        </w:rPr>
        <w:t>il</w:t>
      </w:r>
      <w:r w:rsidRPr="00CB797A">
        <w:rPr>
          <w:rFonts w:ascii="Times New Roman" w:hAnsi="Times New Roman"/>
          <w:b/>
          <w:i/>
          <w:iCs/>
          <w:szCs w:val="24"/>
        </w:rPr>
        <w:t>s</w:t>
      </w:r>
      <w:r w:rsidR="000D092A" w:rsidRPr="00CB797A">
        <w:rPr>
          <w:rFonts w:ascii="Times New Roman" w:hAnsi="Times New Roman"/>
          <w:b/>
          <w:i/>
          <w:iCs/>
          <w:szCs w:val="24"/>
        </w:rPr>
        <w:t xml:space="preserve"> to teachers</w:t>
      </w:r>
      <w:r w:rsidR="00974611" w:rsidRPr="00CB797A">
        <w:rPr>
          <w:rFonts w:ascii="Times New Roman" w:hAnsi="Times New Roman"/>
          <w:b/>
          <w:i/>
          <w:iCs/>
          <w:szCs w:val="24"/>
        </w:rPr>
        <w:t xml:space="preserve">. </w:t>
      </w:r>
      <w:r w:rsidR="0004645B" w:rsidRPr="00CB797A">
        <w:rPr>
          <w:rFonts w:ascii="Times New Roman" w:hAnsi="Times New Roman"/>
          <w:iCs/>
          <w:szCs w:val="24"/>
        </w:rPr>
        <w:t xml:space="preserve">Previous NTPS cycles showed </w:t>
      </w:r>
      <w:r w:rsidR="00CA065C" w:rsidRPr="00CB797A">
        <w:rPr>
          <w:rFonts w:ascii="Times New Roman" w:hAnsi="Times New Roman"/>
          <w:iCs/>
          <w:szCs w:val="24"/>
        </w:rPr>
        <w:t>that</w:t>
      </w:r>
      <w:r w:rsidR="00974611" w:rsidRPr="00CB797A">
        <w:rPr>
          <w:rFonts w:ascii="Times New Roman" w:hAnsi="Times New Roman"/>
          <w:iCs/>
          <w:szCs w:val="24"/>
        </w:rPr>
        <w:t xml:space="preserve"> response rates for late</w:t>
      </w:r>
      <w:r w:rsidR="00377BE9" w:rsidRPr="00CB797A">
        <w:rPr>
          <w:rFonts w:ascii="Times New Roman" w:hAnsi="Times New Roman"/>
          <w:iCs/>
          <w:szCs w:val="24"/>
        </w:rPr>
        <w:t>-sample</w:t>
      </w:r>
      <w:r w:rsidR="00974611" w:rsidRPr="00CB797A">
        <w:rPr>
          <w:rFonts w:ascii="Times New Roman" w:hAnsi="Times New Roman"/>
          <w:iCs/>
          <w:szCs w:val="24"/>
        </w:rPr>
        <w:t xml:space="preserve"> wave teachers in NTPS </w:t>
      </w:r>
      <w:r w:rsidR="0004645B" w:rsidRPr="00CB797A">
        <w:rPr>
          <w:rFonts w:ascii="Times New Roman" w:hAnsi="Times New Roman"/>
          <w:iCs/>
          <w:szCs w:val="24"/>
        </w:rPr>
        <w:t>level</w:t>
      </w:r>
      <w:r w:rsidR="00974611" w:rsidRPr="00CB797A">
        <w:rPr>
          <w:rFonts w:ascii="Times New Roman" w:hAnsi="Times New Roman"/>
          <w:iCs/>
          <w:szCs w:val="24"/>
        </w:rPr>
        <w:t xml:space="preserve"> off and</w:t>
      </w:r>
      <w:r w:rsidR="0004645B" w:rsidRPr="00CB797A">
        <w:rPr>
          <w:rFonts w:ascii="Times New Roman" w:hAnsi="Times New Roman"/>
          <w:iCs/>
          <w:szCs w:val="24"/>
        </w:rPr>
        <w:t xml:space="preserve"> even</w:t>
      </w:r>
      <w:r w:rsidR="00974611" w:rsidRPr="00CB797A">
        <w:rPr>
          <w:rFonts w:ascii="Times New Roman" w:hAnsi="Times New Roman"/>
          <w:iCs/>
          <w:szCs w:val="24"/>
        </w:rPr>
        <w:t xml:space="preserve"> appeared to be lower than for earlier waves of teachers. This may have been a product of the timing of school testing and late</w:t>
      </w:r>
      <w:r w:rsidR="00377BE9" w:rsidRPr="00CB797A">
        <w:rPr>
          <w:rFonts w:ascii="Times New Roman" w:hAnsi="Times New Roman"/>
          <w:iCs/>
          <w:szCs w:val="24"/>
        </w:rPr>
        <w:t>-</w:t>
      </w:r>
      <w:r w:rsidR="00974611" w:rsidRPr="00CB797A">
        <w:rPr>
          <w:rFonts w:ascii="Times New Roman" w:hAnsi="Times New Roman"/>
          <w:iCs/>
          <w:szCs w:val="24"/>
        </w:rPr>
        <w:t>school year activities because late</w:t>
      </w:r>
      <w:r w:rsidR="00377BE9" w:rsidRPr="00CB797A">
        <w:rPr>
          <w:rFonts w:ascii="Times New Roman" w:hAnsi="Times New Roman"/>
          <w:iCs/>
          <w:szCs w:val="24"/>
        </w:rPr>
        <w:t>-sample</w:t>
      </w:r>
      <w:r w:rsidR="00974611" w:rsidRPr="00CB797A">
        <w:rPr>
          <w:rFonts w:ascii="Times New Roman" w:hAnsi="Times New Roman"/>
          <w:iCs/>
          <w:szCs w:val="24"/>
        </w:rPr>
        <w:t xml:space="preserve"> wave teachers received an invitation to complete the survey during a period with a heavy school workload. </w:t>
      </w:r>
      <w:r w:rsidR="00291A70" w:rsidRPr="00CB797A">
        <w:rPr>
          <w:rFonts w:ascii="Times New Roman" w:hAnsi="Times New Roman"/>
          <w:iCs/>
          <w:szCs w:val="24"/>
        </w:rPr>
        <w:t xml:space="preserve">It may also have been because the late sampled teachers </w:t>
      </w:r>
      <w:r w:rsidR="00CB1A95">
        <w:rPr>
          <w:rFonts w:ascii="Times New Roman" w:hAnsi="Times New Roman"/>
          <w:iCs/>
          <w:szCs w:val="24"/>
        </w:rPr>
        <w:t>were</w:t>
      </w:r>
      <w:r w:rsidR="00D41989" w:rsidRPr="00CB797A">
        <w:rPr>
          <w:rFonts w:ascii="Times New Roman" w:hAnsi="Times New Roman"/>
          <w:iCs/>
          <w:szCs w:val="24"/>
        </w:rPr>
        <w:t xml:space="preserve"> in schools </w:t>
      </w:r>
      <w:r w:rsidR="00CB1A95">
        <w:rPr>
          <w:rFonts w:ascii="Times New Roman" w:hAnsi="Times New Roman"/>
          <w:iCs/>
          <w:szCs w:val="24"/>
        </w:rPr>
        <w:t>that</w:t>
      </w:r>
      <w:r w:rsidR="00D41989" w:rsidRPr="00CB797A">
        <w:rPr>
          <w:rFonts w:ascii="Times New Roman" w:hAnsi="Times New Roman"/>
          <w:iCs/>
          <w:szCs w:val="24"/>
        </w:rPr>
        <w:t xml:space="preserve"> </w:t>
      </w:r>
      <w:r w:rsidR="00CB1A95">
        <w:rPr>
          <w:rFonts w:ascii="Times New Roman" w:hAnsi="Times New Roman"/>
          <w:iCs/>
          <w:szCs w:val="24"/>
        </w:rPr>
        <w:t>we</w:t>
      </w:r>
      <w:r w:rsidR="00D41989" w:rsidRPr="00CB797A">
        <w:rPr>
          <w:rFonts w:ascii="Times New Roman" w:hAnsi="Times New Roman"/>
          <w:iCs/>
          <w:szCs w:val="24"/>
        </w:rPr>
        <w:t xml:space="preserve">re either late responders to the TLF or TLF non-respondents (in instances where teachers were sampled from a teacher roster obtained from clerical research or the vendor data) and therefore may have </w:t>
      </w:r>
      <w:r w:rsidR="00CB1A95">
        <w:rPr>
          <w:rFonts w:ascii="Times New Roman" w:hAnsi="Times New Roman"/>
          <w:iCs/>
          <w:szCs w:val="24"/>
        </w:rPr>
        <w:t>had less</w:t>
      </w:r>
      <w:r w:rsidR="00D41989" w:rsidRPr="00CB797A">
        <w:rPr>
          <w:rFonts w:ascii="Times New Roman" w:hAnsi="Times New Roman"/>
          <w:iCs/>
          <w:szCs w:val="24"/>
        </w:rPr>
        <w:t xml:space="preserve"> support and encouragement from their principals and/or survey coordinators to complete their questionnaires. </w:t>
      </w:r>
      <w:r w:rsidR="00974611" w:rsidRPr="00CB797A">
        <w:rPr>
          <w:rFonts w:ascii="Times New Roman" w:hAnsi="Times New Roman"/>
          <w:iCs/>
          <w:szCs w:val="24"/>
        </w:rPr>
        <w:t>Given that additional reminder email</w:t>
      </w:r>
      <w:r w:rsidR="0004645B" w:rsidRPr="00CB797A">
        <w:rPr>
          <w:rFonts w:ascii="Times New Roman" w:hAnsi="Times New Roman"/>
          <w:iCs/>
          <w:szCs w:val="24"/>
        </w:rPr>
        <w:t>s</w:t>
      </w:r>
      <w:r w:rsidR="00974611" w:rsidRPr="00CB797A">
        <w:rPr>
          <w:rFonts w:ascii="Times New Roman" w:hAnsi="Times New Roman"/>
          <w:iCs/>
          <w:szCs w:val="24"/>
        </w:rPr>
        <w:t xml:space="preserve"> </w:t>
      </w:r>
      <w:r w:rsidR="0004645B" w:rsidRPr="00CB797A">
        <w:rPr>
          <w:rFonts w:ascii="Times New Roman" w:hAnsi="Times New Roman"/>
          <w:iCs/>
          <w:szCs w:val="24"/>
        </w:rPr>
        <w:t xml:space="preserve">carry </w:t>
      </w:r>
      <w:r w:rsidR="00974611" w:rsidRPr="00CB797A">
        <w:rPr>
          <w:rFonts w:ascii="Times New Roman" w:hAnsi="Times New Roman"/>
          <w:iCs/>
          <w:szCs w:val="24"/>
        </w:rPr>
        <w:t xml:space="preserve">no cost and may help response rates, </w:t>
      </w:r>
      <w:r w:rsidR="00CB1A95">
        <w:rPr>
          <w:rFonts w:ascii="Times New Roman" w:hAnsi="Times New Roman"/>
          <w:iCs/>
          <w:szCs w:val="24"/>
        </w:rPr>
        <w:t xml:space="preserve">as in </w:t>
      </w:r>
      <w:r w:rsidR="00CB1A95" w:rsidRPr="003E15BB">
        <w:rPr>
          <w:rFonts w:ascii="Times New Roman" w:hAnsi="Times New Roman"/>
          <w:iCs/>
          <w:szCs w:val="24"/>
        </w:rPr>
        <w:t>NTPS</w:t>
      </w:r>
      <w:r w:rsidR="00CB1A95">
        <w:rPr>
          <w:rFonts w:ascii="Times New Roman" w:hAnsi="Times New Roman"/>
          <w:iCs/>
          <w:szCs w:val="24"/>
        </w:rPr>
        <w:t xml:space="preserve"> 2017-18, </w:t>
      </w:r>
      <w:r w:rsidR="0004645B" w:rsidRPr="00CB797A">
        <w:rPr>
          <w:rFonts w:ascii="Times New Roman" w:hAnsi="Times New Roman"/>
          <w:iCs/>
          <w:szCs w:val="24"/>
        </w:rPr>
        <w:t>three (or more)</w:t>
      </w:r>
      <w:r w:rsidR="000D092A" w:rsidRPr="00CB797A">
        <w:rPr>
          <w:rFonts w:ascii="Times New Roman" w:hAnsi="Times New Roman"/>
          <w:iCs/>
          <w:szCs w:val="24"/>
        </w:rPr>
        <w:t xml:space="preserve"> reminder email</w:t>
      </w:r>
      <w:r w:rsidR="00274578">
        <w:rPr>
          <w:rFonts w:ascii="Times New Roman" w:hAnsi="Times New Roman"/>
          <w:iCs/>
          <w:szCs w:val="24"/>
        </w:rPr>
        <w:t>s</w:t>
      </w:r>
      <w:r w:rsidR="000D092A" w:rsidRPr="00CB797A">
        <w:rPr>
          <w:rFonts w:ascii="Times New Roman" w:hAnsi="Times New Roman"/>
          <w:iCs/>
          <w:szCs w:val="24"/>
        </w:rPr>
        <w:t xml:space="preserve"> will be sent to nonresponding teachers during NTPS </w:t>
      </w:r>
      <w:r w:rsidR="00CB1A95" w:rsidRPr="00CB797A">
        <w:rPr>
          <w:rFonts w:ascii="Times New Roman" w:hAnsi="Times New Roman"/>
          <w:iCs/>
          <w:szCs w:val="24"/>
        </w:rPr>
        <w:t xml:space="preserve">2019-20 </w:t>
      </w:r>
      <w:r w:rsidR="000D092A" w:rsidRPr="00CB797A">
        <w:rPr>
          <w:rFonts w:ascii="Times New Roman" w:hAnsi="Times New Roman"/>
          <w:iCs/>
          <w:szCs w:val="24"/>
        </w:rPr>
        <w:t>data collection.</w:t>
      </w:r>
      <w:r w:rsidR="00CB1A95">
        <w:rPr>
          <w:rFonts w:ascii="Times New Roman" w:hAnsi="Times New Roman"/>
          <w:iCs/>
          <w:szCs w:val="24"/>
        </w:rPr>
        <w:t xml:space="preserve"> The maximum number of reminder emails that will be sent will be specified in the </w:t>
      </w:r>
      <w:r w:rsidR="00CB1A95" w:rsidRPr="00CB797A">
        <w:rPr>
          <w:rFonts w:ascii="Times New Roman" w:hAnsi="Times New Roman"/>
          <w:iCs/>
          <w:szCs w:val="24"/>
        </w:rPr>
        <w:t xml:space="preserve">NTPS 2019-20 </w:t>
      </w:r>
      <w:r w:rsidR="006F14E8">
        <w:rPr>
          <w:rFonts w:ascii="Times New Roman" w:hAnsi="Times New Roman"/>
          <w:iCs/>
          <w:szCs w:val="24"/>
        </w:rPr>
        <w:t>Main Study</w:t>
      </w:r>
      <w:r w:rsidR="00CB1A95">
        <w:rPr>
          <w:rFonts w:ascii="Times New Roman" w:hAnsi="Times New Roman"/>
          <w:iCs/>
          <w:szCs w:val="24"/>
        </w:rPr>
        <w:t xml:space="preserve"> </w:t>
      </w:r>
      <w:r w:rsidR="00CB1A95" w:rsidRPr="00CB797A">
        <w:rPr>
          <w:rFonts w:ascii="Times New Roman" w:hAnsi="Times New Roman"/>
          <w:iCs/>
          <w:szCs w:val="24"/>
        </w:rPr>
        <w:t>data collection</w:t>
      </w:r>
      <w:r w:rsidR="00CB1A95">
        <w:rPr>
          <w:rFonts w:ascii="Times New Roman" w:hAnsi="Times New Roman"/>
          <w:iCs/>
          <w:szCs w:val="24"/>
        </w:rPr>
        <w:t xml:space="preserve"> submission in December 2018.</w:t>
      </w:r>
    </w:p>
    <w:p w14:paraId="23D34041" w14:textId="48513DB9" w:rsidR="00CB1A95" w:rsidRDefault="00CB1A95" w:rsidP="00CB1A95">
      <w:pPr>
        <w:pStyle w:val="L1-FlLSp12"/>
        <w:widowControl w:val="0"/>
        <w:numPr>
          <w:ilvl w:val="0"/>
          <w:numId w:val="14"/>
        </w:numPr>
        <w:spacing w:after="120" w:line="240" w:lineRule="auto"/>
        <w:ind w:left="540"/>
        <w:rPr>
          <w:rFonts w:ascii="Times New Roman" w:hAnsi="Times New Roman"/>
          <w:iCs/>
          <w:szCs w:val="24"/>
        </w:rPr>
      </w:pPr>
      <w:r w:rsidRPr="00DB2BAA">
        <w:rPr>
          <w:rFonts w:ascii="Times New Roman" w:hAnsi="Times New Roman"/>
          <w:b/>
          <w:i/>
          <w:iCs/>
          <w:szCs w:val="24"/>
        </w:rPr>
        <w:t xml:space="preserve">Send a </w:t>
      </w:r>
      <w:r>
        <w:rPr>
          <w:rFonts w:ascii="Times New Roman" w:hAnsi="Times New Roman"/>
          <w:b/>
          <w:i/>
          <w:iCs/>
          <w:szCs w:val="24"/>
        </w:rPr>
        <w:t>“</w:t>
      </w:r>
      <w:r w:rsidRPr="00DB2BAA">
        <w:rPr>
          <w:rFonts w:ascii="Times New Roman" w:hAnsi="Times New Roman"/>
          <w:b/>
          <w:i/>
          <w:iCs/>
          <w:szCs w:val="24"/>
        </w:rPr>
        <w:t>letter of better understanding</w:t>
      </w:r>
      <w:r>
        <w:rPr>
          <w:rFonts w:ascii="Times New Roman" w:hAnsi="Times New Roman"/>
          <w:b/>
          <w:i/>
          <w:iCs/>
          <w:szCs w:val="24"/>
        </w:rPr>
        <w:t>”</w:t>
      </w:r>
      <w:r w:rsidRPr="00DB2BAA">
        <w:rPr>
          <w:rFonts w:ascii="Times New Roman" w:hAnsi="Times New Roman"/>
          <w:b/>
          <w:i/>
          <w:iCs/>
          <w:szCs w:val="24"/>
        </w:rPr>
        <w:t xml:space="preserve"> to principals and teachers.</w:t>
      </w:r>
      <w:r w:rsidRPr="00DB2BAA">
        <w:rPr>
          <w:rFonts w:ascii="Times New Roman" w:hAnsi="Times New Roman"/>
          <w:iCs/>
          <w:szCs w:val="24"/>
        </w:rPr>
        <w:t xml:space="preserve"> After the 2015-16 NTPS collection, field represent</w:t>
      </w:r>
      <w:r>
        <w:rPr>
          <w:rFonts w:ascii="Times New Roman" w:hAnsi="Times New Roman"/>
          <w:iCs/>
          <w:szCs w:val="24"/>
        </w:rPr>
        <w:t>ative</w:t>
      </w:r>
      <w:r w:rsidRPr="00DB2BAA">
        <w:rPr>
          <w:rFonts w:ascii="Times New Roman" w:hAnsi="Times New Roman"/>
          <w:iCs/>
          <w:szCs w:val="24"/>
        </w:rPr>
        <w:t xml:space="preserve">s and the regional offices recommended </w:t>
      </w:r>
      <w:r>
        <w:rPr>
          <w:rFonts w:ascii="Times New Roman" w:hAnsi="Times New Roman"/>
          <w:iCs/>
          <w:szCs w:val="24"/>
        </w:rPr>
        <w:t>to send “</w:t>
      </w:r>
      <w:r w:rsidRPr="00767DDE">
        <w:rPr>
          <w:rFonts w:ascii="Times New Roman" w:hAnsi="Times New Roman"/>
          <w:iCs/>
          <w:szCs w:val="24"/>
        </w:rPr>
        <w:t>letter</w:t>
      </w:r>
      <w:r>
        <w:rPr>
          <w:rFonts w:ascii="Times New Roman" w:hAnsi="Times New Roman"/>
          <w:iCs/>
          <w:szCs w:val="24"/>
        </w:rPr>
        <w:t>s</w:t>
      </w:r>
      <w:r w:rsidRPr="00767DDE">
        <w:rPr>
          <w:rFonts w:ascii="Times New Roman" w:hAnsi="Times New Roman"/>
          <w:iCs/>
          <w:szCs w:val="24"/>
        </w:rPr>
        <w:t xml:space="preserve"> of better understanding</w:t>
      </w:r>
      <w:r>
        <w:rPr>
          <w:rFonts w:ascii="Times New Roman" w:hAnsi="Times New Roman"/>
          <w:iCs/>
          <w:szCs w:val="24"/>
        </w:rPr>
        <w:t xml:space="preserve">” </w:t>
      </w:r>
      <w:r w:rsidRPr="00DB2BAA">
        <w:rPr>
          <w:rFonts w:ascii="Times New Roman" w:hAnsi="Times New Roman"/>
          <w:iCs/>
          <w:szCs w:val="24"/>
        </w:rPr>
        <w:t xml:space="preserve">to </w:t>
      </w:r>
      <w:r>
        <w:rPr>
          <w:rFonts w:ascii="Times New Roman" w:hAnsi="Times New Roman"/>
          <w:iCs/>
          <w:szCs w:val="24"/>
        </w:rPr>
        <w:t>principals and teachers</w:t>
      </w:r>
      <w:r w:rsidRPr="00DB2BAA">
        <w:rPr>
          <w:rFonts w:ascii="Times New Roman" w:hAnsi="Times New Roman"/>
          <w:iCs/>
          <w:szCs w:val="24"/>
        </w:rPr>
        <w:t xml:space="preserve"> who may be hesitant to complete the survey</w:t>
      </w:r>
      <w:r>
        <w:rPr>
          <w:rFonts w:ascii="Times New Roman" w:hAnsi="Times New Roman"/>
          <w:iCs/>
          <w:szCs w:val="24"/>
        </w:rPr>
        <w:t xml:space="preserve"> to help them gain a</w:t>
      </w:r>
      <w:r w:rsidRPr="00DB2BAA">
        <w:rPr>
          <w:rFonts w:ascii="Times New Roman" w:hAnsi="Times New Roman"/>
          <w:iCs/>
          <w:szCs w:val="24"/>
        </w:rPr>
        <w:t xml:space="preserve"> better understanding of the </w:t>
      </w:r>
      <w:r>
        <w:rPr>
          <w:rFonts w:ascii="Times New Roman" w:hAnsi="Times New Roman"/>
          <w:iCs/>
          <w:szCs w:val="24"/>
        </w:rPr>
        <w:t>study by providing them information about how the data are used and referencing some of the published data from NTPS First Look Reports. These letters will be sent to principals and teachers in priority schools, which tend to exhibit high non-response.</w:t>
      </w:r>
    </w:p>
    <w:p w14:paraId="212B4224" w14:textId="45FF8D03" w:rsidR="00652E63" w:rsidRDefault="006E7B42" w:rsidP="00CB797A">
      <w:pPr>
        <w:pStyle w:val="L1-FlLSp12"/>
        <w:widowControl w:val="0"/>
        <w:numPr>
          <w:ilvl w:val="0"/>
          <w:numId w:val="14"/>
        </w:numPr>
        <w:tabs>
          <w:tab w:val="clear" w:pos="1152"/>
          <w:tab w:val="left" w:pos="540"/>
        </w:tabs>
        <w:spacing w:after="120" w:line="240" w:lineRule="auto"/>
        <w:ind w:left="540"/>
        <w:rPr>
          <w:rFonts w:ascii="Times New Roman" w:hAnsi="Times New Roman"/>
          <w:iCs/>
          <w:szCs w:val="24"/>
        </w:rPr>
      </w:pPr>
      <w:r>
        <w:rPr>
          <w:rFonts w:ascii="Times New Roman" w:hAnsi="Times New Roman"/>
          <w:b/>
          <w:i/>
          <w:iCs/>
          <w:szCs w:val="24"/>
        </w:rPr>
        <w:t xml:space="preserve">Telephone and </w:t>
      </w:r>
      <w:r w:rsidR="00346C44">
        <w:rPr>
          <w:rFonts w:ascii="Times New Roman" w:hAnsi="Times New Roman"/>
          <w:b/>
          <w:i/>
          <w:iCs/>
          <w:szCs w:val="24"/>
        </w:rPr>
        <w:t>f</w:t>
      </w:r>
      <w:r>
        <w:rPr>
          <w:rFonts w:ascii="Times New Roman" w:hAnsi="Times New Roman"/>
          <w:b/>
          <w:i/>
          <w:iCs/>
          <w:szCs w:val="24"/>
        </w:rPr>
        <w:t>ield follow-up operations for late-sampled teachers.</w:t>
      </w:r>
      <w:r w:rsidR="00652E63">
        <w:rPr>
          <w:rFonts w:ascii="Times New Roman" w:hAnsi="Times New Roman"/>
          <w:b/>
          <w:i/>
          <w:iCs/>
          <w:szCs w:val="24"/>
        </w:rPr>
        <w:t xml:space="preserve"> </w:t>
      </w:r>
      <w:r w:rsidR="00DF789F" w:rsidRPr="003E15BB">
        <w:rPr>
          <w:rFonts w:ascii="Times New Roman" w:hAnsi="Times New Roman"/>
          <w:iCs/>
          <w:szCs w:val="24"/>
        </w:rPr>
        <w:t>NTPS</w:t>
      </w:r>
      <w:r w:rsidR="00D41989">
        <w:rPr>
          <w:rFonts w:ascii="Times New Roman" w:hAnsi="Times New Roman"/>
          <w:iCs/>
          <w:szCs w:val="24"/>
        </w:rPr>
        <w:t xml:space="preserve"> 2017-18</w:t>
      </w:r>
      <w:r w:rsidR="00DF789F" w:rsidRPr="003E15BB">
        <w:rPr>
          <w:rFonts w:ascii="Times New Roman" w:hAnsi="Times New Roman"/>
          <w:iCs/>
          <w:szCs w:val="24"/>
        </w:rPr>
        <w:t xml:space="preserve"> included t</w:t>
      </w:r>
      <w:r w:rsidR="00D527CD" w:rsidRPr="003E15BB">
        <w:rPr>
          <w:rFonts w:ascii="Times New Roman" w:hAnsi="Times New Roman"/>
          <w:iCs/>
          <w:szCs w:val="24"/>
        </w:rPr>
        <w:t>w</w:t>
      </w:r>
      <w:r w:rsidR="00DF789F" w:rsidRPr="003E15BB">
        <w:rPr>
          <w:rFonts w:ascii="Times New Roman" w:hAnsi="Times New Roman"/>
          <w:iCs/>
          <w:szCs w:val="24"/>
        </w:rPr>
        <w:t>o additional</w:t>
      </w:r>
      <w:r>
        <w:rPr>
          <w:rFonts w:ascii="Times New Roman" w:hAnsi="Times New Roman"/>
          <w:iCs/>
          <w:szCs w:val="24"/>
        </w:rPr>
        <w:t xml:space="preserve"> follow-up</w:t>
      </w:r>
      <w:r w:rsidR="00DF789F" w:rsidRPr="003E15BB">
        <w:rPr>
          <w:rFonts w:ascii="Times New Roman" w:hAnsi="Times New Roman"/>
          <w:iCs/>
          <w:szCs w:val="24"/>
        </w:rPr>
        <w:t xml:space="preserve"> operations aimed </w:t>
      </w:r>
      <w:r w:rsidR="00BF6089" w:rsidRPr="003E15BB">
        <w:rPr>
          <w:rFonts w:ascii="Times New Roman" w:hAnsi="Times New Roman"/>
          <w:iCs/>
          <w:szCs w:val="24"/>
        </w:rPr>
        <w:t xml:space="preserve">at collecting </w:t>
      </w:r>
      <w:r w:rsidR="00346C44">
        <w:rPr>
          <w:rFonts w:ascii="Times New Roman" w:hAnsi="Times New Roman"/>
          <w:iCs/>
          <w:szCs w:val="24"/>
        </w:rPr>
        <w:t>completed</w:t>
      </w:r>
      <w:r w:rsidR="00294E65" w:rsidRPr="003E15BB">
        <w:rPr>
          <w:rFonts w:ascii="Times New Roman" w:hAnsi="Times New Roman"/>
          <w:iCs/>
          <w:szCs w:val="24"/>
        </w:rPr>
        <w:t xml:space="preserve"> questionnaires from </w:t>
      </w:r>
      <w:r w:rsidR="00346C44">
        <w:rPr>
          <w:rFonts w:ascii="Times New Roman" w:hAnsi="Times New Roman"/>
          <w:iCs/>
          <w:szCs w:val="24"/>
        </w:rPr>
        <w:t xml:space="preserve">nonresponding </w:t>
      </w:r>
      <w:r w:rsidR="00294E65" w:rsidRPr="003E15BB">
        <w:rPr>
          <w:rFonts w:ascii="Times New Roman" w:hAnsi="Times New Roman"/>
          <w:iCs/>
          <w:szCs w:val="24"/>
        </w:rPr>
        <w:t>teachers sampled in the later data collection waves</w:t>
      </w:r>
      <w:r w:rsidR="00D527CD" w:rsidRPr="003E15BB">
        <w:rPr>
          <w:rFonts w:ascii="Times New Roman" w:hAnsi="Times New Roman"/>
          <w:iCs/>
          <w:szCs w:val="24"/>
        </w:rPr>
        <w:t xml:space="preserve"> (17-20)</w:t>
      </w:r>
      <w:r w:rsidR="00346C44">
        <w:rPr>
          <w:rFonts w:ascii="Times New Roman" w:hAnsi="Times New Roman"/>
          <w:iCs/>
          <w:szCs w:val="24"/>
        </w:rPr>
        <w:t>. I</w:t>
      </w:r>
      <w:r>
        <w:rPr>
          <w:rFonts w:ascii="Times New Roman" w:hAnsi="Times New Roman"/>
          <w:iCs/>
          <w:szCs w:val="24"/>
        </w:rPr>
        <w:t xml:space="preserve">n previous NTPS cycles, late-sampled teachers were not eligible for inclusion in telephone follow-up and/or </w:t>
      </w:r>
      <w:r w:rsidR="00346C44">
        <w:rPr>
          <w:rFonts w:ascii="Times New Roman" w:hAnsi="Times New Roman"/>
          <w:iCs/>
          <w:szCs w:val="24"/>
        </w:rPr>
        <w:t>f</w:t>
      </w:r>
      <w:r>
        <w:rPr>
          <w:rFonts w:ascii="Times New Roman" w:hAnsi="Times New Roman"/>
          <w:iCs/>
          <w:szCs w:val="24"/>
        </w:rPr>
        <w:t>ield follow-up.</w:t>
      </w:r>
      <w:r w:rsidR="00D527CD" w:rsidRPr="003E15BB">
        <w:rPr>
          <w:rFonts w:ascii="Times New Roman" w:hAnsi="Times New Roman"/>
          <w:iCs/>
          <w:szCs w:val="24"/>
        </w:rPr>
        <w:t xml:space="preserve"> </w:t>
      </w:r>
      <w:r w:rsidR="001357FD">
        <w:rPr>
          <w:rFonts w:ascii="Times New Roman" w:hAnsi="Times New Roman"/>
          <w:iCs/>
          <w:szCs w:val="24"/>
        </w:rPr>
        <w:t>During</w:t>
      </w:r>
      <w:r>
        <w:rPr>
          <w:rFonts w:ascii="Times New Roman" w:hAnsi="Times New Roman"/>
          <w:iCs/>
          <w:szCs w:val="24"/>
        </w:rPr>
        <w:t xml:space="preserve"> the phase 2 telephone follow-up operation, telephone center staff made telephone calls to late-sampled teachers to remind them to complete their questionnaire and, whenever possible, collect the interview over the phone.</w:t>
      </w:r>
      <w:r w:rsidR="00D527CD" w:rsidRPr="003E15BB">
        <w:rPr>
          <w:rFonts w:ascii="Times New Roman" w:hAnsi="Times New Roman"/>
          <w:iCs/>
          <w:szCs w:val="24"/>
        </w:rPr>
        <w:t xml:space="preserve"> </w:t>
      </w:r>
      <w:r w:rsidR="001357FD">
        <w:rPr>
          <w:rFonts w:ascii="Times New Roman" w:hAnsi="Times New Roman"/>
          <w:iCs/>
          <w:szCs w:val="24"/>
        </w:rPr>
        <w:t>During</w:t>
      </w:r>
      <w:r w:rsidR="001357FD" w:rsidRPr="003E15BB">
        <w:rPr>
          <w:rFonts w:ascii="Times New Roman" w:hAnsi="Times New Roman"/>
          <w:iCs/>
          <w:szCs w:val="24"/>
        </w:rPr>
        <w:t xml:space="preserve"> </w:t>
      </w:r>
      <w:r w:rsidR="00D527CD" w:rsidRPr="003E15BB">
        <w:rPr>
          <w:rFonts w:ascii="Times New Roman" w:hAnsi="Times New Roman"/>
          <w:iCs/>
          <w:szCs w:val="24"/>
        </w:rPr>
        <w:t xml:space="preserve">the </w:t>
      </w:r>
      <w:r w:rsidR="001357FD">
        <w:rPr>
          <w:rFonts w:ascii="Times New Roman" w:hAnsi="Times New Roman"/>
          <w:iCs/>
          <w:szCs w:val="24"/>
        </w:rPr>
        <w:t>p</w:t>
      </w:r>
      <w:r w:rsidR="00D527CD" w:rsidRPr="003E15BB">
        <w:rPr>
          <w:rFonts w:ascii="Times New Roman" w:hAnsi="Times New Roman"/>
          <w:iCs/>
          <w:szCs w:val="24"/>
        </w:rPr>
        <w:t xml:space="preserve">hase 4 </w:t>
      </w:r>
      <w:r w:rsidR="001357FD">
        <w:rPr>
          <w:rFonts w:ascii="Times New Roman" w:hAnsi="Times New Roman"/>
          <w:iCs/>
          <w:szCs w:val="24"/>
        </w:rPr>
        <w:t>f</w:t>
      </w:r>
      <w:r w:rsidR="00D527CD" w:rsidRPr="003E15BB">
        <w:rPr>
          <w:rFonts w:ascii="Times New Roman" w:hAnsi="Times New Roman"/>
          <w:iCs/>
          <w:szCs w:val="24"/>
        </w:rPr>
        <w:t xml:space="preserve">ield </w:t>
      </w:r>
      <w:r w:rsidR="001357FD">
        <w:rPr>
          <w:rFonts w:ascii="Times New Roman" w:hAnsi="Times New Roman"/>
          <w:iCs/>
          <w:szCs w:val="24"/>
        </w:rPr>
        <w:t>o</w:t>
      </w:r>
      <w:r w:rsidR="001357FD" w:rsidRPr="003E15BB">
        <w:rPr>
          <w:rFonts w:ascii="Times New Roman" w:hAnsi="Times New Roman"/>
          <w:iCs/>
          <w:szCs w:val="24"/>
        </w:rPr>
        <w:t>peration</w:t>
      </w:r>
      <w:r w:rsidR="00D527CD" w:rsidRPr="003E15BB">
        <w:rPr>
          <w:rFonts w:ascii="Times New Roman" w:hAnsi="Times New Roman"/>
          <w:iCs/>
          <w:szCs w:val="24"/>
        </w:rPr>
        <w:t>, F</w:t>
      </w:r>
      <w:r w:rsidR="001357FD">
        <w:rPr>
          <w:rFonts w:ascii="Times New Roman" w:hAnsi="Times New Roman"/>
          <w:iCs/>
          <w:szCs w:val="24"/>
        </w:rPr>
        <w:t xml:space="preserve">ield </w:t>
      </w:r>
      <w:r w:rsidR="00D527CD" w:rsidRPr="003E15BB">
        <w:rPr>
          <w:rFonts w:ascii="Times New Roman" w:hAnsi="Times New Roman"/>
          <w:iCs/>
          <w:szCs w:val="24"/>
        </w:rPr>
        <w:t>R</w:t>
      </w:r>
      <w:r w:rsidR="001357FD">
        <w:rPr>
          <w:rFonts w:ascii="Times New Roman" w:hAnsi="Times New Roman"/>
          <w:iCs/>
          <w:szCs w:val="24"/>
        </w:rPr>
        <w:t>epresentatives</w:t>
      </w:r>
      <w:r w:rsidR="00D527CD" w:rsidRPr="003E15BB">
        <w:rPr>
          <w:rFonts w:ascii="Times New Roman" w:hAnsi="Times New Roman"/>
          <w:iCs/>
          <w:szCs w:val="24"/>
        </w:rPr>
        <w:t xml:space="preserve"> made personal visits to the schools to drop off the paper form(s) and schedule a time to pick up the completed forms.</w:t>
      </w:r>
      <w:r w:rsidR="00652E63">
        <w:rPr>
          <w:rFonts w:ascii="Times New Roman" w:hAnsi="Times New Roman"/>
          <w:iCs/>
          <w:szCs w:val="24"/>
        </w:rPr>
        <w:t xml:space="preserve"> </w:t>
      </w:r>
      <w:r w:rsidR="00D527CD" w:rsidRPr="003E15BB">
        <w:rPr>
          <w:rFonts w:ascii="Times New Roman" w:hAnsi="Times New Roman"/>
          <w:iCs/>
          <w:szCs w:val="24"/>
        </w:rPr>
        <w:t>Additionally, both of these operations targeted domains with publishability risks (e.g</w:t>
      </w:r>
      <w:r w:rsidR="001357FD">
        <w:rPr>
          <w:rFonts w:ascii="Times New Roman" w:hAnsi="Times New Roman"/>
          <w:iCs/>
          <w:szCs w:val="24"/>
        </w:rPr>
        <w:t>. teachers in</w:t>
      </w:r>
      <w:r w:rsidR="00D527CD" w:rsidRPr="003E15BB">
        <w:rPr>
          <w:rFonts w:ascii="Times New Roman" w:hAnsi="Times New Roman"/>
          <w:iCs/>
          <w:szCs w:val="24"/>
        </w:rPr>
        <w:t xml:space="preserve"> city</w:t>
      </w:r>
      <w:r w:rsidR="00652E63">
        <w:rPr>
          <w:rFonts w:ascii="Times New Roman" w:hAnsi="Times New Roman"/>
          <w:iCs/>
          <w:szCs w:val="24"/>
        </w:rPr>
        <w:t xml:space="preserve"> </w:t>
      </w:r>
      <w:r w:rsidR="001357FD">
        <w:rPr>
          <w:rFonts w:ascii="Times New Roman" w:hAnsi="Times New Roman"/>
          <w:iCs/>
          <w:szCs w:val="24"/>
        </w:rPr>
        <w:t xml:space="preserve">and charter </w:t>
      </w:r>
      <w:r w:rsidR="00D527CD" w:rsidRPr="003E15BB">
        <w:rPr>
          <w:rFonts w:ascii="Times New Roman" w:hAnsi="Times New Roman"/>
          <w:iCs/>
          <w:szCs w:val="24"/>
        </w:rPr>
        <w:t>schools).</w:t>
      </w:r>
    </w:p>
    <w:p w14:paraId="1F1AC68C" w14:textId="3B612AC6" w:rsidR="000D092A" w:rsidRPr="00A2457E" w:rsidRDefault="00974611" w:rsidP="007D4EB8">
      <w:pPr>
        <w:pStyle w:val="L1-FlLSp12"/>
        <w:numPr>
          <w:ilvl w:val="0"/>
          <w:numId w:val="14"/>
        </w:numPr>
        <w:spacing w:after="120" w:line="240" w:lineRule="auto"/>
        <w:ind w:left="540"/>
        <w:rPr>
          <w:rFonts w:ascii="Times New Roman" w:hAnsi="Times New Roman"/>
          <w:szCs w:val="24"/>
        </w:rPr>
      </w:pPr>
      <w:r w:rsidRPr="00A2457E">
        <w:rPr>
          <w:rFonts w:ascii="Times New Roman" w:hAnsi="Times New Roman"/>
          <w:b/>
          <w:i/>
          <w:szCs w:val="24"/>
        </w:rPr>
        <w:t xml:space="preserve">Consider new methods of minimizing nonresponse. </w:t>
      </w:r>
      <w:r w:rsidRPr="00A2457E">
        <w:rPr>
          <w:rFonts w:ascii="Times New Roman" w:hAnsi="Times New Roman"/>
          <w:szCs w:val="24"/>
        </w:rPr>
        <w:t xml:space="preserve">NCES is considering a number of </w:t>
      </w:r>
      <w:r w:rsidR="00346C44">
        <w:rPr>
          <w:rFonts w:ascii="Times New Roman" w:hAnsi="Times New Roman"/>
          <w:szCs w:val="24"/>
        </w:rPr>
        <w:t>additional</w:t>
      </w:r>
      <w:r w:rsidRPr="00A2457E">
        <w:rPr>
          <w:rFonts w:ascii="Times New Roman" w:hAnsi="Times New Roman"/>
          <w:szCs w:val="24"/>
        </w:rPr>
        <w:t xml:space="preserve"> methods to minimize nonresponse in NTPS </w:t>
      </w:r>
      <w:r w:rsidR="00D92196">
        <w:rPr>
          <w:rFonts w:ascii="Times New Roman" w:hAnsi="Times New Roman"/>
          <w:szCs w:val="24"/>
        </w:rPr>
        <w:t>2019-20</w:t>
      </w:r>
      <w:r w:rsidRPr="00A2457E">
        <w:rPr>
          <w:rFonts w:ascii="Times New Roman" w:hAnsi="Times New Roman"/>
          <w:szCs w:val="24"/>
        </w:rPr>
        <w:t>, including the</w:t>
      </w:r>
      <w:r w:rsidR="00D92196">
        <w:rPr>
          <w:rFonts w:ascii="Times New Roman" w:hAnsi="Times New Roman"/>
          <w:szCs w:val="24"/>
        </w:rPr>
        <w:t xml:space="preserve"> continued</w:t>
      </w:r>
      <w:r w:rsidRPr="00A2457E">
        <w:rPr>
          <w:rFonts w:ascii="Times New Roman" w:hAnsi="Times New Roman"/>
          <w:szCs w:val="24"/>
        </w:rPr>
        <w:t xml:space="preserve"> use of incentives</w:t>
      </w:r>
      <w:r w:rsidR="000D092A" w:rsidRPr="00A2457E">
        <w:rPr>
          <w:rFonts w:ascii="Times New Roman" w:hAnsi="Times New Roman"/>
          <w:szCs w:val="24"/>
        </w:rPr>
        <w:t>.</w:t>
      </w:r>
      <w:r w:rsidR="00652E63">
        <w:rPr>
          <w:rFonts w:ascii="Times New Roman" w:hAnsi="Times New Roman"/>
          <w:szCs w:val="24"/>
        </w:rPr>
        <w:t xml:space="preserve"> </w:t>
      </w:r>
      <w:r w:rsidR="00511578">
        <w:rPr>
          <w:rFonts w:ascii="Times New Roman" w:hAnsi="Times New Roman"/>
          <w:szCs w:val="24"/>
        </w:rPr>
        <w:t xml:space="preserve">Previously, debit cards and cash were the main forms of incentives used to minimize nonresponse. For NTPS 2019-20, </w:t>
      </w:r>
      <w:r w:rsidR="00346C44">
        <w:rPr>
          <w:rFonts w:ascii="Times New Roman" w:hAnsi="Times New Roman"/>
          <w:szCs w:val="24"/>
        </w:rPr>
        <w:t xml:space="preserve">additional </w:t>
      </w:r>
      <w:r w:rsidR="00511578">
        <w:rPr>
          <w:rFonts w:ascii="Times New Roman" w:hAnsi="Times New Roman"/>
          <w:szCs w:val="24"/>
        </w:rPr>
        <w:t xml:space="preserve">non-monetary incentives are being considered as a tool to </w:t>
      </w:r>
      <w:r w:rsidR="00346C44">
        <w:rPr>
          <w:rFonts w:ascii="Times New Roman" w:hAnsi="Times New Roman"/>
          <w:szCs w:val="24"/>
        </w:rPr>
        <w:t xml:space="preserve">further </w:t>
      </w:r>
      <w:r w:rsidR="00511578">
        <w:rPr>
          <w:rFonts w:ascii="Times New Roman" w:hAnsi="Times New Roman"/>
          <w:szCs w:val="24"/>
        </w:rPr>
        <w:t>increase response rates.</w:t>
      </w:r>
      <w:r w:rsidR="000D092A" w:rsidRPr="00A2457E">
        <w:rPr>
          <w:rFonts w:ascii="Times New Roman" w:hAnsi="Times New Roman"/>
          <w:szCs w:val="24"/>
        </w:rPr>
        <w:t xml:space="preserve"> NTPS</w:t>
      </w:r>
      <w:r w:rsidR="00616D5E">
        <w:rPr>
          <w:rFonts w:ascii="Times New Roman" w:hAnsi="Times New Roman"/>
          <w:szCs w:val="24"/>
        </w:rPr>
        <w:t xml:space="preserve"> 2017-18</w:t>
      </w:r>
      <w:r w:rsidR="000D092A" w:rsidRPr="00A2457E">
        <w:rPr>
          <w:rFonts w:ascii="Times New Roman" w:hAnsi="Times New Roman"/>
          <w:szCs w:val="24"/>
        </w:rPr>
        <w:t xml:space="preserve"> include</w:t>
      </w:r>
      <w:r w:rsidR="00D92196">
        <w:rPr>
          <w:rFonts w:ascii="Times New Roman" w:hAnsi="Times New Roman"/>
          <w:szCs w:val="24"/>
        </w:rPr>
        <w:t>d</w:t>
      </w:r>
      <w:r w:rsidR="000D092A" w:rsidRPr="00A2457E">
        <w:rPr>
          <w:rFonts w:ascii="Times New Roman" w:hAnsi="Times New Roman"/>
          <w:szCs w:val="24"/>
        </w:rPr>
        <w:t xml:space="preserve"> </w:t>
      </w:r>
      <w:r w:rsidR="0097797A">
        <w:rPr>
          <w:rFonts w:ascii="Times New Roman" w:hAnsi="Times New Roman"/>
          <w:szCs w:val="24"/>
        </w:rPr>
        <w:t>a</w:t>
      </w:r>
      <w:r w:rsidR="007A154C">
        <w:rPr>
          <w:rFonts w:ascii="Times New Roman" w:hAnsi="Times New Roman"/>
          <w:szCs w:val="24"/>
        </w:rPr>
        <w:t>n incentive experiment for teachers and survey coordinators and also included a</w:t>
      </w:r>
      <w:r w:rsidR="0097797A">
        <w:rPr>
          <w:rFonts w:ascii="Times New Roman" w:hAnsi="Times New Roman"/>
          <w:szCs w:val="24"/>
        </w:rPr>
        <w:t xml:space="preserve"> contingency plan incentive experiment that targeted domains ‘at-risk’ for not meeting NCES publishability standards.</w:t>
      </w:r>
      <w:r w:rsidR="000D092A" w:rsidRPr="00A2457E">
        <w:rPr>
          <w:rFonts w:ascii="Times New Roman" w:hAnsi="Times New Roman"/>
          <w:szCs w:val="24"/>
        </w:rPr>
        <w:t xml:space="preserve"> </w:t>
      </w:r>
      <w:r w:rsidR="00F364E7">
        <w:rPr>
          <w:rFonts w:ascii="Times New Roman" w:hAnsi="Times New Roman"/>
          <w:szCs w:val="24"/>
        </w:rPr>
        <w:t xml:space="preserve">This was one of a few </w:t>
      </w:r>
      <w:r w:rsidR="000D092A" w:rsidRPr="00A2457E">
        <w:rPr>
          <w:rFonts w:ascii="Times New Roman" w:hAnsi="Times New Roman"/>
          <w:szCs w:val="24"/>
        </w:rPr>
        <w:t>experiment</w:t>
      </w:r>
      <w:r w:rsidR="00F364E7">
        <w:rPr>
          <w:rFonts w:ascii="Times New Roman" w:hAnsi="Times New Roman"/>
          <w:szCs w:val="24"/>
        </w:rPr>
        <w:t>s</w:t>
      </w:r>
      <w:r w:rsidR="000D092A" w:rsidRPr="00A2457E">
        <w:rPr>
          <w:rFonts w:ascii="Times New Roman" w:hAnsi="Times New Roman"/>
          <w:szCs w:val="24"/>
        </w:rPr>
        <w:t xml:space="preserve"> designed to examine the effectiveness of offering teachers a monetary incentive to boost overall teacher response. </w:t>
      </w:r>
      <w:r w:rsidR="004F38F8" w:rsidRPr="00A2457E">
        <w:rPr>
          <w:rFonts w:ascii="Times New Roman" w:hAnsi="Times New Roman"/>
          <w:szCs w:val="24"/>
        </w:rPr>
        <w:t>Further information about incentives</w:t>
      </w:r>
      <w:r w:rsidR="00D530E0">
        <w:rPr>
          <w:rFonts w:ascii="Times New Roman" w:hAnsi="Times New Roman"/>
          <w:szCs w:val="24"/>
        </w:rPr>
        <w:t>, as</w:t>
      </w:r>
      <w:r w:rsidR="004F38F8" w:rsidRPr="00A2457E">
        <w:rPr>
          <w:rFonts w:ascii="Times New Roman" w:hAnsi="Times New Roman"/>
          <w:szCs w:val="24"/>
        </w:rPr>
        <w:t xml:space="preserve"> </w:t>
      </w:r>
      <w:r w:rsidR="00D530E0">
        <w:rPr>
          <w:rFonts w:ascii="Times New Roman" w:hAnsi="Times New Roman"/>
          <w:szCs w:val="24"/>
        </w:rPr>
        <w:t xml:space="preserve">well as experiments related to mailed materials and messaging, </w:t>
      </w:r>
      <w:r w:rsidR="006B0F28" w:rsidRPr="00A2457E">
        <w:rPr>
          <w:rFonts w:ascii="Times New Roman" w:hAnsi="Times New Roman"/>
          <w:szCs w:val="24"/>
        </w:rPr>
        <w:t>is</w:t>
      </w:r>
      <w:r w:rsidR="004F38F8" w:rsidRPr="00A2457E">
        <w:rPr>
          <w:rFonts w:ascii="Times New Roman" w:hAnsi="Times New Roman"/>
          <w:szCs w:val="24"/>
        </w:rPr>
        <w:t xml:space="preserve"> provided in section B.4.2</w:t>
      </w:r>
      <w:r w:rsidR="00346C44">
        <w:rPr>
          <w:rFonts w:ascii="Times New Roman" w:hAnsi="Times New Roman"/>
          <w:szCs w:val="24"/>
        </w:rPr>
        <w:t xml:space="preserve"> of this document</w:t>
      </w:r>
      <w:r w:rsidR="004F38F8" w:rsidRPr="00A2457E">
        <w:rPr>
          <w:rFonts w:ascii="Times New Roman" w:hAnsi="Times New Roman"/>
          <w:szCs w:val="24"/>
        </w:rPr>
        <w:t>.</w:t>
      </w:r>
    </w:p>
    <w:p w14:paraId="65A1D4D0" w14:textId="36C85C0B" w:rsidR="00D76A03" w:rsidRPr="00A2457E" w:rsidRDefault="00D76A03" w:rsidP="007D4EB8">
      <w:pPr>
        <w:pStyle w:val="Heading4"/>
        <w:spacing w:after="120" w:line="240" w:lineRule="auto"/>
        <w:rPr>
          <w:rFonts w:ascii="Times New Roman" w:hAnsi="Times New Roman"/>
          <w:szCs w:val="24"/>
        </w:rPr>
      </w:pPr>
      <w:r w:rsidRPr="00A2457E">
        <w:rPr>
          <w:rFonts w:ascii="Times New Roman" w:hAnsi="Times New Roman"/>
          <w:szCs w:val="24"/>
        </w:rPr>
        <w:t>Statistical Approaches to Nonresponse</w:t>
      </w:r>
    </w:p>
    <w:p w14:paraId="421410E2" w14:textId="77777777"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One of the methods employed to reduce the potential for nonresponse bias is adjustment of the sample weights to account for nonresponse. If </w:t>
      </w:r>
      <w:r w:rsidR="00521E42" w:rsidRPr="00A2457E">
        <w:rPr>
          <w:rFonts w:ascii="Times New Roman" w:hAnsi="Times New Roman"/>
          <w:szCs w:val="24"/>
        </w:rPr>
        <w:t>schools or teachers</w:t>
      </w:r>
      <w:r w:rsidRPr="00A2457E">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A2457E">
        <w:rPr>
          <w:rFonts w:ascii="Times New Roman" w:hAnsi="Times New Roman"/>
          <w:szCs w:val="24"/>
        </w:rPr>
        <w:t>The school weights are also</w:t>
      </w:r>
      <w:r w:rsidRPr="00A2457E">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14:paraId="0A65AB6D" w14:textId="4C6C4D96" w:rsidR="0014296C" w:rsidRPr="00A2457E" w:rsidRDefault="00D76A03" w:rsidP="007D4EB8">
      <w:pPr>
        <w:pStyle w:val="L1-FlLSp12"/>
        <w:spacing w:after="120" w:line="240" w:lineRule="auto"/>
        <w:rPr>
          <w:rFonts w:ascii="Times New Roman" w:hAnsi="Times New Roman"/>
          <w:szCs w:val="24"/>
        </w:rPr>
      </w:pPr>
      <w:r w:rsidRPr="00A2457E">
        <w:rPr>
          <w:rFonts w:ascii="Times New Roman" w:hAnsi="Times New Roman"/>
          <w:szCs w:val="24"/>
        </w:rPr>
        <w:t xml:space="preserve">Response rates will be computed for </w:t>
      </w:r>
      <w:r w:rsidR="00521E42" w:rsidRPr="00A2457E">
        <w:rPr>
          <w:rFonts w:ascii="Times New Roman" w:hAnsi="Times New Roman"/>
          <w:szCs w:val="24"/>
        </w:rPr>
        <w:t xml:space="preserve">the </w:t>
      </w:r>
      <w:r w:rsidR="00195A73" w:rsidRPr="00A2457E">
        <w:rPr>
          <w:rFonts w:ascii="Times New Roman" w:hAnsi="Times New Roman"/>
          <w:szCs w:val="24"/>
        </w:rPr>
        <w:t>TLF</w:t>
      </w:r>
      <w:r w:rsidR="00521E42" w:rsidRPr="00A2457E">
        <w:rPr>
          <w:rFonts w:ascii="Times New Roman" w:hAnsi="Times New Roman"/>
          <w:szCs w:val="24"/>
        </w:rPr>
        <w:t>, the School Questionnaire, the Principal Questionnaire, and the Teacher Questionnaire.</w:t>
      </w:r>
      <w:r w:rsidRPr="00A2457E">
        <w:rPr>
          <w:rFonts w:ascii="Times New Roman" w:hAnsi="Times New Roman"/>
          <w:szCs w:val="24"/>
        </w:rPr>
        <w:t xml:space="preserve"> Data collected through any instrument with a response rate </w:t>
      </w:r>
      <w:r w:rsidRPr="00774475">
        <w:rPr>
          <w:rFonts w:ascii="Times New Roman" w:hAnsi="Times New Roman"/>
          <w:szCs w:val="24"/>
        </w:rPr>
        <w:t xml:space="preserve">of less than 85 percent will be evaluated for nonresponse bias. In addition to comparing the characteristics of respondents and nonrespondents </w:t>
      </w:r>
      <w:r w:rsidRPr="00A703CE">
        <w:rPr>
          <w:rFonts w:ascii="Times New Roman" w:hAnsi="Times New Roman"/>
          <w:szCs w:val="24"/>
        </w:rPr>
        <w:t>using data that are available from the sampling frames (for example, school type and school locale from the school frame</w:t>
      </w:r>
      <w:r w:rsidR="00521E42" w:rsidRPr="00A703CE">
        <w:rPr>
          <w:rFonts w:ascii="Times New Roman" w:hAnsi="Times New Roman"/>
          <w:szCs w:val="24"/>
        </w:rPr>
        <w:t>)</w:t>
      </w:r>
      <w:r w:rsidRPr="00A703CE">
        <w:rPr>
          <w:rFonts w:ascii="Times New Roman" w:hAnsi="Times New Roman"/>
          <w:szCs w:val="24"/>
        </w:rPr>
        <w:t xml:space="preserve">, we will also compare </w:t>
      </w:r>
      <w:r w:rsidR="00EB270A" w:rsidRPr="00A2457E">
        <w:rPr>
          <w:rFonts w:ascii="Times New Roman" w:hAnsi="Times New Roman"/>
          <w:szCs w:val="24"/>
        </w:rPr>
        <w:t xml:space="preserve">NTPS </w:t>
      </w:r>
      <w:r w:rsidR="00EB270A">
        <w:rPr>
          <w:rFonts w:ascii="Times New Roman" w:hAnsi="Times New Roman"/>
          <w:szCs w:val="24"/>
        </w:rPr>
        <w:t xml:space="preserve">2019-20 </w:t>
      </w:r>
      <w:r w:rsidRPr="00A703CE">
        <w:rPr>
          <w:rFonts w:ascii="Times New Roman" w:hAnsi="Times New Roman"/>
          <w:szCs w:val="24"/>
        </w:rPr>
        <w:t xml:space="preserve">estimates to estimates from </w:t>
      </w:r>
      <w:r w:rsidR="00521E42" w:rsidRPr="00A703CE">
        <w:rPr>
          <w:rFonts w:ascii="Times New Roman" w:hAnsi="Times New Roman"/>
          <w:szCs w:val="24"/>
        </w:rPr>
        <w:t xml:space="preserve">previous rounds of NTPS and SASS. </w:t>
      </w:r>
      <w:r w:rsidRPr="00A703CE">
        <w:rPr>
          <w:rFonts w:ascii="Times New Roman" w:hAnsi="Times New Roman"/>
          <w:szCs w:val="24"/>
        </w:rPr>
        <w:t xml:space="preserve">A methodology report covering </w:t>
      </w:r>
      <w:r w:rsidR="00521E42" w:rsidRPr="00A703CE">
        <w:rPr>
          <w:rFonts w:ascii="Times New Roman" w:hAnsi="Times New Roman"/>
          <w:szCs w:val="24"/>
        </w:rPr>
        <w:t xml:space="preserve">NTPS </w:t>
      </w:r>
      <w:r w:rsidR="00D92196" w:rsidRPr="00A703CE">
        <w:rPr>
          <w:rFonts w:ascii="Times New Roman" w:hAnsi="Times New Roman"/>
          <w:szCs w:val="24"/>
        </w:rPr>
        <w:t>2019-20</w:t>
      </w:r>
      <w:r w:rsidRPr="00A703CE">
        <w:rPr>
          <w:rFonts w:ascii="Times New Roman" w:hAnsi="Times New Roman"/>
          <w:szCs w:val="24"/>
        </w:rPr>
        <w:t xml:space="preserve"> </w:t>
      </w:r>
      <w:r w:rsidR="0072180A" w:rsidRPr="00A703CE">
        <w:rPr>
          <w:rFonts w:ascii="Times New Roman" w:hAnsi="Times New Roman"/>
          <w:szCs w:val="24"/>
        </w:rPr>
        <w:t>will be developed and released</w:t>
      </w:r>
      <w:r w:rsidR="00CC6473" w:rsidRPr="00A703CE">
        <w:rPr>
          <w:rFonts w:ascii="Times New Roman" w:hAnsi="Times New Roman"/>
          <w:szCs w:val="24"/>
        </w:rPr>
        <w:t>,</w:t>
      </w:r>
      <w:r w:rsidR="0072180A" w:rsidRPr="00A703CE">
        <w:rPr>
          <w:rFonts w:ascii="Times New Roman" w:hAnsi="Times New Roman"/>
          <w:szCs w:val="24"/>
        </w:rPr>
        <w:t xml:space="preserve"> and</w:t>
      </w:r>
      <w:r w:rsidRPr="00A703CE">
        <w:rPr>
          <w:rFonts w:ascii="Times New Roman" w:hAnsi="Times New Roman"/>
          <w:szCs w:val="24"/>
        </w:rPr>
        <w:t xml:space="preserve"> will </w:t>
      </w:r>
      <w:r w:rsidR="0072180A" w:rsidRPr="00A703CE">
        <w:rPr>
          <w:rFonts w:ascii="Times New Roman" w:hAnsi="Times New Roman"/>
          <w:szCs w:val="24"/>
        </w:rPr>
        <w:t>describe the methods and</w:t>
      </w:r>
      <w:r w:rsidR="0072180A" w:rsidRPr="00A2457E">
        <w:rPr>
          <w:rFonts w:ascii="Times New Roman" w:hAnsi="Times New Roman"/>
          <w:szCs w:val="24"/>
        </w:rPr>
        <w:t xml:space="preserve"> results of </w:t>
      </w:r>
      <w:r w:rsidR="00521E42" w:rsidRPr="00A2457E">
        <w:rPr>
          <w:rFonts w:ascii="Times New Roman" w:hAnsi="Times New Roman"/>
          <w:szCs w:val="24"/>
        </w:rPr>
        <w:t xml:space="preserve">the </w:t>
      </w:r>
      <w:r w:rsidRPr="00A2457E">
        <w:rPr>
          <w:rFonts w:ascii="Times New Roman" w:hAnsi="Times New Roman"/>
          <w:szCs w:val="24"/>
        </w:rPr>
        <w:t>nonresponse bias analysis.</w:t>
      </w:r>
    </w:p>
    <w:p w14:paraId="72841B79" w14:textId="16D87DFA" w:rsidR="00FE7A15" w:rsidRPr="00A2457E" w:rsidRDefault="00FE7A15" w:rsidP="007D4EB8">
      <w:pPr>
        <w:pStyle w:val="Heading1"/>
        <w:tabs>
          <w:tab w:val="clear" w:pos="1152"/>
          <w:tab w:val="left" w:pos="1080"/>
        </w:tabs>
        <w:spacing w:after="120" w:line="240" w:lineRule="auto"/>
        <w:jc w:val="left"/>
        <w:rPr>
          <w:rFonts w:ascii="Times New Roman" w:hAnsi="Times New Roman"/>
          <w:color w:val="auto"/>
          <w:sz w:val="24"/>
          <w:szCs w:val="24"/>
        </w:rPr>
      </w:pPr>
      <w:bookmarkStart w:id="78" w:name="_Toc455154257"/>
      <w:bookmarkStart w:id="79" w:name="_Toc455496453"/>
      <w:bookmarkStart w:id="80" w:name="_Toc468187464"/>
      <w:bookmarkStart w:id="81" w:name="_Toc518587634"/>
      <w:r w:rsidRPr="00A2457E">
        <w:rPr>
          <w:rFonts w:ascii="Times New Roman" w:hAnsi="Times New Roman"/>
          <w:color w:val="auto"/>
          <w:sz w:val="24"/>
          <w:szCs w:val="24"/>
        </w:rPr>
        <w:t>B.4</w:t>
      </w:r>
      <w:r w:rsidRPr="00A2457E">
        <w:rPr>
          <w:rFonts w:ascii="Times New Roman" w:hAnsi="Times New Roman"/>
          <w:color w:val="auto"/>
          <w:sz w:val="24"/>
          <w:szCs w:val="24"/>
        </w:rPr>
        <w:tab/>
        <w:t>Tests of Methods and Procedures</w:t>
      </w:r>
      <w:bookmarkEnd w:id="78"/>
      <w:bookmarkEnd w:id="79"/>
      <w:bookmarkEnd w:id="80"/>
      <w:bookmarkEnd w:id="81"/>
    </w:p>
    <w:p w14:paraId="13998058" w14:textId="1C2D0960" w:rsidR="0014296C" w:rsidRPr="00A2457E" w:rsidRDefault="00BF79C1" w:rsidP="007D4EB8">
      <w:pPr>
        <w:pStyle w:val="L1-FlLSp12"/>
        <w:spacing w:after="120" w:line="240" w:lineRule="auto"/>
        <w:rPr>
          <w:rFonts w:ascii="Times New Roman" w:hAnsi="Times New Roman"/>
          <w:szCs w:val="24"/>
        </w:rPr>
      </w:pPr>
      <w:r w:rsidRPr="00A2457E">
        <w:rPr>
          <w:rFonts w:ascii="Times New Roman" w:hAnsi="Times New Roman"/>
          <w:szCs w:val="24"/>
        </w:rPr>
        <w:t>The SASS/NTPS series of studies has a long history of testing materials</w:t>
      </w:r>
      <w:r w:rsidR="00393767" w:rsidRPr="00A2457E">
        <w:rPr>
          <w:rFonts w:ascii="Times New Roman" w:hAnsi="Times New Roman"/>
          <w:szCs w:val="24"/>
        </w:rPr>
        <w:t>, methods,</w:t>
      </w:r>
      <w:r w:rsidRPr="00A2457E">
        <w:rPr>
          <w:rFonts w:ascii="Times New Roman" w:hAnsi="Times New Roman"/>
          <w:szCs w:val="24"/>
        </w:rPr>
        <w:t xml:space="preserve"> and procedures to improve the quality of its data. </w:t>
      </w:r>
      <w:r w:rsidR="001A6B5B" w:rsidRPr="00A2457E">
        <w:rPr>
          <w:rFonts w:ascii="Times New Roman" w:hAnsi="Times New Roman"/>
          <w:szCs w:val="24"/>
        </w:rPr>
        <w:t xml:space="preserve">Section B.4.1 </w:t>
      </w:r>
      <w:r w:rsidR="00393767" w:rsidRPr="00A2457E">
        <w:rPr>
          <w:rFonts w:ascii="Times New Roman" w:hAnsi="Times New Roman"/>
          <w:szCs w:val="24"/>
        </w:rPr>
        <w:t xml:space="preserve">describes </w:t>
      </w:r>
      <w:r w:rsidR="00AD2A84" w:rsidRPr="00A2457E">
        <w:rPr>
          <w:rFonts w:ascii="Times New Roman" w:hAnsi="Times New Roman"/>
          <w:szCs w:val="24"/>
        </w:rPr>
        <w:t xml:space="preserve">those </w:t>
      </w:r>
      <w:r w:rsidR="00393767" w:rsidRPr="00A2457E">
        <w:rPr>
          <w:rFonts w:ascii="Times New Roman" w:hAnsi="Times New Roman"/>
          <w:szCs w:val="24"/>
        </w:rPr>
        <w:t>tests</w:t>
      </w:r>
      <w:r w:rsidR="00AD2A84" w:rsidRPr="00A2457E">
        <w:rPr>
          <w:rFonts w:ascii="Times New Roman" w:hAnsi="Times New Roman"/>
          <w:szCs w:val="24"/>
        </w:rPr>
        <w:t xml:space="preserve"> that have most influenced the NTPS design,</w:t>
      </w:r>
      <w:r w:rsidR="00393767" w:rsidRPr="00A2457E">
        <w:rPr>
          <w:rFonts w:ascii="Times New Roman" w:hAnsi="Times New Roman"/>
          <w:szCs w:val="24"/>
        </w:rPr>
        <w:t xml:space="preserve"> beginning with the 2014</w:t>
      </w:r>
      <w:r w:rsidR="007F5C54" w:rsidRPr="00A2457E">
        <w:rPr>
          <w:rFonts w:ascii="Times New Roman" w:hAnsi="Times New Roman"/>
          <w:szCs w:val="24"/>
        </w:rPr>
        <w:t>-1</w:t>
      </w:r>
      <w:r w:rsidR="00393767" w:rsidRPr="00A2457E">
        <w:rPr>
          <w:rFonts w:ascii="Times New Roman" w:hAnsi="Times New Roman"/>
          <w:szCs w:val="24"/>
        </w:rPr>
        <w:t xml:space="preserve">5 NTPS Pilot Test and continuing through </w:t>
      </w:r>
      <w:r w:rsidR="002C6984">
        <w:rPr>
          <w:rFonts w:ascii="Times New Roman" w:hAnsi="Times New Roman"/>
          <w:szCs w:val="24"/>
        </w:rPr>
        <w:t>NTPS 2017-18</w:t>
      </w:r>
      <w:r w:rsidR="00024B22" w:rsidRPr="00A2457E">
        <w:rPr>
          <w:rFonts w:ascii="Times New Roman" w:hAnsi="Times New Roman"/>
          <w:szCs w:val="24"/>
        </w:rPr>
        <w:t>.</w:t>
      </w:r>
      <w:r w:rsidR="00393767" w:rsidRPr="00A2457E">
        <w:rPr>
          <w:rFonts w:ascii="Times New Roman" w:hAnsi="Times New Roman"/>
          <w:szCs w:val="24"/>
        </w:rPr>
        <w:t xml:space="preserve"> </w:t>
      </w:r>
      <w:r w:rsidR="001A6B5B" w:rsidRPr="00A2457E">
        <w:rPr>
          <w:rFonts w:ascii="Times New Roman" w:hAnsi="Times New Roman"/>
          <w:szCs w:val="24"/>
        </w:rPr>
        <w:t xml:space="preserve">Section B.4.2 describes </w:t>
      </w:r>
      <w:r w:rsidR="00836DBF" w:rsidRPr="00A2457E">
        <w:rPr>
          <w:rFonts w:ascii="Times New Roman" w:hAnsi="Times New Roman"/>
          <w:szCs w:val="24"/>
        </w:rPr>
        <w:t>experiments</w:t>
      </w:r>
      <w:r w:rsidR="001A6265">
        <w:rPr>
          <w:rFonts w:ascii="Times New Roman" w:hAnsi="Times New Roman"/>
          <w:szCs w:val="24"/>
        </w:rPr>
        <w:t xml:space="preserve"> </w:t>
      </w:r>
      <w:r w:rsidR="00EB270A" w:rsidRPr="00A2457E">
        <w:rPr>
          <w:rFonts w:ascii="Times New Roman" w:hAnsi="Times New Roman"/>
          <w:szCs w:val="24"/>
        </w:rPr>
        <w:t xml:space="preserve">proposed </w:t>
      </w:r>
      <w:r w:rsidR="001A6265">
        <w:rPr>
          <w:rFonts w:ascii="Times New Roman" w:hAnsi="Times New Roman"/>
          <w:szCs w:val="24"/>
        </w:rPr>
        <w:t xml:space="preserve">for </w:t>
      </w:r>
      <w:r w:rsidR="001A6B5B" w:rsidRPr="00A2457E">
        <w:rPr>
          <w:rFonts w:ascii="Times New Roman" w:hAnsi="Times New Roman"/>
          <w:szCs w:val="24"/>
        </w:rPr>
        <w:t>NTPS</w:t>
      </w:r>
      <w:r w:rsidR="001A6265">
        <w:rPr>
          <w:rFonts w:ascii="Times New Roman" w:hAnsi="Times New Roman"/>
          <w:szCs w:val="24"/>
        </w:rPr>
        <w:t xml:space="preserve"> 2019-20</w:t>
      </w:r>
      <w:r w:rsidR="001A6B5B" w:rsidRPr="00A2457E">
        <w:rPr>
          <w:rFonts w:ascii="Times New Roman" w:hAnsi="Times New Roman"/>
          <w:szCs w:val="24"/>
        </w:rPr>
        <w:t>.</w:t>
      </w:r>
    </w:p>
    <w:p w14:paraId="4B4AFCBC" w14:textId="485A695F" w:rsidR="00AD2A84" w:rsidRPr="00A2457E" w:rsidRDefault="00AD2A84" w:rsidP="007D4EB8">
      <w:pPr>
        <w:pStyle w:val="Heading2"/>
        <w:spacing w:after="120" w:line="240" w:lineRule="auto"/>
        <w:rPr>
          <w:rFonts w:ascii="Times New Roman" w:hAnsi="Times New Roman"/>
          <w:color w:val="auto"/>
          <w:sz w:val="24"/>
          <w:szCs w:val="24"/>
        </w:rPr>
      </w:pPr>
      <w:bookmarkStart w:id="82" w:name="_Toc455154258"/>
      <w:bookmarkStart w:id="83" w:name="_Toc455496454"/>
      <w:bookmarkStart w:id="84" w:name="_Toc468187465"/>
      <w:bookmarkStart w:id="85" w:name="_Toc518587635"/>
      <w:r w:rsidRPr="00A2457E">
        <w:rPr>
          <w:rFonts w:ascii="Times New Roman" w:hAnsi="Times New Roman"/>
          <w:color w:val="auto"/>
          <w:sz w:val="24"/>
          <w:szCs w:val="24"/>
        </w:rPr>
        <w:t>B.4.1</w:t>
      </w:r>
      <w:r w:rsidRPr="00A2457E">
        <w:rPr>
          <w:rFonts w:ascii="Times New Roman" w:hAnsi="Times New Roman"/>
          <w:color w:val="auto"/>
          <w:sz w:val="24"/>
          <w:szCs w:val="24"/>
        </w:rPr>
        <w:tab/>
        <w:t xml:space="preserve">Tests Influencing the Design of NTPS </w:t>
      </w:r>
      <w:bookmarkEnd w:id="82"/>
      <w:bookmarkEnd w:id="83"/>
      <w:bookmarkEnd w:id="84"/>
      <w:r w:rsidR="00D92196">
        <w:rPr>
          <w:rFonts w:ascii="Times New Roman" w:hAnsi="Times New Roman"/>
          <w:color w:val="auto"/>
          <w:sz w:val="24"/>
          <w:szCs w:val="24"/>
        </w:rPr>
        <w:t>2019-20</w:t>
      </w:r>
      <w:bookmarkEnd w:id="85"/>
    </w:p>
    <w:p w14:paraId="52D8ECCE" w14:textId="2382CE9A"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2014</w:t>
      </w:r>
      <w:r w:rsidR="007F5C54" w:rsidRPr="000F2141">
        <w:rPr>
          <w:rFonts w:ascii="Times New Roman" w:hAnsi="Times New Roman"/>
          <w:szCs w:val="24"/>
        </w:rPr>
        <w:t>-1</w:t>
      </w:r>
      <w:r w:rsidRPr="000F2141">
        <w:rPr>
          <w:rFonts w:ascii="Times New Roman" w:hAnsi="Times New Roman"/>
          <w:szCs w:val="24"/>
        </w:rPr>
        <w:t>5 NTPS Pilot Test</w:t>
      </w:r>
    </w:p>
    <w:p w14:paraId="0156E870" w14:textId="377A9E39" w:rsidR="0014296C" w:rsidRPr="000F2141" w:rsidRDefault="00AB3E80" w:rsidP="00A50DEB">
      <w:pPr>
        <w:pStyle w:val="L1-FlLSp12"/>
        <w:widowControl w:val="0"/>
        <w:spacing w:after="120" w:line="240" w:lineRule="auto"/>
        <w:rPr>
          <w:rFonts w:ascii="Times New Roman" w:hAnsi="Times New Roman"/>
          <w:szCs w:val="24"/>
        </w:rPr>
      </w:pPr>
      <w:r w:rsidRPr="000F2141">
        <w:rPr>
          <w:rFonts w:ascii="Times New Roman" w:hAnsi="Times New Roman"/>
          <w:szCs w:val="24"/>
        </w:rPr>
        <w:t xml:space="preserve">Five experiments designed to optimize the design of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NTPS were conducted as part of the 2014</w:t>
      </w:r>
      <w:r w:rsidR="007F5C54" w:rsidRPr="000F2141">
        <w:rPr>
          <w:rFonts w:ascii="Times New Roman" w:hAnsi="Times New Roman"/>
          <w:szCs w:val="24"/>
        </w:rPr>
        <w:t>-1</w:t>
      </w:r>
      <w:r w:rsidRPr="000F2141">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14:paraId="0E0EFD5E" w14:textId="69144962" w:rsidR="007215B4" w:rsidRPr="000F2141" w:rsidRDefault="00AB3E80" w:rsidP="007D4EB8">
      <w:pPr>
        <w:pStyle w:val="L1-FlLSp12"/>
        <w:widowControl w:val="0"/>
        <w:numPr>
          <w:ilvl w:val="0"/>
          <w:numId w:val="6"/>
        </w:numPr>
        <w:spacing w:after="120" w:line="240" w:lineRule="auto"/>
        <w:ind w:left="540"/>
        <w:rPr>
          <w:rFonts w:ascii="Times New Roman" w:hAnsi="Times New Roman"/>
          <w:szCs w:val="24"/>
        </w:rPr>
      </w:pPr>
      <w:r w:rsidRPr="000F2141">
        <w:rPr>
          <w:rFonts w:ascii="Times New Roman" w:hAnsi="Times New Roman"/>
          <w:b/>
          <w:i/>
          <w:szCs w:val="24"/>
        </w:rPr>
        <w:t>Questionnaire Mode Experiment</w:t>
      </w:r>
      <w:r w:rsidRPr="000F2141">
        <w:rPr>
          <w:rFonts w:ascii="Times New Roman" w:hAnsi="Times New Roman"/>
          <w:szCs w:val="24"/>
        </w:rPr>
        <w:t>. This experiment was</w:t>
      </w:r>
      <w:r w:rsidR="008270FB" w:rsidRPr="000F2141">
        <w:rPr>
          <w:rFonts w:ascii="Times New Roman" w:hAnsi="Times New Roman"/>
          <w:szCs w:val="24"/>
        </w:rPr>
        <w:t xml:space="preserve"> </w:t>
      </w:r>
      <w:r w:rsidRPr="000F2141">
        <w:rPr>
          <w:rFonts w:ascii="Times New Roman" w:hAnsi="Times New Roman"/>
          <w:szCs w:val="24"/>
        </w:rPr>
        <w:t>designed to determine whether paper questionnaires or Internet survey instruments (i.e., mail</w:t>
      </w:r>
      <w:r w:rsidRPr="000F2141">
        <w:rPr>
          <w:rFonts w:ascii="Cambria Math" w:hAnsi="Cambria Math" w:cs="Cambria Math"/>
          <w:szCs w:val="24"/>
        </w:rPr>
        <w:t>‐</w:t>
      </w:r>
      <w:r w:rsidRPr="000F2141">
        <w:rPr>
          <w:rFonts w:ascii="Times New Roman" w:hAnsi="Times New Roman"/>
          <w:szCs w:val="24"/>
        </w:rPr>
        <w:t xml:space="preserve">only versus internet sequential modes) </w:t>
      </w:r>
      <w:r w:rsidR="007D6305" w:rsidRPr="000F2141">
        <w:rPr>
          <w:rFonts w:ascii="Times New Roman" w:hAnsi="Times New Roman"/>
          <w:szCs w:val="24"/>
        </w:rPr>
        <w:t>constituted</w:t>
      </w:r>
      <w:r w:rsidRPr="000F2141">
        <w:rPr>
          <w:rFonts w:ascii="Times New Roman" w:hAnsi="Times New Roman"/>
          <w:szCs w:val="24"/>
        </w:rPr>
        <w:t xml:space="preserve"> the most effective mode of collecting the TLF, School Questionnaire, and Principal Questionnaire.</w:t>
      </w:r>
      <w:r w:rsidR="0014296C" w:rsidRPr="000F2141">
        <w:rPr>
          <w:rFonts w:ascii="Times New Roman" w:hAnsi="Times New Roman"/>
          <w:szCs w:val="24"/>
        </w:rPr>
        <w:t xml:space="preserve"> </w:t>
      </w:r>
      <w:r w:rsidRPr="000F2141">
        <w:rPr>
          <w:rFonts w:ascii="Times New Roman" w:hAnsi="Times New Roman"/>
          <w:szCs w:val="24"/>
        </w:rPr>
        <w:t xml:space="preserve">For all </w:t>
      </w:r>
      <w:r w:rsidR="00836DBF" w:rsidRPr="000F2141">
        <w:rPr>
          <w:rFonts w:ascii="Times New Roman" w:hAnsi="Times New Roman"/>
          <w:szCs w:val="24"/>
        </w:rPr>
        <w:t>three-survey</w:t>
      </w:r>
      <w:r w:rsidRPr="000F2141">
        <w:rPr>
          <w:rFonts w:ascii="Times New Roman" w:hAnsi="Times New Roman"/>
          <w:szCs w:val="24"/>
        </w:rPr>
        <w:t xml:space="preserve"> instruments, the schools assigned to the paper mode had higher response rates than the schools assigned to the internet mode.</w:t>
      </w:r>
    </w:p>
    <w:p w14:paraId="4A7FFE97" w14:textId="59AB9AB3" w:rsidR="007215B4" w:rsidRPr="000F2141" w:rsidRDefault="00E34774" w:rsidP="007D4EB8">
      <w:pPr>
        <w:pStyle w:val="L1-FlLSp12"/>
        <w:widowControl w:val="0"/>
        <w:spacing w:after="120" w:line="240" w:lineRule="auto"/>
        <w:ind w:left="540"/>
        <w:rPr>
          <w:rFonts w:ascii="Times New Roman" w:hAnsi="Times New Roman"/>
          <w:szCs w:val="24"/>
        </w:rPr>
      </w:pPr>
      <w:r w:rsidRPr="000F2141">
        <w:rPr>
          <w:rFonts w:ascii="Times New Roman" w:hAnsi="Times New Roman"/>
          <w:szCs w:val="24"/>
        </w:rPr>
        <w:t>S</w:t>
      </w:r>
      <w:r w:rsidR="00331D8A" w:rsidRPr="000F2141">
        <w:rPr>
          <w:rFonts w:ascii="Times New Roman" w:hAnsi="Times New Roman"/>
          <w:szCs w:val="24"/>
        </w:rPr>
        <w:t xml:space="preserve">ome </w:t>
      </w:r>
      <w:r w:rsidR="00AB3E80" w:rsidRPr="000F2141">
        <w:rPr>
          <w:rFonts w:ascii="Times New Roman" w:hAnsi="Times New Roman"/>
          <w:szCs w:val="24"/>
        </w:rPr>
        <w:t xml:space="preserve">known issues with data collection could have </w:t>
      </w:r>
      <w:r w:rsidR="00331D8A" w:rsidRPr="000F2141">
        <w:rPr>
          <w:rFonts w:ascii="Times New Roman" w:hAnsi="Times New Roman"/>
          <w:szCs w:val="24"/>
        </w:rPr>
        <w:t xml:space="preserve">impacted these response rates. </w:t>
      </w:r>
      <w:r w:rsidR="00AB3E80" w:rsidRPr="000F2141">
        <w:rPr>
          <w:rFonts w:ascii="Times New Roman" w:hAnsi="Times New Roman"/>
          <w:szCs w:val="24"/>
        </w:rPr>
        <w:t xml:space="preserve">First, the pilot test did not use </w:t>
      </w:r>
      <w:r w:rsidR="00E8789C" w:rsidRPr="000F2141">
        <w:rPr>
          <w:rFonts w:ascii="Times New Roman" w:hAnsi="Times New Roman"/>
          <w:szCs w:val="24"/>
        </w:rPr>
        <w:t xml:space="preserve">survey </w:t>
      </w:r>
      <w:r w:rsidR="00AB3E80" w:rsidRPr="000F2141">
        <w:rPr>
          <w:rFonts w:ascii="Times New Roman" w:hAnsi="Times New Roman"/>
          <w:szCs w:val="24"/>
        </w:rPr>
        <w:t>coordinators, a method shown to boost response rates in SASS.</w:t>
      </w:r>
      <w:r w:rsidR="0014296C" w:rsidRPr="000F2141">
        <w:rPr>
          <w:rFonts w:ascii="Times New Roman" w:hAnsi="Times New Roman"/>
          <w:szCs w:val="24"/>
        </w:rPr>
        <w:t xml:space="preserve"> </w:t>
      </w:r>
      <w:r w:rsidR="00AB3E80" w:rsidRPr="000F2141">
        <w:rPr>
          <w:rFonts w:ascii="Times New Roman" w:hAnsi="Times New Roman"/>
          <w:szCs w:val="24"/>
        </w:rPr>
        <w:t>Second, there were problems relat</w:t>
      </w:r>
      <w:r w:rsidRPr="000F2141">
        <w:rPr>
          <w:rFonts w:ascii="Times New Roman" w:hAnsi="Times New Roman"/>
          <w:szCs w:val="24"/>
        </w:rPr>
        <w:t>ed</w:t>
      </w:r>
      <w:r w:rsidR="00AB3E80" w:rsidRPr="000F2141">
        <w:rPr>
          <w:rFonts w:ascii="Times New Roman" w:hAnsi="Times New Roman"/>
          <w:szCs w:val="24"/>
        </w:rPr>
        <w:t xml:space="preserve"> to the contact materials for the internet treatment groups. As a result of this experiment,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was primarily paper based</w:t>
      </w:r>
      <w:r w:rsidR="000B5044" w:rsidRPr="000F2141">
        <w:rPr>
          <w:rFonts w:ascii="Times New Roman" w:hAnsi="Times New Roman"/>
          <w:szCs w:val="24"/>
        </w:rPr>
        <w:t>;</w:t>
      </w:r>
      <w:r w:rsidR="00AB3E80" w:rsidRPr="000F2141">
        <w:rPr>
          <w:rFonts w:ascii="Times New Roman" w:hAnsi="Times New Roman"/>
          <w:szCs w:val="24"/>
        </w:rPr>
        <w:t xml:space="preserve"> </w:t>
      </w:r>
      <w:r w:rsidR="000B5044" w:rsidRPr="000F2141">
        <w:rPr>
          <w:rFonts w:ascii="Times New Roman" w:hAnsi="Times New Roman"/>
          <w:szCs w:val="24"/>
        </w:rPr>
        <w:t xml:space="preserve">used improved contact materials and login procedures; and </w:t>
      </w:r>
      <w:r w:rsidR="00AB3E80" w:rsidRPr="000F2141">
        <w:rPr>
          <w:rFonts w:ascii="Times New Roman" w:hAnsi="Times New Roman"/>
          <w:szCs w:val="24"/>
        </w:rPr>
        <w:t>included an experimental sample of 1,000 schools</w:t>
      </w:r>
      <w:r w:rsidR="00E8789C" w:rsidRPr="000F2141">
        <w:rPr>
          <w:rFonts w:ascii="Times New Roman" w:hAnsi="Times New Roman"/>
          <w:szCs w:val="24"/>
        </w:rPr>
        <w:t>,</w:t>
      </w:r>
      <w:r w:rsidR="00AB3E80" w:rsidRPr="000F2141">
        <w:rPr>
          <w:rFonts w:ascii="Times New Roman" w:hAnsi="Times New Roman"/>
          <w:szCs w:val="24"/>
        </w:rPr>
        <w:t xml:space="preserve"> outside the main study</w:t>
      </w:r>
      <w:r w:rsidR="00E8789C" w:rsidRPr="000F2141">
        <w:rPr>
          <w:rFonts w:ascii="Times New Roman" w:hAnsi="Times New Roman"/>
          <w:szCs w:val="24"/>
        </w:rPr>
        <w:t>,</w:t>
      </w:r>
      <w:r w:rsidR="00AB3E80" w:rsidRPr="000F2141">
        <w:rPr>
          <w:rFonts w:ascii="Times New Roman" w:hAnsi="Times New Roman"/>
          <w:szCs w:val="24"/>
        </w:rPr>
        <w:t xml:space="preserve"> </w:t>
      </w:r>
      <w:r w:rsidRPr="000F2141">
        <w:rPr>
          <w:rFonts w:ascii="Times New Roman" w:hAnsi="Times New Roman"/>
          <w:szCs w:val="24"/>
        </w:rPr>
        <w:t>which</w:t>
      </w:r>
      <w:r w:rsidR="00AB3E80" w:rsidRPr="000F2141">
        <w:rPr>
          <w:rFonts w:ascii="Times New Roman" w:hAnsi="Times New Roman"/>
          <w:szCs w:val="24"/>
        </w:rPr>
        <w:t xml:space="preserve"> were offered </w:t>
      </w:r>
      <w:r w:rsidR="000B5044" w:rsidRPr="000F2141">
        <w:rPr>
          <w:rFonts w:ascii="Times New Roman" w:hAnsi="Times New Roman"/>
          <w:szCs w:val="24"/>
        </w:rPr>
        <w:t>I</w:t>
      </w:r>
      <w:r w:rsidR="00AB3E80" w:rsidRPr="000F2141">
        <w:rPr>
          <w:rFonts w:ascii="Times New Roman" w:hAnsi="Times New Roman"/>
          <w:szCs w:val="24"/>
        </w:rPr>
        <w:t xml:space="preserve">nternet </w:t>
      </w:r>
      <w:r w:rsidR="000B5044" w:rsidRPr="000F2141">
        <w:rPr>
          <w:rFonts w:ascii="Times New Roman" w:hAnsi="Times New Roman"/>
          <w:szCs w:val="24"/>
        </w:rPr>
        <w:t xml:space="preserve">survey </w:t>
      </w:r>
      <w:r w:rsidR="00AB3E80" w:rsidRPr="000F2141">
        <w:rPr>
          <w:rFonts w:ascii="Times New Roman" w:hAnsi="Times New Roman"/>
          <w:szCs w:val="24"/>
        </w:rPr>
        <w:t>at the onset of data collection</w:t>
      </w:r>
      <w:r w:rsidR="000B5044" w:rsidRPr="000F2141">
        <w:rPr>
          <w:rFonts w:ascii="Times New Roman" w:hAnsi="Times New Roman"/>
          <w:szCs w:val="24"/>
        </w:rPr>
        <w:t xml:space="preserve"> and which</w:t>
      </w:r>
      <w:r w:rsidR="00AB3E80" w:rsidRPr="000F2141">
        <w:rPr>
          <w:rFonts w:ascii="Times New Roman" w:hAnsi="Times New Roman"/>
          <w:szCs w:val="24"/>
        </w:rPr>
        <w:t xml:space="preserve"> </w:t>
      </w:r>
      <w:r w:rsidR="00E8789C" w:rsidRPr="000F2141">
        <w:rPr>
          <w:rFonts w:ascii="Times New Roman" w:hAnsi="Times New Roman"/>
          <w:szCs w:val="24"/>
        </w:rPr>
        <w:t>followed</w:t>
      </w:r>
      <w:r w:rsidR="00AB3E80" w:rsidRPr="000F2141">
        <w:rPr>
          <w:rFonts w:ascii="Times New Roman" w:hAnsi="Times New Roman"/>
          <w:szCs w:val="24"/>
        </w:rPr>
        <w:t xml:space="preserve"> standard production NTPS procedures</w:t>
      </w:r>
      <w:r w:rsidR="000B5044" w:rsidRPr="000F2141">
        <w:rPr>
          <w:rFonts w:ascii="Times New Roman" w:hAnsi="Times New Roman"/>
          <w:szCs w:val="24"/>
        </w:rPr>
        <w:t>,</w:t>
      </w:r>
      <w:r w:rsidR="00E8789C" w:rsidRPr="000F2141">
        <w:rPr>
          <w:rFonts w:ascii="Times New Roman" w:hAnsi="Times New Roman"/>
          <w:szCs w:val="24"/>
        </w:rPr>
        <w:t xml:space="preserve"> including the establishment of </w:t>
      </w:r>
      <w:r w:rsidR="00AB3E80" w:rsidRPr="000F2141">
        <w:rPr>
          <w:rFonts w:ascii="Times New Roman" w:hAnsi="Times New Roman"/>
          <w:szCs w:val="24"/>
        </w:rPr>
        <w:t xml:space="preserve">a </w:t>
      </w:r>
      <w:r w:rsidR="00E8789C" w:rsidRPr="000F2141">
        <w:rPr>
          <w:rFonts w:ascii="Times New Roman" w:hAnsi="Times New Roman"/>
          <w:szCs w:val="24"/>
        </w:rPr>
        <w:t xml:space="preserve">survey </w:t>
      </w:r>
      <w:r w:rsidR="00AB3E80" w:rsidRPr="000F2141">
        <w:rPr>
          <w:rFonts w:ascii="Times New Roman" w:hAnsi="Times New Roman"/>
          <w:szCs w:val="24"/>
        </w:rPr>
        <w:t>coordinator.</w:t>
      </w:r>
    </w:p>
    <w:p w14:paraId="689521FA" w14:textId="1B2A3BA0" w:rsidR="00AB3E80" w:rsidRPr="000F2141" w:rsidRDefault="00AD6A61"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Listing Form (TLF) Email Experiment</w:t>
      </w:r>
      <w:r w:rsidR="00AB3E80" w:rsidRPr="000F2141">
        <w:rPr>
          <w:rFonts w:ascii="Times New Roman" w:hAnsi="Times New Roman"/>
          <w:szCs w:val="24"/>
        </w:rPr>
        <w:t xml:space="preserve">. This experiment was designed to assess the feasibility of collecting teacher email addresses on the </w:t>
      </w:r>
      <w:r w:rsidR="00195A73" w:rsidRPr="000F2141">
        <w:rPr>
          <w:rFonts w:ascii="Times New Roman" w:hAnsi="Times New Roman"/>
          <w:szCs w:val="24"/>
        </w:rPr>
        <w:t>TLF</w:t>
      </w:r>
      <w:r w:rsidR="00E8789C" w:rsidRPr="000F2141">
        <w:rPr>
          <w:rFonts w:ascii="Times New Roman" w:hAnsi="Times New Roman"/>
          <w:szCs w:val="24"/>
        </w:rPr>
        <w:t xml:space="preserve"> and the quality of those collected</w:t>
      </w:r>
      <w:r w:rsidR="00AB3E80" w:rsidRPr="000F2141">
        <w:rPr>
          <w:rFonts w:ascii="Times New Roman" w:hAnsi="Times New Roman"/>
          <w:szCs w:val="24"/>
        </w:rPr>
        <w:t>. The pilot test design included</w:t>
      </w:r>
      <w:r w:rsidR="00E8789C" w:rsidRPr="000F2141">
        <w:rPr>
          <w:rFonts w:ascii="Times New Roman" w:hAnsi="Times New Roman"/>
          <w:szCs w:val="24"/>
        </w:rPr>
        <w:t xml:space="preserve"> </w:t>
      </w:r>
      <w:r w:rsidR="00331D8A" w:rsidRPr="000F2141">
        <w:rPr>
          <w:rFonts w:ascii="Times New Roman" w:hAnsi="Times New Roman"/>
          <w:szCs w:val="24"/>
        </w:rPr>
        <w:t xml:space="preserve">a </w:t>
      </w:r>
      <w:r w:rsidR="00AB3E80" w:rsidRPr="000F2141">
        <w:rPr>
          <w:rFonts w:ascii="Times New Roman" w:hAnsi="Times New Roman"/>
          <w:szCs w:val="24"/>
        </w:rPr>
        <w:t>split-panel experiment</w:t>
      </w:r>
      <w:r w:rsidR="00E8789C" w:rsidRPr="000F2141">
        <w:rPr>
          <w:rFonts w:ascii="Times New Roman" w:hAnsi="Times New Roman"/>
          <w:szCs w:val="24"/>
        </w:rPr>
        <w:t>,</w:t>
      </w:r>
      <w:r w:rsidR="00AB3E80" w:rsidRPr="000F2141">
        <w:rPr>
          <w:rFonts w:ascii="Times New Roman" w:hAnsi="Times New Roman"/>
          <w:szCs w:val="24"/>
        </w:rPr>
        <w:t xml:space="preserve"> with</w:t>
      </w:r>
      <w:r w:rsidR="00331D8A" w:rsidRPr="000F2141">
        <w:rPr>
          <w:rFonts w:ascii="Times New Roman" w:hAnsi="Times New Roman"/>
          <w:szCs w:val="24"/>
        </w:rPr>
        <w:t xml:space="preserve"> half of sampled</w:t>
      </w:r>
      <w:r w:rsidR="00AB3E80" w:rsidRPr="000F2141">
        <w:rPr>
          <w:rFonts w:ascii="Times New Roman" w:hAnsi="Times New Roman"/>
          <w:szCs w:val="24"/>
        </w:rPr>
        <w:t xml:space="preserve"> schools randomly assigned to receive a TLF that included a request for teachers’ email addresses </w:t>
      </w:r>
      <w:r w:rsidR="00331D8A" w:rsidRPr="000F2141">
        <w:rPr>
          <w:rFonts w:ascii="Times New Roman" w:hAnsi="Times New Roman"/>
          <w:szCs w:val="24"/>
        </w:rPr>
        <w:t>and the other half to receive a TLF that did not request email addresses.</w:t>
      </w:r>
      <w:r w:rsidR="007D6305" w:rsidRPr="000F2141">
        <w:rPr>
          <w:rFonts w:ascii="Times New Roman" w:hAnsi="Times New Roman"/>
          <w:szCs w:val="24"/>
        </w:rPr>
        <w:t xml:space="preserve"> </w:t>
      </w:r>
      <w:r w:rsidR="00AB3E80" w:rsidRPr="000F2141">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AB3E80" w:rsidRPr="000F2141">
        <w:rPr>
          <w:rFonts w:ascii="Times New Roman" w:hAnsi="Times New Roman"/>
          <w:szCs w:val="24"/>
        </w:rPr>
        <w:t xml:space="preserve"> and plans to continue to do so for NTPS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AB3E80" w:rsidRPr="000F2141">
        <w:rPr>
          <w:rFonts w:ascii="Times New Roman" w:hAnsi="Times New Roman"/>
          <w:szCs w:val="24"/>
        </w:rPr>
        <w:t>.</w:t>
      </w:r>
    </w:p>
    <w:p w14:paraId="3BDA6AF0" w14:textId="3C950E76" w:rsidR="007215B4"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Invitation Mode Experiment</w:t>
      </w:r>
      <w:r w:rsidRPr="000F2141">
        <w:rPr>
          <w:rFonts w:ascii="Times New Roman" w:hAnsi="Times New Roman"/>
          <w:szCs w:val="24"/>
        </w:rPr>
        <w:t>. The purpose of this experiment was to identify which of three methods of inviting teachers to complete the Teacher Questionnaire yielded the best response rates.</w:t>
      </w:r>
      <w:r w:rsidR="0014296C" w:rsidRPr="000F2141">
        <w:rPr>
          <w:rFonts w:ascii="Times New Roman" w:hAnsi="Times New Roman"/>
          <w:szCs w:val="24"/>
        </w:rPr>
        <w:t xml:space="preserve"> </w:t>
      </w:r>
      <w:r w:rsidRPr="000F2141">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Pr="000F2141">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0F2141">
        <w:rPr>
          <w:rFonts w:ascii="Times New Roman" w:hAnsi="Times New Roman"/>
          <w:szCs w:val="24"/>
        </w:rPr>
        <w:t xml:space="preserve">For 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7637C" w:rsidRPr="000F2141">
        <w:rPr>
          <w:rFonts w:ascii="Times New Roman" w:hAnsi="Times New Roman"/>
          <w:szCs w:val="24"/>
        </w:rPr>
        <w:t xml:space="preserve"> NTPS, NCES plans to push for web response by both mailed and emailed correspondence, switching to a paper questionnaire at the third mailing.</w:t>
      </w:r>
    </w:p>
    <w:p w14:paraId="38B414A8" w14:textId="084C7FC7" w:rsidR="0014296C"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Teacher Questionnaire Instruction Experiment</w:t>
      </w:r>
      <w:r w:rsidRPr="000F2141">
        <w:rPr>
          <w:rFonts w:ascii="Times New Roman" w:hAnsi="Times New Roman"/>
          <w:szCs w:val="24"/>
        </w:rPr>
        <w:t>. Th</w:t>
      </w:r>
      <w:r w:rsidR="00E91A7C" w:rsidRPr="000F2141">
        <w:rPr>
          <w:rFonts w:ascii="Times New Roman" w:hAnsi="Times New Roman"/>
          <w:szCs w:val="24"/>
        </w:rPr>
        <w:t xml:space="preserve">is experiment was designed to determine (1) whether including instructions in the NTPS questionnaire </w:t>
      </w:r>
      <w:r w:rsidR="00B7637C" w:rsidRPr="000F2141">
        <w:rPr>
          <w:rFonts w:ascii="Times New Roman" w:hAnsi="Times New Roman"/>
          <w:szCs w:val="24"/>
        </w:rPr>
        <w:t>impacts response rates for questionnaire items and data quality</w:t>
      </w:r>
      <w:r w:rsidR="000742A6" w:rsidRPr="000F2141">
        <w:rPr>
          <w:rFonts w:ascii="Times New Roman" w:hAnsi="Times New Roman"/>
          <w:szCs w:val="24"/>
        </w:rPr>
        <w:t>,</w:t>
      </w:r>
      <w:r w:rsidR="00E91A7C" w:rsidRPr="000F2141">
        <w:rPr>
          <w:rFonts w:ascii="Times New Roman" w:hAnsi="Times New Roman"/>
          <w:szCs w:val="24"/>
        </w:rPr>
        <w:t xml:space="preserve"> and (2) whether the position, format, and presence or absence of a preface in the instruction </w:t>
      </w:r>
      <w:r w:rsidR="00B7637C" w:rsidRPr="000F2141">
        <w:rPr>
          <w:rFonts w:ascii="Times New Roman" w:hAnsi="Times New Roman"/>
          <w:szCs w:val="24"/>
        </w:rPr>
        <w:t>impacts response rates for questionnaire items.</w:t>
      </w:r>
      <w:r w:rsidR="00E91A7C" w:rsidRPr="000F2141">
        <w:rPr>
          <w:rFonts w:ascii="Times New Roman" w:hAnsi="Times New Roman"/>
          <w:szCs w:val="24"/>
        </w:rPr>
        <w:t xml:space="preserve"> NCES is currently analyzing the results from this experiment and plans to incorporate these findings in </w:t>
      </w:r>
      <w:r w:rsidR="005C0CE8" w:rsidRPr="000F2141">
        <w:rPr>
          <w:rFonts w:ascii="Times New Roman" w:hAnsi="Times New Roman"/>
          <w:szCs w:val="24"/>
        </w:rPr>
        <w:t xml:space="preserve">a </w:t>
      </w:r>
      <w:r w:rsidR="00E91A7C" w:rsidRPr="000F2141">
        <w:rPr>
          <w:rFonts w:ascii="Times New Roman" w:hAnsi="Times New Roman"/>
          <w:szCs w:val="24"/>
        </w:rPr>
        <w:t xml:space="preserve">future </w:t>
      </w:r>
      <w:r w:rsidR="005C0CE8" w:rsidRPr="000F2141">
        <w:rPr>
          <w:rFonts w:ascii="Times New Roman" w:hAnsi="Times New Roman"/>
          <w:szCs w:val="24"/>
        </w:rPr>
        <w:t xml:space="preserve">NTPS </w:t>
      </w:r>
      <w:r w:rsidR="00E91A7C" w:rsidRPr="000F2141">
        <w:rPr>
          <w:rFonts w:ascii="Times New Roman" w:hAnsi="Times New Roman"/>
          <w:szCs w:val="24"/>
        </w:rPr>
        <w:t>administration.</w:t>
      </w:r>
    </w:p>
    <w:p w14:paraId="7F2174AA" w14:textId="0AB95487" w:rsidR="0014296C" w:rsidRPr="000F2141" w:rsidRDefault="00AB3E80" w:rsidP="007D4EB8">
      <w:pPr>
        <w:pStyle w:val="L1-FlLSp12"/>
        <w:numPr>
          <w:ilvl w:val="0"/>
          <w:numId w:val="6"/>
        </w:numPr>
        <w:spacing w:after="120" w:line="240" w:lineRule="auto"/>
        <w:ind w:left="540"/>
        <w:rPr>
          <w:rFonts w:ascii="Times New Roman" w:hAnsi="Times New Roman"/>
          <w:szCs w:val="24"/>
        </w:rPr>
      </w:pPr>
      <w:r w:rsidRPr="000F2141">
        <w:rPr>
          <w:rFonts w:ascii="Times New Roman" w:hAnsi="Times New Roman"/>
          <w:b/>
          <w:i/>
          <w:szCs w:val="24"/>
        </w:rPr>
        <w:t xml:space="preserve">Vendor Analysis. </w:t>
      </w:r>
      <w:r w:rsidRPr="000F2141">
        <w:rPr>
          <w:rFonts w:ascii="Times New Roman" w:hAnsi="Times New Roman"/>
          <w:szCs w:val="24"/>
        </w:rPr>
        <w:t xml:space="preserve">The purpose of this </w:t>
      </w:r>
      <w:r w:rsidR="00B7637C" w:rsidRPr="000F2141">
        <w:rPr>
          <w:rFonts w:ascii="Times New Roman" w:hAnsi="Times New Roman"/>
          <w:szCs w:val="24"/>
        </w:rPr>
        <w:t xml:space="preserve">experiment </w:t>
      </w:r>
      <w:r w:rsidRPr="000F2141">
        <w:rPr>
          <w:rFonts w:ascii="Times New Roman" w:hAnsi="Times New Roman"/>
          <w:szCs w:val="24"/>
        </w:rPr>
        <w:t xml:space="preserve">was to evaluate both the feasibility of collecting teacher lists from a vendor and the reliability of </w:t>
      </w:r>
      <w:r w:rsidR="00B7637C" w:rsidRPr="000F2141">
        <w:rPr>
          <w:rFonts w:ascii="Times New Roman" w:hAnsi="Times New Roman"/>
          <w:szCs w:val="24"/>
        </w:rPr>
        <w:t xml:space="preserve">the purchased </w:t>
      </w:r>
      <w:r w:rsidRPr="000F2141">
        <w:rPr>
          <w:rFonts w:ascii="Times New Roman" w:hAnsi="Times New Roman"/>
          <w:szCs w:val="24"/>
        </w:rPr>
        <w:t xml:space="preserve">information to see whether </w:t>
      </w:r>
      <w:r w:rsidR="00B7637C" w:rsidRPr="000F2141">
        <w:rPr>
          <w:rFonts w:ascii="Times New Roman" w:hAnsi="Times New Roman"/>
          <w:szCs w:val="24"/>
        </w:rPr>
        <w:t xml:space="preserve">it </w:t>
      </w:r>
      <w:r w:rsidRPr="000F2141">
        <w:rPr>
          <w:rFonts w:ascii="Times New Roman" w:hAnsi="Times New Roman"/>
          <w:szCs w:val="24"/>
        </w:rPr>
        <w:t>could be used to supplement or replace school-collected TLFs. NCES purchased teacher lists from a vendor for schools sampled for the 2014</w:t>
      </w:r>
      <w:r w:rsidR="007F5C54" w:rsidRPr="000F2141">
        <w:rPr>
          <w:rFonts w:ascii="Times New Roman" w:hAnsi="Times New Roman"/>
          <w:szCs w:val="24"/>
        </w:rPr>
        <w:t>-1</w:t>
      </w:r>
      <w:r w:rsidRPr="000F2141">
        <w:rPr>
          <w:rFonts w:ascii="Times New Roman" w:hAnsi="Times New Roman"/>
          <w:szCs w:val="24"/>
        </w:rPr>
        <w:t xml:space="preserve">5 NTPS </w:t>
      </w:r>
      <w:r w:rsidR="00C979DE" w:rsidRPr="000F2141">
        <w:rPr>
          <w:rFonts w:ascii="Times New Roman" w:hAnsi="Times New Roman"/>
          <w:szCs w:val="24"/>
        </w:rPr>
        <w:t>pilot test</w:t>
      </w:r>
      <w:r w:rsidRPr="000F2141">
        <w:rPr>
          <w:rFonts w:ascii="Times New Roman" w:hAnsi="Times New Roman"/>
          <w:szCs w:val="24"/>
        </w:rPr>
        <w:t>. The vendor teacher lists were compared with information collected from the TLFs. The results suggested that t</w:t>
      </w:r>
      <w:r w:rsidR="008D7CA6" w:rsidRPr="000F2141">
        <w:rPr>
          <w:rFonts w:ascii="Times New Roman" w:hAnsi="Times New Roman"/>
          <w:szCs w:val="24"/>
        </w:rPr>
        <w:t>he vendor list information was</w:t>
      </w:r>
      <w:r w:rsidRPr="000F2141">
        <w:rPr>
          <w:rFonts w:ascii="Times New Roman" w:hAnsi="Times New Roman"/>
          <w:szCs w:val="24"/>
        </w:rPr>
        <w:t xml:space="preserve"> comprehensive and reliable at</w:t>
      </w:r>
      <w:r w:rsidR="008D7CA6" w:rsidRPr="000F2141">
        <w:rPr>
          <w:rFonts w:ascii="Times New Roman" w:hAnsi="Times New Roman"/>
          <w:szCs w:val="24"/>
        </w:rPr>
        <w:t xml:space="preserve"> a</w:t>
      </w:r>
      <w:r w:rsidRPr="000F2141">
        <w:rPr>
          <w:rFonts w:ascii="Times New Roman" w:hAnsi="Times New Roman"/>
          <w:szCs w:val="24"/>
        </w:rPr>
        <w:t xml:space="preserve"> relatively low cost. NCES used vendor lists to sample teachers from a subset of schools that did not respond to the TLF in 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E8789C" w:rsidRPr="000F2141">
        <w:rPr>
          <w:rFonts w:ascii="Times New Roman" w:hAnsi="Times New Roman"/>
          <w:szCs w:val="24"/>
        </w:rPr>
        <w:t xml:space="preserve"> and plans to use vendor lists for the 2017</w:t>
      </w:r>
      <w:r w:rsidR="007F5C54" w:rsidRPr="000F2141">
        <w:rPr>
          <w:rFonts w:ascii="Times New Roman" w:hAnsi="Times New Roman"/>
          <w:szCs w:val="24"/>
        </w:rPr>
        <w:t>-1</w:t>
      </w:r>
      <w:r w:rsidR="00E8789C" w:rsidRPr="000F2141">
        <w:rPr>
          <w:rFonts w:ascii="Times New Roman" w:hAnsi="Times New Roman"/>
          <w:szCs w:val="24"/>
        </w:rPr>
        <w:t>8 NTPS.</w:t>
      </w:r>
    </w:p>
    <w:p w14:paraId="0307A5F6" w14:textId="063D2F19" w:rsidR="00393767" w:rsidRPr="000F2141" w:rsidRDefault="00393767" w:rsidP="007D4EB8">
      <w:pPr>
        <w:pStyle w:val="Heading4"/>
        <w:spacing w:after="120" w:line="240" w:lineRule="auto"/>
        <w:rPr>
          <w:rFonts w:ascii="Times New Roman" w:hAnsi="Times New Roman"/>
          <w:szCs w:val="24"/>
        </w:rPr>
      </w:pPr>
      <w:r w:rsidRPr="000F2141">
        <w:rPr>
          <w:rFonts w:ascii="Times New Roman" w:hAnsi="Times New Roman"/>
          <w:szCs w:val="24"/>
        </w:rPr>
        <w:t xml:space="preserve">NTPS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7D6305" w:rsidRPr="000F2141">
        <w:rPr>
          <w:rFonts w:ascii="Times New Roman" w:hAnsi="Times New Roman"/>
          <w:szCs w:val="24"/>
        </w:rPr>
        <w:t xml:space="preserve"> Full-Scale Collection</w:t>
      </w:r>
    </w:p>
    <w:p w14:paraId="0ED70D7F" w14:textId="1FD7A7AC" w:rsidR="007215B4" w:rsidRPr="000F2141" w:rsidRDefault="00C353D3" w:rsidP="007D4EB8">
      <w:pPr>
        <w:pStyle w:val="L1-FlLSp12"/>
        <w:numPr>
          <w:ilvl w:val="0"/>
          <w:numId w:val="9"/>
        </w:numPr>
        <w:spacing w:after="120" w:line="240" w:lineRule="auto"/>
        <w:ind w:left="540"/>
        <w:rPr>
          <w:rFonts w:ascii="Times New Roman" w:hAnsi="Times New Roman"/>
          <w:szCs w:val="24"/>
        </w:rPr>
      </w:pPr>
      <w:r w:rsidRPr="000F2141">
        <w:rPr>
          <w:rFonts w:ascii="Times New Roman" w:hAnsi="Times New Roman"/>
          <w:b/>
          <w:i/>
          <w:szCs w:val="24"/>
        </w:rPr>
        <w:t>Schools and Principals Internet Test.</w:t>
      </w:r>
      <w:r w:rsidR="000F40BD" w:rsidRPr="000F2141">
        <w:rPr>
          <w:rFonts w:ascii="Times New Roman" w:hAnsi="Times New Roman"/>
          <w:szCs w:val="24"/>
        </w:rPr>
        <w:t xml:space="preserve">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w:t>
      </w:r>
      <w:r w:rsidR="00C9498C" w:rsidRPr="000F2141">
        <w:rPr>
          <w:rFonts w:ascii="Times New Roman" w:hAnsi="Times New Roman"/>
          <w:szCs w:val="24"/>
        </w:rPr>
        <w:t>included a</w:t>
      </w:r>
      <w:r w:rsidR="00F73021" w:rsidRPr="000F2141">
        <w:rPr>
          <w:rFonts w:ascii="Times New Roman" w:hAnsi="Times New Roman"/>
          <w:szCs w:val="24"/>
        </w:rPr>
        <w:t>n Internet experiment for schools and principals</w:t>
      </w:r>
      <w:r w:rsidR="00342FA2" w:rsidRPr="000F2141">
        <w:rPr>
          <w:rFonts w:ascii="Times New Roman" w:hAnsi="Times New Roman"/>
          <w:szCs w:val="24"/>
        </w:rPr>
        <w:t>, which</w:t>
      </w:r>
      <w:r w:rsidR="00F73021" w:rsidRPr="000F2141">
        <w:rPr>
          <w:rFonts w:ascii="Times New Roman" w:hAnsi="Times New Roman"/>
          <w:szCs w:val="24"/>
        </w:rPr>
        <w:t xml:space="preserve"> was </w:t>
      </w:r>
      <w:r w:rsidR="00C9498C" w:rsidRPr="000F2141">
        <w:rPr>
          <w:rFonts w:ascii="Times New Roman" w:hAnsi="Times New Roman"/>
          <w:szCs w:val="24"/>
        </w:rPr>
        <w:t xml:space="preserve">designed to </w:t>
      </w:r>
      <w:r w:rsidR="00205874" w:rsidRPr="000F2141">
        <w:rPr>
          <w:rFonts w:ascii="Times New Roman" w:hAnsi="Times New Roman"/>
          <w:szCs w:val="24"/>
        </w:rPr>
        <w:t>test</w:t>
      </w:r>
      <w:r w:rsidR="00024B22" w:rsidRPr="000F2141">
        <w:rPr>
          <w:rFonts w:ascii="Times New Roman" w:hAnsi="Times New Roman"/>
          <w:szCs w:val="24"/>
        </w:rPr>
        <w:t xml:space="preserve"> the efficacy of</w:t>
      </w:r>
      <w:r w:rsidR="00205874" w:rsidRPr="000F2141">
        <w:rPr>
          <w:rFonts w:ascii="Times New Roman" w:hAnsi="Times New Roman"/>
          <w:szCs w:val="24"/>
        </w:rPr>
        <w:t xml:space="preserve"> offering </w:t>
      </w:r>
      <w:r w:rsidR="00024B22" w:rsidRPr="000F2141">
        <w:rPr>
          <w:rFonts w:ascii="Times New Roman" w:hAnsi="Times New Roman"/>
          <w:szCs w:val="24"/>
        </w:rPr>
        <w:t>an internet response option as the initial mode of data collection</w:t>
      </w:r>
      <w:r w:rsidR="000F40BD" w:rsidRPr="000F2141">
        <w:rPr>
          <w:rFonts w:ascii="Times New Roman" w:hAnsi="Times New Roman"/>
          <w:szCs w:val="24"/>
        </w:rPr>
        <w:t>,</w:t>
      </w:r>
      <w:r w:rsidR="00F73021" w:rsidRPr="000F2141">
        <w:rPr>
          <w:rFonts w:ascii="Times New Roman" w:hAnsi="Times New Roman"/>
          <w:szCs w:val="24"/>
        </w:rPr>
        <w:t xml:space="preserve"> as </w:t>
      </w:r>
      <w:r w:rsidR="00E8789C" w:rsidRPr="000F2141">
        <w:rPr>
          <w:rFonts w:ascii="Times New Roman" w:hAnsi="Times New Roman"/>
          <w:szCs w:val="24"/>
        </w:rPr>
        <w:t xml:space="preserve">done previously in </w:t>
      </w:r>
      <w:r w:rsidR="00F73021" w:rsidRPr="000F2141">
        <w:rPr>
          <w:rFonts w:ascii="Times New Roman" w:hAnsi="Times New Roman"/>
          <w:szCs w:val="24"/>
        </w:rPr>
        <w:t xml:space="preserve">the Questionnaire Mode </w:t>
      </w:r>
      <w:r w:rsidR="00024B22" w:rsidRPr="000F2141">
        <w:rPr>
          <w:rFonts w:ascii="Times New Roman" w:hAnsi="Times New Roman"/>
          <w:szCs w:val="24"/>
        </w:rPr>
        <w:t xml:space="preserve">Experiment </w:t>
      </w:r>
      <w:r w:rsidR="00F73021" w:rsidRPr="000F2141">
        <w:rPr>
          <w:rFonts w:ascii="Times New Roman" w:hAnsi="Times New Roman"/>
          <w:szCs w:val="24"/>
        </w:rPr>
        <w:t>included</w:t>
      </w:r>
      <w:r w:rsidR="000F40BD" w:rsidRPr="000F2141">
        <w:rPr>
          <w:rFonts w:ascii="Times New Roman" w:hAnsi="Times New Roman"/>
          <w:szCs w:val="24"/>
        </w:rPr>
        <w:t xml:space="preserve"> in </w:t>
      </w:r>
      <w:r w:rsidR="00F73021" w:rsidRPr="000F2141">
        <w:rPr>
          <w:rFonts w:ascii="Times New Roman" w:hAnsi="Times New Roman"/>
          <w:szCs w:val="24"/>
        </w:rPr>
        <w:t>the</w:t>
      </w:r>
      <w:r w:rsidR="000F40BD" w:rsidRPr="000F2141">
        <w:rPr>
          <w:rFonts w:ascii="Times New Roman" w:hAnsi="Times New Roman"/>
          <w:szCs w:val="24"/>
        </w:rPr>
        <w:t xml:space="preserve"> </w:t>
      </w:r>
      <w:r w:rsidR="00024B22" w:rsidRPr="000F2141">
        <w:rPr>
          <w:rFonts w:ascii="Times New Roman" w:hAnsi="Times New Roman"/>
          <w:szCs w:val="24"/>
        </w:rPr>
        <w:t>2014</w:t>
      </w:r>
      <w:r w:rsidR="007F5C54" w:rsidRPr="000F2141">
        <w:rPr>
          <w:rFonts w:ascii="Times New Roman" w:hAnsi="Times New Roman"/>
          <w:szCs w:val="24"/>
        </w:rPr>
        <w:t>-1</w:t>
      </w:r>
      <w:r w:rsidR="00024B22" w:rsidRPr="000F2141">
        <w:rPr>
          <w:rFonts w:ascii="Times New Roman" w:hAnsi="Times New Roman"/>
          <w:szCs w:val="24"/>
        </w:rPr>
        <w:t xml:space="preserve">5 NTPS Pilot Study, described </w:t>
      </w:r>
      <w:r w:rsidR="00F73021" w:rsidRPr="000F2141">
        <w:rPr>
          <w:rFonts w:ascii="Times New Roman" w:hAnsi="Times New Roman"/>
          <w:szCs w:val="24"/>
        </w:rPr>
        <w:t>earlier.</w:t>
      </w:r>
    </w:p>
    <w:p w14:paraId="3FDCE961" w14:textId="0077D44A" w:rsidR="00603F8D" w:rsidRPr="000F2141" w:rsidRDefault="00F73021" w:rsidP="007D4EB8">
      <w:pPr>
        <w:pStyle w:val="L1-FlLSp12"/>
        <w:spacing w:after="120" w:line="240" w:lineRule="auto"/>
        <w:ind w:left="540"/>
        <w:rPr>
          <w:rFonts w:ascii="Times New Roman" w:hAnsi="Times New Roman"/>
          <w:szCs w:val="24"/>
        </w:rPr>
      </w:pPr>
      <w:r w:rsidRPr="000F2141">
        <w:rPr>
          <w:rFonts w:ascii="Times New Roman" w:hAnsi="Times New Roman"/>
          <w:szCs w:val="24"/>
        </w:rPr>
        <w:t xml:space="preserve">Key differences </w:t>
      </w:r>
      <w:r w:rsidR="000F40BD" w:rsidRPr="000F2141">
        <w:rPr>
          <w:rFonts w:ascii="Times New Roman" w:hAnsi="Times New Roman"/>
          <w:szCs w:val="24"/>
        </w:rPr>
        <w:t>exist between the 2014</w:t>
      </w:r>
      <w:r w:rsidR="007F5C54" w:rsidRPr="000F2141">
        <w:rPr>
          <w:rFonts w:ascii="Times New Roman" w:hAnsi="Times New Roman"/>
          <w:szCs w:val="24"/>
        </w:rPr>
        <w:t>-1</w:t>
      </w:r>
      <w:r w:rsidR="00E8789C" w:rsidRPr="000F2141">
        <w:rPr>
          <w:rFonts w:ascii="Times New Roman" w:hAnsi="Times New Roman"/>
          <w:szCs w:val="24"/>
        </w:rPr>
        <w:t>5</w:t>
      </w:r>
      <w:r w:rsidR="000F40BD" w:rsidRPr="000F2141">
        <w:rPr>
          <w:rFonts w:ascii="Times New Roman" w:hAnsi="Times New Roman"/>
          <w:szCs w:val="24"/>
        </w:rPr>
        <w:t xml:space="preserve"> and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internet experiments, with the most notable being that the</w:t>
      </w:r>
      <w:r w:rsidR="006D0F66" w:rsidRPr="000F2141">
        <w:rPr>
          <w:rFonts w:ascii="Times New Roman" w:hAnsi="Times New Roman"/>
          <w:szCs w:val="24"/>
        </w:rPr>
        <w:t xml:space="preserv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6D0F66" w:rsidRPr="000F2141">
        <w:rPr>
          <w:rFonts w:ascii="Times New Roman" w:hAnsi="Times New Roman"/>
          <w:szCs w:val="24"/>
        </w:rPr>
        <w:t xml:space="preserve"> </w:t>
      </w:r>
      <w:r w:rsidR="00156609" w:rsidRPr="000F2141">
        <w:rPr>
          <w:rFonts w:ascii="Times New Roman" w:hAnsi="Times New Roman"/>
          <w:szCs w:val="24"/>
        </w:rPr>
        <w:t>experiment</w:t>
      </w:r>
      <w:r w:rsidR="000F40BD" w:rsidRPr="000F2141">
        <w:rPr>
          <w:rFonts w:ascii="Times New Roman" w:hAnsi="Times New Roman"/>
          <w:szCs w:val="24"/>
        </w:rPr>
        <w:t xml:space="preserve"> </w:t>
      </w:r>
      <w:r w:rsidR="006D0F66" w:rsidRPr="000F2141">
        <w:rPr>
          <w:rFonts w:ascii="Times New Roman" w:hAnsi="Times New Roman"/>
          <w:szCs w:val="24"/>
        </w:rPr>
        <w:t>included</w:t>
      </w:r>
      <w:r w:rsidR="000F40BD" w:rsidRPr="000F2141">
        <w:rPr>
          <w:rFonts w:ascii="Times New Roman" w:hAnsi="Times New Roman"/>
          <w:szCs w:val="24"/>
        </w:rPr>
        <w:t xml:space="preserve"> the</w:t>
      </w:r>
      <w:r w:rsidR="006D0F66" w:rsidRPr="000F2141">
        <w:rPr>
          <w:rFonts w:ascii="Times New Roman" w:hAnsi="Times New Roman"/>
          <w:szCs w:val="24"/>
        </w:rPr>
        <w:t xml:space="preserve"> use of</w:t>
      </w:r>
      <w:r w:rsidR="000F40BD" w:rsidRPr="000F2141">
        <w:rPr>
          <w:rFonts w:ascii="Times New Roman" w:hAnsi="Times New Roman"/>
          <w:szCs w:val="24"/>
        </w:rPr>
        <w:t xml:space="preserve"> a survey </w:t>
      </w:r>
      <w:r w:rsidR="006D0F66" w:rsidRPr="000F2141">
        <w:rPr>
          <w:rFonts w:ascii="Times New Roman" w:hAnsi="Times New Roman"/>
          <w:szCs w:val="24"/>
        </w:rPr>
        <w:t>coordinator</w:t>
      </w:r>
      <w:r w:rsidR="000F40BD" w:rsidRPr="000F2141">
        <w:rPr>
          <w:rFonts w:ascii="Times New Roman" w:hAnsi="Times New Roman"/>
          <w:szCs w:val="24"/>
        </w:rPr>
        <w:t xml:space="preserve"> at the school</w:t>
      </w:r>
      <w:r w:rsidR="00E8789C" w:rsidRPr="000F2141">
        <w:rPr>
          <w:rFonts w:ascii="Times New Roman" w:hAnsi="Times New Roman"/>
          <w:szCs w:val="24"/>
        </w:rPr>
        <w:t>,</w:t>
      </w:r>
      <w:r w:rsidR="006D0F66" w:rsidRPr="000F2141">
        <w:rPr>
          <w:rFonts w:ascii="Times New Roman" w:hAnsi="Times New Roman"/>
          <w:szCs w:val="24"/>
        </w:rPr>
        <w:t xml:space="preserve"> and </w:t>
      </w:r>
      <w:r w:rsidR="000F40BD" w:rsidRPr="000F2141">
        <w:rPr>
          <w:rFonts w:ascii="Times New Roman" w:hAnsi="Times New Roman"/>
          <w:szCs w:val="24"/>
        </w:rPr>
        <w:t xml:space="preserve">improved respondent contact materials and mailout packaging. In the </w:t>
      </w:r>
      <w:r w:rsidR="00A14CE5" w:rsidRPr="000F2141">
        <w:rPr>
          <w:rFonts w:ascii="Times New Roman" w:hAnsi="Times New Roman"/>
          <w:szCs w:val="24"/>
        </w:rPr>
        <w:t>2015</w:t>
      </w:r>
      <w:r w:rsidR="007F5C54" w:rsidRPr="000F2141">
        <w:rPr>
          <w:rFonts w:ascii="Times New Roman" w:hAnsi="Times New Roman"/>
          <w:szCs w:val="24"/>
        </w:rPr>
        <w:t>-1</w:t>
      </w:r>
      <w:r w:rsidR="00A14CE5" w:rsidRPr="000F2141">
        <w:rPr>
          <w:rFonts w:ascii="Times New Roman" w:hAnsi="Times New Roman"/>
          <w:szCs w:val="24"/>
        </w:rPr>
        <w:t>6</w:t>
      </w:r>
      <w:r w:rsidR="000F40BD" w:rsidRPr="000F2141">
        <w:rPr>
          <w:rFonts w:ascii="Times New Roman" w:hAnsi="Times New Roman"/>
          <w:szCs w:val="24"/>
        </w:rPr>
        <w:t xml:space="preserve"> NTPS, an independent </w:t>
      </w:r>
      <w:r w:rsidR="006D0F66" w:rsidRPr="000F2141">
        <w:rPr>
          <w:rFonts w:ascii="Times New Roman" w:hAnsi="Times New Roman"/>
          <w:szCs w:val="24"/>
        </w:rPr>
        <w:t xml:space="preserve">sample of 1,000 public schools was selected for this experiment, which invited schools and principals to complete the NTPS </w:t>
      </w:r>
      <w:r w:rsidR="00603F8D" w:rsidRPr="000F2141">
        <w:rPr>
          <w:rFonts w:ascii="Times New Roman" w:hAnsi="Times New Roman"/>
          <w:szCs w:val="24"/>
        </w:rPr>
        <w:t xml:space="preserve">school-level </w:t>
      </w:r>
      <w:r w:rsidR="006D0F66" w:rsidRPr="000F2141">
        <w:rPr>
          <w:rFonts w:ascii="Times New Roman" w:hAnsi="Times New Roman"/>
          <w:szCs w:val="24"/>
        </w:rPr>
        <w:t xml:space="preserve">questionnaires </w:t>
      </w:r>
      <w:r w:rsidR="0092290B" w:rsidRPr="000F2141">
        <w:rPr>
          <w:rFonts w:ascii="Times New Roman" w:hAnsi="Times New Roman"/>
          <w:szCs w:val="24"/>
        </w:rPr>
        <w:t xml:space="preserve">using </w:t>
      </w:r>
      <w:r w:rsidR="006D0F66" w:rsidRPr="000F2141">
        <w:rPr>
          <w:rFonts w:ascii="Times New Roman" w:hAnsi="Times New Roman"/>
          <w:szCs w:val="24"/>
        </w:rPr>
        <w:t>the internet</w:t>
      </w:r>
      <w:r w:rsidR="0092290B" w:rsidRPr="000F2141">
        <w:rPr>
          <w:rFonts w:ascii="Times New Roman" w:hAnsi="Times New Roman"/>
          <w:szCs w:val="24"/>
        </w:rPr>
        <w:t xml:space="preserve"> at the first and second contacts</w:t>
      </w:r>
      <w:r w:rsidR="00156609" w:rsidRPr="000F2141">
        <w:rPr>
          <w:rFonts w:ascii="Times New Roman" w:hAnsi="Times New Roman"/>
          <w:szCs w:val="24"/>
        </w:rPr>
        <w:t xml:space="preserve"> by mail. </w:t>
      </w:r>
      <w:r w:rsidR="00603F8D" w:rsidRPr="000F2141">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14:paraId="491645C2" w14:textId="70FB8E68" w:rsidR="007215B4" w:rsidRPr="000F2141" w:rsidRDefault="00156609" w:rsidP="006B0F28">
      <w:pPr>
        <w:pStyle w:val="L1-FlLSp12"/>
        <w:widowControl w:val="0"/>
        <w:spacing w:after="120" w:line="240" w:lineRule="auto"/>
        <w:ind w:left="547"/>
        <w:rPr>
          <w:rFonts w:ascii="Times New Roman" w:hAnsi="Times New Roman"/>
          <w:szCs w:val="24"/>
        </w:rPr>
      </w:pPr>
      <w:r w:rsidRPr="000F2141">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0F2141">
        <w:rPr>
          <w:rFonts w:ascii="Times New Roman" w:hAnsi="Times New Roman"/>
          <w:szCs w:val="24"/>
        </w:rPr>
        <w:t xml:space="preserve"> or</w:t>
      </w:r>
      <w:r w:rsidRPr="000F2141">
        <w:rPr>
          <w:rFonts w:ascii="Times New Roman" w:hAnsi="Times New Roman"/>
          <w:szCs w:val="24"/>
        </w:rPr>
        <w:t xml:space="preserve"> field follow-up operations.</w:t>
      </w:r>
      <w:r w:rsidR="00E8789C" w:rsidRPr="000F2141">
        <w:rPr>
          <w:rFonts w:ascii="Times New Roman" w:hAnsi="Times New Roman"/>
          <w:szCs w:val="24"/>
        </w:rPr>
        <w:t xml:space="preserve"> </w:t>
      </w:r>
      <w:r w:rsidR="00603F8D" w:rsidRPr="000F2141">
        <w:rPr>
          <w:rFonts w:ascii="Times New Roman" w:hAnsi="Times New Roman"/>
          <w:szCs w:val="24"/>
        </w:rPr>
        <w:t xml:space="preserve">When comparing the response rates for all three survey instruments </w:t>
      </w:r>
      <w:r w:rsidR="00B10844" w:rsidRPr="000F2141">
        <w:rPr>
          <w:rFonts w:ascii="Times New Roman" w:hAnsi="Times New Roman"/>
          <w:szCs w:val="24"/>
        </w:rPr>
        <w:t xml:space="preserve">at the end of the reminder telephone operation </w:t>
      </w:r>
      <w:r w:rsidR="00603F8D" w:rsidRPr="000F2141">
        <w:rPr>
          <w:rFonts w:ascii="Times New Roman" w:hAnsi="Times New Roman"/>
          <w:szCs w:val="24"/>
        </w:rPr>
        <w:t xml:space="preserve">– the most reasonable time to make the comparison – </w:t>
      </w:r>
      <w:r w:rsidR="00B10844" w:rsidRPr="000F2141">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0F2141">
        <w:rPr>
          <w:rFonts w:ascii="Times New Roman" w:hAnsi="Times New Roman"/>
          <w:szCs w:val="24"/>
        </w:rPr>
        <w:t xml:space="preserve">the </w:t>
      </w:r>
      <w:r w:rsidR="00B10844" w:rsidRPr="000F2141">
        <w:rPr>
          <w:rFonts w:ascii="Times New Roman" w:hAnsi="Times New Roman"/>
          <w:szCs w:val="24"/>
        </w:rPr>
        <w:t xml:space="preserve">initial </w:t>
      </w:r>
      <w:r w:rsidR="00E8789C" w:rsidRPr="000F2141">
        <w:rPr>
          <w:rFonts w:ascii="Times New Roman" w:hAnsi="Times New Roman"/>
          <w:szCs w:val="24"/>
        </w:rPr>
        <w:t xml:space="preserve">mailout will invite respondents to complete online questionnaires </w:t>
      </w:r>
      <w:r w:rsidR="00B10844" w:rsidRPr="000F2141">
        <w:rPr>
          <w:rFonts w:ascii="Times New Roman" w:hAnsi="Times New Roman"/>
          <w:szCs w:val="24"/>
        </w:rPr>
        <w:t xml:space="preserve">during </w:t>
      </w:r>
      <w:r w:rsidR="00E8789C" w:rsidRPr="000F2141">
        <w:rPr>
          <w:rFonts w:ascii="Times New Roman" w:hAnsi="Times New Roman"/>
          <w:szCs w:val="24"/>
        </w:rPr>
        <w:t xml:space="preserve">the </w:t>
      </w:r>
      <w:r w:rsidR="00A14CE5" w:rsidRPr="000F2141">
        <w:rPr>
          <w:rFonts w:ascii="Times New Roman" w:hAnsi="Times New Roman"/>
          <w:szCs w:val="24"/>
        </w:rPr>
        <w:t>2017</w:t>
      </w:r>
      <w:r w:rsidR="007F5C54" w:rsidRPr="000F2141">
        <w:rPr>
          <w:rFonts w:ascii="Times New Roman" w:hAnsi="Times New Roman"/>
          <w:szCs w:val="24"/>
        </w:rPr>
        <w:t>-1</w:t>
      </w:r>
      <w:r w:rsidR="00A14CE5" w:rsidRPr="000F2141">
        <w:rPr>
          <w:rFonts w:ascii="Times New Roman" w:hAnsi="Times New Roman"/>
          <w:szCs w:val="24"/>
        </w:rPr>
        <w:t>8</w:t>
      </w:r>
      <w:r w:rsidR="00B10844" w:rsidRPr="000F2141">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email addresses (collected at the time the </w:t>
      </w:r>
      <w:r w:rsidR="00E8789C" w:rsidRPr="000F2141">
        <w:rPr>
          <w:rFonts w:ascii="Times New Roman" w:hAnsi="Times New Roman"/>
          <w:szCs w:val="24"/>
        </w:rPr>
        <w:t xml:space="preserve">survey </w:t>
      </w:r>
      <w:r w:rsidR="00B10844" w:rsidRPr="000F2141">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0F2141">
        <w:rPr>
          <w:rFonts w:ascii="Times New Roman" w:hAnsi="Times New Roman"/>
          <w:szCs w:val="24"/>
        </w:rPr>
        <w:t xml:space="preserve">survey </w:t>
      </w:r>
      <w:r w:rsidR="00B10844" w:rsidRPr="000F2141">
        <w:rPr>
          <w:rFonts w:ascii="Times New Roman" w:hAnsi="Times New Roman"/>
          <w:szCs w:val="24"/>
        </w:rPr>
        <w:t>coordinator by email in conjunction with the various mailings.</w:t>
      </w:r>
    </w:p>
    <w:p w14:paraId="462487D2" w14:textId="022DF15E" w:rsidR="00C353D3" w:rsidRPr="000F2141" w:rsidRDefault="00C353D3" w:rsidP="007D4EB8">
      <w:pPr>
        <w:pStyle w:val="L1-FlLSp12"/>
        <w:numPr>
          <w:ilvl w:val="0"/>
          <w:numId w:val="9"/>
        </w:numPr>
        <w:spacing w:after="60" w:line="240" w:lineRule="auto"/>
        <w:ind w:left="540"/>
        <w:rPr>
          <w:rFonts w:ascii="Times New Roman" w:hAnsi="Times New Roman"/>
          <w:szCs w:val="24"/>
        </w:rPr>
      </w:pPr>
      <w:r w:rsidRPr="000F2141">
        <w:rPr>
          <w:rFonts w:ascii="Times New Roman" w:hAnsi="Times New Roman"/>
          <w:b/>
          <w:i/>
          <w:szCs w:val="24"/>
        </w:rPr>
        <w:t xml:space="preserve">Contact Time Tailoring Experiment. </w:t>
      </w:r>
      <w:r w:rsidRPr="000F2141">
        <w:rPr>
          <w:rFonts w:ascii="Times New Roman" w:hAnsi="Times New Roman"/>
          <w:szCs w:val="24"/>
        </w:rPr>
        <w:t xml:space="preserve">This test </w:t>
      </w:r>
      <w:r w:rsidR="00AF0CEF" w:rsidRPr="000F2141">
        <w:rPr>
          <w:rFonts w:ascii="Times New Roman" w:hAnsi="Times New Roman"/>
          <w:szCs w:val="24"/>
        </w:rPr>
        <w:t>was</w:t>
      </w:r>
      <w:r w:rsidRPr="000F2141">
        <w:rPr>
          <w:rFonts w:ascii="Times New Roman" w:hAnsi="Times New Roman"/>
          <w:szCs w:val="24"/>
        </w:rPr>
        <w:t xml:space="preserve"> designed to determine the optimal contact time for teachers</w:t>
      </w:r>
      <w:r w:rsidR="00B10844" w:rsidRPr="000F2141">
        <w:rPr>
          <w:rFonts w:ascii="Times New Roman" w:hAnsi="Times New Roman"/>
          <w:szCs w:val="24"/>
        </w:rPr>
        <w:t>.</w:t>
      </w:r>
      <w:r w:rsidR="00145167" w:rsidRPr="000F2141">
        <w:rPr>
          <w:rFonts w:ascii="Times New Roman" w:hAnsi="Times New Roman"/>
          <w:szCs w:val="24"/>
        </w:rPr>
        <w:t xml:space="preserve"> During the telephone nonresponse follow-up operation, interviewers contact</w:t>
      </w:r>
      <w:r w:rsidR="008D663A" w:rsidRPr="000F2141">
        <w:rPr>
          <w:rFonts w:ascii="Times New Roman" w:hAnsi="Times New Roman"/>
          <w:szCs w:val="24"/>
        </w:rPr>
        <w:t>ed</w:t>
      </w:r>
      <w:r w:rsidR="00145167" w:rsidRPr="000F2141">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0F2141">
        <w:rPr>
          <w:rFonts w:ascii="Times New Roman" w:hAnsi="Times New Roman"/>
          <w:szCs w:val="24"/>
        </w:rPr>
        <w:t xml:space="preserve">The </w:t>
      </w:r>
      <w:r w:rsidRPr="000F2141">
        <w:rPr>
          <w:rFonts w:ascii="Times New Roman" w:hAnsi="Times New Roman"/>
          <w:szCs w:val="24"/>
        </w:rPr>
        <w:t xml:space="preserve">research questions this test </w:t>
      </w:r>
      <w:r w:rsidR="0074445B" w:rsidRPr="000F2141">
        <w:rPr>
          <w:rFonts w:ascii="Times New Roman" w:hAnsi="Times New Roman"/>
          <w:szCs w:val="24"/>
        </w:rPr>
        <w:t xml:space="preserve">was designed to answer </w:t>
      </w:r>
      <w:r w:rsidR="00145167" w:rsidRPr="000F2141">
        <w:rPr>
          <w:rFonts w:ascii="Times New Roman" w:hAnsi="Times New Roman"/>
          <w:szCs w:val="24"/>
        </w:rPr>
        <w:t>were as follows</w:t>
      </w:r>
      <w:r w:rsidR="0074445B" w:rsidRPr="000F2141">
        <w:rPr>
          <w:rFonts w:ascii="Times New Roman" w:hAnsi="Times New Roman"/>
          <w:szCs w:val="24"/>
        </w:rPr>
        <w:t>:</w:t>
      </w:r>
    </w:p>
    <w:p w14:paraId="03B43C7A"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Are afternoons more productive for calling teachers?</w:t>
      </w:r>
    </w:p>
    <w:p w14:paraId="4BD3EAE7"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not afternoons, are there more productive times than others for calling teachers?</w:t>
      </w:r>
    </w:p>
    <w:p w14:paraId="18DDE8AC"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Do productive contact times for teachers hold globally, or do different types of schools have different productive call time frames?</w:t>
      </w:r>
    </w:p>
    <w:p w14:paraId="1FF2940F" w14:textId="77777777" w:rsidR="007215B4" w:rsidRPr="000F2141" w:rsidRDefault="00145167" w:rsidP="007D4EB8">
      <w:pPr>
        <w:pStyle w:val="NormalWeb"/>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Can we use school-level frame information (e.g. urbanicity, school size, grade level) to help tailor call times in future rounds of data collection?</w:t>
      </w:r>
    </w:p>
    <w:p w14:paraId="43FEC8D5" w14:textId="04694A58" w:rsidR="007215B4" w:rsidRPr="000F2141" w:rsidRDefault="00145167" w:rsidP="00A50DEB">
      <w:pPr>
        <w:pStyle w:val="NormalWeb"/>
        <w:widowControl w:val="0"/>
        <w:numPr>
          <w:ilvl w:val="0"/>
          <w:numId w:val="15"/>
        </w:numPr>
        <w:spacing w:before="0" w:beforeAutospacing="0" w:after="6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required to successfully make contact with the teacher?</w:t>
      </w:r>
    </w:p>
    <w:p w14:paraId="5626F98C" w14:textId="02C7D16D" w:rsidR="007215B4" w:rsidRPr="000F2141" w:rsidRDefault="00145167" w:rsidP="007D4EB8">
      <w:pPr>
        <w:pStyle w:val="NormalWeb"/>
        <w:numPr>
          <w:ilvl w:val="0"/>
          <w:numId w:val="15"/>
        </w:numPr>
        <w:spacing w:before="0" w:beforeAutospacing="0" w:after="120" w:afterAutospacing="0"/>
        <w:ind w:left="1440"/>
        <w:rPr>
          <w:rFonts w:ascii="Times New Roman" w:hAnsi="Times New Roman" w:cs="Times New Roman"/>
        </w:rPr>
      </w:pPr>
      <w:r w:rsidRPr="000F2141">
        <w:rPr>
          <w:rFonts w:ascii="Times New Roman" w:hAnsi="Times New Roman" w:cs="Times New Roman"/>
        </w:rPr>
        <w:t>If the calls are being made at “productive times</w:t>
      </w:r>
      <w:r w:rsidR="00E8789C" w:rsidRPr="000F2141">
        <w:rPr>
          <w:rFonts w:ascii="Times New Roman" w:hAnsi="Times New Roman" w:cs="Times New Roman"/>
        </w:rPr>
        <w:t>,</w:t>
      </w:r>
      <w:r w:rsidRPr="000F2141">
        <w:rPr>
          <w:rFonts w:ascii="Times New Roman" w:hAnsi="Times New Roman" w:cs="Times New Roman"/>
        </w:rPr>
        <w:t>” are fewer call attempts and total contacts required to obtain a completed interview?</w:t>
      </w:r>
    </w:p>
    <w:p w14:paraId="55E426CA" w14:textId="150B73A1" w:rsidR="00145167" w:rsidRPr="00814928" w:rsidRDefault="008D663A" w:rsidP="007D4EB8">
      <w:pPr>
        <w:widowControl w:val="0"/>
        <w:spacing w:after="120" w:line="240" w:lineRule="auto"/>
        <w:ind w:left="540"/>
        <w:rPr>
          <w:rFonts w:ascii="Times New Roman" w:hAnsi="Times New Roman"/>
          <w:szCs w:val="24"/>
        </w:rPr>
      </w:pPr>
      <w:r w:rsidRPr="000F2141">
        <w:rPr>
          <w:rFonts w:ascii="Times New Roman" w:hAnsi="Times New Roman"/>
          <w:szCs w:val="24"/>
        </w:rPr>
        <w:t>O</w:t>
      </w:r>
      <w:r w:rsidR="00145167" w:rsidRPr="000F2141">
        <w:rPr>
          <w:rFonts w:ascii="Times New Roman" w:hAnsi="Times New Roman"/>
          <w:szCs w:val="24"/>
        </w:rPr>
        <w:t>perational challenges in conducting the call time experiment</w:t>
      </w:r>
      <w:r w:rsidRPr="000F2141">
        <w:rPr>
          <w:rFonts w:ascii="Times New Roman" w:hAnsi="Times New Roman"/>
          <w:szCs w:val="24"/>
        </w:rPr>
        <w:t xml:space="preserve"> were encountered</w:t>
      </w:r>
      <w:r w:rsidR="00145167" w:rsidRPr="000F2141">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0F2141">
        <w:rPr>
          <w:rFonts w:ascii="Times New Roman" w:hAnsi="Times New Roman"/>
          <w:szCs w:val="24"/>
        </w:rPr>
        <w:t>. As a result</w:t>
      </w:r>
      <w:r w:rsidR="00145167" w:rsidRPr="000F2141">
        <w:rPr>
          <w:rFonts w:ascii="Times New Roman" w:hAnsi="Times New Roman"/>
          <w:szCs w:val="24"/>
        </w:rPr>
        <w:t xml:space="preserve">,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w:t>
      </w:r>
      <w:r w:rsidR="00145167" w:rsidRPr="00814928">
        <w:rPr>
          <w:rFonts w:ascii="Times New Roman" w:hAnsi="Times New Roman"/>
          <w:szCs w:val="24"/>
        </w:rPr>
        <w:t>noticeable difference in the success rates of contacting teachers by call time. Additional analyses on the data may be conducted to help inform future administrations of NTPS.</w:t>
      </w:r>
    </w:p>
    <w:p w14:paraId="6831E50B" w14:textId="1E1FF619" w:rsidR="000F2141" w:rsidRPr="00814928" w:rsidRDefault="000F2141" w:rsidP="007D4EB8">
      <w:pPr>
        <w:pStyle w:val="Heading4"/>
        <w:spacing w:after="120" w:line="240" w:lineRule="auto"/>
        <w:rPr>
          <w:rFonts w:ascii="Times New Roman" w:hAnsi="Times New Roman"/>
          <w:szCs w:val="24"/>
        </w:rPr>
      </w:pPr>
      <w:r w:rsidRPr="00814928">
        <w:rPr>
          <w:rFonts w:ascii="Times New Roman" w:hAnsi="Times New Roman"/>
          <w:szCs w:val="24"/>
        </w:rPr>
        <w:t>NTPS 2017-18 Full-Scale Collection</w:t>
      </w:r>
    </w:p>
    <w:p w14:paraId="0DF79DDF" w14:textId="26800BA1" w:rsidR="00A456F7" w:rsidRPr="00A456F7" w:rsidRDefault="00A456F7" w:rsidP="006B0F28">
      <w:pPr>
        <w:pStyle w:val="L1-FlLSp12"/>
        <w:widowControl w:val="0"/>
        <w:spacing w:after="120" w:line="240" w:lineRule="auto"/>
        <w:rPr>
          <w:rFonts w:ascii="Times New Roman" w:hAnsi="Times New Roman"/>
          <w:szCs w:val="24"/>
        </w:rPr>
      </w:pPr>
      <w:r>
        <w:rPr>
          <w:rFonts w:ascii="Times New Roman" w:hAnsi="Times New Roman"/>
          <w:szCs w:val="24"/>
        </w:rPr>
        <w:t xml:space="preserve">To address declining response rates among teachers in </w:t>
      </w:r>
      <w:r w:rsidR="003C1FB3">
        <w:rPr>
          <w:rFonts w:ascii="Times New Roman" w:hAnsi="Times New Roman"/>
          <w:szCs w:val="24"/>
        </w:rPr>
        <w:t xml:space="preserve">NTPS </w:t>
      </w:r>
      <w:r>
        <w:rPr>
          <w:rFonts w:ascii="Times New Roman" w:hAnsi="Times New Roman"/>
          <w:szCs w:val="24"/>
        </w:rPr>
        <w:t>2015-16, NCES test</w:t>
      </w:r>
      <w:r w:rsidR="003C1FB3">
        <w:rPr>
          <w:rFonts w:ascii="Times New Roman" w:hAnsi="Times New Roman"/>
          <w:szCs w:val="24"/>
        </w:rPr>
        <w:t>ed</w:t>
      </w:r>
      <w:r>
        <w:rPr>
          <w:rFonts w:ascii="Times New Roman" w:hAnsi="Times New Roman"/>
          <w:szCs w:val="24"/>
        </w:rPr>
        <w:t xml:space="preserve"> the use of incentives to increase response in </w:t>
      </w:r>
      <w:r w:rsidR="003C1FB3">
        <w:rPr>
          <w:rFonts w:ascii="Times New Roman" w:hAnsi="Times New Roman"/>
          <w:szCs w:val="24"/>
        </w:rPr>
        <w:t xml:space="preserve">NTPS </w:t>
      </w:r>
      <w:r>
        <w:rPr>
          <w:rFonts w:ascii="Times New Roman" w:hAnsi="Times New Roman"/>
          <w:szCs w:val="24"/>
        </w:rPr>
        <w:t xml:space="preserve">2017-18. In addition, </w:t>
      </w:r>
      <w:r w:rsidR="003C1FB3">
        <w:rPr>
          <w:rFonts w:ascii="Times New Roman" w:hAnsi="Times New Roman"/>
          <w:szCs w:val="24"/>
        </w:rPr>
        <w:t xml:space="preserve">NTPS 2017-18 included </w:t>
      </w:r>
      <w:r>
        <w:rPr>
          <w:rFonts w:ascii="Times New Roman" w:hAnsi="Times New Roman"/>
          <w:szCs w:val="24"/>
        </w:rPr>
        <w:t xml:space="preserve">a </w:t>
      </w:r>
      <w:r w:rsidRPr="00D321F9">
        <w:rPr>
          <w:rFonts w:ascii="Times New Roman" w:hAnsi="Times New Roman"/>
          <w:szCs w:val="24"/>
        </w:rPr>
        <w:t>private school test</w:t>
      </w:r>
      <w:r>
        <w:rPr>
          <w:rFonts w:ascii="Times New Roman" w:hAnsi="Times New Roman"/>
          <w:szCs w:val="24"/>
        </w:rPr>
        <w:t xml:space="preserve"> </w:t>
      </w:r>
      <w:r w:rsidR="003C1FB3">
        <w:rPr>
          <w:rFonts w:ascii="Times New Roman" w:hAnsi="Times New Roman"/>
          <w:szCs w:val="24"/>
        </w:rPr>
        <w:t>that</w:t>
      </w:r>
      <w:r w:rsidR="00861C13">
        <w:rPr>
          <w:rFonts w:ascii="Times New Roman" w:hAnsi="Times New Roman"/>
          <w:szCs w:val="24"/>
        </w:rPr>
        <w:t xml:space="preserve"> was d</w:t>
      </w:r>
      <w:r w:rsidRPr="00D321F9">
        <w:rPr>
          <w:rFonts w:ascii="Times New Roman" w:hAnsi="Times New Roman"/>
          <w:szCs w:val="24"/>
        </w:rPr>
        <w:t xml:space="preserve">esigned to </w:t>
      </w:r>
      <w:r w:rsidR="003C1FB3">
        <w:rPr>
          <w:rFonts w:ascii="Times New Roman" w:hAnsi="Times New Roman"/>
          <w:szCs w:val="24"/>
        </w:rPr>
        <w:t xml:space="preserve">(a) </w:t>
      </w:r>
      <w:r w:rsidRPr="00D321F9">
        <w:rPr>
          <w:rFonts w:ascii="Times New Roman" w:hAnsi="Times New Roman"/>
          <w:szCs w:val="24"/>
        </w:rPr>
        <w:t>provide accurate estimates for teachers and principals in private schools in the U</w:t>
      </w:r>
      <w:r w:rsidR="003C1FB3">
        <w:rPr>
          <w:rFonts w:ascii="Times New Roman" w:hAnsi="Times New Roman"/>
          <w:szCs w:val="24"/>
        </w:rPr>
        <w:t>.</w:t>
      </w:r>
      <w:r w:rsidRPr="00D321F9">
        <w:rPr>
          <w:rFonts w:ascii="Times New Roman" w:hAnsi="Times New Roman"/>
          <w:szCs w:val="24"/>
        </w:rPr>
        <w:t>S</w:t>
      </w:r>
      <w:r w:rsidR="003C1FB3">
        <w:rPr>
          <w:rFonts w:ascii="Times New Roman" w:hAnsi="Times New Roman"/>
          <w:szCs w:val="24"/>
        </w:rPr>
        <w:t>.</w:t>
      </w:r>
      <w:r w:rsidRPr="00D321F9">
        <w:rPr>
          <w:rFonts w:ascii="Times New Roman" w:hAnsi="Times New Roman"/>
          <w:szCs w:val="24"/>
        </w:rPr>
        <w:t xml:space="preserve"> </w:t>
      </w:r>
      <w:r w:rsidR="003C1FB3">
        <w:rPr>
          <w:rFonts w:ascii="Times New Roman" w:hAnsi="Times New Roman"/>
          <w:szCs w:val="24"/>
        </w:rPr>
        <w:t>and</w:t>
      </w:r>
      <w:r w:rsidRPr="00D321F9">
        <w:rPr>
          <w:rFonts w:ascii="Times New Roman" w:hAnsi="Times New Roman"/>
          <w:szCs w:val="24"/>
        </w:rPr>
        <w:t xml:space="preserve"> </w:t>
      </w:r>
      <w:r w:rsidR="003C1FB3">
        <w:rPr>
          <w:rFonts w:ascii="Times New Roman" w:hAnsi="Times New Roman"/>
          <w:szCs w:val="24"/>
        </w:rPr>
        <w:t xml:space="preserve">(b) </w:t>
      </w:r>
      <w:r w:rsidRPr="00D321F9">
        <w:rPr>
          <w:rFonts w:ascii="Times New Roman" w:hAnsi="Times New Roman"/>
          <w:szCs w:val="24"/>
        </w:rPr>
        <w:t>to examine the effects of strategies to improve response in this population.</w:t>
      </w:r>
      <w:r w:rsidR="00652E63">
        <w:rPr>
          <w:rFonts w:ascii="Times New Roman" w:hAnsi="Times New Roman"/>
          <w:szCs w:val="24"/>
        </w:rPr>
        <w:t xml:space="preserve"> </w:t>
      </w:r>
      <w:r w:rsidR="008D014E">
        <w:rPr>
          <w:rFonts w:ascii="Times New Roman" w:hAnsi="Times New Roman"/>
          <w:szCs w:val="24"/>
        </w:rPr>
        <w:t xml:space="preserve">The results of these experiments are still being evaluated and will be included in the </w:t>
      </w:r>
      <w:r w:rsidR="003C1FB3">
        <w:rPr>
          <w:rFonts w:ascii="Times New Roman" w:hAnsi="Times New Roman"/>
          <w:szCs w:val="24"/>
        </w:rPr>
        <w:t xml:space="preserve">NTPS 2019-20 </w:t>
      </w:r>
      <w:r w:rsidR="006F14E8">
        <w:rPr>
          <w:rFonts w:ascii="Times New Roman" w:hAnsi="Times New Roman"/>
          <w:szCs w:val="24"/>
        </w:rPr>
        <w:t>Main Study</w:t>
      </w:r>
      <w:r w:rsidR="003C1FB3">
        <w:rPr>
          <w:rFonts w:ascii="Times New Roman" w:hAnsi="Times New Roman"/>
          <w:szCs w:val="24"/>
        </w:rPr>
        <w:t xml:space="preserve"> submission</w:t>
      </w:r>
      <w:r w:rsidR="008D014E">
        <w:rPr>
          <w:rFonts w:ascii="Times New Roman" w:hAnsi="Times New Roman"/>
          <w:szCs w:val="24"/>
        </w:rPr>
        <w:t xml:space="preserve"> in </w:t>
      </w:r>
      <w:r w:rsidR="00133768">
        <w:rPr>
          <w:rFonts w:ascii="Times New Roman" w:hAnsi="Times New Roman"/>
          <w:szCs w:val="24"/>
        </w:rPr>
        <w:t xml:space="preserve">December </w:t>
      </w:r>
      <w:r w:rsidR="008D014E">
        <w:rPr>
          <w:rFonts w:ascii="Times New Roman" w:hAnsi="Times New Roman"/>
          <w:szCs w:val="24"/>
        </w:rPr>
        <w:t>2018.</w:t>
      </w:r>
    </w:p>
    <w:p w14:paraId="5DFA8973" w14:textId="5E917724" w:rsidR="00652E63" w:rsidRPr="00072108" w:rsidRDefault="00CB70B2" w:rsidP="007D4EB8">
      <w:pPr>
        <w:pStyle w:val="L1-FlLSp12"/>
        <w:widowControl w:val="0"/>
        <w:numPr>
          <w:ilvl w:val="0"/>
          <w:numId w:val="19"/>
        </w:numPr>
        <w:spacing w:after="120" w:line="240" w:lineRule="auto"/>
        <w:ind w:right="-43"/>
        <w:rPr>
          <w:rFonts w:ascii="Times New Roman" w:hAnsi="Times New Roman"/>
        </w:rPr>
      </w:pPr>
      <w:r w:rsidRPr="00072108">
        <w:rPr>
          <w:rFonts w:ascii="Times New Roman" w:hAnsi="Times New Roman"/>
          <w:b/>
          <w:i/>
          <w:szCs w:val="24"/>
        </w:rPr>
        <w:t>Testing the use of teacher incentives</w:t>
      </w:r>
      <w:r w:rsidRPr="00072108">
        <w:rPr>
          <w:rFonts w:ascii="Times New Roman" w:hAnsi="Times New Roman"/>
          <w:szCs w:val="24"/>
        </w:rPr>
        <w:t>. The 2017-18 NTPS included an incentive experiment designed to examine the effectiveness of offering teachers a monetary incentive to boost overall teacher response.</w:t>
      </w:r>
      <w:r w:rsidR="00072108" w:rsidRPr="00072108">
        <w:rPr>
          <w:rFonts w:ascii="Times New Roman" w:hAnsi="Times New Roman"/>
          <w:szCs w:val="24"/>
        </w:rPr>
        <w:t xml:space="preserve"> </w:t>
      </w:r>
      <w:r w:rsidRPr="00072108">
        <w:rPr>
          <w:rFonts w:ascii="Times New Roman" w:hAnsi="Times New Roman"/>
        </w:rPr>
        <w:t>Teachers were incentivized during the first 12 waves of teacher sampling, then a combination of teachers and/or school coordinators or principals were incentivized during the remaining waves. During the first 12 waves of the teacher sampling, teachers were only sampled from returned TLFs. However, beginning in wave 13 for schools, teachers could be sampled from returned TLFs, vendor lists, or internet look-ups. This change in the teacher sampling procedure provided a natural breakpoint between the two phases of the experiment and allow</w:t>
      </w:r>
      <w:r w:rsidR="001F4E34" w:rsidRPr="00072108">
        <w:rPr>
          <w:rFonts w:ascii="Times New Roman" w:hAnsi="Times New Roman"/>
        </w:rPr>
        <w:t>ed</w:t>
      </w:r>
      <w:r w:rsidR="00830082" w:rsidRPr="00072108">
        <w:rPr>
          <w:rFonts w:ascii="Times New Roman" w:hAnsi="Times New Roman"/>
        </w:rPr>
        <w:t xml:space="preserve"> </w:t>
      </w:r>
      <w:r w:rsidRPr="00072108">
        <w:rPr>
          <w:rFonts w:ascii="Times New Roman" w:hAnsi="Times New Roman"/>
        </w:rPr>
        <w:t>us to target the most challenging cases with an additional incentive for the school coordinator or principal.</w:t>
      </w:r>
    </w:p>
    <w:p w14:paraId="4907EDA0" w14:textId="39371A6C" w:rsidR="00A456F7" w:rsidRPr="008768FC" w:rsidRDefault="00A456F7" w:rsidP="00490A41">
      <w:pPr>
        <w:pStyle w:val="ListParagraph"/>
        <w:widowControl w:val="0"/>
        <w:numPr>
          <w:ilvl w:val="0"/>
          <w:numId w:val="19"/>
        </w:numPr>
        <w:spacing w:after="120" w:line="240" w:lineRule="auto"/>
        <w:rPr>
          <w:rFonts w:ascii="Times New Roman" w:hAnsi="Times New Roman"/>
          <w:b/>
          <w:i/>
          <w:szCs w:val="24"/>
        </w:rPr>
      </w:pPr>
      <w:r w:rsidRPr="0074330A">
        <w:rPr>
          <w:rFonts w:ascii="Times New Roman" w:hAnsi="Times New Roman"/>
          <w:b/>
          <w:i/>
          <w:szCs w:val="24"/>
        </w:rPr>
        <w:t>Testing the use of incentives as part of a contingency plan.</w:t>
      </w:r>
      <w:r w:rsidR="001F4E34" w:rsidRPr="0074330A">
        <w:rPr>
          <w:rFonts w:ascii="Times New Roman" w:hAnsi="Times New Roman"/>
          <w:b/>
          <w:i/>
          <w:szCs w:val="24"/>
        </w:rPr>
        <w:t xml:space="preserve"> </w:t>
      </w:r>
      <w:r w:rsidR="001F4E34" w:rsidRPr="0074330A">
        <w:rPr>
          <w:rFonts w:ascii="Times New Roman" w:hAnsi="Times New Roman"/>
        </w:rPr>
        <w:t>NTPS</w:t>
      </w:r>
      <w:r w:rsidR="00CC7046" w:rsidRPr="0074330A">
        <w:rPr>
          <w:rFonts w:ascii="Times New Roman" w:hAnsi="Times New Roman"/>
        </w:rPr>
        <w:t xml:space="preserve"> 2017-18</w:t>
      </w:r>
      <w:r w:rsidR="001F4E34" w:rsidRPr="0074330A">
        <w:rPr>
          <w:rFonts w:ascii="Times New Roman" w:hAnsi="Times New Roman"/>
        </w:rPr>
        <w:t xml:space="preserve"> experimented with offering an incentive to teachers if they belonged to a domain that was </w:t>
      </w:r>
      <w:r w:rsidR="00072108" w:rsidRPr="008768FC">
        <w:rPr>
          <w:rFonts w:ascii="Times New Roman" w:hAnsi="Times New Roman"/>
        </w:rPr>
        <w:t xml:space="preserve">determined to be </w:t>
      </w:r>
      <w:r w:rsidR="001F4E34" w:rsidRPr="0074330A">
        <w:rPr>
          <w:rFonts w:ascii="Times New Roman" w:hAnsi="Times New Roman"/>
        </w:rPr>
        <w:t>‘at-risk’ of not meeting NCES reporting</w:t>
      </w:r>
      <w:r w:rsidR="00072108">
        <w:rPr>
          <w:rFonts w:ascii="Times New Roman" w:hAnsi="Times New Roman"/>
        </w:rPr>
        <w:t xml:space="preserve">, or </w:t>
      </w:r>
      <w:r w:rsidR="00072108" w:rsidRPr="008768FC">
        <w:rPr>
          <w:rFonts w:ascii="Times New Roman" w:hAnsi="Times New Roman"/>
        </w:rPr>
        <w:t>publishability</w:t>
      </w:r>
      <w:r w:rsidR="00072108">
        <w:rPr>
          <w:rFonts w:ascii="Times New Roman" w:hAnsi="Times New Roman"/>
        </w:rPr>
        <w:t>,</w:t>
      </w:r>
      <w:r w:rsidR="001F4E34" w:rsidRPr="0074330A">
        <w:rPr>
          <w:rFonts w:ascii="Times New Roman" w:hAnsi="Times New Roman"/>
        </w:rPr>
        <w:t xml:space="preserve"> standards towards the end of data collection</w:t>
      </w:r>
      <w:r w:rsidR="00072108">
        <w:rPr>
          <w:rFonts w:ascii="Times New Roman" w:hAnsi="Times New Roman"/>
        </w:rPr>
        <w:t xml:space="preserve"> (</w:t>
      </w:r>
      <w:r w:rsidR="00072108" w:rsidRPr="008768FC">
        <w:rPr>
          <w:rFonts w:ascii="Times New Roman" w:hAnsi="Times New Roman"/>
        </w:rPr>
        <w:t>by</w:t>
      </w:r>
      <w:r w:rsidR="00072108" w:rsidRPr="008768FC">
        <w:rPr>
          <w:rFonts w:ascii="Times New Roman" w:hAnsi="Times New Roman"/>
          <w:color w:val="000000" w:themeColor="text1"/>
        </w:rPr>
        <w:t xml:space="preserve"> February 12, 2018</w:t>
      </w:r>
      <w:r w:rsidR="00072108">
        <w:rPr>
          <w:rFonts w:ascii="Times New Roman" w:hAnsi="Times New Roman"/>
        </w:rPr>
        <w:t>)</w:t>
      </w:r>
      <w:r w:rsidR="001F4E34" w:rsidRPr="0074330A">
        <w:rPr>
          <w:rFonts w:ascii="Times New Roman" w:hAnsi="Times New Roman"/>
        </w:rPr>
        <w:t xml:space="preserve">. </w:t>
      </w:r>
      <w:r w:rsidR="00072108" w:rsidRPr="008768FC">
        <w:rPr>
          <w:rFonts w:ascii="Times New Roman" w:hAnsi="Times New Roman"/>
        </w:rPr>
        <w:t>NCES monitored actual and expected response in each of the key domains on a weekly basis</w:t>
      </w:r>
      <w:r w:rsidR="00072108">
        <w:rPr>
          <w:rFonts w:ascii="Times New Roman" w:hAnsi="Times New Roman"/>
        </w:rPr>
        <w:t>. T</w:t>
      </w:r>
      <w:r w:rsidR="00CC7046" w:rsidRPr="0074330A">
        <w:rPr>
          <w:rFonts w:ascii="Times New Roman" w:hAnsi="Times New Roman"/>
        </w:rPr>
        <w:t xml:space="preserve">he </w:t>
      </w:r>
      <w:r w:rsidR="00490A41" w:rsidRPr="00490A41">
        <w:rPr>
          <w:rFonts w:ascii="Times New Roman" w:hAnsi="Times New Roman"/>
        </w:rPr>
        <w:t xml:space="preserve">contingency </w:t>
      </w:r>
      <w:r w:rsidR="00CC7046" w:rsidRPr="008768FC">
        <w:rPr>
          <w:rFonts w:ascii="Times New Roman" w:hAnsi="Times New Roman"/>
        </w:rPr>
        <w:t xml:space="preserve">plan was to </w:t>
      </w:r>
      <w:r w:rsidR="00072108">
        <w:rPr>
          <w:rFonts w:ascii="Times New Roman" w:hAnsi="Times New Roman"/>
        </w:rPr>
        <w:t xml:space="preserve">be </w:t>
      </w:r>
      <w:r w:rsidR="00CC7046" w:rsidRPr="008768FC">
        <w:rPr>
          <w:rFonts w:ascii="Times New Roman" w:hAnsi="Times New Roman"/>
        </w:rPr>
        <w:t>activate</w:t>
      </w:r>
      <w:r w:rsidR="00072108">
        <w:rPr>
          <w:rFonts w:ascii="Times New Roman" w:hAnsi="Times New Roman"/>
        </w:rPr>
        <w:t>d</w:t>
      </w:r>
      <w:r w:rsidR="00CC7046" w:rsidRPr="008768FC">
        <w:rPr>
          <w:rFonts w:ascii="Times New Roman" w:hAnsi="Times New Roman"/>
        </w:rPr>
        <w:t xml:space="preserve"> </w:t>
      </w:r>
      <w:r w:rsidR="00072108">
        <w:rPr>
          <w:rFonts w:ascii="Times New Roman" w:hAnsi="Times New Roman"/>
        </w:rPr>
        <w:t xml:space="preserve">in the experimental group only </w:t>
      </w:r>
      <w:r w:rsidR="00CC7046" w:rsidRPr="008768FC">
        <w:rPr>
          <w:rFonts w:ascii="Times New Roman" w:hAnsi="Times New Roman"/>
        </w:rPr>
        <w:t>if needed</w:t>
      </w:r>
      <w:r w:rsidR="00072108">
        <w:rPr>
          <w:rFonts w:ascii="Times New Roman" w:hAnsi="Times New Roman"/>
        </w:rPr>
        <w:t xml:space="preserve"> and, b</w:t>
      </w:r>
      <w:r w:rsidR="00E602A3" w:rsidRPr="008768FC">
        <w:rPr>
          <w:rFonts w:ascii="Times New Roman" w:hAnsi="Times New Roman"/>
          <w:color w:val="000000" w:themeColor="text1"/>
        </w:rPr>
        <w:t xml:space="preserve">ased on publishability reports, </w:t>
      </w:r>
      <w:r w:rsidR="00072108">
        <w:rPr>
          <w:rFonts w:ascii="Times New Roman" w:hAnsi="Times New Roman"/>
          <w:color w:val="000000" w:themeColor="text1"/>
        </w:rPr>
        <w:t>it was deemed needed and</w:t>
      </w:r>
      <w:r w:rsidR="00E602A3" w:rsidRPr="008768FC">
        <w:rPr>
          <w:rFonts w:ascii="Times New Roman" w:hAnsi="Times New Roman"/>
          <w:color w:val="000000" w:themeColor="text1"/>
        </w:rPr>
        <w:t xml:space="preserve"> was activated</w:t>
      </w:r>
      <w:r w:rsidR="00CC7046" w:rsidRPr="008768FC">
        <w:rPr>
          <w:rFonts w:ascii="Times New Roman" w:hAnsi="Times New Roman"/>
          <w:color w:val="000000" w:themeColor="text1"/>
        </w:rPr>
        <w:t>.</w:t>
      </w:r>
      <w:r w:rsidR="001F4E34" w:rsidRPr="008768FC">
        <w:rPr>
          <w:rFonts w:ascii="Times New Roman" w:hAnsi="Times New Roman"/>
        </w:rPr>
        <w:t xml:space="preserve"> </w:t>
      </w:r>
      <w:r w:rsidR="00072108">
        <w:rPr>
          <w:rFonts w:ascii="Times New Roman" w:hAnsi="Times New Roman"/>
        </w:rPr>
        <w:t>The</w:t>
      </w:r>
      <w:r w:rsidR="001F4E34" w:rsidRPr="008768FC">
        <w:rPr>
          <w:rFonts w:ascii="Times New Roman" w:hAnsi="Times New Roman"/>
        </w:rPr>
        <w:t xml:space="preserve"> control group </w:t>
      </w:r>
      <w:r w:rsidR="00490A41">
        <w:rPr>
          <w:rFonts w:ascii="Times New Roman" w:hAnsi="Times New Roman"/>
        </w:rPr>
        <w:t xml:space="preserve">was not eligible to </w:t>
      </w:r>
      <w:r w:rsidR="001F4E34" w:rsidRPr="008768FC">
        <w:rPr>
          <w:rFonts w:ascii="Times New Roman" w:hAnsi="Times New Roman"/>
        </w:rPr>
        <w:t xml:space="preserve">receive the </w:t>
      </w:r>
      <w:r w:rsidR="00490A41" w:rsidRPr="00490A41">
        <w:rPr>
          <w:rFonts w:ascii="Times New Roman" w:hAnsi="Times New Roman"/>
        </w:rPr>
        <w:t xml:space="preserve">contingency </w:t>
      </w:r>
      <w:r w:rsidR="001F4E34" w:rsidRPr="008768FC">
        <w:rPr>
          <w:rFonts w:ascii="Times New Roman" w:hAnsi="Times New Roman"/>
        </w:rPr>
        <w:t>incentive.</w:t>
      </w:r>
      <w:r w:rsidR="001F4E34" w:rsidRPr="008768FC">
        <w:rPr>
          <w:rFonts w:ascii="Times New Roman" w:hAnsi="Times New Roman"/>
          <w:color w:val="FF0000"/>
        </w:rPr>
        <w:t xml:space="preserve"> </w:t>
      </w:r>
      <w:r w:rsidR="001F4E34" w:rsidRPr="008768FC">
        <w:rPr>
          <w:rFonts w:ascii="Times New Roman" w:hAnsi="Times New Roman"/>
        </w:rPr>
        <w:t>While the plan</w:t>
      </w:r>
      <w:r w:rsidR="00E602A3" w:rsidRPr="008768FC">
        <w:rPr>
          <w:rFonts w:ascii="Times New Roman" w:hAnsi="Times New Roman"/>
        </w:rPr>
        <w:t xml:space="preserve"> was</w:t>
      </w:r>
      <w:r w:rsidR="001F4E34" w:rsidRPr="008768FC">
        <w:rPr>
          <w:rFonts w:ascii="Times New Roman" w:hAnsi="Times New Roman"/>
        </w:rPr>
        <w:t xml:space="preserve"> aimed at improving teacher response rates, because teachers within a school </w:t>
      </w:r>
      <w:r w:rsidR="00490A41">
        <w:rPr>
          <w:rFonts w:ascii="Times New Roman" w:hAnsi="Times New Roman"/>
        </w:rPr>
        <w:t xml:space="preserve">were likely </w:t>
      </w:r>
      <w:r w:rsidR="001F4E34" w:rsidRPr="008768FC">
        <w:rPr>
          <w:rFonts w:ascii="Times New Roman" w:hAnsi="Times New Roman"/>
        </w:rPr>
        <w:t>to discuss the study, schools</w:t>
      </w:r>
      <w:r w:rsidR="00CC7046" w:rsidRPr="008768FC">
        <w:rPr>
          <w:rFonts w:ascii="Times New Roman" w:hAnsi="Times New Roman"/>
        </w:rPr>
        <w:t xml:space="preserve"> were selected</w:t>
      </w:r>
      <w:r w:rsidR="001F4E34" w:rsidRPr="008768FC">
        <w:rPr>
          <w:rFonts w:ascii="Times New Roman" w:hAnsi="Times New Roman"/>
        </w:rPr>
        <w:t xml:space="preserve"> based on meeting criteria of the domain at risk and all teachers within the school </w:t>
      </w:r>
      <w:r w:rsidR="00E602A3" w:rsidRPr="008768FC">
        <w:rPr>
          <w:rFonts w:ascii="Times New Roman" w:hAnsi="Times New Roman"/>
        </w:rPr>
        <w:t xml:space="preserve">were </w:t>
      </w:r>
      <w:r w:rsidR="001F4E34" w:rsidRPr="008768FC">
        <w:rPr>
          <w:rFonts w:ascii="Times New Roman" w:hAnsi="Times New Roman"/>
        </w:rPr>
        <w:t>subject to the same treatment</w:t>
      </w:r>
      <w:r w:rsidR="00490A41">
        <w:rPr>
          <w:rFonts w:ascii="Times New Roman" w:hAnsi="Times New Roman"/>
        </w:rPr>
        <w:t xml:space="preserve"> (experimental or control)</w:t>
      </w:r>
      <w:r w:rsidR="001F4E34" w:rsidRPr="008768FC">
        <w:rPr>
          <w:rFonts w:ascii="Times New Roman" w:hAnsi="Times New Roman"/>
        </w:rPr>
        <w:t>. </w:t>
      </w:r>
      <w:r w:rsidR="00CC7046" w:rsidRPr="008768FC">
        <w:rPr>
          <w:rFonts w:ascii="Times New Roman" w:hAnsi="Times New Roman"/>
        </w:rPr>
        <w:t>Th</w:t>
      </w:r>
      <w:r w:rsidR="00490A41">
        <w:rPr>
          <w:rFonts w:ascii="Times New Roman" w:hAnsi="Times New Roman"/>
        </w:rPr>
        <w:t>is approach was based on th</w:t>
      </w:r>
      <w:r w:rsidR="00CC7046" w:rsidRPr="008768FC">
        <w:rPr>
          <w:rFonts w:ascii="Times New Roman" w:hAnsi="Times New Roman"/>
        </w:rPr>
        <w:t xml:space="preserve">e assumption that </w:t>
      </w:r>
      <w:r w:rsidR="001F4E34" w:rsidRPr="008768FC">
        <w:rPr>
          <w:rFonts w:ascii="Times New Roman" w:hAnsi="Times New Roman"/>
        </w:rPr>
        <w:t xml:space="preserve">if some teachers in the school </w:t>
      </w:r>
      <w:r w:rsidR="00CC7046" w:rsidRPr="008768FC">
        <w:rPr>
          <w:rFonts w:ascii="Times New Roman" w:hAnsi="Times New Roman"/>
        </w:rPr>
        <w:t>r</w:t>
      </w:r>
      <w:r w:rsidR="001F4E34" w:rsidRPr="008768FC">
        <w:rPr>
          <w:rFonts w:ascii="Times New Roman" w:hAnsi="Times New Roman"/>
        </w:rPr>
        <w:t>eceive</w:t>
      </w:r>
      <w:r w:rsidR="00CC7046" w:rsidRPr="008768FC">
        <w:rPr>
          <w:rFonts w:ascii="Times New Roman" w:hAnsi="Times New Roman"/>
        </w:rPr>
        <w:t>d</w:t>
      </w:r>
      <w:r w:rsidR="001F4E34" w:rsidRPr="008768FC">
        <w:rPr>
          <w:rFonts w:ascii="Times New Roman" w:hAnsi="Times New Roman"/>
        </w:rPr>
        <w:t xml:space="preserve"> an incentive and others</w:t>
      </w:r>
      <w:r w:rsidR="00CC7046" w:rsidRPr="008768FC">
        <w:rPr>
          <w:rFonts w:ascii="Times New Roman" w:hAnsi="Times New Roman"/>
        </w:rPr>
        <w:t xml:space="preserve"> did</w:t>
      </w:r>
      <w:r w:rsidR="001F4E34" w:rsidRPr="008768FC">
        <w:rPr>
          <w:rFonts w:ascii="Times New Roman" w:hAnsi="Times New Roman"/>
        </w:rPr>
        <w:t xml:space="preserve"> not, it would</w:t>
      </w:r>
      <w:r w:rsidR="00E602A3" w:rsidRPr="008768FC">
        <w:rPr>
          <w:rFonts w:ascii="Times New Roman" w:hAnsi="Times New Roman"/>
        </w:rPr>
        <w:t xml:space="preserve"> </w:t>
      </w:r>
      <w:r w:rsidR="001F4E34" w:rsidRPr="008768FC">
        <w:rPr>
          <w:rFonts w:ascii="Times New Roman" w:hAnsi="Times New Roman"/>
        </w:rPr>
        <w:t>negatively impact current and future response from that school. </w:t>
      </w:r>
      <w:r w:rsidR="00FC46A5" w:rsidRPr="008768FC">
        <w:rPr>
          <w:rFonts w:ascii="Times New Roman" w:hAnsi="Times New Roman"/>
        </w:rPr>
        <w:t>A</w:t>
      </w:r>
      <w:r w:rsidR="001F4E34" w:rsidRPr="008768FC">
        <w:rPr>
          <w:rFonts w:ascii="Times New Roman" w:hAnsi="Times New Roman"/>
        </w:rPr>
        <w:t>t the time the incentive</w:t>
      </w:r>
      <w:r w:rsidR="00E602A3" w:rsidRPr="008768FC">
        <w:rPr>
          <w:rFonts w:ascii="Times New Roman" w:hAnsi="Times New Roman"/>
        </w:rPr>
        <w:t xml:space="preserve"> was</w:t>
      </w:r>
      <w:r w:rsidR="001F4E34" w:rsidRPr="008768FC">
        <w:rPr>
          <w:rFonts w:ascii="Times New Roman" w:hAnsi="Times New Roman"/>
        </w:rPr>
        <w:t xml:space="preserve"> activated, some teachers at the school </w:t>
      </w:r>
      <w:r w:rsidR="00490A41">
        <w:rPr>
          <w:rFonts w:ascii="Times New Roman" w:hAnsi="Times New Roman"/>
        </w:rPr>
        <w:t>have already responded to NTPS – such</w:t>
      </w:r>
      <w:r w:rsidR="001F4E34" w:rsidRPr="008768FC">
        <w:rPr>
          <w:rFonts w:ascii="Times New Roman" w:hAnsi="Times New Roman"/>
        </w:rPr>
        <w:t xml:space="preserve"> teachers</w:t>
      </w:r>
      <w:r w:rsidR="00490A41">
        <w:rPr>
          <w:rFonts w:ascii="Times New Roman" w:hAnsi="Times New Roman"/>
        </w:rPr>
        <w:t xml:space="preserve">, if </w:t>
      </w:r>
      <w:r w:rsidR="0074330A" w:rsidRPr="008768FC">
        <w:rPr>
          <w:rFonts w:ascii="Times New Roman" w:hAnsi="Times New Roman"/>
        </w:rPr>
        <w:t xml:space="preserve">assigned to the </w:t>
      </w:r>
      <w:r w:rsidR="001F4E34" w:rsidRPr="008768FC">
        <w:rPr>
          <w:rFonts w:ascii="Times New Roman" w:hAnsi="Times New Roman"/>
        </w:rPr>
        <w:t>contingency in</w:t>
      </w:r>
      <w:r w:rsidR="001F4E34" w:rsidRPr="008768FC">
        <w:rPr>
          <w:rFonts w:ascii="Times New Roman" w:hAnsi="Times New Roman"/>
          <w:color w:val="000000" w:themeColor="text1"/>
        </w:rPr>
        <w:t>centive</w:t>
      </w:r>
      <w:r w:rsidR="0074330A" w:rsidRPr="008768FC">
        <w:rPr>
          <w:rFonts w:ascii="Times New Roman" w:hAnsi="Times New Roman"/>
          <w:color w:val="000000" w:themeColor="text1"/>
        </w:rPr>
        <w:t xml:space="preserve"> treatment</w:t>
      </w:r>
      <w:r w:rsidR="00490A41">
        <w:rPr>
          <w:rFonts w:ascii="Times New Roman" w:hAnsi="Times New Roman"/>
          <w:color w:val="000000" w:themeColor="text1"/>
        </w:rPr>
        <w:t>,</w:t>
      </w:r>
      <w:r w:rsidR="0074330A" w:rsidRPr="008768FC">
        <w:rPr>
          <w:rFonts w:ascii="Times New Roman" w:hAnsi="Times New Roman"/>
          <w:color w:val="000000" w:themeColor="text1"/>
        </w:rPr>
        <w:t xml:space="preserve"> were provided the incentive as a “</w:t>
      </w:r>
      <w:r w:rsidR="001F4E34" w:rsidRPr="008768FC">
        <w:rPr>
          <w:rFonts w:ascii="Times New Roman" w:hAnsi="Times New Roman"/>
          <w:color w:val="000000" w:themeColor="text1"/>
        </w:rPr>
        <w:t>thank you</w:t>
      </w:r>
      <w:r w:rsidR="0074330A" w:rsidRPr="008768FC">
        <w:rPr>
          <w:rFonts w:ascii="Times New Roman" w:hAnsi="Times New Roman"/>
          <w:color w:val="000000" w:themeColor="text1"/>
        </w:rPr>
        <w:t>”</w:t>
      </w:r>
      <w:r w:rsidR="001F4E34" w:rsidRPr="008768FC">
        <w:rPr>
          <w:rFonts w:ascii="Times New Roman" w:hAnsi="Times New Roman"/>
          <w:color w:val="000000" w:themeColor="text1"/>
        </w:rPr>
        <w:t xml:space="preserve"> for their participation. For all other teachers in the school, the same incentive </w:t>
      </w:r>
      <w:r w:rsidR="00E602A3" w:rsidRPr="008768FC">
        <w:rPr>
          <w:rFonts w:ascii="Times New Roman" w:hAnsi="Times New Roman"/>
          <w:color w:val="000000" w:themeColor="text1"/>
        </w:rPr>
        <w:t>was</w:t>
      </w:r>
      <w:r w:rsidR="001F4E34" w:rsidRPr="008768FC">
        <w:rPr>
          <w:rFonts w:ascii="Times New Roman" w:hAnsi="Times New Roman"/>
          <w:color w:val="000000" w:themeColor="text1"/>
        </w:rPr>
        <w:t xml:space="preserve"> </w:t>
      </w:r>
      <w:r w:rsidR="0074330A" w:rsidRPr="008768FC">
        <w:rPr>
          <w:rFonts w:ascii="Times New Roman" w:hAnsi="Times New Roman"/>
          <w:color w:val="000000" w:themeColor="text1"/>
        </w:rPr>
        <w:t>prepaid</w:t>
      </w:r>
      <w:r w:rsidR="001F4E34" w:rsidRPr="008768FC">
        <w:rPr>
          <w:rFonts w:ascii="Times New Roman" w:hAnsi="Times New Roman"/>
          <w:color w:val="000000" w:themeColor="text1"/>
        </w:rPr>
        <w:t xml:space="preserve"> and not conditional on their response. Given that schools selected for the contingency plan incentive </w:t>
      </w:r>
      <w:r w:rsidR="00E602A3" w:rsidRPr="008768FC">
        <w:rPr>
          <w:rFonts w:ascii="Times New Roman" w:hAnsi="Times New Roman"/>
          <w:color w:val="000000" w:themeColor="text1"/>
        </w:rPr>
        <w:t>were</w:t>
      </w:r>
      <w:r w:rsidR="001F4E34" w:rsidRPr="008768FC">
        <w:rPr>
          <w:rFonts w:ascii="Times New Roman" w:hAnsi="Times New Roman"/>
          <w:color w:val="000000" w:themeColor="text1"/>
        </w:rPr>
        <w:t xml:space="preserve"> based on the number of teachers in the at-risk domain, selection for this </w:t>
      </w:r>
      <w:r w:rsidR="00E602A3" w:rsidRPr="008768FC">
        <w:rPr>
          <w:rFonts w:ascii="Times New Roman" w:hAnsi="Times New Roman"/>
          <w:color w:val="000000" w:themeColor="text1"/>
        </w:rPr>
        <w:t>incentive was</w:t>
      </w:r>
      <w:r w:rsidR="001F4E34" w:rsidRPr="008768FC">
        <w:rPr>
          <w:rFonts w:ascii="Times New Roman" w:hAnsi="Times New Roman"/>
          <w:color w:val="000000" w:themeColor="text1"/>
        </w:rPr>
        <w:t xml:space="preserve"> independent of the main NTPS incentive experiment. Consistent with the other </w:t>
      </w:r>
      <w:r w:rsidR="0074330A" w:rsidRPr="008768FC">
        <w:rPr>
          <w:rFonts w:ascii="Times New Roman" w:hAnsi="Times New Roman"/>
          <w:color w:val="000000" w:themeColor="text1"/>
        </w:rPr>
        <w:t>NTPS</w:t>
      </w:r>
      <w:r w:rsidR="001F4E34" w:rsidRPr="008768FC">
        <w:rPr>
          <w:rFonts w:ascii="Times New Roman" w:hAnsi="Times New Roman"/>
          <w:color w:val="000000" w:themeColor="text1"/>
        </w:rPr>
        <w:t xml:space="preserve"> </w:t>
      </w:r>
      <w:r w:rsidR="00490A41" w:rsidRPr="008768FC">
        <w:rPr>
          <w:rFonts w:ascii="Times New Roman" w:hAnsi="Times New Roman"/>
          <w:color w:val="000000" w:themeColor="text1"/>
        </w:rPr>
        <w:t xml:space="preserve">2017-18 </w:t>
      </w:r>
      <w:r w:rsidR="001F4E34" w:rsidRPr="008768FC">
        <w:rPr>
          <w:rFonts w:ascii="Times New Roman" w:hAnsi="Times New Roman"/>
          <w:color w:val="000000" w:themeColor="text1"/>
        </w:rPr>
        <w:t xml:space="preserve">procedures, the incentive amount </w:t>
      </w:r>
      <w:r w:rsidR="00E602A3" w:rsidRPr="008768FC">
        <w:rPr>
          <w:rFonts w:ascii="Times New Roman" w:hAnsi="Times New Roman"/>
          <w:color w:val="000000" w:themeColor="text1"/>
        </w:rPr>
        <w:t>varied</w:t>
      </w:r>
      <w:r w:rsidR="001F4E34" w:rsidRPr="008768FC">
        <w:rPr>
          <w:rFonts w:ascii="Times New Roman" w:hAnsi="Times New Roman"/>
          <w:color w:val="000000" w:themeColor="text1"/>
        </w:rPr>
        <w:t xml:space="preserve"> between priority and non-priority schools. Teachers in selected non-priority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$10 with their third mail-out or thank-you letter, and teachers in selected priority schools receive</w:t>
      </w:r>
      <w:r w:rsidR="00E602A3" w:rsidRPr="008768FC">
        <w:rPr>
          <w:rFonts w:ascii="Times New Roman" w:hAnsi="Times New Roman"/>
          <w:color w:val="000000" w:themeColor="text1"/>
        </w:rPr>
        <w:t>d</w:t>
      </w:r>
      <w:r w:rsidR="001F4E34" w:rsidRPr="008768FC">
        <w:rPr>
          <w:rFonts w:ascii="Times New Roman" w:hAnsi="Times New Roman"/>
          <w:color w:val="000000" w:themeColor="text1"/>
        </w:rPr>
        <w:t xml:space="preserve"> $20 with their third mail-out or thank-you letter.</w:t>
      </w:r>
    </w:p>
    <w:p w14:paraId="63DF9302" w14:textId="69663E8D" w:rsidR="00652E63" w:rsidRDefault="00A456F7" w:rsidP="007D4EB8">
      <w:pPr>
        <w:pStyle w:val="L1-FlLSp12"/>
        <w:numPr>
          <w:ilvl w:val="0"/>
          <w:numId w:val="19"/>
        </w:numPr>
        <w:spacing w:after="120" w:line="240" w:lineRule="auto"/>
        <w:rPr>
          <w:rFonts w:ascii="Times New Roman" w:hAnsi="Times New Roman"/>
          <w:szCs w:val="24"/>
        </w:rPr>
      </w:pPr>
      <w:r w:rsidRPr="008768FC">
        <w:rPr>
          <w:rFonts w:ascii="Times New Roman" w:hAnsi="Times New Roman"/>
          <w:b/>
          <w:i/>
          <w:szCs w:val="24"/>
        </w:rPr>
        <w:t>Private School Test</w:t>
      </w:r>
      <w:r w:rsidR="00D90B46" w:rsidRPr="008768FC">
        <w:rPr>
          <w:rFonts w:ascii="Times New Roman" w:hAnsi="Times New Roman"/>
          <w:szCs w:val="24"/>
        </w:rPr>
        <w:t xml:space="preserve">. </w:t>
      </w:r>
      <w:r w:rsidR="009244FA">
        <w:rPr>
          <w:rFonts w:ascii="Times New Roman" w:hAnsi="Times New Roman"/>
          <w:szCs w:val="24"/>
        </w:rPr>
        <w:t>In</w:t>
      </w:r>
      <w:r w:rsidR="00D90B46" w:rsidRPr="008768FC">
        <w:rPr>
          <w:rFonts w:ascii="Times New Roman" w:hAnsi="Times New Roman"/>
          <w:szCs w:val="24"/>
        </w:rPr>
        <w:t xml:space="preserve"> </w:t>
      </w:r>
      <w:r w:rsidR="009244FA" w:rsidRPr="008768FC">
        <w:rPr>
          <w:rFonts w:ascii="Times New Roman" w:hAnsi="Times New Roman"/>
          <w:szCs w:val="24"/>
        </w:rPr>
        <w:t xml:space="preserve">NTPS </w:t>
      </w:r>
      <w:r w:rsidR="00D90B46" w:rsidRPr="008768FC">
        <w:rPr>
          <w:rFonts w:ascii="Times New Roman" w:hAnsi="Times New Roman"/>
          <w:szCs w:val="24"/>
        </w:rPr>
        <w:t>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w:t>
      </w:r>
      <w:r w:rsidR="00EC3194">
        <w:rPr>
          <w:rFonts w:ascii="Times New Roman" w:hAnsi="Times New Roman"/>
          <w:szCs w:val="24"/>
        </w:rPr>
        <w:t xml:space="preserve"> Preliminary results indicate that the private school data collected during NTPS 2017-18 will yield publishable estimates; however, </w:t>
      </w:r>
      <w:r w:rsidR="009244FA">
        <w:rPr>
          <w:rFonts w:ascii="Times New Roman" w:hAnsi="Times New Roman"/>
          <w:szCs w:val="24"/>
        </w:rPr>
        <w:t xml:space="preserve">our evaluation of </w:t>
      </w:r>
      <w:r w:rsidR="00EC3194">
        <w:rPr>
          <w:rFonts w:ascii="Times New Roman" w:hAnsi="Times New Roman"/>
          <w:szCs w:val="24"/>
        </w:rPr>
        <w:t xml:space="preserve">the data will </w:t>
      </w:r>
      <w:r w:rsidR="009244FA">
        <w:rPr>
          <w:rFonts w:ascii="Times New Roman" w:hAnsi="Times New Roman"/>
          <w:szCs w:val="24"/>
        </w:rPr>
        <w:t xml:space="preserve">not </w:t>
      </w:r>
      <w:r w:rsidR="00EC3194">
        <w:rPr>
          <w:rFonts w:ascii="Times New Roman" w:hAnsi="Times New Roman"/>
          <w:szCs w:val="24"/>
        </w:rPr>
        <w:t>be complete</w:t>
      </w:r>
      <w:r w:rsidR="009244FA">
        <w:rPr>
          <w:rFonts w:ascii="Times New Roman" w:hAnsi="Times New Roman"/>
          <w:szCs w:val="24"/>
        </w:rPr>
        <w:t xml:space="preserve">d until after NTPS 2017-18 </w:t>
      </w:r>
      <w:r w:rsidR="00EC3194">
        <w:rPr>
          <w:rFonts w:ascii="Times New Roman" w:hAnsi="Times New Roman"/>
          <w:szCs w:val="24"/>
        </w:rPr>
        <w:t>data collection period ends.</w:t>
      </w:r>
      <w:r w:rsidR="009244FA">
        <w:rPr>
          <w:rFonts w:ascii="Times New Roman" w:hAnsi="Times New Roman"/>
          <w:szCs w:val="24"/>
        </w:rPr>
        <w:t xml:space="preserve"> The final results will be provided in the NTPS 2019-20 </w:t>
      </w:r>
      <w:r w:rsidR="006F14E8">
        <w:rPr>
          <w:rFonts w:ascii="Times New Roman" w:hAnsi="Times New Roman"/>
          <w:szCs w:val="24"/>
        </w:rPr>
        <w:t>Main Study</w:t>
      </w:r>
      <w:r w:rsidR="009244FA">
        <w:rPr>
          <w:rFonts w:ascii="Times New Roman" w:hAnsi="Times New Roman"/>
          <w:szCs w:val="24"/>
        </w:rPr>
        <w:t xml:space="preserve"> data collection submission in December 2018.</w:t>
      </w:r>
    </w:p>
    <w:p w14:paraId="31E20CDE" w14:textId="47D72F97" w:rsidR="00A456F7" w:rsidRPr="000F2141" w:rsidRDefault="00750A68" w:rsidP="009244FA">
      <w:pPr>
        <w:widowControl w:val="0"/>
        <w:spacing w:after="120" w:line="240" w:lineRule="auto"/>
        <w:rPr>
          <w:rFonts w:ascii="Times New Roman" w:hAnsi="Times New Roman"/>
          <w:i/>
          <w:szCs w:val="24"/>
        </w:rPr>
      </w:pPr>
      <w:r w:rsidRPr="008768FC">
        <w:rPr>
          <w:rFonts w:ascii="Times New Roman" w:hAnsi="Times New Roman"/>
          <w:b/>
          <w:i/>
          <w:szCs w:val="24"/>
        </w:rPr>
        <w:t>Coordinated special district oper</w:t>
      </w:r>
      <w:r w:rsidR="00176804" w:rsidRPr="008768FC">
        <w:rPr>
          <w:rFonts w:ascii="Times New Roman" w:hAnsi="Times New Roman"/>
          <w:b/>
          <w:i/>
          <w:szCs w:val="24"/>
        </w:rPr>
        <w:t>a</w:t>
      </w:r>
      <w:r w:rsidRPr="008768FC">
        <w:rPr>
          <w:rFonts w:ascii="Times New Roman" w:hAnsi="Times New Roman"/>
          <w:b/>
          <w:i/>
          <w:szCs w:val="24"/>
        </w:rPr>
        <w:t>t</w:t>
      </w:r>
      <w:r w:rsidR="00176804" w:rsidRPr="008768FC">
        <w:rPr>
          <w:rFonts w:ascii="Times New Roman" w:hAnsi="Times New Roman"/>
          <w:b/>
          <w:i/>
          <w:szCs w:val="24"/>
        </w:rPr>
        <w:t>i</w:t>
      </w:r>
      <w:r w:rsidRPr="008768FC">
        <w:rPr>
          <w:rFonts w:ascii="Times New Roman" w:hAnsi="Times New Roman"/>
          <w:b/>
          <w:i/>
          <w:szCs w:val="24"/>
        </w:rPr>
        <w:t>ons</w:t>
      </w:r>
      <w:r w:rsidR="00814928" w:rsidRPr="008768FC">
        <w:rPr>
          <w:rFonts w:ascii="Times New Roman" w:hAnsi="Times New Roman"/>
          <w:b/>
          <w:i/>
          <w:szCs w:val="24"/>
        </w:rPr>
        <w:t>.</w:t>
      </w:r>
      <w:r w:rsidR="00814928" w:rsidRPr="008768FC">
        <w:rPr>
          <w:rFonts w:ascii="Times New Roman" w:hAnsi="Times New Roman"/>
          <w:szCs w:val="24"/>
        </w:rPr>
        <w:t xml:space="preserve"> </w:t>
      </w:r>
      <w:r w:rsidR="00133768" w:rsidRPr="008768FC">
        <w:rPr>
          <w:rFonts w:ascii="Times New Roman" w:hAnsi="Times New Roman"/>
          <w:szCs w:val="24"/>
        </w:rPr>
        <w:t>NCES conducts several school-based studies within the NCES legislative mandate to report on the condition of education including</w:t>
      </w:r>
      <w:r w:rsidR="009244FA">
        <w:rPr>
          <w:rFonts w:ascii="Times New Roman" w:hAnsi="Times New Roman"/>
          <w:szCs w:val="24"/>
        </w:rPr>
        <w:t>, among others,</w:t>
      </w:r>
      <w:r w:rsidR="00133768" w:rsidRPr="008768FC">
        <w:rPr>
          <w:rFonts w:ascii="Times New Roman" w:hAnsi="Times New Roman"/>
          <w:szCs w:val="24"/>
        </w:rPr>
        <w:t xml:space="preserve"> NTPS, the Survey of School Crime and Safety (SSOCS), and the National Assessment of Educational Progress (NAEP). A critical step for data collection is </w:t>
      </w:r>
      <w:r w:rsidR="002C6984">
        <w:rPr>
          <w:rFonts w:ascii="Times New Roman" w:hAnsi="Times New Roman"/>
          <w:szCs w:val="24"/>
        </w:rPr>
        <w:t xml:space="preserve">to </w:t>
      </w:r>
      <w:r w:rsidR="00133768" w:rsidRPr="008768FC">
        <w:rPr>
          <w:rFonts w:ascii="Times New Roman" w:hAnsi="Times New Roman"/>
          <w:szCs w:val="24"/>
        </w:rPr>
        <w:t xml:space="preserve">obtain approval from public school districts that require </w:t>
      </w:r>
      <w:r w:rsidR="002C6984">
        <w:rPr>
          <w:rFonts w:ascii="Times New Roman" w:hAnsi="Times New Roman"/>
          <w:szCs w:val="24"/>
        </w:rPr>
        <w:t xml:space="preserve">it before a study can be </w:t>
      </w:r>
      <w:r w:rsidR="00133768" w:rsidRPr="008768FC">
        <w:rPr>
          <w:rFonts w:ascii="Times New Roman" w:hAnsi="Times New Roman"/>
          <w:szCs w:val="24"/>
        </w:rPr>
        <w:t>conduct</w:t>
      </w:r>
      <w:r w:rsidR="002C6984">
        <w:rPr>
          <w:rFonts w:ascii="Times New Roman" w:hAnsi="Times New Roman"/>
          <w:szCs w:val="24"/>
        </w:rPr>
        <w:t>ed</w:t>
      </w:r>
      <w:r w:rsidR="00133768" w:rsidRPr="008768FC">
        <w:rPr>
          <w:rFonts w:ascii="Times New Roman" w:hAnsi="Times New Roman"/>
          <w:szCs w:val="24"/>
        </w:rPr>
        <w:t xml:space="preserve"> with students, teachers, </w:t>
      </w:r>
      <w:r w:rsidR="002C6984">
        <w:rPr>
          <w:rFonts w:ascii="Times New Roman" w:hAnsi="Times New Roman"/>
          <w:szCs w:val="24"/>
        </w:rPr>
        <w:t xml:space="preserve">and/or </w:t>
      </w:r>
      <w:r w:rsidR="00133768" w:rsidRPr="008768FC">
        <w:rPr>
          <w:rFonts w:ascii="Times New Roman" w:hAnsi="Times New Roman"/>
          <w:szCs w:val="24"/>
        </w:rPr>
        <w:t xml:space="preserve">staff. The number of </w:t>
      </w:r>
      <w:r w:rsidR="002C6984">
        <w:rPr>
          <w:rFonts w:ascii="Times New Roman" w:hAnsi="Times New Roman"/>
          <w:szCs w:val="24"/>
        </w:rPr>
        <w:t>such</w:t>
      </w:r>
      <w:r w:rsidR="00133768" w:rsidRPr="008768FC">
        <w:rPr>
          <w:rFonts w:ascii="Times New Roman" w:hAnsi="Times New Roman"/>
          <w:szCs w:val="24"/>
        </w:rPr>
        <w:t xml:space="preserve">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w:t>
      </w:r>
      <w:r w:rsidR="002C6984">
        <w:rPr>
          <w:rFonts w:ascii="Times New Roman" w:hAnsi="Times New Roman"/>
          <w:szCs w:val="24"/>
        </w:rPr>
        <w:t xml:space="preserve">continues to examine </w:t>
      </w:r>
      <w:r w:rsidR="00133768" w:rsidRPr="008768FC">
        <w:rPr>
          <w:rFonts w:ascii="Times New Roman" w:hAnsi="Times New Roman"/>
          <w:szCs w:val="24"/>
        </w:rPr>
        <w:t xml:space="preserve">how different program areas, both within NCES and in other federal agencies, seek approval from PreK-12 public districts and schools in order to identify best practices and make recommendations for </w:t>
      </w:r>
      <w:r w:rsidR="002C6984">
        <w:rPr>
          <w:rFonts w:ascii="Times New Roman" w:hAnsi="Times New Roman"/>
          <w:szCs w:val="24"/>
        </w:rPr>
        <w:t xml:space="preserve">current and </w:t>
      </w:r>
      <w:r w:rsidR="00133768" w:rsidRPr="008768FC">
        <w:rPr>
          <w:rFonts w:ascii="Times New Roman" w:hAnsi="Times New Roman"/>
          <w:szCs w:val="24"/>
        </w:rPr>
        <w:t>future operations</w:t>
      </w:r>
      <w:r w:rsidR="002C6984">
        <w:rPr>
          <w:rFonts w:ascii="Times New Roman" w:hAnsi="Times New Roman"/>
          <w:szCs w:val="24"/>
        </w:rPr>
        <w:t xml:space="preserve">, including </w:t>
      </w:r>
      <w:r w:rsidR="00133768" w:rsidRPr="008768FC">
        <w:rPr>
          <w:rFonts w:ascii="Times New Roman" w:hAnsi="Times New Roman"/>
          <w:szCs w:val="24"/>
        </w:rPr>
        <w:t>the for NTPS 2019-20.</w:t>
      </w:r>
    </w:p>
    <w:p w14:paraId="701A9836" w14:textId="4EF43380" w:rsidR="005F19A8" w:rsidRPr="00F34DCF" w:rsidRDefault="005F19A8" w:rsidP="007D4EB8">
      <w:pPr>
        <w:pStyle w:val="Heading2"/>
        <w:spacing w:after="120" w:line="240" w:lineRule="auto"/>
        <w:rPr>
          <w:rFonts w:ascii="Times New Roman" w:hAnsi="Times New Roman"/>
          <w:color w:val="auto"/>
          <w:sz w:val="24"/>
          <w:szCs w:val="24"/>
        </w:rPr>
      </w:pPr>
      <w:bookmarkStart w:id="86" w:name="_Toc468187466"/>
      <w:bookmarkStart w:id="87" w:name="_Toc518587636"/>
      <w:r w:rsidRPr="00F34DCF">
        <w:rPr>
          <w:rFonts w:ascii="Times New Roman" w:hAnsi="Times New Roman"/>
          <w:color w:val="auto"/>
          <w:sz w:val="24"/>
          <w:szCs w:val="24"/>
        </w:rPr>
        <w:t>B.4.2</w:t>
      </w:r>
      <w:r w:rsidRPr="00F34DCF">
        <w:rPr>
          <w:rFonts w:ascii="Times New Roman" w:hAnsi="Times New Roman"/>
          <w:color w:val="auto"/>
          <w:sz w:val="24"/>
          <w:szCs w:val="24"/>
        </w:rPr>
        <w:tab/>
        <w:t xml:space="preserve">Tests Included in the Design of NTPS </w:t>
      </w:r>
      <w:r w:rsidR="000F2141" w:rsidRPr="00F34DCF">
        <w:rPr>
          <w:rFonts w:ascii="Times New Roman" w:hAnsi="Times New Roman"/>
          <w:color w:val="auto"/>
          <w:sz w:val="24"/>
          <w:szCs w:val="24"/>
        </w:rPr>
        <w:t>2019-20</w:t>
      </w:r>
      <w:bookmarkEnd w:id="86"/>
      <w:bookmarkEnd w:id="87"/>
    </w:p>
    <w:p w14:paraId="6243FF88" w14:textId="04C0E5EE" w:rsidR="00F34DCF" w:rsidRPr="00F34DCF" w:rsidRDefault="008749D5" w:rsidP="00F34DCF">
      <w:pPr>
        <w:pStyle w:val="L1-FlLSp12"/>
        <w:widowControl w:val="0"/>
        <w:spacing w:after="120" w:line="240" w:lineRule="auto"/>
        <w:rPr>
          <w:rFonts w:ascii="Times New Roman" w:hAnsi="Times New Roman"/>
          <w:szCs w:val="24"/>
        </w:rPr>
      </w:pPr>
      <w:r w:rsidRPr="00F34DCF">
        <w:rPr>
          <w:rFonts w:ascii="Times New Roman" w:hAnsi="Times New Roman"/>
          <w:szCs w:val="24"/>
        </w:rPr>
        <w:t>NCES is currently considering options for tests of methods, materials, and procedures to be conducted as part</w:t>
      </w:r>
      <w:r w:rsidR="00853EDB" w:rsidRPr="00F34DCF">
        <w:rPr>
          <w:rFonts w:ascii="Times New Roman" w:hAnsi="Times New Roman"/>
          <w:szCs w:val="24"/>
        </w:rPr>
        <w:t xml:space="preserve"> of NTPS </w:t>
      </w:r>
      <w:r w:rsidR="000F2141" w:rsidRPr="00F34DCF">
        <w:rPr>
          <w:rFonts w:ascii="Times New Roman" w:hAnsi="Times New Roman"/>
          <w:szCs w:val="24"/>
        </w:rPr>
        <w:t>2019-20</w:t>
      </w:r>
      <w:r w:rsidR="00FD2491" w:rsidRPr="00F34DCF">
        <w:rPr>
          <w:rFonts w:ascii="Times New Roman" w:hAnsi="Times New Roman"/>
          <w:szCs w:val="24"/>
        </w:rPr>
        <w:t>.</w:t>
      </w:r>
      <w:r w:rsidR="00F34DCF">
        <w:rPr>
          <w:rFonts w:ascii="Times New Roman" w:hAnsi="Times New Roman"/>
          <w:szCs w:val="24"/>
        </w:rPr>
        <w:t xml:space="preserve"> NTPS 2019-20 is still in the planning stages, and a description of all data collection operations and tests</w:t>
      </w:r>
      <w:r w:rsidR="009C7958">
        <w:rPr>
          <w:rFonts w:ascii="Times New Roman" w:hAnsi="Times New Roman"/>
          <w:szCs w:val="24"/>
        </w:rPr>
        <w:t>, including those listed below,</w:t>
      </w:r>
      <w:r w:rsidR="00F34DCF">
        <w:rPr>
          <w:rFonts w:ascii="Times New Roman" w:hAnsi="Times New Roman"/>
          <w:szCs w:val="24"/>
        </w:rPr>
        <w:t xml:space="preserve"> will be provided in the </w:t>
      </w:r>
      <w:r w:rsidR="0072488E" w:rsidRPr="00E407C6">
        <w:rPr>
          <w:rFonts w:ascii="Times New Roman" w:hAnsi="Times New Roman"/>
          <w:szCs w:val="24"/>
        </w:rPr>
        <w:t xml:space="preserve">NTPS </w:t>
      </w:r>
      <w:r w:rsidR="0072488E">
        <w:rPr>
          <w:rFonts w:ascii="Times New Roman" w:hAnsi="Times New Roman"/>
          <w:szCs w:val="24"/>
        </w:rPr>
        <w:t>2019-20</w:t>
      </w:r>
      <w:r w:rsidR="0072488E" w:rsidRPr="00E407C6">
        <w:rPr>
          <w:rFonts w:ascii="Times New Roman" w:hAnsi="Times New Roman"/>
          <w:szCs w:val="24"/>
        </w:rPr>
        <w:t xml:space="preserve"> </w:t>
      </w:r>
      <w:r w:rsidR="006F14E8">
        <w:rPr>
          <w:rFonts w:ascii="Times New Roman" w:hAnsi="Times New Roman"/>
          <w:szCs w:val="24"/>
        </w:rPr>
        <w:t>Main Study</w:t>
      </w:r>
      <w:r w:rsidR="0072488E">
        <w:rPr>
          <w:rFonts w:ascii="Times New Roman" w:hAnsi="Times New Roman"/>
          <w:szCs w:val="24"/>
        </w:rPr>
        <w:t xml:space="preserve"> </w:t>
      </w:r>
      <w:r w:rsidR="009C7958">
        <w:rPr>
          <w:rFonts w:ascii="Times New Roman" w:hAnsi="Times New Roman"/>
          <w:szCs w:val="24"/>
        </w:rPr>
        <w:t xml:space="preserve">data collection </w:t>
      </w:r>
      <w:r w:rsidR="0072488E">
        <w:rPr>
          <w:rFonts w:ascii="Times New Roman" w:hAnsi="Times New Roman"/>
          <w:szCs w:val="24"/>
        </w:rPr>
        <w:t>submission</w:t>
      </w:r>
      <w:r w:rsidR="009C7958">
        <w:rPr>
          <w:rFonts w:ascii="Times New Roman" w:hAnsi="Times New Roman"/>
          <w:szCs w:val="24"/>
        </w:rPr>
        <w:t xml:space="preserve"> in December 2018</w:t>
      </w:r>
      <w:r w:rsidR="00F34DCF" w:rsidRPr="00E407C6">
        <w:rPr>
          <w:rFonts w:ascii="Times New Roman" w:hAnsi="Times New Roman"/>
          <w:szCs w:val="24"/>
        </w:rPr>
        <w:t>.</w:t>
      </w:r>
    </w:p>
    <w:p w14:paraId="0D141D85" w14:textId="77777777" w:rsidR="00652E63" w:rsidRDefault="00560DF4" w:rsidP="007D4EB8">
      <w:pPr>
        <w:pStyle w:val="L1-FlLSp12"/>
        <w:numPr>
          <w:ilvl w:val="0"/>
          <w:numId w:val="10"/>
        </w:numPr>
        <w:spacing w:after="120" w:line="240" w:lineRule="auto"/>
        <w:ind w:left="540" w:right="-43"/>
        <w:rPr>
          <w:rFonts w:ascii="Times New Roman" w:hAnsi="Times New Roman"/>
          <w:b/>
          <w:szCs w:val="24"/>
        </w:rPr>
      </w:pPr>
      <w:r>
        <w:rPr>
          <w:rFonts w:ascii="Times New Roman" w:hAnsi="Times New Roman"/>
          <w:b/>
          <w:i/>
          <w:szCs w:val="24"/>
        </w:rPr>
        <w:t>Further t</w:t>
      </w:r>
      <w:r w:rsidR="00145167" w:rsidRPr="00560DF4">
        <w:rPr>
          <w:rFonts w:ascii="Times New Roman" w:hAnsi="Times New Roman"/>
          <w:b/>
          <w:i/>
          <w:szCs w:val="24"/>
        </w:rPr>
        <w:t>esting the use of teacher incentives</w:t>
      </w:r>
      <w:r w:rsidR="00145167" w:rsidRPr="00560DF4">
        <w:rPr>
          <w:rFonts w:ascii="Times New Roman" w:hAnsi="Times New Roman"/>
          <w:b/>
          <w:szCs w:val="24"/>
        </w:rPr>
        <w:t>.</w:t>
      </w:r>
    </w:p>
    <w:p w14:paraId="5496D6F8" w14:textId="2A312E3F" w:rsidR="00560DF4" w:rsidRPr="00560DF4" w:rsidRDefault="00560DF4" w:rsidP="00560DF4">
      <w:pPr>
        <w:pStyle w:val="L1-FlLSp12"/>
        <w:spacing w:after="120" w:line="240" w:lineRule="auto"/>
        <w:ind w:left="540" w:right="-43"/>
        <w:rPr>
          <w:rFonts w:ascii="Times New Roman" w:hAnsi="Times New Roman"/>
          <w:szCs w:val="24"/>
        </w:rPr>
      </w:pPr>
      <w:r>
        <w:rPr>
          <w:rFonts w:ascii="Times New Roman" w:hAnsi="Times New Roman"/>
          <w:szCs w:val="24"/>
        </w:rPr>
        <w:t>For NTPS 2019-20, both non-monetary and monetary incentives are being considered as a tool to increase response rates.</w:t>
      </w:r>
      <w:r w:rsidRPr="00A2457E">
        <w:rPr>
          <w:rFonts w:ascii="Times New Roman" w:hAnsi="Times New Roman"/>
          <w:szCs w:val="24"/>
        </w:rPr>
        <w:t xml:space="preserve"> NTPS</w:t>
      </w:r>
      <w:r>
        <w:rPr>
          <w:rFonts w:ascii="Times New Roman" w:hAnsi="Times New Roman"/>
          <w:szCs w:val="24"/>
        </w:rPr>
        <w:t xml:space="preserve"> 2017-18</w:t>
      </w:r>
      <w:r w:rsidRPr="00A2457E">
        <w:rPr>
          <w:rFonts w:ascii="Times New Roman" w:hAnsi="Times New Roman"/>
          <w:szCs w:val="24"/>
        </w:rPr>
        <w:t xml:space="preserve"> include</w:t>
      </w:r>
      <w:r>
        <w:rPr>
          <w:rFonts w:ascii="Times New Roman" w:hAnsi="Times New Roman"/>
          <w:szCs w:val="24"/>
        </w:rPr>
        <w:t>d</w:t>
      </w:r>
      <w:r w:rsidRPr="00A2457E">
        <w:rPr>
          <w:rFonts w:ascii="Times New Roman" w:hAnsi="Times New Roman"/>
          <w:szCs w:val="24"/>
        </w:rPr>
        <w:t xml:space="preserve"> </w:t>
      </w:r>
      <w:r>
        <w:rPr>
          <w:rFonts w:ascii="Times New Roman" w:hAnsi="Times New Roman"/>
          <w:szCs w:val="24"/>
        </w:rPr>
        <w:t>an incentive experiment for teachers and survey coordinators and also included a contingency plan incentive experiment that targeted domains ‘at-risk’ for not meeting NCES publishability standard</w:t>
      </w:r>
      <w:r w:rsidR="001D665C">
        <w:rPr>
          <w:rFonts w:ascii="Times New Roman" w:hAnsi="Times New Roman"/>
          <w:szCs w:val="24"/>
        </w:rPr>
        <w:t>s</w:t>
      </w:r>
      <w:r w:rsidR="008415B2">
        <w:rPr>
          <w:rFonts w:ascii="Times New Roman" w:hAnsi="Times New Roman"/>
          <w:szCs w:val="24"/>
        </w:rPr>
        <w:t xml:space="preserve">. NTPS 2019-20 will incorporate further testing of monetary incentives </w:t>
      </w:r>
      <w:r w:rsidR="00624472">
        <w:rPr>
          <w:rFonts w:ascii="Times New Roman" w:hAnsi="Times New Roman"/>
          <w:szCs w:val="24"/>
        </w:rPr>
        <w:t>as well as</w:t>
      </w:r>
      <w:r w:rsidR="008415B2">
        <w:rPr>
          <w:rFonts w:ascii="Times New Roman" w:hAnsi="Times New Roman"/>
          <w:szCs w:val="24"/>
        </w:rPr>
        <w:t xml:space="preserve"> testing of non-monetary incentives for the first time</w:t>
      </w:r>
      <w:r w:rsidR="008415B2" w:rsidRPr="00560DF4">
        <w:rPr>
          <w:rFonts w:ascii="Times New Roman" w:hAnsi="Times New Roman"/>
          <w:szCs w:val="24"/>
        </w:rPr>
        <w:t>.</w:t>
      </w:r>
    </w:p>
    <w:p w14:paraId="0E8FC5E3" w14:textId="77777777" w:rsidR="00652E63" w:rsidRDefault="00560DF4" w:rsidP="007D4EB8">
      <w:pPr>
        <w:pStyle w:val="L1-FlLSp12"/>
        <w:numPr>
          <w:ilvl w:val="0"/>
          <w:numId w:val="10"/>
        </w:numPr>
        <w:spacing w:after="120" w:line="240" w:lineRule="auto"/>
        <w:ind w:left="540" w:right="-43"/>
        <w:rPr>
          <w:rFonts w:ascii="Times New Roman" w:hAnsi="Times New Roman"/>
          <w:szCs w:val="24"/>
        </w:rPr>
      </w:pPr>
      <w:r w:rsidRPr="00560DF4">
        <w:rPr>
          <w:rFonts w:ascii="Times New Roman" w:hAnsi="Times New Roman"/>
          <w:b/>
          <w:i/>
          <w:szCs w:val="24"/>
        </w:rPr>
        <w:t>Testing new mailed package contents and packaging.</w:t>
      </w:r>
    </w:p>
    <w:p w14:paraId="4F71BB09" w14:textId="4BE12BAC" w:rsidR="00791A38" w:rsidRPr="00560DF4" w:rsidRDefault="00891D73" w:rsidP="00791A38">
      <w:pPr>
        <w:pStyle w:val="L1-FlLSp12"/>
        <w:spacing w:after="120" w:line="240" w:lineRule="auto"/>
        <w:ind w:left="540" w:right="-43"/>
        <w:rPr>
          <w:rFonts w:ascii="Times New Roman" w:hAnsi="Times New Roman"/>
          <w:szCs w:val="24"/>
        </w:rPr>
      </w:pPr>
      <w:r>
        <w:rPr>
          <w:rFonts w:ascii="Times New Roman" w:hAnsi="Times New Roman"/>
          <w:szCs w:val="24"/>
        </w:rPr>
        <w:t xml:space="preserve">In an effort to both increase response rates and lower mailing costs, NTPS </w:t>
      </w:r>
      <w:r w:rsidR="009C7958">
        <w:rPr>
          <w:rFonts w:ascii="Times New Roman" w:hAnsi="Times New Roman"/>
          <w:szCs w:val="24"/>
        </w:rPr>
        <w:t xml:space="preserve">2019-20 </w:t>
      </w:r>
      <w:r>
        <w:rPr>
          <w:rFonts w:ascii="Times New Roman" w:hAnsi="Times New Roman"/>
          <w:szCs w:val="24"/>
        </w:rPr>
        <w:t xml:space="preserve">will explore whether new types of mailed materials will yield higher response rates. </w:t>
      </w:r>
      <w:r w:rsidR="009C7958">
        <w:rPr>
          <w:rFonts w:ascii="Times New Roman" w:hAnsi="Times New Roman"/>
          <w:szCs w:val="24"/>
        </w:rPr>
        <w:t>In previous NTPS administrations, t</w:t>
      </w:r>
      <w:r>
        <w:rPr>
          <w:rFonts w:ascii="Times New Roman" w:hAnsi="Times New Roman"/>
          <w:szCs w:val="24"/>
        </w:rPr>
        <w:t>eacher questionnaires and instructions to complete the</w:t>
      </w:r>
      <w:r w:rsidR="009C7958">
        <w:rPr>
          <w:rFonts w:ascii="Times New Roman" w:hAnsi="Times New Roman"/>
          <w:szCs w:val="24"/>
        </w:rPr>
        <w:t>m</w:t>
      </w:r>
      <w:r>
        <w:rPr>
          <w:rFonts w:ascii="Times New Roman" w:hAnsi="Times New Roman"/>
          <w:szCs w:val="24"/>
        </w:rPr>
        <w:t xml:space="preserve"> online </w:t>
      </w:r>
      <w:r w:rsidR="009C7958">
        <w:rPr>
          <w:rFonts w:ascii="Times New Roman" w:hAnsi="Times New Roman"/>
          <w:szCs w:val="24"/>
        </w:rPr>
        <w:t>were</w:t>
      </w:r>
      <w:r>
        <w:rPr>
          <w:rFonts w:ascii="Times New Roman" w:hAnsi="Times New Roman"/>
          <w:szCs w:val="24"/>
        </w:rPr>
        <w:t xml:space="preserve"> sent to sampled teachers in standard business envelopes. </w:t>
      </w:r>
      <w:r w:rsidR="009C7958">
        <w:rPr>
          <w:rFonts w:ascii="Times New Roman" w:hAnsi="Times New Roman"/>
          <w:szCs w:val="24"/>
        </w:rPr>
        <w:t>In</w:t>
      </w:r>
      <w:r>
        <w:rPr>
          <w:rFonts w:ascii="Times New Roman" w:hAnsi="Times New Roman"/>
          <w:szCs w:val="24"/>
        </w:rPr>
        <w:t xml:space="preserve"> NTPS</w:t>
      </w:r>
      <w:r w:rsidR="009C7958">
        <w:rPr>
          <w:rFonts w:ascii="Times New Roman" w:hAnsi="Times New Roman"/>
          <w:szCs w:val="24"/>
        </w:rPr>
        <w:t xml:space="preserve"> 2019-20</w:t>
      </w:r>
      <w:r>
        <w:rPr>
          <w:rFonts w:ascii="Times New Roman" w:hAnsi="Times New Roman"/>
          <w:szCs w:val="24"/>
        </w:rPr>
        <w:t xml:space="preserve">, a randomized experiment will compare the effects of using business envelopes </w:t>
      </w:r>
      <w:r w:rsidR="009C7958">
        <w:rPr>
          <w:rFonts w:ascii="Times New Roman" w:hAnsi="Times New Roman"/>
          <w:szCs w:val="24"/>
        </w:rPr>
        <w:t>vs.</w:t>
      </w:r>
      <w:r>
        <w:rPr>
          <w:rFonts w:ascii="Times New Roman" w:hAnsi="Times New Roman"/>
          <w:szCs w:val="24"/>
        </w:rPr>
        <w:t xml:space="preserve"> </w:t>
      </w:r>
      <w:r w:rsidR="009C7958">
        <w:rPr>
          <w:rFonts w:ascii="Times New Roman" w:hAnsi="Times New Roman"/>
          <w:szCs w:val="24"/>
        </w:rPr>
        <w:t>pressure-seal mailing materials</w:t>
      </w:r>
      <w:r w:rsidR="00791A38" w:rsidRPr="00560DF4">
        <w:rPr>
          <w:rFonts w:ascii="Times New Roman" w:hAnsi="Times New Roman"/>
          <w:szCs w:val="24"/>
        </w:rPr>
        <w:t>.</w:t>
      </w:r>
    </w:p>
    <w:p w14:paraId="7AB6FF6C" w14:textId="77777777" w:rsidR="00652E63" w:rsidRDefault="003F6BE1" w:rsidP="007D4EB8">
      <w:pPr>
        <w:pStyle w:val="L1-FlLSp12"/>
        <w:numPr>
          <w:ilvl w:val="0"/>
          <w:numId w:val="10"/>
        </w:numPr>
        <w:spacing w:after="120" w:line="240" w:lineRule="auto"/>
        <w:ind w:left="540" w:right="-43"/>
        <w:rPr>
          <w:rFonts w:ascii="Times New Roman" w:hAnsi="Times New Roman"/>
          <w:b/>
          <w:i/>
          <w:szCs w:val="24"/>
        </w:rPr>
      </w:pPr>
      <w:r w:rsidRPr="00560DF4">
        <w:rPr>
          <w:rFonts w:ascii="Times New Roman" w:hAnsi="Times New Roman"/>
          <w:b/>
          <w:i/>
          <w:szCs w:val="24"/>
        </w:rPr>
        <w:t>Tailored Materials</w:t>
      </w:r>
      <w:r w:rsidR="00560DF4" w:rsidRPr="00560DF4">
        <w:rPr>
          <w:rFonts w:ascii="Times New Roman" w:hAnsi="Times New Roman"/>
          <w:b/>
          <w:i/>
          <w:szCs w:val="24"/>
        </w:rPr>
        <w:t>.</w:t>
      </w:r>
    </w:p>
    <w:p w14:paraId="4655A2F8" w14:textId="2AAC0ACD" w:rsidR="00891D73" w:rsidRPr="009C7958" w:rsidRDefault="00791A38" w:rsidP="009C7958">
      <w:pPr>
        <w:pStyle w:val="L1-FlLSp12"/>
        <w:widowControl w:val="0"/>
        <w:spacing w:after="120" w:line="240" w:lineRule="auto"/>
        <w:ind w:left="547" w:right="-43"/>
        <w:rPr>
          <w:rFonts w:ascii="Times New Roman" w:hAnsi="Times New Roman"/>
          <w:szCs w:val="24"/>
        </w:rPr>
      </w:pPr>
      <w:r>
        <w:rPr>
          <w:rFonts w:ascii="Times New Roman" w:hAnsi="Times New Roman"/>
          <w:szCs w:val="24"/>
        </w:rPr>
        <w:t>Respondents</w:t>
      </w:r>
      <w:r w:rsidR="00891D73">
        <w:rPr>
          <w:rFonts w:ascii="Times New Roman" w:hAnsi="Times New Roman"/>
          <w:szCs w:val="24"/>
        </w:rPr>
        <w:t xml:space="preserve"> sampled for NTPS receive letters and e-mails that </w:t>
      </w:r>
      <w:r>
        <w:rPr>
          <w:rFonts w:ascii="Times New Roman" w:hAnsi="Times New Roman"/>
          <w:szCs w:val="24"/>
        </w:rPr>
        <w:t xml:space="preserve">emphasize the importance of their participation in the survey, but this information has not emphasized the ways in which NTPS data inform researchers and policymakers. </w:t>
      </w:r>
      <w:r w:rsidR="009C7958">
        <w:rPr>
          <w:rFonts w:ascii="Times New Roman" w:hAnsi="Times New Roman"/>
          <w:szCs w:val="24"/>
        </w:rPr>
        <w:t>In</w:t>
      </w:r>
      <w:r>
        <w:rPr>
          <w:rFonts w:ascii="Times New Roman" w:hAnsi="Times New Roman"/>
          <w:szCs w:val="24"/>
        </w:rPr>
        <w:t xml:space="preserve"> NPTS</w:t>
      </w:r>
      <w:r w:rsidR="009C7958">
        <w:rPr>
          <w:rFonts w:ascii="Times New Roman" w:hAnsi="Times New Roman"/>
          <w:szCs w:val="24"/>
        </w:rPr>
        <w:t xml:space="preserve"> 2017-18</w:t>
      </w:r>
      <w:r>
        <w:rPr>
          <w:rFonts w:ascii="Times New Roman" w:hAnsi="Times New Roman"/>
          <w:szCs w:val="24"/>
        </w:rPr>
        <w:t>, the statement “</w:t>
      </w:r>
      <w:r w:rsidRPr="00791A38">
        <w:rPr>
          <w:rFonts w:ascii="Times New Roman" w:hAnsi="Times New Roman"/>
          <w:szCs w:val="24"/>
        </w:rPr>
        <w:t>Public school teachers provided an average of 27 hours of instruction to students during a typical week in the 2015-16 school year. What about you?</w:t>
      </w:r>
      <w:r>
        <w:rPr>
          <w:rFonts w:ascii="Times New Roman" w:hAnsi="Times New Roman"/>
          <w:szCs w:val="24"/>
        </w:rPr>
        <w:t xml:space="preserve">” was added to the outside of Third Reminder Teacher Letter envelopes for the final wave of sampled public school teachers. </w:t>
      </w:r>
      <w:r w:rsidR="009C7958">
        <w:rPr>
          <w:rFonts w:ascii="Times New Roman" w:hAnsi="Times New Roman"/>
          <w:szCs w:val="24"/>
        </w:rPr>
        <w:t>In</w:t>
      </w:r>
      <w:r>
        <w:rPr>
          <w:rFonts w:ascii="Times New Roman" w:hAnsi="Times New Roman"/>
          <w:szCs w:val="24"/>
        </w:rPr>
        <w:t xml:space="preserve"> NTPS</w:t>
      </w:r>
      <w:r w:rsidR="009C7958">
        <w:rPr>
          <w:rFonts w:ascii="Times New Roman" w:hAnsi="Times New Roman"/>
          <w:szCs w:val="24"/>
        </w:rPr>
        <w:t xml:space="preserve"> 2019-20</w:t>
      </w:r>
      <w:r>
        <w:rPr>
          <w:rFonts w:ascii="Times New Roman" w:hAnsi="Times New Roman"/>
          <w:szCs w:val="24"/>
        </w:rPr>
        <w:t xml:space="preserve">, qualitative research will explore what statistics are most salient to different types of respondents, and similar statements will be placed on materials sent to respondents, such as on the outside of envelopes or within enclosed letters, to determine whether </w:t>
      </w:r>
      <w:r w:rsidR="007315E2">
        <w:rPr>
          <w:rFonts w:ascii="Times New Roman" w:hAnsi="Times New Roman"/>
          <w:szCs w:val="24"/>
        </w:rPr>
        <w:t xml:space="preserve">targeted, </w:t>
      </w:r>
      <w:r>
        <w:rPr>
          <w:rFonts w:ascii="Times New Roman" w:hAnsi="Times New Roman"/>
          <w:szCs w:val="24"/>
        </w:rPr>
        <w:t>persuasive messag</w:t>
      </w:r>
      <w:r w:rsidR="009C7958">
        <w:rPr>
          <w:rFonts w:ascii="Times New Roman" w:hAnsi="Times New Roman"/>
          <w:szCs w:val="24"/>
        </w:rPr>
        <w:t>ing can increase response rates.</w:t>
      </w:r>
    </w:p>
    <w:p w14:paraId="3E896853" w14:textId="70EB7F01" w:rsidR="00C8143E" w:rsidRPr="00560DF4" w:rsidRDefault="00F153D0" w:rsidP="00560DF4">
      <w:pPr>
        <w:pStyle w:val="L1-FlLSp12"/>
        <w:tabs>
          <w:tab w:val="clear" w:pos="1152"/>
          <w:tab w:val="left" w:pos="1080"/>
        </w:tabs>
        <w:spacing w:after="120" w:line="240" w:lineRule="auto"/>
        <w:ind w:right="-43"/>
        <w:rPr>
          <w:rFonts w:ascii="Times New Roman" w:hAnsi="Times New Roman"/>
          <w:b/>
          <w:szCs w:val="24"/>
        </w:rPr>
      </w:pPr>
      <w:bookmarkStart w:id="88" w:name="_Toc391625755"/>
      <w:bookmarkStart w:id="89" w:name="_Toc392706713"/>
      <w:bookmarkStart w:id="90" w:name="_Toc420609075"/>
      <w:bookmarkStart w:id="91" w:name="_Toc455154260"/>
      <w:bookmarkStart w:id="92" w:name="_Toc455496456"/>
      <w:bookmarkStart w:id="93" w:name="_Toc468187472"/>
      <w:r w:rsidRPr="00560DF4">
        <w:rPr>
          <w:rFonts w:ascii="Times New Roman" w:hAnsi="Times New Roman"/>
          <w:b/>
          <w:szCs w:val="24"/>
        </w:rPr>
        <w:t>B.</w:t>
      </w:r>
      <w:r w:rsidR="00FE7A15" w:rsidRPr="00560DF4">
        <w:rPr>
          <w:rFonts w:ascii="Times New Roman" w:hAnsi="Times New Roman"/>
          <w:b/>
          <w:szCs w:val="24"/>
        </w:rPr>
        <w:t>5</w:t>
      </w:r>
      <w:r w:rsidR="00560DF4" w:rsidRPr="00560DF4">
        <w:rPr>
          <w:rFonts w:ascii="Times New Roman" w:hAnsi="Times New Roman"/>
          <w:b/>
          <w:szCs w:val="24"/>
        </w:rPr>
        <w:tab/>
      </w:r>
      <w:r w:rsidRPr="00560DF4">
        <w:rPr>
          <w:rFonts w:ascii="Times New Roman" w:hAnsi="Times New Roman"/>
          <w:b/>
          <w:szCs w:val="24"/>
        </w:rPr>
        <w:t>Individuals Responsible for Study Design and</w:t>
      </w:r>
      <w:bookmarkStart w:id="94" w:name="_Toc391625756"/>
      <w:bookmarkStart w:id="95" w:name="_Toc392706714"/>
      <w:bookmarkStart w:id="96" w:name="_Toc420609076"/>
      <w:bookmarkStart w:id="97" w:name="_Toc455154261"/>
      <w:bookmarkEnd w:id="88"/>
      <w:bookmarkEnd w:id="89"/>
      <w:bookmarkEnd w:id="90"/>
      <w:bookmarkEnd w:id="91"/>
      <w:r w:rsidR="00EC021E" w:rsidRPr="00560DF4">
        <w:rPr>
          <w:rFonts w:ascii="Times New Roman" w:hAnsi="Times New Roman"/>
          <w:b/>
          <w:szCs w:val="24"/>
        </w:rPr>
        <w:t xml:space="preserve"> </w:t>
      </w:r>
      <w:r w:rsidRPr="00560DF4">
        <w:rPr>
          <w:rFonts w:ascii="Times New Roman" w:hAnsi="Times New Roman"/>
          <w:b/>
          <w:szCs w:val="24"/>
        </w:rPr>
        <w:t>Performance</w:t>
      </w:r>
      <w:bookmarkEnd w:id="92"/>
      <w:bookmarkEnd w:id="93"/>
      <w:bookmarkEnd w:id="94"/>
      <w:bookmarkEnd w:id="95"/>
      <w:bookmarkEnd w:id="96"/>
      <w:bookmarkEnd w:id="97"/>
    </w:p>
    <w:p w14:paraId="156B8BC6" w14:textId="3237EDBF" w:rsidR="00F130EA" w:rsidRPr="00D321F9" w:rsidRDefault="00E1322E" w:rsidP="00624472">
      <w:pPr>
        <w:pStyle w:val="L1-FlLSp12"/>
        <w:spacing w:after="120" w:line="240" w:lineRule="auto"/>
        <w:rPr>
          <w:rFonts w:ascii="Times New Roman" w:hAnsi="Times New Roman"/>
          <w:szCs w:val="24"/>
        </w:rPr>
      </w:pPr>
      <w:r>
        <w:rPr>
          <w:rFonts w:ascii="Times New Roman" w:hAnsi="Times New Roman"/>
          <w:szCs w:val="24"/>
        </w:rPr>
        <w:t>T</w:t>
      </w:r>
      <w:r w:rsidRPr="00E1322E">
        <w:rPr>
          <w:rFonts w:ascii="Times New Roman" w:hAnsi="Times New Roman"/>
          <w:szCs w:val="24"/>
        </w:rPr>
        <w:t xml:space="preserve">he following individuals are responsible for the NTPS </w:t>
      </w:r>
      <w:r w:rsidR="00D92196">
        <w:rPr>
          <w:rFonts w:ascii="Times New Roman" w:hAnsi="Times New Roman"/>
          <w:szCs w:val="24"/>
        </w:rPr>
        <w:t xml:space="preserve">2019-20 </w:t>
      </w:r>
      <w:r w:rsidRPr="00E1322E">
        <w:rPr>
          <w:rFonts w:ascii="Times New Roman" w:hAnsi="Times New Roman"/>
          <w:szCs w:val="24"/>
        </w:rPr>
        <w:t>study design, data collection, and analysis</w:t>
      </w:r>
      <w:r w:rsidR="00B17CB5" w:rsidRPr="00D321F9">
        <w:rPr>
          <w:rFonts w:ascii="Times New Roman" w:hAnsi="Times New Roman"/>
          <w:szCs w:val="24"/>
        </w:rPr>
        <w:t>:</w:t>
      </w:r>
      <w:r w:rsidR="00624472">
        <w:rPr>
          <w:rFonts w:ascii="Times New Roman" w:hAnsi="Times New Roman"/>
          <w:szCs w:val="24"/>
        </w:rPr>
        <w:t xml:space="preserve"> </w:t>
      </w:r>
      <w:r w:rsidR="00D92196">
        <w:rPr>
          <w:rFonts w:ascii="Times New Roman" w:hAnsi="Times New Roman"/>
          <w:szCs w:val="24"/>
        </w:rPr>
        <w:t>Maura Spiegelman</w:t>
      </w:r>
      <w:r w:rsidR="00020AF6" w:rsidRPr="00D321F9">
        <w:rPr>
          <w:rFonts w:ascii="Times New Roman" w:hAnsi="Times New Roman"/>
          <w:szCs w:val="24"/>
        </w:rPr>
        <w:t xml:space="preserve">, </w:t>
      </w:r>
      <w:r w:rsidR="00763295" w:rsidRPr="00AD2093">
        <w:rPr>
          <w:rFonts w:ascii="Times New Roman" w:hAnsi="Times New Roman"/>
          <w:szCs w:val="24"/>
        </w:rPr>
        <w:t>Deanne Swan,</w:t>
      </w:r>
      <w:r w:rsidR="00020AF6" w:rsidRPr="00AD2093">
        <w:rPr>
          <w:rFonts w:ascii="Times New Roman" w:hAnsi="Times New Roman"/>
          <w:szCs w:val="24"/>
        </w:rPr>
        <w:t xml:space="preserve"> </w:t>
      </w:r>
      <w:r w:rsidR="00624472">
        <w:rPr>
          <w:rFonts w:ascii="Times New Roman" w:hAnsi="Times New Roman"/>
          <w:szCs w:val="24"/>
        </w:rPr>
        <w:t xml:space="preserve">and </w:t>
      </w:r>
      <w:r w:rsidR="00C6391E" w:rsidRPr="00D321F9">
        <w:rPr>
          <w:rFonts w:ascii="Times New Roman" w:hAnsi="Times New Roman"/>
          <w:szCs w:val="24"/>
        </w:rPr>
        <w:t>Andy Zukerberg</w:t>
      </w:r>
      <w:r w:rsidR="00624472">
        <w:rPr>
          <w:rFonts w:ascii="Times New Roman" w:hAnsi="Times New Roman"/>
          <w:szCs w:val="24"/>
        </w:rPr>
        <w:t xml:space="preserve"> at</w:t>
      </w:r>
      <w:r w:rsidR="00C6391E" w:rsidRPr="00D321F9">
        <w:rPr>
          <w:rFonts w:ascii="Times New Roman" w:hAnsi="Times New Roman"/>
          <w:szCs w:val="24"/>
        </w:rPr>
        <w:t xml:space="preserve"> </w:t>
      </w:r>
      <w:r w:rsidR="00020AF6" w:rsidRPr="00D321F9">
        <w:rPr>
          <w:rFonts w:ascii="Times New Roman" w:hAnsi="Times New Roman"/>
          <w:szCs w:val="24"/>
        </w:rPr>
        <w:t>NCES</w:t>
      </w:r>
      <w:r w:rsidR="00624472">
        <w:rPr>
          <w:rFonts w:ascii="Times New Roman" w:hAnsi="Times New Roman"/>
          <w:szCs w:val="24"/>
        </w:rPr>
        <w:t xml:space="preserve">; </w:t>
      </w:r>
      <w:r w:rsidR="00C6391E" w:rsidRPr="00D321F9">
        <w:rPr>
          <w:rFonts w:ascii="Times New Roman" w:hAnsi="Times New Roman"/>
          <w:szCs w:val="24"/>
        </w:rPr>
        <w:t>Shawna Cox</w:t>
      </w:r>
      <w:r w:rsidR="00020AF6" w:rsidRPr="00D321F9">
        <w:rPr>
          <w:rFonts w:ascii="Times New Roman" w:hAnsi="Times New Roman"/>
          <w:szCs w:val="24"/>
        </w:rPr>
        <w:t xml:space="preserve">, </w:t>
      </w:r>
      <w:r w:rsidR="00893D25">
        <w:rPr>
          <w:rFonts w:ascii="Times New Roman" w:hAnsi="Times New Roman"/>
          <w:szCs w:val="24"/>
        </w:rPr>
        <w:t xml:space="preserve">Walter Holmes, </w:t>
      </w:r>
      <w:r w:rsidR="00C6391E" w:rsidRPr="00D321F9">
        <w:rPr>
          <w:rFonts w:ascii="Times New Roman" w:hAnsi="Times New Roman"/>
          <w:szCs w:val="24"/>
        </w:rPr>
        <w:t>Mary Davis</w:t>
      </w:r>
      <w:r w:rsidR="00020AF6" w:rsidRPr="00D321F9">
        <w:rPr>
          <w:rFonts w:ascii="Times New Roman" w:hAnsi="Times New Roman"/>
          <w:szCs w:val="24"/>
        </w:rPr>
        <w:t xml:space="preserve">, </w:t>
      </w:r>
      <w:r w:rsidR="00624472">
        <w:rPr>
          <w:rFonts w:ascii="Times New Roman" w:hAnsi="Times New Roman"/>
          <w:szCs w:val="24"/>
        </w:rPr>
        <w:t xml:space="preserve">and </w:t>
      </w:r>
      <w:r w:rsidR="00893D25">
        <w:rPr>
          <w:rFonts w:ascii="Times New Roman" w:hAnsi="Times New Roman"/>
          <w:szCs w:val="24"/>
        </w:rPr>
        <w:t>Aaron Gilary</w:t>
      </w:r>
      <w:r w:rsidR="00624472">
        <w:rPr>
          <w:rFonts w:ascii="Times New Roman" w:hAnsi="Times New Roman"/>
          <w:szCs w:val="24"/>
        </w:rPr>
        <w:t xml:space="preserve"> at</w:t>
      </w:r>
      <w:r w:rsidR="00893D25">
        <w:rPr>
          <w:rFonts w:ascii="Times New Roman" w:hAnsi="Times New Roman"/>
          <w:szCs w:val="24"/>
        </w:rPr>
        <w:t xml:space="preserve"> U.S. Census Bureau</w:t>
      </w:r>
      <w:r w:rsidR="00624472">
        <w:rPr>
          <w:rFonts w:ascii="Times New Roman" w:hAnsi="Times New Roman"/>
          <w:szCs w:val="24"/>
        </w:rPr>
        <w:t xml:space="preserve">; and </w:t>
      </w:r>
      <w:r w:rsidR="00C6391E" w:rsidRPr="00D321F9">
        <w:rPr>
          <w:rFonts w:ascii="Times New Roman" w:hAnsi="Times New Roman"/>
          <w:szCs w:val="24"/>
        </w:rPr>
        <w:t>David Marker</w:t>
      </w:r>
      <w:r w:rsidR="00020AF6" w:rsidRPr="00D321F9">
        <w:rPr>
          <w:rFonts w:ascii="Times New Roman" w:hAnsi="Times New Roman"/>
          <w:szCs w:val="24"/>
        </w:rPr>
        <w:t xml:space="preserve">, </w:t>
      </w:r>
      <w:r w:rsidR="00C6391E" w:rsidRPr="00D321F9">
        <w:rPr>
          <w:rFonts w:ascii="Times New Roman" w:hAnsi="Times New Roman"/>
          <w:szCs w:val="24"/>
        </w:rPr>
        <w:t>Lou Rizzo</w:t>
      </w:r>
      <w:r w:rsidR="00020AF6" w:rsidRPr="00D321F9">
        <w:rPr>
          <w:rFonts w:ascii="Times New Roman" w:hAnsi="Times New Roman"/>
          <w:szCs w:val="24"/>
        </w:rPr>
        <w:t xml:space="preserve">, </w:t>
      </w:r>
      <w:r w:rsidR="00624472">
        <w:rPr>
          <w:rFonts w:ascii="Times New Roman" w:hAnsi="Times New Roman"/>
          <w:szCs w:val="24"/>
        </w:rPr>
        <w:t xml:space="preserve">and </w:t>
      </w:r>
      <w:r w:rsidR="00F130EA" w:rsidRPr="00D321F9">
        <w:rPr>
          <w:rFonts w:ascii="Times New Roman" w:hAnsi="Times New Roman"/>
          <w:szCs w:val="24"/>
        </w:rPr>
        <w:t>Minsun Riddles</w:t>
      </w:r>
      <w:r w:rsidR="00624472">
        <w:rPr>
          <w:rFonts w:ascii="Times New Roman" w:hAnsi="Times New Roman"/>
          <w:szCs w:val="24"/>
        </w:rPr>
        <w:t xml:space="preserve"> at W</w:t>
      </w:r>
      <w:r w:rsidR="00F130EA" w:rsidRPr="00D321F9">
        <w:rPr>
          <w:rFonts w:ascii="Times New Roman" w:hAnsi="Times New Roman"/>
          <w:szCs w:val="24"/>
        </w:rPr>
        <w:t>estat</w:t>
      </w:r>
      <w:r w:rsidR="00624472">
        <w:rPr>
          <w:rFonts w:ascii="Times New Roman" w:hAnsi="Times New Roman"/>
          <w:szCs w:val="24"/>
        </w:rPr>
        <w:t>.</w:t>
      </w:r>
    </w:p>
    <w:sectPr w:rsidR="00F130EA" w:rsidRPr="00D321F9" w:rsidSect="00F47589">
      <w:headerReference w:type="default" r:id="rId19"/>
      <w:headerReference w:type="first" r:id="rId20"/>
      <w:footerReference w:type="first" r:id="rId21"/>
      <w:pgSz w:w="12240" w:h="15840" w:code="1"/>
      <w:pgMar w:top="720" w:right="864" w:bottom="720" w:left="864" w:header="288"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9ADA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4A2C0" w14:textId="77777777" w:rsidR="00EE17BD" w:rsidRDefault="00EE17BD">
      <w:pPr>
        <w:spacing w:line="240" w:lineRule="auto"/>
      </w:pPr>
      <w:r>
        <w:separator/>
      </w:r>
    </w:p>
  </w:endnote>
  <w:endnote w:type="continuationSeparator" w:id="0">
    <w:p w14:paraId="420DC2B0" w14:textId="77777777" w:rsidR="00EE17BD" w:rsidRDefault="00EE17BD">
      <w:pPr>
        <w:spacing w:line="240" w:lineRule="auto"/>
      </w:pPr>
      <w:r>
        <w:continuationSeparator/>
      </w:r>
    </w:p>
  </w:endnote>
  <w:endnote w:type="continuationNotice" w:id="1">
    <w:p w14:paraId="0B4CC8F9" w14:textId="77777777" w:rsidR="00EE17BD" w:rsidRDefault="00EE17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771"/>
      <w:gridCol w:w="971"/>
      <w:gridCol w:w="4770"/>
    </w:tblGrid>
    <w:tr w:rsidR="00FF7414" w14:paraId="4612A450" w14:textId="77777777" w:rsidTr="002B628D">
      <w:trPr>
        <w:cantSplit/>
        <w:trHeight w:hRule="exact" w:val="120"/>
      </w:trPr>
      <w:tc>
        <w:tcPr>
          <w:tcW w:w="2269" w:type="pct"/>
          <w:vAlign w:val="center"/>
        </w:tcPr>
        <w:p w14:paraId="4E85C3DD" w14:textId="77777777" w:rsidR="00FF7414" w:rsidRPr="00C0787C" w:rsidRDefault="00FF7414" w:rsidP="002B628D">
          <w:pPr>
            <w:spacing w:line="240" w:lineRule="auto"/>
            <w:rPr>
              <w:rFonts w:ascii="Franklin Gothic Medium" w:hAnsi="Franklin Gothic Medium"/>
              <w:sz w:val="18"/>
              <w:szCs w:val="18"/>
            </w:rPr>
          </w:pPr>
        </w:p>
      </w:tc>
      <w:tc>
        <w:tcPr>
          <w:tcW w:w="462" w:type="pct"/>
          <w:vAlign w:val="center"/>
        </w:tcPr>
        <w:p w14:paraId="7CB7D93C" w14:textId="77777777" w:rsidR="00FF7414" w:rsidRDefault="00FF7414"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3415DED7" w14:textId="77777777" w:rsidR="00FF7414" w:rsidRDefault="00FF7414" w:rsidP="002B628D">
          <w:pPr>
            <w:spacing w:line="240" w:lineRule="auto"/>
            <w:jc w:val="right"/>
            <w:rPr>
              <w:rFonts w:ascii="Franklin Gothic Medium" w:hAnsi="Franklin Gothic Medium"/>
              <w:sz w:val="14"/>
              <w:szCs w:val="24"/>
            </w:rPr>
          </w:pPr>
        </w:p>
      </w:tc>
    </w:tr>
    <w:tr w:rsidR="00FF7414" w14:paraId="3C426E98" w14:textId="77777777">
      <w:trPr>
        <w:cantSplit/>
      </w:trPr>
      <w:tc>
        <w:tcPr>
          <w:tcW w:w="2269" w:type="pct"/>
          <w:vAlign w:val="center"/>
        </w:tcPr>
        <w:p w14:paraId="54367278" w14:textId="77777777" w:rsidR="00FF7414" w:rsidRPr="00C0787C" w:rsidRDefault="00FF7414" w:rsidP="002B628D">
          <w:pPr>
            <w:spacing w:line="240" w:lineRule="auto"/>
            <w:rPr>
              <w:rFonts w:ascii="Franklin Gothic Medium" w:hAnsi="Franklin Gothic Medium"/>
              <w:sz w:val="18"/>
              <w:szCs w:val="18"/>
            </w:rPr>
          </w:pPr>
        </w:p>
      </w:tc>
      <w:tc>
        <w:tcPr>
          <w:tcW w:w="462" w:type="pct"/>
          <w:vAlign w:val="center"/>
        </w:tcPr>
        <w:p w14:paraId="47D24487" w14:textId="77777777" w:rsidR="00FF7414" w:rsidRPr="00EB7BC3" w:rsidRDefault="00FF7414"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89BCE33" w14:textId="77777777" w:rsidR="00FF7414" w:rsidRPr="00EB7BC3" w:rsidRDefault="00FF7414" w:rsidP="002B628D">
          <w:pPr>
            <w:spacing w:line="240" w:lineRule="auto"/>
            <w:jc w:val="right"/>
            <w:rPr>
              <w:rFonts w:ascii="Franklin Gothic Medium" w:hAnsi="Franklin Gothic Medium"/>
              <w:b/>
              <w:sz w:val="20"/>
            </w:rPr>
          </w:pPr>
        </w:p>
      </w:tc>
    </w:tr>
  </w:tbl>
  <w:p w14:paraId="5B997E8E" w14:textId="77777777" w:rsidR="00FF7414" w:rsidRDefault="00FF7414"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720953"/>
      <w:docPartObj>
        <w:docPartGallery w:val="Page Numbers (Bottom of Page)"/>
        <w:docPartUnique/>
      </w:docPartObj>
    </w:sdtPr>
    <w:sdtEndPr>
      <w:rPr>
        <w:noProof/>
      </w:rPr>
    </w:sdtEndPr>
    <w:sdtContent>
      <w:p w14:paraId="1CAFDBFD" w14:textId="38005C31" w:rsidR="00FF7414" w:rsidRDefault="00FF7414">
        <w:pPr>
          <w:pStyle w:val="Footer"/>
          <w:jc w:val="center"/>
        </w:pPr>
        <w:r>
          <w:fldChar w:fldCharType="begin"/>
        </w:r>
        <w:r>
          <w:instrText xml:space="preserve"> PAGE   \* MERGEFORMAT </w:instrText>
        </w:r>
        <w:r>
          <w:fldChar w:fldCharType="separate"/>
        </w:r>
        <w:r w:rsidR="007C1095">
          <w:rPr>
            <w:noProof/>
          </w:rPr>
          <w:t>1</w:t>
        </w:r>
        <w:r>
          <w:rPr>
            <w:noProof/>
          </w:rPr>
          <w:fldChar w:fldCharType="end"/>
        </w:r>
      </w:p>
    </w:sdtContent>
  </w:sdt>
  <w:p w14:paraId="4440DAFE" w14:textId="77777777" w:rsidR="00FF7414" w:rsidRDefault="00FF7414"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6F4C" w14:textId="77777777" w:rsidR="00FF7414" w:rsidRDefault="00FF7414"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A2E8" w14:textId="77777777" w:rsidR="00FF7414" w:rsidRDefault="00FF741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AF125" w14:textId="77777777" w:rsidR="00EE17BD" w:rsidRDefault="00EE17BD">
      <w:pPr>
        <w:spacing w:line="240" w:lineRule="auto"/>
      </w:pPr>
      <w:r>
        <w:separator/>
      </w:r>
    </w:p>
  </w:footnote>
  <w:footnote w:type="continuationSeparator" w:id="0">
    <w:p w14:paraId="28C28A06" w14:textId="77777777" w:rsidR="00EE17BD" w:rsidRDefault="00EE17BD">
      <w:pPr>
        <w:spacing w:line="240" w:lineRule="auto"/>
      </w:pPr>
      <w:r>
        <w:continuationSeparator/>
      </w:r>
    </w:p>
  </w:footnote>
  <w:footnote w:type="continuationNotice" w:id="1">
    <w:p w14:paraId="0F91727A" w14:textId="77777777" w:rsidR="00EE17BD" w:rsidRDefault="00EE17B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511" w14:textId="77777777" w:rsidR="00FF7414" w:rsidRPr="000C2EEC" w:rsidRDefault="00FF7414"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A705" w14:textId="77777777" w:rsidR="00FF7414" w:rsidRDefault="00FF74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9CA9" w14:textId="77777777" w:rsidR="00FF7414" w:rsidRPr="009C5BDA" w:rsidRDefault="00FF7414"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2425" w14:textId="77777777" w:rsidR="00FF7414" w:rsidRDefault="00FF7414"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29B7"/>
    <w:multiLevelType w:val="hybridMultilevel"/>
    <w:tmpl w:val="AE5E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701AD"/>
    <w:multiLevelType w:val="hybridMultilevel"/>
    <w:tmpl w:val="E2D0FD94"/>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32D2F01"/>
    <w:multiLevelType w:val="hybridMultilevel"/>
    <w:tmpl w:val="EEBAFEC6"/>
    <w:lvl w:ilvl="0" w:tplc="D188F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107659"/>
    <w:multiLevelType w:val="hybridMultilevel"/>
    <w:tmpl w:val="F92EDE04"/>
    <w:lvl w:ilvl="0" w:tplc="ECD43AC2">
      <w:start w:val="1"/>
      <w:numFmt w:val="decimal"/>
      <w:lvlText w:val="%1."/>
      <w:lvlJc w:val="left"/>
      <w:pPr>
        <w:ind w:left="99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53049"/>
    <w:multiLevelType w:val="hybridMultilevel"/>
    <w:tmpl w:val="2C1C7B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7C2B77"/>
    <w:multiLevelType w:val="hybridMultilevel"/>
    <w:tmpl w:val="1388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5"/>
  </w:num>
  <w:num w:numId="5">
    <w:abstractNumId w:val="19"/>
  </w:num>
  <w:num w:numId="6">
    <w:abstractNumId w:val="1"/>
  </w:num>
  <w:num w:numId="7">
    <w:abstractNumId w:val="6"/>
  </w:num>
  <w:num w:numId="8">
    <w:abstractNumId w:val="8"/>
  </w:num>
  <w:num w:numId="9">
    <w:abstractNumId w:val="2"/>
  </w:num>
  <w:num w:numId="10">
    <w:abstractNumId w:val="12"/>
  </w:num>
  <w:num w:numId="11">
    <w:abstractNumId w:val="15"/>
  </w:num>
  <w:num w:numId="12">
    <w:abstractNumId w:val="7"/>
  </w:num>
  <w:num w:numId="13">
    <w:abstractNumId w:val="14"/>
  </w:num>
  <w:num w:numId="14">
    <w:abstractNumId w:val="13"/>
  </w:num>
  <w:num w:numId="15">
    <w:abstractNumId w:val="16"/>
  </w:num>
  <w:num w:numId="16">
    <w:abstractNumId w:val="11"/>
  </w:num>
  <w:num w:numId="17">
    <w:abstractNumId w:val="3"/>
  </w:num>
  <w:num w:numId="18">
    <w:abstractNumId w:val="18"/>
  </w:num>
  <w:num w:numId="19">
    <w:abstractNumId w:val="20"/>
  </w:num>
  <w:num w:numId="20">
    <w:abstractNumId w:val="9"/>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333"/>
    <w:rsid w:val="00001BD5"/>
    <w:rsid w:val="000024BA"/>
    <w:rsid w:val="00005E97"/>
    <w:rsid w:val="00007F4D"/>
    <w:rsid w:val="00013444"/>
    <w:rsid w:val="00013D38"/>
    <w:rsid w:val="00014B34"/>
    <w:rsid w:val="000153F0"/>
    <w:rsid w:val="0001597A"/>
    <w:rsid w:val="0001644D"/>
    <w:rsid w:val="00020AF6"/>
    <w:rsid w:val="00021557"/>
    <w:rsid w:val="000218A5"/>
    <w:rsid w:val="000227D9"/>
    <w:rsid w:val="00024B22"/>
    <w:rsid w:val="00024B6C"/>
    <w:rsid w:val="000266BE"/>
    <w:rsid w:val="00031FA2"/>
    <w:rsid w:val="000323DA"/>
    <w:rsid w:val="000324FD"/>
    <w:rsid w:val="00034459"/>
    <w:rsid w:val="000350E9"/>
    <w:rsid w:val="0003569A"/>
    <w:rsid w:val="00036AF4"/>
    <w:rsid w:val="000373A0"/>
    <w:rsid w:val="0003791D"/>
    <w:rsid w:val="00037B7E"/>
    <w:rsid w:val="000400DD"/>
    <w:rsid w:val="00041095"/>
    <w:rsid w:val="00043871"/>
    <w:rsid w:val="000447C2"/>
    <w:rsid w:val="00044EB6"/>
    <w:rsid w:val="0004645B"/>
    <w:rsid w:val="00046C5A"/>
    <w:rsid w:val="00047085"/>
    <w:rsid w:val="0004717C"/>
    <w:rsid w:val="0004737B"/>
    <w:rsid w:val="000506EF"/>
    <w:rsid w:val="00051FAB"/>
    <w:rsid w:val="00052EAB"/>
    <w:rsid w:val="000548F0"/>
    <w:rsid w:val="00055F16"/>
    <w:rsid w:val="00057925"/>
    <w:rsid w:val="00063B34"/>
    <w:rsid w:val="00064469"/>
    <w:rsid w:val="0006498E"/>
    <w:rsid w:val="0006577F"/>
    <w:rsid w:val="00066207"/>
    <w:rsid w:val="0006651F"/>
    <w:rsid w:val="000666F6"/>
    <w:rsid w:val="00067963"/>
    <w:rsid w:val="00070151"/>
    <w:rsid w:val="00070E85"/>
    <w:rsid w:val="00072108"/>
    <w:rsid w:val="00072E7F"/>
    <w:rsid w:val="00073632"/>
    <w:rsid w:val="00073F2D"/>
    <w:rsid w:val="000742A6"/>
    <w:rsid w:val="00074EC3"/>
    <w:rsid w:val="000757E9"/>
    <w:rsid w:val="00076495"/>
    <w:rsid w:val="00076883"/>
    <w:rsid w:val="00076AC2"/>
    <w:rsid w:val="0007735C"/>
    <w:rsid w:val="000777CF"/>
    <w:rsid w:val="00077AED"/>
    <w:rsid w:val="00077B9C"/>
    <w:rsid w:val="000802DD"/>
    <w:rsid w:val="00080946"/>
    <w:rsid w:val="00084668"/>
    <w:rsid w:val="00084A30"/>
    <w:rsid w:val="00091A23"/>
    <w:rsid w:val="00094893"/>
    <w:rsid w:val="00094DFF"/>
    <w:rsid w:val="000952C0"/>
    <w:rsid w:val="000960BC"/>
    <w:rsid w:val="00096D2B"/>
    <w:rsid w:val="000A1457"/>
    <w:rsid w:val="000A2932"/>
    <w:rsid w:val="000A3376"/>
    <w:rsid w:val="000A3814"/>
    <w:rsid w:val="000A7B3A"/>
    <w:rsid w:val="000B104F"/>
    <w:rsid w:val="000B1355"/>
    <w:rsid w:val="000B2236"/>
    <w:rsid w:val="000B5044"/>
    <w:rsid w:val="000B535D"/>
    <w:rsid w:val="000B5DB3"/>
    <w:rsid w:val="000B5E89"/>
    <w:rsid w:val="000C2EEC"/>
    <w:rsid w:val="000C33DB"/>
    <w:rsid w:val="000C4AE5"/>
    <w:rsid w:val="000C537F"/>
    <w:rsid w:val="000C55AC"/>
    <w:rsid w:val="000C57FE"/>
    <w:rsid w:val="000C7E07"/>
    <w:rsid w:val="000D02CD"/>
    <w:rsid w:val="000D092A"/>
    <w:rsid w:val="000D0B99"/>
    <w:rsid w:val="000D11BF"/>
    <w:rsid w:val="000D3971"/>
    <w:rsid w:val="000D51B5"/>
    <w:rsid w:val="000E07BE"/>
    <w:rsid w:val="000E11EC"/>
    <w:rsid w:val="000E1AE6"/>
    <w:rsid w:val="000E283A"/>
    <w:rsid w:val="000E2D47"/>
    <w:rsid w:val="000E4C67"/>
    <w:rsid w:val="000E65B5"/>
    <w:rsid w:val="000E6B92"/>
    <w:rsid w:val="000E7C3D"/>
    <w:rsid w:val="000F2141"/>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6509"/>
    <w:rsid w:val="00107DD3"/>
    <w:rsid w:val="00110DF1"/>
    <w:rsid w:val="00111A7A"/>
    <w:rsid w:val="00111F6A"/>
    <w:rsid w:val="00113AF0"/>
    <w:rsid w:val="00114C6E"/>
    <w:rsid w:val="00117EA4"/>
    <w:rsid w:val="001207A8"/>
    <w:rsid w:val="00120A6B"/>
    <w:rsid w:val="00121A4A"/>
    <w:rsid w:val="00123624"/>
    <w:rsid w:val="0012387C"/>
    <w:rsid w:val="0012487F"/>
    <w:rsid w:val="00125C2A"/>
    <w:rsid w:val="00126EA9"/>
    <w:rsid w:val="00130042"/>
    <w:rsid w:val="001300E4"/>
    <w:rsid w:val="00132CA8"/>
    <w:rsid w:val="001334B2"/>
    <w:rsid w:val="00133768"/>
    <w:rsid w:val="00133FBB"/>
    <w:rsid w:val="001342D4"/>
    <w:rsid w:val="00134A59"/>
    <w:rsid w:val="00134EFB"/>
    <w:rsid w:val="001357FD"/>
    <w:rsid w:val="0013675E"/>
    <w:rsid w:val="00136D00"/>
    <w:rsid w:val="00137135"/>
    <w:rsid w:val="00137710"/>
    <w:rsid w:val="00137E07"/>
    <w:rsid w:val="00140F8C"/>
    <w:rsid w:val="00141F6E"/>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B1A"/>
    <w:rsid w:val="00175C20"/>
    <w:rsid w:val="001760CD"/>
    <w:rsid w:val="00176804"/>
    <w:rsid w:val="001768BA"/>
    <w:rsid w:val="00176E0E"/>
    <w:rsid w:val="00176F3D"/>
    <w:rsid w:val="00180AA0"/>
    <w:rsid w:val="001820AE"/>
    <w:rsid w:val="00184A10"/>
    <w:rsid w:val="00185F22"/>
    <w:rsid w:val="00190CF2"/>
    <w:rsid w:val="00193719"/>
    <w:rsid w:val="00194271"/>
    <w:rsid w:val="00195355"/>
    <w:rsid w:val="00195A73"/>
    <w:rsid w:val="00196FBE"/>
    <w:rsid w:val="001A10A2"/>
    <w:rsid w:val="001A127C"/>
    <w:rsid w:val="001A1BB8"/>
    <w:rsid w:val="001A4F34"/>
    <w:rsid w:val="001A5E37"/>
    <w:rsid w:val="001A6265"/>
    <w:rsid w:val="001A65D5"/>
    <w:rsid w:val="001A6B5B"/>
    <w:rsid w:val="001B097C"/>
    <w:rsid w:val="001B1242"/>
    <w:rsid w:val="001B19EE"/>
    <w:rsid w:val="001B2B14"/>
    <w:rsid w:val="001B6510"/>
    <w:rsid w:val="001B6AA1"/>
    <w:rsid w:val="001B705A"/>
    <w:rsid w:val="001C0209"/>
    <w:rsid w:val="001C3420"/>
    <w:rsid w:val="001C5FDE"/>
    <w:rsid w:val="001C6266"/>
    <w:rsid w:val="001C69DD"/>
    <w:rsid w:val="001D0187"/>
    <w:rsid w:val="001D1F70"/>
    <w:rsid w:val="001D2832"/>
    <w:rsid w:val="001D4E3F"/>
    <w:rsid w:val="001D665C"/>
    <w:rsid w:val="001E18AE"/>
    <w:rsid w:val="001E3800"/>
    <w:rsid w:val="001E4095"/>
    <w:rsid w:val="001E5F24"/>
    <w:rsid w:val="001E6079"/>
    <w:rsid w:val="001E771F"/>
    <w:rsid w:val="001E7EB2"/>
    <w:rsid w:val="001F3CA2"/>
    <w:rsid w:val="001F4E34"/>
    <w:rsid w:val="001F7BDA"/>
    <w:rsid w:val="001F7BE3"/>
    <w:rsid w:val="00202F49"/>
    <w:rsid w:val="00203C57"/>
    <w:rsid w:val="00203CA4"/>
    <w:rsid w:val="00203EFB"/>
    <w:rsid w:val="0020415E"/>
    <w:rsid w:val="00204E0B"/>
    <w:rsid w:val="0020526D"/>
    <w:rsid w:val="00205874"/>
    <w:rsid w:val="002059CA"/>
    <w:rsid w:val="00205D20"/>
    <w:rsid w:val="002105A7"/>
    <w:rsid w:val="002110FA"/>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2E5"/>
    <w:rsid w:val="00230E8F"/>
    <w:rsid w:val="00231D7C"/>
    <w:rsid w:val="00232299"/>
    <w:rsid w:val="00233146"/>
    <w:rsid w:val="0023465F"/>
    <w:rsid w:val="00237A92"/>
    <w:rsid w:val="00241A6F"/>
    <w:rsid w:val="00241EB7"/>
    <w:rsid w:val="002426D4"/>
    <w:rsid w:val="00243F0A"/>
    <w:rsid w:val="002463C8"/>
    <w:rsid w:val="00247EBE"/>
    <w:rsid w:val="002514F7"/>
    <w:rsid w:val="00251AAE"/>
    <w:rsid w:val="002524A0"/>
    <w:rsid w:val="002529BB"/>
    <w:rsid w:val="002530A9"/>
    <w:rsid w:val="0025530B"/>
    <w:rsid w:val="002565A7"/>
    <w:rsid w:val="002574DC"/>
    <w:rsid w:val="00261F3B"/>
    <w:rsid w:val="00263709"/>
    <w:rsid w:val="00266495"/>
    <w:rsid w:val="00267642"/>
    <w:rsid w:val="00274578"/>
    <w:rsid w:val="002747D9"/>
    <w:rsid w:val="00275F94"/>
    <w:rsid w:val="0028055C"/>
    <w:rsid w:val="00280943"/>
    <w:rsid w:val="002818D1"/>
    <w:rsid w:val="00281DB7"/>
    <w:rsid w:val="00282312"/>
    <w:rsid w:val="00282601"/>
    <w:rsid w:val="00283494"/>
    <w:rsid w:val="002835FB"/>
    <w:rsid w:val="00283EA4"/>
    <w:rsid w:val="002846C7"/>
    <w:rsid w:val="002851B1"/>
    <w:rsid w:val="00286295"/>
    <w:rsid w:val="00290A60"/>
    <w:rsid w:val="00291A70"/>
    <w:rsid w:val="00291CC6"/>
    <w:rsid w:val="002937DE"/>
    <w:rsid w:val="00294E65"/>
    <w:rsid w:val="002958AB"/>
    <w:rsid w:val="002A4EE0"/>
    <w:rsid w:val="002A5A5D"/>
    <w:rsid w:val="002A6821"/>
    <w:rsid w:val="002B050C"/>
    <w:rsid w:val="002B2BEA"/>
    <w:rsid w:val="002B2D4F"/>
    <w:rsid w:val="002B3C9C"/>
    <w:rsid w:val="002B3D59"/>
    <w:rsid w:val="002B42AD"/>
    <w:rsid w:val="002B42F2"/>
    <w:rsid w:val="002B628D"/>
    <w:rsid w:val="002B63A6"/>
    <w:rsid w:val="002C03F1"/>
    <w:rsid w:val="002C1518"/>
    <w:rsid w:val="002C482A"/>
    <w:rsid w:val="002C6984"/>
    <w:rsid w:val="002D036F"/>
    <w:rsid w:val="002D1420"/>
    <w:rsid w:val="002D3E8C"/>
    <w:rsid w:val="002D6484"/>
    <w:rsid w:val="002D67C4"/>
    <w:rsid w:val="002D739F"/>
    <w:rsid w:val="002D744F"/>
    <w:rsid w:val="002D7668"/>
    <w:rsid w:val="002D7FBD"/>
    <w:rsid w:val="002E007F"/>
    <w:rsid w:val="002E11AF"/>
    <w:rsid w:val="002E21B6"/>
    <w:rsid w:val="002E3838"/>
    <w:rsid w:val="002E4199"/>
    <w:rsid w:val="002E4370"/>
    <w:rsid w:val="002E6FAD"/>
    <w:rsid w:val="002F00D0"/>
    <w:rsid w:val="002F0F19"/>
    <w:rsid w:val="002F308A"/>
    <w:rsid w:val="002F3A2E"/>
    <w:rsid w:val="002F3BE0"/>
    <w:rsid w:val="002F5259"/>
    <w:rsid w:val="003003DD"/>
    <w:rsid w:val="003015D7"/>
    <w:rsid w:val="003018F4"/>
    <w:rsid w:val="00302E5C"/>
    <w:rsid w:val="00303EDE"/>
    <w:rsid w:val="00304009"/>
    <w:rsid w:val="0030405F"/>
    <w:rsid w:val="00304ADF"/>
    <w:rsid w:val="00304DF8"/>
    <w:rsid w:val="00310B72"/>
    <w:rsid w:val="00310B9A"/>
    <w:rsid w:val="0031111B"/>
    <w:rsid w:val="00311238"/>
    <w:rsid w:val="00312FE8"/>
    <w:rsid w:val="00313047"/>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6C44"/>
    <w:rsid w:val="0034700B"/>
    <w:rsid w:val="00350716"/>
    <w:rsid w:val="003513A3"/>
    <w:rsid w:val="00355634"/>
    <w:rsid w:val="003561EA"/>
    <w:rsid w:val="003566F4"/>
    <w:rsid w:val="0035725C"/>
    <w:rsid w:val="00363DBF"/>
    <w:rsid w:val="00363E54"/>
    <w:rsid w:val="003649E6"/>
    <w:rsid w:val="00365874"/>
    <w:rsid w:val="00366E9D"/>
    <w:rsid w:val="00377BE9"/>
    <w:rsid w:val="003831DB"/>
    <w:rsid w:val="00383C29"/>
    <w:rsid w:val="0038492E"/>
    <w:rsid w:val="00384C9A"/>
    <w:rsid w:val="0038557B"/>
    <w:rsid w:val="00391D36"/>
    <w:rsid w:val="00393062"/>
    <w:rsid w:val="00393767"/>
    <w:rsid w:val="0039458F"/>
    <w:rsid w:val="00396E14"/>
    <w:rsid w:val="003974A5"/>
    <w:rsid w:val="00397B0B"/>
    <w:rsid w:val="003A0659"/>
    <w:rsid w:val="003A2F1C"/>
    <w:rsid w:val="003A336B"/>
    <w:rsid w:val="003A33F2"/>
    <w:rsid w:val="003A4615"/>
    <w:rsid w:val="003A522C"/>
    <w:rsid w:val="003A5A7B"/>
    <w:rsid w:val="003A6AB6"/>
    <w:rsid w:val="003A716C"/>
    <w:rsid w:val="003B39DF"/>
    <w:rsid w:val="003B5E86"/>
    <w:rsid w:val="003B7EAB"/>
    <w:rsid w:val="003C0BC4"/>
    <w:rsid w:val="003C1F04"/>
    <w:rsid w:val="003C1FB3"/>
    <w:rsid w:val="003C3199"/>
    <w:rsid w:val="003C3909"/>
    <w:rsid w:val="003C3A3D"/>
    <w:rsid w:val="003C5019"/>
    <w:rsid w:val="003C5953"/>
    <w:rsid w:val="003C78BE"/>
    <w:rsid w:val="003D02A7"/>
    <w:rsid w:val="003D0760"/>
    <w:rsid w:val="003D19E7"/>
    <w:rsid w:val="003D32B3"/>
    <w:rsid w:val="003D3FF9"/>
    <w:rsid w:val="003D4EE6"/>
    <w:rsid w:val="003D55B2"/>
    <w:rsid w:val="003D6AA3"/>
    <w:rsid w:val="003D6BFF"/>
    <w:rsid w:val="003D786F"/>
    <w:rsid w:val="003D7B93"/>
    <w:rsid w:val="003E08D3"/>
    <w:rsid w:val="003E14AF"/>
    <w:rsid w:val="003E15BB"/>
    <w:rsid w:val="003E1FFF"/>
    <w:rsid w:val="003E240A"/>
    <w:rsid w:val="003E2688"/>
    <w:rsid w:val="003E271E"/>
    <w:rsid w:val="003E2ED4"/>
    <w:rsid w:val="003F0E7E"/>
    <w:rsid w:val="003F3C2D"/>
    <w:rsid w:val="003F65D2"/>
    <w:rsid w:val="003F6BE1"/>
    <w:rsid w:val="004005D5"/>
    <w:rsid w:val="0040084F"/>
    <w:rsid w:val="00401877"/>
    <w:rsid w:val="00401966"/>
    <w:rsid w:val="004027D1"/>
    <w:rsid w:val="00403DCC"/>
    <w:rsid w:val="00404527"/>
    <w:rsid w:val="004076AA"/>
    <w:rsid w:val="0041140D"/>
    <w:rsid w:val="00413B6A"/>
    <w:rsid w:val="00413DFB"/>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37CDE"/>
    <w:rsid w:val="00442D29"/>
    <w:rsid w:val="00444C3D"/>
    <w:rsid w:val="00444EAD"/>
    <w:rsid w:val="00446B77"/>
    <w:rsid w:val="00446DA0"/>
    <w:rsid w:val="00446E30"/>
    <w:rsid w:val="00451E5C"/>
    <w:rsid w:val="00455F1A"/>
    <w:rsid w:val="0045774F"/>
    <w:rsid w:val="00461710"/>
    <w:rsid w:val="004627C6"/>
    <w:rsid w:val="00463240"/>
    <w:rsid w:val="004635B0"/>
    <w:rsid w:val="004672E3"/>
    <w:rsid w:val="00467682"/>
    <w:rsid w:val="0047041E"/>
    <w:rsid w:val="00470900"/>
    <w:rsid w:val="00471239"/>
    <w:rsid w:val="0047183E"/>
    <w:rsid w:val="00472FCC"/>
    <w:rsid w:val="00475989"/>
    <w:rsid w:val="00475BCB"/>
    <w:rsid w:val="004762B0"/>
    <w:rsid w:val="00481640"/>
    <w:rsid w:val="00481DB2"/>
    <w:rsid w:val="004854BB"/>
    <w:rsid w:val="004875E4"/>
    <w:rsid w:val="00487A13"/>
    <w:rsid w:val="00490A41"/>
    <w:rsid w:val="0049112C"/>
    <w:rsid w:val="0049198A"/>
    <w:rsid w:val="004933E8"/>
    <w:rsid w:val="00493C5B"/>
    <w:rsid w:val="00493E51"/>
    <w:rsid w:val="00495278"/>
    <w:rsid w:val="0049679A"/>
    <w:rsid w:val="004973A8"/>
    <w:rsid w:val="004A2014"/>
    <w:rsid w:val="004A3EC0"/>
    <w:rsid w:val="004A4CC9"/>
    <w:rsid w:val="004A6223"/>
    <w:rsid w:val="004B09C6"/>
    <w:rsid w:val="004B3578"/>
    <w:rsid w:val="004B3AEF"/>
    <w:rsid w:val="004B5494"/>
    <w:rsid w:val="004B5E8A"/>
    <w:rsid w:val="004B62B4"/>
    <w:rsid w:val="004B72B1"/>
    <w:rsid w:val="004B75CF"/>
    <w:rsid w:val="004C2CEE"/>
    <w:rsid w:val="004C352A"/>
    <w:rsid w:val="004C57BC"/>
    <w:rsid w:val="004C5DB5"/>
    <w:rsid w:val="004C69A0"/>
    <w:rsid w:val="004C7BEE"/>
    <w:rsid w:val="004C7C91"/>
    <w:rsid w:val="004D0D4C"/>
    <w:rsid w:val="004D17BE"/>
    <w:rsid w:val="004D3719"/>
    <w:rsid w:val="004D6B09"/>
    <w:rsid w:val="004E0593"/>
    <w:rsid w:val="004E10FA"/>
    <w:rsid w:val="004E2ED8"/>
    <w:rsid w:val="004E31CD"/>
    <w:rsid w:val="004E487D"/>
    <w:rsid w:val="004E4886"/>
    <w:rsid w:val="004E5B8D"/>
    <w:rsid w:val="004E6A6F"/>
    <w:rsid w:val="004E6C86"/>
    <w:rsid w:val="004E700C"/>
    <w:rsid w:val="004E7443"/>
    <w:rsid w:val="004E7AC1"/>
    <w:rsid w:val="004F38F8"/>
    <w:rsid w:val="004F464C"/>
    <w:rsid w:val="004F47C7"/>
    <w:rsid w:val="004F56A4"/>
    <w:rsid w:val="004F5776"/>
    <w:rsid w:val="004F5B76"/>
    <w:rsid w:val="004F6BD9"/>
    <w:rsid w:val="004F6DF4"/>
    <w:rsid w:val="00500383"/>
    <w:rsid w:val="005005A1"/>
    <w:rsid w:val="00501267"/>
    <w:rsid w:val="00504C15"/>
    <w:rsid w:val="00505D22"/>
    <w:rsid w:val="005068A3"/>
    <w:rsid w:val="00506C69"/>
    <w:rsid w:val="00506C6B"/>
    <w:rsid w:val="00510586"/>
    <w:rsid w:val="00511578"/>
    <w:rsid w:val="005117A4"/>
    <w:rsid w:val="00511A4B"/>
    <w:rsid w:val="00511DBD"/>
    <w:rsid w:val="0051225C"/>
    <w:rsid w:val="00517030"/>
    <w:rsid w:val="00517BD9"/>
    <w:rsid w:val="00517F4D"/>
    <w:rsid w:val="00521E42"/>
    <w:rsid w:val="00522477"/>
    <w:rsid w:val="00523FF5"/>
    <w:rsid w:val="00524A92"/>
    <w:rsid w:val="0052674D"/>
    <w:rsid w:val="00531F5A"/>
    <w:rsid w:val="00540B97"/>
    <w:rsid w:val="005417C2"/>
    <w:rsid w:val="00541925"/>
    <w:rsid w:val="005444F4"/>
    <w:rsid w:val="005471A6"/>
    <w:rsid w:val="00547B29"/>
    <w:rsid w:val="00550F84"/>
    <w:rsid w:val="00551714"/>
    <w:rsid w:val="005521A7"/>
    <w:rsid w:val="005547B9"/>
    <w:rsid w:val="00555909"/>
    <w:rsid w:val="00555F29"/>
    <w:rsid w:val="005562E7"/>
    <w:rsid w:val="005567DA"/>
    <w:rsid w:val="00557FEF"/>
    <w:rsid w:val="00560DF4"/>
    <w:rsid w:val="0056441A"/>
    <w:rsid w:val="00565952"/>
    <w:rsid w:val="00566965"/>
    <w:rsid w:val="00570DE0"/>
    <w:rsid w:val="00571093"/>
    <w:rsid w:val="00575C11"/>
    <w:rsid w:val="00575CE1"/>
    <w:rsid w:val="005774F9"/>
    <w:rsid w:val="005801DF"/>
    <w:rsid w:val="00580B23"/>
    <w:rsid w:val="00582032"/>
    <w:rsid w:val="00583030"/>
    <w:rsid w:val="00585D1B"/>
    <w:rsid w:val="00586EA4"/>
    <w:rsid w:val="00587076"/>
    <w:rsid w:val="00591011"/>
    <w:rsid w:val="0059253B"/>
    <w:rsid w:val="005928E1"/>
    <w:rsid w:val="00592A8B"/>
    <w:rsid w:val="00592E9C"/>
    <w:rsid w:val="00593313"/>
    <w:rsid w:val="00593727"/>
    <w:rsid w:val="00593B3C"/>
    <w:rsid w:val="00594838"/>
    <w:rsid w:val="0059512D"/>
    <w:rsid w:val="00595300"/>
    <w:rsid w:val="00596C37"/>
    <w:rsid w:val="005A2947"/>
    <w:rsid w:val="005A40F0"/>
    <w:rsid w:val="005A50C1"/>
    <w:rsid w:val="005B0622"/>
    <w:rsid w:val="005B0C15"/>
    <w:rsid w:val="005B125A"/>
    <w:rsid w:val="005B5F5C"/>
    <w:rsid w:val="005B6291"/>
    <w:rsid w:val="005B7031"/>
    <w:rsid w:val="005B779B"/>
    <w:rsid w:val="005C02D9"/>
    <w:rsid w:val="005C0CE8"/>
    <w:rsid w:val="005C3F44"/>
    <w:rsid w:val="005C466B"/>
    <w:rsid w:val="005C5924"/>
    <w:rsid w:val="005C6C61"/>
    <w:rsid w:val="005C70A9"/>
    <w:rsid w:val="005D0569"/>
    <w:rsid w:val="005D1174"/>
    <w:rsid w:val="005D24B6"/>
    <w:rsid w:val="005D46D8"/>
    <w:rsid w:val="005D48CE"/>
    <w:rsid w:val="005D5BBC"/>
    <w:rsid w:val="005D7D3D"/>
    <w:rsid w:val="005E0347"/>
    <w:rsid w:val="005E12CB"/>
    <w:rsid w:val="005E1F0E"/>
    <w:rsid w:val="005E2037"/>
    <w:rsid w:val="005E2F49"/>
    <w:rsid w:val="005E3AA1"/>
    <w:rsid w:val="005E53FF"/>
    <w:rsid w:val="005E56C1"/>
    <w:rsid w:val="005E6487"/>
    <w:rsid w:val="005E6642"/>
    <w:rsid w:val="005F19A8"/>
    <w:rsid w:val="005F33C9"/>
    <w:rsid w:val="005F5509"/>
    <w:rsid w:val="005F68DE"/>
    <w:rsid w:val="006005E5"/>
    <w:rsid w:val="00603F8D"/>
    <w:rsid w:val="00611023"/>
    <w:rsid w:val="00614494"/>
    <w:rsid w:val="00615D88"/>
    <w:rsid w:val="00615F71"/>
    <w:rsid w:val="00616D5E"/>
    <w:rsid w:val="00617DFC"/>
    <w:rsid w:val="00622089"/>
    <w:rsid w:val="0062391E"/>
    <w:rsid w:val="00624206"/>
    <w:rsid w:val="00624472"/>
    <w:rsid w:val="006279C7"/>
    <w:rsid w:val="00627F08"/>
    <w:rsid w:val="006313A0"/>
    <w:rsid w:val="00633622"/>
    <w:rsid w:val="006341CA"/>
    <w:rsid w:val="00634A00"/>
    <w:rsid w:val="00634FCD"/>
    <w:rsid w:val="006411EA"/>
    <w:rsid w:val="00642CFA"/>
    <w:rsid w:val="00643D74"/>
    <w:rsid w:val="00644471"/>
    <w:rsid w:val="006458B2"/>
    <w:rsid w:val="00645C98"/>
    <w:rsid w:val="00647430"/>
    <w:rsid w:val="00651022"/>
    <w:rsid w:val="00651984"/>
    <w:rsid w:val="00652E63"/>
    <w:rsid w:val="00653D62"/>
    <w:rsid w:val="006540E7"/>
    <w:rsid w:val="00654D26"/>
    <w:rsid w:val="00654EC8"/>
    <w:rsid w:val="00655B73"/>
    <w:rsid w:val="00655E52"/>
    <w:rsid w:val="00656543"/>
    <w:rsid w:val="00660D7B"/>
    <w:rsid w:val="00663C46"/>
    <w:rsid w:val="00664C37"/>
    <w:rsid w:val="00666501"/>
    <w:rsid w:val="006718AA"/>
    <w:rsid w:val="00671E66"/>
    <w:rsid w:val="00672E8F"/>
    <w:rsid w:val="00672FEF"/>
    <w:rsid w:val="006756A3"/>
    <w:rsid w:val="00681E4B"/>
    <w:rsid w:val="00682014"/>
    <w:rsid w:val="0068253C"/>
    <w:rsid w:val="00683296"/>
    <w:rsid w:val="0068381B"/>
    <w:rsid w:val="00683820"/>
    <w:rsid w:val="006849A8"/>
    <w:rsid w:val="00684F69"/>
    <w:rsid w:val="006900C4"/>
    <w:rsid w:val="006901D7"/>
    <w:rsid w:val="00690315"/>
    <w:rsid w:val="00690931"/>
    <w:rsid w:val="006927A1"/>
    <w:rsid w:val="00693339"/>
    <w:rsid w:val="00693914"/>
    <w:rsid w:val="006955A4"/>
    <w:rsid w:val="0069650B"/>
    <w:rsid w:val="00696BB3"/>
    <w:rsid w:val="00696D05"/>
    <w:rsid w:val="006A0637"/>
    <w:rsid w:val="006A1243"/>
    <w:rsid w:val="006A1F06"/>
    <w:rsid w:val="006A238C"/>
    <w:rsid w:val="006A2DFA"/>
    <w:rsid w:val="006A3DC9"/>
    <w:rsid w:val="006A46F6"/>
    <w:rsid w:val="006A5CC0"/>
    <w:rsid w:val="006A661A"/>
    <w:rsid w:val="006A6696"/>
    <w:rsid w:val="006A73B7"/>
    <w:rsid w:val="006A7D3B"/>
    <w:rsid w:val="006B0F28"/>
    <w:rsid w:val="006B110E"/>
    <w:rsid w:val="006B3E52"/>
    <w:rsid w:val="006B5478"/>
    <w:rsid w:val="006C06EB"/>
    <w:rsid w:val="006C1784"/>
    <w:rsid w:val="006C716A"/>
    <w:rsid w:val="006D0F66"/>
    <w:rsid w:val="006D240F"/>
    <w:rsid w:val="006D2EEC"/>
    <w:rsid w:val="006D50F2"/>
    <w:rsid w:val="006D72E8"/>
    <w:rsid w:val="006D735C"/>
    <w:rsid w:val="006D7BE6"/>
    <w:rsid w:val="006E0499"/>
    <w:rsid w:val="006E2697"/>
    <w:rsid w:val="006E622B"/>
    <w:rsid w:val="006E744F"/>
    <w:rsid w:val="006E775D"/>
    <w:rsid w:val="006E7935"/>
    <w:rsid w:val="006E7B42"/>
    <w:rsid w:val="006F006B"/>
    <w:rsid w:val="006F0725"/>
    <w:rsid w:val="006F14E8"/>
    <w:rsid w:val="006F19A5"/>
    <w:rsid w:val="006F3410"/>
    <w:rsid w:val="006F3A5F"/>
    <w:rsid w:val="006F3BB8"/>
    <w:rsid w:val="006F4C52"/>
    <w:rsid w:val="006F5DAD"/>
    <w:rsid w:val="006F6D5C"/>
    <w:rsid w:val="006F72FC"/>
    <w:rsid w:val="0070039E"/>
    <w:rsid w:val="00701A8C"/>
    <w:rsid w:val="007035CD"/>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488E"/>
    <w:rsid w:val="0072534B"/>
    <w:rsid w:val="00726F8C"/>
    <w:rsid w:val="007304BD"/>
    <w:rsid w:val="007315E2"/>
    <w:rsid w:val="00731A44"/>
    <w:rsid w:val="0073397E"/>
    <w:rsid w:val="00734623"/>
    <w:rsid w:val="007356DD"/>
    <w:rsid w:val="00735A4E"/>
    <w:rsid w:val="00735D3A"/>
    <w:rsid w:val="00736BB0"/>
    <w:rsid w:val="00737A5C"/>
    <w:rsid w:val="00741FAB"/>
    <w:rsid w:val="007430F2"/>
    <w:rsid w:val="0074330A"/>
    <w:rsid w:val="0074389B"/>
    <w:rsid w:val="0074445B"/>
    <w:rsid w:val="00750A68"/>
    <w:rsid w:val="00751048"/>
    <w:rsid w:val="00751493"/>
    <w:rsid w:val="00756567"/>
    <w:rsid w:val="007607C0"/>
    <w:rsid w:val="007611CF"/>
    <w:rsid w:val="00761D5B"/>
    <w:rsid w:val="00763295"/>
    <w:rsid w:val="00763335"/>
    <w:rsid w:val="00764D13"/>
    <w:rsid w:val="00764F55"/>
    <w:rsid w:val="007666AB"/>
    <w:rsid w:val="0076670C"/>
    <w:rsid w:val="00770E81"/>
    <w:rsid w:val="00773CF1"/>
    <w:rsid w:val="00774268"/>
    <w:rsid w:val="00774475"/>
    <w:rsid w:val="007747FC"/>
    <w:rsid w:val="00774F2B"/>
    <w:rsid w:val="00775B89"/>
    <w:rsid w:val="0077775D"/>
    <w:rsid w:val="007817AE"/>
    <w:rsid w:val="00783663"/>
    <w:rsid w:val="0078417D"/>
    <w:rsid w:val="00784BF2"/>
    <w:rsid w:val="00791A38"/>
    <w:rsid w:val="00791DC3"/>
    <w:rsid w:val="00795760"/>
    <w:rsid w:val="00795783"/>
    <w:rsid w:val="00797625"/>
    <w:rsid w:val="007A07A2"/>
    <w:rsid w:val="007A0D87"/>
    <w:rsid w:val="007A154C"/>
    <w:rsid w:val="007A4BF5"/>
    <w:rsid w:val="007A76FF"/>
    <w:rsid w:val="007A7CB3"/>
    <w:rsid w:val="007B105D"/>
    <w:rsid w:val="007B18A0"/>
    <w:rsid w:val="007B1FFE"/>
    <w:rsid w:val="007B29FB"/>
    <w:rsid w:val="007B2A84"/>
    <w:rsid w:val="007B38EB"/>
    <w:rsid w:val="007B4BF9"/>
    <w:rsid w:val="007B6011"/>
    <w:rsid w:val="007B71E0"/>
    <w:rsid w:val="007B7E5A"/>
    <w:rsid w:val="007C0171"/>
    <w:rsid w:val="007C0219"/>
    <w:rsid w:val="007C0946"/>
    <w:rsid w:val="007C1095"/>
    <w:rsid w:val="007C2D80"/>
    <w:rsid w:val="007C4902"/>
    <w:rsid w:val="007C619C"/>
    <w:rsid w:val="007D1CEC"/>
    <w:rsid w:val="007D2577"/>
    <w:rsid w:val="007D2941"/>
    <w:rsid w:val="007D2C9A"/>
    <w:rsid w:val="007D3228"/>
    <w:rsid w:val="007D4EB8"/>
    <w:rsid w:val="007D51A0"/>
    <w:rsid w:val="007D6305"/>
    <w:rsid w:val="007D6AAB"/>
    <w:rsid w:val="007E0CA5"/>
    <w:rsid w:val="007E12D2"/>
    <w:rsid w:val="007E484B"/>
    <w:rsid w:val="007E7107"/>
    <w:rsid w:val="007E71BA"/>
    <w:rsid w:val="007F12D5"/>
    <w:rsid w:val="007F17A0"/>
    <w:rsid w:val="007F1D78"/>
    <w:rsid w:val="007F1E24"/>
    <w:rsid w:val="007F216A"/>
    <w:rsid w:val="007F2628"/>
    <w:rsid w:val="007F34F3"/>
    <w:rsid w:val="007F5624"/>
    <w:rsid w:val="007F5C54"/>
    <w:rsid w:val="007F74C4"/>
    <w:rsid w:val="0080026D"/>
    <w:rsid w:val="00802F2B"/>
    <w:rsid w:val="00803C04"/>
    <w:rsid w:val="00807060"/>
    <w:rsid w:val="00807A9E"/>
    <w:rsid w:val="00810D04"/>
    <w:rsid w:val="00812033"/>
    <w:rsid w:val="00814928"/>
    <w:rsid w:val="0081704D"/>
    <w:rsid w:val="00820C97"/>
    <w:rsid w:val="00820FC5"/>
    <w:rsid w:val="00823585"/>
    <w:rsid w:val="00825F98"/>
    <w:rsid w:val="00826B3A"/>
    <w:rsid w:val="00826E50"/>
    <w:rsid w:val="008270FB"/>
    <w:rsid w:val="0082721A"/>
    <w:rsid w:val="00830082"/>
    <w:rsid w:val="0083055D"/>
    <w:rsid w:val="008307E5"/>
    <w:rsid w:val="00830976"/>
    <w:rsid w:val="00830E7A"/>
    <w:rsid w:val="00832A4A"/>
    <w:rsid w:val="00832E61"/>
    <w:rsid w:val="00836DBF"/>
    <w:rsid w:val="00837BBE"/>
    <w:rsid w:val="008415B2"/>
    <w:rsid w:val="00841816"/>
    <w:rsid w:val="00841D6D"/>
    <w:rsid w:val="00843E7F"/>
    <w:rsid w:val="008440CF"/>
    <w:rsid w:val="00845401"/>
    <w:rsid w:val="00846F6F"/>
    <w:rsid w:val="008478CF"/>
    <w:rsid w:val="00847B96"/>
    <w:rsid w:val="00850A8B"/>
    <w:rsid w:val="008520CA"/>
    <w:rsid w:val="00853851"/>
    <w:rsid w:val="00853EDB"/>
    <w:rsid w:val="00854354"/>
    <w:rsid w:val="0085493A"/>
    <w:rsid w:val="00854B5A"/>
    <w:rsid w:val="008562F2"/>
    <w:rsid w:val="008564DE"/>
    <w:rsid w:val="00857017"/>
    <w:rsid w:val="008575EC"/>
    <w:rsid w:val="00861C13"/>
    <w:rsid w:val="0086324B"/>
    <w:rsid w:val="00867441"/>
    <w:rsid w:val="00867C6F"/>
    <w:rsid w:val="00872636"/>
    <w:rsid w:val="00872F97"/>
    <w:rsid w:val="00873631"/>
    <w:rsid w:val="00874874"/>
    <w:rsid w:val="008749D5"/>
    <w:rsid w:val="008750B5"/>
    <w:rsid w:val="008768FC"/>
    <w:rsid w:val="0088021E"/>
    <w:rsid w:val="00882057"/>
    <w:rsid w:val="00883076"/>
    <w:rsid w:val="00883A40"/>
    <w:rsid w:val="008874B0"/>
    <w:rsid w:val="00887707"/>
    <w:rsid w:val="00887EC8"/>
    <w:rsid w:val="00890E0B"/>
    <w:rsid w:val="00891D73"/>
    <w:rsid w:val="00892114"/>
    <w:rsid w:val="00893D25"/>
    <w:rsid w:val="00894610"/>
    <w:rsid w:val="0089491F"/>
    <w:rsid w:val="0089516D"/>
    <w:rsid w:val="00895E95"/>
    <w:rsid w:val="008960C2"/>
    <w:rsid w:val="008A14E1"/>
    <w:rsid w:val="008A162A"/>
    <w:rsid w:val="008A36BC"/>
    <w:rsid w:val="008A47BA"/>
    <w:rsid w:val="008A5324"/>
    <w:rsid w:val="008A69B9"/>
    <w:rsid w:val="008A6AC8"/>
    <w:rsid w:val="008A71AF"/>
    <w:rsid w:val="008A76F0"/>
    <w:rsid w:val="008A7F00"/>
    <w:rsid w:val="008B3BF8"/>
    <w:rsid w:val="008B4B10"/>
    <w:rsid w:val="008B577C"/>
    <w:rsid w:val="008B5DC6"/>
    <w:rsid w:val="008B5E6F"/>
    <w:rsid w:val="008B76A6"/>
    <w:rsid w:val="008B7DF4"/>
    <w:rsid w:val="008C0683"/>
    <w:rsid w:val="008C29D3"/>
    <w:rsid w:val="008C2D29"/>
    <w:rsid w:val="008C522F"/>
    <w:rsid w:val="008C656E"/>
    <w:rsid w:val="008C742E"/>
    <w:rsid w:val="008D014E"/>
    <w:rsid w:val="008D27F9"/>
    <w:rsid w:val="008D2BAB"/>
    <w:rsid w:val="008D3CB2"/>
    <w:rsid w:val="008D458D"/>
    <w:rsid w:val="008D45A5"/>
    <w:rsid w:val="008D63BF"/>
    <w:rsid w:val="008D663A"/>
    <w:rsid w:val="008D6C94"/>
    <w:rsid w:val="008D7C0C"/>
    <w:rsid w:val="008D7CA6"/>
    <w:rsid w:val="008D7CDF"/>
    <w:rsid w:val="008E6528"/>
    <w:rsid w:val="008F165C"/>
    <w:rsid w:val="0090271B"/>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44FA"/>
    <w:rsid w:val="00925A1D"/>
    <w:rsid w:val="00925E21"/>
    <w:rsid w:val="00925FED"/>
    <w:rsid w:val="00926DFD"/>
    <w:rsid w:val="009355F7"/>
    <w:rsid w:val="0093725D"/>
    <w:rsid w:val="00940319"/>
    <w:rsid w:val="009419B0"/>
    <w:rsid w:val="00941D3F"/>
    <w:rsid w:val="0094546B"/>
    <w:rsid w:val="009454FC"/>
    <w:rsid w:val="00946C9B"/>
    <w:rsid w:val="009473E1"/>
    <w:rsid w:val="00950483"/>
    <w:rsid w:val="00950870"/>
    <w:rsid w:val="00950A60"/>
    <w:rsid w:val="009510D0"/>
    <w:rsid w:val="0095221E"/>
    <w:rsid w:val="009535B9"/>
    <w:rsid w:val="0095362B"/>
    <w:rsid w:val="0095375F"/>
    <w:rsid w:val="00955618"/>
    <w:rsid w:val="009568CA"/>
    <w:rsid w:val="00956B8F"/>
    <w:rsid w:val="0096089F"/>
    <w:rsid w:val="0096202E"/>
    <w:rsid w:val="009620F1"/>
    <w:rsid w:val="00962ABD"/>
    <w:rsid w:val="00962F09"/>
    <w:rsid w:val="0097142D"/>
    <w:rsid w:val="00972145"/>
    <w:rsid w:val="0097294F"/>
    <w:rsid w:val="0097348C"/>
    <w:rsid w:val="00974611"/>
    <w:rsid w:val="009746BA"/>
    <w:rsid w:val="00974BBC"/>
    <w:rsid w:val="00976B45"/>
    <w:rsid w:val="00977644"/>
    <w:rsid w:val="0097797A"/>
    <w:rsid w:val="00980238"/>
    <w:rsid w:val="00980464"/>
    <w:rsid w:val="00983283"/>
    <w:rsid w:val="00984384"/>
    <w:rsid w:val="00985D79"/>
    <w:rsid w:val="0098699C"/>
    <w:rsid w:val="00986E48"/>
    <w:rsid w:val="00987052"/>
    <w:rsid w:val="009871D3"/>
    <w:rsid w:val="009906B8"/>
    <w:rsid w:val="00992616"/>
    <w:rsid w:val="00992641"/>
    <w:rsid w:val="00992A29"/>
    <w:rsid w:val="009943A4"/>
    <w:rsid w:val="00994948"/>
    <w:rsid w:val="00995E5D"/>
    <w:rsid w:val="009963FD"/>
    <w:rsid w:val="009965BC"/>
    <w:rsid w:val="00996B68"/>
    <w:rsid w:val="00997AD1"/>
    <w:rsid w:val="009A0223"/>
    <w:rsid w:val="009A0C3F"/>
    <w:rsid w:val="009A2302"/>
    <w:rsid w:val="009A729C"/>
    <w:rsid w:val="009A73F1"/>
    <w:rsid w:val="009B342C"/>
    <w:rsid w:val="009C1328"/>
    <w:rsid w:val="009C392F"/>
    <w:rsid w:val="009C4DEF"/>
    <w:rsid w:val="009C5BDA"/>
    <w:rsid w:val="009C5D0F"/>
    <w:rsid w:val="009C711F"/>
    <w:rsid w:val="009C7958"/>
    <w:rsid w:val="009D23B2"/>
    <w:rsid w:val="009D254B"/>
    <w:rsid w:val="009D2B0C"/>
    <w:rsid w:val="009D2E78"/>
    <w:rsid w:val="009D3C8D"/>
    <w:rsid w:val="009D4634"/>
    <w:rsid w:val="009D5BF0"/>
    <w:rsid w:val="009D5E41"/>
    <w:rsid w:val="009E0EF6"/>
    <w:rsid w:val="009E148B"/>
    <w:rsid w:val="009E19A9"/>
    <w:rsid w:val="009E24CA"/>
    <w:rsid w:val="009E2C24"/>
    <w:rsid w:val="009E31CA"/>
    <w:rsid w:val="009F1465"/>
    <w:rsid w:val="009F3AD6"/>
    <w:rsid w:val="009F5A09"/>
    <w:rsid w:val="00A00D3D"/>
    <w:rsid w:val="00A03100"/>
    <w:rsid w:val="00A06417"/>
    <w:rsid w:val="00A06471"/>
    <w:rsid w:val="00A068D9"/>
    <w:rsid w:val="00A105D4"/>
    <w:rsid w:val="00A10C69"/>
    <w:rsid w:val="00A10D0E"/>
    <w:rsid w:val="00A1296E"/>
    <w:rsid w:val="00A13F4D"/>
    <w:rsid w:val="00A14CE5"/>
    <w:rsid w:val="00A15A6F"/>
    <w:rsid w:val="00A173F0"/>
    <w:rsid w:val="00A20FC0"/>
    <w:rsid w:val="00A219EB"/>
    <w:rsid w:val="00A222CA"/>
    <w:rsid w:val="00A22ED6"/>
    <w:rsid w:val="00A234EA"/>
    <w:rsid w:val="00A2457E"/>
    <w:rsid w:val="00A25857"/>
    <w:rsid w:val="00A258B6"/>
    <w:rsid w:val="00A26E08"/>
    <w:rsid w:val="00A27AB1"/>
    <w:rsid w:val="00A30F42"/>
    <w:rsid w:val="00A3690F"/>
    <w:rsid w:val="00A3741B"/>
    <w:rsid w:val="00A40289"/>
    <w:rsid w:val="00A44935"/>
    <w:rsid w:val="00A456F7"/>
    <w:rsid w:val="00A5064E"/>
    <w:rsid w:val="00A50DEB"/>
    <w:rsid w:val="00A511E0"/>
    <w:rsid w:val="00A533A0"/>
    <w:rsid w:val="00A54088"/>
    <w:rsid w:val="00A57B5F"/>
    <w:rsid w:val="00A612C9"/>
    <w:rsid w:val="00A617A5"/>
    <w:rsid w:val="00A61FA5"/>
    <w:rsid w:val="00A62D8E"/>
    <w:rsid w:val="00A634C7"/>
    <w:rsid w:val="00A64ED3"/>
    <w:rsid w:val="00A668DB"/>
    <w:rsid w:val="00A703CE"/>
    <w:rsid w:val="00A71B47"/>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3BF3"/>
    <w:rsid w:val="00A944F1"/>
    <w:rsid w:val="00A95F4C"/>
    <w:rsid w:val="00A97890"/>
    <w:rsid w:val="00AA2E8F"/>
    <w:rsid w:val="00AA3E4E"/>
    <w:rsid w:val="00AA51EC"/>
    <w:rsid w:val="00AA76BC"/>
    <w:rsid w:val="00AA7A93"/>
    <w:rsid w:val="00AB3E80"/>
    <w:rsid w:val="00AB4645"/>
    <w:rsid w:val="00AB70C2"/>
    <w:rsid w:val="00AB7F1E"/>
    <w:rsid w:val="00AC0599"/>
    <w:rsid w:val="00AC0A1C"/>
    <w:rsid w:val="00AC2440"/>
    <w:rsid w:val="00AC34C5"/>
    <w:rsid w:val="00AC64BC"/>
    <w:rsid w:val="00AC6C76"/>
    <w:rsid w:val="00AD143D"/>
    <w:rsid w:val="00AD2093"/>
    <w:rsid w:val="00AD2A84"/>
    <w:rsid w:val="00AD317E"/>
    <w:rsid w:val="00AD36B3"/>
    <w:rsid w:val="00AD36F5"/>
    <w:rsid w:val="00AD389F"/>
    <w:rsid w:val="00AD3D15"/>
    <w:rsid w:val="00AD5980"/>
    <w:rsid w:val="00AD65F7"/>
    <w:rsid w:val="00AD6A61"/>
    <w:rsid w:val="00AD7CB8"/>
    <w:rsid w:val="00AE1484"/>
    <w:rsid w:val="00AE5F71"/>
    <w:rsid w:val="00AF0313"/>
    <w:rsid w:val="00AF0A7E"/>
    <w:rsid w:val="00AF0CEF"/>
    <w:rsid w:val="00AF1251"/>
    <w:rsid w:val="00AF3094"/>
    <w:rsid w:val="00AF48AA"/>
    <w:rsid w:val="00AF6363"/>
    <w:rsid w:val="00AF6712"/>
    <w:rsid w:val="00AF6E39"/>
    <w:rsid w:val="00B002CC"/>
    <w:rsid w:val="00B011F4"/>
    <w:rsid w:val="00B02577"/>
    <w:rsid w:val="00B02FC9"/>
    <w:rsid w:val="00B0515F"/>
    <w:rsid w:val="00B06BBB"/>
    <w:rsid w:val="00B06CAC"/>
    <w:rsid w:val="00B10844"/>
    <w:rsid w:val="00B10C22"/>
    <w:rsid w:val="00B10E5B"/>
    <w:rsid w:val="00B118D4"/>
    <w:rsid w:val="00B11E90"/>
    <w:rsid w:val="00B1210A"/>
    <w:rsid w:val="00B132CA"/>
    <w:rsid w:val="00B136CA"/>
    <w:rsid w:val="00B13F2D"/>
    <w:rsid w:val="00B1538F"/>
    <w:rsid w:val="00B15799"/>
    <w:rsid w:val="00B159FC"/>
    <w:rsid w:val="00B17CB5"/>
    <w:rsid w:val="00B20132"/>
    <w:rsid w:val="00B20651"/>
    <w:rsid w:val="00B2310B"/>
    <w:rsid w:val="00B231D1"/>
    <w:rsid w:val="00B25664"/>
    <w:rsid w:val="00B30DAA"/>
    <w:rsid w:val="00B318C3"/>
    <w:rsid w:val="00B33FB3"/>
    <w:rsid w:val="00B340F3"/>
    <w:rsid w:val="00B4013B"/>
    <w:rsid w:val="00B40E5F"/>
    <w:rsid w:val="00B41B7E"/>
    <w:rsid w:val="00B42BEE"/>
    <w:rsid w:val="00B45703"/>
    <w:rsid w:val="00B47B15"/>
    <w:rsid w:val="00B512C0"/>
    <w:rsid w:val="00B5153A"/>
    <w:rsid w:val="00B5178E"/>
    <w:rsid w:val="00B51D9C"/>
    <w:rsid w:val="00B53C1F"/>
    <w:rsid w:val="00B54406"/>
    <w:rsid w:val="00B55413"/>
    <w:rsid w:val="00B55900"/>
    <w:rsid w:val="00B55B95"/>
    <w:rsid w:val="00B5667E"/>
    <w:rsid w:val="00B57CF5"/>
    <w:rsid w:val="00B60165"/>
    <w:rsid w:val="00B61E5B"/>
    <w:rsid w:val="00B631E6"/>
    <w:rsid w:val="00B64FC8"/>
    <w:rsid w:val="00B65493"/>
    <w:rsid w:val="00B66F3F"/>
    <w:rsid w:val="00B67526"/>
    <w:rsid w:val="00B70876"/>
    <w:rsid w:val="00B71496"/>
    <w:rsid w:val="00B72181"/>
    <w:rsid w:val="00B73299"/>
    <w:rsid w:val="00B7398C"/>
    <w:rsid w:val="00B74E07"/>
    <w:rsid w:val="00B750F4"/>
    <w:rsid w:val="00B755EB"/>
    <w:rsid w:val="00B756CF"/>
    <w:rsid w:val="00B7637C"/>
    <w:rsid w:val="00B76D18"/>
    <w:rsid w:val="00B77269"/>
    <w:rsid w:val="00B802AB"/>
    <w:rsid w:val="00B8049D"/>
    <w:rsid w:val="00B808B6"/>
    <w:rsid w:val="00B82E81"/>
    <w:rsid w:val="00B847A2"/>
    <w:rsid w:val="00B84900"/>
    <w:rsid w:val="00B84A20"/>
    <w:rsid w:val="00B84C8C"/>
    <w:rsid w:val="00B84D69"/>
    <w:rsid w:val="00B85367"/>
    <w:rsid w:val="00B9223D"/>
    <w:rsid w:val="00B92876"/>
    <w:rsid w:val="00B9677F"/>
    <w:rsid w:val="00B978D8"/>
    <w:rsid w:val="00BA36BB"/>
    <w:rsid w:val="00BA3AD2"/>
    <w:rsid w:val="00BA4999"/>
    <w:rsid w:val="00BA55C2"/>
    <w:rsid w:val="00BA615D"/>
    <w:rsid w:val="00BA70AC"/>
    <w:rsid w:val="00BA78B2"/>
    <w:rsid w:val="00BA7BB6"/>
    <w:rsid w:val="00BB06E9"/>
    <w:rsid w:val="00BB1404"/>
    <w:rsid w:val="00BB2B4F"/>
    <w:rsid w:val="00BB46EA"/>
    <w:rsid w:val="00BB4E7B"/>
    <w:rsid w:val="00BB5D3A"/>
    <w:rsid w:val="00BC0E17"/>
    <w:rsid w:val="00BC0F53"/>
    <w:rsid w:val="00BC1D9C"/>
    <w:rsid w:val="00BC2A57"/>
    <w:rsid w:val="00BC6870"/>
    <w:rsid w:val="00BC6A20"/>
    <w:rsid w:val="00BC6E81"/>
    <w:rsid w:val="00BD18E3"/>
    <w:rsid w:val="00BD1970"/>
    <w:rsid w:val="00BD2D0F"/>
    <w:rsid w:val="00BD3F24"/>
    <w:rsid w:val="00BD4AB9"/>
    <w:rsid w:val="00BD5C71"/>
    <w:rsid w:val="00BE0C60"/>
    <w:rsid w:val="00BE274B"/>
    <w:rsid w:val="00BE52B0"/>
    <w:rsid w:val="00BE5E42"/>
    <w:rsid w:val="00BE661F"/>
    <w:rsid w:val="00BF24FB"/>
    <w:rsid w:val="00BF2625"/>
    <w:rsid w:val="00BF2699"/>
    <w:rsid w:val="00BF3690"/>
    <w:rsid w:val="00BF38AA"/>
    <w:rsid w:val="00BF4D9D"/>
    <w:rsid w:val="00BF6089"/>
    <w:rsid w:val="00BF6B05"/>
    <w:rsid w:val="00BF79C1"/>
    <w:rsid w:val="00BF7D11"/>
    <w:rsid w:val="00C01093"/>
    <w:rsid w:val="00C01318"/>
    <w:rsid w:val="00C02332"/>
    <w:rsid w:val="00C02A2D"/>
    <w:rsid w:val="00C06140"/>
    <w:rsid w:val="00C06B3C"/>
    <w:rsid w:val="00C06D30"/>
    <w:rsid w:val="00C07120"/>
    <w:rsid w:val="00C07226"/>
    <w:rsid w:val="00C0787C"/>
    <w:rsid w:val="00C10355"/>
    <w:rsid w:val="00C12291"/>
    <w:rsid w:val="00C12686"/>
    <w:rsid w:val="00C13B53"/>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243"/>
    <w:rsid w:val="00C32A1A"/>
    <w:rsid w:val="00C34D64"/>
    <w:rsid w:val="00C35053"/>
    <w:rsid w:val="00C353D3"/>
    <w:rsid w:val="00C360F3"/>
    <w:rsid w:val="00C36230"/>
    <w:rsid w:val="00C418E6"/>
    <w:rsid w:val="00C41ADD"/>
    <w:rsid w:val="00C424E1"/>
    <w:rsid w:val="00C4315C"/>
    <w:rsid w:val="00C43261"/>
    <w:rsid w:val="00C44186"/>
    <w:rsid w:val="00C47584"/>
    <w:rsid w:val="00C50612"/>
    <w:rsid w:val="00C50F2E"/>
    <w:rsid w:val="00C51C28"/>
    <w:rsid w:val="00C535B2"/>
    <w:rsid w:val="00C602A0"/>
    <w:rsid w:val="00C60309"/>
    <w:rsid w:val="00C61ED2"/>
    <w:rsid w:val="00C6391E"/>
    <w:rsid w:val="00C64BCA"/>
    <w:rsid w:val="00C64F35"/>
    <w:rsid w:val="00C657FF"/>
    <w:rsid w:val="00C66EED"/>
    <w:rsid w:val="00C71C8A"/>
    <w:rsid w:val="00C744B4"/>
    <w:rsid w:val="00C74893"/>
    <w:rsid w:val="00C7550F"/>
    <w:rsid w:val="00C75F01"/>
    <w:rsid w:val="00C81152"/>
    <w:rsid w:val="00C81380"/>
    <w:rsid w:val="00C8143E"/>
    <w:rsid w:val="00C83133"/>
    <w:rsid w:val="00C86DDD"/>
    <w:rsid w:val="00C90A4D"/>
    <w:rsid w:val="00C9195C"/>
    <w:rsid w:val="00C91F74"/>
    <w:rsid w:val="00C9296E"/>
    <w:rsid w:val="00C93B6F"/>
    <w:rsid w:val="00C94076"/>
    <w:rsid w:val="00C9473F"/>
    <w:rsid w:val="00C9498C"/>
    <w:rsid w:val="00C94AE8"/>
    <w:rsid w:val="00C95057"/>
    <w:rsid w:val="00C95E49"/>
    <w:rsid w:val="00C96A49"/>
    <w:rsid w:val="00C96BE4"/>
    <w:rsid w:val="00C97619"/>
    <w:rsid w:val="00C979DE"/>
    <w:rsid w:val="00CA065C"/>
    <w:rsid w:val="00CA1D55"/>
    <w:rsid w:val="00CA43EA"/>
    <w:rsid w:val="00CA6102"/>
    <w:rsid w:val="00CB1A95"/>
    <w:rsid w:val="00CB1E48"/>
    <w:rsid w:val="00CB498B"/>
    <w:rsid w:val="00CB6421"/>
    <w:rsid w:val="00CB6A75"/>
    <w:rsid w:val="00CB70B2"/>
    <w:rsid w:val="00CB797A"/>
    <w:rsid w:val="00CC11C7"/>
    <w:rsid w:val="00CC267A"/>
    <w:rsid w:val="00CC608B"/>
    <w:rsid w:val="00CC6473"/>
    <w:rsid w:val="00CC7046"/>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A04"/>
    <w:rsid w:val="00D04DDF"/>
    <w:rsid w:val="00D0554F"/>
    <w:rsid w:val="00D05816"/>
    <w:rsid w:val="00D06F97"/>
    <w:rsid w:val="00D1085C"/>
    <w:rsid w:val="00D111FD"/>
    <w:rsid w:val="00D12FDE"/>
    <w:rsid w:val="00D14608"/>
    <w:rsid w:val="00D14B55"/>
    <w:rsid w:val="00D15771"/>
    <w:rsid w:val="00D175ED"/>
    <w:rsid w:val="00D22732"/>
    <w:rsid w:val="00D227F1"/>
    <w:rsid w:val="00D256B0"/>
    <w:rsid w:val="00D26F59"/>
    <w:rsid w:val="00D302BC"/>
    <w:rsid w:val="00D31ECB"/>
    <w:rsid w:val="00D321F9"/>
    <w:rsid w:val="00D32FD2"/>
    <w:rsid w:val="00D3483C"/>
    <w:rsid w:val="00D34CE0"/>
    <w:rsid w:val="00D35D90"/>
    <w:rsid w:val="00D404F3"/>
    <w:rsid w:val="00D41989"/>
    <w:rsid w:val="00D4290B"/>
    <w:rsid w:val="00D44D3C"/>
    <w:rsid w:val="00D4552E"/>
    <w:rsid w:val="00D45B7E"/>
    <w:rsid w:val="00D46A4D"/>
    <w:rsid w:val="00D47122"/>
    <w:rsid w:val="00D473E6"/>
    <w:rsid w:val="00D4782C"/>
    <w:rsid w:val="00D47FF4"/>
    <w:rsid w:val="00D516F9"/>
    <w:rsid w:val="00D51E00"/>
    <w:rsid w:val="00D51E1F"/>
    <w:rsid w:val="00D527CD"/>
    <w:rsid w:val="00D530E0"/>
    <w:rsid w:val="00D5560B"/>
    <w:rsid w:val="00D564BE"/>
    <w:rsid w:val="00D57E8C"/>
    <w:rsid w:val="00D6014C"/>
    <w:rsid w:val="00D60F8A"/>
    <w:rsid w:val="00D63563"/>
    <w:rsid w:val="00D64876"/>
    <w:rsid w:val="00D67CE8"/>
    <w:rsid w:val="00D70AB2"/>
    <w:rsid w:val="00D70C1A"/>
    <w:rsid w:val="00D71120"/>
    <w:rsid w:val="00D71EE4"/>
    <w:rsid w:val="00D72319"/>
    <w:rsid w:val="00D72932"/>
    <w:rsid w:val="00D72F8E"/>
    <w:rsid w:val="00D73962"/>
    <w:rsid w:val="00D74696"/>
    <w:rsid w:val="00D746D9"/>
    <w:rsid w:val="00D75E51"/>
    <w:rsid w:val="00D75FE6"/>
    <w:rsid w:val="00D76A03"/>
    <w:rsid w:val="00D76C22"/>
    <w:rsid w:val="00D77190"/>
    <w:rsid w:val="00D815C5"/>
    <w:rsid w:val="00D847EF"/>
    <w:rsid w:val="00D8544C"/>
    <w:rsid w:val="00D85794"/>
    <w:rsid w:val="00D85EC2"/>
    <w:rsid w:val="00D90B46"/>
    <w:rsid w:val="00D92196"/>
    <w:rsid w:val="00D92DEC"/>
    <w:rsid w:val="00D94DF6"/>
    <w:rsid w:val="00D977A1"/>
    <w:rsid w:val="00D97F63"/>
    <w:rsid w:val="00DA1F0D"/>
    <w:rsid w:val="00DA3DB3"/>
    <w:rsid w:val="00DA4888"/>
    <w:rsid w:val="00DA7CE7"/>
    <w:rsid w:val="00DB2F44"/>
    <w:rsid w:val="00DB3263"/>
    <w:rsid w:val="00DB43B1"/>
    <w:rsid w:val="00DB468E"/>
    <w:rsid w:val="00DB4B6E"/>
    <w:rsid w:val="00DB5E23"/>
    <w:rsid w:val="00DB710D"/>
    <w:rsid w:val="00DB7F40"/>
    <w:rsid w:val="00DC0625"/>
    <w:rsid w:val="00DC09DA"/>
    <w:rsid w:val="00DC12A3"/>
    <w:rsid w:val="00DC16F2"/>
    <w:rsid w:val="00DC25AD"/>
    <w:rsid w:val="00DC293C"/>
    <w:rsid w:val="00DC2F33"/>
    <w:rsid w:val="00DC679D"/>
    <w:rsid w:val="00DC6A42"/>
    <w:rsid w:val="00DD087D"/>
    <w:rsid w:val="00DD1964"/>
    <w:rsid w:val="00DD22A6"/>
    <w:rsid w:val="00DD2D1F"/>
    <w:rsid w:val="00DD30B2"/>
    <w:rsid w:val="00DD3D3F"/>
    <w:rsid w:val="00DD4942"/>
    <w:rsid w:val="00DD4E06"/>
    <w:rsid w:val="00DD5502"/>
    <w:rsid w:val="00DD5B93"/>
    <w:rsid w:val="00DD64B7"/>
    <w:rsid w:val="00DD6BC3"/>
    <w:rsid w:val="00DD73B5"/>
    <w:rsid w:val="00DE3687"/>
    <w:rsid w:val="00DE38F3"/>
    <w:rsid w:val="00DE504E"/>
    <w:rsid w:val="00DE658E"/>
    <w:rsid w:val="00DE78E8"/>
    <w:rsid w:val="00DF32A9"/>
    <w:rsid w:val="00DF435E"/>
    <w:rsid w:val="00DF4AF4"/>
    <w:rsid w:val="00DF77D7"/>
    <w:rsid w:val="00DF789F"/>
    <w:rsid w:val="00E03FFD"/>
    <w:rsid w:val="00E0481E"/>
    <w:rsid w:val="00E1112C"/>
    <w:rsid w:val="00E11D52"/>
    <w:rsid w:val="00E1322E"/>
    <w:rsid w:val="00E14262"/>
    <w:rsid w:val="00E1521A"/>
    <w:rsid w:val="00E15785"/>
    <w:rsid w:val="00E15788"/>
    <w:rsid w:val="00E17BDF"/>
    <w:rsid w:val="00E17F74"/>
    <w:rsid w:val="00E22DFC"/>
    <w:rsid w:val="00E26A75"/>
    <w:rsid w:val="00E3053A"/>
    <w:rsid w:val="00E30B1D"/>
    <w:rsid w:val="00E30E6D"/>
    <w:rsid w:val="00E314C7"/>
    <w:rsid w:val="00E31B34"/>
    <w:rsid w:val="00E33761"/>
    <w:rsid w:val="00E3440B"/>
    <w:rsid w:val="00E34774"/>
    <w:rsid w:val="00E35527"/>
    <w:rsid w:val="00E358BA"/>
    <w:rsid w:val="00E35CD4"/>
    <w:rsid w:val="00E36FEB"/>
    <w:rsid w:val="00E407C6"/>
    <w:rsid w:val="00E42B36"/>
    <w:rsid w:val="00E43D91"/>
    <w:rsid w:val="00E442FF"/>
    <w:rsid w:val="00E4517D"/>
    <w:rsid w:val="00E47E6D"/>
    <w:rsid w:val="00E47EBC"/>
    <w:rsid w:val="00E573F4"/>
    <w:rsid w:val="00E602A3"/>
    <w:rsid w:val="00E6096F"/>
    <w:rsid w:val="00E615D1"/>
    <w:rsid w:val="00E62AA4"/>
    <w:rsid w:val="00E62BCD"/>
    <w:rsid w:val="00E62DB0"/>
    <w:rsid w:val="00E63016"/>
    <w:rsid w:val="00E63D30"/>
    <w:rsid w:val="00E63EA8"/>
    <w:rsid w:val="00E63FF0"/>
    <w:rsid w:val="00E65595"/>
    <w:rsid w:val="00E659AB"/>
    <w:rsid w:val="00E65ACE"/>
    <w:rsid w:val="00E7030F"/>
    <w:rsid w:val="00E70DFB"/>
    <w:rsid w:val="00E715D6"/>
    <w:rsid w:val="00E720F1"/>
    <w:rsid w:val="00E72DFE"/>
    <w:rsid w:val="00E72F70"/>
    <w:rsid w:val="00E755F5"/>
    <w:rsid w:val="00E80035"/>
    <w:rsid w:val="00E80D92"/>
    <w:rsid w:val="00E84B9B"/>
    <w:rsid w:val="00E85E75"/>
    <w:rsid w:val="00E8789C"/>
    <w:rsid w:val="00E908BF"/>
    <w:rsid w:val="00E90931"/>
    <w:rsid w:val="00E91A7C"/>
    <w:rsid w:val="00E94B4D"/>
    <w:rsid w:val="00E951D6"/>
    <w:rsid w:val="00E95C82"/>
    <w:rsid w:val="00E976F7"/>
    <w:rsid w:val="00E9789B"/>
    <w:rsid w:val="00EA22B4"/>
    <w:rsid w:val="00EA48FB"/>
    <w:rsid w:val="00EA6425"/>
    <w:rsid w:val="00EA6750"/>
    <w:rsid w:val="00EB0353"/>
    <w:rsid w:val="00EB1A87"/>
    <w:rsid w:val="00EB1A8F"/>
    <w:rsid w:val="00EB270A"/>
    <w:rsid w:val="00EB2D0B"/>
    <w:rsid w:val="00EB7BC3"/>
    <w:rsid w:val="00EC021E"/>
    <w:rsid w:val="00EC1587"/>
    <w:rsid w:val="00EC17B6"/>
    <w:rsid w:val="00EC3194"/>
    <w:rsid w:val="00EC5256"/>
    <w:rsid w:val="00EC674B"/>
    <w:rsid w:val="00ED3B35"/>
    <w:rsid w:val="00ED511E"/>
    <w:rsid w:val="00ED6B9B"/>
    <w:rsid w:val="00EE17BD"/>
    <w:rsid w:val="00EE2064"/>
    <w:rsid w:val="00EE3966"/>
    <w:rsid w:val="00EE4D95"/>
    <w:rsid w:val="00EE533B"/>
    <w:rsid w:val="00EE5483"/>
    <w:rsid w:val="00EE593E"/>
    <w:rsid w:val="00EE6532"/>
    <w:rsid w:val="00EF018D"/>
    <w:rsid w:val="00EF0ACC"/>
    <w:rsid w:val="00EF371B"/>
    <w:rsid w:val="00EF4608"/>
    <w:rsid w:val="00EF4B88"/>
    <w:rsid w:val="00EF761B"/>
    <w:rsid w:val="00F01418"/>
    <w:rsid w:val="00F0191A"/>
    <w:rsid w:val="00F0338C"/>
    <w:rsid w:val="00F037C1"/>
    <w:rsid w:val="00F0560A"/>
    <w:rsid w:val="00F05BC9"/>
    <w:rsid w:val="00F06609"/>
    <w:rsid w:val="00F06D9F"/>
    <w:rsid w:val="00F10854"/>
    <w:rsid w:val="00F112F4"/>
    <w:rsid w:val="00F11A73"/>
    <w:rsid w:val="00F12801"/>
    <w:rsid w:val="00F12C39"/>
    <w:rsid w:val="00F130EA"/>
    <w:rsid w:val="00F13D53"/>
    <w:rsid w:val="00F153D0"/>
    <w:rsid w:val="00F20A89"/>
    <w:rsid w:val="00F21AA4"/>
    <w:rsid w:val="00F2451F"/>
    <w:rsid w:val="00F2503B"/>
    <w:rsid w:val="00F26FCA"/>
    <w:rsid w:val="00F304B6"/>
    <w:rsid w:val="00F3096C"/>
    <w:rsid w:val="00F33660"/>
    <w:rsid w:val="00F34DCF"/>
    <w:rsid w:val="00F364E7"/>
    <w:rsid w:val="00F37158"/>
    <w:rsid w:val="00F37CF8"/>
    <w:rsid w:val="00F41981"/>
    <w:rsid w:val="00F43BF4"/>
    <w:rsid w:val="00F4530E"/>
    <w:rsid w:val="00F4554F"/>
    <w:rsid w:val="00F46D65"/>
    <w:rsid w:val="00F47589"/>
    <w:rsid w:val="00F47C07"/>
    <w:rsid w:val="00F47F98"/>
    <w:rsid w:val="00F5136C"/>
    <w:rsid w:val="00F51555"/>
    <w:rsid w:val="00F518F3"/>
    <w:rsid w:val="00F5378D"/>
    <w:rsid w:val="00F547A9"/>
    <w:rsid w:val="00F54A25"/>
    <w:rsid w:val="00F552BB"/>
    <w:rsid w:val="00F55578"/>
    <w:rsid w:val="00F55A81"/>
    <w:rsid w:val="00F57321"/>
    <w:rsid w:val="00F602E1"/>
    <w:rsid w:val="00F6281D"/>
    <w:rsid w:val="00F6353F"/>
    <w:rsid w:val="00F63DE9"/>
    <w:rsid w:val="00F6671C"/>
    <w:rsid w:val="00F7087F"/>
    <w:rsid w:val="00F72113"/>
    <w:rsid w:val="00F73021"/>
    <w:rsid w:val="00F756DA"/>
    <w:rsid w:val="00F805C3"/>
    <w:rsid w:val="00F825F7"/>
    <w:rsid w:val="00F833B4"/>
    <w:rsid w:val="00F86798"/>
    <w:rsid w:val="00F8697E"/>
    <w:rsid w:val="00F86FB4"/>
    <w:rsid w:val="00F90468"/>
    <w:rsid w:val="00F91DF8"/>
    <w:rsid w:val="00F93243"/>
    <w:rsid w:val="00F957A0"/>
    <w:rsid w:val="00F9650F"/>
    <w:rsid w:val="00F9666F"/>
    <w:rsid w:val="00FA17D4"/>
    <w:rsid w:val="00FA2816"/>
    <w:rsid w:val="00FA30F1"/>
    <w:rsid w:val="00FA4ED9"/>
    <w:rsid w:val="00FA6107"/>
    <w:rsid w:val="00FB070D"/>
    <w:rsid w:val="00FB0D1D"/>
    <w:rsid w:val="00FB1023"/>
    <w:rsid w:val="00FB2FBC"/>
    <w:rsid w:val="00FB3DC2"/>
    <w:rsid w:val="00FB3E31"/>
    <w:rsid w:val="00FB4BED"/>
    <w:rsid w:val="00FB7884"/>
    <w:rsid w:val="00FB7B5F"/>
    <w:rsid w:val="00FC37F5"/>
    <w:rsid w:val="00FC43E5"/>
    <w:rsid w:val="00FC46A5"/>
    <w:rsid w:val="00FC6258"/>
    <w:rsid w:val="00FC78F1"/>
    <w:rsid w:val="00FC7B37"/>
    <w:rsid w:val="00FC7EB2"/>
    <w:rsid w:val="00FD2491"/>
    <w:rsid w:val="00FD369C"/>
    <w:rsid w:val="00FE0128"/>
    <w:rsid w:val="00FE0F6B"/>
    <w:rsid w:val="00FE67BA"/>
    <w:rsid w:val="00FE7A15"/>
    <w:rsid w:val="00FF0697"/>
    <w:rsid w:val="00FF0DE6"/>
    <w:rsid w:val="00FF1233"/>
    <w:rsid w:val="00FF1595"/>
    <w:rsid w:val="00FF2B43"/>
    <w:rsid w:val="00FF30F1"/>
    <w:rsid w:val="00FF3AA2"/>
    <w:rsid w:val="00FF3CD7"/>
    <w:rsid w:val="00FF4BF8"/>
    <w:rsid w:val="00FF51F9"/>
    <w:rsid w:val="00FF53BB"/>
    <w:rsid w:val="00FF6A16"/>
    <w:rsid w:val="00FF6D14"/>
    <w:rsid w:val="00FF6ED2"/>
    <w:rsid w:val="00FF7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2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5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5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631247562">
      <w:bodyDiv w:val="1"/>
      <w:marLeft w:val="0"/>
      <w:marRight w:val="0"/>
      <w:marTop w:val="0"/>
      <w:marBottom w:val="0"/>
      <w:divBdr>
        <w:top w:val="none" w:sz="0" w:space="0" w:color="auto"/>
        <w:left w:val="none" w:sz="0" w:space="0" w:color="auto"/>
        <w:bottom w:val="none" w:sz="0" w:space="0" w:color="auto"/>
        <w:right w:val="none" w:sz="0" w:space="0" w:color="auto"/>
      </w:divBdr>
      <w:divsChild>
        <w:div w:id="10188426">
          <w:marLeft w:val="0"/>
          <w:marRight w:val="0"/>
          <w:marTop w:val="0"/>
          <w:marBottom w:val="0"/>
          <w:divBdr>
            <w:top w:val="none" w:sz="0" w:space="0" w:color="auto"/>
            <w:left w:val="none" w:sz="0" w:space="0" w:color="auto"/>
            <w:bottom w:val="none" w:sz="0" w:space="0" w:color="auto"/>
            <w:right w:val="none" w:sz="0" w:space="0" w:color="auto"/>
          </w:divBdr>
          <w:divsChild>
            <w:div w:id="756290972">
              <w:marLeft w:val="0"/>
              <w:marRight w:val="0"/>
              <w:marTop w:val="0"/>
              <w:marBottom w:val="0"/>
              <w:divBdr>
                <w:top w:val="none" w:sz="0" w:space="0" w:color="auto"/>
                <w:left w:val="none" w:sz="0" w:space="0" w:color="auto"/>
                <w:bottom w:val="none" w:sz="0" w:space="0" w:color="auto"/>
                <w:right w:val="none" w:sz="0" w:space="0" w:color="auto"/>
              </w:divBdr>
              <w:divsChild>
                <w:div w:id="732654464">
                  <w:marLeft w:val="0"/>
                  <w:marRight w:val="0"/>
                  <w:marTop w:val="0"/>
                  <w:marBottom w:val="0"/>
                  <w:divBdr>
                    <w:top w:val="none" w:sz="0" w:space="0" w:color="auto"/>
                    <w:left w:val="none" w:sz="0" w:space="0" w:color="auto"/>
                    <w:bottom w:val="none" w:sz="0" w:space="0" w:color="auto"/>
                    <w:right w:val="none" w:sz="0" w:space="0" w:color="auto"/>
                  </w:divBdr>
                  <w:divsChild>
                    <w:div w:id="753747737">
                      <w:marLeft w:val="0"/>
                      <w:marRight w:val="0"/>
                      <w:marTop w:val="0"/>
                      <w:marBottom w:val="0"/>
                      <w:divBdr>
                        <w:top w:val="none" w:sz="0" w:space="0" w:color="auto"/>
                        <w:left w:val="none" w:sz="0" w:space="0" w:color="auto"/>
                        <w:bottom w:val="none" w:sz="0" w:space="0" w:color="auto"/>
                        <w:right w:val="none" w:sz="0" w:space="0" w:color="auto"/>
                      </w:divBdr>
                      <w:divsChild>
                        <w:div w:id="534773861">
                          <w:marLeft w:val="0"/>
                          <w:marRight w:val="0"/>
                          <w:marTop w:val="0"/>
                          <w:marBottom w:val="0"/>
                          <w:divBdr>
                            <w:top w:val="none" w:sz="0" w:space="0" w:color="auto"/>
                            <w:left w:val="none" w:sz="0" w:space="0" w:color="auto"/>
                            <w:bottom w:val="none" w:sz="0" w:space="0" w:color="auto"/>
                            <w:right w:val="none" w:sz="0" w:space="0" w:color="auto"/>
                          </w:divBdr>
                          <w:divsChild>
                            <w:div w:id="2133356339">
                              <w:marLeft w:val="15"/>
                              <w:marRight w:val="195"/>
                              <w:marTop w:val="0"/>
                              <w:marBottom w:val="0"/>
                              <w:divBdr>
                                <w:top w:val="none" w:sz="0" w:space="0" w:color="auto"/>
                                <w:left w:val="none" w:sz="0" w:space="0" w:color="auto"/>
                                <w:bottom w:val="none" w:sz="0" w:space="0" w:color="auto"/>
                                <w:right w:val="none" w:sz="0" w:space="0" w:color="auto"/>
                              </w:divBdr>
                              <w:divsChild>
                                <w:div w:id="1702507437">
                                  <w:marLeft w:val="0"/>
                                  <w:marRight w:val="0"/>
                                  <w:marTop w:val="0"/>
                                  <w:marBottom w:val="0"/>
                                  <w:divBdr>
                                    <w:top w:val="none" w:sz="0" w:space="0" w:color="auto"/>
                                    <w:left w:val="none" w:sz="0" w:space="0" w:color="auto"/>
                                    <w:bottom w:val="none" w:sz="0" w:space="0" w:color="auto"/>
                                    <w:right w:val="none" w:sz="0" w:space="0" w:color="auto"/>
                                  </w:divBdr>
                                  <w:divsChild>
                                    <w:div w:id="529682293">
                                      <w:marLeft w:val="0"/>
                                      <w:marRight w:val="0"/>
                                      <w:marTop w:val="0"/>
                                      <w:marBottom w:val="0"/>
                                      <w:divBdr>
                                        <w:top w:val="none" w:sz="0" w:space="0" w:color="auto"/>
                                        <w:left w:val="none" w:sz="0" w:space="0" w:color="auto"/>
                                        <w:bottom w:val="none" w:sz="0" w:space="0" w:color="auto"/>
                                        <w:right w:val="none" w:sz="0" w:space="0" w:color="auto"/>
                                      </w:divBdr>
                                      <w:divsChild>
                                        <w:div w:id="1669792052">
                                          <w:marLeft w:val="0"/>
                                          <w:marRight w:val="0"/>
                                          <w:marTop w:val="0"/>
                                          <w:marBottom w:val="0"/>
                                          <w:divBdr>
                                            <w:top w:val="none" w:sz="0" w:space="0" w:color="auto"/>
                                            <w:left w:val="none" w:sz="0" w:space="0" w:color="auto"/>
                                            <w:bottom w:val="none" w:sz="0" w:space="0" w:color="auto"/>
                                            <w:right w:val="none" w:sz="0" w:space="0" w:color="auto"/>
                                          </w:divBdr>
                                          <w:divsChild>
                                            <w:div w:id="279803184">
                                              <w:marLeft w:val="0"/>
                                              <w:marRight w:val="0"/>
                                              <w:marTop w:val="0"/>
                                              <w:marBottom w:val="0"/>
                                              <w:divBdr>
                                                <w:top w:val="none" w:sz="0" w:space="0" w:color="auto"/>
                                                <w:left w:val="none" w:sz="0" w:space="0" w:color="auto"/>
                                                <w:bottom w:val="none" w:sz="0" w:space="0" w:color="auto"/>
                                                <w:right w:val="none" w:sz="0" w:space="0" w:color="auto"/>
                                              </w:divBdr>
                                              <w:divsChild>
                                                <w:div w:id="987786882">
                                                  <w:marLeft w:val="0"/>
                                                  <w:marRight w:val="0"/>
                                                  <w:marTop w:val="0"/>
                                                  <w:marBottom w:val="0"/>
                                                  <w:divBdr>
                                                    <w:top w:val="none" w:sz="0" w:space="0" w:color="auto"/>
                                                    <w:left w:val="none" w:sz="0" w:space="0" w:color="auto"/>
                                                    <w:bottom w:val="none" w:sz="0" w:space="0" w:color="auto"/>
                                                    <w:right w:val="none" w:sz="0" w:space="0" w:color="auto"/>
                                                  </w:divBdr>
                                                  <w:divsChild>
                                                    <w:div w:id="756170971">
                                                      <w:marLeft w:val="0"/>
                                                      <w:marRight w:val="0"/>
                                                      <w:marTop w:val="0"/>
                                                      <w:marBottom w:val="0"/>
                                                      <w:divBdr>
                                                        <w:top w:val="none" w:sz="0" w:space="0" w:color="auto"/>
                                                        <w:left w:val="none" w:sz="0" w:space="0" w:color="auto"/>
                                                        <w:bottom w:val="none" w:sz="0" w:space="0" w:color="auto"/>
                                                        <w:right w:val="none" w:sz="0" w:space="0" w:color="auto"/>
                                                      </w:divBdr>
                                                      <w:divsChild>
                                                        <w:div w:id="1203716095">
                                                          <w:marLeft w:val="0"/>
                                                          <w:marRight w:val="0"/>
                                                          <w:marTop w:val="0"/>
                                                          <w:marBottom w:val="0"/>
                                                          <w:divBdr>
                                                            <w:top w:val="none" w:sz="0" w:space="0" w:color="auto"/>
                                                            <w:left w:val="none" w:sz="0" w:space="0" w:color="auto"/>
                                                            <w:bottom w:val="none" w:sz="0" w:space="0" w:color="auto"/>
                                                            <w:right w:val="none" w:sz="0" w:space="0" w:color="auto"/>
                                                          </w:divBdr>
                                                          <w:divsChild>
                                                            <w:div w:id="1714113760">
                                                              <w:marLeft w:val="0"/>
                                                              <w:marRight w:val="0"/>
                                                              <w:marTop w:val="0"/>
                                                              <w:marBottom w:val="0"/>
                                                              <w:divBdr>
                                                                <w:top w:val="none" w:sz="0" w:space="0" w:color="auto"/>
                                                                <w:left w:val="none" w:sz="0" w:space="0" w:color="auto"/>
                                                                <w:bottom w:val="none" w:sz="0" w:space="0" w:color="auto"/>
                                                                <w:right w:val="none" w:sz="0" w:space="0" w:color="auto"/>
                                                              </w:divBdr>
                                                              <w:divsChild>
                                                                <w:div w:id="844442399">
                                                                  <w:marLeft w:val="0"/>
                                                                  <w:marRight w:val="0"/>
                                                                  <w:marTop w:val="0"/>
                                                                  <w:marBottom w:val="0"/>
                                                                  <w:divBdr>
                                                                    <w:top w:val="none" w:sz="0" w:space="0" w:color="auto"/>
                                                                    <w:left w:val="none" w:sz="0" w:space="0" w:color="auto"/>
                                                                    <w:bottom w:val="none" w:sz="0" w:space="0" w:color="auto"/>
                                                                    <w:right w:val="none" w:sz="0" w:space="0" w:color="auto"/>
                                                                  </w:divBdr>
                                                                  <w:divsChild>
                                                                    <w:div w:id="1129593031">
                                                                      <w:marLeft w:val="405"/>
                                                                      <w:marRight w:val="0"/>
                                                                      <w:marTop w:val="0"/>
                                                                      <w:marBottom w:val="0"/>
                                                                      <w:divBdr>
                                                                        <w:top w:val="none" w:sz="0" w:space="0" w:color="auto"/>
                                                                        <w:left w:val="none" w:sz="0" w:space="0" w:color="auto"/>
                                                                        <w:bottom w:val="none" w:sz="0" w:space="0" w:color="auto"/>
                                                                        <w:right w:val="none" w:sz="0" w:space="0" w:color="auto"/>
                                                                      </w:divBdr>
                                                                      <w:divsChild>
                                                                        <w:div w:id="1580794645">
                                                                          <w:marLeft w:val="0"/>
                                                                          <w:marRight w:val="0"/>
                                                                          <w:marTop w:val="0"/>
                                                                          <w:marBottom w:val="0"/>
                                                                          <w:divBdr>
                                                                            <w:top w:val="none" w:sz="0" w:space="0" w:color="auto"/>
                                                                            <w:left w:val="none" w:sz="0" w:space="0" w:color="auto"/>
                                                                            <w:bottom w:val="none" w:sz="0" w:space="0" w:color="auto"/>
                                                                            <w:right w:val="none" w:sz="0" w:space="0" w:color="auto"/>
                                                                          </w:divBdr>
                                                                          <w:divsChild>
                                                                            <w:div w:id="1946187330">
                                                                              <w:marLeft w:val="0"/>
                                                                              <w:marRight w:val="0"/>
                                                                              <w:marTop w:val="0"/>
                                                                              <w:marBottom w:val="0"/>
                                                                              <w:divBdr>
                                                                                <w:top w:val="none" w:sz="0" w:space="0" w:color="auto"/>
                                                                                <w:left w:val="none" w:sz="0" w:space="0" w:color="auto"/>
                                                                                <w:bottom w:val="none" w:sz="0" w:space="0" w:color="auto"/>
                                                                                <w:right w:val="none" w:sz="0" w:space="0" w:color="auto"/>
                                                                              </w:divBdr>
                                                                              <w:divsChild>
                                                                                <w:div w:id="982537408">
                                                                                  <w:marLeft w:val="0"/>
                                                                                  <w:marRight w:val="0"/>
                                                                                  <w:marTop w:val="60"/>
                                                                                  <w:marBottom w:val="0"/>
                                                                                  <w:divBdr>
                                                                                    <w:top w:val="none" w:sz="0" w:space="0" w:color="auto"/>
                                                                                    <w:left w:val="none" w:sz="0" w:space="0" w:color="auto"/>
                                                                                    <w:bottom w:val="none" w:sz="0" w:space="0" w:color="auto"/>
                                                                                    <w:right w:val="none" w:sz="0" w:space="0" w:color="auto"/>
                                                                                  </w:divBdr>
                                                                                  <w:divsChild>
                                                                                    <w:div w:id="1286230664">
                                                                                      <w:marLeft w:val="0"/>
                                                                                      <w:marRight w:val="0"/>
                                                                                      <w:marTop w:val="0"/>
                                                                                      <w:marBottom w:val="0"/>
                                                                                      <w:divBdr>
                                                                                        <w:top w:val="none" w:sz="0" w:space="0" w:color="auto"/>
                                                                                        <w:left w:val="none" w:sz="0" w:space="0" w:color="auto"/>
                                                                                        <w:bottom w:val="none" w:sz="0" w:space="0" w:color="auto"/>
                                                                                        <w:right w:val="none" w:sz="0" w:space="0" w:color="auto"/>
                                                                                      </w:divBdr>
                                                                                      <w:divsChild>
                                                                                        <w:div w:id="1056051837">
                                                                                          <w:marLeft w:val="0"/>
                                                                                          <w:marRight w:val="0"/>
                                                                                          <w:marTop w:val="0"/>
                                                                                          <w:marBottom w:val="0"/>
                                                                                          <w:divBdr>
                                                                                            <w:top w:val="none" w:sz="0" w:space="0" w:color="auto"/>
                                                                                            <w:left w:val="none" w:sz="0" w:space="0" w:color="auto"/>
                                                                                            <w:bottom w:val="none" w:sz="0" w:space="0" w:color="auto"/>
                                                                                            <w:right w:val="none" w:sz="0" w:space="0" w:color="auto"/>
                                                                                          </w:divBdr>
                                                                                          <w:divsChild>
                                                                                            <w:div w:id="1502695031">
                                                                                              <w:marLeft w:val="0"/>
                                                                                              <w:marRight w:val="0"/>
                                                                                              <w:marTop w:val="0"/>
                                                                                              <w:marBottom w:val="0"/>
                                                                                              <w:divBdr>
                                                                                                <w:top w:val="none" w:sz="0" w:space="0" w:color="auto"/>
                                                                                                <w:left w:val="none" w:sz="0" w:space="0" w:color="auto"/>
                                                                                                <w:bottom w:val="none" w:sz="0" w:space="0" w:color="auto"/>
                                                                                                <w:right w:val="none" w:sz="0" w:space="0" w:color="auto"/>
                                                                                              </w:divBdr>
                                                                                              <w:divsChild>
                                                                                                <w:div w:id="1883790435">
                                                                                                  <w:marLeft w:val="0"/>
                                                                                                  <w:marRight w:val="0"/>
                                                                                                  <w:marTop w:val="0"/>
                                                                                                  <w:marBottom w:val="0"/>
                                                                                                  <w:divBdr>
                                                                                                    <w:top w:val="none" w:sz="0" w:space="0" w:color="auto"/>
                                                                                                    <w:left w:val="none" w:sz="0" w:space="0" w:color="auto"/>
                                                                                                    <w:bottom w:val="none" w:sz="0" w:space="0" w:color="auto"/>
                                                                                                    <w:right w:val="none" w:sz="0" w:space="0" w:color="auto"/>
                                                                                                  </w:divBdr>
                                                                                                  <w:divsChild>
                                                                                                    <w:div w:id="831533256">
                                                                                                      <w:marLeft w:val="0"/>
                                                                                                      <w:marRight w:val="0"/>
                                                                                                      <w:marTop w:val="0"/>
                                                                                                      <w:marBottom w:val="0"/>
                                                                                                      <w:divBdr>
                                                                                                        <w:top w:val="none" w:sz="0" w:space="0" w:color="auto"/>
                                                                                                        <w:left w:val="none" w:sz="0" w:space="0" w:color="auto"/>
                                                                                                        <w:bottom w:val="none" w:sz="0" w:space="0" w:color="auto"/>
                                                                                                        <w:right w:val="none" w:sz="0" w:space="0" w:color="auto"/>
                                                                                                      </w:divBdr>
                                                                                                      <w:divsChild>
                                                                                                        <w:div w:id="419525504">
                                                                                                          <w:marLeft w:val="0"/>
                                                                                                          <w:marRight w:val="0"/>
                                                                                                          <w:marTop w:val="0"/>
                                                                                                          <w:marBottom w:val="0"/>
                                                                                                          <w:divBdr>
                                                                                                            <w:top w:val="none" w:sz="0" w:space="0" w:color="auto"/>
                                                                                                            <w:left w:val="none" w:sz="0" w:space="0" w:color="auto"/>
                                                                                                            <w:bottom w:val="none" w:sz="0" w:space="0" w:color="auto"/>
                                                                                                            <w:right w:val="none" w:sz="0" w:space="0" w:color="auto"/>
                                                                                                          </w:divBdr>
                                                                                                          <w:divsChild>
                                                                                                            <w:div w:id="1292135118">
                                                                                                              <w:marLeft w:val="0"/>
                                                                                                              <w:marRight w:val="0"/>
                                                                                                              <w:marTop w:val="0"/>
                                                                                                              <w:marBottom w:val="0"/>
                                                                                                              <w:divBdr>
                                                                                                                <w:top w:val="none" w:sz="0" w:space="0" w:color="auto"/>
                                                                                                                <w:left w:val="none" w:sz="0" w:space="0" w:color="auto"/>
                                                                                                                <w:bottom w:val="none" w:sz="0" w:space="0" w:color="auto"/>
                                                                                                                <w:right w:val="none" w:sz="0" w:space="0" w:color="auto"/>
                                                                                                              </w:divBdr>
                                                                                                              <w:divsChild>
                                                                                                                <w:div w:id="269895877">
                                                                                                                  <w:marLeft w:val="0"/>
                                                                                                                  <w:marRight w:val="0"/>
                                                                                                                  <w:marTop w:val="0"/>
                                                                                                                  <w:marBottom w:val="0"/>
                                                                                                                  <w:divBdr>
                                                                                                                    <w:top w:val="none" w:sz="0" w:space="0" w:color="auto"/>
                                                                                                                    <w:left w:val="none" w:sz="0" w:space="0" w:color="auto"/>
                                                                                                                    <w:bottom w:val="none" w:sz="0" w:space="0" w:color="auto"/>
                                                                                                                    <w:right w:val="none" w:sz="0" w:space="0" w:color="auto"/>
                                                                                                                  </w:divBdr>
                                                                                                                  <w:divsChild>
                                                                                                                    <w:div w:id="867257143">
                                                                                                                      <w:marLeft w:val="0"/>
                                                                                                                      <w:marRight w:val="0"/>
                                                                                                                      <w:marTop w:val="0"/>
                                                                                                                      <w:marBottom w:val="0"/>
                                                                                                                      <w:divBdr>
                                                                                                                        <w:top w:val="none" w:sz="0" w:space="0" w:color="auto"/>
                                                                                                                        <w:left w:val="none" w:sz="0" w:space="0" w:color="auto"/>
                                                                                                                        <w:bottom w:val="none" w:sz="0" w:space="0" w:color="auto"/>
                                                                                                                        <w:right w:val="none" w:sz="0" w:space="0" w:color="auto"/>
                                                                                                                      </w:divBdr>
                                                                                                                      <w:divsChild>
                                                                                                                        <w:div w:id="939684299">
                                                                                                                          <w:marLeft w:val="0"/>
                                                                                                                          <w:marRight w:val="0"/>
                                                                                                                          <w:marTop w:val="0"/>
                                                                                                                          <w:marBottom w:val="0"/>
                                                                                                                          <w:divBdr>
                                                                                                                            <w:top w:val="none" w:sz="0" w:space="0" w:color="auto"/>
                                                                                                                            <w:left w:val="none" w:sz="0" w:space="0" w:color="auto"/>
                                                                                                                            <w:bottom w:val="none" w:sz="0" w:space="0" w:color="auto"/>
                                                                                                                            <w:right w:val="none" w:sz="0" w:space="0" w:color="auto"/>
                                                                                                                          </w:divBdr>
                                                                                                                          <w:divsChild>
                                                                                                                            <w:div w:id="509683739">
                                                                                                                              <w:marLeft w:val="0"/>
                                                                                                                              <w:marRight w:val="0"/>
                                                                                                                              <w:marTop w:val="0"/>
                                                                                                                              <w:marBottom w:val="0"/>
                                                                                                                              <w:divBdr>
                                                                                                                                <w:top w:val="none" w:sz="0" w:space="0" w:color="auto"/>
                                                                                                                                <w:left w:val="none" w:sz="0" w:space="0" w:color="auto"/>
                                                                                                                                <w:bottom w:val="none" w:sz="0" w:space="0" w:color="auto"/>
                                                                                                                                <w:right w:val="none" w:sz="0" w:space="0" w:color="auto"/>
                                                                                                                              </w:divBdr>
                                                                                                                              <w:divsChild>
                                                                                                                                <w:div w:id="1561287724">
                                                                                                                                  <w:marLeft w:val="0"/>
                                                                                                                                  <w:marRight w:val="0"/>
                                                                                                                                  <w:marTop w:val="0"/>
                                                                                                                                  <w:marBottom w:val="0"/>
                                                                                                                                  <w:divBdr>
                                                                                                                                    <w:top w:val="none" w:sz="0" w:space="0" w:color="auto"/>
                                                                                                                                    <w:left w:val="none" w:sz="0" w:space="0" w:color="auto"/>
                                                                                                                                    <w:bottom w:val="none" w:sz="0" w:space="0" w:color="auto"/>
                                                                                                                                    <w:right w:val="none" w:sz="0" w:space="0" w:color="auto"/>
                                                                                                                                  </w:divBdr>
                                                                                                                                  <w:divsChild>
                                                                                                                                    <w:div w:id="1923028609">
                                                                                                                                      <w:marLeft w:val="0"/>
                                                                                                                                      <w:marRight w:val="0"/>
                                                                                                                                      <w:marTop w:val="0"/>
                                                                                                                                      <w:marBottom w:val="0"/>
                                                                                                                                      <w:divBdr>
                                                                                                                                        <w:top w:val="none" w:sz="0" w:space="0" w:color="auto"/>
                                                                                                                                        <w:left w:val="none" w:sz="0" w:space="0" w:color="auto"/>
                                                                                                                                        <w:bottom w:val="none" w:sz="0" w:space="0" w:color="auto"/>
                                                                                                                                        <w:right w:val="none" w:sz="0" w:space="0" w:color="auto"/>
                                                                                                                                      </w:divBdr>
                                                                                                                                      <w:divsChild>
                                                                                                                                        <w:div w:id="1377318765">
                                                                                                                                          <w:marLeft w:val="0"/>
                                                                                                                                          <w:marRight w:val="0"/>
                                                                                                                                          <w:marTop w:val="0"/>
                                                                                                                                          <w:marBottom w:val="0"/>
                                                                                                                                          <w:divBdr>
                                                                                                                                            <w:top w:val="none" w:sz="0" w:space="0" w:color="auto"/>
                                                                                                                                            <w:left w:val="none" w:sz="0" w:space="0" w:color="auto"/>
                                                                                                                                            <w:bottom w:val="none" w:sz="0" w:space="0" w:color="auto"/>
                                                                                                                                            <w:right w:val="none" w:sz="0" w:space="0" w:color="auto"/>
                                                                                                                                          </w:divBdr>
                                                                                                                                          <w:divsChild>
                                                                                                                                            <w:div w:id="7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B351C576-C269-4801-874B-46829124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11604</Words>
  <Characters>66144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2018-07-19T11:40:00Z</dcterms:created>
  <dcterms:modified xsi:type="dcterms:W3CDTF">2018-07-19T11:40:00Z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