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147" w:rsidRDefault="009549E5">
      <w:bookmarkStart w:id="0" w:name="_GoBack"/>
      <w:bookmarkEnd w:id="0"/>
      <w:r w:rsidRPr="009549E5">
        <w:t>Due to the change in threshold requiring stress testing under section 401 of the Economic Growth, Regulatory Relief, and Consumer Protection Act, stress testing is no longer required for institutions with $10-$50 billion in total consolidated assets.  Therefore, we are removing the two ICs relating to the FFIEC 016.</w:t>
      </w:r>
    </w:p>
    <w:sectPr w:rsidR="00A201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E5"/>
    <w:rsid w:val="00297C5C"/>
    <w:rsid w:val="00305D0E"/>
    <w:rsid w:val="003C7DA5"/>
    <w:rsid w:val="009549E5"/>
    <w:rsid w:val="009E7F5B"/>
    <w:rsid w:val="00A20147"/>
    <w:rsid w:val="00A2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Mary</dc:creator>
  <cp:keywords/>
  <dc:description/>
  <cp:lastModifiedBy>SYSTEM</cp:lastModifiedBy>
  <cp:revision>2</cp:revision>
  <dcterms:created xsi:type="dcterms:W3CDTF">2018-07-30T14:50:00Z</dcterms:created>
  <dcterms:modified xsi:type="dcterms:W3CDTF">2018-07-30T14:50:00Z</dcterms:modified>
</cp:coreProperties>
</file>