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D48" w:rsidRPr="00F87A66" w:rsidRDefault="009E3D48" w:rsidP="009E3D48">
      <w:pPr>
        <w:jc w:val="center"/>
        <w:rPr>
          <w:rFonts w:asciiTheme="minorHAnsi" w:hAnsiTheme="minorHAnsi"/>
          <w:b/>
          <w:bCs/>
          <w:sz w:val="22"/>
        </w:rPr>
      </w:pPr>
      <w:bookmarkStart w:id="0" w:name="_GoBack"/>
      <w:bookmarkEnd w:id="0"/>
      <w:r w:rsidRPr="00F87A66">
        <w:rPr>
          <w:rFonts w:asciiTheme="minorHAnsi" w:hAnsiTheme="minorHAnsi"/>
          <w:b/>
          <w:bCs/>
          <w:sz w:val="22"/>
        </w:rPr>
        <w:t>SUPPORTING STATEMENT</w:t>
      </w:r>
    </w:p>
    <w:p w:rsidR="00A24315" w:rsidRDefault="00A24315" w:rsidP="009E3D48">
      <w:pPr>
        <w:jc w:val="center"/>
        <w:rPr>
          <w:rFonts w:asciiTheme="minorHAnsi" w:hAnsiTheme="minorHAnsi"/>
          <w:b/>
          <w:bCs/>
          <w:sz w:val="22"/>
        </w:rPr>
      </w:pPr>
      <w:r w:rsidRPr="00F87A66">
        <w:rPr>
          <w:rFonts w:asciiTheme="minorHAnsi" w:hAnsiTheme="minorHAnsi"/>
          <w:b/>
          <w:bCs/>
          <w:sz w:val="22"/>
        </w:rPr>
        <w:t>Internal Revenue Service (IRS)</w:t>
      </w:r>
    </w:p>
    <w:p w:rsidR="009302A1" w:rsidRPr="00F87A66" w:rsidRDefault="003475EA" w:rsidP="009E3D48">
      <w:pPr>
        <w:jc w:val="center"/>
        <w:rPr>
          <w:rFonts w:asciiTheme="minorHAnsi" w:hAnsiTheme="minorHAnsi"/>
          <w:b/>
          <w:bCs/>
          <w:sz w:val="22"/>
        </w:rPr>
      </w:pPr>
      <w:r w:rsidRPr="003475EA">
        <w:rPr>
          <w:rFonts w:asciiTheme="minorHAnsi" w:hAnsiTheme="minorHAnsi"/>
          <w:b/>
          <w:bCs/>
          <w:sz w:val="22"/>
        </w:rPr>
        <w:t>Simplified Employee Pension-Individual Retirement Accounts Contribution Agreement</w:t>
      </w:r>
    </w:p>
    <w:p w:rsidR="009E3D48" w:rsidRDefault="003475EA" w:rsidP="009E3D48">
      <w:pPr>
        <w:jc w:val="center"/>
        <w:rPr>
          <w:rFonts w:asciiTheme="minorHAnsi" w:hAnsiTheme="minorHAnsi"/>
          <w:b/>
          <w:bCs/>
          <w:sz w:val="22"/>
        </w:rPr>
      </w:pPr>
      <w:r w:rsidRPr="003475EA">
        <w:rPr>
          <w:rFonts w:asciiTheme="minorHAnsi" w:hAnsiTheme="minorHAnsi"/>
          <w:b/>
          <w:bCs/>
          <w:sz w:val="22"/>
        </w:rPr>
        <w:t>TD 7845</w:t>
      </w:r>
    </w:p>
    <w:p w:rsidR="00F87A66" w:rsidRPr="00F87A66" w:rsidRDefault="00F87A66" w:rsidP="009E3D48">
      <w:pPr>
        <w:jc w:val="center"/>
        <w:rPr>
          <w:rFonts w:asciiTheme="minorHAnsi" w:hAnsiTheme="minorHAnsi"/>
          <w:b/>
          <w:bCs/>
          <w:sz w:val="22"/>
        </w:rPr>
      </w:pPr>
      <w:r>
        <w:rPr>
          <w:rFonts w:asciiTheme="minorHAnsi" w:hAnsiTheme="minorHAnsi"/>
          <w:b/>
          <w:bCs/>
          <w:sz w:val="22"/>
        </w:rPr>
        <w:t>OMB Control Number 1545-</w:t>
      </w:r>
      <w:r w:rsidR="003475EA">
        <w:rPr>
          <w:rFonts w:asciiTheme="minorHAnsi" w:hAnsiTheme="minorHAnsi"/>
          <w:b/>
          <w:bCs/>
          <w:sz w:val="22"/>
        </w:rPr>
        <w:t>0817</w:t>
      </w:r>
    </w:p>
    <w:p w:rsidR="009E3D48" w:rsidRPr="00DC1585" w:rsidRDefault="009E3D48" w:rsidP="009E3D48">
      <w:pPr>
        <w:rPr>
          <w:rFonts w:asciiTheme="minorHAnsi" w:hAnsiTheme="minorHAnsi"/>
          <w:b/>
          <w:bCs/>
          <w:sz w:val="22"/>
          <w:u w:val="single"/>
        </w:rPr>
      </w:pPr>
    </w:p>
    <w:p w:rsidR="009E3D48"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CIRCUMSTANCES NECESSITATING COLLECTION OF INFORMATION </w:t>
      </w:r>
    </w:p>
    <w:p w:rsidR="00197CEF" w:rsidRPr="00197CEF" w:rsidRDefault="00197CEF" w:rsidP="00197CEF">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3475EA" w:rsidRPr="003475EA" w:rsidRDefault="003475EA" w:rsidP="003475EA">
      <w:pPr>
        <w:ind w:firstLine="540"/>
        <w:rPr>
          <w:rFonts w:asciiTheme="minorHAnsi" w:hAnsiTheme="minorHAnsi" w:cs="Courier New"/>
          <w:sz w:val="22"/>
        </w:rPr>
      </w:pPr>
      <w:r w:rsidRPr="003475EA">
        <w:rPr>
          <w:rFonts w:asciiTheme="minorHAnsi" w:hAnsiTheme="minorHAnsi" w:cs="Courier New"/>
          <w:sz w:val="22"/>
        </w:rPr>
        <w:t>26 CFR 301.6104(a)</w:t>
      </w:r>
      <w:r w:rsidRPr="003475EA">
        <w:rPr>
          <w:rFonts w:asciiTheme="minorHAnsi" w:hAnsiTheme="minorHAnsi" w:cs="Courier New"/>
          <w:sz w:val="22"/>
        </w:rPr>
        <w:noBreakHyphen/>
        <w:t>5(a)  (Formerly 26 CFR 301.6104-1(c)):</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hanging="180"/>
        <w:rPr>
          <w:rFonts w:asciiTheme="minorHAnsi" w:hAnsiTheme="minorHAnsi" w:cs="Courier New"/>
          <w:sz w:val="22"/>
        </w:rPr>
      </w:pPr>
      <w:r w:rsidRPr="003475EA">
        <w:rPr>
          <w:rFonts w:asciiTheme="minorHAnsi" w:hAnsiTheme="minorHAnsi" w:cs="Courier New"/>
          <w:sz w:val="22"/>
        </w:rPr>
        <w:t xml:space="preserve">   </w:t>
      </w:r>
      <w:r>
        <w:rPr>
          <w:rFonts w:asciiTheme="minorHAnsi" w:hAnsiTheme="minorHAnsi" w:cs="Courier New"/>
          <w:sz w:val="22"/>
        </w:rPr>
        <w:t xml:space="preserve">          </w:t>
      </w:r>
      <w:r w:rsidRPr="003475EA">
        <w:rPr>
          <w:rFonts w:asciiTheme="minorHAnsi" w:hAnsiTheme="minorHAnsi" w:cs="Courier New"/>
          <w:sz w:val="22"/>
        </w:rPr>
        <w:t xml:space="preserve">  IRC section 6104(a)(1)(D) states that upon the request of </w:t>
      </w:r>
    </w:p>
    <w:p w:rsidR="003475EA" w:rsidRPr="003475EA" w:rsidRDefault="003475EA" w:rsidP="003475EA">
      <w:pPr>
        <w:ind w:left="540" w:hanging="180"/>
        <w:rPr>
          <w:rFonts w:asciiTheme="minorHAnsi" w:hAnsiTheme="minorHAnsi" w:cs="Courier New"/>
          <w:sz w:val="22"/>
        </w:rPr>
      </w:pPr>
      <w:r>
        <w:rPr>
          <w:rFonts w:asciiTheme="minorHAnsi" w:hAnsiTheme="minorHAnsi" w:cs="Courier New"/>
          <w:sz w:val="22"/>
        </w:rPr>
        <w:t xml:space="preserve">    </w:t>
      </w:r>
      <w:r w:rsidRPr="003475EA">
        <w:rPr>
          <w:rFonts w:asciiTheme="minorHAnsi" w:hAnsiTheme="minorHAnsi" w:cs="Courier New"/>
          <w:sz w:val="22"/>
        </w:rPr>
        <w:t xml:space="preserve">the organization submitting supporting papers, the Commissioner shall withhold from public inspection any information which is related to any trade secret, patent process, style of work, or apparatus of the organization, if it is determined that public disclosure would adversely affect the organization.  This regulation requires that requests for withholding of information under section 6104(a)(1)(D) shall clearly identify the material desired to be withheld (the document, page, paragraph, and line)and shall include the reasons for the organization's position that the information is of the type which may be withheld from public inspection.             </w:t>
      </w:r>
    </w:p>
    <w:p w:rsidR="003475EA" w:rsidRPr="003475EA" w:rsidRDefault="003475EA" w:rsidP="003475EA">
      <w:pPr>
        <w:ind w:left="540" w:firstLine="540"/>
        <w:rPr>
          <w:rFonts w:asciiTheme="minorHAnsi" w:hAnsiTheme="minorHAnsi" w:cs="Courier New"/>
          <w:sz w:val="22"/>
        </w:rPr>
      </w:pPr>
      <w:r w:rsidRPr="003475EA">
        <w:rPr>
          <w:rFonts w:asciiTheme="minorHAnsi" w:hAnsiTheme="minorHAnsi" w:cs="Courier New"/>
          <w:sz w:val="22"/>
        </w:rPr>
        <w:t xml:space="preserve"> </w:t>
      </w:r>
    </w:p>
    <w:p w:rsidR="003475EA" w:rsidRPr="003475EA" w:rsidRDefault="003475EA" w:rsidP="003475EA">
      <w:pPr>
        <w:ind w:firstLine="540"/>
        <w:rPr>
          <w:rFonts w:asciiTheme="minorHAnsi" w:hAnsiTheme="minorHAnsi" w:cs="Courier New"/>
          <w:sz w:val="22"/>
        </w:rPr>
      </w:pPr>
      <w:r w:rsidRPr="003475EA">
        <w:rPr>
          <w:rFonts w:asciiTheme="minorHAnsi" w:hAnsiTheme="minorHAnsi" w:cs="Courier New"/>
          <w:sz w:val="22"/>
        </w:rPr>
        <w:t>26 CFR 301.6104(a)</w:t>
      </w:r>
      <w:r w:rsidRPr="003475EA">
        <w:rPr>
          <w:rFonts w:asciiTheme="minorHAnsi" w:hAnsiTheme="minorHAnsi" w:cs="Courier New"/>
          <w:sz w:val="22"/>
        </w:rPr>
        <w:noBreakHyphen/>
        <w:t>6(b)  (Formerly 26 CFR 301.6104-1(e)):</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left="540" w:hanging="180"/>
        <w:rPr>
          <w:rFonts w:asciiTheme="minorHAnsi" w:hAnsiTheme="minorHAnsi" w:cs="Courier New"/>
          <w:sz w:val="22"/>
        </w:rPr>
      </w:pPr>
      <w:r>
        <w:rPr>
          <w:rFonts w:asciiTheme="minorHAnsi" w:hAnsiTheme="minorHAnsi" w:cs="Courier New"/>
          <w:sz w:val="22"/>
        </w:rPr>
        <w:t xml:space="preserve">    </w:t>
      </w:r>
      <w:r w:rsidRPr="003475EA">
        <w:rPr>
          <w:rFonts w:asciiTheme="minorHAnsi" w:hAnsiTheme="minorHAnsi" w:cs="Courier New"/>
          <w:sz w:val="22"/>
        </w:rPr>
        <w:t>IRC section 6104(A)(1)(A) requires the application of any organization described in section 501(c) or (d) that is exempt under section 501(a) to be open for public inspection. This regulation states that public inspection of applications for exemption and supporting documents shall be available only upon request. All requests must include the name and address of the organization which filed the application.</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firstLine="540"/>
        <w:rPr>
          <w:rFonts w:asciiTheme="minorHAnsi" w:hAnsiTheme="minorHAnsi" w:cs="Courier New"/>
          <w:sz w:val="22"/>
        </w:rPr>
      </w:pPr>
      <w:r w:rsidRPr="003475EA">
        <w:rPr>
          <w:rFonts w:asciiTheme="minorHAnsi" w:hAnsiTheme="minorHAnsi" w:cs="Courier New"/>
          <w:sz w:val="22"/>
        </w:rPr>
        <w:t>26 CFR 301.6104(a)</w:t>
      </w:r>
      <w:r w:rsidRPr="003475EA">
        <w:rPr>
          <w:rFonts w:asciiTheme="minorHAnsi" w:hAnsiTheme="minorHAnsi" w:cs="Courier New"/>
          <w:sz w:val="22"/>
        </w:rPr>
        <w:noBreakHyphen/>
        <w:t>l(f) (Formerly 26 CFR 301.6104-1(f)):</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left="540"/>
        <w:rPr>
          <w:rFonts w:asciiTheme="minorHAnsi" w:hAnsiTheme="minorHAnsi" w:cs="Courier New"/>
          <w:sz w:val="22"/>
        </w:rPr>
      </w:pPr>
      <w:r w:rsidRPr="003475EA">
        <w:rPr>
          <w:rFonts w:asciiTheme="minorHAnsi" w:hAnsiTheme="minorHAnsi" w:cs="Courier New"/>
          <w:sz w:val="22"/>
        </w:rPr>
        <w:t>IRC section 6104(a)(1)(A) requires that after the application of any organization has been opened to public inspection on the request of any person with respect to such organization, a statement be furnished indicating the subsection and paragraph of section 501 which it has been determined described such organization. This regulation states that upon request in writing, the subsection and paragraph of section 501 under which the organization has been determined to qualify for tax exemption shall be furnished and whether the organization is currently held to be exempt.</w:t>
      </w:r>
    </w:p>
    <w:p w:rsidR="003475EA" w:rsidRDefault="003475EA" w:rsidP="003475EA">
      <w:pPr>
        <w:ind w:firstLine="540"/>
        <w:rPr>
          <w:rFonts w:asciiTheme="minorHAnsi" w:hAnsiTheme="minorHAnsi" w:cs="Courier New"/>
          <w:sz w:val="22"/>
        </w:rPr>
      </w:pPr>
    </w:p>
    <w:p w:rsidR="003475EA" w:rsidRPr="003475EA" w:rsidRDefault="003475EA" w:rsidP="003475EA">
      <w:pPr>
        <w:ind w:firstLine="540"/>
        <w:rPr>
          <w:rFonts w:asciiTheme="minorHAnsi" w:hAnsiTheme="minorHAnsi" w:cs="Courier New"/>
          <w:sz w:val="22"/>
        </w:rPr>
      </w:pPr>
      <w:r>
        <w:rPr>
          <w:rFonts w:asciiTheme="minorHAnsi" w:hAnsiTheme="minorHAnsi" w:cs="Courier New"/>
          <w:sz w:val="22"/>
        </w:rPr>
        <w:t>2</w:t>
      </w:r>
      <w:r w:rsidRPr="003475EA">
        <w:rPr>
          <w:rFonts w:asciiTheme="minorHAnsi" w:hAnsiTheme="minorHAnsi" w:cs="Courier New"/>
          <w:sz w:val="22"/>
        </w:rPr>
        <w:t>6 CFR 301.6104(b)</w:t>
      </w:r>
      <w:r w:rsidRPr="003475EA">
        <w:rPr>
          <w:rFonts w:asciiTheme="minorHAnsi" w:hAnsiTheme="minorHAnsi" w:cs="Courier New"/>
          <w:sz w:val="22"/>
        </w:rPr>
        <w:noBreakHyphen/>
        <w:t>1 (Formerly 26 CFR 301.6104</w:t>
      </w:r>
      <w:r w:rsidRPr="003475EA">
        <w:rPr>
          <w:rFonts w:asciiTheme="minorHAnsi" w:hAnsiTheme="minorHAnsi" w:cs="Courier New"/>
          <w:sz w:val="22"/>
        </w:rPr>
        <w:noBreakHyphen/>
        <w:t xml:space="preserve">2(c)): </w:t>
      </w:r>
    </w:p>
    <w:p w:rsidR="003475EA" w:rsidRPr="003475EA" w:rsidRDefault="003475EA" w:rsidP="003475EA">
      <w:pPr>
        <w:ind w:firstLine="540"/>
        <w:rPr>
          <w:rFonts w:asciiTheme="minorHAnsi" w:hAnsiTheme="minorHAnsi" w:cs="Courier New"/>
          <w:sz w:val="22"/>
        </w:rPr>
      </w:pPr>
    </w:p>
    <w:p w:rsidR="003475EA" w:rsidRPr="003475EA" w:rsidRDefault="003475EA" w:rsidP="003475EA">
      <w:pPr>
        <w:tabs>
          <w:tab w:val="left" w:pos="-1440"/>
        </w:tabs>
        <w:ind w:left="630" w:hanging="180"/>
        <w:rPr>
          <w:rFonts w:asciiTheme="minorHAnsi" w:hAnsiTheme="minorHAnsi" w:cs="Courier New"/>
          <w:sz w:val="22"/>
        </w:rPr>
      </w:pPr>
      <w:r w:rsidRPr="003475EA">
        <w:rPr>
          <w:rFonts w:asciiTheme="minorHAnsi" w:hAnsiTheme="minorHAnsi" w:cs="Courier New"/>
          <w:sz w:val="22"/>
        </w:rPr>
        <w:t xml:space="preserve">   </w:t>
      </w:r>
      <w:r w:rsidRPr="003475EA">
        <w:rPr>
          <w:rFonts w:asciiTheme="minorHAnsi" w:hAnsiTheme="minorHAnsi" w:cs="Courier New"/>
          <w:sz w:val="22"/>
        </w:rPr>
        <w:tab/>
        <w:t>IRC section 6104(b) requires that information required by sections 6033, 6034, and 6058, together with names and addresses of such organizations and trusts described in those sections, shall be made available to the public. This regulation requires that public inspection of information furnished on the public portion of returns and annual reports shall be available upon written request. The request must provide the name and address of the organization, the type of return or report, and the year for which the organization filed. Requests for copies shall be made in the same manner as requests for inspection.</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firstLine="540"/>
        <w:rPr>
          <w:rFonts w:asciiTheme="minorHAnsi" w:hAnsiTheme="minorHAnsi" w:cs="Courier New"/>
          <w:sz w:val="22"/>
        </w:rPr>
      </w:pPr>
      <w:r w:rsidRPr="003475EA">
        <w:rPr>
          <w:rFonts w:asciiTheme="minorHAnsi" w:hAnsiTheme="minorHAnsi" w:cs="Courier New"/>
          <w:sz w:val="22"/>
        </w:rPr>
        <w:t>26 CFR 301.6104(c)</w:t>
      </w:r>
      <w:r w:rsidRPr="003475EA">
        <w:rPr>
          <w:rFonts w:asciiTheme="minorHAnsi" w:hAnsiTheme="minorHAnsi" w:cs="Courier New"/>
          <w:sz w:val="22"/>
        </w:rPr>
        <w:noBreakHyphen/>
        <w:t>1 (Formerly 26 CFR 301.6104</w:t>
      </w:r>
      <w:r w:rsidRPr="003475EA">
        <w:rPr>
          <w:rFonts w:asciiTheme="minorHAnsi" w:hAnsiTheme="minorHAnsi" w:cs="Courier New"/>
          <w:sz w:val="22"/>
        </w:rPr>
        <w:noBreakHyphen/>
        <w:t>3(a)(2)):</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left="540"/>
        <w:rPr>
          <w:rFonts w:asciiTheme="minorHAnsi" w:hAnsiTheme="minorHAnsi" w:cs="Courier New"/>
          <w:sz w:val="22"/>
        </w:rPr>
      </w:pPr>
      <w:r w:rsidRPr="003475EA">
        <w:rPr>
          <w:rFonts w:asciiTheme="minorHAnsi" w:hAnsiTheme="minorHAnsi" w:cs="Courier New"/>
          <w:sz w:val="22"/>
        </w:rPr>
        <w:lastRenderedPageBreak/>
        <w:t>IRC sections 6104(c)(1)(A) and (B) require that the appropriate State officer be notified of the refusal to recognize an organization as described in section 501(c)(3), or no longer meets the requirement and notify the State officer of the mailing of a notice of deficiency of tax. This regulation prescribes the procedure for other officers of States to request notification under section 6104(c)(1)(A) and (B). These officers must show that they are appropriate State officers such as by presenting a letter from the Attorney General of the State.</w:t>
      </w:r>
    </w:p>
    <w:p w:rsidR="003475EA" w:rsidRPr="003475EA" w:rsidRDefault="003475EA" w:rsidP="003475EA">
      <w:pPr>
        <w:ind w:firstLine="540"/>
        <w:rPr>
          <w:rFonts w:asciiTheme="minorHAnsi" w:hAnsiTheme="minorHAnsi" w:cs="Courier New"/>
          <w:sz w:val="22"/>
        </w:rPr>
      </w:pPr>
    </w:p>
    <w:p w:rsidR="003475EA" w:rsidRPr="003475EA" w:rsidRDefault="003475EA" w:rsidP="003475EA">
      <w:pPr>
        <w:ind w:firstLine="540"/>
        <w:rPr>
          <w:rFonts w:asciiTheme="minorHAnsi" w:hAnsiTheme="minorHAnsi" w:cs="Courier New"/>
          <w:sz w:val="22"/>
        </w:rPr>
      </w:pPr>
      <w:r w:rsidRPr="003475EA">
        <w:rPr>
          <w:rFonts w:asciiTheme="minorHAnsi" w:hAnsiTheme="minorHAnsi" w:cs="Courier New"/>
          <w:sz w:val="22"/>
        </w:rPr>
        <w:t>26 CFR 301.6104(c)</w:t>
      </w:r>
      <w:r w:rsidRPr="003475EA">
        <w:rPr>
          <w:rFonts w:asciiTheme="minorHAnsi" w:hAnsiTheme="minorHAnsi" w:cs="Courier New"/>
          <w:sz w:val="22"/>
        </w:rPr>
        <w:noBreakHyphen/>
        <w:t>l(b) (Formerly 26 CFR 301 6104</w:t>
      </w:r>
      <w:r w:rsidRPr="003475EA">
        <w:rPr>
          <w:rFonts w:asciiTheme="minorHAnsi" w:hAnsiTheme="minorHAnsi" w:cs="Courier New"/>
          <w:sz w:val="22"/>
        </w:rPr>
        <w:noBreakHyphen/>
        <w:t>3(b)):</w:t>
      </w:r>
    </w:p>
    <w:p w:rsidR="003475EA" w:rsidRPr="003475EA" w:rsidRDefault="003475EA" w:rsidP="003475EA">
      <w:pPr>
        <w:ind w:firstLine="540"/>
        <w:rPr>
          <w:rFonts w:asciiTheme="minorHAnsi" w:hAnsiTheme="minorHAnsi" w:cs="Courier New"/>
          <w:sz w:val="22"/>
        </w:rPr>
      </w:pPr>
    </w:p>
    <w:p w:rsidR="009E3D48" w:rsidRDefault="003475EA" w:rsidP="003475EA">
      <w:pPr>
        <w:ind w:left="540"/>
        <w:rPr>
          <w:rFonts w:asciiTheme="minorHAnsi" w:hAnsiTheme="minorHAnsi"/>
          <w:sz w:val="22"/>
        </w:rPr>
      </w:pPr>
      <w:r>
        <w:rPr>
          <w:rFonts w:asciiTheme="minorHAnsi" w:hAnsiTheme="minorHAnsi" w:cs="Courier New"/>
          <w:sz w:val="22"/>
        </w:rPr>
        <w:t xml:space="preserve"> </w:t>
      </w:r>
      <w:r w:rsidRPr="003475EA">
        <w:rPr>
          <w:rFonts w:asciiTheme="minorHAnsi" w:hAnsiTheme="minorHAnsi" w:cs="Courier New"/>
          <w:sz w:val="22"/>
        </w:rPr>
        <w:t>IRC section 6104(c)(1)(C) requires that at the request of an appropriate State officer, returns, filed statements, records, reports and other information as are relevant to any determination under State law be made available for inspection or copying. This regulation requires that before any State officer will be permitted to inspect material described in section 6104(c)(1)(C) he must submit a statement that he intends to use such material solely in fulfilling his functions under State law.</w:t>
      </w:r>
    </w:p>
    <w:p w:rsidR="00197CEF" w:rsidRPr="00F87A66" w:rsidRDefault="00197CEF"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RDefault="009E3D48" w:rsidP="009E3D48">
      <w:pPr>
        <w:tabs>
          <w:tab w:val="left" w:pos="540"/>
        </w:tabs>
        <w:ind w:left="540" w:hanging="540"/>
        <w:rPr>
          <w:rFonts w:asciiTheme="minorHAnsi" w:hAnsiTheme="minorHAnsi"/>
          <w:sz w:val="22"/>
        </w:rPr>
      </w:pPr>
    </w:p>
    <w:p w:rsidR="00E20185" w:rsidRPr="00E20185" w:rsidRDefault="003475EA" w:rsidP="00E20185">
      <w:pPr>
        <w:ind w:left="540"/>
        <w:rPr>
          <w:rFonts w:asciiTheme="minorHAnsi" w:eastAsia="Times New Roman" w:hAnsiTheme="minorHAnsi" w:cs="Times New Roman"/>
          <w:sz w:val="22"/>
        </w:rPr>
      </w:pPr>
      <w:r>
        <w:rPr>
          <w:rFonts w:asciiTheme="minorHAnsi" w:eastAsia="Times New Roman" w:hAnsiTheme="minorHAnsi" w:cs="Times New Roman"/>
          <w:sz w:val="22"/>
        </w:rPr>
        <w:t>The Internal Revenue Service uses</w:t>
      </w:r>
      <w:r w:rsidRPr="003475EA">
        <w:rPr>
          <w:rFonts w:asciiTheme="minorHAnsi" w:eastAsia="Times New Roman" w:hAnsiTheme="minorHAnsi" w:cs="Times New Roman"/>
          <w:sz w:val="22"/>
        </w:rPr>
        <w:t xml:space="preserve"> the information to determine whether requesters and filers are in compliance with IRC section 6104.</w:t>
      </w:r>
    </w:p>
    <w:p w:rsidR="00E20185" w:rsidRPr="00DC1585" w:rsidRDefault="00E20185" w:rsidP="00E20185">
      <w:pPr>
        <w:widowControl w:val="0"/>
        <w:autoSpaceDE w:val="0"/>
        <w:autoSpaceDN w:val="0"/>
        <w:adjustRightInd w:val="0"/>
        <w:rPr>
          <w:rFonts w:asciiTheme="minorHAnsi" w:eastAsia="Times New Roman" w:hAnsiTheme="minorHAnsi" w:cs="Times New Roman"/>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IMPROVED INFORMATION TECHNOLOGY TO REDUCE BURDEN </w:t>
      </w:r>
    </w:p>
    <w:p w:rsidR="009E3D48" w:rsidRPr="00F87A66" w:rsidRDefault="009E3D48" w:rsidP="009E3D48">
      <w:pPr>
        <w:tabs>
          <w:tab w:val="left" w:pos="540"/>
        </w:tabs>
        <w:ind w:left="540" w:hanging="540"/>
        <w:rPr>
          <w:rFonts w:asciiTheme="minorHAnsi" w:hAnsiTheme="minorHAnsi"/>
          <w:sz w:val="22"/>
        </w:rPr>
      </w:pPr>
    </w:p>
    <w:p w:rsidR="0067315A" w:rsidRDefault="00E20185" w:rsidP="0067315A">
      <w:pPr>
        <w:ind w:left="540"/>
        <w:rPr>
          <w:rFonts w:asciiTheme="minorHAnsi" w:hAnsiTheme="minorHAnsi"/>
          <w:sz w:val="22"/>
        </w:rPr>
      </w:pPr>
      <w:r w:rsidRPr="00E20185">
        <w:rPr>
          <w:rFonts w:asciiTheme="minorHAnsi" w:hAnsiTheme="minorHAnsi"/>
          <w:sz w:val="22"/>
        </w:rPr>
        <w:t>IRS Publications, Regulations, Notices and Letters are to be electronically enabled on an as practicable basis in accordance with the IRS Reform and Restructuring Act of 1998.</w:t>
      </w:r>
      <w:r w:rsidR="00801000">
        <w:rPr>
          <w:rFonts w:asciiTheme="minorHAnsi" w:hAnsiTheme="minorHAnsi"/>
          <w:sz w:val="22"/>
        </w:rPr>
        <w:t xml:space="preserve"> </w:t>
      </w:r>
      <w:bookmarkStart w:id="1" w:name="_Hlk499796375"/>
      <w:bookmarkStart w:id="2" w:name="_Hlk498004308"/>
    </w:p>
    <w:p w:rsidR="0067315A" w:rsidRPr="00453AD3" w:rsidRDefault="0067315A" w:rsidP="0067315A">
      <w:pPr>
        <w:ind w:left="540"/>
        <w:rPr>
          <w:rFonts w:asciiTheme="minorHAnsi" w:hAnsiTheme="minorHAnsi"/>
          <w:sz w:val="22"/>
        </w:rPr>
      </w:pPr>
      <w:r>
        <w:rPr>
          <w:rFonts w:asciiTheme="minorHAnsi" w:hAnsiTheme="minorHAnsi"/>
          <w:sz w:val="22"/>
        </w:rPr>
        <w:t>IRS</w:t>
      </w:r>
      <w:r w:rsidRPr="00453AD3">
        <w:rPr>
          <w:rFonts w:asciiTheme="minorHAnsi" w:hAnsiTheme="minorHAnsi"/>
          <w:sz w:val="22"/>
        </w:rPr>
        <w:t xml:space="preserve"> intend</w:t>
      </w:r>
      <w:r>
        <w:rPr>
          <w:rFonts w:asciiTheme="minorHAnsi" w:hAnsiTheme="minorHAnsi"/>
          <w:sz w:val="22"/>
        </w:rPr>
        <w:t>s</w:t>
      </w:r>
      <w:r w:rsidRPr="00453AD3">
        <w:rPr>
          <w:rFonts w:asciiTheme="minorHAnsi" w:hAnsiTheme="minorHAnsi"/>
          <w:sz w:val="22"/>
        </w:rPr>
        <w:t xml:space="preserve"> to offer electronic filing to the extent it is practicable however in this case it isn’t practicable </w:t>
      </w:r>
      <w:bookmarkStart w:id="3" w:name="_Hlk504654322"/>
      <w:r w:rsidRPr="00453AD3">
        <w:rPr>
          <w:rFonts w:asciiTheme="minorHAnsi" w:hAnsiTheme="minorHAnsi"/>
          <w:sz w:val="22"/>
        </w:rPr>
        <w:t>because</w:t>
      </w:r>
      <w:r>
        <w:rPr>
          <w:rFonts w:asciiTheme="minorHAnsi" w:hAnsiTheme="minorHAnsi"/>
          <w:sz w:val="22"/>
        </w:rPr>
        <w:t xml:space="preserve"> of the</w:t>
      </w:r>
      <w:r w:rsidRPr="00453AD3">
        <w:rPr>
          <w:rFonts w:asciiTheme="minorHAnsi" w:hAnsiTheme="minorHAnsi"/>
          <w:sz w:val="22"/>
        </w:rPr>
        <w:t xml:space="preserve"> evaluative nature of the determination</w:t>
      </w:r>
      <w:bookmarkEnd w:id="1"/>
      <w:r w:rsidRPr="00453AD3">
        <w:rPr>
          <w:rFonts w:asciiTheme="minorHAnsi" w:hAnsiTheme="minorHAnsi"/>
          <w:sz w:val="22"/>
        </w:rPr>
        <w:t>.</w:t>
      </w:r>
      <w:bookmarkEnd w:id="2"/>
      <w:bookmarkEnd w:id="3"/>
    </w:p>
    <w:p w:rsidR="00801000" w:rsidRPr="00801000" w:rsidRDefault="003475EA" w:rsidP="00801000">
      <w:pPr>
        <w:ind w:left="540"/>
        <w:rPr>
          <w:rFonts w:asciiTheme="minorHAnsi" w:hAnsiTheme="minorHAnsi"/>
          <w:sz w:val="22"/>
        </w:rPr>
      </w:pPr>
      <w:r>
        <w:rPr>
          <w:rFonts w:asciiTheme="minorHAnsi" w:hAnsiTheme="minorHAnsi"/>
          <w:sz w:val="22"/>
        </w:rPr>
        <w:t xml:space="preserve"> </w:t>
      </w:r>
    </w:p>
    <w:p w:rsidR="00E20185" w:rsidRPr="00F87A66" w:rsidRDefault="00E20185" w:rsidP="00801000">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 xml:space="preserve">The information obtained through this collection is unique and is not already available or use or adaption from another source.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METHODS TO MINIMIZE BURDEN ON SMALL BUSINESSES OR OTHER SMALL ENTITIES </w:t>
      </w:r>
    </w:p>
    <w:p w:rsidR="009E3D48" w:rsidRPr="00F87A66" w:rsidRDefault="009E3D48" w:rsidP="009E3D48">
      <w:pPr>
        <w:tabs>
          <w:tab w:val="left" w:pos="540"/>
        </w:tabs>
        <w:ind w:left="540" w:hanging="540"/>
        <w:rPr>
          <w:rFonts w:asciiTheme="minorHAnsi" w:hAnsiTheme="minorHAnsi"/>
          <w:sz w:val="22"/>
        </w:rPr>
      </w:pPr>
    </w:p>
    <w:p w:rsidR="009E3D48"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is no burden on small businesses or other small entities due to the inapplicability of the authorizing statute to this type of entity</w:t>
      </w:r>
      <w:r w:rsidRPr="00F87A66">
        <w:rPr>
          <w:rFonts w:asciiTheme="minorHAnsi" w:hAnsiTheme="minorHAnsi"/>
          <w:sz w:val="22"/>
        </w:rPr>
        <w:t>.</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CONSEQUENCES OF LESS FREQUENT COLLECTION ON FEDERAL PROGRAMS OR POLICY ACTIVITIES </w:t>
      </w:r>
    </w:p>
    <w:p w:rsidR="009E3D48" w:rsidRPr="00F87A66" w:rsidRDefault="009E3D48" w:rsidP="009E3D48">
      <w:pPr>
        <w:tabs>
          <w:tab w:val="left" w:pos="540"/>
        </w:tabs>
        <w:ind w:left="540" w:hanging="540"/>
        <w:rPr>
          <w:rFonts w:asciiTheme="minorHAnsi" w:hAnsiTheme="minorHAnsi"/>
          <w:sz w:val="22"/>
        </w:rPr>
      </w:pPr>
    </w:p>
    <w:p w:rsidR="00A24315"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 information required is needed to verify compliance with Section</w:t>
      </w:r>
      <w:r w:rsidR="00277A26">
        <w:rPr>
          <w:rFonts w:asciiTheme="minorHAnsi" w:hAnsiTheme="minorHAnsi"/>
          <w:sz w:val="22"/>
        </w:rPr>
        <w:t>s</w:t>
      </w:r>
      <w:r w:rsidR="00A24315" w:rsidRPr="00F87A66">
        <w:rPr>
          <w:rFonts w:asciiTheme="minorHAnsi" w:hAnsiTheme="minorHAnsi"/>
          <w:sz w:val="22"/>
        </w:rPr>
        <w:t xml:space="preserve"> </w:t>
      </w:r>
      <w:r w:rsidR="003475EA">
        <w:rPr>
          <w:rFonts w:asciiTheme="minorHAnsi" w:hAnsiTheme="minorHAnsi"/>
          <w:sz w:val="22"/>
        </w:rPr>
        <w:t>6104</w:t>
      </w:r>
      <w:r w:rsidR="00A24315" w:rsidRPr="00F87A66">
        <w:rPr>
          <w:rFonts w:asciiTheme="minorHAnsi" w:hAnsiTheme="minorHAnsi"/>
          <w:sz w:val="22"/>
        </w:rPr>
        <w:t xml:space="preserve"> of the Internal Revenue Code of the Treasury Regulations. A less frequent collection of taxes and tax information could adversely affect the government’s effectiveness and would reduce the oversight of the public in ensuring compliance with Internal Revenue Code and hinder the IRS from meeting its mission.</w:t>
      </w:r>
    </w:p>
    <w:p w:rsidR="0012304F" w:rsidRDefault="0012304F" w:rsidP="009E3D48">
      <w:pPr>
        <w:tabs>
          <w:tab w:val="left" w:pos="540"/>
        </w:tabs>
        <w:ind w:left="540" w:hanging="540"/>
        <w:rPr>
          <w:rFonts w:asciiTheme="minorHAnsi" w:hAnsiTheme="minorHAnsi"/>
          <w:sz w:val="22"/>
        </w:rPr>
      </w:pPr>
    </w:p>
    <w:p w:rsidR="0012304F" w:rsidRDefault="0012304F" w:rsidP="009E3D48">
      <w:pPr>
        <w:tabs>
          <w:tab w:val="left" w:pos="540"/>
        </w:tabs>
        <w:ind w:left="540" w:hanging="540"/>
        <w:rPr>
          <w:rFonts w:asciiTheme="minorHAnsi" w:hAnsiTheme="minorHAnsi"/>
          <w:sz w:val="22"/>
        </w:rPr>
      </w:pPr>
    </w:p>
    <w:p w:rsidR="0012304F" w:rsidRPr="00F87A66" w:rsidRDefault="0012304F"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CB358B">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There are no special circumstances requiring data collection to be inconsistent with Guidelines in 5 CFR 1320.5(d)(2).</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CONSULTATION WITH INDIVIDUALS OUTSIDE OF THE AGENCY ON AVAILABILITY OF DATA, FREQUENCY OF COLLECTION, CLARITY OF INSTRUCTIONS AND FORMS, AND DATA ELEMENTS </w:t>
      </w:r>
    </w:p>
    <w:p w:rsidR="009E3D48" w:rsidRDefault="009E3D48" w:rsidP="009E3D48">
      <w:pPr>
        <w:tabs>
          <w:tab w:val="left" w:pos="540"/>
        </w:tabs>
        <w:ind w:left="540" w:hanging="540"/>
        <w:rPr>
          <w:szCs w:val="24"/>
        </w:rPr>
      </w:pPr>
    </w:p>
    <w:p w:rsidR="00183523" w:rsidRPr="004606C9" w:rsidRDefault="009E3D48" w:rsidP="004606C9">
      <w:pPr>
        <w:tabs>
          <w:tab w:val="left" w:pos="540"/>
        </w:tabs>
        <w:ind w:left="540" w:hanging="540"/>
        <w:rPr>
          <w:rFonts w:asciiTheme="minorHAnsi" w:hAnsiTheme="minorHAnsi"/>
          <w:sz w:val="22"/>
        </w:rPr>
      </w:pPr>
      <w:r>
        <w:rPr>
          <w:szCs w:val="24"/>
        </w:rPr>
        <w:tab/>
      </w:r>
      <w:r w:rsidR="004606C9" w:rsidRPr="004606C9">
        <w:rPr>
          <w:rFonts w:asciiTheme="minorHAnsi" w:hAnsiTheme="minorHAnsi"/>
          <w:sz w:val="22"/>
        </w:rPr>
        <w:t>In response to the Federal Register notice dated</w:t>
      </w:r>
      <w:r w:rsidR="00277A26">
        <w:rPr>
          <w:rFonts w:asciiTheme="minorHAnsi" w:hAnsiTheme="minorHAnsi"/>
          <w:sz w:val="22"/>
        </w:rPr>
        <w:t xml:space="preserve"> </w:t>
      </w:r>
      <w:r w:rsidR="003475EA">
        <w:rPr>
          <w:rFonts w:asciiTheme="minorHAnsi" w:hAnsiTheme="minorHAnsi"/>
          <w:sz w:val="22"/>
        </w:rPr>
        <w:t>May 18</w:t>
      </w:r>
      <w:r w:rsidR="004606C9" w:rsidRPr="004606C9">
        <w:rPr>
          <w:rFonts w:asciiTheme="minorHAnsi" w:hAnsiTheme="minorHAnsi"/>
          <w:sz w:val="22"/>
        </w:rPr>
        <w:t>, 201</w:t>
      </w:r>
      <w:r w:rsidR="002C7C4B">
        <w:rPr>
          <w:rFonts w:asciiTheme="minorHAnsi" w:hAnsiTheme="minorHAnsi"/>
          <w:sz w:val="22"/>
        </w:rPr>
        <w:t>8</w:t>
      </w:r>
      <w:r w:rsidR="004606C9" w:rsidRPr="004606C9">
        <w:rPr>
          <w:rFonts w:asciiTheme="minorHAnsi" w:hAnsiTheme="minorHAnsi"/>
          <w:sz w:val="22"/>
        </w:rPr>
        <w:t xml:space="preserve"> (8</w:t>
      </w:r>
      <w:r w:rsidR="002C7C4B">
        <w:rPr>
          <w:rFonts w:asciiTheme="minorHAnsi" w:hAnsiTheme="minorHAnsi"/>
          <w:sz w:val="22"/>
        </w:rPr>
        <w:t>3</w:t>
      </w:r>
      <w:r w:rsidR="004606C9" w:rsidRPr="004606C9">
        <w:rPr>
          <w:rFonts w:asciiTheme="minorHAnsi" w:hAnsiTheme="minorHAnsi"/>
          <w:sz w:val="22"/>
        </w:rPr>
        <w:t xml:space="preserve"> FR </w:t>
      </w:r>
      <w:r w:rsidR="003475EA">
        <w:rPr>
          <w:rFonts w:asciiTheme="minorHAnsi" w:hAnsiTheme="minorHAnsi"/>
          <w:sz w:val="22"/>
        </w:rPr>
        <w:t>23339</w:t>
      </w:r>
      <w:r w:rsidR="004606C9" w:rsidRPr="004606C9">
        <w:rPr>
          <w:rFonts w:asciiTheme="minorHAnsi" w:hAnsiTheme="minorHAnsi"/>
          <w:sz w:val="22"/>
        </w:rPr>
        <w:t xml:space="preserve">), we received no comments during the comment period regarding these regulations.  </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RDefault="009E3D48" w:rsidP="009E3D48">
      <w:pPr>
        <w:tabs>
          <w:tab w:val="left" w:pos="540"/>
        </w:tabs>
        <w:ind w:left="540" w:hanging="540"/>
        <w:rPr>
          <w:rFonts w:asciiTheme="minorHAnsi" w:hAnsiTheme="minorHAnsi"/>
          <w:sz w:val="22"/>
        </w:rPr>
      </w:pPr>
    </w:p>
    <w:p w:rsidR="00A24315"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24315" w:rsidRPr="00F87A66">
        <w:rPr>
          <w:rFonts w:asciiTheme="minorHAnsi" w:hAnsiTheme="minorHAnsi"/>
          <w:sz w:val="22"/>
        </w:rPr>
        <w:t>No payment or gift has been provided to any respondents.</w:t>
      </w:r>
    </w:p>
    <w:p w:rsidR="009E3D48" w:rsidRPr="00F87A66" w:rsidRDefault="009E3D48" w:rsidP="009E3D48">
      <w:pPr>
        <w:tabs>
          <w:tab w:val="left" w:pos="540"/>
        </w:tabs>
        <w:ind w:left="540" w:hanging="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RDefault="009E3D48" w:rsidP="009E3D48">
      <w:pPr>
        <w:tabs>
          <w:tab w:val="left" w:pos="540"/>
        </w:tabs>
        <w:ind w:left="540" w:hanging="540"/>
        <w:rPr>
          <w:rFonts w:asciiTheme="minorHAnsi" w:hAnsiTheme="minorHAnsi"/>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RDefault="00183523"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5E6135">
        <w:rPr>
          <w:rFonts w:asciiTheme="minorHAnsi" w:hAnsiTheme="minorHAnsi"/>
          <w:b/>
          <w:sz w:val="22"/>
          <w:u w:val="single"/>
        </w:rPr>
        <w:t>JUSTIFI</w:t>
      </w:r>
      <w:r w:rsidRPr="00DC1585">
        <w:rPr>
          <w:rFonts w:asciiTheme="minorHAnsi" w:hAnsiTheme="minorHAnsi"/>
          <w:b/>
          <w:sz w:val="22"/>
          <w:u w:val="single"/>
        </w:rPr>
        <w:t xml:space="preserve">CATION OF SENSITIVE QUESTIONS </w:t>
      </w:r>
    </w:p>
    <w:p w:rsidR="003475EA" w:rsidRDefault="003475EA" w:rsidP="00637C90">
      <w:pPr>
        <w:ind w:left="540"/>
        <w:rPr>
          <w:rFonts w:asciiTheme="minorHAnsi" w:hAnsiTheme="minorHAnsi"/>
          <w:sz w:val="22"/>
        </w:rPr>
      </w:pPr>
    </w:p>
    <w:p w:rsidR="000720DB" w:rsidRDefault="005E6135" w:rsidP="00637C90">
      <w:pPr>
        <w:ind w:left="540"/>
        <w:rPr>
          <w:rFonts w:asciiTheme="minorHAnsi" w:hAnsiTheme="minorHAnsi"/>
          <w:sz w:val="22"/>
        </w:rPr>
      </w:pPr>
      <w:r>
        <w:rPr>
          <w:rFonts w:asciiTheme="minorHAnsi" w:hAnsiTheme="minorHAnsi"/>
          <w:sz w:val="22"/>
        </w:rPr>
        <w:t xml:space="preserve"> No personally identifiable information (PII) is collected by the IRS. </w:t>
      </w:r>
    </w:p>
    <w:p w:rsidR="002C7C4B" w:rsidRPr="00BD1F42" w:rsidRDefault="002C7C4B" w:rsidP="00637C90">
      <w:pPr>
        <w:ind w:left="540"/>
        <w:rPr>
          <w:rFonts w:asciiTheme="minorHAnsi" w:hAnsiTheme="minorHAnsi"/>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BURDEN OF INFORMATION COLLECTION </w:t>
      </w:r>
    </w:p>
    <w:p w:rsidR="00277A26" w:rsidRPr="00F87A66" w:rsidRDefault="002A463C" w:rsidP="009302A1">
      <w:pPr>
        <w:ind w:left="540"/>
        <w:rPr>
          <w:rFonts w:asciiTheme="minorHAnsi" w:hAnsiTheme="minorHAnsi"/>
          <w:sz w:val="22"/>
        </w:rPr>
      </w:pPr>
      <w:r>
        <w:rPr>
          <w:rFonts w:asciiTheme="minorHAnsi" w:hAnsiTheme="minorHAnsi" w:cs="Times New Roman"/>
          <w:sz w:val="22"/>
        </w:rPr>
        <w:t xml:space="preserve"> </w:t>
      </w:r>
    </w:p>
    <w:tbl>
      <w:tblPr>
        <w:tblW w:w="7367" w:type="dxa"/>
        <w:tblInd w:w="93" w:type="dxa"/>
        <w:tblLayout w:type="fixed"/>
        <w:tblLook w:val="04A0" w:firstRow="1" w:lastRow="0" w:firstColumn="1" w:lastColumn="0" w:noHBand="0" w:noVBand="1"/>
      </w:tblPr>
      <w:tblGrid>
        <w:gridCol w:w="1635"/>
        <w:gridCol w:w="1232"/>
        <w:gridCol w:w="1170"/>
        <w:gridCol w:w="1080"/>
        <w:gridCol w:w="990"/>
        <w:gridCol w:w="1260"/>
      </w:tblGrid>
      <w:tr w:rsidR="008B2F1E" w:rsidTr="006E647F">
        <w:trPr>
          <w:trHeight w:val="675"/>
        </w:trPr>
        <w:tc>
          <w:tcPr>
            <w:tcW w:w="1635" w:type="dxa"/>
            <w:tcBorders>
              <w:top w:val="single" w:sz="8" w:space="0" w:color="auto"/>
              <w:left w:val="single" w:sz="8" w:space="0" w:color="auto"/>
              <w:bottom w:val="single" w:sz="8" w:space="0" w:color="auto"/>
              <w:right w:val="single" w:sz="8" w:space="0" w:color="auto"/>
            </w:tcBorders>
            <w:noWrap/>
            <w:vAlign w:val="center"/>
            <w:hideMark/>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CFR</w:t>
            </w:r>
          </w:p>
        </w:tc>
        <w:tc>
          <w:tcPr>
            <w:tcW w:w="1232" w:type="dxa"/>
            <w:tcBorders>
              <w:top w:val="single" w:sz="8" w:space="0" w:color="auto"/>
              <w:left w:val="nil"/>
              <w:bottom w:val="single" w:sz="8" w:space="0" w:color="auto"/>
              <w:right w:val="single" w:sz="8" w:space="0" w:color="auto"/>
            </w:tcBorders>
            <w:vAlign w:val="center"/>
            <w:hideMark/>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170" w:type="dxa"/>
            <w:tcBorders>
              <w:top w:val="single" w:sz="8" w:space="0" w:color="auto"/>
              <w:left w:val="nil"/>
              <w:bottom w:val="single" w:sz="8" w:space="0" w:color="auto"/>
              <w:right w:val="single" w:sz="8" w:space="0" w:color="auto"/>
            </w:tcBorders>
            <w:vAlign w:val="center"/>
            <w:hideMark/>
          </w:tcPr>
          <w:p w:rsidR="008B2F1E" w:rsidRDefault="008B2F1E">
            <w:pPr>
              <w:keepNext/>
              <w:keepLines/>
              <w:jc w:val="center"/>
              <w:rPr>
                <w:rFonts w:ascii="Arial Narrow" w:hAnsi="Arial Narrow" w:cs="Calibri"/>
                <w:color w:val="000000"/>
                <w:sz w:val="20"/>
                <w:szCs w:val="20"/>
              </w:rPr>
            </w:pPr>
            <w:r>
              <w:rPr>
                <w:rFonts w:ascii="Arial Narrow" w:hAnsi="Arial Narrow" w:cs="Calibri"/>
                <w:color w:val="000000"/>
                <w:sz w:val="20"/>
                <w:szCs w:val="20"/>
              </w:rPr>
              <w:t># Responses Per Respondent-</w:t>
            </w:r>
          </w:p>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Approximate</w:t>
            </w:r>
          </w:p>
        </w:tc>
        <w:tc>
          <w:tcPr>
            <w:tcW w:w="1080" w:type="dxa"/>
            <w:tcBorders>
              <w:top w:val="single" w:sz="8" w:space="0" w:color="auto"/>
              <w:left w:val="nil"/>
              <w:bottom w:val="single" w:sz="8" w:space="0" w:color="auto"/>
              <w:right w:val="single" w:sz="8" w:space="0" w:color="auto"/>
            </w:tcBorders>
            <w:vAlign w:val="center"/>
            <w:hideMark/>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Average Hours Per Response</w:t>
            </w:r>
          </w:p>
        </w:tc>
        <w:tc>
          <w:tcPr>
            <w:tcW w:w="1260" w:type="dxa"/>
            <w:tcBorders>
              <w:top w:val="single" w:sz="8" w:space="0" w:color="auto"/>
              <w:left w:val="nil"/>
              <w:bottom w:val="single" w:sz="8" w:space="0" w:color="auto"/>
              <w:right w:val="single" w:sz="8" w:space="0" w:color="auto"/>
            </w:tcBorders>
            <w:vAlign w:val="center"/>
            <w:hideMark/>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Total Burden</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26 CFR 301.6104(a) 5(a)</w:t>
            </w:r>
          </w:p>
        </w:tc>
        <w:tc>
          <w:tcPr>
            <w:tcW w:w="1232"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270</w:t>
            </w: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.35</w:t>
            </w:r>
          </w:p>
        </w:tc>
        <w:tc>
          <w:tcPr>
            <w:tcW w:w="126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95</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 xml:space="preserve">26 CFR 301.6104(a) 6(b)     </w:t>
            </w:r>
          </w:p>
        </w:tc>
        <w:tc>
          <w:tcPr>
            <w:tcW w:w="1232"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11,600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11,600</w:t>
            </w: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w:t>
            </w:r>
          </w:p>
        </w:tc>
        <w:tc>
          <w:tcPr>
            <w:tcW w:w="126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2,320</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 xml:space="preserve">26 CFR 301.6104(a) l(f)      </w:t>
            </w:r>
          </w:p>
        </w:tc>
        <w:tc>
          <w:tcPr>
            <w:tcW w:w="1232"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1,200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1,200</w:t>
            </w: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w:t>
            </w:r>
          </w:p>
        </w:tc>
        <w:tc>
          <w:tcPr>
            <w:tcW w:w="126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240</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 xml:space="preserve">26 CFR 301.6104(b) 1         </w:t>
            </w:r>
          </w:p>
        </w:tc>
        <w:tc>
          <w:tcPr>
            <w:tcW w:w="1232"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8,700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8,7001</w:t>
            </w: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w:t>
            </w:r>
          </w:p>
        </w:tc>
        <w:tc>
          <w:tcPr>
            <w:tcW w:w="126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1,740</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26 CFR 301.6104(</w:t>
            </w:r>
            <w:r>
              <w:rPr>
                <w:rFonts w:ascii="Arial Narrow" w:hAnsi="Arial Narrow" w:cs="Calibri"/>
                <w:color w:val="000000"/>
                <w:sz w:val="20"/>
                <w:szCs w:val="20"/>
              </w:rPr>
              <w:t>c</w:t>
            </w:r>
            <w:r w:rsidRPr="008B2F1E">
              <w:rPr>
                <w:rFonts w:ascii="Arial Narrow" w:hAnsi="Arial Narrow" w:cs="Calibri"/>
                <w:color w:val="000000"/>
                <w:sz w:val="20"/>
                <w:szCs w:val="20"/>
              </w:rPr>
              <w:t xml:space="preserve">) 1         </w:t>
            </w:r>
          </w:p>
        </w:tc>
        <w:tc>
          <w:tcPr>
            <w:tcW w:w="1232"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150</w:t>
            </w: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.35</w:t>
            </w:r>
          </w:p>
        </w:tc>
        <w:tc>
          <w:tcPr>
            <w:tcW w:w="126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53</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26 CFR 301.6104(</w:t>
            </w:r>
            <w:r>
              <w:rPr>
                <w:rFonts w:ascii="Arial Narrow" w:hAnsi="Arial Narrow" w:cs="Calibri"/>
                <w:color w:val="000000"/>
                <w:sz w:val="20"/>
                <w:szCs w:val="20"/>
              </w:rPr>
              <w:t>c</w:t>
            </w:r>
            <w:r w:rsidRPr="008B2F1E">
              <w:rPr>
                <w:rFonts w:ascii="Arial Narrow" w:hAnsi="Arial Narrow" w:cs="Calibri"/>
                <w:color w:val="000000"/>
                <w:sz w:val="20"/>
                <w:szCs w:val="20"/>
              </w:rPr>
              <w:t>)1</w:t>
            </w:r>
            <w:r>
              <w:rPr>
                <w:rFonts w:ascii="Arial Narrow" w:hAnsi="Arial Narrow" w:cs="Calibri"/>
                <w:color w:val="000000"/>
                <w:sz w:val="20"/>
                <w:szCs w:val="20"/>
              </w:rPr>
              <w:t>(b)</w:t>
            </w:r>
            <w:r w:rsidRPr="008B2F1E">
              <w:rPr>
                <w:rFonts w:ascii="Arial Narrow" w:hAnsi="Arial Narrow" w:cs="Calibri"/>
                <w:color w:val="000000"/>
                <w:sz w:val="20"/>
                <w:szCs w:val="20"/>
              </w:rPr>
              <w:t xml:space="preserve">      </w:t>
            </w:r>
          </w:p>
        </w:tc>
        <w:tc>
          <w:tcPr>
            <w:tcW w:w="1232"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20,450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20,450</w:t>
            </w: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Pr>
                <w:rFonts w:ascii="Arial Narrow" w:hAnsi="Arial Narrow" w:cs="Calibri"/>
                <w:color w:val="000000"/>
                <w:sz w:val="20"/>
                <w:szCs w:val="20"/>
              </w:rPr>
              <w:t>.20</w:t>
            </w:r>
          </w:p>
        </w:tc>
        <w:tc>
          <w:tcPr>
            <w:tcW w:w="126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r w:rsidRPr="008B2F1E">
              <w:rPr>
                <w:rFonts w:ascii="Arial Narrow" w:hAnsi="Arial Narrow" w:cs="Calibri"/>
                <w:color w:val="000000"/>
                <w:sz w:val="20"/>
                <w:szCs w:val="20"/>
              </w:rPr>
              <w:t>4,090</w:t>
            </w:r>
          </w:p>
        </w:tc>
      </w:tr>
      <w:tr w:rsidR="008B2F1E" w:rsidTr="006E647F">
        <w:trPr>
          <w:trHeight w:val="345"/>
        </w:trPr>
        <w:tc>
          <w:tcPr>
            <w:tcW w:w="1635" w:type="dxa"/>
            <w:tcBorders>
              <w:top w:val="single" w:sz="8" w:space="0" w:color="auto"/>
              <w:left w:val="single" w:sz="8" w:space="0" w:color="auto"/>
              <w:bottom w:val="single" w:sz="8" w:space="0" w:color="000000"/>
              <w:right w:val="single" w:sz="8" w:space="0" w:color="auto"/>
            </w:tcBorders>
            <w:noWrap/>
            <w:vAlign w:val="center"/>
          </w:tcPr>
          <w:p w:rsidR="008B2F1E" w:rsidRPr="008B2F1E" w:rsidRDefault="008B2F1E">
            <w:pPr>
              <w:keepNext/>
              <w:keepLines/>
              <w:widowControl w:val="0"/>
              <w:autoSpaceDN w:val="0"/>
              <w:jc w:val="center"/>
              <w:rPr>
                <w:rFonts w:ascii="Arial Narrow" w:hAnsi="Arial Narrow" w:cs="Calibri"/>
                <w:b/>
                <w:color w:val="000000"/>
                <w:sz w:val="20"/>
                <w:szCs w:val="20"/>
              </w:rPr>
            </w:pPr>
            <w:r w:rsidRPr="008B2F1E">
              <w:rPr>
                <w:rFonts w:ascii="Arial Narrow" w:hAnsi="Arial Narrow" w:cs="Calibri"/>
                <w:b/>
                <w:color w:val="000000"/>
                <w:sz w:val="20"/>
                <w:szCs w:val="20"/>
              </w:rPr>
              <w:t>Total</w:t>
            </w:r>
          </w:p>
        </w:tc>
        <w:tc>
          <w:tcPr>
            <w:tcW w:w="1232" w:type="dxa"/>
            <w:tcBorders>
              <w:top w:val="single" w:sz="8" w:space="0" w:color="auto"/>
              <w:left w:val="nil"/>
              <w:bottom w:val="single" w:sz="8" w:space="0" w:color="auto"/>
              <w:right w:val="single" w:sz="8" w:space="0" w:color="auto"/>
            </w:tcBorders>
            <w:noWrap/>
            <w:vAlign w:val="center"/>
          </w:tcPr>
          <w:p w:rsidR="008B2F1E" w:rsidRPr="00A34314" w:rsidRDefault="008B2F1E">
            <w:pPr>
              <w:keepNext/>
              <w:keepLines/>
              <w:widowControl w:val="0"/>
              <w:autoSpaceDN w:val="0"/>
              <w:jc w:val="center"/>
              <w:rPr>
                <w:rFonts w:ascii="Arial Narrow" w:hAnsi="Arial Narrow" w:cs="Calibri"/>
                <w:b/>
                <w:color w:val="000000"/>
                <w:sz w:val="20"/>
                <w:szCs w:val="20"/>
              </w:rPr>
            </w:pPr>
            <w:r w:rsidRPr="00A34314">
              <w:rPr>
                <w:rFonts w:ascii="Arial Narrow" w:hAnsi="Arial Narrow" w:cs="Calibri"/>
                <w:b/>
                <w:color w:val="000000"/>
                <w:sz w:val="20"/>
                <w:szCs w:val="20"/>
              </w:rPr>
              <w:t>42,370</w:t>
            </w:r>
          </w:p>
        </w:tc>
        <w:tc>
          <w:tcPr>
            <w:tcW w:w="117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8B2F1E" w:rsidRDefault="008B2F1E">
            <w:pPr>
              <w:keepNext/>
              <w:keepLines/>
              <w:widowControl w:val="0"/>
              <w:autoSpaceDN w:val="0"/>
              <w:jc w:val="center"/>
              <w:rPr>
                <w:rFonts w:ascii="Arial Narrow" w:hAnsi="Arial Narrow" w:cs="Calibri"/>
                <w:color w:val="000000"/>
                <w:sz w:val="20"/>
                <w:szCs w:val="20"/>
              </w:rPr>
            </w:pPr>
          </w:p>
        </w:tc>
        <w:tc>
          <w:tcPr>
            <w:tcW w:w="990" w:type="dxa"/>
            <w:tcBorders>
              <w:top w:val="single" w:sz="8" w:space="0" w:color="auto"/>
              <w:left w:val="nil"/>
              <w:bottom w:val="single" w:sz="8" w:space="0" w:color="auto"/>
              <w:right w:val="single" w:sz="8" w:space="0" w:color="auto"/>
            </w:tcBorders>
            <w:noWrap/>
            <w:vAlign w:val="center"/>
          </w:tcPr>
          <w:p w:rsidR="008B2F1E" w:rsidRDefault="008B2F1E" w:rsidP="00F87A66">
            <w:pPr>
              <w:keepNext/>
              <w:keepLines/>
              <w:widowControl w:val="0"/>
              <w:autoSpaceDN w:val="0"/>
              <w:jc w:val="center"/>
              <w:rPr>
                <w:rFonts w:ascii="Arial Narrow" w:hAnsi="Arial Narrow" w:cs="Calibri"/>
                <w:color w:val="000000"/>
                <w:sz w:val="20"/>
                <w:szCs w:val="20"/>
              </w:rPr>
            </w:pPr>
          </w:p>
        </w:tc>
        <w:tc>
          <w:tcPr>
            <w:tcW w:w="1260" w:type="dxa"/>
            <w:tcBorders>
              <w:top w:val="single" w:sz="8" w:space="0" w:color="auto"/>
              <w:left w:val="nil"/>
              <w:bottom w:val="single" w:sz="8" w:space="0" w:color="auto"/>
              <w:right w:val="single" w:sz="8" w:space="0" w:color="auto"/>
            </w:tcBorders>
            <w:noWrap/>
            <w:vAlign w:val="center"/>
          </w:tcPr>
          <w:p w:rsidR="008B2F1E" w:rsidRPr="00A34314" w:rsidRDefault="008B2F1E" w:rsidP="00F87A66">
            <w:pPr>
              <w:keepNext/>
              <w:keepLines/>
              <w:widowControl w:val="0"/>
              <w:autoSpaceDN w:val="0"/>
              <w:jc w:val="center"/>
              <w:rPr>
                <w:rFonts w:ascii="Arial Narrow" w:hAnsi="Arial Narrow" w:cs="Calibri"/>
                <w:b/>
                <w:color w:val="000000"/>
                <w:sz w:val="20"/>
                <w:szCs w:val="20"/>
              </w:rPr>
            </w:pPr>
            <w:r w:rsidRPr="00A34314">
              <w:rPr>
                <w:rFonts w:ascii="Arial Narrow" w:hAnsi="Arial Narrow" w:cs="Calibri"/>
                <w:b/>
                <w:color w:val="000000"/>
                <w:sz w:val="20"/>
                <w:szCs w:val="20"/>
              </w:rPr>
              <w:t>8,538</w:t>
            </w:r>
          </w:p>
        </w:tc>
      </w:tr>
    </w:tbl>
    <w:p w:rsidR="009E3D48" w:rsidRDefault="0047046A" w:rsidP="00F87A66">
      <w:pPr>
        <w:autoSpaceDE w:val="0"/>
        <w:autoSpaceDN w:val="0"/>
        <w:adjustRightInd w:val="0"/>
        <w:ind w:left="540"/>
        <w:rPr>
          <w:rFonts w:cs="Times New Roman"/>
          <w:szCs w:val="24"/>
        </w:rPr>
      </w:pPr>
      <w:r>
        <w:rPr>
          <w:rFonts w:cs="Times New Roman"/>
          <w:szCs w:val="24"/>
        </w:rPr>
        <w:tab/>
      </w:r>
      <w:r>
        <w:rPr>
          <w:rFonts w:cs="Times New Roman"/>
          <w:szCs w:val="24"/>
        </w:rPr>
        <w:tab/>
      </w:r>
      <w:r w:rsidRPr="00DC1585">
        <w:rPr>
          <w:rFonts w:cs="Times New Roman"/>
          <w:szCs w:val="24"/>
        </w:rPr>
        <w:tab/>
      </w:r>
    </w:p>
    <w:p w:rsidR="00A34314" w:rsidRDefault="00A34314" w:rsidP="00F87A66">
      <w:pPr>
        <w:autoSpaceDE w:val="0"/>
        <w:autoSpaceDN w:val="0"/>
        <w:adjustRightInd w:val="0"/>
        <w:ind w:left="540"/>
        <w:rPr>
          <w:rFonts w:cs="Times New Roman"/>
          <w:szCs w:val="24"/>
        </w:rPr>
      </w:pPr>
    </w:p>
    <w:p w:rsidR="00A34314" w:rsidRDefault="00A34314" w:rsidP="00F87A66">
      <w:pPr>
        <w:autoSpaceDE w:val="0"/>
        <w:autoSpaceDN w:val="0"/>
        <w:adjustRightInd w:val="0"/>
        <w:ind w:left="540"/>
        <w:rPr>
          <w:rFonts w:cs="Times New Roman"/>
          <w:szCs w:val="24"/>
        </w:rPr>
      </w:pPr>
    </w:p>
    <w:p w:rsidR="00A34314" w:rsidRPr="00DC1585" w:rsidRDefault="00A34314" w:rsidP="00F87A66">
      <w:pPr>
        <w:autoSpaceDE w:val="0"/>
        <w:autoSpaceDN w:val="0"/>
        <w:adjustRightInd w:val="0"/>
        <w:ind w:left="540"/>
        <w:rPr>
          <w:szCs w:val="24"/>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RDefault="009E3D48" w:rsidP="009E3D48">
      <w:pPr>
        <w:tabs>
          <w:tab w:val="left" w:pos="540"/>
        </w:tabs>
        <w:ind w:left="540" w:hanging="540"/>
        <w:rPr>
          <w:rFonts w:asciiTheme="minorHAnsi" w:hAnsiTheme="minorHAnsi"/>
          <w:b/>
          <w:sz w:val="22"/>
        </w:rPr>
      </w:pPr>
    </w:p>
    <w:p w:rsidR="009E3D48" w:rsidRPr="00F87A66" w:rsidRDefault="009E3D48"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009302A1">
        <w:rPr>
          <w:rFonts w:asciiTheme="minorHAnsi" w:hAnsiTheme="minorHAnsi"/>
          <w:sz w:val="22"/>
        </w:rPr>
        <w:t xml:space="preserve">   </w:t>
      </w:r>
    </w:p>
    <w:p w:rsidR="009E3D48" w:rsidRPr="00DC1585" w:rsidRDefault="009E3D48"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ANNUALIZED COST TO THE FEDERAL GOVERNMENT </w:t>
      </w:r>
    </w:p>
    <w:p w:rsidR="009E3D48" w:rsidRPr="00F87A66" w:rsidRDefault="009E3D48" w:rsidP="009E3D48">
      <w:pPr>
        <w:tabs>
          <w:tab w:val="left" w:pos="540"/>
        </w:tabs>
        <w:ind w:left="540" w:hanging="540"/>
        <w:rPr>
          <w:rFonts w:asciiTheme="minorHAnsi" w:hAnsiTheme="minorHAnsi"/>
          <w:sz w:val="22"/>
        </w:rPr>
      </w:pPr>
    </w:p>
    <w:p w:rsidR="00D463E0" w:rsidRPr="00F87A66" w:rsidRDefault="00D463E0" w:rsidP="009E3D48">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3E0" w:rsidRPr="00F87A66" w:rsidRDefault="00D463E0" w:rsidP="009E3D48">
      <w:pPr>
        <w:tabs>
          <w:tab w:val="left" w:pos="540"/>
        </w:tabs>
        <w:ind w:left="540" w:hanging="540"/>
        <w:rPr>
          <w:rFonts w:asciiTheme="minorHAnsi" w:hAnsiTheme="minorHAnsi"/>
          <w:b/>
          <w:sz w:val="22"/>
        </w:rPr>
      </w:pPr>
    </w:p>
    <w:p w:rsidR="00DB3926"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FOR CHANGE IN BURDEN </w:t>
      </w:r>
    </w:p>
    <w:p w:rsidR="00DB3926" w:rsidRPr="00F87A66" w:rsidRDefault="00DB3926" w:rsidP="00DB3926">
      <w:pPr>
        <w:pStyle w:val="ListParagraph"/>
        <w:tabs>
          <w:tab w:val="left" w:pos="540"/>
        </w:tabs>
        <w:ind w:left="540"/>
        <w:rPr>
          <w:rFonts w:asciiTheme="minorHAnsi" w:hAnsiTheme="minorHAnsi"/>
          <w:b/>
          <w:sz w:val="22"/>
        </w:rPr>
      </w:pPr>
    </w:p>
    <w:p w:rsidR="00CB358B" w:rsidRPr="00F87A66" w:rsidRDefault="00DB3926" w:rsidP="00DB3926">
      <w:pPr>
        <w:tabs>
          <w:tab w:val="left" w:pos="540"/>
        </w:tabs>
        <w:ind w:left="540" w:hanging="540"/>
        <w:rPr>
          <w:rFonts w:asciiTheme="minorHAnsi" w:hAnsiTheme="minorHAnsi"/>
          <w:sz w:val="22"/>
        </w:rPr>
      </w:pPr>
      <w:r w:rsidRPr="00F87A66">
        <w:rPr>
          <w:rFonts w:asciiTheme="minorHAnsi" w:hAnsiTheme="minorHAnsi"/>
          <w:sz w:val="22"/>
        </w:rPr>
        <w:tab/>
      </w:r>
      <w:r w:rsidR="00277A26" w:rsidRPr="00277A26">
        <w:rPr>
          <w:rFonts w:asciiTheme="minorHAnsi" w:hAnsiTheme="minorHAnsi"/>
          <w:sz w:val="22"/>
        </w:rPr>
        <w:t xml:space="preserve">There is no change in the paperwork burden previously approved by OMB.  </w:t>
      </w:r>
    </w:p>
    <w:p w:rsidR="00DB3926" w:rsidRPr="00A648C2" w:rsidRDefault="00DB3926" w:rsidP="00CB358B">
      <w:pPr>
        <w:tabs>
          <w:tab w:val="left" w:pos="540"/>
        </w:tabs>
        <w:ind w:left="540" w:hanging="540"/>
        <w:rPr>
          <w:rFonts w:asciiTheme="minorHAnsi" w:hAnsiTheme="minorHAnsi"/>
          <w:b/>
          <w:sz w:val="22"/>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RDefault="009E3D48" w:rsidP="009E3D48">
      <w:pPr>
        <w:tabs>
          <w:tab w:val="left" w:pos="540"/>
        </w:tabs>
        <w:ind w:left="540" w:hanging="540"/>
        <w:rPr>
          <w:rFonts w:asciiTheme="minorHAnsi" w:hAnsiTheme="minorHAnsi"/>
          <w:sz w:val="22"/>
        </w:rPr>
      </w:pPr>
    </w:p>
    <w:p w:rsidR="0004104E" w:rsidRPr="00F87A66" w:rsidRDefault="0004104E" w:rsidP="0004104E">
      <w:pPr>
        <w:tabs>
          <w:tab w:val="left" w:pos="540"/>
        </w:tabs>
        <w:ind w:left="540" w:hanging="540"/>
        <w:rPr>
          <w:rFonts w:asciiTheme="minorHAnsi" w:hAnsiTheme="minorHAnsi"/>
          <w:sz w:val="22"/>
        </w:rPr>
      </w:pPr>
      <w:r w:rsidRPr="00F87A66">
        <w:rPr>
          <w:rFonts w:asciiTheme="minorHAnsi" w:hAnsiTheme="minorHAnsi"/>
          <w:sz w:val="22"/>
        </w:rPr>
        <w:tab/>
      </w:r>
      <w:r w:rsidR="00A648C2" w:rsidRPr="00F87A66">
        <w:rPr>
          <w:rFonts w:asciiTheme="minorHAnsi" w:hAnsiTheme="minorHAnsi"/>
          <w:sz w:val="22"/>
        </w:rPr>
        <w:t>There are no plans for tabulation, statistical analysis, and publication.</w:t>
      </w:r>
    </w:p>
    <w:p w:rsidR="00D463E0" w:rsidRPr="00DC1585" w:rsidRDefault="00D463E0" w:rsidP="009E3D48">
      <w:pPr>
        <w:tabs>
          <w:tab w:val="left" w:pos="540"/>
        </w:tabs>
        <w:ind w:left="540" w:hanging="540"/>
        <w:rPr>
          <w:rFonts w:asciiTheme="minorHAnsi" w:hAnsiTheme="minorHAnsi"/>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RDefault="009E3D48" w:rsidP="009E3D48">
      <w:pPr>
        <w:tabs>
          <w:tab w:val="left" w:pos="540"/>
        </w:tabs>
        <w:ind w:left="540" w:hanging="540"/>
        <w:rPr>
          <w:rFonts w:asciiTheme="minorHAnsi" w:hAnsiTheme="minorHAnsi"/>
          <w:b/>
          <w:sz w:val="22"/>
        </w:rPr>
      </w:pPr>
    </w:p>
    <w:p w:rsidR="0004104E" w:rsidRPr="00F87A66" w:rsidRDefault="004606C9" w:rsidP="004606C9">
      <w:pPr>
        <w:tabs>
          <w:tab w:val="left" w:pos="540"/>
        </w:tabs>
        <w:ind w:left="540"/>
        <w:rPr>
          <w:rFonts w:asciiTheme="minorHAnsi" w:hAnsiTheme="minorHAnsi"/>
          <w:sz w:val="22"/>
        </w:rPr>
      </w:pPr>
      <w:r w:rsidRPr="004606C9">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 xml:space="preserve">regulations </w:t>
      </w:r>
      <w:r w:rsidRPr="004606C9">
        <w:rPr>
          <w:rFonts w:asciiTheme="minorHAnsi" w:hAnsiTheme="minorHAnsi"/>
          <w:sz w:val="22"/>
        </w:rPr>
        <w:t>sunsets</w:t>
      </w:r>
      <w:r>
        <w:rPr>
          <w:rFonts w:asciiTheme="minorHAnsi" w:hAnsiTheme="minorHAnsi"/>
          <w:sz w:val="22"/>
        </w:rPr>
        <w:t xml:space="preserve"> </w:t>
      </w:r>
      <w:r w:rsidRPr="004606C9">
        <w:rPr>
          <w:rFonts w:asciiTheme="minorHAnsi" w:hAnsiTheme="minorHAnsi"/>
          <w:sz w:val="22"/>
        </w:rPr>
        <w:t>as of the expiration date.  Taxpayers are not likely to be aware that the Service intends to request renewal of the OMB approval and obtain a new expiration date before the old one expires</w:t>
      </w:r>
      <w:r>
        <w:rPr>
          <w:rFonts w:asciiTheme="minorHAnsi" w:hAnsiTheme="minorHAnsi"/>
          <w:sz w:val="22"/>
        </w:rPr>
        <w:t>.</w:t>
      </w:r>
    </w:p>
    <w:p w:rsidR="00D463E0" w:rsidRPr="00DC1585" w:rsidRDefault="00D463E0" w:rsidP="009E3D48">
      <w:pPr>
        <w:tabs>
          <w:tab w:val="left" w:pos="540"/>
        </w:tabs>
        <w:ind w:left="540" w:hanging="540"/>
        <w:rPr>
          <w:rFonts w:asciiTheme="minorHAnsi" w:hAnsiTheme="minorHAnsi"/>
          <w:b/>
          <w:sz w:val="22"/>
          <w:u w:val="single"/>
        </w:rPr>
      </w:pPr>
    </w:p>
    <w:p w:rsidR="009E3D48" w:rsidRPr="00DC1585" w:rsidRDefault="009E3D48" w:rsidP="009E3D48">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RDefault="009E3D48" w:rsidP="009E3D48">
      <w:pPr>
        <w:tabs>
          <w:tab w:val="left" w:pos="540"/>
        </w:tabs>
        <w:ind w:left="540" w:hanging="540"/>
        <w:rPr>
          <w:rFonts w:asciiTheme="minorHAnsi" w:hAnsiTheme="minorHAnsi"/>
          <w:sz w:val="22"/>
        </w:rPr>
      </w:pPr>
    </w:p>
    <w:p w:rsidR="00A648C2" w:rsidRPr="00F87A66" w:rsidRDefault="00A648C2" w:rsidP="00A648C2">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RDefault="0004104E" w:rsidP="0004104E">
      <w:pPr>
        <w:tabs>
          <w:tab w:val="left" w:pos="540"/>
        </w:tabs>
        <w:ind w:left="540" w:hanging="540"/>
        <w:rPr>
          <w:rFonts w:asciiTheme="minorHAnsi" w:hAnsiTheme="minorHAnsi"/>
          <w:sz w:val="22"/>
        </w:rPr>
      </w:pPr>
    </w:p>
    <w:p w:rsidR="0004104E"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Note:</w:t>
      </w:r>
      <w:r w:rsidRPr="00F87A66">
        <w:rPr>
          <w:rFonts w:asciiTheme="minorHAnsi" w:hAnsiTheme="minorHAnsi"/>
          <w:sz w:val="22"/>
        </w:rPr>
        <w:tab/>
        <w:t>The following paragraph applies to all of the collections of information in this submission:</w:t>
      </w:r>
    </w:p>
    <w:p w:rsidR="00CB358B" w:rsidRPr="00F87A66" w:rsidRDefault="00CB358B" w:rsidP="0004104E">
      <w:pPr>
        <w:tabs>
          <w:tab w:val="left" w:pos="720"/>
        </w:tabs>
        <w:ind w:left="720" w:hanging="720"/>
        <w:rPr>
          <w:rFonts w:asciiTheme="minorHAnsi" w:hAnsiTheme="minorHAnsi"/>
          <w:sz w:val="22"/>
        </w:rPr>
      </w:pPr>
    </w:p>
    <w:p w:rsidR="00D463E0" w:rsidRPr="00F87A66" w:rsidRDefault="0004104E" w:rsidP="0004104E">
      <w:pPr>
        <w:tabs>
          <w:tab w:val="left" w:pos="720"/>
        </w:tabs>
        <w:ind w:left="720" w:hanging="720"/>
        <w:rPr>
          <w:rFonts w:asciiTheme="minorHAnsi" w:hAnsiTheme="minorHAnsi"/>
          <w:sz w:val="22"/>
        </w:rPr>
      </w:pPr>
      <w:r w:rsidRPr="00F87A66">
        <w:rPr>
          <w:rFonts w:asciiTheme="minorHAnsi" w:hAnsiTheme="minorHAnsi"/>
          <w:sz w:val="22"/>
        </w:rPr>
        <w:tab/>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D463E0" w:rsidRPr="00F87A6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1F3" w:rsidRDefault="003771F3" w:rsidP="009E3D48">
      <w:r>
        <w:separator/>
      </w:r>
    </w:p>
  </w:endnote>
  <w:endnote w:type="continuationSeparator" w:id="0">
    <w:p w:rsidR="003771F3" w:rsidRDefault="003771F3"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700687"/>
      <w:docPartObj>
        <w:docPartGallery w:val="Page Numbers (Bottom of Page)"/>
        <w:docPartUnique/>
      </w:docPartObj>
    </w:sdtPr>
    <w:sdtEndPr>
      <w:rPr>
        <w:noProof/>
      </w:rPr>
    </w:sdtEndPr>
    <w:sdtContent>
      <w:p w:rsidR="00A648C2" w:rsidRDefault="00A648C2">
        <w:pPr>
          <w:pStyle w:val="Footer"/>
          <w:jc w:val="right"/>
        </w:pPr>
        <w:r>
          <w:fldChar w:fldCharType="begin"/>
        </w:r>
        <w:r>
          <w:instrText xml:space="preserve"> PAGE   \* MERGEFORMAT </w:instrText>
        </w:r>
        <w:r>
          <w:fldChar w:fldCharType="separate"/>
        </w:r>
        <w:r w:rsidR="001134C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1F3" w:rsidRDefault="003771F3" w:rsidP="009E3D48">
      <w:r>
        <w:separator/>
      </w:r>
    </w:p>
  </w:footnote>
  <w:footnote w:type="continuationSeparator" w:id="0">
    <w:p w:rsidR="003771F3" w:rsidRDefault="003771F3" w:rsidP="009E3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D48"/>
    <w:rsid w:val="0004104E"/>
    <w:rsid w:val="000720DB"/>
    <w:rsid w:val="0007317C"/>
    <w:rsid w:val="000818CF"/>
    <w:rsid w:val="001134C1"/>
    <w:rsid w:val="0012304F"/>
    <w:rsid w:val="001616BC"/>
    <w:rsid w:val="00183523"/>
    <w:rsid w:val="00197CEF"/>
    <w:rsid w:val="00235AD5"/>
    <w:rsid w:val="002456AB"/>
    <w:rsid w:val="00277A26"/>
    <w:rsid w:val="002911BE"/>
    <w:rsid w:val="002A463C"/>
    <w:rsid w:val="002C7C4B"/>
    <w:rsid w:val="003475EA"/>
    <w:rsid w:val="003771F3"/>
    <w:rsid w:val="00377A8D"/>
    <w:rsid w:val="003A0E5A"/>
    <w:rsid w:val="003B5599"/>
    <w:rsid w:val="00421E96"/>
    <w:rsid w:val="004606C9"/>
    <w:rsid w:val="0047046A"/>
    <w:rsid w:val="005E6135"/>
    <w:rsid w:val="006031DF"/>
    <w:rsid w:val="00637C90"/>
    <w:rsid w:val="006546DD"/>
    <w:rsid w:val="00666D3F"/>
    <w:rsid w:val="0067315A"/>
    <w:rsid w:val="006B08BA"/>
    <w:rsid w:val="006E647F"/>
    <w:rsid w:val="00770EAA"/>
    <w:rsid w:val="00801000"/>
    <w:rsid w:val="008B2F1E"/>
    <w:rsid w:val="009302A1"/>
    <w:rsid w:val="0094428D"/>
    <w:rsid w:val="00946CFC"/>
    <w:rsid w:val="00964FD7"/>
    <w:rsid w:val="00996DDD"/>
    <w:rsid w:val="009E3D48"/>
    <w:rsid w:val="00A24315"/>
    <w:rsid w:val="00A34314"/>
    <w:rsid w:val="00A648C2"/>
    <w:rsid w:val="00AA034F"/>
    <w:rsid w:val="00B248B3"/>
    <w:rsid w:val="00BD0EDC"/>
    <w:rsid w:val="00BD1F42"/>
    <w:rsid w:val="00CB358B"/>
    <w:rsid w:val="00D01E6A"/>
    <w:rsid w:val="00D463E0"/>
    <w:rsid w:val="00D47DDC"/>
    <w:rsid w:val="00D91961"/>
    <w:rsid w:val="00DB3926"/>
    <w:rsid w:val="00DC1585"/>
    <w:rsid w:val="00DF6A65"/>
    <w:rsid w:val="00E20185"/>
    <w:rsid w:val="00E378C3"/>
    <w:rsid w:val="00E729D0"/>
    <w:rsid w:val="00EB0140"/>
    <w:rsid w:val="00EB5D43"/>
    <w:rsid w:val="00EB6683"/>
    <w:rsid w:val="00ED3A16"/>
    <w:rsid w:val="00F011BC"/>
    <w:rsid w:val="00F02F40"/>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B79511F9-4BA2-4C08-AD74-3B5A8FD88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Dawn</dc:creator>
  <cp:lastModifiedBy>SYSTEM</cp:lastModifiedBy>
  <cp:revision>2</cp:revision>
  <dcterms:created xsi:type="dcterms:W3CDTF">2018-09-11T15:20:00Z</dcterms:created>
  <dcterms:modified xsi:type="dcterms:W3CDTF">2018-09-11T15:20:00Z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