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2C2D" w14:textId="77777777" w:rsidR="007626F1" w:rsidRDefault="007626F1" w:rsidP="007626F1">
      <w:pPr>
        <w:pStyle w:val="ReportCover-Title"/>
        <w:jc w:val="center"/>
        <w:rPr>
          <w:rFonts w:ascii="Calibri Light" w:eastAsia="Arial Unicode MS" w:hAnsi="Calibri Light" w:cs="Calibri Light"/>
          <w:b w:val="0"/>
          <w:noProof/>
          <w:color w:val="E44044"/>
        </w:rPr>
      </w:pPr>
      <w:bookmarkStart w:id="0" w:name="_GoBack"/>
      <w:bookmarkEnd w:id="0"/>
    </w:p>
    <w:p w14:paraId="394A9323" w14:textId="77777777" w:rsidR="007626F1" w:rsidRDefault="007626F1" w:rsidP="007626F1">
      <w:pPr>
        <w:pStyle w:val="ReportCover-Title"/>
        <w:jc w:val="center"/>
        <w:rPr>
          <w:rFonts w:ascii="Calibri Light" w:eastAsia="Arial Unicode MS" w:hAnsi="Calibri Light" w:cs="Calibri Light"/>
          <w:b w:val="0"/>
          <w:noProof/>
          <w:color w:val="E44044"/>
        </w:rPr>
      </w:pPr>
    </w:p>
    <w:p w14:paraId="7CFB88EB" w14:textId="393CCCFB" w:rsidR="000F5D39" w:rsidRPr="003D0ED9" w:rsidRDefault="0073498D" w:rsidP="007626F1">
      <w:pPr>
        <w:pStyle w:val="ReportCover-Title"/>
        <w:jc w:val="center"/>
        <w:rPr>
          <w:rFonts w:ascii="Calibri Light" w:hAnsi="Calibri Light" w:cs="Calibri Light"/>
          <w:b w:val="0"/>
          <w:color w:val="E44044"/>
        </w:rPr>
      </w:pPr>
      <w:r w:rsidRPr="003D0ED9">
        <w:rPr>
          <w:rFonts w:ascii="Calibri Light" w:eastAsia="Arial Unicode MS" w:hAnsi="Calibri Light" w:cs="Calibri Light"/>
          <w:b w:val="0"/>
          <w:noProof/>
          <w:color w:val="E44044"/>
        </w:rPr>
        <w:t>Childhood &amp; Family Experiences</w:t>
      </w:r>
    </w:p>
    <w:p w14:paraId="58C08C17" w14:textId="77777777" w:rsidR="000F5D39" w:rsidRPr="003D0ED9" w:rsidRDefault="000F5D39" w:rsidP="000F5D39">
      <w:pPr>
        <w:pStyle w:val="ReportCover-Title"/>
        <w:rPr>
          <w:rFonts w:ascii="Calibri" w:hAnsi="Calibri" w:cs="Calibri"/>
          <w:color w:val="E44044"/>
        </w:rPr>
      </w:pPr>
    </w:p>
    <w:p w14:paraId="6DCB3DC5" w14:textId="77777777" w:rsidR="000F5D39" w:rsidRPr="003D0ED9" w:rsidRDefault="000F5D39" w:rsidP="000F5D39">
      <w:pPr>
        <w:pStyle w:val="ReportCover-Title"/>
        <w:rPr>
          <w:rFonts w:ascii="Calibri" w:hAnsi="Calibri" w:cs="Calibri"/>
          <w:color w:val="E44044"/>
        </w:rPr>
      </w:pPr>
    </w:p>
    <w:p w14:paraId="290DB297" w14:textId="77777777" w:rsidR="000F5D39" w:rsidRPr="003D0ED9" w:rsidRDefault="0073498D" w:rsidP="000F5D39">
      <w:pPr>
        <w:pStyle w:val="ReportCover-Title"/>
        <w:jc w:val="center"/>
        <w:rPr>
          <w:rFonts w:ascii="Calibri Light" w:hAnsi="Calibri Light" w:cs="Calibri Light"/>
          <w:b w:val="0"/>
          <w:color w:val="E44044"/>
          <w:sz w:val="32"/>
          <w:szCs w:val="32"/>
        </w:rPr>
      </w:pPr>
      <w:r w:rsidRPr="003D0ED9">
        <w:rPr>
          <w:rFonts w:ascii="Calibri Light" w:hAnsi="Calibri Light" w:cs="Calibri Light"/>
          <w:b w:val="0"/>
          <w:color w:val="E44044"/>
          <w:sz w:val="32"/>
          <w:szCs w:val="32"/>
        </w:rPr>
        <w:t>New Collection</w:t>
      </w:r>
    </w:p>
    <w:p w14:paraId="0D8926CC" w14:textId="77777777" w:rsidR="000F5D39" w:rsidRPr="003D0ED9" w:rsidRDefault="000F5D39" w:rsidP="000F5D39">
      <w:pPr>
        <w:rPr>
          <w:rFonts w:ascii="Calibri" w:hAnsi="Calibri" w:cs="Calibri"/>
          <w:color w:val="E44044"/>
          <w:szCs w:val="22"/>
        </w:rPr>
      </w:pPr>
    </w:p>
    <w:p w14:paraId="61A20EB7" w14:textId="77777777" w:rsidR="000F5D39" w:rsidRPr="003D0ED9" w:rsidRDefault="000F5D39" w:rsidP="000F5D39">
      <w:pPr>
        <w:pStyle w:val="ReportCover-Date"/>
        <w:jc w:val="center"/>
        <w:rPr>
          <w:rFonts w:ascii="Calibri" w:hAnsi="Calibri" w:cs="Calibri"/>
          <w:color w:val="E44044"/>
        </w:rPr>
      </w:pPr>
    </w:p>
    <w:p w14:paraId="211B5B93" w14:textId="77777777" w:rsidR="000F5D39" w:rsidRPr="003D0ED9" w:rsidRDefault="000F5D39" w:rsidP="000F5D39">
      <w:pPr>
        <w:pStyle w:val="ReportCover-Date"/>
        <w:spacing w:after="360" w:line="240" w:lineRule="auto"/>
        <w:jc w:val="center"/>
        <w:rPr>
          <w:rFonts w:ascii="Calibri Light" w:hAnsi="Calibri Light" w:cs="Calibri Light"/>
          <w:b w:val="0"/>
          <w:color w:val="E44044"/>
          <w:sz w:val="48"/>
          <w:szCs w:val="48"/>
        </w:rPr>
      </w:pPr>
      <w:r w:rsidRPr="003D0ED9">
        <w:rPr>
          <w:rFonts w:ascii="Calibri Light" w:hAnsi="Calibri Light" w:cs="Calibri Light"/>
          <w:b w:val="0"/>
          <w:color w:val="E44044"/>
          <w:sz w:val="48"/>
          <w:szCs w:val="48"/>
        </w:rPr>
        <w:t>Supporting Statement</w:t>
      </w:r>
    </w:p>
    <w:p w14:paraId="3194C8C1" w14:textId="77777777" w:rsidR="000F5D39" w:rsidRPr="003D0ED9" w:rsidRDefault="000F5D39" w:rsidP="000F5D39">
      <w:pPr>
        <w:pStyle w:val="ReportCover-Date"/>
        <w:spacing w:after="360" w:line="240" w:lineRule="auto"/>
        <w:jc w:val="center"/>
        <w:rPr>
          <w:rFonts w:ascii="Calibri Light" w:hAnsi="Calibri Light" w:cs="Calibri Light"/>
          <w:b w:val="0"/>
          <w:color w:val="E44044"/>
          <w:sz w:val="48"/>
          <w:szCs w:val="48"/>
        </w:rPr>
      </w:pPr>
      <w:r w:rsidRPr="003D0ED9">
        <w:rPr>
          <w:rFonts w:ascii="Calibri Light" w:hAnsi="Calibri Light" w:cs="Calibri Light"/>
          <w:b w:val="0"/>
          <w:color w:val="E44044"/>
          <w:sz w:val="48"/>
          <w:szCs w:val="48"/>
        </w:rPr>
        <w:t xml:space="preserve">Part </w:t>
      </w:r>
      <w:r w:rsidR="006F30E0" w:rsidRPr="003D0ED9">
        <w:rPr>
          <w:rFonts w:ascii="Calibri Light" w:hAnsi="Calibri Light" w:cs="Calibri Light"/>
          <w:b w:val="0"/>
          <w:color w:val="E44044"/>
          <w:sz w:val="48"/>
          <w:szCs w:val="48"/>
        </w:rPr>
        <w:t>B</w:t>
      </w:r>
    </w:p>
    <w:p w14:paraId="33E6705A" w14:textId="3CCA84F9" w:rsidR="000F5D39" w:rsidRPr="003D0ED9" w:rsidRDefault="00E57A35" w:rsidP="000F5D39">
      <w:pPr>
        <w:pStyle w:val="ReportCover-Date"/>
        <w:jc w:val="center"/>
        <w:rPr>
          <w:rFonts w:ascii="Calibri Light" w:hAnsi="Calibri Light" w:cs="Calibri Light"/>
          <w:b w:val="0"/>
          <w:color w:val="auto"/>
        </w:rPr>
      </w:pPr>
      <w:r>
        <w:rPr>
          <w:rFonts w:ascii="Calibri Light" w:hAnsi="Calibri Light" w:cs="Calibri Light"/>
          <w:b w:val="0"/>
          <w:color w:val="auto"/>
        </w:rPr>
        <w:t>February 2019</w:t>
      </w:r>
    </w:p>
    <w:p w14:paraId="2A70F72D" w14:textId="77777777" w:rsidR="000F5D39" w:rsidRPr="002C4F75" w:rsidRDefault="000F5D39" w:rsidP="000F5D39">
      <w:pPr>
        <w:jc w:val="center"/>
        <w:rPr>
          <w:rFonts w:ascii="Arial" w:hAnsi="Arial" w:cs="Arial"/>
        </w:rPr>
      </w:pPr>
    </w:p>
    <w:p w14:paraId="4AC741F4"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Submitted By:</w:t>
      </w:r>
    </w:p>
    <w:p w14:paraId="593A07DA" w14:textId="3CF8227B"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Office of Planning, Research</w:t>
      </w:r>
      <w:r w:rsidR="00C77D0E">
        <w:rPr>
          <w:rFonts w:ascii="Calibri Light" w:hAnsi="Calibri Light" w:cs="Calibri Light"/>
          <w:color w:val="787E8B"/>
        </w:rPr>
        <w:t>,</w:t>
      </w:r>
      <w:r w:rsidRPr="003D0ED9">
        <w:rPr>
          <w:rFonts w:ascii="Calibri Light" w:hAnsi="Calibri Light" w:cs="Calibri Light"/>
          <w:color w:val="787E8B"/>
        </w:rPr>
        <w:t xml:space="preserve"> and Evaluation</w:t>
      </w:r>
    </w:p>
    <w:p w14:paraId="224C2AB6"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 xml:space="preserve">Administration for Children and Families </w:t>
      </w:r>
    </w:p>
    <w:p w14:paraId="5F0F4CE6"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U.S. Department of Health and Human Services</w:t>
      </w:r>
    </w:p>
    <w:p w14:paraId="69060A04" w14:textId="77777777" w:rsidR="000F5D39" w:rsidRPr="003D0ED9" w:rsidRDefault="000F5D39" w:rsidP="000F5D39">
      <w:pPr>
        <w:jc w:val="center"/>
        <w:rPr>
          <w:rFonts w:ascii="Calibri Light" w:hAnsi="Calibri Light" w:cs="Calibri Light"/>
          <w:color w:val="787E8B"/>
        </w:rPr>
      </w:pPr>
    </w:p>
    <w:p w14:paraId="27BB1BF6" w14:textId="77777777" w:rsidR="000F5D39" w:rsidRPr="003D0ED9" w:rsidRDefault="00D70E19" w:rsidP="000F5D39">
      <w:pPr>
        <w:jc w:val="center"/>
        <w:rPr>
          <w:rFonts w:ascii="Calibri Light" w:hAnsi="Calibri Light" w:cs="Calibri Light"/>
          <w:color w:val="787E8B"/>
        </w:rPr>
      </w:pPr>
      <w:r>
        <w:rPr>
          <w:rFonts w:ascii="Calibri Light" w:hAnsi="Calibri Light" w:cs="Calibri Light"/>
          <w:color w:val="787E8B"/>
        </w:rPr>
        <w:t>4</w:t>
      </w:r>
      <w:r w:rsidR="000F5D39" w:rsidRPr="003D0ED9">
        <w:rPr>
          <w:rFonts w:ascii="Calibri Light" w:hAnsi="Calibri Light" w:cs="Calibri Light"/>
          <w:color w:val="787E8B"/>
          <w:vertAlign w:val="superscript"/>
        </w:rPr>
        <w:t>th</w:t>
      </w:r>
      <w:r w:rsidR="000F5D39" w:rsidRPr="003D0ED9">
        <w:rPr>
          <w:rFonts w:ascii="Calibri Light" w:hAnsi="Calibri Light" w:cs="Calibri Light"/>
          <w:color w:val="787E8B"/>
        </w:rPr>
        <w:t xml:space="preserve"> Floor, </w:t>
      </w:r>
      <w:r>
        <w:rPr>
          <w:rFonts w:ascii="Calibri Light" w:hAnsi="Calibri Light" w:cs="Calibri Light"/>
          <w:color w:val="787E8B"/>
        </w:rPr>
        <w:t>Mary E. Switzer Building</w:t>
      </w:r>
    </w:p>
    <w:p w14:paraId="502C8468" w14:textId="77777777" w:rsidR="000F5D39" w:rsidRPr="003D0ED9" w:rsidRDefault="00D70E19" w:rsidP="000F5D39">
      <w:pPr>
        <w:jc w:val="center"/>
        <w:rPr>
          <w:rFonts w:ascii="Calibri Light" w:hAnsi="Calibri Light" w:cs="Calibri Light"/>
          <w:color w:val="787E8B"/>
        </w:rPr>
      </w:pPr>
      <w:r>
        <w:rPr>
          <w:rFonts w:ascii="Calibri Light" w:hAnsi="Calibri Light" w:cs="Calibri Light"/>
          <w:color w:val="787E8B"/>
        </w:rPr>
        <w:t>330 C Street</w:t>
      </w:r>
      <w:r w:rsidR="000F5D39" w:rsidRPr="003D0ED9">
        <w:rPr>
          <w:rFonts w:ascii="Calibri Light" w:hAnsi="Calibri Light" w:cs="Calibri Light"/>
          <w:color w:val="787E8B"/>
        </w:rPr>
        <w:t>, SW</w:t>
      </w:r>
    </w:p>
    <w:p w14:paraId="56E07407"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 xml:space="preserve">Washington, D.C. </w:t>
      </w:r>
      <w:r w:rsidR="00D70E19">
        <w:rPr>
          <w:rFonts w:ascii="Calibri Light" w:hAnsi="Calibri Light" w:cs="Calibri Light"/>
          <w:color w:val="787E8B"/>
        </w:rPr>
        <w:t>20201</w:t>
      </w:r>
    </w:p>
    <w:p w14:paraId="7BD0201C" w14:textId="77777777" w:rsidR="000F5D39" w:rsidRPr="003D0ED9" w:rsidRDefault="000F5D39" w:rsidP="000F5D39">
      <w:pPr>
        <w:jc w:val="center"/>
        <w:rPr>
          <w:rFonts w:ascii="Calibri Light" w:hAnsi="Calibri Light" w:cs="Calibri Light"/>
          <w:color w:val="787E8B"/>
        </w:rPr>
      </w:pPr>
    </w:p>
    <w:p w14:paraId="7A6CBDC4" w14:textId="7CCB1E5C" w:rsidR="000F5D39" w:rsidRPr="003D0ED9" w:rsidRDefault="000F5D39" w:rsidP="000F5D39">
      <w:pPr>
        <w:jc w:val="center"/>
        <w:rPr>
          <w:rFonts w:ascii="Calibri Light" w:hAnsi="Calibri Light" w:cs="Calibri Light"/>
          <w:color w:val="787E8B"/>
        </w:rPr>
      </w:pPr>
      <w:r w:rsidRPr="00AD2C6B">
        <w:rPr>
          <w:rFonts w:ascii="Calibri Light" w:hAnsi="Calibri Light"/>
          <w:color w:val="787E8B"/>
        </w:rPr>
        <w:t xml:space="preserve">Project </w:t>
      </w:r>
      <w:r w:rsidRPr="007337FB">
        <w:rPr>
          <w:rFonts w:ascii="Calibri Light" w:hAnsi="Calibri Light" w:cs="Calibri Light"/>
          <w:color w:val="787E8B"/>
        </w:rPr>
        <w:t>Officer</w:t>
      </w:r>
      <w:r w:rsidRPr="00AD2C6B">
        <w:rPr>
          <w:rFonts w:ascii="Calibri Light" w:hAnsi="Calibri Light"/>
          <w:color w:val="787E8B"/>
        </w:rPr>
        <w:t>:</w:t>
      </w:r>
    </w:p>
    <w:p w14:paraId="38B9021D" w14:textId="77777777" w:rsidR="000F5D39" w:rsidRPr="00E709D8" w:rsidRDefault="007337FB" w:rsidP="000F5D39">
      <w:pPr>
        <w:pStyle w:val="ReportCover-Date"/>
        <w:jc w:val="center"/>
        <w:rPr>
          <w:rFonts w:ascii="Calibri Light" w:hAnsi="Calibri Light" w:cs="Calibri Light"/>
          <w:b w:val="0"/>
          <w:color w:val="auto"/>
        </w:rPr>
      </w:pPr>
      <w:r w:rsidRPr="00E709D8">
        <w:rPr>
          <w:rFonts w:ascii="Calibri Light" w:hAnsi="Calibri Light" w:cs="Calibri Light"/>
          <w:b w:val="0"/>
          <w:color w:val="auto"/>
        </w:rPr>
        <w:t>Amelia Popham</w:t>
      </w:r>
    </w:p>
    <w:p w14:paraId="2C92DA65" w14:textId="77777777" w:rsidR="000F5D39" w:rsidRDefault="000F5D39" w:rsidP="000F5D39">
      <w:pPr>
        <w:jc w:val="center"/>
        <w:rPr>
          <w:b/>
        </w:rPr>
      </w:pPr>
    </w:p>
    <w:p w14:paraId="18D10F96" w14:textId="77777777" w:rsidR="00EE6519" w:rsidRDefault="00EE6519" w:rsidP="0073498D">
      <w:pPr>
        <w:autoSpaceDE w:val="0"/>
        <w:autoSpaceDN w:val="0"/>
        <w:adjustRightInd w:val="0"/>
        <w:rPr>
          <w:rFonts w:ascii="Calibri Light" w:hAnsi="Calibri Light"/>
          <w:color w:val="2F5496"/>
          <w:sz w:val="32"/>
          <w:szCs w:val="32"/>
        </w:rPr>
      </w:pPr>
    </w:p>
    <w:p w14:paraId="274FBE7E" w14:textId="77777777" w:rsidR="00EE6519" w:rsidRDefault="00EE6519" w:rsidP="0073498D">
      <w:pPr>
        <w:autoSpaceDE w:val="0"/>
        <w:autoSpaceDN w:val="0"/>
        <w:adjustRightInd w:val="0"/>
        <w:rPr>
          <w:rFonts w:ascii="Calibri Light" w:hAnsi="Calibri Light"/>
          <w:color w:val="2F5496"/>
          <w:sz w:val="32"/>
          <w:szCs w:val="32"/>
        </w:rPr>
      </w:pPr>
    </w:p>
    <w:p w14:paraId="394BA8D0" w14:textId="77777777" w:rsidR="007626F1" w:rsidRDefault="007626F1" w:rsidP="0073498D">
      <w:pPr>
        <w:autoSpaceDE w:val="0"/>
        <w:autoSpaceDN w:val="0"/>
        <w:adjustRightInd w:val="0"/>
        <w:rPr>
          <w:rFonts w:ascii="Garamond" w:hAnsi="Garamond"/>
        </w:rPr>
      </w:pPr>
    </w:p>
    <w:p w14:paraId="26980084" w14:textId="29D211F9" w:rsidR="0073498D" w:rsidRPr="0073498D" w:rsidRDefault="00910080" w:rsidP="0073498D">
      <w:pPr>
        <w:autoSpaceDE w:val="0"/>
        <w:autoSpaceDN w:val="0"/>
        <w:adjustRightInd w:val="0"/>
        <w:rPr>
          <w:rFonts w:ascii="Garamond" w:hAnsi="Garamond"/>
        </w:rPr>
      </w:pPr>
      <w:r>
        <w:rPr>
          <w:rFonts w:ascii="Garamond" w:hAnsi="Garamond"/>
        </w:rPr>
        <w:lastRenderedPageBreak/>
        <w:t xml:space="preserve">This document discusses the planned statistical methods for the </w:t>
      </w:r>
      <w:r w:rsidR="005040A9">
        <w:rPr>
          <w:rFonts w:ascii="Garamond" w:hAnsi="Garamond"/>
          <w:i/>
        </w:rPr>
        <w:t xml:space="preserve">Childhood </w:t>
      </w:r>
      <w:r>
        <w:rPr>
          <w:rFonts w:ascii="Garamond" w:hAnsi="Garamond"/>
          <w:i/>
        </w:rPr>
        <w:t xml:space="preserve">and Family Experiences </w:t>
      </w:r>
      <w:r>
        <w:rPr>
          <w:rFonts w:ascii="Garamond" w:hAnsi="Garamond"/>
        </w:rPr>
        <w:t>(C&amp;F</w:t>
      </w:r>
      <w:r w:rsidR="00EE6519">
        <w:rPr>
          <w:rFonts w:ascii="Garamond" w:hAnsi="Garamond"/>
        </w:rPr>
        <w:t>E</w:t>
      </w:r>
      <w:r>
        <w:rPr>
          <w:rFonts w:ascii="Garamond" w:hAnsi="Garamond"/>
        </w:rPr>
        <w:t xml:space="preserve">) study. </w:t>
      </w:r>
      <w:r w:rsidR="0073498D" w:rsidRPr="0073498D">
        <w:rPr>
          <w:rFonts w:ascii="Garamond" w:hAnsi="Garamond"/>
        </w:rPr>
        <w:t>This study is</w:t>
      </w:r>
      <w:r w:rsidR="0073498D" w:rsidRPr="0073498D">
        <w:rPr>
          <w:rFonts w:ascii="Garamond" w:hAnsi="Garamond"/>
          <w:i/>
        </w:rPr>
        <w:t xml:space="preserve"> </w:t>
      </w:r>
      <w:r w:rsidR="0073498D" w:rsidRPr="0073498D">
        <w:rPr>
          <w:rFonts w:ascii="Garamond" w:hAnsi="Garamond"/>
        </w:rPr>
        <w:t>sponsored by the Office of Planning, Research</w:t>
      </w:r>
      <w:r w:rsidR="005B3D55">
        <w:rPr>
          <w:rFonts w:ascii="Garamond" w:hAnsi="Garamond"/>
        </w:rPr>
        <w:t>,</w:t>
      </w:r>
      <w:r w:rsidR="0073498D" w:rsidRPr="0073498D">
        <w:rPr>
          <w:rFonts w:ascii="Garamond" w:hAnsi="Garamond"/>
        </w:rPr>
        <w:t xml:space="preserve"> and Evaluation (OPRE) in the Administration for Children and Families (ACF) in the U.S. Department of Health and Human Services (HHS). This submi</w:t>
      </w:r>
      <w:r>
        <w:rPr>
          <w:rFonts w:ascii="Garamond" w:hAnsi="Garamond"/>
        </w:rPr>
        <w:t xml:space="preserve">ssion seeks OMB approval for </w:t>
      </w:r>
      <w:r w:rsidR="008E634E">
        <w:rPr>
          <w:rFonts w:ascii="Garamond" w:hAnsi="Garamond"/>
        </w:rPr>
        <w:t>four</w:t>
      </w:r>
      <w:r w:rsidR="008E634E" w:rsidRPr="0073498D">
        <w:rPr>
          <w:rFonts w:ascii="Garamond" w:hAnsi="Garamond"/>
        </w:rPr>
        <w:t xml:space="preserve"> </w:t>
      </w:r>
      <w:r w:rsidR="0073498D" w:rsidRPr="0073498D">
        <w:rPr>
          <w:rFonts w:ascii="Garamond" w:hAnsi="Garamond"/>
        </w:rPr>
        <w:t xml:space="preserve">data collection instruments that will be used as part of the </w:t>
      </w:r>
      <w:r>
        <w:rPr>
          <w:rFonts w:ascii="Garamond" w:hAnsi="Garamond"/>
        </w:rPr>
        <w:t>sample selection and interview process</w:t>
      </w:r>
      <w:r w:rsidR="0073498D" w:rsidRPr="0073498D">
        <w:rPr>
          <w:rFonts w:ascii="Garamond" w:hAnsi="Garamond"/>
        </w:rPr>
        <w:t>:</w:t>
      </w:r>
    </w:p>
    <w:p w14:paraId="30589056" w14:textId="77777777" w:rsidR="0073498D" w:rsidRPr="0073498D" w:rsidRDefault="0073498D" w:rsidP="0073498D">
      <w:pPr>
        <w:autoSpaceDE w:val="0"/>
        <w:autoSpaceDN w:val="0"/>
        <w:adjustRightInd w:val="0"/>
        <w:rPr>
          <w:rFonts w:ascii="Garamond" w:hAnsi="Garamond"/>
        </w:rPr>
      </w:pPr>
    </w:p>
    <w:p w14:paraId="50A5F88D" w14:textId="79AD6FAB" w:rsidR="0073498D" w:rsidRPr="0073498D" w:rsidRDefault="00910080" w:rsidP="0073498D">
      <w:pPr>
        <w:numPr>
          <w:ilvl w:val="0"/>
          <w:numId w:val="15"/>
        </w:numPr>
        <w:autoSpaceDE w:val="0"/>
        <w:autoSpaceDN w:val="0"/>
        <w:adjustRightInd w:val="0"/>
        <w:rPr>
          <w:rFonts w:ascii="Garamond" w:hAnsi="Garamond"/>
          <w:szCs w:val="22"/>
        </w:rPr>
      </w:pPr>
      <w:r>
        <w:rPr>
          <w:rFonts w:ascii="Garamond" w:hAnsi="Garamond"/>
          <w:szCs w:val="22"/>
        </w:rPr>
        <w:t>Phone Screener for Prospective Families</w:t>
      </w:r>
      <w:r w:rsidR="003921B1">
        <w:rPr>
          <w:rFonts w:ascii="Garamond" w:hAnsi="Garamond"/>
          <w:szCs w:val="22"/>
        </w:rPr>
        <w:t xml:space="preserve"> (Appendix A)</w:t>
      </w:r>
    </w:p>
    <w:p w14:paraId="0A3D13BD" w14:textId="0F4C60C8" w:rsidR="0073498D" w:rsidRPr="0073498D" w:rsidRDefault="00DE20B8" w:rsidP="0073498D">
      <w:pPr>
        <w:numPr>
          <w:ilvl w:val="0"/>
          <w:numId w:val="15"/>
        </w:numPr>
        <w:autoSpaceDE w:val="0"/>
        <w:autoSpaceDN w:val="0"/>
        <w:adjustRightInd w:val="0"/>
        <w:rPr>
          <w:rFonts w:ascii="Garamond" w:hAnsi="Garamond"/>
          <w:szCs w:val="22"/>
        </w:rPr>
      </w:pPr>
      <w:r>
        <w:rPr>
          <w:rFonts w:ascii="Garamond" w:hAnsi="Garamond"/>
          <w:szCs w:val="22"/>
        </w:rPr>
        <w:t xml:space="preserve">Adult Interview Guide </w:t>
      </w:r>
      <w:r w:rsidR="003921B1">
        <w:rPr>
          <w:rFonts w:ascii="Garamond" w:hAnsi="Garamond"/>
          <w:szCs w:val="22"/>
        </w:rPr>
        <w:t xml:space="preserve">(Appendix B) </w:t>
      </w:r>
    </w:p>
    <w:p w14:paraId="642AFD52" w14:textId="7EB5D567" w:rsidR="0073498D" w:rsidRPr="0073498D" w:rsidRDefault="00DE20B8" w:rsidP="0073498D">
      <w:pPr>
        <w:numPr>
          <w:ilvl w:val="0"/>
          <w:numId w:val="15"/>
        </w:numPr>
        <w:autoSpaceDE w:val="0"/>
        <w:autoSpaceDN w:val="0"/>
        <w:adjustRightInd w:val="0"/>
        <w:rPr>
          <w:rFonts w:ascii="Garamond" w:hAnsi="Garamond"/>
          <w:szCs w:val="22"/>
        </w:rPr>
      </w:pPr>
      <w:r>
        <w:rPr>
          <w:rFonts w:ascii="Garamond" w:hAnsi="Garamond"/>
          <w:szCs w:val="22"/>
        </w:rPr>
        <w:t>Adolescent Interview Guide</w:t>
      </w:r>
      <w:r w:rsidR="00910080">
        <w:rPr>
          <w:rFonts w:ascii="Garamond" w:hAnsi="Garamond"/>
          <w:szCs w:val="22"/>
        </w:rPr>
        <w:t xml:space="preserve"> (Ages 12-17)</w:t>
      </w:r>
      <w:r w:rsidR="003921B1">
        <w:rPr>
          <w:rFonts w:ascii="Garamond" w:hAnsi="Garamond"/>
          <w:szCs w:val="22"/>
        </w:rPr>
        <w:t xml:space="preserve"> (Appendix C)</w:t>
      </w:r>
    </w:p>
    <w:p w14:paraId="60450D73" w14:textId="2A2B121B" w:rsidR="0073498D" w:rsidRPr="0073498D" w:rsidRDefault="00DE20B8" w:rsidP="0073498D">
      <w:pPr>
        <w:numPr>
          <w:ilvl w:val="0"/>
          <w:numId w:val="15"/>
        </w:numPr>
        <w:autoSpaceDE w:val="0"/>
        <w:autoSpaceDN w:val="0"/>
        <w:adjustRightInd w:val="0"/>
        <w:rPr>
          <w:rFonts w:ascii="Garamond" w:hAnsi="Garamond"/>
          <w:szCs w:val="22"/>
        </w:rPr>
      </w:pPr>
      <w:r>
        <w:rPr>
          <w:rFonts w:ascii="Garamond" w:hAnsi="Garamond"/>
          <w:szCs w:val="22"/>
        </w:rPr>
        <w:t>Child Interview Guide</w:t>
      </w:r>
      <w:r w:rsidR="00910080">
        <w:rPr>
          <w:rFonts w:ascii="Garamond" w:hAnsi="Garamond"/>
          <w:szCs w:val="22"/>
        </w:rPr>
        <w:t xml:space="preserve"> (Ages 7-11)</w:t>
      </w:r>
      <w:r w:rsidR="003921B1">
        <w:rPr>
          <w:rFonts w:ascii="Garamond" w:hAnsi="Garamond"/>
          <w:szCs w:val="22"/>
        </w:rPr>
        <w:t xml:space="preserve"> (Appendix D) </w:t>
      </w:r>
    </w:p>
    <w:p w14:paraId="4561C207" w14:textId="22CCC6E9" w:rsidR="0073498D" w:rsidRPr="0073498D" w:rsidRDefault="0073498D" w:rsidP="0073498D">
      <w:pPr>
        <w:autoSpaceDE w:val="0"/>
        <w:autoSpaceDN w:val="0"/>
        <w:adjustRightInd w:val="0"/>
        <w:rPr>
          <w:rFonts w:ascii="Garamond" w:hAnsi="Garamond"/>
          <w:szCs w:val="22"/>
        </w:rPr>
      </w:pPr>
    </w:p>
    <w:p w14:paraId="525D55AB" w14:textId="77777777" w:rsidR="0073498D" w:rsidRPr="0073498D" w:rsidRDefault="0073498D" w:rsidP="0073498D">
      <w:pPr>
        <w:autoSpaceDE w:val="0"/>
        <w:autoSpaceDN w:val="0"/>
        <w:adjustRightInd w:val="0"/>
        <w:rPr>
          <w:rFonts w:ascii="Garamond" w:hAnsi="Garamond"/>
          <w:szCs w:val="22"/>
        </w:rPr>
      </w:pPr>
      <w:r w:rsidRPr="0073498D">
        <w:rPr>
          <w:rFonts w:ascii="Garamond" w:hAnsi="Garamond"/>
          <w:szCs w:val="22"/>
        </w:rPr>
        <w:t>This justification provides supporting statements for each of the five points outlined in Part B of the OMB guidelines.</w:t>
      </w:r>
    </w:p>
    <w:p w14:paraId="61AC53C4" w14:textId="77777777" w:rsidR="00F20419" w:rsidRDefault="00E05A0A" w:rsidP="0073498D">
      <w:pPr>
        <w:pStyle w:val="Heading1"/>
        <w:spacing w:before="320" w:after="120"/>
      </w:pPr>
      <w:bookmarkStart w:id="1" w:name="_Toc493250721"/>
      <w:r w:rsidRPr="0073498D">
        <w:t>B</w:t>
      </w:r>
      <w:r w:rsidR="0073498D" w:rsidRPr="0073498D">
        <w:t>.1</w:t>
      </w:r>
      <w:r w:rsidRPr="0073498D">
        <w:t xml:space="preserve"> Respondent Universe and Sampling Methods</w:t>
      </w:r>
      <w:bookmarkEnd w:id="1"/>
    </w:p>
    <w:p w14:paraId="2B166D75" w14:textId="3027F5AD" w:rsidR="003D0ED9" w:rsidRDefault="00910080" w:rsidP="00910080">
      <w:pPr>
        <w:rPr>
          <w:rFonts w:ascii="Garamond" w:hAnsi="Garamond"/>
        </w:rPr>
      </w:pPr>
      <w:r>
        <w:rPr>
          <w:rFonts w:ascii="Garamond" w:hAnsi="Garamond"/>
        </w:rPr>
        <w:t>The respondent universe for this study includes children and families living in poverty. The research team will intervi</w:t>
      </w:r>
      <w:r w:rsidR="00CF578E">
        <w:rPr>
          <w:rFonts w:ascii="Garamond" w:hAnsi="Garamond"/>
        </w:rPr>
        <w:t>ew 30 families in three cities</w:t>
      </w:r>
      <w:r w:rsidR="005E39B9">
        <w:rPr>
          <w:rFonts w:ascii="Garamond" w:hAnsi="Garamond"/>
        </w:rPr>
        <w:t xml:space="preserve"> or </w:t>
      </w:r>
      <w:r w:rsidR="00D70E19">
        <w:rPr>
          <w:rFonts w:ascii="Garamond" w:hAnsi="Garamond"/>
        </w:rPr>
        <w:t>communities</w:t>
      </w:r>
      <w:r w:rsidR="00CF578E">
        <w:rPr>
          <w:rFonts w:ascii="Garamond" w:hAnsi="Garamond"/>
        </w:rPr>
        <w:t xml:space="preserve"> and will work with organizations in the </w:t>
      </w:r>
      <w:r w:rsidR="00EE6519">
        <w:rPr>
          <w:rFonts w:ascii="Garamond" w:hAnsi="Garamond"/>
        </w:rPr>
        <w:t>sel</w:t>
      </w:r>
      <w:r w:rsidR="00CF578E">
        <w:rPr>
          <w:rFonts w:ascii="Garamond" w:hAnsi="Garamond"/>
        </w:rPr>
        <w:t>e</w:t>
      </w:r>
      <w:r w:rsidR="00EE6519">
        <w:rPr>
          <w:rFonts w:ascii="Garamond" w:hAnsi="Garamond"/>
        </w:rPr>
        <w:t>cted</w:t>
      </w:r>
      <w:r w:rsidR="00CF578E">
        <w:rPr>
          <w:rFonts w:ascii="Garamond" w:hAnsi="Garamond"/>
        </w:rPr>
        <w:t xml:space="preserve"> </w:t>
      </w:r>
      <w:r w:rsidR="005E39B9">
        <w:rPr>
          <w:rFonts w:ascii="Garamond" w:hAnsi="Garamond"/>
        </w:rPr>
        <w:t xml:space="preserve">areas </w:t>
      </w:r>
      <w:r w:rsidR="00CF578E">
        <w:rPr>
          <w:rFonts w:ascii="Garamond" w:hAnsi="Garamond"/>
        </w:rPr>
        <w:t xml:space="preserve">to recommend families for participation. </w:t>
      </w:r>
      <w:r>
        <w:rPr>
          <w:rFonts w:ascii="Garamond" w:hAnsi="Garamond"/>
        </w:rPr>
        <w:t>Specifically, the research team will in</w:t>
      </w:r>
      <w:r w:rsidR="00EE6519">
        <w:rPr>
          <w:rFonts w:ascii="Garamond" w:hAnsi="Garamond"/>
        </w:rPr>
        <w:t>terview: 1) parents or parent figures</w:t>
      </w:r>
      <w:r>
        <w:rPr>
          <w:rFonts w:ascii="Garamond" w:hAnsi="Garamond"/>
        </w:rPr>
        <w:t xml:space="preserve"> of </w:t>
      </w:r>
      <w:r w:rsidR="005B3D55">
        <w:rPr>
          <w:rFonts w:ascii="Garamond" w:hAnsi="Garamond"/>
        </w:rPr>
        <w:t xml:space="preserve">children </w:t>
      </w:r>
      <w:r>
        <w:rPr>
          <w:rFonts w:ascii="Garamond" w:hAnsi="Garamond"/>
        </w:rPr>
        <w:t xml:space="preserve">living in poverty; 2) </w:t>
      </w:r>
      <w:r w:rsidR="00E4335A">
        <w:rPr>
          <w:rFonts w:ascii="Garamond" w:hAnsi="Garamond"/>
        </w:rPr>
        <w:t>adolescents living</w:t>
      </w:r>
      <w:r>
        <w:rPr>
          <w:rFonts w:ascii="Garamond" w:hAnsi="Garamond"/>
        </w:rPr>
        <w:t xml:space="preserve"> in poverty; and 3) children living in poverty. Adolescents are defined as those ages 12-17 and children are defined as those ages 7-11. </w:t>
      </w:r>
    </w:p>
    <w:p w14:paraId="1671E085" w14:textId="77777777" w:rsidR="00910080" w:rsidRDefault="00910080" w:rsidP="003D0ED9">
      <w:pPr>
        <w:pStyle w:val="Heading2"/>
        <w:spacing w:before="280" w:after="120"/>
      </w:pPr>
      <w:bookmarkStart w:id="2" w:name="_Toc493250722"/>
      <w:r>
        <w:t xml:space="preserve">B.1.1 </w:t>
      </w:r>
      <w:r w:rsidR="003D0ED9">
        <w:t>Considerations for Selecting Sites</w:t>
      </w:r>
      <w:bookmarkEnd w:id="2"/>
    </w:p>
    <w:p w14:paraId="29BF1EF1" w14:textId="05BFC1B0" w:rsidR="003D0ED9" w:rsidRPr="003D0ED9" w:rsidRDefault="003D0ED9" w:rsidP="003D0ED9">
      <w:pPr>
        <w:rPr>
          <w:rFonts w:ascii="Garamond" w:hAnsi="Garamond"/>
        </w:rPr>
      </w:pPr>
      <w:r w:rsidRPr="003D0ED9">
        <w:rPr>
          <w:rFonts w:ascii="Garamond" w:hAnsi="Garamond"/>
        </w:rPr>
        <w:t xml:space="preserve">The research team </w:t>
      </w:r>
      <w:r w:rsidR="00EE6519">
        <w:rPr>
          <w:rFonts w:ascii="Garamond" w:hAnsi="Garamond"/>
        </w:rPr>
        <w:t xml:space="preserve">will take </w:t>
      </w:r>
      <w:r w:rsidR="00A57496">
        <w:rPr>
          <w:rFonts w:ascii="Garamond" w:hAnsi="Garamond"/>
        </w:rPr>
        <w:t>two</w:t>
      </w:r>
      <w:r w:rsidR="00A57496" w:rsidRPr="003D0ED9">
        <w:rPr>
          <w:rFonts w:ascii="Garamond" w:hAnsi="Garamond"/>
        </w:rPr>
        <w:t xml:space="preserve"> </w:t>
      </w:r>
      <w:r w:rsidRPr="003D0ED9">
        <w:rPr>
          <w:rFonts w:ascii="Garamond" w:hAnsi="Garamond"/>
        </w:rPr>
        <w:t xml:space="preserve">main considerations into account when selecting </w:t>
      </w:r>
      <w:r>
        <w:rPr>
          <w:rFonts w:ascii="Garamond" w:hAnsi="Garamond"/>
        </w:rPr>
        <w:t>cities</w:t>
      </w:r>
      <w:r w:rsidR="005E39B9">
        <w:rPr>
          <w:rFonts w:ascii="Garamond" w:hAnsi="Garamond"/>
        </w:rPr>
        <w:t xml:space="preserve"> or </w:t>
      </w:r>
      <w:r w:rsidR="00D70E19">
        <w:rPr>
          <w:rFonts w:ascii="Garamond" w:hAnsi="Garamond"/>
        </w:rPr>
        <w:t>communities</w:t>
      </w:r>
      <w:r>
        <w:rPr>
          <w:rFonts w:ascii="Garamond" w:hAnsi="Garamond"/>
        </w:rPr>
        <w:t xml:space="preserve"> as </w:t>
      </w:r>
      <w:r w:rsidRPr="003D0ED9">
        <w:rPr>
          <w:rFonts w:ascii="Garamond" w:hAnsi="Garamond"/>
        </w:rPr>
        <w:t>study sites</w:t>
      </w:r>
      <w:r w:rsidR="00D661B9">
        <w:rPr>
          <w:rFonts w:ascii="Garamond" w:hAnsi="Garamond"/>
        </w:rPr>
        <w:t>. Site selection decisions place approximately equal weights on these considerations</w:t>
      </w:r>
      <w:r w:rsidRPr="003D0ED9">
        <w:rPr>
          <w:rFonts w:ascii="Garamond" w:hAnsi="Garamond"/>
        </w:rPr>
        <w:t xml:space="preserve">: </w:t>
      </w:r>
    </w:p>
    <w:p w14:paraId="2412C81D" w14:textId="34F631B6" w:rsidR="003D0ED9" w:rsidRPr="007626F1" w:rsidRDefault="00E20EE6" w:rsidP="00454E23">
      <w:pPr>
        <w:pStyle w:val="ListParagraph"/>
        <w:numPr>
          <w:ilvl w:val="0"/>
          <w:numId w:val="17"/>
        </w:numPr>
        <w:spacing w:before="120" w:after="240"/>
        <w:contextualSpacing/>
        <w:rPr>
          <w:rFonts w:ascii="Garamond" w:hAnsi="Garamond"/>
          <w:sz w:val="24"/>
          <w:szCs w:val="24"/>
        </w:rPr>
      </w:pPr>
      <w:r w:rsidRPr="3F74967B">
        <w:rPr>
          <w:rFonts w:ascii="Garamond" w:hAnsi="Garamond"/>
          <w:i/>
          <w:iCs/>
          <w:sz w:val="24"/>
          <w:szCs w:val="24"/>
        </w:rPr>
        <w:t xml:space="preserve">Representativeness: </w:t>
      </w:r>
      <w:r>
        <w:rPr>
          <w:rFonts w:ascii="Garamond" w:hAnsi="Garamond"/>
          <w:sz w:val="24"/>
          <w:szCs w:val="24"/>
        </w:rPr>
        <w:t>T</w:t>
      </w:r>
      <w:r w:rsidRPr="00E20EE6">
        <w:rPr>
          <w:rFonts w:ascii="Garamond" w:hAnsi="Garamond"/>
          <w:sz w:val="24"/>
          <w:szCs w:val="24"/>
        </w:rPr>
        <w:t xml:space="preserve">he research team seeks to reflect a range of experiences of parents and </w:t>
      </w:r>
      <w:r w:rsidRPr="007626F1">
        <w:rPr>
          <w:rFonts w:ascii="Garamond" w:hAnsi="Garamond"/>
          <w:sz w:val="24"/>
          <w:szCs w:val="24"/>
        </w:rPr>
        <w:t xml:space="preserve">children in poverty in the U.S. </w:t>
      </w:r>
      <w:r w:rsidR="00A93093">
        <w:rPr>
          <w:rFonts w:ascii="Garamond" w:hAnsi="Garamond"/>
          <w:sz w:val="24"/>
          <w:szCs w:val="24"/>
        </w:rPr>
        <w:t>T</w:t>
      </w:r>
      <w:r w:rsidRPr="007626F1">
        <w:rPr>
          <w:rFonts w:ascii="Garamond" w:hAnsi="Garamond"/>
          <w:sz w:val="24"/>
          <w:szCs w:val="24"/>
        </w:rPr>
        <w:t>hus</w:t>
      </w:r>
      <w:r w:rsidR="00A93093">
        <w:rPr>
          <w:rFonts w:ascii="Garamond" w:hAnsi="Garamond"/>
          <w:sz w:val="24"/>
          <w:szCs w:val="24"/>
        </w:rPr>
        <w:t>,</w:t>
      </w:r>
      <w:r w:rsidRPr="007626F1">
        <w:rPr>
          <w:rFonts w:ascii="Garamond" w:hAnsi="Garamond"/>
          <w:sz w:val="24"/>
          <w:szCs w:val="24"/>
        </w:rPr>
        <w:t xml:space="preserve"> site selection will consider policy, programmatic, and geographic characteristics along a number of dimensions that may influence those experiences</w:t>
      </w:r>
      <w:r w:rsidR="007626F1" w:rsidRPr="007626F1">
        <w:rPr>
          <w:rFonts w:ascii="Garamond" w:hAnsi="Garamond"/>
          <w:sz w:val="24"/>
          <w:szCs w:val="24"/>
        </w:rPr>
        <w:t>. Policies and benefit levels vary considerably across states for Temporary Assistance for Needy Families (TANF)</w:t>
      </w:r>
      <w:r w:rsidR="007626F1" w:rsidRPr="007626F1">
        <w:rPr>
          <w:rStyle w:val="FootnoteReference"/>
          <w:rFonts w:ascii="Garamond" w:hAnsi="Garamond"/>
          <w:sz w:val="24"/>
          <w:szCs w:val="24"/>
        </w:rPr>
        <w:footnoteReference w:id="2"/>
      </w:r>
      <w:r w:rsidR="007626F1" w:rsidRPr="007626F1">
        <w:rPr>
          <w:rFonts w:ascii="Garamond" w:hAnsi="Garamond"/>
          <w:sz w:val="24"/>
          <w:szCs w:val="24"/>
        </w:rPr>
        <w:t xml:space="preserve"> and for Medicaid and the Children’s Health Insurance Program (CHIP).</w:t>
      </w:r>
      <w:r w:rsidR="007626F1" w:rsidRPr="007626F1">
        <w:rPr>
          <w:rStyle w:val="FootnoteReference"/>
          <w:rFonts w:ascii="Garamond" w:hAnsi="Garamond"/>
          <w:sz w:val="24"/>
          <w:szCs w:val="24"/>
        </w:rPr>
        <w:footnoteReference w:id="3"/>
      </w:r>
      <w:r w:rsidR="007626F1" w:rsidRPr="007626F1">
        <w:rPr>
          <w:rFonts w:ascii="Garamond" w:hAnsi="Garamond"/>
          <w:sz w:val="24"/>
          <w:szCs w:val="24"/>
        </w:rPr>
        <w:t xml:space="preserve"> While the availability of social service supports might be greater in more densely populated areas, accessibility of social services to those who need them may be problematic in both urban and rural areas.</w:t>
      </w:r>
      <w:r w:rsidR="007626F1" w:rsidRPr="007626F1">
        <w:rPr>
          <w:rStyle w:val="FootnoteReference"/>
          <w:rFonts w:ascii="Garamond" w:hAnsi="Garamond"/>
          <w:sz w:val="24"/>
          <w:szCs w:val="24"/>
        </w:rPr>
        <w:footnoteReference w:id="4"/>
      </w:r>
      <w:r w:rsidR="007626F1" w:rsidRPr="007626F1">
        <w:rPr>
          <w:rFonts w:ascii="Garamond" w:hAnsi="Garamond"/>
          <w:sz w:val="24"/>
          <w:szCs w:val="24"/>
        </w:rPr>
        <w:t xml:space="preserve"> A key question is whether perceptions of </w:t>
      </w:r>
      <w:r w:rsidR="007626F1" w:rsidRPr="007626F1">
        <w:rPr>
          <w:rFonts w:ascii="Garamond" w:hAnsi="Garamond"/>
          <w:sz w:val="24"/>
          <w:szCs w:val="24"/>
        </w:rPr>
        <w:lastRenderedPageBreak/>
        <w:t>those in poverty differ by geographic region or metro/non-metro area.</w:t>
      </w:r>
      <w:r w:rsidR="00653229">
        <w:rPr>
          <w:rFonts w:ascii="Garamond" w:hAnsi="Garamond"/>
          <w:sz w:val="24"/>
          <w:szCs w:val="24"/>
        </w:rPr>
        <w:t xml:space="preserve"> </w:t>
      </w:r>
      <w:r w:rsidR="007626F1" w:rsidRPr="007626F1">
        <w:rPr>
          <w:rFonts w:ascii="Garamond" w:hAnsi="Garamond"/>
          <w:sz w:val="24"/>
          <w:szCs w:val="24"/>
        </w:rPr>
        <w:t xml:space="preserve"> </w:t>
      </w:r>
      <w:r w:rsidR="00653229">
        <w:rPr>
          <w:rFonts w:ascii="Garamond" w:hAnsi="Garamond"/>
          <w:sz w:val="24"/>
          <w:szCs w:val="24"/>
        </w:rPr>
        <w:t xml:space="preserve">The </w:t>
      </w:r>
      <w:r w:rsidR="00EE45E4">
        <w:rPr>
          <w:rFonts w:ascii="Garamond" w:hAnsi="Garamond"/>
          <w:sz w:val="24"/>
          <w:szCs w:val="24"/>
        </w:rPr>
        <w:t xml:space="preserve">research </w:t>
      </w:r>
      <w:r w:rsidR="00653229" w:rsidRPr="007626F1">
        <w:rPr>
          <w:rFonts w:ascii="Garamond" w:hAnsi="Garamond"/>
          <w:sz w:val="24"/>
          <w:szCs w:val="24"/>
        </w:rPr>
        <w:t xml:space="preserve">literature </w:t>
      </w:r>
      <w:r w:rsidR="00653229">
        <w:rPr>
          <w:rFonts w:ascii="Garamond" w:hAnsi="Garamond"/>
          <w:sz w:val="24"/>
          <w:szCs w:val="24"/>
        </w:rPr>
        <w:t xml:space="preserve">does not </w:t>
      </w:r>
      <w:r w:rsidR="00653229" w:rsidRPr="007626F1">
        <w:rPr>
          <w:rFonts w:ascii="Garamond" w:hAnsi="Garamond"/>
          <w:sz w:val="24"/>
          <w:szCs w:val="24"/>
        </w:rPr>
        <w:t xml:space="preserve">address this </w:t>
      </w:r>
      <w:r w:rsidR="00653229">
        <w:rPr>
          <w:rFonts w:ascii="Garamond" w:hAnsi="Garamond"/>
          <w:sz w:val="24"/>
          <w:szCs w:val="24"/>
        </w:rPr>
        <w:t>issue</w:t>
      </w:r>
      <w:r w:rsidR="00653229" w:rsidRPr="007626F1">
        <w:rPr>
          <w:rFonts w:ascii="Garamond" w:hAnsi="Garamond"/>
          <w:sz w:val="24"/>
          <w:szCs w:val="24"/>
        </w:rPr>
        <w:t xml:space="preserve"> directly</w:t>
      </w:r>
      <w:r w:rsidR="00653229">
        <w:rPr>
          <w:rFonts w:ascii="Garamond" w:hAnsi="Garamond"/>
          <w:sz w:val="24"/>
          <w:szCs w:val="24"/>
        </w:rPr>
        <w:t xml:space="preserve"> and the research team seeks to help fill </w:t>
      </w:r>
      <w:r w:rsidR="009554CF">
        <w:rPr>
          <w:rFonts w:ascii="Garamond" w:hAnsi="Garamond"/>
          <w:sz w:val="24"/>
          <w:szCs w:val="24"/>
        </w:rPr>
        <w:t xml:space="preserve">that </w:t>
      </w:r>
      <w:r w:rsidR="00653229">
        <w:rPr>
          <w:rFonts w:ascii="Garamond" w:hAnsi="Garamond"/>
          <w:sz w:val="24"/>
          <w:szCs w:val="24"/>
        </w:rPr>
        <w:t>gap</w:t>
      </w:r>
      <w:r w:rsidR="007626F1" w:rsidRPr="007626F1">
        <w:rPr>
          <w:rFonts w:ascii="Garamond" w:hAnsi="Garamond"/>
          <w:sz w:val="24"/>
          <w:szCs w:val="24"/>
        </w:rPr>
        <w:t>. Some studies suggest that children first become aware of social status through comparisons of their own goods and lifestyle markers (e.g., where vacations are spent) with those of others.</w:t>
      </w:r>
      <w:r w:rsidR="007626F1" w:rsidRPr="007626F1">
        <w:rPr>
          <w:rStyle w:val="FootnoteReference"/>
          <w:rFonts w:ascii="Garamond" w:hAnsi="Garamond"/>
          <w:sz w:val="24"/>
          <w:szCs w:val="24"/>
        </w:rPr>
        <w:footnoteReference w:id="5"/>
      </w:r>
      <w:r w:rsidR="007626F1" w:rsidRPr="007626F1">
        <w:rPr>
          <w:rFonts w:ascii="Garamond" w:hAnsi="Garamond"/>
          <w:sz w:val="24"/>
          <w:szCs w:val="24"/>
        </w:rPr>
        <w:t xml:space="preserve"> By extension, children in more rural areas that are fairly income-homogeneous may develop this awareness relatively later than children in urban areas.</w:t>
      </w:r>
      <w:r w:rsidR="007626F1" w:rsidRPr="007626F1">
        <w:rPr>
          <w:rStyle w:val="FootnoteReference"/>
          <w:rFonts w:ascii="Garamond" w:hAnsi="Garamond"/>
          <w:sz w:val="24"/>
          <w:szCs w:val="24"/>
        </w:rPr>
        <w:footnoteReference w:id="6"/>
      </w:r>
      <w:r w:rsidR="007626F1" w:rsidRPr="007626F1">
        <w:rPr>
          <w:rFonts w:ascii="Garamond" w:hAnsi="Garamond"/>
          <w:sz w:val="24"/>
          <w:szCs w:val="24"/>
        </w:rPr>
        <w:t xml:space="preserve"> Still, children may develop comparisons with others through the media or online, and thus may develop comparisons with others regardless of their location. The research team is also attuned to associations between geographic location and sample characteristics that are not driven by policy – for example, race, ethnicity, and language. </w:t>
      </w:r>
    </w:p>
    <w:p w14:paraId="7F93BBBA" w14:textId="77777777" w:rsidR="00454E23" w:rsidRDefault="00454E23" w:rsidP="00454E23">
      <w:pPr>
        <w:pStyle w:val="ListParagraph"/>
        <w:spacing w:before="120" w:after="240"/>
        <w:ind w:left="360"/>
        <w:contextualSpacing/>
        <w:rPr>
          <w:rFonts w:ascii="Garamond" w:hAnsi="Garamond"/>
          <w:sz w:val="24"/>
          <w:szCs w:val="24"/>
        </w:rPr>
      </w:pPr>
    </w:p>
    <w:p w14:paraId="6195BB70" w14:textId="498CF1C8" w:rsidR="00A93093" w:rsidRPr="00A93093" w:rsidRDefault="00E20EE6" w:rsidP="00A93093">
      <w:pPr>
        <w:pStyle w:val="ListParagraph"/>
        <w:numPr>
          <w:ilvl w:val="0"/>
          <w:numId w:val="17"/>
        </w:numPr>
        <w:spacing w:before="120" w:after="240" w:line="252" w:lineRule="auto"/>
        <w:contextualSpacing/>
        <w:rPr>
          <w:sz w:val="24"/>
          <w:szCs w:val="24"/>
        </w:rPr>
      </w:pPr>
      <w:r w:rsidRPr="3F74967B">
        <w:rPr>
          <w:rFonts w:ascii="Garamond" w:hAnsi="Garamond"/>
          <w:i/>
          <w:iCs/>
          <w:sz w:val="24"/>
          <w:szCs w:val="24"/>
        </w:rPr>
        <w:t>Logistics and costs:</w:t>
      </w:r>
      <w:r w:rsidR="00C2679E" w:rsidRPr="3F74967B">
        <w:rPr>
          <w:rFonts w:ascii="Garamond" w:hAnsi="Garamond"/>
          <w:i/>
          <w:iCs/>
          <w:sz w:val="24"/>
          <w:szCs w:val="24"/>
        </w:rPr>
        <w:t xml:space="preserve">  </w:t>
      </w:r>
      <w:r w:rsidRPr="00A93093">
        <w:rPr>
          <w:rFonts w:ascii="Garamond" w:hAnsi="Garamond"/>
          <w:sz w:val="24"/>
          <w:szCs w:val="24"/>
        </w:rPr>
        <w:t>The research team expects to work with local social service agencies to identify and reach out to possible sample participants. It will be much more effective and realistic to work with organizations where the research team or consultants have existing relationships</w:t>
      </w:r>
      <w:r w:rsidR="00AB6059">
        <w:rPr>
          <w:rFonts w:ascii="Garamond" w:hAnsi="Garamond"/>
          <w:sz w:val="24"/>
          <w:szCs w:val="24"/>
        </w:rPr>
        <w:t xml:space="preserve"> </w:t>
      </w:r>
      <w:r w:rsidR="00E94CA2">
        <w:rPr>
          <w:rFonts w:ascii="Garamond" w:hAnsi="Garamond"/>
          <w:sz w:val="24"/>
          <w:szCs w:val="24"/>
        </w:rPr>
        <w:t>from</w:t>
      </w:r>
      <w:r w:rsidR="00AB6059">
        <w:rPr>
          <w:rFonts w:ascii="Garamond" w:hAnsi="Garamond"/>
          <w:sz w:val="24"/>
          <w:szCs w:val="24"/>
        </w:rPr>
        <w:t xml:space="preserve"> working together in previous research projects</w:t>
      </w:r>
      <w:r w:rsidR="005C0EBC">
        <w:rPr>
          <w:rFonts w:ascii="Garamond" w:hAnsi="Garamond"/>
          <w:sz w:val="24"/>
          <w:szCs w:val="24"/>
        </w:rPr>
        <w:t xml:space="preserve"> or through</w:t>
      </w:r>
      <w:r w:rsidR="00AD733E">
        <w:rPr>
          <w:rFonts w:ascii="Garamond" w:hAnsi="Garamond"/>
          <w:sz w:val="24"/>
          <w:szCs w:val="24"/>
        </w:rPr>
        <w:t xml:space="preserve"> other</w:t>
      </w:r>
      <w:r w:rsidR="005C0EBC">
        <w:rPr>
          <w:rFonts w:ascii="Garamond" w:hAnsi="Garamond"/>
          <w:sz w:val="24"/>
          <w:szCs w:val="24"/>
        </w:rPr>
        <w:t xml:space="preserve"> professional networks</w:t>
      </w:r>
      <w:r w:rsidRPr="00A93093">
        <w:rPr>
          <w:rFonts w:ascii="Garamond" w:hAnsi="Garamond"/>
          <w:sz w:val="24"/>
          <w:szCs w:val="24"/>
        </w:rPr>
        <w:t>.</w:t>
      </w:r>
      <w:r w:rsidR="00A93093">
        <w:rPr>
          <w:rFonts w:ascii="Garamond" w:hAnsi="Garamond"/>
          <w:sz w:val="24"/>
          <w:szCs w:val="24"/>
        </w:rPr>
        <w:t xml:space="preserve"> </w:t>
      </w:r>
      <w:r w:rsidR="00AC547B">
        <w:rPr>
          <w:rFonts w:ascii="Garamond" w:hAnsi="Garamond"/>
          <w:sz w:val="24"/>
          <w:szCs w:val="24"/>
        </w:rPr>
        <w:t xml:space="preserve">Local organizations may be more open to serving as intermediaries and referral sources for potential study participants if they have built trust with the research team through previous working relationships. </w:t>
      </w:r>
      <w:r w:rsidR="00A93093">
        <w:rPr>
          <w:rFonts w:ascii="Garamond" w:hAnsi="Garamond"/>
          <w:sz w:val="24"/>
          <w:szCs w:val="24"/>
        </w:rPr>
        <w:t>We will also prioritize some sites that are closer to research team members as a secondary cost consideration. S</w:t>
      </w:r>
      <w:r w:rsidR="00A93093" w:rsidRPr="00A93093">
        <w:rPr>
          <w:rFonts w:ascii="Garamond" w:hAnsi="Garamond"/>
          <w:sz w:val="24"/>
          <w:szCs w:val="24"/>
        </w:rPr>
        <w:t>tudy sites that are nearer to our research staff, consultants, or other project contacts are more practical and cost-effective for conducting outreach and completing interviews for sample members within budget.</w:t>
      </w:r>
      <w:r w:rsidR="00A93093" w:rsidRPr="00B819D2">
        <w:rPr>
          <w:sz w:val="24"/>
          <w:szCs w:val="24"/>
        </w:rPr>
        <w:t xml:space="preserve"> </w:t>
      </w:r>
    </w:p>
    <w:p w14:paraId="4844B50B" w14:textId="77777777" w:rsidR="00E20EE6" w:rsidRPr="00E20EE6" w:rsidRDefault="00E20EE6" w:rsidP="00454E23">
      <w:pPr>
        <w:pStyle w:val="ListParagraph"/>
        <w:spacing w:before="120" w:after="360"/>
        <w:ind w:left="0"/>
        <w:contextualSpacing/>
        <w:rPr>
          <w:rFonts w:ascii="Garamond" w:hAnsi="Garamond"/>
          <w:sz w:val="24"/>
          <w:szCs w:val="24"/>
        </w:rPr>
      </w:pPr>
      <w:r w:rsidRPr="00E20EE6">
        <w:rPr>
          <w:rFonts w:ascii="Garamond" w:hAnsi="Garamond"/>
          <w:sz w:val="24"/>
          <w:szCs w:val="24"/>
        </w:rPr>
        <w:t xml:space="preserve"> </w:t>
      </w:r>
    </w:p>
    <w:p w14:paraId="0EE23C6B" w14:textId="77777777" w:rsidR="00910080" w:rsidRDefault="00910080" w:rsidP="00CF578E">
      <w:pPr>
        <w:pStyle w:val="Heading2"/>
        <w:spacing w:before="280" w:after="120"/>
      </w:pPr>
      <w:bookmarkStart w:id="3" w:name="_Toc493250723"/>
      <w:r>
        <w:t xml:space="preserve">B.1.2 </w:t>
      </w:r>
      <w:r w:rsidR="003D0ED9">
        <w:t xml:space="preserve">Considerations for </w:t>
      </w:r>
      <w:r w:rsidR="00CF578E">
        <w:t>Engaging and Working with Organizational Contacts</w:t>
      </w:r>
      <w:bookmarkEnd w:id="3"/>
      <w:r w:rsidR="00CF578E">
        <w:t xml:space="preserve"> </w:t>
      </w:r>
    </w:p>
    <w:p w14:paraId="18348B0C" w14:textId="77777777" w:rsidR="00CF578E" w:rsidRPr="00D37C7C" w:rsidRDefault="00CF578E" w:rsidP="00D37C7C">
      <w:pPr>
        <w:pStyle w:val="NormalWeb"/>
        <w:spacing w:after="240" w:line="252" w:lineRule="auto"/>
        <w:rPr>
          <w:rFonts w:ascii="Garamond" w:hAnsi="Garamond"/>
          <w:color w:val="000000"/>
        </w:rPr>
      </w:pPr>
      <w:r w:rsidRPr="00D37C7C">
        <w:rPr>
          <w:rFonts w:ascii="Garamond" w:hAnsi="Garamond"/>
          <w:color w:val="000000"/>
        </w:rPr>
        <w:t xml:space="preserve">The process of engaging sites and establishing local contacts for the study will consist of several steps. </w:t>
      </w:r>
    </w:p>
    <w:p w14:paraId="32C70B59" w14:textId="63F39392" w:rsidR="00E20EE6" w:rsidRDefault="00CF578E" w:rsidP="00E20EE6">
      <w:pPr>
        <w:pStyle w:val="NormalWeb"/>
        <w:numPr>
          <w:ilvl w:val="0"/>
          <w:numId w:val="19"/>
        </w:numPr>
        <w:spacing w:line="252" w:lineRule="auto"/>
        <w:rPr>
          <w:rFonts w:ascii="Garamond" w:hAnsi="Garamond"/>
          <w:color w:val="000000"/>
        </w:rPr>
      </w:pPr>
      <w:r w:rsidRPr="3F74967B">
        <w:rPr>
          <w:rFonts w:ascii="Garamond" w:hAnsi="Garamond"/>
          <w:i/>
          <w:iCs/>
          <w:color w:val="000000"/>
        </w:rPr>
        <w:t>Introduction to the Project:</w:t>
      </w:r>
      <w:r w:rsidRPr="00711E8B">
        <w:rPr>
          <w:rFonts w:ascii="Garamond" w:hAnsi="Garamond"/>
          <w:b/>
          <w:bCs/>
          <w:color w:val="000000"/>
        </w:rPr>
        <w:t xml:space="preserve"> </w:t>
      </w:r>
      <w:r w:rsidR="00D37C7C" w:rsidRPr="00D37C7C">
        <w:rPr>
          <w:rFonts w:ascii="Garamond" w:hAnsi="Garamond"/>
          <w:color w:val="000000"/>
        </w:rPr>
        <w:t xml:space="preserve">Once the research team </w:t>
      </w:r>
      <w:r w:rsidRPr="00D37C7C">
        <w:rPr>
          <w:rFonts w:ascii="Garamond" w:hAnsi="Garamond"/>
          <w:color w:val="000000"/>
        </w:rPr>
        <w:t>ha</w:t>
      </w:r>
      <w:r w:rsidR="00D37C7C" w:rsidRPr="00D37C7C">
        <w:rPr>
          <w:rFonts w:ascii="Garamond" w:hAnsi="Garamond"/>
          <w:color w:val="000000"/>
        </w:rPr>
        <w:t xml:space="preserve">s </w:t>
      </w:r>
      <w:r w:rsidRPr="00D37C7C">
        <w:rPr>
          <w:rFonts w:ascii="Garamond" w:hAnsi="Garamond"/>
          <w:color w:val="000000"/>
        </w:rPr>
        <w:t xml:space="preserve">identified </w:t>
      </w:r>
      <w:r w:rsidR="00D37C7C" w:rsidRPr="00D37C7C">
        <w:rPr>
          <w:rFonts w:ascii="Garamond" w:hAnsi="Garamond"/>
          <w:color w:val="000000"/>
        </w:rPr>
        <w:t>potential sites</w:t>
      </w:r>
      <w:r w:rsidRPr="00D37C7C">
        <w:rPr>
          <w:rFonts w:ascii="Garamond" w:hAnsi="Garamond"/>
          <w:color w:val="000000"/>
        </w:rPr>
        <w:t xml:space="preserve">, </w:t>
      </w:r>
      <w:r w:rsidR="00D37C7C" w:rsidRPr="00D37C7C">
        <w:rPr>
          <w:rFonts w:ascii="Garamond" w:hAnsi="Garamond"/>
          <w:color w:val="000000"/>
        </w:rPr>
        <w:t>they</w:t>
      </w:r>
      <w:r w:rsidRPr="00D37C7C">
        <w:rPr>
          <w:rFonts w:ascii="Garamond" w:hAnsi="Garamond"/>
          <w:color w:val="000000"/>
        </w:rPr>
        <w:t xml:space="preserve"> will make initial phone calls to </w:t>
      </w:r>
      <w:r w:rsidR="00393E87">
        <w:rPr>
          <w:rFonts w:ascii="Garamond" w:hAnsi="Garamond"/>
          <w:color w:val="000000"/>
        </w:rPr>
        <w:t xml:space="preserve">have individualized conversations with </w:t>
      </w:r>
      <w:r w:rsidRPr="00D37C7C">
        <w:rPr>
          <w:rFonts w:ascii="Garamond" w:hAnsi="Garamond"/>
          <w:color w:val="000000"/>
        </w:rPr>
        <w:t>key contacts in those sites</w:t>
      </w:r>
      <w:r w:rsidR="00D37C7C">
        <w:rPr>
          <w:rFonts w:ascii="Garamond" w:hAnsi="Garamond"/>
          <w:color w:val="000000"/>
        </w:rPr>
        <w:t xml:space="preserve">. </w:t>
      </w:r>
      <w:r w:rsidR="00B907E1">
        <w:rPr>
          <w:rFonts w:ascii="Garamond" w:hAnsi="Garamond"/>
          <w:color w:val="000000"/>
        </w:rPr>
        <w:t>Key contacts are</w:t>
      </w:r>
      <w:r w:rsidR="001F7896">
        <w:rPr>
          <w:rFonts w:ascii="Garamond" w:hAnsi="Garamond"/>
          <w:color w:val="000000"/>
        </w:rPr>
        <w:t xml:space="preserve"> </w:t>
      </w:r>
      <w:r w:rsidR="005C0EBC">
        <w:rPr>
          <w:rFonts w:ascii="Garamond" w:hAnsi="Garamond"/>
          <w:color w:val="000000"/>
        </w:rPr>
        <w:t xml:space="preserve">program managers or department directors </w:t>
      </w:r>
      <w:r w:rsidR="00B907E1">
        <w:rPr>
          <w:rFonts w:ascii="Garamond" w:hAnsi="Garamond"/>
          <w:color w:val="000000"/>
        </w:rPr>
        <w:t>with whom the team has existing relationships</w:t>
      </w:r>
      <w:r w:rsidR="009803F1">
        <w:rPr>
          <w:rFonts w:ascii="Garamond" w:hAnsi="Garamond"/>
          <w:color w:val="000000"/>
        </w:rPr>
        <w:t xml:space="preserve"> </w:t>
      </w:r>
      <w:r w:rsidR="005C0EBC">
        <w:rPr>
          <w:rFonts w:ascii="Garamond" w:hAnsi="Garamond"/>
          <w:color w:val="000000"/>
        </w:rPr>
        <w:t>through</w:t>
      </w:r>
      <w:r w:rsidR="009803F1">
        <w:rPr>
          <w:rFonts w:ascii="Garamond" w:hAnsi="Garamond"/>
          <w:color w:val="000000"/>
        </w:rPr>
        <w:t xml:space="preserve"> </w:t>
      </w:r>
      <w:r w:rsidR="005C0EBC">
        <w:rPr>
          <w:rFonts w:ascii="Garamond" w:hAnsi="Garamond"/>
          <w:color w:val="000000"/>
        </w:rPr>
        <w:t xml:space="preserve">previous </w:t>
      </w:r>
      <w:r w:rsidR="009803F1">
        <w:rPr>
          <w:rFonts w:ascii="Garamond" w:hAnsi="Garamond"/>
          <w:color w:val="000000"/>
        </w:rPr>
        <w:t xml:space="preserve">research projects </w:t>
      </w:r>
      <w:r w:rsidR="00FF382F">
        <w:rPr>
          <w:rFonts w:ascii="Garamond" w:hAnsi="Garamond"/>
          <w:color w:val="000000"/>
        </w:rPr>
        <w:t xml:space="preserve">or </w:t>
      </w:r>
      <w:r w:rsidR="005C0EBC">
        <w:rPr>
          <w:rFonts w:ascii="Garamond" w:hAnsi="Garamond"/>
          <w:color w:val="000000"/>
        </w:rPr>
        <w:t>other professional networks</w:t>
      </w:r>
      <w:r w:rsidR="00FF382F">
        <w:rPr>
          <w:rFonts w:ascii="Garamond" w:hAnsi="Garamond"/>
          <w:color w:val="000000"/>
        </w:rPr>
        <w:t>.</w:t>
      </w:r>
      <w:r w:rsidR="00B33BB0">
        <w:rPr>
          <w:rFonts w:ascii="Garamond" w:hAnsi="Garamond"/>
          <w:color w:val="000000"/>
        </w:rPr>
        <w:t xml:space="preserve"> </w:t>
      </w:r>
      <w:r w:rsidR="00A93093">
        <w:rPr>
          <w:rFonts w:ascii="Garamond" w:hAnsi="Garamond"/>
          <w:color w:val="000000"/>
        </w:rPr>
        <w:t>Research team members</w:t>
      </w:r>
      <w:r w:rsidR="00A93093" w:rsidRPr="00D37C7C">
        <w:rPr>
          <w:rFonts w:ascii="Garamond" w:hAnsi="Garamond"/>
          <w:color w:val="000000"/>
        </w:rPr>
        <w:t xml:space="preserve"> </w:t>
      </w:r>
      <w:r w:rsidRPr="00D37C7C">
        <w:rPr>
          <w:rFonts w:ascii="Garamond" w:hAnsi="Garamond"/>
          <w:color w:val="000000"/>
        </w:rPr>
        <w:t xml:space="preserve">will provide a preliminary introduction to the study </w:t>
      </w:r>
      <w:r w:rsidR="0027551D">
        <w:rPr>
          <w:rFonts w:ascii="Garamond" w:hAnsi="Garamond"/>
          <w:color w:val="000000"/>
        </w:rPr>
        <w:t xml:space="preserve">and </w:t>
      </w:r>
      <w:r w:rsidR="001350D8">
        <w:rPr>
          <w:rFonts w:ascii="Garamond" w:hAnsi="Garamond"/>
          <w:color w:val="000000"/>
        </w:rPr>
        <w:t>describe</w:t>
      </w:r>
      <w:r w:rsidR="005E55CB">
        <w:rPr>
          <w:rFonts w:ascii="Garamond" w:hAnsi="Garamond"/>
          <w:color w:val="000000"/>
        </w:rPr>
        <w:t xml:space="preserve"> </w:t>
      </w:r>
      <w:r w:rsidR="00BC47E0">
        <w:rPr>
          <w:rFonts w:ascii="Garamond" w:hAnsi="Garamond"/>
          <w:color w:val="000000"/>
        </w:rPr>
        <w:t>the sample</w:t>
      </w:r>
      <w:r w:rsidR="005E55CB">
        <w:rPr>
          <w:rFonts w:ascii="Garamond" w:hAnsi="Garamond"/>
          <w:color w:val="000000"/>
        </w:rPr>
        <w:t xml:space="preserve"> eligibility criteria</w:t>
      </w:r>
      <w:r w:rsidR="00BC47E0">
        <w:rPr>
          <w:rFonts w:ascii="Garamond" w:hAnsi="Garamond"/>
          <w:color w:val="000000"/>
        </w:rPr>
        <w:t xml:space="preserve"> </w:t>
      </w:r>
      <w:r w:rsidR="005E55CB">
        <w:rPr>
          <w:rFonts w:ascii="Garamond" w:hAnsi="Garamond"/>
          <w:color w:val="000000"/>
        </w:rPr>
        <w:t xml:space="preserve">to </w:t>
      </w:r>
      <w:r w:rsidRPr="00D37C7C">
        <w:rPr>
          <w:rFonts w:ascii="Garamond" w:hAnsi="Garamond"/>
          <w:color w:val="000000"/>
        </w:rPr>
        <w:t xml:space="preserve">determine the contact’s </w:t>
      </w:r>
      <w:r w:rsidR="00B621CD">
        <w:rPr>
          <w:rFonts w:ascii="Garamond" w:hAnsi="Garamond"/>
          <w:color w:val="000000"/>
        </w:rPr>
        <w:t xml:space="preserve">ability to </w:t>
      </w:r>
      <w:r w:rsidRPr="00D37C7C">
        <w:rPr>
          <w:rFonts w:ascii="Garamond" w:hAnsi="Garamond"/>
          <w:color w:val="000000"/>
        </w:rPr>
        <w:t xml:space="preserve">help identify potential </w:t>
      </w:r>
      <w:r w:rsidR="00FD4C17">
        <w:rPr>
          <w:rFonts w:ascii="Garamond" w:hAnsi="Garamond"/>
          <w:color w:val="000000"/>
        </w:rPr>
        <w:t xml:space="preserve">eligible </w:t>
      </w:r>
      <w:r w:rsidRPr="00D37C7C">
        <w:rPr>
          <w:rFonts w:ascii="Garamond" w:hAnsi="Garamond"/>
          <w:color w:val="000000"/>
        </w:rPr>
        <w:t>study participants</w:t>
      </w:r>
      <w:r w:rsidR="00AF40EE">
        <w:rPr>
          <w:rFonts w:ascii="Garamond" w:hAnsi="Garamond"/>
          <w:color w:val="000000"/>
        </w:rPr>
        <w:t>.</w:t>
      </w:r>
      <w:r w:rsidR="00A93093">
        <w:rPr>
          <w:rFonts w:ascii="Garamond" w:hAnsi="Garamond"/>
          <w:color w:val="000000"/>
        </w:rPr>
        <w:t xml:space="preserve"> </w:t>
      </w:r>
      <w:r w:rsidRPr="00D37C7C">
        <w:rPr>
          <w:rFonts w:ascii="Garamond" w:hAnsi="Garamond"/>
          <w:color w:val="000000"/>
        </w:rPr>
        <w:t xml:space="preserve">Upon completion of this stage </w:t>
      </w:r>
      <w:r w:rsidR="00D37C7C" w:rsidRPr="00D37C7C">
        <w:rPr>
          <w:rFonts w:ascii="Garamond" w:hAnsi="Garamond"/>
          <w:color w:val="000000"/>
        </w:rPr>
        <w:t>the research team will</w:t>
      </w:r>
      <w:r w:rsidRPr="00D37C7C">
        <w:rPr>
          <w:rFonts w:ascii="Garamond" w:hAnsi="Garamond"/>
          <w:color w:val="000000"/>
        </w:rPr>
        <w:t xml:space="preserve"> finalize a list of </w:t>
      </w:r>
      <w:r w:rsidR="00C02E66">
        <w:rPr>
          <w:rFonts w:ascii="Garamond" w:hAnsi="Garamond"/>
          <w:color w:val="000000"/>
        </w:rPr>
        <w:t xml:space="preserve">up to </w:t>
      </w:r>
      <w:r w:rsidRPr="00D37C7C">
        <w:rPr>
          <w:rFonts w:ascii="Garamond" w:hAnsi="Garamond"/>
          <w:color w:val="000000"/>
        </w:rPr>
        <w:t xml:space="preserve">three sites </w:t>
      </w:r>
      <w:r w:rsidR="008B1D5C">
        <w:rPr>
          <w:rFonts w:ascii="Garamond" w:hAnsi="Garamond"/>
          <w:color w:val="000000"/>
        </w:rPr>
        <w:t xml:space="preserve">and </w:t>
      </w:r>
      <w:r w:rsidR="00FF382F">
        <w:rPr>
          <w:rFonts w:ascii="Garamond" w:hAnsi="Garamond"/>
          <w:color w:val="000000"/>
        </w:rPr>
        <w:t xml:space="preserve">determine </w:t>
      </w:r>
      <w:r w:rsidR="008B1D5C">
        <w:rPr>
          <w:rFonts w:ascii="Garamond" w:hAnsi="Garamond"/>
          <w:color w:val="000000"/>
        </w:rPr>
        <w:t xml:space="preserve">who the primary contact will be </w:t>
      </w:r>
      <w:r w:rsidRPr="00D37C7C">
        <w:rPr>
          <w:rFonts w:ascii="Garamond" w:hAnsi="Garamond"/>
          <w:color w:val="000000"/>
        </w:rPr>
        <w:t>for the next step.</w:t>
      </w:r>
    </w:p>
    <w:p w14:paraId="190B33D2" w14:textId="77777777" w:rsidR="00454E23" w:rsidRDefault="00454E23" w:rsidP="00454E23">
      <w:pPr>
        <w:pStyle w:val="NormalWeb"/>
        <w:spacing w:line="252" w:lineRule="auto"/>
        <w:ind w:left="720"/>
        <w:rPr>
          <w:rFonts w:ascii="Garamond" w:hAnsi="Garamond"/>
          <w:color w:val="000000"/>
        </w:rPr>
      </w:pPr>
    </w:p>
    <w:p w14:paraId="5DCFB4A3" w14:textId="3DC40D19" w:rsidR="00CF578E" w:rsidRPr="00E20EE6" w:rsidRDefault="00CF578E" w:rsidP="00D37C7C">
      <w:pPr>
        <w:pStyle w:val="NormalWeb"/>
        <w:numPr>
          <w:ilvl w:val="0"/>
          <w:numId w:val="19"/>
        </w:numPr>
        <w:spacing w:after="240" w:line="252" w:lineRule="auto"/>
        <w:rPr>
          <w:rFonts w:ascii="Garamond" w:hAnsi="Garamond"/>
          <w:color w:val="000000"/>
        </w:rPr>
      </w:pPr>
      <w:r w:rsidRPr="3F74967B">
        <w:rPr>
          <w:rFonts w:ascii="Garamond" w:hAnsi="Garamond"/>
          <w:i/>
          <w:iCs/>
          <w:color w:val="000000"/>
        </w:rPr>
        <w:t>Preliminary Planning:</w:t>
      </w:r>
      <w:r w:rsidR="00C2679E" w:rsidRPr="3F74967B">
        <w:rPr>
          <w:rFonts w:ascii="Garamond" w:hAnsi="Garamond"/>
          <w:i/>
          <w:iCs/>
          <w:color w:val="000000"/>
        </w:rPr>
        <w:t xml:space="preserve">  </w:t>
      </w:r>
      <w:r w:rsidRPr="00E20EE6">
        <w:rPr>
          <w:rFonts w:ascii="Garamond" w:hAnsi="Garamond"/>
          <w:color w:val="000000"/>
        </w:rPr>
        <w:t xml:space="preserve">After the initial phone call with potential organizational </w:t>
      </w:r>
      <w:r w:rsidR="00D37C7C" w:rsidRPr="00E20EE6">
        <w:rPr>
          <w:rFonts w:ascii="Garamond" w:hAnsi="Garamond"/>
          <w:color w:val="000000"/>
        </w:rPr>
        <w:t>contacts, the research team</w:t>
      </w:r>
      <w:r w:rsidRPr="00E20EE6">
        <w:rPr>
          <w:rFonts w:ascii="Garamond" w:hAnsi="Garamond"/>
          <w:color w:val="000000"/>
        </w:rPr>
        <w:t xml:space="preserve"> will schedule a follow-up </w:t>
      </w:r>
      <w:r w:rsidR="00393E87">
        <w:rPr>
          <w:rFonts w:ascii="Garamond" w:hAnsi="Garamond"/>
          <w:color w:val="000000"/>
        </w:rPr>
        <w:t xml:space="preserve">individualized </w:t>
      </w:r>
      <w:r w:rsidRPr="00E20EE6">
        <w:rPr>
          <w:rFonts w:ascii="Garamond" w:hAnsi="Garamond"/>
          <w:color w:val="000000"/>
        </w:rPr>
        <w:t>conversation to discuss in greater detail the process to identify or refer potential families to the project</w:t>
      </w:r>
      <w:r w:rsidR="00771890">
        <w:rPr>
          <w:rFonts w:ascii="Garamond" w:hAnsi="Garamond"/>
          <w:color w:val="000000"/>
        </w:rPr>
        <w:t xml:space="preserve">. </w:t>
      </w:r>
      <w:r w:rsidR="00771890">
        <w:rPr>
          <w:rFonts w:ascii="Garamond" w:hAnsi="Garamond"/>
        </w:rPr>
        <w:t>Organizational staff may choose to reach out to study participants directly, or they may provide names and contact information of potential participants to the research team.  If the local organization wants to be involved in engaging families we will provide them with a brief Staff Outreach Script (Appendix J) to help facilitate this process. Once contact information for potential families is obtained, research team members will use a brief screener to assess eligibility via phone (Appendix A). This call will be used to assess families’ eligibility for the study and, for those who are eligible, provide them with additional information about the study, including any risks, and to assess their interest in participating</w:t>
      </w:r>
      <w:r w:rsidRPr="00E20EE6">
        <w:rPr>
          <w:rFonts w:ascii="Garamond" w:hAnsi="Garamond"/>
          <w:color w:val="000000"/>
        </w:rPr>
        <w:t xml:space="preserve">. </w:t>
      </w:r>
    </w:p>
    <w:p w14:paraId="0451B7A5" w14:textId="77777777" w:rsidR="00CF578E" w:rsidRDefault="00D37C7C" w:rsidP="00D37C7C">
      <w:pPr>
        <w:pStyle w:val="Heading2"/>
        <w:spacing w:before="280" w:after="120"/>
      </w:pPr>
      <w:bookmarkStart w:id="4" w:name="_Toc493250724"/>
      <w:r>
        <w:t>B.1.3 Considerations for Selecting Individual Sample Members within each Site</w:t>
      </w:r>
      <w:bookmarkEnd w:id="4"/>
    </w:p>
    <w:p w14:paraId="4DFEF408" w14:textId="390FA0C1" w:rsidR="00D37C7C" w:rsidRDefault="005C529D" w:rsidP="00D37C7C">
      <w:pPr>
        <w:rPr>
          <w:rFonts w:ascii="Garamond" w:hAnsi="Garamond"/>
        </w:rPr>
      </w:pPr>
      <w:r w:rsidRPr="005C529D">
        <w:rPr>
          <w:rFonts w:ascii="Garamond" w:hAnsi="Garamond"/>
        </w:rPr>
        <w:t xml:space="preserve">A brief phone screener for prospective families (Appendix A) will be used to ascertain </w:t>
      </w:r>
      <w:r w:rsidR="00C20696">
        <w:rPr>
          <w:rFonts w:ascii="Garamond" w:hAnsi="Garamond"/>
        </w:rPr>
        <w:t>families’</w:t>
      </w:r>
      <w:r w:rsidRPr="005C529D">
        <w:rPr>
          <w:rFonts w:ascii="Garamond" w:hAnsi="Garamond"/>
        </w:rPr>
        <w:t xml:space="preserve"> eligibility for and interest in participating in the study.</w:t>
      </w:r>
      <w:r>
        <w:rPr>
          <w:rFonts w:ascii="Garamond" w:hAnsi="Garamond"/>
        </w:rPr>
        <w:t xml:space="preserve"> </w:t>
      </w:r>
      <w:r w:rsidR="00D37C7C">
        <w:rPr>
          <w:rFonts w:ascii="Garamond" w:hAnsi="Garamond"/>
        </w:rPr>
        <w:t xml:space="preserve">The research team will consider the following criteria when selecting families to participate in the study: </w:t>
      </w:r>
    </w:p>
    <w:p w14:paraId="48E4AE7F" w14:textId="77777777" w:rsidR="00D37C7C" w:rsidRDefault="00D37C7C" w:rsidP="00D37C7C">
      <w:pPr>
        <w:rPr>
          <w:rFonts w:ascii="Garamond" w:hAnsi="Garamond"/>
        </w:rPr>
      </w:pPr>
    </w:p>
    <w:p w14:paraId="080724F1" w14:textId="71B8F04B" w:rsidR="00E20EE6" w:rsidRDefault="00D37C7C" w:rsidP="00E20EE6">
      <w:pPr>
        <w:numPr>
          <w:ilvl w:val="0"/>
          <w:numId w:val="20"/>
        </w:numPr>
        <w:spacing w:line="252" w:lineRule="auto"/>
        <w:rPr>
          <w:rFonts w:ascii="Garamond" w:hAnsi="Garamond"/>
        </w:rPr>
      </w:pPr>
      <w:r>
        <w:rPr>
          <w:rFonts w:ascii="Garamond" w:hAnsi="Garamond"/>
          <w:i/>
        </w:rPr>
        <w:t>Characteristics of the families</w:t>
      </w:r>
      <w:r w:rsidR="00E20EE6">
        <w:rPr>
          <w:rFonts w:ascii="Garamond" w:hAnsi="Garamond"/>
          <w:i/>
        </w:rPr>
        <w:t>:</w:t>
      </w:r>
      <w:r w:rsidR="00C2679E">
        <w:rPr>
          <w:rFonts w:ascii="Garamond" w:hAnsi="Garamond"/>
          <w:i/>
        </w:rPr>
        <w:t xml:space="preserve">  </w:t>
      </w:r>
      <w:r w:rsidR="00454E23">
        <w:rPr>
          <w:rFonts w:ascii="Garamond" w:hAnsi="Garamond"/>
        </w:rPr>
        <w:t>The research team is inte</w:t>
      </w:r>
      <w:r w:rsidR="00EE6519">
        <w:rPr>
          <w:rFonts w:ascii="Garamond" w:hAnsi="Garamond"/>
        </w:rPr>
        <w:t>rested in the following</w:t>
      </w:r>
      <w:r w:rsidR="00454E23">
        <w:rPr>
          <w:rFonts w:ascii="Garamond" w:hAnsi="Garamond"/>
        </w:rPr>
        <w:t xml:space="preserve"> characteristics</w:t>
      </w:r>
      <w:r w:rsidR="00E20EE6">
        <w:rPr>
          <w:rFonts w:ascii="Garamond" w:hAnsi="Garamond"/>
        </w:rPr>
        <w:t xml:space="preserve">: </w:t>
      </w:r>
    </w:p>
    <w:p w14:paraId="1520ED1F" w14:textId="77777777" w:rsidR="00454E23" w:rsidRDefault="00454E23" w:rsidP="00454E23">
      <w:pPr>
        <w:spacing w:line="252" w:lineRule="auto"/>
        <w:ind w:left="720"/>
        <w:rPr>
          <w:rFonts w:ascii="Garamond" w:hAnsi="Garamond"/>
        </w:rPr>
      </w:pPr>
    </w:p>
    <w:p w14:paraId="2B358140" w14:textId="5C490573" w:rsidR="00E20EE6" w:rsidRDefault="00E20EE6" w:rsidP="00E20EE6">
      <w:pPr>
        <w:numPr>
          <w:ilvl w:val="1"/>
          <w:numId w:val="20"/>
        </w:numPr>
        <w:spacing w:line="252" w:lineRule="auto"/>
        <w:rPr>
          <w:rFonts w:ascii="Garamond" w:hAnsi="Garamond"/>
        </w:rPr>
      </w:pPr>
      <w:r w:rsidRPr="00E20EE6">
        <w:rPr>
          <w:rFonts w:ascii="Garamond" w:hAnsi="Garamond"/>
          <w:u w:val="single"/>
        </w:rPr>
        <w:t>Household or family income</w:t>
      </w:r>
      <w:r>
        <w:rPr>
          <w:rFonts w:ascii="Garamond" w:hAnsi="Garamond"/>
        </w:rPr>
        <w:t>: T</w:t>
      </w:r>
      <w:r w:rsidRPr="00E20EE6">
        <w:rPr>
          <w:rFonts w:ascii="Garamond" w:hAnsi="Garamond"/>
        </w:rPr>
        <w:t xml:space="preserve">he study seeks to identify families living in deep poverty (less than 50 percent of the federal poverty level). As discussed in Section </w:t>
      </w:r>
      <w:r>
        <w:rPr>
          <w:rFonts w:ascii="Garamond" w:hAnsi="Garamond"/>
        </w:rPr>
        <w:t xml:space="preserve">B.1.2, </w:t>
      </w:r>
      <w:r w:rsidRPr="00E20EE6">
        <w:rPr>
          <w:rFonts w:ascii="Garamond" w:hAnsi="Garamond"/>
        </w:rPr>
        <w:t>the study team will work with local organizations to identify families who are likely to meet this criterion (for example, through their knowledge about a family’s benefit receipt). To the extent possible, the sample would reflect diverse types of benefit receipt (TANF, Medicaid, CHIP, SNAP, housing assistance, WIC, free and reduced-price school lunch program, EITC) as well as no benefits</w:t>
      </w:r>
      <w:r w:rsidR="005E39B9">
        <w:rPr>
          <w:rFonts w:ascii="Garamond" w:hAnsi="Garamond"/>
        </w:rPr>
        <w:t xml:space="preserve">. </w:t>
      </w:r>
    </w:p>
    <w:p w14:paraId="3EAC3690" w14:textId="77777777" w:rsidR="00454E23" w:rsidRDefault="00454E23" w:rsidP="00454E23">
      <w:pPr>
        <w:spacing w:line="252" w:lineRule="auto"/>
        <w:ind w:left="1440"/>
        <w:rPr>
          <w:rFonts w:ascii="Garamond" w:hAnsi="Garamond"/>
        </w:rPr>
      </w:pPr>
    </w:p>
    <w:p w14:paraId="6FB602A2" w14:textId="77777777" w:rsidR="00E20EE6" w:rsidRDefault="00E20EE6" w:rsidP="00E20EE6">
      <w:pPr>
        <w:numPr>
          <w:ilvl w:val="1"/>
          <w:numId w:val="20"/>
        </w:numPr>
        <w:spacing w:line="252" w:lineRule="auto"/>
        <w:rPr>
          <w:rFonts w:ascii="Garamond" w:hAnsi="Garamond"/>
        </w:rPr>
      </w:pPr>
      <w:r>
        <w:rPr>
          <w:rFonts w:ascii="Garamond" w:hAnsi="Garamond"/>
          <w:u w:val="single"/>
        </w:rPr>
        <w:t>Race and ethnicity</w:t>
      </w:r>
      <w:r w:rsidRPr="00E20EE6">
        <w:rPr>
          <w:rFonts w:ascii="Garamond" w:hAnsi="Garamond"/>
        </w:rPr>
        <w:t xml:space="preserve">: </w:t>
      </w:r>
      <w:r>
        <w:rPr>
          <w:rFonts w:ascii="Garamond" w:hAnsi="Garamond"/>
        </w:rPr>
        <w:t>T</w:t>
      </w:r>
      <w:r w:rsidRPr="00E20EE6">
        <w:rPr>
          <w:rFonts w:ascii="Garamond" w:hAnsi="Garamond"/>
        </w:rPr>
        <w:t>he study seeks to reflect diversity in its sample of families. Site selection will play a role in the pool of families likely to be recruited within each site.</w:t>
      </w:r>
    </w:p>
    <w:p w14:paraId="348FF644" w14:textId="77777777" w:rsidR="00454E23" w:rsidRDefault="00454E23" w:rsidP="00454E23">
      <w:pPr>
        <w:spacing w:line="252" w:lineRule="auto"/>
        <w:rPr>
          <w:rFonts w:ascii="Garamond" w:hAnsi="Garamond"/>
        </w:rPr>
      </w:pPr>
    </w:p>
    <w:p w14:paraId="02F11E78" w14:textId="0A82623F" w:rsidR="00DE23BB" w:rsidRPr="007269B0" w:rsidRDefault="00E20EE6" w:rsidP="007269B0">
      <w:pPr>
        <w:numPr>
          <w:ilvl w:val="0"/>
          <w:numId w:val="22"/>
        </w:numPr>
        <w:spacing w:after="240" w:line="252" w:lineRule="auto"/>
      </w:pPr>
      <w:r w:rsidRPr="00E20EE6">
        <w:rPr>
          <w:rFonts w:ascii="Garamond" w:hAnsi="Garamond"/>
          <w:u w:val="single"/>
        </w:rPr>
        <w:t>Language spoken at home</w:t>
      </w:r>
      <w:r w:rsidRPr="00E20EE6">
        <w:rPr>
          <w:rFonts w:ascii="Garamond" w:hAnsi="Garamond"/>
        </w:rPr>
        <w:t>: Among people ages five and older who are in poverty, almost 30 percent speak a language other than English at home.</w:t>
      </w:r>
      <w:r w:rsidRPr="00E20EE6">
        <w:rPr>
          <w:rStyle w:val="FootnoteReference"/>
          <w:rFonts w:ascii="Garamond" w:hAnsi="Garamond"/>
        </w:rPr>
        <w:footnoteReference w:id="7"/>
      </w:r>
      <w:r w:rsidRPr="00E20EE6">
        <w:rPr>
          <w:rFonts w:ascii="Garamond" w:hAnsi="Garamond"/>
        </w:rPr>
        <w:t xml:space="preserve"> Just under half speak English “very well</w:t>
      </w:r>
      <w:r w:rsidR="007269B0">
        <w:rPr>
          <w:rFonts w:ascii="Garamond" w:hAnsi="Garamond"/>
        </w:rPr>
        <w:t xml:space="preserve">.” </w:t>
      </w:r>
      <w:r w:rsidR="007269B0" w:rsidRPr="007269B0">
        <w:rPr>
          <w:rFonts w:ascii="Garamond" w:hAnsi="Garamond"/>
        </w:rPr>
        <w:t>Including some sample members whose primary language is Spanis</w:t>
      </w:r>
      <w:r w:rsidR="007269B0">
        <w:rPr>
          <w:rFonts w:ascii="Garamond" w:hAnsi="Garamond"/>
        </w:rPr>
        <w:t>h</w:t>
      </w:r>
      <w:r w:rsidR="007269B0" w:rsidRPr="007269B0">
        <w:rPr>
          <w:rFonts w:ascii="Garamond" w:hAnsi="Garamond"/>
        </w:rPr>
        <w:t xml:space="preserve"> might be most effectively and efficiently met by selecting an urban site with a large Hispanic population.</w:t>
      </w:r>
      <w:r w:rsidR="00D05C1B">
        <w:rPr>
          <w:rStyle w:val="FootnoteReference"/>
          <w:rFonts w:ascii="Garamond" w:hAnsi="Garamond"/>
        </w:rPr>
        <w:footnoteReference w:id="8"/>
      </w:r>
    </w:p>
    <w:p w14:paraId="14DDB981" w14:textId="3955D4F5" w:rsidR="00DE23BB" w:rsidRPr="00DE23BB" w:rsidRDefault="00E20EE6" w:rsidP="00424B61">
      <w:pPr>
        <w:numPr>
          <w:ilvl w:val="0"/>
          <w:numId w:val="22"/>
        </w:numPr>
        <w:spacing w:after="240" w:line="252" w:lineRule="auto"/>
        <w:rPr>
          <w:rFonts w:ascii="Garamond" w:hAnsi="Garamond"/>
        </w:rPr>
      </w:pPr>
      <w:r w:rsidRPr="00DE23BB">
        <w:rPr>
          <w:rFonts w:ascii="Garamond" w:hAnsi="Garamond"/>
          <w:u w:val="single"/>
        </w:rPr>
        <w:t>Number of children in the family</w:t>
      </w:r>
      <w:r w:rsidRPr="00DE23BB">
        <w:rPr>
          <w:rFonts w:ascii="Garamond" w:hAnsi="Garamond"/>
        </w:rPr>
        <w:t xml:space="preserve">: The research team anticipates interviewing one to two children per family. </w:t>
      </w:r>
      <w:r w:rsidR="000F3F2C">
        <w:rPr>
          <w:rFonts w:ascii="Garamond" w:hAnsi="Garamond"/>
        </w:rPr>
        <w:t xml:space="preserve">The research team will keep track of the number of children in each age group interviewed </w:t>
      </w:r>
      <w:r w:rsidR="6CE06701">
        <w:rPr>
          <w:rFonts w:ascii="Garamond" w:hAnsi="Garamond"/>
        </w:rPr>
        <w:t xml:space="preserve">at </w:t>
      </w:r>
      <w:r w:rsidR="000F3F2C">
        <w:rPr>
          <w:rFonts w:ascii="Garamond" w:hAnsi="Garamond"/>
        </w:rPr>
        <w:t xml:space="preserve">each site to ensure that the study is conducting approximately seven adolescent interviews and ten child interviews per site. </w:t>
      </w:r>
      <w:r w:rsidR="00C447E8" w:rsidRPr="00DE23BB">
        <w:rPr>
          <w:rFonts w:ascii="Garamond" w:hAnsi="Garamond"/>
        </w:rPr>
        <w:t>When there are more than two eligible children in a family</w:t>
      </w:r>
      <w:r w:rsidR="00020F56" w:rsidRPr="00DE23BB">
        <w:rPr>
          <w:rFonts w:ascii="Garamond" w:hAnsi="Garamond"/>
        </w:rPr>
        <w:t xml:space="preserve">, </w:t>
      </w:r>
      <w:r w:rsidR="00DE23BB" w:rsidRPr="00DE23BB">
        <w:rPr>
          <w:rFonts w:ascii="Garamond" w:hAnsi="Garamond"/>
        </w:rPr>
        <w:t xml:space="preserve">the research team will use the following decision rules: </w:t>
      </w:r>
    </w:p>
    <w:p w14:paraId="35A063FF" w14:textId="77777777" w:rsidR="00DE23BB" w:rsidRDefault="00DE23BB" w:rsidP="00424B61">
      <w:pPr>
        <w:numPr>
          <w:ilvl w:val="1"/>
          <w:numId w:val="22"/>
        </w:numPr>
        <w:spacing w:after="240" w:line="252" w:lineRule="auto"/>
        <w:rPr>
          <w:rFonts w:ascii="Garamond" w:hAnsi="Garamond"/>
          <w:color w:val="212121"/>
        </w:rPr>
      </w:pPr>
      <w:r w:rsidRPr="00DE23BB">
        <w:rPr>
          <w:rFonts w:ascii="Garamond" w:hAnsi="Garamond"/>
          <w:u w:val="single"/>
        </w:rPr>
        <w:t>Interview a</w:t>
      </w:r>
      <w:r w:rsidRPr="00DE23BB">
        <w:rPr>
          <w:rFonts w:ascii="Garamond" w:hAnsi="Garamond"/>
          <w:color w:val="212121"/>
        </w:rPr>
        <w:t>t least one child in the 7-11 age group (select the youngest child);</w:t>
      </w:r>
    </w:p>
    <w:p w14:paraId="0F2A2ADF" w14:textId="52A7B766" w:rsidR="00DE23BB" w:rsidRPr="00DE23BB" w:rsidRDefault="00DE23BB" w:rsidP="00424B61">
      <w:pPr>
        <w:numPr>
          <w:ilvl w:val="1"/>
          <w:numId w:val="22"/>
        </w:numPr>
        <w:spacing w:after="240" w:line="252" w:lineRule="auto"/>
        <w:rPr>
          <w:rFonts w:ascii="Garamond" w:hAnsi="Garamond"/>
          <w:color w:val="212121"/>
        </w:rPr>
      </w:pPr>
      <w:r>
        <w:rPr>
          <w:rFonts w:ascii="Garamond" w:hAnsi="Garamond"/>
          <w:color w:val="000000"/>
        </w:rPr>
        <w:t xml:space="preserve">If another </w:t>
      </w:r>
      <w:r w:rsidRPr="00DE23BB">
        <w:rPr>
          <w:rFonts w:ascii="Garamond" w:hAnsi="Garamond"/>
          <w:color w:val="000000"/>
        </w:rPr>
        <w:t xml:space="preserve">child is in the 7-11 age group, interview that child (select next-to-youngest); otherwise interview the </w:t>
      </w:r>
      <w:r w:rsidR="00782E50">
        <w:rPr>
          <w:rFonts w:ascii="Garamond" w:hAnsi="Garamond"/>
          <w:color w:val="000000"/>
        </w:rPr>
        <w:t>adolescent</w:t>
      </w:r>
      <w:r w:rsidRPr="00DE23BB">
        <w:rPr>
          <w:rFonts w:ascii="Garamond" w:hAnsi="Garamond"/>
          <w:color w:val="000000"/>
        </w:rPr>
        <w:t xml:space="preserve"> in the 12-17 age range (if multiple </w:t>
      </w:r>
      <w:r w:rsidR="00782E50">
        <w:rPr>
          <w:rFonts w:ascii="Garamond" w:hAnsi="Garamond"/>
          <w:color w:val="000000"/>
        </w:rPr>
        <w:t>adolescents</w:t>
      </w:r>
      <w:r w:rsidRPr="00DE23BB">
        <w:rPr>
          <w:rFonts w:ascii="Garamond" w:hAnsi="Garamond"/>
          <w:color w:val="000000"/>
        </w:rPr>
        <w:t xml:space="preserve"> in this age range, select the youngest)</w:t>
      </w:r>
      <w:r>
        <w:rPr>
          <w:rFonts w:ascii="Garamond" w:hAnsi="Garamond"/>
          <w:color w:val="000000"/>
        </w:rPr>
        <w:t>.</w:t>
      </w:r>
    </w:p>
    <w:p w14:paraId="3BE4F845" w14:textId="06F39907" w:rsidR="007626F1" w:rsidRDefault="00D37C7C" w:rsidP="007626F1">
      <w:pPr>
        <w:numPr>
          <w:ilvl w:val="0"/>
          <w:numId w:val="18"/>
        </w:numPr>
        <w:rPr>
          <w:rFonts w:ascii="Garamond" w:hAnsi="Garamond"/>
        </w:rPr>
      </w:pPr>
      <w:r w:rsidRPr="3F74967B">
        <w:rPr>
          <w:rFonts w:ascii="Garamond" w:hAnsi="Garamond"/>
          <w:i/>
          <w:iCs/>
        </w:rPr>
        <w:t>Characteristics of the adults</w:t>
      </w:r>
      <w:r w:rsidR="007626F1">
        <w:rPr>
          <w:rFonts w:ascii="Garamond" w:hAnsi="Garamond"/>
        </w:rPr>
        <w:t>: The research team is</w:t>
      </w:r>
      <w:r w:rsidR="00E20EE6">
        <w:rPr>
          <w:rFonts w:ascii="Garamond" w:hAnsi="Garamond"/>
        </w:rPr>
        <w:t xml:space="preserve"> interested in adults’ </w:t>
      </w:r>
      <w:r w:rsidR="00454E23">
        <w:rPr>
          <w:rFonts w:ascii="Garamond" w:hAnsi="Garamond"/>
        </w:rPr>
        <w:t>relationships to children in their family, their relationship status, and their work status.</w:t>
      </w:r>
      <w:r w:rsidR="007626F1">
        <w:rPr>
          <w:rFonts w:ascii="Garamond" w:hAnsi="Garamond"/>
        </w:rPr>
        <w:t xml:space="preserve"> </w:t>
      </w:r>
      <w:r w:rsidR="006C67F1">
        <w:rPr>
          <w:rFonts w:ascii="Garamond" w:hAnsi="Garamond"/>
        </w:rPr>
        <w:t xml:space="preserve">Most adults in the sample are likely to be biological (or adoptive) parents of the children in their household. Other parent figures such as grandmothers or aunts who are primary caregivers for a child are eligible to be included in the sample as well. Both one- and two- parent families will be eligible for the sample. In two-parent families, we will interview either both parents together, or one parent (but not each parent separately). We will follow parents’ preferences. </w:t>
      </w:r>
      <w:r w:rsidR="00046222">
        <w:rPr>
          <w:rFonts w:ascii="Garamond" w:hAnsi="Garamond"/>
        </w:rPr>
        <w:t>Because families in poverty who have children younger than 18 are more likely to be headed by females,</w:t>
      </w:r>
      <w:r w:rsidR="006C67F1">
        <w:rPr>
          <w:rFonts w:ascii="Garamond" w:hAnsi="Garamond"/>
        </w:rPr>
        <w:t>, we anticipate a higher percentage of female respondents.</w:t>
      </w:r>
      <w:r w:rsidR="001D08FC">
        <w:rPr>
          <w:rStyle w:val="FootnoteReference"/>
          <w:rFonts w:ascii="Garamond" w:hAnsi="Garamond"/>
        </w:rPr>
        <w:footnoteReference w:id="9"/>
      </w:r>
      <w:r w:rsidR="006C67F1">
        <w:rPr>
          <w:rFonts w:ascii="Garamond" w:hAnsi="Garamond"/>
        </w:rPr>
        <w:t xml:space="preserve"> The study team anticipates the sample will include employed, under-employed, and unemployed adult respondents. </w:t>
      </w:r>
    </w:p>
    <w:p w14:paraId="5A154BC0" w14:textId="77777777" w:rsidR="007626F1" w:rsidRPr="007626F1" w:rsidRDefault="007626F1" w:rsidP="007626F1">
      <w:pPr>
        <w:ind w:left="720"/>
        <w:rPr>
          <w:rFonts w:ascii="Garamond" w:hAnsi="Garamond"/>
        </w:rPr>
      </w:pPr>
    </w:p>
    <w:p w14:paraId="7E07F909" w14:textId="77777777" w:rsidR="00454E23" w:rsidRDefault="00D37C7C" w:rsidP="00454E23">
      <w:pPr>
        <w:numPr>
          <w:ilvl w:val="0"/>
          <w:numId w:val="18"/>
        </w:numPr>
        <w:rPr>
          <w:rFonts w:ascii="Garamond" w:hAnsi="Garamond"/>
        </w:rPr>
      </w:pPr>
      <w:r>
        <w:rPr>
          <w:rFonts w:ascii="Garamond" w:hAnsi="Garamond"/>
          <w:i/>
        </w:rPr>
        <w:t>Characteristics of the children</w:t>
      </w:r>
      <w:r w:rsidR="00454E23">
        <w:rPr>
          <w:rFonts w:ascii="Garamond" w:hAnsi="Garamond"/>
          <w:i/>
        </w:rPr>
        <w:t xml:space="preserve">: </w:t>
      </w:r>
      <w:r w:rsidR="00454E23">
        <w:rPr>
          <w:rFonts w:ascii="Garamond" w:hAnsi="Garamond"/>
        </w:rPr>
        <w:t xml:space="preserve">The research team will </w:t>
      </w:r>
      <w:r w:rsidR="007626F1">
        <w:rPr>
          <w:rFonts w:ascii="Garamond" w:hAnsi="Garamond"/>
        </w:rPr>
        <w:t>select families who have</w:t>
      </w:r>
      <w:r w:rsidR="00454E23" w:rsidRPr="00454E23">
        <w:rPr>
          <w:rFonts w:ascii="Garamond" w:hAnsi="Garamond"/>
        </w:rPr>
        <w:t xml:space="preserve">: </w:t>
      </w:r>
    </w:p>
    <w:p w14:paraId="12E9CAE1" w14:textId="77777777" w:rsidR="00454E23" w:rsidRPr="007626F1" w:rsidRDefault="00454E23" w:rsidP="00454E23">
      <w:pPr>
        <w:ind w:left="360"/>
        <w:rPr>
          <w:rFonts w:ascii="Garamond" w:hAnsi="Garamond"/>
        </w:rPr>
      </w:pPr>
    </w:p>
    <w:p w14:paraId="2E18CFEA" w14:textId="4FE3511A" w:rsidR="00454E23" w:rsidRPr="007626F1" w:rsidRDefault="007626F1" w:rsidP="00454E23">
      <w:pPr>
        <w:numPr>
          <w:ilvl w:val="1"/>
          <w:numId w:val="18"/>
        </w:numPr>
        <w:rPr>
          <w:rFonts w:ascii="Garamond" w:hAnsi="Garamond"/>
        </w:rPr>
      </w:pPr>
      <w:r w:rsidRPr="007626F1">
        <w:rPr>
          <w:rFonts w:ascii="Garamond" w:hAnsi="Garamond"/>
        </w:rPr>
        <w:t>Children ages 7 to 17 (with at least half ages 7 to 11 years, and no more than half ages 12 to 17 years</w:t>
      </w:r>
      <w:r w:rsidR="00E5213E">
        <w:rPr>
          <w:rFonts w:ascii="Garamond" w:hAnsi="Garamond"/>
        </w:rPr>
        <w:t>)</w:t>
      </w:r>
      <w:r w:rsidRPr="007626F1">
        <w:rPr>
          <w:rFonts w:ascii="Garamond" w:hAnsi="Garamond"/>
          <w:color w:val="000000"/>
        </w:rPr>
        <w:t xml:space="preserve"> </w:t>
      </w:r>
    </w:p>
    <w:p w14:paraId="08ED0400" w14:textId="77777777" w:rsidR="007626F1" w:rsidRPr="007626F1" w:rsidRDefault="007626F1" w:rsidP="007626F1">
      <w:pPr>
        <w:ind w:left="1080"/>
        <w:rPr>
          <w:rFonts w:ascii="Garamond" w:hAnsi="Garamond"/>
        </w:rPr>
      </w:pPr>
    </w:p>
    <w:p w14:paraId="48C1FC78" w14:textId="2BB8F195" w:rsidR="00C2679E" w:rsidRPr="009430ED" w:rsidRDefault="007626F1" w:rsidP="009430ED">
      <w:pPr>
        <w:numPr>
          <w:ilvl w:val="1"/>
          <w:numId w:val="18"/>
        </w:numPr>
        <w:rPr>
          <w:rFonts w:ascii="Garamond" w:hAnsi="Garamond"/>
        </w:rPr>
      </w:pPr>
      <w:r w:rsidRPr="007626F1">
        <w:rPr>
          <w:rFonts w:ascii="Garamond" w:hAnsi="Garamond"/>
        </w:rPr>
        <w:t xml:space="preserve">Diverse (approximately equal) gender representation within each of the two age subgroups for children and </w:t>
      </w:r>
      <w:r w:rsidR="00DD7D2D">
        <w:rPr>
          <w:rFonts w:ascii="Garamond" w:hAnsi="Garamond"/>
        </w:rPr>
        <w:t>adolescents</w:t>
      </w:r>
      <w:bookmarkStart w:id="5" w:name="_Toc493250725"/>
    </w:p>
    <w:p w14:paraId="4C0C7CF9" w14:textId="590FA88D" w:rsidR="00253148" w:rsidRDefault="0073498D" w:rsidP="0073498D">
      <w:pPr>
        <w:pStyle w:val="Heading1"/>
        <w:spacing w:before="320" w:after="120"/>
      </w:pPr>
      <w:r>
        <w:t>B.2</w:t>
      </w:r>
      <w:r w:rsidR="00E05A0A">
        <w:t xml:space="preserve"> Procedures for Collection of Information</w:t>
      </w:r>
      <w:bookmarkEnd w:id="5"/>
    </w:p>
    <w:p w14:paraId="7C13DD7C" w14:textId="05623A40" w:rsidR="002514BE" w:rsidRDefault="00454E23" w:rsidP="002514BE">
      <w:pPr>
        <w:rPr>
          <w:rFonts w:ascii="Garamond" w:hAnsi="Garamond"/>
        </w:rPr>
      </w:pPr>
      <w:r>
        <w:rPr>
          <w:rFonts w:ascii="Garamond" w:hAnsi="Garamond"/>
        </w:rPr>
        <w:t xml:space="preserve">Once the research team has finalized the list of sites, they will begin conversations with local organizations in those cities to begin identifying families for participation. Based on field experience in previous qualitative studies, the research team estimates needing to start with a contact list of 30 to </w:t>
      </w:r>
      <w:r w:rsidR="009430ED">
        <w:rPr>
          <w:rFonts w:ascii="Garamond" w:hAnsi="Garamond"/>
        </w:rPr>
        <w:t>40</w:t>
      </w:r>
      <w:r>
        <w:rPr>
          <w:rFonts w:ascii="Garamond" w:hAnsi="Garamond"/>
        </w:rPr>
        <w:t xml:space="preserve"> families in a site, in order to recruit and complete interviews with 10 families. </w:t>
      </w:r>
      <w:r w:rsidR="002514BE">
        <w:rPr>
          <w:rFonts w:ascii="Garamond" w:hAnsi="Garamond"/>
        </w:rPr>
        <w:t xml:space="preserve">The research team will draw on relationships with partner agencies in these sites such as local TANF agencies, SNAP offices, community based organizations, or schools to recruit study participants. </w:t>
      </w:r>
      <w:r w:rsidR="008C4929">
        <w:rPr>
          <w:rFonts w:ascii="Garamond" w:hAnsi="Garamond"/>
        </w:rPr>
        <w:t>O</w:t>
      </w:r>
      <w:r w:rsidR="002514BE">
        <w:rPr>
          <w:rFonts w:ascii="Garamond" w:hAnsi="Garamond"/>
        </w:rPr>
        <w:t>rganization</w:t>
      </w:r>
      <w:r w:rsidR="001A00CD">
        <w:rPr>
          <w:rFonts w:ascii="Garamond" w:hAnsi="Garamond"/>
        </w:rPr>
        <w:t>al staff</w:t>
      </w:r>
      <w:r w:rsidR="002514BE">
        <w:rPr>
          <w:rFonts w:ascii="Garamond" w:hAnsi="Garamond"/>
        </w:rPr>
        <w:t xml:space="preserve"> </w:t>
      </w:r>
      <w:r w:rsidR="008C4929">
        <w:rPr>
          <w:rFonts w:ascii="Garamond" w:hAnsi="Garamond"/>
        </w:rPr>
        <w:t xml:space="preserve">may choose </w:t>
      </w:r>
      <w:r w:rsidR="002514BE">
        <w:rPr>
          <w:rFonts w:ascii="Garamond" w:hAnsi="Garamond"/>
        </w:rPr>
        <w:t>to reach out to study participants</w:t>
      </w:r>
      <w:r w:rsidR="00DC0760">
        <w:rPr>
          <w:rFonts w:ascii="Garamond" w:hAnsi="Garamond"/>
        </w:rPr>
        <w:t xml:space="preserve"> directly</w:t>
      </w:r>
      <w:r w:rsidR="008C4929">
        <w:rPr>
          <w:rFonts w:ascii="Garamond" w:hAnsi="Garamond"/>
        </w:rPr>
        <w:t xml:space="preserve">, </w:t>
      </w:r>
      <w:r w:rsidR="00DC0760">
        <w:rPr>
          <w:rFonts w:ascii="Garamond" w:hAnsi="Garamond"/>
        </w:rPr>
        <w:t xml:space="preserve">or </w:t>
      </w:r>
      <w:r w:rsidR="008C4929">
        <w:rPr>
          <w:rFonts w:ascii="Garamond" w:hAnsi="Garamond"/>
        </w:rPr>
        <w:t xml:space="preserve">they may </w:t>
      </w:r>
      <w:r w:rsidR="005D5590">
        <w:rPr>
          <w:rFonts w:ascii="Garamond" w:hAnsi="Garamond"/>
        </w:rPr>
        <w:t>provide names and contact information of potential participants</w:t>
      </w:r>
      <w:r w:rsidR="008C4929">
        <w:rPr>
          <w:rFonts w:ascii="Garamond" w:hAnsi="Garamond"/>
        </w:rPr>
        <w:t xml:space="preserve"> </w:t>
      </w:r>
      <w:r w:rsidR="0020370E">
        <w:rPr>
          <w:rFonts w:ascii="Garamond" w:hAnsi="Garamond"/>
        </w:rPr>
        <w:t>to the research team</w:t>
      </w:r>
      <w:r w:rsidR="002514BE">
        <w:rPr>
          <w:rFonts w:ascii="Garamond" w:hAnsi="Garamond"/>
        </w:rPr>
        <w:t>.</w:t>
      </w:r>
      <w:r w:rsidR="00C2679E">
        <w:rPr>
          <w:rFonts w:ascii="Garamond" w:hAnsi="Garamond"/>
        </w:rPr>
        <w:t xml:space="preserve"> </w:t>
      </w:r>
      <w:r w:rsidR="002514BE">
        <w:rPr>
          <w:rFonts w:ascii="Garamond" w:hAnsi="Garamond"/>
        </w:rPr>
        <w:t xml:space="preserve">If and when the local organization wants to be involved in engaging families we will </w:t>
      </w:r>
      <w:r w:rsidR="0057375F">
        <w:rPr>
          <w:rFonts w:ascii="Garamond" w:hAnsi="Garamond"/>
        </w:rPr>
        <w:t>provide them with a brief Staff Outreach Script (Appendix J) to help facilitate this process</w:t>
      </w:r>
      <w:r w:rsidR="002514BE">
        <w:rPr>
          <w:rFonts w:ascii="Garamond" w:hAnsi="Garamond"/>
        </w:rPr>
        <w:t xml:space="preserve">. Once contact information for potential families is obtained, research team members will use a brief screener to assess eligibility via phone (Appendix A). This call will be used to assess families’ eligibility for the study and, for those who are eligible, provide them with additional information about the study, including any risks, and to assess their interest in participating. </w:t>
      </w:r>
    </w:p>
    <w:p w14:paraId="4EB54DFD" w14:textId="77777777" w:rsidR="002514BE" w:rsidRDefault="002514BE" w:rsidP="002514BE">
      <w:pPr>
        <w:rPr>
          <w:rFonts w:ascii="Garamond" w:hAnsi="Garamond"/>
        </w:rPr>
      </w:pPr>
    </w:p>
    <w:p w14:paraId="1379C82E" w14:textId="446611CE" w:rsidR="0040617B" w:rsidRDefault="0040617B" w:rsidP="00454E23">
      <w:pPr>
        <w:rPr>
          <w:rFonts w:ascii="Garamond" w:hAnsi="Garamond"/>
        </w:rPr>
      </w:pPr>
      <w:r>
        <w:rPr>
          <w:rFonts w:ascii="Garamond" w:hAnsi="Garamond"/>
        </w:rPr>
        <w:t>The research team will</w:t>
      </w:r>
      <w:r w:rsidR="00DD7D2D">
        <w:rPr>
          <w:rFonts w:ascii="Garamond" w:hAnsi="Garamond"/>
        </w:rPr>
        <w:t xml:space="preserve"> </w:t>
      </w:r>
      <w:r>
        <w:rPr>
          <w:rFonts w:ascii="Garamond" w:hAnsi="Garamond"/>
        </w:rPr>
        <w:t xml:space="preserve">schedule interviews </w:t>
      </w:r>
      <w:r w:rsidR="00DD7D2D">
        <w:rPr>
          <w:rFonts w:ascii="Garamond" w:hAnsi="Garamond"/>
        </w:rPr>
        <w:t>with</w:t>
      </w:r>
      <w:r>
        <w:rPr>
          <w:rFonts w:ascii="Garamond" w:hAnsi="Garamond"/>
        </w:rPr>
        <w:t xml:space="preserve"> families in each site that are interested and able to participate.</w:t>
      </w:r>
      <w:r w:rsidR="00DD7D2D">
        <w:rPr>
          <w:rFonts w:ascii="Garamond" w:hAnsi="Garamond"/>
        </w:rPr>
        <w:t xml:space="preserve"> The sample goal is 10 families per site.</w:t>
      </w:r>
      <w:r>
        <w:rPr>
          <w:rFonts w:ascii="Garamond" w:hAnsi="Garamond"/>
        </w:rPr>
        <w:t xml:space="preserve"> Interviews will most likely be scheduled in the families’ homes. Some families may prefer meeting in alternative locations in the community, such as a church, community center, restaurant, public library, community-based organization, or public park. Trained staff will use interview guides included in Appendices </w:t>
      </w:r>
      <w:r w:rsidR="00144714">
        <w:rPr>
          <w:rFonts w:ascii="Garamond" w:hAnsi="Garamond"/>
        </w:rPr>
        <w:t>B</w:t>
      </w:r>
      <w:r>
        <w:rPr>
          <w:rFonts w:ascii="Garamond" w:hAnsi="Garamond"/>
        </w:rPr>
        <w:t>-</w:t>
      </w:r>
      <w:r w:rsidR="00144714">
        <w:rPr>
          <w:rFonts w:ascii="Garamond" w:hAnsi="Garamond"/>
        </w:rPr>
        <w:t xml:space="preserve">D </w:t>
      </w:r>
      <w:r>
        <w:rPr>
          <w:rFonts w:ascii="Garamond" w:hAnsi="Garamond"/>
        </w:rPr>
        <w:t>to conduct hour</w:t>
      </w:r>
      <w:r w:rsidR="006C67F1">
        <w:rPr>
          <w:rFonts w:ascii="Garamond" w:hAnsi="Garamond"/>
        </w:rPr>
        <w:t xml:space="preserve"> and </w:t>
      </w:r>
      <w:r w:rsidR="002514BE">
        <w:rPr>
          <w:rFonts w:ascii="Garamond" w:hAnsi="Garamond"/>
        </w:rPr>
        <w:t>a half-long interview</w:t>
      </w:r>
      <w:r>
        <w:rPr>
          <w:rFonts w:ascii="Garamond" w:hAnsi="Garamond"/>
        </w:rPr>
        <w:t xml:space="preserve"> for adults, and </w:t>
      </w:r>
      <w:r w:rsidR="0043510E">
        <w:rPr>
          <w:rFonts w:ascii="Garamond" w:hAnsi="Garamond"/>
        </w:rPr>
        <w:t xml:space="preserve">based on pre-testing of the interviews </w:t>
      </w:r>
      <w:r>
        <w:rPr>
          <w:rFonts w:ascii="Garamond" w:hAnsi="Garamond"/>
        </w:rPr>
        <w:t>45</w:t>
      </w:r>
      <w:r w:rsidR="00726A19">
        <w:rPr>
          <w:rFonts w:ascii="Garamond" w:hAnsi="Garamond"/>
        </w:rPr>
        <w:t>-60</w:t>
      </w:r>
      <w:r>
        <w:rPr>
          <w:rFonts w:ascii="Garamond" w:hAnsi="Garamond"/>
        </w:rPr>
        <w:t xml:space="preserve"> and </w:t>
      </w:r>
      <w:r w:rsidR="00EE6519">
        <w:rPr>
          <w:rFonts w:ascii="Garamond" w:hAnsi="Garamond"/>
        </w:rPr>
        <w:t>30-minute-long</w:t>
      </w:r>
      <w:r>
        <w:rPr>
          <w:rFonts w:ascii="Garamond" w:hAnsi="Garamond"/>
        </w:rPr>
        <w:t xml:space="preserve"> interviews for adolescents and children, respectively</w:t>
      </w:r>
      <w:r w:rsidR="00C1069B">
        <w:rPr>
          <w:rFonts w:ascii="Garamond" w:hAnsi="Garamond"/>
        </w:rPr>
        <w:t xml:space="preserve"> (see Section B.4).</w:t>
      </w:r>
    </w:p>
    <w:p w14:paraId="2F3272EA" w14:textId="4F6F2B6C" w:rsidR="002514BE" w:rsidRDefault="002514BE" w:rsidP="00454E23">
      <w:pPr>
        <w:rPr>
          <w:rFonts w:ascii="Garamond" w:hAnsi="Garamond"/>
        </w:rPr>
      </w:pPr>
    </w:p>
    <w:p w14:paraId="76E1A705" w14:textId="42247F4C" w:rsidR="002514BE" w:rsidRDefault="002514BE" w:rsidP="00454E23">
      <w:pPr>
        <w:rPr>
          <w:rFonts w:ascii="Garamond" w:hAnsi="Garamond"/>
        </w:rPr>
      </w:pPr>
      <w:r w:rsidRPr="00AA41C3">
        <w:rPr>
          <w:rFonts w:ascii="Garamond" w:hAnsi="Garamond"/>
        </w:rPr>
        <w:t xml:space="preserve">Each set of family interviews will include a separate interview with one to two children ages 7 to 17 years </w:t>
      </w:r>
      <w:r>
        <w:rPr>
          <w:rFonts w:ascii="Garamond" w:hAnsi="Garamond"/>
        </w:rPr>
        <w:t xml:space="preserve">old </w:t>
      </w:r>
      <w:r w:rsidRPr="00AA41C3">
        <w:rPr>
          <w:rFonts w:ascii="Garamond" w:hAnsi="Garamond"/>
        </w:rPr>
        <w:t xml:space="preserve">in the family; and a separate interview with one to two parents or </w:t>
      </w:r>
      <w:r>
        <w:rPr>
          <w:rFonts w:ascii="Garamond" w:hAnsi="Garamond"/>
        </w:rPr>
        <w:t>parent figures</w:t>
      </w:r>
      <w:r w:rsidRPr="00AA41C3">
        <w:rPr>
          <w:rFonts w:ascii="Garamond" w:hAnsi="Garamond"/>
        </w:rPr>
        <w:t xml:space="preserve">. </w:t>
      </w:r>
      <w:r>
        <w:rPr>
          <w:rFonts w:ascii="Garamond" w:hAnsi="Garamond"/>
        </w:rPr>
        <w:t>Interviews will be conducted around</w:t>
      </w:r>
      <w:r w:rsidRPr="00AA41C3">
        <w:rPr>
          <w:rFonts w:ascii="Garamond" w:hAnsi="Garamond"/>
        </w:rPr>
        <w:t xml:space="preserve"> roughly the same time period for each of the sites to minimize the chances that any random, unanticipated events (e.g., a natural disaster or some other environmental condition such as inclement weather) or</w:t>
      </w:r>
      <w:r>
        <w:rPr>
          <w:rFonts w:ascii="Garamond" w:hAnsi="Garamond"/>
        </w:rPr>
        <w:t xml:space="preserve"> </w:t>
      </w:r>
      <w:r w:rsidRPr="00AA41C3">
        <w:rPr>
          <w:rFonts w:ascii="Garamond" w:hAnsi="Garamond"/>
          <w:color w:val="000000"/>
        </w:rPr>
        <w:t>holidays do not systematically influence either the manner in which the data were collected or the response that the interviewees provide. Some variation in timing is expected</w:t>
      </w:r>
      <w:r>
        <w:rPr>
          <w:rFonts w:ascii="Garamond" w:hAnsi="Garamond"/>
          <w:color w:val="000000"/>
        </w:rPr>
        <w:t>, given the time it takes to recruit</w:t>
      </w:r>
      <w:r w:rsidRPr="00AA41C3">
        <w:rPr>
          <w:rFonts w:ascii="Garamond" w:hAnsi="Garamond"/>
          <w:color w:val="000000"/>
        </w:rPr>
        <w:t xml:space="preserve"> families, schedule interviews, and complete interviews for a family, and taking into account field staff availability and proximity to the site.</w:t>
      </w:r>
    </w:p>
    <w:p w14:paraId="7C8AD34E" w14:textId="502D739D" w:rsidR="006010EC" w:rsidRDefault="006010EC" w:rsidP="006010EC">
      <w:pPr>
        <w:rPr>
          <w:rFonts w:ascii="Garamond" w:hAnsi="Garamond"/>
          <w:color w:val="000000"/>
        </w:rPr>
      </w:pPr>
    </w:p>
    <w:p w14:paraId="295615C6" w14:textId="77777777" w:rsidR="006010EC" w:rsidRDefault="006010EC" w:rsidP="006010EC">
      <w:pPr>
        <w:rPr>
          <w:rFonts w:ascii="Garamond" w:hAnsi="Garamond"/>
        </w:rPr>
      </w:pPr>
      <w:r w:rsidRPr="00AA41C3">
        <w:rPr>
          <w:rFonts w:ascii="Garamond" w:hAnsi="Garamond"/>
          <w:color w:val="000000"/>
        </w:rPr>
        <w:t xml:space="preserve">Interviewers within and across the sites, along with project supervisory staff, will meet regularly once data collection is underway to review </w:t>
      </w:r>
      <w:r>
        <w:rPr>
          <w:rFonts w:ascii="Garamond" w:hAnsi="Garamond"/>
          <w:color w:val="000000"/>
        </w:rPr>
        <w:t>the interview procedures and experiences.</w:t>
      </w:r>
      <w:r w:rsidRPr="00AA41C3">
        <w:rPr>
          <w:rFonts w:ascii="Garamond" w:hAnsi="Garamond"/>
          <w:color w:val="000000"/>
        </w:rPr>
        <w:t xml:space="preserve"> </w:t>
      </w:r>
      <w:r>
        <w:rPr>
          <w:rFonts w:ascii="Garamond" w:hAnsi="Garamond"/>
        </w:rPr>
        <w:t>In-person interviews allow for the collection of non-verbal information</w:t>
      </w:r>
      <w:r w:rsidRPr="0083344A">
        <w:rPr>
          <w:rFonts w:ascii="Garamond" w:hAnsi="Garamond"/>
        </w:rPr>
        <w:t xml:space="preserve"> </w:t>
      </w:r>
      <w:r>
        <w:rPr>
          <w:rFonts w:ascii="Garamond" w:hAnsi="Garamond"/>
        </w:rPr>
        <w:t>(e.g.,</w:t>
      </w:r>
      <w:r w:rsidRPr="0083344A">
        <w:rPr>
          <w:rFonts w:ascii="Garamond" w:hAnsi="Garamond"/>
        </w:rPr>
        <w:t xml:space="preserve"> general attitude of the interviewee, assessments of rapport built during the intervie</w:t>
      </w:r>
      <w:r>
        <w:rPr>
          <w:rFonts w:ascii="Garamond" w:hAnsi="Garamond"/>
        </w:rPr>
        <w:t>w, interviewees’ interactions with their surroundings</w:t>
      </w:r>
      <w:r w:rsidRPr="0083344A">
        <w:rPr>
          <w:rFonts w:ascii="Garamond" w:hAnsi="Garamond"/>
        </w:rPr>
        <w:t>)</w:t>
      </w:r>
      <w:r>
        <w:rPr>
          <w:rFonts w:ascii="Garamond" w:hAnsi="Garamond"/>
        </w:rPr>
        <w:t xml:space="preserve"> that other data collection methods do not</w:t>
      </w:r>
      <w:r w:rsidRPr="0083344A">
        <w:rPr>
          <w:rFonts w:ascii="Garamond" w:hAnsi="Garamond"/>
        </w:rPr>
        <w:t>.</w:t>
      </w:r>
      <w:r>
        <w:rPr>
          <w:rFonts w:ascii="Garamond" w:hAnsi="Garamond"/>
        </w:rPr>
        <w:t xml:space="preserve"> Interviewers will take detailed notes during each interview, capturing both verbal and non-verbal information. </w:t>
      </w:r>
      <w:r w:rsidRPr="00FD0B34">
        <w:rPr>
          <w:rFonts w:ascii="Garamond" w:hAnsi="Garamond"/>
        </w:rPr>
        <w:t xml:space="preserve">All interviews will be audio recorded (if consent/assent are provided) and the recordings will be transcribed. </w:t>
      </w:r>
      <w:r>
        <w:rPr>
          <w:rFonts w:ascii="Garamond" w:hAnsi="Garamond"/>
        </w:rPr>
        <w:t>I</w:t>
      </w:r>
      <w:r w:rsidRPr="00FD0B34">
        <w:rPr>
          <w:rFonts w:ascii="Garamond" w:hAnsi="Garamond"/>
        </w:rPr>
        <w:t xml:space="preserve">nterviewers will </w:t>
      </w:r>
      <w:r w:rsidRPr="0083344A">
        <w:rPr>
          <w:rFonts w:ascii="Garamond" w:hAnsi="Garamond"/>
        </w:rPr>
        <w:t>write summary notes after each interview to record early impressions and themes that emerged during the interview</w:t>
      </w:r>
      <w:r w:rsidRPr="0083344A">
        <w:rPr>
          <w:rFonts w:ascii="Garamond" w:hAnsi="Garamond"/>
          <w:color w:val="000000"/>
        </w:rPr>
        <w:t xml:space="preserve">. </w:t>
      </w:r>
      <w:r w:rsidRPr="0083344A">
        <w:rPr>
          <w:rFonts w:ascii="Garamond" w:hAnsi="Garamond"/>
        </w:rPr>
        <w:t>These notes will not be considered project data to be analyzed but they will serve as a record of early impressions and initial (emerging) themes that will then be followed up on by a more thorough and systemati</w:t>
      </w:r>
      <w:r>
        <w:rPr>
          <w:rFonts w:ascii="Garamond" w:hAnsi="Garamond"/>
        </w:rPr>
        <w:t xml:space="preserve">c analysis of the interview data. </w:t>
      </w:r>
    </w:p>
    <w:p w14:paraId="668E0978" w14:textId="77777777" w:rsidR="006010EC" w:rsidRDefault="006010EC" w:rsidP="006010EC">
      <w:pPr>
        <w:rPr>
          <w:rFonts w:ascii="Garamond" w:hAnsi="Garamond"/>
        </w:rPr>
      </w:pPr>
    </w:p>
    <w:p w14:paraId="720E37CD" w14:textId="16B72408" w:rsidR="006010EC" w:rsidRDefault="006010EC" w:rsidP="006010EC">
      <w:pPr>
        <w:rPr>
          <w:rFonts w:ascii="Garamond" w:hAnsi="Garamond"/>
        </w:rPr>
      </w:pPr>
      <w:r w:rsidRPr="00FD0B34">
        <w:rPr>
          <w:rFonts w:ascii="Garamond" w:hAnsi="Garamond"/>
          <w:color w:val="000000"/>
        </w:rPr>
        <w:t>To gain an understanding of adults’, children’s, and adolescents’ experiences of poverty, the data will be coded in an iterative process, using software specifically designed for working with qualitative interview data (for example, Dedoose).</w:t>
      </w:r>
      <w:r w:rsidRPr="00FD0B34">
        <w:rPr>
          <w:rStyle w:val="FootnoteReference"/>
          <w:rFonts w:ascii="Garamond" w:hAnsi="Garamond"/>
          <w:color w:val="000000"/>
        </w:rPr>
        <w:footnoteReference w:id="10"/>
      </w:r>
      <w:r w:rsidRPr="00FD0B34">
        <w:rPr>
          <w:rFonts w:ascii="Garamond" w:hAnsi="Garamond"/>
          <w:color w:val="000000"/>
        </w:rPr>
        <w:t xml:space="preserve"> </w:t>
      </w:r>
      <w:r w:rsidRPr="00FD0B34">
        <w:rPr>
          <w:rFonts w:ascii="Garamond" w:hAnsi="Garamond"/>
        </w:rPr>
        <w:t xml:space="preserve">In coding of the data and </w:t>
      </w:r>
      <w:r>
        <w:rPr>
          <w:rFonts w:ascii="Garamond" w:hAnsi="Garamond"/>
        </w:rPr>
        <w:t>identifying</w:t>
      </w:r>
      <w:r w:rsidRPr="00FD0B34">
        <w:rPr>
          <w:rFonts w:ascii="Garamond" w:hAnsi="Garamond"/>
        </w:rPr>
        <w:t xml:space="preserve"> themes and categories, </w:t>
      </w:r>
      <w:r>
        <w:rPr>
          <w:rFonts w:ascii="Garamond" w:hAnsi="Garamond"/>
        </w:rPr>
        <w:t>the research team</w:t>
      </w:r>
      <w:r w:rsidRPr="00FD0B34">
        <w:rPr>
          <w:rFonts w:ascii="Garamond" w:hAnsi="Garamond"/>
        </w:rPr>
        <w:t xml:space="preserve"> will pay particular attention to comparisons among households that have different compositions (</w:t>
      </w:r>
      <w:r>
        <w:rPr>
          <w:rFonts w:ascii="Garamond" w:hAnsi="Garamond"/>
        </w:rPr>
        <w:t>e.g.,</w:t>
      </w:r>
      <w:r w:rsidRPr="00FD0B34">
        <w:rPr>
          <w:rFonts w:ascii="Garamond" w:hAnsi="Garamond"/>
        </w:rPr>
        <w:t xml:space="preserve">, households with younger/older children, single parent homes/two parent homes/extended families), and contextual circumstances (for example, geographic location) that might shape the lives of households living in poverty and their understanding of their circumstances. </w:t>
      </w:r>
    </w:p>
    <w:p w14:paraId="0AEE0D91" w14:textId="77777777" w:rsidR="00C2679E" w:rsidRPr="0062299A" w:rsidRDefault="00C2679E" w:rsidP="006010EC">
      <w:pPr>
        <w:rPr>
          <w:rFonts w:ascii="Garamond" w:hAnsi="Garamond"/>
        </w:rPr>
      </w:pPr>
    </w:p>
    <w:p w14:paraId="6E98F1A5" w14:textId="77777777" w:rsidR="00F56220" w:rsidRPr="0073498D" w:rsidRDefault="00E05A0A" w:rsidP="0073498D">
      <w:pPr>
        <w:pStyle w:val="Heading1"/>
        <w:spacing w:before="320" w:after="120"/>
      </w:pPr>
      <w:bookmarkStart w:id="6" w:name="_Toc493250726"/>
      <w:r>
        <w:t>B</w:t>
      </w:r>
      <w:r w:rsidR="0073498D">
        <w:t>.3</w:t>
      </w:r>
      <w:r>
        <w:t xml:space="preserve"> Methods to Maximize Response Rates and Deal with Nonresponse</w:t>
      </w:r>
      <w:bookmarkEnd w:id="6"/>
    </w:p>
    <w:p w14:paraId="7C7B2F9D" w14:textId="77777777" w:rsidR="00F56220" w:rsidRDefault="0073498D" w:rsidP="0073498D">
      <w:pPr>
        <w:pStyle w:val="Heading2"/>
        <w:spacing w:before="280" w:after="120"/>
      </w:pPr>
      <w:bookmarkStart w:id="7" w:name="_Toc493250727"/>
      <w:r w:rsidRPr="0073498D">
        <w:t xml:space="preserve">B.3.1 </w:t>
      </w:r>
      <w:r w:rsidR="00EC6101" w:rsidRPr="0073498D">
        <w:t>Expected Response Rates</w:t>
      </w:r>
      <w:bookmarkEnd w:id="7"/>
    </w:p>
    <w:p w14:paraId="1CDE90CD" w14:textId="7AB920C1" w:rsidR="00F0670D" w:rsidRPr="00F0670D" w:rsidRDefault="00F0670D" w:rsidP="00F0670D">
      <w:pPr>
        <w:rPr>
          <w:rFonts w:ascii="Garamond" w:hAnsi="Garamond"/>
        </w:rPr>
      </w:pPr>
      <w:r>
        <w:rPr>
          <w:rFonts w:ascii="Garamond" w:hAnsi="Garamond"/>
        </w:rPr>
        <w:t>Because the research team will have conducted a screener outreach to assess families’ willingness to participate</w:t>
      </w:r>
      <w:r w:rsidR="00055D4F">
        <w:rPr>
          <w:rFonts w:ascii="Garamond" w:hAnsi="Garamond"/>
        </w:rPr>
        <w:t xml:space="preserve"> prior to enrolling them in the study</w:t>
      </w:r>
      <w:r>
        <w:rPr>
          <w:rFonts w:ascii="Garamond" w:hAnsi="Garamond"/>
        </w:rPr>
        <w:t xml:space="preserve">, </w:t>
      </w:r>
      <w:r w:rsidR="005D3FE7">
        <w:rPr>
          <w:rFonts w:ascii="Garamond" w:hAnsi="Garamond"/>
        </w:rPr>
        <w:t>and are proposing varying incentives for adults, adolescents, and children</w:t>
      </w:r>
      <w:r w:rsidR="00E5351D">
        <w:rPr>
          <w:rFonts w:ascii="Garamond" w:hAnsi="Garamond"/>
        </w:rPr>
        <w:t>,</w:t>
      </w:r>
      <w:r w:rsidR="005D3FE7">
        <w:rPr>
          <w:rFonts w:ascii="Garamond" w:hAnsi="Garamond"/>
        </w:rPr>
        <w:t xml:space="preserve"> </w:t>
      </w:r>
      <w:r w:rsidR="00F529F8">
        <w:rPr>
          <w:rFonts w:ascii="Garamond" w:hAnsi="Garamond"/>
        </w:rPr>
        <w:t xml:space="preserve">we expect to achieve </w:t>
      </w:r>
      <w:r w:rsidR="00931471">
        <w:rPr>
          <w:rFonts w:ascii="Garamond" w:hAnsi="Garamond"/>
        </w:rPr>
        <w:t>the</w:t>
      </w:r>
      <w:r w:rsidR="00F529F8">
        <w:rPr>
          <w:rFonts w:ascii="Garamond" w:hAnsi="Garamond"/>
        </w:rPr>
        <w:t xml:space="preserve"> sample</w:t>
      </w:r>
      <w:r w:rsidR="00931471">
        <w:rPr>
          <w:rFonts w:ascii="Garamond" w:hAnsi="Garamond"/>
        </w:rPr>
        <w:t xml:space="preserve"> goal</w:t>
      </w:r>
      <w:r w:rsidR="00F529F8">
        <w:rPr>
          <w:rFonts w:ascii="Garamond" w:hAnsi="Garamond"/>
        </w:rPr>
        <w:t xml:space="preserve"> of around 45 adults and 50 children</w:t>
      </w:r>
      <w:r>
        <w:rPr>
          <w:rFonts w:ascii="Garamond" w:hAnsi="Garamond"/>
        </w:rPr>
        <w:t xml:space="preserve">. </w:t>
      </w:r>
    </w:p>
    <w:p w14:paraId="2165B834" w14:textId="77777777" w:rsidR="00253148" w:rsidRDefault="0073498D" w:rsidP="0073498D">
      <w:pPr>
        <w:pStyle w:val="Heading2"/>
        <w:spacing w:before="280" w:after="120"/>
      </w:pPr>
      <w:bookmarkStart w:id="8" w:name="_Toc493250728"/>
      <w:r>
        <w:t xml:space="preserve">B.3.2 </w:t>
      </w:r>
      <w:r w:rsidR="00EC6101" w:rsidRPr="007378E7">
        <w:t>Dealing with Nonresponse</w:t>
      </w:r>
      <w:bookmarkEnd w:id="8"/>
    </w:p>
    <w:p w14:paraId="5658716A" w14:textId="3BE4E6D6" w:rsidR="00195F19" w:rsidRPr="00DE20B8" w:rsidRDefault="004D301D" w:rsidP="007269B0">
      <w:pPr>
        <w:rPr>
          <w:rFonts w:ascii="Garamond" w:hAnsi="Garamond"/>
        </w:rPr>
      </w:pPr>
      <w:r>
        <w:rPr>
          <w:rFonts w:ascii="Garamond" w:hAnsi="Garamond"/>
        </w:rPr>
        <w:t>We propose providing e</w:t>
      </w:r>
      <w:r w:rsidR="00DE20B8" w:rsidRPr="00DE20B8">
        <w:rPr>
          <w:rFonts w:ascii="Garamond" w:hAnsi="Garamond"/>
        </w:rPr>
        <w:t xml:space="preserve">ach interviewed adult </w:t>
      </w:r>
      <w:r>
        <w:rPr>
          <w:rFonts w:ascii="Garamond" w:hAnsi="Garamond"/>
        </w:rPr>
        <w:t>with</w:t>
      </w:r>
      <w:r w:rsidR="00DE20B8" w:rsidRPr="00DE20B8">
        <w:rPr>
          <w:rFonts w:ascii="Garamond" w:hAnsi="Garamond"/>
        </w:rPr>
        <w:t xml:space="preserve"> a $40 gift card, and each interviewed adolescent </w:t>
      </w:r>
      <w:r>
        <w:rPr>
          <w:rFonts w:ascii="Garamond" w:hAnsi="Garamond"/>
        </w:rPr>
        <w:t>with</w:t>
      </w:r>
      <w:r w:rsidR="00DE20B8" w:rsidRPr="00DE20B8">
        <w:rPr>
          <w:rFonts w:ascii="Garamond" w:hAnsi="Garamond"/>
        </w:rPr>
        <w:t xml:space="preserve"> a $</w:t>
      </w:r>
      <w:r w:rsidR="00B06D6E" w:rsidRPr="00DE20B8">
        <w:rPr>
          <w:rFonts w:ascii="Garamond" w:hAnsi="Garamond"/>
        </w:rPr>
        <w:t>2</w:t>
      </w:r>
      <w:r w:rsidR="00B06D6E">
        <w:rPr>
          <w:rFonts w:ascii="Garamond" w:hAnsi="Garamond"/>
        </w:rPr>
        <w:t>5</w:t>
      </w:r>
      <w:r w:rsidR="00B06D6E" w:rsidRPr="00DE20B8">
        <w:rPr>
          <w:rFonts w:ascii="Garamond" w:hAnsi="Garamond"/>
        </w:rPr>
        <w:t xml:space="preserve"> </w:t>
      </w:r>
      <w:r w:rsidR="00DE20B8" w:rsidRPr="00DE20B8">
        <w:rPr>
          <w:rFonts w:ascii="Garamond" w:hAnsi="Garamond"/>
        </w:rPr>
        <w:t xml:space="preserve">gift card. </w:t>
      </w:r>
      <w:r>
        <w:rPr>
          <w:rFonts w:ascii="Garamond" w:hAnsi="Garamond"/>
        </w:rPr>
        <w:t>We propose that c</w:t>
      </w:r>
      <w:r w:rsidR="00DE20B8" w:rsidRPr="00DE20B8">
        <w:rPr>
          <w:rFonts w:ascii="Garamond" w:hAnsi="Garamond"/>
        </w:rPr>
        <w:t>hildren (ages 7-11) choose</w:t>
      </w:r>
      <w:r w:rsidR="00C2679E">
        <w:rPr>
          <w:rFonts w:ascii="Garamond" w:hAnsi="Garamond"/>
        </w:rPr>
        <w:t xml:space="preserve"> </w:t>
      </w:r>
      <w:r w:rsidR="00DE20B8" w:rsidRPr="00DE20B8">
        <w:rPr>
          <w:rFonts w:ascii="Garamond" w:hAnsi="Garamond"/>
        </w:rPr>
        <w:t>item</w:t>
      </w:r>
      <w:r w:rsidR="00726A19">
        <w:rPr>
          <w:rFonts w:ascii="Garamond" w:hAnsi="Garamond"/>
        </w:rPr>
        <w:t>s</w:t>
      </w:r>
      <w:r w:rsidR="00DE20B8" w:rsidRPr="00DE20B8">
        <w:rPr>
          <w:rFonts w:ascii="Garamond" w:hAnsi="Garamond"/>
        </w:rPr>
        <w:t xml:space="preserve"> from a “treasure box,” valued at </w:t>
      </w:r>
      <w:r w:rsidR="00726A19">
        <w:rPr>
          <w:rFonts w:ascii="Garamond" w:hAnsi="Garamond"/>
        </w:rPr>
        <w:t xml:space="preserve">up to </w:t>
      </w:r>
      <w:r w:rsidR="00DE20B8" w:rsidRPr="00DE20B8">
        <w:rPr>
          <w:rFonts w:ascii="Garamond" w:hAnsi="Garamond"/>
        </w:rPr>
        <w:t>approximately $</w:t>
      </w:r>
      <w:r w:rsidR="00B06D6E">
        <w:rPr>
          <w:rFonts w:ascii="Garamond" w:hAnsi="Garamond"/>
        </w:rPr>
        <w:t>10</w:t>
      </w:r>
      <w:r>
        <w:rPr>
          <w:rFonts w:ascii="Garamond" w:hAnsi="Garamond"/>
        </w:rPr>
        <w:t>. These incentives are proposed</w:t>
      </w:r>
      <w:r w:rsidR="00DE20B8" w:rsidRPr="00DE20B8">
        <w:rPr>
          <w:rFonts w:ascii="Garamond" w:hAnsi="Garamond"/>
        </w:rPr>
        <w:t xml:space="preserve"> in order to reduce nonresponse bias</w:t>
      </w:r>
      <w:r w:rsidR="003F5F97">
        <w:rPr>
          <w:rFonts w:ascii="Garamond" w:hAnsi="Garamond"/>
        </w:rPr>
        <w:t xml:space="preserve"> from potential sample members in the deepest poverty and with the lowest education levels</w:t>
      </w:r>
      <w:r w:rsidR="00DE20B8" w:rsidRPr="00DE20B8">
        <w:rPr>
          <w:rFonts w:ascii="Garamond" w:hAnsi="Garamond"/>
        </w:rPr>
        <w:t xml:space="preserve"> as discussed in Supporting Statement A. </w:t>
      </w:r>
      <w:r w:rsidR="00055D4F" w:rsidRPr="00DE20B8">
        <w:rPr>
          <w:rFonts w:ascii="Garamond" w:hAnsi="Garamond"/>
        </w:rPr>
        <w:t>Respondents have the option of skipping a</w:t>
      </w:r>
      <w:r w:rsidR="00DC3CBA" w:rsidRPr="00DE20B8">
        <w:rPr>
          <w:rFonts w:ascii="Garamond" w:hAnsi="Garamond"/>
        </w:rPr>
        <w:t>n interview</w:t>
      </w:r>
      <w:r w:rsidR="00055D4F" w:rsidRPr="00DE20B8">
        <w:rPr>
          <w:rFonts w:ascii="Garamond" w:hAnsi="Garamond"/>
        </w:rPr>
        <w:t xml:space="preserve"> </w:t>
      </w:r>
      <w:r w:rsidR="001C1837" w:rsidRPr="00DE20B8">
        <w:rPr>
          <w:rFonts w:ascii="Garamond" w:hAnsi="Garamond"/>
        </w:rPr>
        <w:t>question;</w:t>
      </w:r>
      <w:r w:rsidR="00055D4F" w:rsidRPr="00DE20B8">
        <w:rPr>
          <w:rFonts w:ascii="Garamond" w:hAnsi="Garamond"/>
        </w:rPr>
        <w:t xml:space="preserve"> however</w:t>
      </w:r>
      <w:r w:rsidR="00DE20B8" w:rsidRPr="00DE20B8">
        <w:rPr>
          <w:rFonts w:ascii="Garamond" w:hAnsi="Garamond"/>
        </w:rPr>
        <w:t>, in order to reduce item nonresponse bias,</w:t>
      </w:r>
      <w:r w:rsidR="00055D4F" w:rsidRPr="00DE20B8">
        <w:rPr>
          <w:rFonts w:ascii="Garamond" w:hAnsi="Garamond"/>
        </w:rPr>
        <w:t xml:space="preserve"> topics can be </w:t>
      </w:r>
      <w:r w:rsidR="00DC3CBA" w:rsidRPr="00DE20B8">
        <w:rPr>
          <w:rFonts w:ascii="Garamond" w:hAnsi="Garamond"/>
        </w:rPr>
        <w:t>revisited during the interview.</w:t>
      </w:r>
      <w:r w:rsidR="00C2679E">
        <w:rPr>
          <w:rFonts w:ascii="Garamond" w:hAnsi="Garamond"/>
        </w:rPr>
        <w:t xml:space="preserve">  </w:t>
      </w:r>
      <w:r w:rsidR="00DC3CBA" w:rsidRPr="00DE20B8">
        <w:rPr>
          <w:rFonts w:ascii="Garamond" w:hAnsi="Garamond"/>
        </w:rPr>
        <w:t>As interviewers build rapport with respondents and they</w:t>
      </w:r>
      <w:r w:rsidR="00055D4F" w:rsidRPr="00DE20B8">
        <w:rPr>
          <w:rFonts w:ascii="Garamond" w:hAnsi="Garamond"/>
        </w:rPr>
        <w:t xml:space="preserve"> become more comfortable with the</w:t>
      </w:r>
      <w:r w:rsidR="00DC3CBA" w:rsidRPr="00DE20B8">
        <w:rPr>
          <w:rFonts w:ascii="Garamond" w:hAnsi="Garamond"/>
        </w:rPr>
        <w:t xml:space="preserve"> </w:t>
      </w:r>
      <w:r w:rsidR="00055D4F" w:rsidRPr="00DE20B8">
        <w:rPr>
          <w:rFonts w:ascii="Garamond" w:hAnsi="Garamond"/>
        </w:rPr>
        <w:t>process</w:t>
      </w:r>
      <w:r w:rsidR="00DC3CBA" w:rsidRPr="00DE20B8">
        <w:rPr>
          <w:rFonts w:ascii="Garamond" w:hAnsi="Garamond"/>
        </w:rPr>
        <w:t xml:space="preserve">, </w:t>
      </w:r>
      <w:r w:rsidR="00055D4F" w:rsidRPr="00DE20B8">
        <w:rPr>
          <w:rFonts w:ascii="Garamond" w:hAnsi="Garamond"/>
        </w:rPr>
        <w:t xml:space="preserve">interviewers </w:t>
      </w:r>
      <w:r w:rsidR="00DC3CBA" w:rsidRPr="00DE20B8">
        <w:rPr>
          <w:rFonts w:ascii="Garamond" w:hAnsi="Garamond"/>
        </w:rPr>
        <w:t>have the option of</w:t>
      </w:r>
      <w:r w:rsidR="00055D4F" w:rsidRPr="00DE20B8">
        <w:rPr>
          <w:rFonts w:ascii="Garamond" w:hAnsi="Garamond"/>
        </w:rPr>
        <w:t xml:space="preserve"> refram</w:t>
      </w:r>
      <w:r w:rsidR="00DC3CBA" w:rsidRPr="00DE20B8">
        <w:rPr>
          <w:rFonts w:ascii="Garamond" w:hAnsi="Garamond"/>
        </w:rPr>
        <w:t>ing</w:t>
      </w:r>
      <w:r w:rsidR="00055D4F" w:rsidRPr="00DE20B8">
        <w:rPr>
          <w:rFonts w:ascii="Garamond" w:hAnsi="Garamond"/>
        </w:rPr>
        <w:t xml:space="preserve"> questions or us</w:t>
      </w:r>
      <w:r w:rsidR="00DC3CBA" w:rsidRPr="00DE20B8">
        <w:rPr>
          <w:rFonts w:ascii="Garamond" w:hAnsi="Garamond"/>
        </w:rPr>
        <w:t>ing</w:t>
      </w:r>
      <w:r w:rsidR="00055D4F" w:rsidRPr="00DE20B8">
        <w:rPr>
          <w:rFonts w:ascii="Garamond" w:hAnsi="Garamond"/>
        </w:rPr>
        <w:t xml:space="preserve"> probes in order to </w:t>
      </w:r>
      <w:r w:rsidR="00E5351D" w:rsidRPr="00DE20B8">
        <w:rPr>
          <w:rFonts w:ascii="Garamond" w:hAnsi="Garamond"/>
        </w:rPr>
        <w:t xml:space="preserve">learn </w:t>
      </w:r>
      <w:r w:rsidR="00055D4F" w:rsidRPr="00DE20B8">
        <w:rPr>
          <w:rFonts w:ascii="Garamond" w:hAnsi="Garamond"/>
        </w:rPr>
        <w:t xml:space="preserve">more information </w:t>
      </w:r>
      <w:r w:rsidR="00E5351D" w:rsidRPr="00DE20B8">
        <w:rPr>
          <w:rFonts w:ascii="Garamond" w:hAnsi="Garamond"/>
        </w:rPr>
        <w:t>about</w:t>
      </w:r>
      <w:r w:rsidR="00055D4F" w:rsidRPr="00DE20B8">
        <w:rPr>
          <w:rFonts w:ascii="Garamond" w:hAnsi="Garamond"/>
        </w:rPr>
        <w:t xml:space="preserve"> a topic.</w:t>
      </w:r>
      <w:r w:rsidR="00C2679E">
        <w:rPr>
          <w:rFonts w:ascii="Garamond" w:hAnsi="Garamond"/>
        </w:rPr>
        <w:t xml:space="preserve">  </w:t>
      </w:r>
      <w:r w:rsidR="004677FD">
        <w:rPr>
          <w:rFonts w:ascii="Garamond" w:hAnsi="Garamond"/>
        </w:rPr>
        <w:t xml:space="preserve">Additionally, interviewers will gauge possible reasons for </w:t>
      </w:r>
      <w:r w:rsidR="00ED0612">
        <w:rPr>
          <w:rFonts w:ascii="Garamond" w:hAnsi="Garamond"/>
        </w:rPr>
        <w:t xml:space="preserve">interviewee </w:t>
      </w:r>
      <w:r w:rsidR="004677FD">
        <w:rPr>
          <w:rFonts w:ascii="Garamond" w:hAnsi="Garamond"/>
        </w:rPr>
        <w:t xml:space="preserve">nonresponse and </w:t>
      </w:r>
      <w:r w:rsidR="00F35F3C">
        <w:rPr>
          <w:rFonts w:ascii="Garamond" w:hAnsi="Garamond"/>
        </w:rPr>
        <w:t>respond</w:t>
      </w:r>
      <w:r w:rsidR="004677FD">
        <w:rPr>
          <w:rFonts w:ascii="Garamond" w:hAnsi="Garamond"/>
        </w:rPr>
        <w:t xml:space="preserve"> accordingly. For instance, if children are tired or bored</w:t>
      </w:r>
      <w:r w:rsidR="00C56A37">
        <w:rPr>
          <w:rFonts w:ascii="Garamond" w:hAnsi="Garamond"/>
        </w:rPr>
        <w:t xml:space="preserve">, interviewers </w:t>
      </w:r>
      <w:r w:rsidR="004677FD">
        <w:rPr>
          <w:rFonts w:ascii="Garamond" w:hAnsi="Garamond"/>
        </w:rPr>
        <w:t xml:space="preserve">will </w:t>
      </w:r>
      <w:r w:rsidR="00E2759C">
        <w:rPr>
          <w:rFonts w:ascii="Garamond" w:hAnsi="Garamond"/>
        </w:rPr>
        <w:t xml:space="preserve">offer breaks </w:t>
      </w:r>
      <w:r w:rsidR="009430ED">
        <w:rPr>
          <w:rFonts w:ascii="Garamond" w:hAnsi="Garamond"/>
        </w:rPr>
        <w:t xml:space="preserve">or opportunities to get up a stretch </w:t>
      </w:r>
      <w:r w:rsidR="00E2759C">
        <w:rPr>
          <w:rFonts w:ascii="Garamond" w:hAnsi="Garamond"/>
        </w:rPr>
        <w:t xml:space="preserve">to help children stay focused. </w:t>
      </w:r>
      <w:r w:rsidR="00C56A37">
        <w:rPr>
          <w:rFonts w:ascii="Garamond" w:hAnsi="Garamond"/>
        </w:rPr>
        <w:t>I</w:t>
      </w:r>
      <w:r w:rsidR="00E2759C">
        <w:rPr>
          <w:rFonts w:ascii="Garamond" w:hAnsi="Garamond"/>
        </w:rPr>
        <w:t>f the interviewee seems uncomfortable with the content of the questions</w:t>
      </w:r>
      <w:r w:rsidR="009554CF">
        <w:rPr>
          <w:rFonts w:ascii="Garamond" w:hAnsi="Garamond"/>
        </w:rPr>
        <w:t>,</w:t>
      </w:r>
      <w:r w:rsidR="00E2759C">
        <w:rPr>
          <w:rFonts w:ascii="Garamond" w:hAnsi="Garamond"/>
        </w:rPr>
        <w:t xml:space="preserve"> </w:t>
      </w:r>
      <w:r w:rsidR="003D1370">
        <w:rPr>
          <w:rFonts w:ascii="Garamond" w:hAnsi="Garamond"/>
        </w:rPr>
        <w:t>interviewers will reassure the</w:t>
      </w:r>
      <w:r w:rsidR="006D3D27">
        <w:rPr>
          <w:rFonts w:ascii="Garamond" w:hAnsi="Garamond"/>
        </w:rPr>
        <w:t xml:space="preserve"> adults</w:t>
      </w:r>
      <w:r w:rsidR="003D1370">
        <w:rPr>
          <w:rFonts w:ascii="Garamond" w:hAnsi="Garamond"/>
        </w:rPr>
        <w:t xml:space="preserve"> that their names will not be used in any reports and that </w:t>
      </w:r>
      <w:r w:rsidR="00B40DB8">
        <w:rPr>
          <w:rFonts w:ascii="Garamond" w:hAnsi="Garamond"/>
        </w:rPr>
        <w:t xml:space="preserve">their responses will </w:t>
      </w:r>
      <w:r w:rsidR="00C56A37">
        <w:rPr>
          <w:rFonts w:ascii="Garamond" w:hAnsi="Garamond"/>
        </w:rPr>
        <w:t>not affect</w:t>
      </w:r>
      <w:r w:rsidR="00B40DB8">
        <w:rPr>
          <w:rFonts w:ascii="Garamond" w:hAnsi="Garamond"/>
        </w:rPr>
        <w:t xml:space="preserve"> their current and future benefits </w:t>
      </w:r>
      <w:r w:rsidR="006D3D27">
        <w:rPr>
          <w:rFonts w:ascii="Garamond" w:hAnsi="Garamond"/>
        </w:rPr>
        <w:t xml:space="preserve">and remind children and adolescents that there will be no ramifications </w:t>
      </w:r>
      <w:r w:rsidR="00B40DB8">
        <w:rPr>
          <w:rFonts w:ascii="Garamond" w:hAnsi="Garamond"/>
        </w:rPr>
        <w:t xml:space="preserve">within their family. </w:t>
      </w:r>
    </w:p>
    <w:p w14:paraId="1A03D723" w14:textId="77777777" w:rsidR="00F20419" w:rsidRDefault="0073498D" w:rsidP="0073498D">
      <w:pPr>
        <w:pStyle w:val="Heading2"/>
        <w:spacing w:before="280" w:after="120"/>
      </w:pPr>
      <w:bookmarkStart w:id="9" w:name="_Toc493250729"/>
      <w:r>
        <w:t xml:space="preserve">B.3.3 </w:t>
      </w:r>
      <w:r w:rsidR="00EC6101" w:rsidRPr="007378E7">
        <w:t>Maximizing Response Rates</w:t>
      </w:r>
      <w:bookmarkEnd w:id="9"/>
    </w:p>
    <w:p w14:paraId="20611536" w14:textId="652069E7" w:rsidR="00F0670D" w:rsidRPr="00DE20B8" w:rsidRDefault="00866EEA" w:rsidP="00E67892">
      <w:pPr>
        <w:spacing w:after="240" w:line="252" w:lineRule="auto"/>
        <w:rPr>
          <w:rFonts w:ascii="Garamond" w:hAnsi="Garamond"/>
        </w:rPr>
      </w:pPr>
      <w:r w:rsidRPr="00DE20B8">
        <w:rPr>
          <w:rFonts w:ascii="Garamond" w:hAnsi="Garamond"/>
        </w:rPr>
        <w:t>The methodology of data collection is designed to maximize response rates.</w:t>
      </w:r>
      <w:r w:rsidR="00C2679E">
        <w:rPr>
          <w:rFonts w:ascii="Garamond" w:hAnsi="Garamond"/>
        </w:rPr>
        <w:t xml:space="preserve">  </w:t>
      </w:r>
      <w:r w:rsidRPr="00DE20B8">
        <w:rPr>
          <w:rFonts w:ascii="Garamond" w:hAnsi="Garamond"/>
        </w:rPr>
        <w:t>For instance,</w:t>
      </w:r>
      <w:r w:rsidR="00DE20B8" w:rsidRPr="00DE20B8">
        <w:rPr>
          <w:rFonts w:ascii="Garamond" w:hAnsi="Garamond"/>
        </w:rPr>
        <w:t xml:space="preserve"> the interview guides were developed with expert feedback </w:t>
      </w:r>
      <w:r w:rsidR="00496E40">
        <w:rPr>
          <w:rFonts w:ascii="Garamond" w:hAnsi="Garamond"/>
        </w:rPr>
        <w:t>and field tested</w:t>
      </w:r>
      <w:r w:rsidR="00247A46">
        <w:rPr>
          <w:rFonts w:ascii="Garamond" w:hAnsi="Garamond"/>
        </w:rPr>
        <w:t xml:space="preserve"> with fewer than 10 people</w:t>
      </w:r>
      <w:r w:rsidR="00496E40">
        <w:rPr>
          <w:rFonts w:ascii="Garamond" w:hAnsi="Garamond"/>
        </w:rPr>
        <w:t xml:space="preserve"> </w:t>
      </w:r>
      <w:r w:rsidR="00DE20B8" w:rsidRPr="00DE20B8">
        <w:rPr>
          <w:rFonts w:ascii="Garamond" w:hAnsi="Garamond"/>
        </w:rPr>
        <w:t>in order to ensure all questions are developmentally age-appropriate and easy for all participants to understand. In addition,</w:t>
      </w:r>
      <w:r w:rsidRPr="00DE20B8">
        <w:rPr>
          <w:rFonts w:ascii="Garamond" w:hAnsi="Garamond"/>
        </w:rPr>
        <w:t xml:space="preserve"> interviewers will be trained to make respondents comfortable with the interview process and learn how to probe appropriately when needed. </w:t>
      </w:r>
      <w:r w:rsidR="00DC3CBA" w:rsidRPr="00DE20B8">
        <w:rPr>
          <w:rFonts w:ascii="Garamond" w:hAnsi="Garamond"/>
        </w:rPr>
        <w:t xml:space="preserve">Additionally, participants will know up front what to expect from the interview before they are enrolled in the study. </w:t>
      </w:r>
      <w:r w:rsidR="00693BCE" w:rsidRPr="00DE20B8">
        <w:rPr>
          <w:rFonts w:ascii="Garamond" w:hAnsi="Garamond"/>
        </w:rPr>
        <w:t>Additionally</w:t>
      </w:r>
      <w:r w:rsidR="00DC3CBA" w:rsidRPr="00DE20B8">
        <w:rPr>
          <w:rFonts w:ascii="Garamond" w:hAnsi="Garamond"/>
        </w:rPr>
        <w:t>, o</w:t>
      </w:r>
      <w:r w:rsidR="00E67892" w:rsidRPr="00DE20B8">
        <w:rPr>
          <w:rFonts w:ascii="Garamond" w:hAnsi="Garamond"/>
        </w:rPr>
        <w:t xml:space="preserve">ffering </w:t>
      </w:r>
      <w:r w:rsidR="004C3940" w:rsidRPr="00DE20B8">
        <w:rPr>
          <w:rFonts w:ascii="Garamond" w:hAnsi="Garamond"/>
        </w:rPr>
        <w:t>incentives</w:t>
      </w:r>
      <w:r w:rsidR="00E67892" w:rsidRPr="00DE20B8">
        <w:rPr>
          <w:rFonts w:ascii="Garamond" w:hAnsi="Garamond"/>
        </w:rPr>
        <w:t xml:space="preserve"> to potential sample members can </w:t>
      </w:r>
      <w:r w:rsidR="00195F19" w:rsidRPr="00DE20B8">
        <w:rPr>
          <w:rFonts w:ascii="Garamond" w:hAnsi="Garamond"/>
        </w:rPr>
        <w:t>maximize response rates</w:t>
      </w:r>
      <w:r w:rsidR="00E67892" w:rsidRPr="00DE20B8">
        <w:rPr>
          <w:rFonts w:ascii="Garamond" w:hAnsi="Garamond"/>
        </w:rPr>
        <w:t>.</w:t>
      </w:r>
      <w:r w:rsidR="00B662D2">
        <w:rPr>
          <w:rFonts w:ascii="Garamond" w:hAnsi="Garamond"/>
        </w:rPr>
        <w:t xml:space="preserve"> </w:t>
      </w:r>
      <w:r w:rsidR="00DE20B8" w:rsidRPr="00DE20B8">
        <w:rPr>
          <w:rFonts w:ascii="Garamond" w:hAnsi="Garamond"/>
        </w:rPr>
        <w:t>Lastly, interviews will be scheduled at both a time and place convenient for participants, and interviewers will explain participants’ right to privacy upfront before beginning the interview.</w:t>
      </w:r>
      <w:r w:rsidR="00C2679E">
        <w:rPr>
          <w:rFonts w:ascii="Garamond" w:hAnsi="Garamond"/>
        </w:rPr>
        <w:t xml:space="preserve">  </w:t>
      </w:r>
    </w:p>
    <w:p w14:paraId="477774A2" w14:textId="77777777" w:rsidR="00F20419" w:rsidRDefault="00E05A0A" w:rsidP="0073498D">
      <w:pPr>
        <w:pStyle w:val="Heading1"/>
        <w:spacing w:before="320" w:after="120"/>
      </w:pPr>
      <w:bookmarkStart w:id="10" w:name="_Toc493250730"/>
      <w:r>
        <w:t>B</w:t>
      </w:r>
      <w:r w:rsidR="0073498D">
        <w:t>.4</w:t>
      </w:r>
      <w:r>
        <w:t xml:space="preserve"> Tests of Procedures or Methods to be Undertaken</w:t>
      </w:r>
      <w:bookmarkEnd w:id="10"/>
    </w:p>
    <w:p w14:paraId="4CC257A6" w14:textId="77777777" w:rsidR="00520A96" w:rsidRPr="00DE20B8" w:rsidRDefault="00520A96" w:rsidP="00520A96">
      <w:pPr>
        <w:spacing w:line="252" w:lineRule="auto"/>
        <w:ind w:firstLine="720"/>
        <w:rPr>
          <w:rFonts w:ascii="Garamond" w:hAnsi="Garamond"/>
        </w:rPr>
      </w:pPr>
    </w:p>
    <w:p w14:paraId="56A94B41" w14:textId="7B0C6A58" w:rsidR="00520A96" w:rsidRPr="00DE20B8" w:rsidRDefault="00520A96" w:rsidP="00D70E19">
      <w:pPr>
        <w:spacing w:line="252" w:lineRule="auto"/>
        <w:rPr>
          <w:rFonts w:ascii="Garamond" w:hAnsi="Garamond"/>
        </w:rPr>
      </w:pPr>
      <w:r w:rsidRPr="00DE20B8">
        <w:rPr>
          <w:rFonts w:ascii="Garamond" w:hAnsi="Garamond"/>
        </w:rPr>
        <w:t xml:space="preserve">Pretesting and piloting of </w:t>
      </w:r>
      <w:r w:rsidR="00C35BD9">
        <w:rPr>
          <w:rFonts w:ascii="Garamond" w:hAnsi="Garamond"/>
        </w:rPr>
        <w:t xml:space="preserve">nine or fewer </w:t>
      </w:r>
      <w:r w:rsidRPr="00DE20B8">
        <w:rPr>
          <w:rFonts w:ascii="Garamond" w:hAnsi="Garamond"/>
        </w:rPr>
        <w:t xml:space="preserve">child </w:t>
      </w:r>
      <w:r w:rsidR="00C35BD9">
        <w:rPr>
          <w:rFonts w:ascii="Garamond" w:hAnsi="Garamond"/>
        </w:rPr>
        <w:t>or</w:t>
      </w:r>
      <w:r w:rsidR="00C35BD9" w:rsidRPr="00DE20B8">
        <w:rPr>
          <w:rFonts w:ascii="Garamond" w:hAnsi="Garamond"/>
        </w:rPr>
        <w:t xml:space="preserve"> </w:t>
      </w:r>
      <w:r w:rsidRPr="00DE20B8">
        <w:rPr>
          <w:rFonts w:ascii="Garamond" w:hAnsi="Garamond"/>
        </w:rPr>
        <w:t>adolescent interviews will involve:</w:t>
      </w:r>
    </w:p>
    <w:p w14:paraId="37B8CF2F" w14:textId="77777777" w:rsidR="00520A96" w:rsidRPr="00DE20B8" w:rsidRDefault="00520A96" w:rsidP="00520A96">
      <w:pPr>
        <w:spacing w:line="252" w:lineRule="auto"/>
        <w:ind w:firstLine="720"/>
        <w:rPr>
          <w:rFonts w:ascii="Garamond" w:hAnsi="Garamond"/>
        </w:rPr>
      </w:pPr>
    </w:p>
    <w:p w14:paraId="47F11E5B" w14:textId="75AC6B19" w:rsidR="00520A96" w:rsidRPr="00DE20B8" w:rsidRDefault="00520A96" w:rsidP="00520A96">
      <w:pPr>
        <w:pStyle w:val="ListParagraph"/>
        <w:numPr>
          <w:ilvl w:val="0"/>
          <w:numId w:val="23"/>
        </w:numPr>
        <w:spacing w:line="252" w:lineRule="auto"/>
        <w:rPr>
          <w:rFonts w:ascii="Garamond" w:hAnsi="Garamond"/>
          <w:sz w:val="24"/>
          <w:szCs w:val="24"/>
        </w:rPr>
      </w:pPr>
      <w:r w:rsidRPr="00DE20B8">
        <w:rPr>
          <w:rFonts w:ascii="Garamond" w:hAnsi="Garamond"/>
          <w:sz w:val="24"/>
          <w:szCs w:val="24"/>
        </w:rPr>
        <w:t xml:space="preserve">A period of pre-testing with </w:t>
      </w:r>
      <w:r w:rsidR="00496E40">
        <w:rPr>
          <w:rFonts w:ascii="Garamond" w:hAnsi="Garamond"/>
          <w:sz w:val="24"/>
          <w:szCs w:val="24"/>
        </w:rPr>
        <w:t xml:space="preserve">three </w:t>
      </w:r>
      <w:r w:rsidRPr="00DE20B8">
        <w:rPr>
          <w:rFonts w:ascii="Garamond" w:hAnsi="Garamond"/>
          <w:sz w:val="24"/>
          <w:szCs w:val="24"/>
        </w:rPr>
        <w:t xml:space="preserve">children </w:t>
      </w:r>
      <w:r w:rsidR="002E12D6" w:rsidRPr="00DE20B8">
        <w:rPr>
          <w:rFonts w:ascii="Garamond" w:hAnsi="Garamond"/>
          <w:sz w:val="24"/>
          <w:szCs w:val="24"/>
        </w:rPr>
        <w:t xml:space="preserve">and </w:t>
      </w:r>
      <w:r w:rsidR="00496E40">
        <w:rPr>
          <w:rFonts w:ascii="Garamond" w:hAnsi="Garamond"/>
          <w:sz w:val="24"/>
          <w:szCs w:val="24"/>
        </w:rPr>
        <w:t xml:space="preserve">two </w:t>
      </w:r>
      <w:r w:rsidR="002E12D6" w:rsidRPr="00DE20B8">
        <w:rPr>
          <w:rFonts w:ascii="Garamond" w:hAnsi="Garamond"/>
          <w:sz w:val="24"/>
          <w:szCs w:val="24"/>
        </w:rPr>
        <w:t xml:space="preserve">adolescents </w:t>
      </w:r>
      <w:r w:rsidRPr="00DE20B8">
        <w:rPr>
          <w:rFonts w:ascii="Garamond" w:hAnsi="Garamond"/>
          <w:sz w:val="24"/>
          <w:szCs w:val="24"/>
        </w:rPr>
        <w:t xml:space="preserve">to inform modifications to the interview protocols. </w:t>
      </w:r>
    </w:p>
    <w:p w14:paraId="08267290" w14:textId="34065942" w:rsidR="00520A96" w:rsidRPr="00DE20B8" w:rsidRDefault="00520A96" w:rsidP="00520A96">
      <w:pPr>
        <w:pStyle w:val="ListParagraph"/>
        <w:numPr>
          <w:ilvl w:val="0"/>
          <w:numId w:val="23"/>
        </w:numPr>
        <w:spacing w:line="252" w:lineRule="auto"/>
        <w:rPr>
          <w:rFonts w:ascii="Garamond" w:hAnsi="Garamond"/>
          <w:sz w:val="24"/>
          <w:szCs w:val="24"/>
        </w:rPr>
      </w:pPr>
      <w:r w:rsidRPr="00DE20B8">
        <w:rPr>
          <w:rFonts w:ascii="Garamond" w:hAnsi="Garamond"/>
          <w:sz w:val="24"/>
          <w:szCs w:val="24"/>
        </w:rPr>
        <w:t>One round of pilot testing in the field</w:t>
      </w:r>
      <w:r w:rsidR="00496E40">
        <w:rPr>
          <w:rFonts w:ascii="Garamond" w:hAnsi="Garamond"/>
          <w:sz w:val="24"/>
          <w:szCs w:val="24"/>
        </w:rPr>
        <w:t xml:space="preserve"> at each of the three sites</w:t>
      </w:r>
      <w:r w:rsidRPr="00DE20B8">
        <w:rPr>
          <w:rFonts w:ascii="Garamond" w:hAnsi="Garamond"/>
          <w:sz w:val="24"/>
          <w:szCs w:val="24"/>
        </w:rPr>
        <w:t xml:space="preserve"> that will simultaneously be used for training purposes and to finalize the protocols</w:t>
      </w:r>
      <w:r w:rsidR="00C2679E">
        <w:rPr>
          <w:rFonts w:ascii="Garamond" w:hAnsi="Garamond"/>
          <w:sz w:val="24"/>
          <w:szCs w:val="24"/>
        </w:rPr>
        <w:t xml:space="preserve">  </w:t>
      </w:r>
    </w:p>
    <w:p w14:paraId="4605A833" w14:textId="77777777" w:rsidR="00520A96" w:rsidRPr="00DE20B8" w:rsidRDefault="00520A96" w:rsidP="00520A96">
      <w:pPr>
        <w:rPr>
          <w:rFonts w:ascii="Garamond" w:hAnsi="Garamond"/>
        </w:rPr>
      </w:pPr>
    </w:p>
    <w:p w14:paraId="7B2FE5AA" w14:textId="356D8AFE" w:rsidR="006D28D6" w:rsidRPr="006D28D6" w:rsidRDefault="00520A96" w:rsidP="006D28D6">
      <w:pPr>
        <w:pStyle w:val="CommentText"/>
        <w:rPr>
          <w:rFonts w:ascii="Garamond" w:hAnsi="Garamond"/>
          <w:sz w:val="24"/>
          <w:szCs w:val="24"/>
        </w:rPr>
      </w:pPr>
      <w:r w:rsidRPr="2482C030">
        <w:rPr>
          <w:rFonts w:ascii="Garamond" w:hAnsi="Garamond"/>
          <w:i/>
          <w:iCs/>
          <w:sz w:val="24"/>
          <w:szCs w:val="24"/>
        </w:rPr>
        <w:t>Pretesting:</w:t>
      </w:r>
      <w:r w:rsidR="00C2679E" w:rsidRPr="2482C030">
        <w:rPr>
          <w:rFonts w:ascii="Garamond" w:hAnsi="Garamond"/>
          <w:i/>
          <w:iCs/>
          <w:sz w:val="24"/>
          <w:szCs w:val="24"/>
        </w:rPr>
        <w:t xml:space="preserve">  </w:t>
      </w:r>
      <w:r w:rsidRPr="006D28D6">
        <w:rPr>
          <w:rFonts w:ascii="Garamond" w:hAnsi="Garamond"/>
          <w:sz w:val="24"/>
          <w:szCs w:val="24"/>
        </w:rPr>
        <w:t>Pretesting activities</w:t>
      </w:r>
      <w:r w:rsidR="005D6217" w:rsidRPr="006D28D6">
        <w:rPr>
          <w:rFonts w:ascii="Garamond" w:hAnsi="Garamond"/>
          <w:sz w:val="24"/>
          <w:szCs w:val="24"/>
        </w:rPr>
        <w:t xml:space="preserve"> have been completed and</w:t>
      </w:r>
      <w:r w:rsidRPr="006D28D6">
        <w:rPr>
          <w:rFonts w:ascii="Garamond" w:hAnsi="Garamond"/>
          <w:sz w:val="24"/>
          <w:szCs w:val="24"/>
        </w:rPr>
        <w:t xml:space="preserve"> include</w:t>
      </w:r>
      <w:r w:rsidR="00B63070" w:rsidRPr="006D28D6">
        <w:rPr>
          <w:rFonts w:ascii="Garamond" w:hAnsi="Garamond"/>
          <w:sz w:val="24"/>
          <w:szCs w:val="24"/>
        </w:rPr>
        <w:t>d</w:t>
      </w:r>
      <w:r w:rsidRPr="006D28D6">
        <w:rPr>
          <w:rFonts w:ascii="Garamond" w:hAnsi="Garamond"/>
          <w:sz w:val="24"/>
          <w:szCs w:val="24"/>
        </w:rPr>
        <w:t xml:space="preserve"> practice administration of the interview protocols conducted with </w:t>
      </w:r>
      <w:r w:rsidR="00A95A45">
        <w:rPr>
          <w:rFonts w:ascii="Garamond" w:hAnsi="Garamond"/>
          <w:sz w:val="24"/>
          <w:szCs w:val="24"/>
        </w:rPr>
        <w:t>three</w:t>
      </w:r>
      <w:r w:rsidR="006D28D6" w:rsidRPr="006D28D6">
        <w:rPr>
          <w:rFonts w:ascii="Garamond" w:hAnsi="Garamond"/>
          <w:sz w:val="24"/>
          <w:szCs w:val="24"/>
        </w:rPr>
        <w:t xml:space="preserve"> </w:t>
      </w:r>
      <w:r w:rsidRPr="006D28D6">
        <w:rPr>
          <w:rFonts w:ascii="Garamond" w:hAnsi="Garamond"/>
          <w:sz w:val="24"/>
          <w:szCs w:val="24"/>
        </w:rPr>
        <w:t xml:space="preserve">children and </w:t>
      </w:r>
      <w:r w:rsidR="00A95A45">
        <w:rPr>
          <w:rFonts w:ascii="Garamond" w:hAnsi="Garamond"/>
          <w:sz w:val="24"/>
          <w:szCs w:val="24"/>
        </w:rPr>
        <w:t>two</w:t>
      </w:r>
      <w:r w:rsidR="006D28D6" w:rsidRPr="006D28D6">
        <w:rPr>
          <w:rFonts w:ascii="Garamond" w:hAnsi="Garamond"/>
          <w:sz w:val="24"/>
          <w:szCs w:val="24"/>
        </w:rPr>
        <w:t xml:space="preserve"> </w:t>
      </w:r>
      <w:r w:rsidRPr="006D28D6">
        <w:rPr>
          <w:rFonts w:ascii="Garamond" w:hAnsi="Garamond"/>
          <w:sz w:val="24"/>
          <w:szCs w:val="24"/>
        </w:rPr>
        <w:t>adolescents of similar ages and backgrounds to the study participants</w:t>
      </w:r>
      <w:r w:rsidR="006D28D6" w:rsidRPr="006D28D6">
        <w:rPr>
          <w:rFonts w:ascii="Garamond" w:hAnsi="Garamond"/>
          <w:sz w:val="24"/>
          <w:szCs w:val="24"/>
        </w:rPr>
        <w:t>.</w:t>
      </w:r>
      <w:r w:rsidR="006A7B41">
        <w:rPr>
          <w:rFonts w:ascii="Garamond" w:hAnsi="Garamond"/>
          <w:sz w:val="24"/>
          <w:szCs w:val="24"/>
        </w:rPr>
        <w:t xml:space="preserve"> Four of the five</w:t>
      </w:r>
      <w:r w:rsidR="006D28D6">
        <w:rPr>
          <w:rFonts w:ascii="Garamond" w:hAnsi="Garamond"/>
          <w:sz w:val="24"/>
          <w:szCs w:val="24"/>
        </w:rPr>
        <w:t xml:space="preserve"> interviews occurred within the expected amount of time</w:t>
      </w:r>
      <w:r w:rsidR="006A7B41">
        <w:rPr>
          <w:rFonts w:ascii="Garamond" w:hAnsi="Garamond"/>
          <w:sz w:val="24"/>
          <w:szCs w:val="24"/>
        </w:rPr>
        <w:t xml:space="preserve">. One </w:t>
      </w:r>
      <w:r w:rsidR="006D28D6">
        <w:rPr>
          <w:rFonts w:ascii="Garamond" w:hAnsi="Garamond"/>
          <w:sz w:val="24"/>
          <w:szCs w:val="24"/>
        </w:rPr>
        <w:t>child interview lasted approximately 45 minutes.</w:t>
      </w:r>
      <w:r w:rsidR="006D28D6" w:rsidRPr="006D28D6">
        <w:rPr>
          <w:rFonts w:ascii="Garamond" w:hAnsi="Garamond"/>
          <w:sz w:val="24"/>
          <w:szCs w:val="24"/>
        </w:rPr>
        <w:t xml:space="preserve"> </w:t>
      </w:r>
      <w:r w:rsidR="006D28D6">
        <w:rPr>
          <w:rFonts w:ascii="Garamond" w:hAnsi="Garamond"/>
          <w:sz w:val="24"/>
          <w:szCs w:val="24"/>
        </w:rPr>
        <w:t xml:space="preserve">To ensure that interviews last the planned amount of time, </w:t>
      </w:r>
      <w:r w:rsidR="00A43628">
        <w:rPr>
          <w:rFonts w:ascii="Garamond" w:hAnsi="Garamond"/>
          <w:sz w:val="24"/>
          <w:szCs w:val="24"/>
        </w:rPr>
        <w:t>the research team</w:t>
      </w:r>
      <w:r w:rsidR="006D28D6" w:rsidRPr="006D28D6">
        <w:rPr>
          <w:rFonts w:ascii="Garamond" w:hAnsi="Garamond"/>
          <w:sz w:val="24"/>
          <w:szCs w:val="24"/>
        </w:rPr>
        <w:t xml:space="preserve"> will focus on training interviewers to</w:t>
      </w:r>
      <w:r w:rsidR="006D28D6">
        <w:rPr>
          <w:rFonts w:ascii="Garamond" w:hAnsi="Garamond"/>
          <w:sz w:val="24"/>
          <w:szCs w:val="24"/>
        </w:rPr>
        <w:t xml:space="preserve"> manage the flow of the conversation and</w:t>
      </w:r>
      <w:r w:rsidR="006D28D6" w:rsidRPr="006D28D6">
        <w:rPr>
          <w:rFonts w:ascii="Garamond" w:hAnsi="Garamond"/>
          <w:sz w:val="24"/>
          <w:szCs w:val="24"/>
        </w:rPr>
        <w:t xml:space="preserve"> find a balance between </w:t>
      </w:r>
      <w:r w:rsidR="00C22BCD">
        <w:rPr>
          <w:rFonts w:ascii="Garamond" w:hAnsi="Garamond"/>
          <w:sz w:val="24"/>
          <w:szCs w:val="24"/>
        </w:rPr>
        <w:t>focusing on</w:t>
      </w:r>
      <w:r w:rsidR="006D28D6" w:rsidRPr="006D28D6">
        <w:rPr>
          <w:rFonts w:ascii="Garamond" w:hAnsi="Garamond"/>
          <w:sz w:val="24"/>
          <w:szCs w:val="24"/>
        </w:rPr>
        <w:t xml:space="preserve"> core questions</w:t>
      </w:r>
      <w:r w:rsidR="2482C030" w:rsidRPr="00096CBA">
        <w:rPr>
          <w:rFonts w:ascii="Garamond" w:hAnsi="Garamond"/>
          <w:sz w:val="24"/>
          <w:szCs w:val="24"/>
        </w:rPr>
        <w:t xml:space="preserve"> </w:t>
      </w:r>
      <w:r w:rsidR="00E24C07">
        <w:rPr>
          <w:rFonts w:ascii="Garamond" w:hAnsi="Garamond"/>
          <w:sz w:val="24"/>
          <w:szCs w:val="24"/>
        </w:rPr>
        <w:t>and</w:t>
      </w:r>
      <w:r w:rsidR="006D28D6" w:rsidRPr="006D28D6">
        <w:rPr>
          <w:rFonts w:ascii="Garamond" w:hAnsi="Garamond"/>
          <w:sz w:val="24"/>
          <w:szCs w:val="24"/>
        </w:rPr>
        <w:t xml:space="preserve"> </w:t>
      </w:r>
      <w:r w:rsidR="00A43628">
        <w:rPr>
          <w:rFonts w:ascii="Garamond" w:hAnsi="Garamond"/>
          <w:sz w:val="24"/>
          <w:szCs w:val="24"/>
        </w:rPr>
        <w:t xml:space="preserve">probing for </w:t>
      </w:r>
      <w:r w:rsidR="006D28D6" w:rsidRPr="006D28D6">
        <w:rPr>
          <w:rFonts w:ascii="Garamond" w:hAnsi="Garamond"/>
          <w:sz w:val="24"/>
          <w:szCs w:val="24"/>
        </w:rPr>
        <w:t>additional in</w:t>
      </w:r>
      <w:r w:rsidR="2482C030" w:rsidRPr="006D28D6">
        <w:rPr>
          <w:rFonts w:ascii="Garamond" w:hAnsi="Garamond"/>
          <w:sz w:val="24"/>
          <w:szCs w:val="24"/>
        </w:rPr>
        <w:t>-</w:t>
      </w:r>
      <w:r w:rsidR="006D28D6" w:rsidRPr="006D28D6">
        <w:rPr>
          <w:rFonts w:ascii="Garamond" w:hAnsi="Garamond"/>
          <w:sz w:val="24"/>
          <w:szCs w:val="24"/>
        </w:rPr>
        <w:t>depth information</w:t>
      </w:r>
      <w:r w:rsidR="006D28D6">
        <w:rPr>
          <w:rFonts w:ascii="Garamond" w:hAnsi="Garamond"/>
          <w:sz w:val="24"/>
          <w:szCs w:val="24"/>
        </w:rPr>
        <w:t>.</w:t>
      </w:r>
    </w:p>
    <w:p w14:paraId="79105478" w14:textId="77777777" w:rsidR="00520A96" w:rsidRPr="00DE20B8" w:rsidRDefault="00520A96" w:rsidP="00520A96">
      <w:pPr>
        <w:rPr>
          <w:rFonts w:ascii="Garamond" w:hAnsi="Garamond"/>
        </w:rPr>
      </w:pPr>
    </w:p>
    <w:p w14:paraId="02856A98" w14:textId="5B519BC7" w:rsidR="00520A96" w:rsidRPr="00DE20B8" w:rsidRDefault="00520A96" w:rsidP="00D70E19">
      <w:pPr>
        <w:spacing w:line="252" w:lineRule="auto"/>
        <w:rPr>
          <w:rFonts w:ascii="Garamond" w:hAnsi="Garamond"/>
        </w:rPr>
      </w:pPr>
      <w:r w:rsidRPr="3F74967B">
        <w:rPr>
          <w:rFonts w:ascii="Garamond" w:hAnsi="Garamond"/>
          <w:i/>
          <w:iCs/>
        </w:rPr>
        <w:t xml:space="preserve">Piloting: </w:t>
      </w:r>
      <w:r w:rsidRPr="00DE20B8">
        <w:rPr>
          <w:rFonts w:ascii="Garamond" w:hAnsi="Garamond"/>
        </w:rPr>
        <w:t xml:space="preserve">Once the child interviews are deemed to be near final in content, structure, and length, we will conduct a final round of pilot testing (one interview per interviewer) that will simultaneously serve to help train and certify individuals who will be fielding the child and adolescent interviews and to finalize the content of the interviewer procedures manual. </w:t>
      </w:r>
    </w:p>
    <w:p w14:paraId="53570B61" w14:textId="7464BD35" w:rsidR="00520A96" w:rsidRPr="00DE20B8" w:rsidRDefault="00520A96" w:rsidP="00520A96">
      <w:pPr>
        <w:rPr>
          <w:rFonts w:ascii="Garamond" w:hAnsi="Garamond"/>
        </w:rPr>
      </w:pPr>
    </w:p>
    <w:p w14:paraId="57BB9A9B" w14:textId="77AF1D99" w:rsidR="00DE20B8" w:rsidRPr="00DE20B8" w:rsidRDefault="00DE20B8" w:rsidP="00520A96">
      <w:pPr>
        <w:rPr>
          <w:rFonts w:ascii="Garamond" w:hAnsi="Garamond"/>
        </w:rPr>
      </w:pPr>
      <w:r w:rsidRPr="00DE20B8">
        <w:rPr>
          <w:rFonts w:ascii="Garamond" w:hAnsi="Garamond"/>
        </w:rPr>
        <w:t xml:space="preserve">The number of individuals participating in pretesting and piloting prior to the study receiving OMB approval will not exceed </w:t>
      </w:r>
      <w:r w:rsidR="00E4335A">
        <w:rPr>
          <w:rFonts w:ascii="Garamond" w:hAnsi="Garamond"/>
        </w:rPr>
        <w:t>nine</w:t>
      </w:r>
      <w:r w:rsidRPr="00DE20B8">
        <w:rPr>
          <w:rFonts w:ascii="Garamond" w:hAnsi="Garamond"/>
        </w:rPr>
        <w:t xml:space="preserve"> per Paperwork Reduction Act guidelines. </w:t>
      </w:r>
      <w:r w:rsidR="00247A46">
        <w:rPr>
          <w:rFonts w:ascii="Garamond" w:hAnsi="Garamond"/>
        </w:rPr>
        <w:t xml:space="preserve">If necessary changes are identified to interviews, updated materials will be provided to OMB for review and approval prior to use in the field. </w:t>
      </w:r>
      <w:r w:rsidR="00775D02">
        <w:rPr>
          <w:rFonts w:ascii="Garamond" w:hAnsi="Garamond"/>
        </w:rPr>
        <w:t xml:space="preserve">We will discuss with OMB/OIRA if these changes can be made through a nonsubstantive change request. </w:t>
      </w:r>
    </w:p>
    <w:p w14:paraId="4D5C70FD" w14:textId="770A159D" w:rsidR="00E05A0A" w:rsidRDefault="00E05A0A" w:rsidP="0073498D">
      <w:pPr>
        <w:pStyle w:val="Heading1"/>
        <w:spacing w:before="320" w:after="120"/>
      </w:pPr>
      <w:bookmarkStart w:id="11" w:name="_Toc493250731"/>
      <w:r>
        <w:t>B</w:t>
      </w:r>
      <w:r w:rsidR="0073498D">
        <w:t>.5 Indi</w:t>
      </w:r>
      <w:r>
        <w:t>vidual</w:t>
      </w:r>
      <w:r w:rsidR="00E5351D">
        <w:t>s</w:t>
      </w:r>
      <w:r>
        <w:t xml:space="preserve"> Consulted on Statistical Aspects and Individuals Collecting and/or Analyzing Data</w:t>
      </w:r>
      <w:bookmarkEnd w:id="11"/>
    </w:p>
    <w:p w14:paraId="0A81F94B" w14:textId="249DEF66" w:rsidR="00FE1C8E" w:rsidRPr="00DE20B8" w:rsidRDefault="00690968" w:rsidP="0073498D">
      <w:pPr>
        <w:rPr>
          <w:rFonts w:ascii="Garamond" w:hAnsi="Garamond"/>
        </w:rPr>
      </w:pPr>
      <w:r w:rsidRPr="00DE20B8">
        <w:rPr>
          <w:rFonts w:ascii="Garamond" w:hAnsi="Garamond"/>
        </w:rPr>
        <w:t>Exhibit B-</w:t>
      </w:r>
      <w:r w:rsidR="006B32DF" w:rsidRPr="00DE20B8">
        <w:rPr>
          <w:rFonts w:ascii="Garamond" w:hAnsi="Garamond"/>
        </w:rPr>
        <w:t xml:space="preserve">1 </w:t>
      </w:r>
      <w:r w:rsidRPr="00DE20B8">
        <w:rPr>
          <w:rFonts w:ascii="Garamond" w:hAnsi="Garamond"/>
        </w:rPr>
        <w:t>lists individuals who contributed to the design of the interview</w:t>
      </w:r>
      <w:r w:rsidR="00195F19" w:rsidRPr="00DE20B8">
        <w:rPr>
          <w:rFonts w:ascii="Garamond" w:hAnsi="Garamond"/>
        </w:rPr>
        <w:t xml:space="preserve"> guide</w:t>
      </w:r>
      <w:r w:rsidRPr="00DE20B8">
        <w:rPr>
          <w:rFonts w:ascii="Garamond" w:hAnsi="Garamond"/>
        </w:rPr>
        <w:t>s</w:t>
      </w:r>
      <w:r w:rsidR="00AD2C6B" w:rsidRPr="00DE20B8">
        <w:rPr>
          <w:rFonts w:ascii="Garamond" w:hAnsi="Garamond"/>
        </w:rPr>
        <w:t xml:space="preserve"> and</w:t>
      </w:r>
      <w:r w:rsidR="00E90743" w:rsidRPr="00DE20B8">
        <w:rPr>
          <w:rFonts w:ascii="Garamond" w:hAnsi="Garamond"/>
        </w:rPr>
        <w:t>/or</w:t>
      </w:r>
      <w:r w:rsidR="00AD2C6B" w:rsidRPr="00DE20B8">
        <w:rPr>
          <w:rFonts w:ascii="Garamond" w:hAnsi="Garamond"/>
        </w:rPr>
        <w:t xml:space="preserve"> </w:t>
      </w:r>
      <w:r w:rsidRPr="00DE20B8">
        <w:rPr>
          <w:rFonts w:ascii="Garamond" w:hAnsi="Garamond"/>
        </w:rPr>
        <w:t xml:space="preserve">will be responsible for collecting and analyzing data. </w:t>
      </w:r>
    </w:p>
    <w:p w14:paraId="3745742F" w14:textId="77777777" w:rsidR="00690968" w:rsidRPr="00AD2C6B" w:rsidRDefault="00690968" w:rsidP="0073498D"/>
    <w:p w14:paraId="3C69873F" w14:textId="4A29434C" w:rsidR="005448D2" w:rsidRPr="00A34E22" w:rsidRDefault="00690968" w:rsidP="0073498D">
      <w:pPr>
        <w:rPr>
          <w:rFonts w:ascii="Calibri" w:hAnsi="Calibri"/>
          <w:b/>
        </w:rPr>
      </w:pPr>
      <w:r w:rsidRPr="00F74F04">
        <w:rPr>
          <w:rFonts w:ascii="Calibri" w:hAnsi="Calibri"/>
          <w:b/>
        </w:rPr>
        <w:t>Exhibit B-</w:t>
      </w:r>
      <w:r w:rsidR="006B32DF">
        <w:rPr>
          <w:rFonts w:ascii="Calibri" w:hAnsi="Calibri"/>
          <w:b/>
        </w:rPr>
        <w:t>1</w:t>
      </w:r>
      <w:r w:rsidRPr="00F74F04">
        <w:rPr>
          <w:rFonts w:ascii="Calibri" w:hAnsi="Calibri"/>
          <w:b/>
        </w:rPr>
        <w:t xml:space="preserve">: Individuals Involved in </w:t>
      </w:r>
      <w:r w:rsidR="00553A3D">
        <w:rPr>
          <w:rFonts w:ascii="Calibri" w:hAnsi="Calibri"/>
          <w:b/>
        </w:rPr>
        <w:t xml:space="preserve">Instrument Development and </w:t>
      </w:r>
      <w:r w:rsidRPr="00F74F04">
        <w:rPr>
          <w:rFonts w:ascii="Calibri" w:hAnsi="Calibri"/>
          <w:b/>
        </w:rPr>
        <w:t xml:space="preserve">Data </w:t>
      </w:r>
      <w:r w:rsidR="00AD2C6B">
        <w:rPr>
          <w:rFonts w:ascii="Calibri" w:hAnsi="Calibri"/>
          <w:b/>
        </w:rPr>
        <w:t>Collection/</w:t>
      </w:r>
      <w:r w:rsidRPr="00F74F04">
        <w:rPr>
          <w:rFonts w:ascii="Calibri" w:hAnsi="Calibri"/>
          <w:b/>
        </w:rPr>
        <w:t xml:space="preserve">Analysis </w:t>
      </w:r>
    </w:p>
    <w:p w14:paraId="0015236F" w14:textId="2BEF6996" w:rsidR="00690968" w:rsidRPr="00F74F04" w:rsidRDefault="00690968" w:rsidP="0073498D">
      <w:pPr>
        <w:rPr>
          <w:rFonts w:ascii="Calibri" w:hAnsi="Calibri"/>
          <w:b/>
        </w:rPr>
      </w:pPr>
      <w:r w:rsidRPr="00F74F04">
        <w:rPr>
          <w:rFonts w:ascii="Calibri" w:hAnsi="Calibri"/>
          <w:b/>
        </w:rPr>
        <w:t xml:space="preserve"> </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68"/>
        <w:gridCol w:w="3511"/>
        <w:gridCol w:w="3396"/>
      </w:tblGrid>
      <w:tr w:rsidR="00690968" w:rsidRPr="00B52FE9" w14:paraId="36087635" w14:textId="77777777" w:rsidTr="2482C030">
        <w:trPr>
          <w:tblHeader/>
          <w:jc w:val="center"/>
        </w:trPr>
        <w:tc>
          <w:tcPr>
            <w:tcW w:w="1355" w:type="pct"/>
            <w:shd w:val="clear" w:color="auto" w:fill="1E4F5C"/>
          </w:tcPr>
          <w:p w14:paraId="45FD108C" w14:textId="77777777" w:rsidR="00690968" w:rsidRPr="00F74F04" w:rsidRDefault="00690968" w:rsidP="00D843C8">
            <w:pPr>
              <w:pStyle w:val="ExhibitColumnHeader"/>
              <w:rPr>
                <w:rFonts w:ascii="Calibri" w:hAnsi="Calibri"/>
                <w:color w:val="FFFFFF"/>
              </w:rPr>
            </w:pPr>
            <w:r w:rsidRPr="00F74F04">
              <w:rPr>
                <w:rFonts w:ascii="Calibri" w:hAnsi="Calibri"/>
              </w:rPr>
              <w:br w:type="page"/>
            </w:r>
            <w:r w:rsidRPr="00F74F04">
              <w:rPr>
                <w:rFonts w:ascii="Calibri" w:hAnsi="Calibri"/>
                <w:color w:val="FFFFFF"/>
              </w:rPr>
              <w:t>Individual</w:t>
            </w:r>
          </w:p>
        </w:tc>
        <w:tc>
          <w:tcPr>
            <w:tcW w:w="1853" w:type="pct"/>
            <w:shd w:val="clear" w:color="auto" w:fill="1E4F5C"/>
          </w:tcPr>
          <w:p w14:paraId="18709FAF" w14:textId="77777777" w:rsidR="00690968" w:rsidRPr="00F74F04" w:rsidRDefault="00690968" w:rsidP="00D843C8">
            <w:pPr>
              <w:pStyle w:val="ExhibitColumnHeader"/>
              <w:rPr>
                <w:rFonts w:ascii="Calibri" w:hAnsi="Calibri"/>
                <w:color w:val="FFFFFF"/>
              </w:rPr>
            </w:pPr>
            <w:r w:rsidRPr="00F74F04">
              <w:rPr>
                <w:rFonts w:ascii="Calibri" w:hAnsi="Calibri"/>
                <w:color w:val="FFFFFF"/>
              </w:rPr>
              <w:t>Affiliation</w:t>
            </w:r>
          </w:p>
        </w:tc>
        <w:tc>
          <w:tcPr>
            <w:tcW w:w="1792" w:type="pct"/>
            <w:shd w:val="clear" w:color="auto" w:fill="1E4F5C"/>
          </w:tcPr>
          <w:p w14:paraId="33AAAF01" w14:textId="77777777" w:rsidR="00690968" w:rsidRPr="00F74F04" w:rsidRDefault="00690968" w:rsidP="00D843C8">
            <w:pPr>
              <w:pStyle w:val="ExhibitColumnHeader"/>
              <w:rPr>
                <w:rFonts w:ascii="Calibri" w:hAnsi="Calibri"/>
                <w:color w:val="FFFFFF"/>
              </w:rPr>
            </w:pPr>
            <w:r w:rsidRPr="00F74F04">
              <w:rPr>
                <w:rFonts w:ascii="Calibri" w:hAnsi="Calibri"/>
                <w:color w:val="FFFFFF"/>
              </w:rPr>
              <w:t>Role in Study</w:t>
            </w:r>
          </w:p>
        </w:tc>
      </w:tr>
      <w:tr w:rsidR="00AD2C6B" w:rsidRPr="00AD2C6B" w14:paraId="49AE0ACA" w14:textId="77777777" w:rsidTr="2482C030">
        <w:trPr>
          <w:cantSplit/>
          <w:jc w:val="center"/>
        </w:trPr>
        <w:tc>
          <w:tcPr>
            <w:tcW w:w="1355" w:type="pct"/>
          </w:tcPr>
          <w:p w14:paraId="7B2A0C39" w14:textId="62F08994" w:rsidR="00AD2C6B" w:rsidRDefault="00AD2C6B" w:rsidP="00AD2C6B">
            <w:pPr>
              <w:pStyle w:val="Exhibit"/>
              <w:rPr>
                <w:rFonts w:ascii="Calibri" w:hAnsi="Calibri"/>
                <w:szCs w:val="18"/>
              </w:rPr>
            </w:pPr>
            <w:r>
              <w:rPr>
                <w:rFonts w:ascii="Calibri" w:hAnsi="Calibri" w:cs="Calibri"/>
                <w:szCs w:val="18"/>
              </w:rPr>
              <w:t>Susan Clampet-Lundquist</w:t>
            </w:r>
          </w:p>
        </w:tc>
        <w:tc>
          <w:tcPr>
            <w:tcW w:w="1853" w:type="pct"/>
          </w:tcPr>
          <w:p w14:paraId="1723E2A4" w14:textId="40DACEDA" w:rsidR="00AD2C6B" w:rsidRDefault="00AD2C6B" w:rsidP="00AD2C6B">
            <w:pPr>
              <w:pStyle w:val="Exhibit"/>
              <w:rPr>
                <w:rFonts w:ascii="Calibri" w:hAnsi="Calibri"/>
                <w:szCs w:val="18"/>
              </w:rPr>
            </w:pPr>
            <w:r>
              <w:rPr>
                <w:rFonts w:ascii="Calibri" w:hAnsi="Calibri" w:cs="Calibri"/>
                <w:szCs w:val="18"/>
              </w:rPr>
              <w:t>St. Joseph’s University</w:t>
            </w:r>
          </w:p>
        </w:tc>
        <w:tc>
          <w:tcPr>
            <w:tcW w:w="1792" w:type="pct"/>
          </w:tcPr>
          <w:p w14:paraId="56BA71D6" w14:textId="253E641A" w:rsidR="00AD2C6B" w:rsidRDefault="00AD2C6B" w:rsidP="00AD2C6B">
            <w:pPr>
              <w:pStyle w:val="Exhibit"/>
              <w:rPr>
                <w:rFonts w:ascii="Calibri" w:hAnsi="Calibri"/>
                <w:szCs w:val="18"/>
              </w:rPr>
            </w:pPr>
            <w:r>
              <w:rPr>
                <w:rFonts w:ascii="Calibri" w:hAnsi="Calibri"/>
                <w:szCs w:val="18"/>
              </w:rPr>
              <w:t>Consultant</w:t>
            </w:r>
          </w:p>
        </w:tc>
      </w:tr>
      <w:tr w:rsidR="00AD2C6B" w:rsidRPr="00AD2C6B" w14:paraId="56E703CE" w14:textId="77777777" w:rsidTr="2482C030">
        <w:trPr>
          <w:cantSplit/>
          <w:jc w:val="center"/>
        </w:trPr>
        <w:tc>
          <w:tcPr>
            <w:tcW w:w="1355" w:type="pct"/>
          </w:tcPr>
          <w:p w14:paraId="575AC9BE" w14:textId="2CD138CD" w:rsidR="00AD2C6B" w:rsidRDefault="00AD2C6B" w:rsidP="00AD2C6B">
            <w:pPr>
              <w:pStyle w:val="Exhibit"/>
              <w:rPr>
                <w:rFonts w:ascii="Calibri" w:hAnsi="Calibri"/>
                <w:szCs w:val="18"/>
              </w:rPr>
            </w:pPr>
            <w:r>
              <w:rPr>
                <w:rFonts w:ascii="Calibri" w:hAnsi="Calibri"/>
                <w:szCs w:val="18"/>
              </w:rPr>
              <w:t>Kathy Grant</w:t>
            </w:r>
          </w:p>
        </w:tc>
        <w:tc>
          <w:tcPr>
            <w:tcW w:w="1853" w:type="pct"/>
          </w:tcPr>
          <w:p w14:paraId="50FA6499" w14:textId="717CCC7D" w:rsidR="00AD2C6B" w:rsidRDefault="00AD2C6B" w:rsidP="00AD2C6B">
            <w:pPr>
              <w:pStyle w:val="Exhibit"/>
              <w:rPr>
                <w:rFonts w:ascii="Calibri" w:hAnsi="Calibri"/>
                <w:szCs w:val="18"/>
              </w:rPr>
            </w:pPr>
            <w:r>
              <w:rPr>
                <w:rFonts w:ascii="Calibri" w:hAnsi="Calibri"/>
                <w:szCs w:val="18"/>
              </w:rPr>
              <w:t xml:space="preserve">Depaul Universtiy </w:t>
            </w:r>
          </w:p>
        </w:tc>
        <w:tc>
          <w:tcPr>
            <w:tcW w:w="1792" w:type="pct"/>
          </w:tcPr>
          <w:p w14:paraId="30F234F9" w14:textId="5BBDC434" w:rsidR="00AD2C6B" w:rsidRDefault="00AD2C6B" w:rsidP="00AD2C6B">
            <w:pPr>
              <w:pStyle w:val="Exhibit"/>
              <w:rPr>
                <w:rFonts w:ascii="Calibri" w:hAnsi="Calibri"/>
                <w:szCs w:val="18"/>
              </w:rPr>
            </w:pPr>
            <w:r>
              <w:rPr>
                <w:rFonts w:ascii="Calibri" w:hAnsi="Calibri"/>
                <w:szCs w:val="18"/>
              </w:rPr>
              <w:t>Consultant</w:t>
            </w:r>
          </w:p>
        </w:tc>
      </w:tr>
      <w:tr w:rsidR="00AD2C6B" w:rsidRPr="00AD2C6B" w14:paraId="76682880" w14:textId="77777777" w:rsidTr="2482C030">
        <w:trPr>
          <w:cantSplit/>
          <w:jc w:val="center"/>
        </w:trPr>
        <w:tc>
          <w:tcPr>
            <w:tcW w:w="1355" w:type="pct"/>
          </w:tcPr>
          <w:p w14:paraId="483C696B" w14:textId="1A1CF534" w:rsidR="00AD2C6B" w:rsidRDefault="00AD2C6B" w:rsidP="00AD2C6B">
            <w:pPr>
              <w:pStyle w:val="Exhibit"/>
              <w:rPr>
                <w:rFonts w:ascii="Calibri" w:hAnsi="Calibri"/>
                <w:szCs w:val="18"/>
              </w:rPr>
            </w:pPr>
            <w:r>
              <w:rPr>
                <w:rFonts w:ascii="Calibri" w:hAnsi="Calibri"/>
                <w:szCs w:val="18"/>
              </w:rPr>
              <w:t xml:space="preserve">Katherine Griffin </w:t>
            </w:r>
          </w:p>
        </w:tc>
        <w:tc>
          <w:tcPr>
            <w:tcW w:w="1853" w:type="pct"/>
          </w:tcPr>
          <w:p w14:paraId="50A5010A" w14:textId="63F79E76" w:rsidR="00AD2C6B" w:rsidRDefault="00AD2C6B" w:rsidP="00AD2C6B">
            <w:pPr>
              <w:pStyle w:val="Exhibit"/>
              <w:rPr>
                <w:rFonts w:ascii="Calibri" w:hAnsi="Calibri"/>
                <w:szCs w:val="18"/>
              </w:rPr>
            </w:pPr>
            <w:r>
              <w:rPr>
                <w:rFonts w:ascii="Calibri" w:hAnsi="Calibri"/>
                <w:szCs w:val="18"/>
              </w:rPr>
              <w:t>UCLA</w:t>
            </w:r>
          </w:p>
        </w:tc>
        <w:tc>
          <w:tcPr>
            <w:tcW w:w="1792" w:type="pct"/>
          </w:tcPr>
          <w:p w14:paraId="6525CE4C" w14:textId="2D86F527" w:rsidR="00AD2C6B" w:rsidRDefault="00AD2C6B" w:rsidP="00AD2C6B">
            <w:pPr>
              <w:pStyle w:val="Exhibit"/>
              <w:rPr>
                <w:rFonts w:ascii="Calibri" w:hAnsi="Calibri"/>
                <w:szCs w:val="18"/>
              </w:rPr>
            </w:pPr>
            <w:r>
              <w:rPr>
                <w:rFonts w:ascii="Calibri" w:hAnsi="Calibri"/>
                <w:szCs w:val="18"/>
              </w:rPr>
              <w:t>Consultant</w:t>
            </w:r>
          </w:p>
        </w:tc>
      </w:tr>
      <w:tr w:rsidR="00AD2C6B" w:rsidRPr="00AD2C6B" w14:paraId="724AFBCA" w14:textId="77777777" w:rsidTr="2482C030">
        <w:trPr>
          <w:cantSplit/>
          <w:jc w:val="center"/>
        </w:trPr>
        <w:tc>
          <w:tcPr>
            <w:tcW w:w="1355" w:type="pct"/>
          </w:tcPr>
          <w:p w14:paraId="151F12F2" w14:textId="26649673" w:rsidR="00AD2C6B" w:rsidRDefault="00AD2C6B" w:rsidP="00AD2C6B">
            <w:pPr>
              <w:pStyle w:val="Exhibit"/>
              <w:rPr>
                <w:rFonts w:ascii="Calibri" w:hAnsi="Calibri"/>
                <w:szCs w:val="18"/>
              </w:rPr>
            </w:pPr>
            <w:r>
              <w:rPr>
                <w:rFonts w:ascii="Calibri" w:hAnsi="Calibri"/>
                <w:szCs w:val="18"/>
              </w:rPr>
              <w:t>Linda Mayes</w:t>
            </w:r>
          </w:p>
        </w:tc>
        <w:tc>
          <w:tcPr>
            <w:tcW w:w="1853" w:type="pct"/>
          </w:tcPr>
          <w:p w14:paraId="64269BD6" w14:textId="7BEC83E1" w:rsidR="00AD2C6B" w:rsidRDefault="00AD2C6B" w:rsidP="00AD2C6B">
            <w:pPr>
              <w:pStyle w:val="Exhibit"/>
              <w:rPr>
                <w:rFonts w:ascii="Calibri" w:hAnsi="Calibri"/>
                <w:szCs w:val="18"/>
              </w:rPr>
            </w:pPr>
            <w:r>
              <w:rPr>
                <w:rFonts w:ascii="Calibri" w:hAnsi="Calibri"/>
                <w:szCs w:val="18"/>
              </w:rPr>
              <w:t>Yale University</w:t>
            </w:r>
          </w:p>
        </w:tc>
        <w:tc>
          <w:tcPr>
            <w:tcW w:w="1792" w:type="pct"/>
          </w:tcPr>
          <w:p w14:paraId="38355D59" w14:textId="3B8C413B" w:rsidR="00AD2C6B" w:rsidRDefault="00AD2C6B" w:rsidP="00AD2C6B">
            <w:pPr>
              <w:pStyle w:val="Exhibit"/>
              <w:rPr>
                <w:rFonts w:ascii="Calibri" w:hAnsi="Calibri"/>
                <w:szCs w:val="18"/>
              </w:rPr>
            </w:pPr>
            <w:r>
              <w:rPr>
                <w:rFonts w:ascii="Calibri" w:hAnsi="Calibri"/>
                <w:szCs w:val="18"/>
              </w:rPr>
              <w:t>Consultant</w:t>
            </w:r>
          </w:p>
        </w:tc>
      </w:tr>
      <w:tr w:rsidR="00F81DDE" w:rsidRPr="00AD2C6B" w14:paraId="3D0117A2" w14:textId="77777777" w:rsidTr="2482C030">
        <w:trPr>
          <w:cantSplit/>
          <w:jc w:val="center"/>
        </w:trPr>
        <w:tc>
          <w:tcPr>
            <w:tcW w:w="1355" w:type="pct"/>
          </w:tcPr>
          <w:p w14:paraId="1454A967" w14:textId="7F6245DF" w:rsidR="00F81DDE" w:rsidRDefault="00F81DDE" w:rsidP="00AD2C6B">
            <w:pPr>
              <w:pStyle w:val="Exhibit"/>
              <w:rPr>
                <w:rFonts w:ascii="Calibri" w:hAnsi="Calibri"/>
                <w:szCs w:val="18"/>
              </w:rPr>
            </w:pPr>
            <w:r>
              <w:rPr>
                <w:rFonts w:ascii="Calibri" w:hAnsi="Calibri"/>
                <w:szCs w:val="18"/>
              </w:rPr>
              <w:t>Rashmita Mistry</w:t>
            </w:r>
          </w:p>
        </w:tc>
        <w:tc>
          <w:tcPr>
            <w:tcW w:w="1853" w:type="pct"/>
          </w:tcPr>
          <w:p w14:paraId="0EF38F77" w14:textId="35D1D28B" w:rsidR="00F81DDE" w:rsidRDefault="00F81DDE" w:rsidP="00AD2C6B">
            <w:pPr>
              <w:pStyle w:val="Exhibit"/>
              <w:rPr>
                <w:rFonts w:ascii="Calibri" w:hAnsi="Calibri"/>
                <w:szCs w:val="18"/>
              </w:rPr>
            </w:pPr>
            <w:r>
              <w:rPr>
                <w:rFonts w:ascii="Calibri" w:hAnsi="Calibri"/>
                <w:szCs w:val="18"/>
              </w:rPr>
              <w:t>UCLA</w:t>
            </w:r>
          </w:p>
        </w:tc>
        <w:tc>
          <w:tcPr>
            <w:tcW w:w="1792" w:type="pct"/>
          </w:tcPr>
          <w:p w14:paraId="30D380CD" w14:textId="2EA7F083" w:rsidR="00F81DDE" w:rsidRDefault="00F81DDE" w:rsidP="00AD2C6B">
            <w:pPr>
              <w:pStyle w:val="Exhibit"/>
              <w:rPr>
                <w:rFonts w:ascii="Calibri" w:hAnsi="Calibri"/>
                <w:szCs w:val="18"/>
              </w:rPr>
            </w:pPr>
            <w:r>
              <w:rPr>
                <w:rFonts w:ascii="Calibri" w:hAnsi="Calibri"/>
                <w:szCs w:val="18"/>
              </w:rPr>
              <w:t>Consultant, interview, and data analysis</w:t>
            </w:r>
          </w:p>
        </w:tc>
      </w:tr>
      <w:tr w:rsidR="00AD2C6B" w:rsidRPr="00AD2C6B" w14:paraId="4CDBF614" w14:textId="77777777" w:rsidTr="2482C030">
        <w:trPr>
          <w:cantSplit/>
          <w:jc w:val="center"/>
        </w:trPr>
        <w:tc>
          <w:tcPr>
            <w:tcW w:w="1355" w:type="pct"/>
          </w:tcPr>
          <w:p w14:paraId="3AF71098" w14:textId="77777777" w:rsidR="00AD2C6B" w:rsidRDefault="00AD2C6B" w:rsidP="00AD2C6B">
            <w:pPr>
              <w:pStyle w:val="Exhibit"/>
              <w:rPr>
                <w:rFonts w:ascii="Calibri" w:hAnsi="Calibri"/>
                <w:szCs w:val="18"/>
              </w:rPr>
            </w:pPr>
            <w:r>
              <w:rPr>
                <w:rFonts w:ascii="Calibri" w:hAnsi="Calibri"/>
                <w:szCs w:val="18"/>
              </w:rPr>
              <w:t xml:space="preserve">Carolyn Hill </w:t>
            </w:r>
          </w:p>
        </w:tc>
        <w:tc>
          <w:tcPr>
            <w:tcW w:w="1853" w:type="pct"/>
          </w:tcPr>
          <w:p w14:paraId="334479AD" w14:textId="77777777" w:rsidR="00AD2C6B" w:rsidRDefault="00AD2C6B" w:rsidP="00AD2C6B">
            <w:pPr>
              <w:pStyle w:val="Exhibit"/>
              <w:rPr>
                <w:rFonts w:ascii="Calibri" w:hAnsi="Calibri"/>
                <w:szCs w:val="18"/>
              </w:rPr>
            </w:pPr>
            <w:r>
              <w:rPr>
                <w:rFonts w:ascii="Calibri" w:hAnsi="Calibri"/>
                <w:szCs w:val="18"/>
              </w:rPr>
              <w:t>MDRC</w:t>
            </w:r>
          </w:p>
        </w:tc>
        <w:tc>
          <w:tcPr>
            <w:tcW w:w="1792" w:type="pct"/>
          </w:tcPr>
          <w:p w14:paraId="64FCAF3F" w14:textId="77777777" w:rsidR="00AD2C6B" w:rsidRDefault="00AD2C6B" w:rsidP="00AD2C6B">
            <w:pPr>
              <w:pStyle w:val="Exhibit"/>
              <w:rPr>
                <w:rFonts w:ascii="Calibri" w:hAnsi="Calibri"/>
                <w:szCs w:val="18"/>
              </w:rPr>
            </w:pPr>
            <w:r>
              <w:rPr>
                <w:rFonts w:ascii="Calibri" w:hAnsi="Calibri"/>
                <w:szCs w:val="18"/>
              </w:rPr>
              <w:t xml:space="preserve">Data analysis </w:t>
            </w:r>
          </w:p>
        </w:tc>
      </w:tr>
      <w:tr w:rsidR="00AD2C6B" w14:paraId="447B9479" w14:textId="77777777" w:rsidTr="2482C030">
        <w:trPr>
          <w:cantSplit/>
          <w:jc w:val="center"/>
        </w:trPr>
        <w:tc>
          <w:tcPr>
            <w:tcW w:w="1355" w:type="pct"/>
          </w:tcPr>
          <w:p w14:paraId="2D7C3036" w14:textId="77777777" w:rsidR="00AD2C6B" w:rsidRPr="00F74F04" w:rsidRDefault="00AD2C6B" w:rsidP="00AD2C6B">
            <w:pPr>
              <w:pStyle w:val="Exhibit"/>
              <w:rPr>
                <w:rFonts w:ascii="Calibri" w:hAnsi="Calibri"/>
                <w:szCs w:val="18"/>
              </w:rPr>
            </w:pPr>
            <w:r>
              <w:rPr>
                <w:rFonts w:ascii="Calibri" w:hAnsi="Calibri"/>
                <w:szCs w:val="18"/>
              </w:rPr>
              <w:t xml:space="preserve">Linda Mayes </w:t>
            </w:r>
          </w:p>
        </w:tc>
        <w:tc>
          <w:tcPr>
            <w:tcW w:w="1853" w:type="pct"/>
          </w:tcPr>
          <w:p w14:paraId="10526462" w14:textId="77777777" w:rsidR="00AD2C6B" w:rsidRPr="00F74F04" w:rsidRDefault="00AD2C6B" w:rsidP="00AD2C6B">
            <w:pPr>
              <w:pStyle w:val="Exhibit"/>
              <w:rPr>
                <w:rFonts w:ascii="Calibri" w:hAnsi="Calibri"/>
                <w:szCs w:val="18"/>
              </w:rPr>
            </w:pPr>
            <w:r>
              <w:rPr>
                <w:rFonts w:ascii="Calibri" w:hAnsi="Calibri"/>
                <w:szCs w:val="18"/>
              </w:rPr>
              <w:t xml:space="preserve">Yale </w:t>
            </w:r>
          </w:p>
        </w:tc>
        <w:tc>
          <w:tcPr>
            <w:tcW w:w="1792" w:type="pct"/>
          </w:tcPr>
          <w:p w14:paraId="43E1B222" w14:textId="77777777" w:rsidR="00AD2C6B" w:rsidRPr="00F74F04" w:rsidRDefault="00AD2C6B" w:rsidP="00AD2C6B">
            <w:pPr>
              <w:pStyle w:val="Exhibit"/>
              <w:rPr>
                <w:rFonts w:ascii="Calibri" w:hAnsi="Calibri"/>
                <w:szCs w:val="18"/>
              </w:rPr>
            </w:pPr>
            <w:r>
              <w:rPr>
                <w:rFonts w:ascii="Calibri" w:hAnsi="Calibri"/>
                <w:szCs w:val="18"/>
              </w:rPr>
              <w:t>Interview and data analysis</w:t>
            </w:r>
          </w:p>
        </w:tc>
      </w:tr>
      <w:tr w:rsidR="00AD2C6B" w14:paraId="20003740" w14:textId="77777777" w:rsidTr="2482C030">
        <w:trPr>
          <w:cantSplit/>
          <w:jc w:val="center"/>
        </w:trPr>
        <w:tc>
          <w:tcPr>
            <w:tcW w:w="1355" w:type="pct"/>
          </w:tcPr>
          <w:p w14:paraId="28A985E9" w14:textId="77777777" w:rsidR="00AD2C6B" w:rsidRPr="00F74F04" w:rsidRDefault="00AD2C6B" w:rsidP="00AD2C6B">
            <w:pPr>
              <w:pStyle w:val="Exhibit"/>
              <w:rPr>
                <w:rFonts w:ascii="Calibri" w:hAnsi="Calibri"/>
                <w:szCs w:val="18"/>
              </w:rPr>
            </w:pPr>
            <w:r>
              <w:rPr>
                <w:rFonts w:ascii="Calibri" w:hAnsi="Calibri"/>
                <w:szCs w:val="18"/>
              </w:rPr>
              <w:t>Victoria Quiroz-Becerra</w:t>
            </w:r>
          </w:p>
        </w:tc>
        <w:tc>
          <w:tcPr>
            <w:tcW w:w="1853" w:type="pct"/>
          </w:tcPr>
          <w:p w14:paraId="0A83115E" w14:textId="77777777" w:rsidR="00AD2C6B" w:rsidRPr="00F74F04" w:rsidRDefault="00AD2C6B" w:rsidP="00AD2C6B">
            <w:pPr>
              <w:pStyle w:val="Exhibit"/>
              <w:rPr>
                <w:rFonts w:ascii="Calibri" w:hAnsi="Calibri"/>
                <w:szCs w:val="18"/>
              </w:rPr>
            </w:pPr>
            <w:r>
              <w:rPr>
                <w:rFonts w:ascii="Calibri" w:hAnsi="Calibri"/>
                <w:szCs w:val="18"/>
              </w:rPr>
              <w:t>MDRC</w:t>
            </w:r>
          </w:p>
        </w:tc>
        <w:tc>
          <w:tcPr>
            <w:tcW w:w="1792" w:type="pct"/>
          </w:tcPr>
          <w:p w14:paraId="613DEED4" w14:textId="77777777" w:rsidR="00AD2C6B" w:rsidRPr="00F74F04" w:rsidRDefault="00AD2C6B" w:rsidP="00AD2C6B">
            <w:pPr>
              <w:pStyle w:val="Exhibit"/>
              <w:rPr>
                <w:rFonts w:ascii="Calibri" w:hAnsi="Calibri"/>
                <w:szCs w:val="18"/>
              </w:rPr>
            </w:pPr>
            <w:r>
              <w:rPr>
                <w:rFonts w:ascii="Calibri" w:hAnsi="Calibri"/>
                <w:szCs w:val="18"/>
              </w:rPr>
              <w:t>Interview and data analysis</w:t>
            </w:r>
          </w:p>
        </w:tc>
      </w:tr>
      <w:tr w:rsidR="00AD2C6B" w14:paraId="3C0B98DC" w14:textId="77777777" w:rsidTr="2482C030">
        <w:trPr>
          <w:cantSplit/>
          <w:jc w:val="center"/>
        </w:trPr>
        <w:tc>
          <w:tcPr>
            <w:tcW w:w="1355" w:type="pct"/>
          </w:tcPr>
          <w:p w14:paraId="43544BDF" w14:textId="77777777" w:rsidR="00AD2C6B" w:rsidRPr="00F74F04" w:rsidRDefault="00AD2C6B" w:rsidP="00AD2C6B">
            <w:pPr>
              <w:pStyle w:val="Exhibit"/>
              <w:rPr>
                <w:rFonts w:ascii="Calibri" w:hAnsi="Calibri"/>
                <w:szCs w:val="18"/>
              </w:rPr>
            </w:pPr>
            <w:r>
              <w:rPr>
                <w:rFonts w:ascii="Calibri" w:hAnsi="Calibri"/>
                <w:szCs w:val="18"/>
              </w:rPr>
              <w:t>Samantha Wulfsohn</w:t>
            </w:r>
          </w:p>
        </w:tc>
        <w:tc>
          <w:tcPr>
            <w:tcW w:w="1853" w:type="pct"/>
          </w:tcPr>
          <w:p w14:paraId="13EF77A4" w14:textId="77777777" w:rsidR="00AD2C6B" w:rsidRPr="00F74F04" w:rsidRDefault="00AD2C6B" w:rsidP="00AD2C6B">
            <w:pPr>
              <w:pStyle w:val="Exhibit"/>
              <w:rPr>
                <w:rFonts w:ascii="Calibri" w:hAnsi="Calibri"/>
                <w:szCs w:val="18"/>
              </w:rPr>
            </w:pPr>
            <w:r>
              <w:rPr>
                <w:rFonts w:ascii="Calibri" w:hAnsi="Calibri"/>
                <w:szCs w:val="18"/>
              </w:rPr>
              <w:t>MDRC</w:t>
            </w:r>
          </w:p>
        </w:tc>
        <w:tc>
          <w:tcPr>
            <w:tcW w:w="1792" w:type="pct"/>
          </w:tcPr>
          <w:p w14:paraId="64CD88F2" w14:textId="77777777" w:rsidR="00AD2C6B" w:rsidRPr="00F74F04" w:rsidRDefault="00AD2C6B" w:rsidP="00AD2C6B">
            <w:pPr>
              <w:pStyle w:val="Exhibit"/>
              <w:rPr>
                <w:rFonts w:ascii="Calibri" w:hAnsi="Calibri"/>
                <w:szCs w:val="18"/>
              </w:rPr>
            </w:pPr>
            <w:r>
              <w:rPr>
                <w:rFonts w:ascii="Calibri" w:hAnsi="Calibri"/>
                <w:szCs w:val="18"/>
              </w:rPr>
              <w:t xml:space="preserve">Interview and data analysis </w:t>
            </w:r>
          </w:p>
        </w:tc>
      </w:tr>
      <w:tr w:rsidR="00AD2C6B" w14:paraId="1363AF5C" w14:textId="77777777" w:rsidTr="2482C030">
        <w:trPr>
          <w:cantSplit/>
          <w:jc w:val="center"/>
        </w:trPr>
        <w:tc>
          <w:tcPr>
            <w:tcW w:w="1355" w:type="pct"/>
          </w:tcPr>
          <w:p w14:paraId="23F40DCF" w14:textId="77777777" w:rsidR="00AD2C6B" w:rsidRDefault="00AD2C6B" w:rsidP="00AD2C6B">
            <w:pPr>
              <w:pStyle w:val="Exhibit"/>
              <w:rPr>
                <w:rFonts w:ascii="Calibri" w:hAnsi="Calibri"/>
                <w:szCs w:val="18"/>
              </w:rPr>
            </w:pPr>
            <w:r>
              <w:rPr>
                <w:rFonts w:ascii="Calibri" w:hAnsi="Calibri"/>
                <w:szCs w:val="18"/>
              </w:rPr>
              <w:t>Annie Utterback</w:t>
            </w:r>
          </w:p>
        </w:tc>
        <w:tc>
          <w:tcPr>
            <w:tcW w:w="1853" w:type="pct"/>
          </w:tcPr>
          <w:p w14:paraId="64C28887" w14:textId="77777777" w:rsidR="00AD2C6B" w:rsidRDefault="00AD2C6B" w:rsidP="00AD2C6B">
            <w:pPr>
              <w:pStyle w:val="Exhibit"/>
              <w:rPr>
                <w:rFonts w:ascii="Calibri" w:hAnsi="Calibri"/>
                <w:szCs w:val="18"/>
              </w:rPr>
            </w:pPr>
            <w:r>
              <w:rPr>
                <w:rFonts w:ascii="Calibri" w:hAnsi="Calibri"/>
                <w:szCs w:val="18"/>
              </w:rPr>
              <w:t>MDRC</w:t>
            </w:r>
          </w:p>
        </w:tc>
        <w:tc>
          <w:tcPr>
            <w:tcW w:w="1792" w:type="pct"/>
          </w:tcPr>
          <w:p w14:paraId="15FC8414" w14:textId="77777777" w:rsidR="00AD2C6B" w:rsidRDefault="00AD2C6B" w:rsidP="00AD2C6B">
            <w:pPr>
              <w:pStyle w:val="Exhibit"/>
              <w:rPr>
                <w:rFonts w:ascii="Calibri" w:hAnsi="Calibri"/>
                <w:szCs w:val="18"/>
              </w:rPr>
            </w:pPr>
            <w:r>
              <w:rPr>
                <w:rFonts w:ascii="Calibri" w:hAnsi="Calibri"/>
                <w:szCs w:val="18"/>
              </w:rPr>
              <w:t>Interview and data analysis</w:t>
            </w:r>
          </w:p>
        </w:tc>
      </w:tr>
      <w:tr w:rsidR="66EB408E" w14:paraId="2ACE627F" w14:textId="77777777" w:rsidTr="00096CBA">
        <w:trPr>
          <w:cantSplit/>
          <w:jc w:val="center"/>
        </w:trPr>
        <w:tc>
          <w:tcPr>
            <w:tcW w:w="2568" w:type="dxa"/>
            <w:tcBorders>
              <w:top w:val="single" w:sz="4" w:space="0" w:color="auto"/>
              <w:left w:val="single" w:sz="4" w:space="0" w:color="auto"/>
              <w:bottom w:val="single" w:sz="4" w:space="0" w:color="auto"/>
              <w:right w:val="single" w:sz="4" w:space="0" w:color="auto"/>
            </w:tcBorders>
          </w:tcPr>
          <w:p w14:paraId="07BC21CC" w14:textId="53B5E7FD" w:rsidR="66EB408E" w:rsidRPr="003E0F8D" w:rsidRDefault="703CC781" w:rsidP="00096CBA">
            <w:pPr>
              <w:pStyle w:val="Exhibit"/>
              <w:rPr>
                <w:rFonts w:ascii="Calibri" w:hAnsi="Calibri"/>
              </w:rPr>
            </w:pPr>
            <w:r w:rsidRPr="00096CBA">
              <w:rPr>
                <w:rFonts w:ascii="Calibri" w:hAnsi="Calibri"/>
              </w:rPr>
              <w:t>Rachael Metz</w:t>
            </w:r>
          </w:p>
        </w:tc>
        <w:tc>
          <w:tcPr>
            <w:tcW w:w="3511" w:type="dxa"/>
            <w:tcBorders>
              <w:top w:val="single" w:sz="4" w:space="0" w:color="auto"/>
              <w:left w:val="single" w:sz="4" w:space="0" w:color="auto"/>
              <w:bottom w:val="single" w:sz="4" w:space="0" w:color="auto"/>
              <w:right w:val="single" w:sz="4" w:space="0" w:color="auto"/>
            </w:tcBorders>
          </w:tcPr>
          <w:p w14:paraId="44CA3624" w14:textId="167BB5B0" w:rsidR="66EB408E" w:rsidRPr="003E0F8D" w:rsidRDefault="13033F6E" w:rsidP="00096CBA">
            <w:pPr>
              <w:pStyle w:val="Exhibit"/>
              <w:rPr>
                <w:rFonts w:ascii="Calibri" w:hAnsi="Calibri"/>
              </w:rPr>
            </w:pPr>
            <w:r w:rsidRPr="003E0F8D">
              <w:rPr>
                <w:rFonts w:ascii="Calibri" w:hAnsi="Calibri"/>
              </w:rPr>
              <w:t>MDRC</w:t>
            </w:r>
          </w:p>
        </w:tc>
        <w:tc>
          <w:tcPr>
            <w:tcW w:w="3396" w:type="dxa"/>
            <w:tcBorders>
              <w:top w:val="single" w:sz="4" w:space="0" w:color="auto"/>
              <w:left w:val="single" w:sz="4" w:space="0" w:color="auto"/>
              <w:bottom w:val="single" w:sz="4" w:space="0" w:color="auto"/>
              <w:right w:val="single" w:sz="4" w:space="0" w:color="auto"/>
            </w:tcBorders>
          </w:tcPr>
          <w:p w14:paraId="69C8347F" w14:textId="77777777" w:rsidR="38F8C43C" w:rsidRPr="003E0F8D" w:rsidRDefault="38F8C43C" w:rsidP="003E0F8D">
            <w:pPr>
              <w:pStyle w:val="Exhibit"/>
              <w:rPr>
                <w:rFonts w:ascii="Calibri" w:hAnsi="Calibri"/>
              </w:rPr>
            </w:pPr>
            <w:r w:rsidRPr="003E0F8D">
              <w:rPr>
                <w:rFonts w:ascii="Calibri" w:hAnsi="Calibri"/>
              </w:rPr>
              <w:t>Interview and data analysis</w:t>
            </w:r>
          </w:p>
        </w:tc>
      </w:tr>
      <w:tr w:rsidR="66EB408E" w14:paraId="48D7DB8F" w14:textId="77777777" w:rsidTr="00096CBA">
        <w:trPr>
          <w:cantSplit/>
          <w:jc w:val="center"/>
        </w:trPr>
        <w:tc>
          <w:tcPr>
            <w:tcW w:w="2568" w:type="dxa"/>
            <w:tcBorders>
              <w:top w:val="single" w:sz="4" w:space="0" w:color="auto"/>
              <w:left w:val="single" w:sz="4" w:space="0" w:color="auto"/>
              <w:bottom w:val="single" w:sz="4" w:space="0" w:color="auto"/>
              <w:right w:val="single" w:sz="4" w:space="0" w:color="auto"/>
            </w:tcBorders>
          </w:tcPr>
          <w:p w14:paraId="533A3B69" w14:textId="253AD054" w:rsidR="66EB408E" w:rsidRPr="003E0F8D" w:rsidRDefault="703CC781" w:rsidP="003E0F8D">
            <w:pPr>
              <w:pStyle w:val="Exhibit"/>
              <w:rPr>
                <w:rFonts w:ascii="Calibri" w:hAnsi="Calibri"/>
              </w:rPr>
            </w:pPr>
            <w:r w:rsidRPr="003E0F8D">
              <w:rPr>
                <w:rFonts w:ascii="Calibri" w:hAnsi="Calibri"/>
              </w:rPr>
              <w:t xml:space="preserve">Doug Phillips </w:t>
            </w:r>
          </w:p>
        </w:tc>
        <w:tc>
          <w:tcPr>
            <w:tcW w:w="3511" w:type="dxa"/>
            <w:tcBorders>
              <w:top w:val="single" w:sz="4" w:space="0" w:color="auto"/>
              <w:left w:val="single" w:sz="4" w:space="0" w:color="auto"/>
              <w:bottom w:val="single" w:sz="4" w:space="0" w:color="auto"/>
              <w:right w:val="single" w:sz="4" w:space="0" w:color="auto"/>
            </w:tcBorders>
          </w:tcPr>
          <w:p w14:paraId="5157828A" w14:textId="77777777" w:rsidR="26A60F7C" w:rsidRPr="003E0F8D" w:rsidRDefault="26A60F7C" w:rsidP="003E0F8D">
            <w:pPr>
              <w:pStyle w:val="Exhibit"/>
              <w:rPr>
                <w:rFonts w:ascii="Calibri" w:hAnsi="Calibri"/>
              </w:rPr>
            </w:pPr>
            <w:r w:rsidRPr="003E0F8D">
              <w:rPr>
                <w:rFonts w:ascii="Calibri" w:hAnsi="Calibri"/>
              </w:rPr>
              <w:t>MDRC</w:t>
            </w:r>
          </w:p>
        </w:tc>
        <w:tc>
          <w:tcPr>
            <w:tcW w:w="3396" w:type="dxa"/>
            <w:tcBorders>
              <w:top w:val="single" w:sz="4" w:space="0" w:color="auto"/>
              <w:left w:val="single" w:sz="4" w:space="0" w:color="auto"/>
              <w:bottom w:val="single" w:sz="4" w:space="0" w:color="auto"/>
              <w:right w:val="single" w:sz="4" w:space="0" w:color="auto"/>
            </w:tcBorders>
          </w:tcPr>
          <w:p w14:paraId="35F0F7E8" w14:textId="77777777" w:rsidR="38F8C43C" w:rsidRPr="003E0F8D" w:rsidRDefault="38F8C43C" w:rsidP="003E0F8D">
            <w:pPr>
              <w:pStyle w:val="Exhibit"/>
              <w:rPr>
                <w:rFonts w:ascii="Calibri" w:hAnsi="Calibri"/>
              </w:rPr>
            </w:pPr>
            <w:r w:rsidRPr="003E0F8D">
              <w:rPr>
                <w:rFonts w:ascii="Calibri" w:hAnsi="Calibri"/>
              </w:rPr>
              <w:t>Interview and data analysis</w:t>
            </w:r>
          </w:p>
        </w:tc>
      </w:tr>
      <w:tr w:rsidR="703CC781" w14:paraId="78F10A42" w14:textId="77777777" w:rsidTr="00096CBA">
        <w:trPr>
          <w:cantSplit/>
          <w:jc w:val="center"/>
        </w:trPr>
        <w:tc>
          <w:tcPr>
            <w:tcW w:w="2568" w:type="dxa"/>
            <w:tcBorders>
              <w:top w:val="single" w:sz="4" w:space="0" w:color="auto"/>
              <w:left w:val="single" w:sz="4" w:space="0" w:color="auto"/>
              <w:bottom w:val="single" w:sz="4" w:space="0" w:color="auto"/>
              <w:right w:val="single" w:sz="4" w:space="0" w:color="auto"/>
            </w:tcBorders>
          </w:tcPr>
          <w:p w14:paraId="1BD1E3C2" w14:textId="08943B43" w:rsidR="703CC781" w:rsidRPr="003E0F8D" w:rsidRDefault="703CC781" w:rsidP="003E0F8D">
            <w:pPr>
              <w:pStyle w:val="Exhibit"/>
              <w:rPr>
                <w:rFonts w:ascii="Calibri" w:hAnsi="Calibri"/>
              </w:rPr>
            </w:pPr>
            <w:r w:rsidRPr="003E0F8D">
              <w:rPr>
                <w:rFonts w:ascii="Calibri" w:hAnsi="Calibri"/>
              </w:rPr>
              <w:t xml:space="preserve">Marissa </w:t>
            </w:r>
            <w:r w:rsidR="50F20B0B" w:rsidRPr="003E0F8D">
              <w:rPr>
                <w:rFonts w:ascii="Calibri" w:hAnsi="Calibri"/>
              </w:rPr>
              <w:t>Strassberger</w:t>
            </w:r>
          </w:p>
        </w:tc>
        <w:tc>
          <w:tcPr>
            <w:tcW w:w="3511" w:type="dxa"/>
            <w:tcBorders>
              <w:top w:val="single" w:sz="4" w:space="0" w:color="auto"/>
              <w:left w:val="single" w:sz="4" w:space="0" w:color="auto"/>
              <w:bottom w:val="single" w:sz="4" w:space="0" w:color="auto"/>
              <w:right w:val="single" w:sz="4" w:space="0" w:color="auto"/>
            </w:tcBorders>
          </w:tcPr>
          <w:p w14:paraId="5D8B0FB0" w14:textId="77777777" w:rsidR="26A60F7C" w:rsidRPr="003E0F8D" w:rsidRDefault="26A60F7C" w:rsidP="003E0F8D">
            <w:pPr>
              <w:pStyle w:val="Exhibit"/>
              <w:rPr>
                <w:rFonts w:ascii="Calibri" w:hAnsi="Calibri"/>
              </w:rPr>
            </w:pPr>
            <w:r w:rsidRPr="003E0F8D">
              <w:rPr>
                <w:rFonts w:ascii="Calibri" w:hAnsi="Calibri"/>
              </w:rPr>
              <w:t>MDRC</w:t>
            </w:r>
          </w:p>
        </w:tc>
        <w:tc>
          <w:tcPr>
            <w:tcW w:w="3396" w:type="dxa"/>
            <w:tcBorders>
              <w:top w:val="single" w:sz="4" w:space="0" w:color="auto"/>
              <w:left w:val="single" w:sz="4" w:space="0" w:color="auto"/>
              <w:bottom w:val="single" w:sz="4" w:space="0" w:color="auto"/>
              <w:right w:val="single" w:sz="4" w:space="0" w:color="auto"/>
            </w:tcBorders>
          </w:tcPr>
          <w:p w14:paraId="1CCC589A" w14:textId="77777777" w:rsidR="38F8C43C" w:rsidRPr="003E0F8D" w:rsidRDefault="38F8C43C" w:rsidP="003E0F8D">
            <w:pPr>
              <w:pStyle w:val="Exhibit"/>
              <w:rPr>
                <w:rFonts w:ascii="Calibri" w:hAnsi="Calibri"/>
              </w:rPr>
            </w:pPr>
            <w:r w:rsidRPr="003E0F8D">
              <w:rPr>
                <w:rFonts w:ascii="Calibri" w:hAnsi="Calibri"/>
              </w:rPr>
              <w:t xml:space="preserve">Interview and data analysis </w:t>
            </w:r>
          </w:p>
        </w:tc>
      </w:tr>
      <w:tr w:rsidR="703CC781" w14:paraId="03C15658" w14:textId="77777777" w:rsidTr="00096CBA">
        <w:trPr>
          <w:cantSplit/>
          <w:jc w:val="center"/>
        </w:trPr>
        <w:tc>
          <w:tcPr>
            <w:tcW w:w="2568" w:type="dxa"/>
            <w:tcBorders>
              <w:top w:val="single" w:sz="4" w:space="0" w:color="auto"/>
              <w:left w:val="single" w:sz="4" w:space="0" w:color="auto"/>
              <w:bottom w:val="single" w:sz="4" w:space="0" w:color="auto"/>
              <w:right w:val="single" w:sz="4" w:space="0" w:color="auto"/>
            </w:tcBorders>
          </w:tcPr>
          <w:p w14:paraId="3098C161" w14:textId="644F3223" w:rsidR="703CC781" w:rsidRPr="003E0F8D" w:rsidRDefault="57D57CB2" w:rsidP="003E0F8D">
            <w:pPr>
              <w:pStyle w:val="Exhibit"/>
              <w:rPr>
                <w:rFonts w:ascii="Calibri" w:hAnsi="Calibri"/>
              </w:rPr>
            </w:pPr>
            <w:r w:rsidRPr="003E0F8D">
              <w:rPr>
                <w:rFonts w:ascii="Calibri" w:hAnsi="Calibri"/>
              </w:rPr>
              <w:t>Toni Castro-Cosio</w:t>
            </w:r>
          </w:p>
        </w:tc>
        <w:tc>
          <w:tcPr>
            <w:tcW w:w="3511" w:type="dxa"/>
            <w:tcBorders>
              <w:top w:val="single" w:sz="4" w:space="0" w:color="auto"/>
              <w:left w:val="single" w:sz="4" w:space="0" w:color="auto"/>
              <w:bottom w:val="single" w:sz="4" w:space="0" w:color="auto"/>
              <w:right w:val="single" w:sz="4" w:space="0" w:color="auto"/>
            </w:tcBorders>
          </w:tcPr>
          <w:p w14:paraId="4027AC52" w14:textId="77777777" w:rsidR="26A60F7C" w:rsidRPr="003E0F8D" w:rsidRDefault="26A60F7C" w:rsidP="003E0F8D">
            <w:pPr>
              <w:pStyle w:val="Exhibit"/>
              <w:rPr>
                <w:rFonts w:ascii="Calibri" w:hAnsi="Calibri"/>
              </w:rPr>
            </w:pPr>
            <w:r w:rsidRPr="003E0F8D">
              <w:rPr>
                <w:rFonts w:ascii="Calibri" w:hAnsi="Calibri"/>
              </w:rPr>
              <w:t>MDRC</w:t>
            </w:r>
          </w:p>
        </w:tc>
        <w:tc>
          <w:tcPr>
            <w:tcW w:w="3396" w:type="dxa"/>
            <w:tcBorders>
              <w:top w:val="single" w:sz="4" w:space="0" w:color="auto"/>
              <w:left w:val="single" w:sz="4" w:space="0" w:color="auto"/>
              <w:bottom w:val="single" w:sz="4" w:space="0" w:color="auto"/>
              <w:right w:val="single" w:sz="4" w:space="0" w:color="auto"/>
            </w:tcBorders>
          </w:tcPr>
          <w:p w14:paraId="1EABFD5C" w14:textId="77777777" w:rsidR="38F8C43C" w:rsidRPr="003E0F8D" w:rsidRDefault="38F8C43C" w:rsidP="003E0F8D">
            <w:pPr>
              <w:pStyle w:val="Exhibit"/>
              <w:rPr>
                <w:rFonts w:ascii="Calibri" w:hAnsi="Calibri"/>
              </w:rPr>
            </w:pPr>
            <w:r w:rsidRPr="003E0F8D">
              <w:rPr>
                <w:rFonts w:ascii="Calibri" w:hAnsi="Calibri"/>
              </w:rPr>
              <w:t>Interview and data analysis</w:t>
            </w:r>
          </w:p>
        </w:tc>
      </w:tr>
      <w:tr w:rsidR="2DD1B8C5" w14:paraId="03767EF6" w14:textId="77777777" w:rsidTr="00096CBA">
        <w:trPr>
          <w:cantSplit/>
          <w:jc w:val="center"/>
        </w:trPr>
        <w:tc>
          <w:tcPr>
            <w:tcW w:w="2568" w:type="dxa"/>
            <w:tcBorders>
              <w:top w:val="single" w:sz="4" w:space="0" w:color="auto"/>
              <w:left w:val="single" w:sz="4" w:space="0" w:color="auto"/>
              <w:bottom w:val="single" w:sz="4" w:space="0" w:color="auto"/>
              <w:right w:val="single" w:sz="4" w:space="0" w:color="auto"/>
            </w:tcBorders>
          </w:tcPr>
          <w:p w14:paraId="2B8D1498" w14:textId="373860DD" w:rsidR="2DD1B8C5" w:rsidRPr="003E0F8D" w:rsidRDefault="13033F6E" w:rsidP="003E0F8D">
            <w:pPr>
              <w:pStyle w:val="Exhibit"/>
              <w:rPr>
                <w:rFonts w:ascii="Calibri" w:hAnsi="Calibri"/>
              </w:rPr>
            </w:pPr>
            <w:r w:rsidRPr="003E0F8D">
              <w:rPr>
                <w:rFonts w:ascii="Calibri" w:hAnsi="Calibri"/>
              </w:rPr>
              <w:t>Ann Bi</w:t>
            </w:r>
            <w:r w:rsidR="26A60F7C" w:rsidRPr="003E0F8D">
              <w:rPr>
                <w:rFonts w:ascii="Calibri" w:hAnsi="Calibri"/>
              </w:rPr>
              <w:t>c</w:t>
            </w:r>
            <w:r w:rsidRPr="003E0F8D">
              <w:rPr>
                <w:rFonts w:ascii="Calibri" w:hAnsi="Calibri"/>
              </w:rPr>
              <w:t>k</w:t>
            </w:r>
            <w:r w:rsidR="26A60F7C" w:rsidRPr="003E0F8D">
              <w:rPr>
                <w:rFonts w:ascii="Calibri" w:hAnsi="Calibri"/>
              </w:rPr>
              <w:t>erton</w:t>
            </w:r>
          </w:p>
        </w:tc>
        <w:tc>
          <w:tcPr>
            <w:tcW w:w="3511" w:type="dxa"/>
            <w:tcBorders>
              <w:top w:val="single" w:sz="4" w:space="0" w:color="auto"/>
              <w:left w:val="single" w:sz="4" w:space="0" w:color="auto"/>
              <w:bottom w:val="single" w:sz="4" w:space="0" w:color="auto"/>
              <w:right w:val="single" w:sz="4" w:space="0" w:color="auto"/>
            </w:tcBorders>
          </w:tcPr>
          <w:p w14:paraId="5939E996" w14:textId="167BB5B0" w:rsidR="26A60F7C" w:rsidRPr="003E0F8D" w:rsidRDefault="26A60F7C" w:rsidP="003E0F8D">
            <w:pPr>
              <w:pStyle w:val="Exhibit"/>
              <w:rPr>
                <w:rFonts w:ascii="Calibri" w:hAnsi="Calibri"/>
              </w:rPr>
            </w:pPr>
            <w:r w:rsidRPr="003E0F8D">
              <w:rPr>
                <w:rFonts w:ascii="Calibri" w:hAnsi="Calibri"/>
              </w:rPr>
              <w:t>MDRC</w:t>
            </w:r>
          </w:p>
        </w:tc>
        <w:tc>
          <w:tcPr>
            <w:tcW w:w="3396" w:type="dxa"/>
            <w:tcBorders>
              <w:top w:val="single" w:sz="4" w:space="0" w:color="auto"/>
              <w:left w:val="single" w:sz="4" w:space="0" w:color="auto"/>
              <w:bottom w:val="single" w:sz="4" w:space="0" w:color="auto"/>
              <w:right w:val="single" w:sz="4" w:space="0" w:color="auto"/>
            </w:tcBorders>
          </w:tcPr>
          <w:p w14:paraId="600B84AD" w14:textId="77777777" w:rsidR="536B3BF3" w:rsidRPr="003E0F8D" w:rsidRDefault="536B3BF3" w:rsidP="003E0F8D">
            <w:pPr>
              <w:pStyle w:val="Exhibit"/>
              <w:rPr>
                <w:rFonts w:ascii="Calibri" w:hAnsi="Calibri"/>
              </w:rPr>
            </w:pPr>
            <w:r w:rsidRPr="003E0F8D">
              <w:rPr>
                <w:rFonts w:ascii="Calibri" w:hAnsi="Calibri"/>
              </w:rPr>
              <w:t xml:space="preserve">Interview and data analysis </w:t>
            </w:r>
          </w:p>
        </w:tc>
      </w:tr>
      <w:tr w:rsidR="1B6B71C9" w14:paraId="214BE314" w14:textId="77777777" w:rsidTr="00096CBA">
        <w:trPr>
          <w:cantSplit/>
          <w:jc w:val="center"/>
        </w:trPr>
        <w:tc>
          <w:tcPr>
            <w:tcW w:w="2568" w:type="dxa"/>
            <w:tcBorders>
              <w:top w:val="single" w:sz="4" w:space="0" w:color="auto"/>
              <w:left w:val="single" w:sz="4" w:space="0" w:color="auto"/>
              <w:bottom w:val="single" w:sz="4" w:space="0" w:color="auto"/>
              <w:right w:val="single" w:sz="4" w:space="0" w:color="auto"/>
            </w:tcBorders>
          </w:tcPr>
          <w:p w14:paraId="7CA19633" w14:textId="2F1A51E6" w:rsidR="1B6B71C9" w:rsidRPr="003E0F8D" w:rsidRDefault="26A60F7C" w:rsidP="003E0F8D">
            <w:pPr>
              <w:pStyle w:val="Exhibit"/>
              <w:rPr>
                <w:rFonts w:ascii="Calibri" w:hAnsi="Calibri"/>
              </w:rPr>
            </w:pPr>
            <w:r w:rsidRPr="003E0F8D">
              <w:rPr>
                <w:rFonts w:ascii="Calibri" w:hAnsi="Calibri"/>
              </w:rPr>
              <w:t>Osvaldo Avila</w:t>
            </w:r>
          </w:p>
        </w:tc>
        <w:tc>
          <w:tcPr>
            <w:tcW w:w="3511" w:type="dxa"/>
            <w:tcBorders>
              <w:top w:val="single" w:sz="4" w:space="0" w:color="auto"/>
              <w:left w:val="single" w:sz="4" w:space="0" w:color="auto"/>
              <w:bottom w:val="single" w:sz="4" w:space="0" w:color="auto"/>
              <w:right w:val="single" w:sz="4" w:space="0" w:color="auto"/>
            </w:tcBorders>
          </w:tcPr>
          <w:p w14:paraId="05688EAC" w14:textId="1AB707C1" w:rsidR="1B6B71C9" w:rsidRPr="003E0F8D" w:rsidRDefault="38F8C43C" w:rsidP="003E0F8D">
            <w:pPr>
              <w:pStyle w:val="Exhibit"/>
              <w:rPr>
                <w:rFonts w:ascii="Calibri" w:hAnsi="Calibri"/>
              </w:rPr>
            </w:pPr>
            <w:r w:rsidRPr="003E0F8D">
              <w:rPr>
                <w:rFonts w:ascii="Calibri" w:hAnsi="Calibri"/>
              </w:rPr>
              <w:t>MDRC</w:t>
            </w:r>
          </w:p>
        </w:tc>
        <w:tc>
          <w:tcPr>
            <w:tcW w:w="3396" w:type="dxa"/>
            <w:tcBorders>
              <w:top w:val="single" w:sz="4" w:space="0" w:color="auto"/>
              <w:left w:val="single" w:sz="4" w:space="0" w:color="auto"/>
              <w:bottom w:val="single" w:sz="4" w:space="0" w:color="auto"/>
              <w:right w:val="single" w:sz="4" w:space="0" w:color="auto"/>
            </w:tcBorders>
          </w:tcPr>
          <w:p w14:paraId="43B57D91" w14:textId="77777777" w:rsidR="536B3BF3" w:rsidRPr="003E0F8D" w:rsidRDefault="536B3BF3" w:rsidP="003E0F8D">
            <w:pPr>
              <w:pStyle w:val="Exhibit"/>
              <w:rPr>
                <w:rFonts w:ascii="Calibri" w:hAnsi="Calibri"/>
              </w:rPr>
            </w:pPr>
            <w:r w:rsidRPr="003E0F8D">
              <w:rPr>
                <w:rFonts w:ascii="Calibri" w:hAnsi="Calibri"/>
              </w:rPr>
              <w:t>Interview and data analysis</w:t>
            </w:r>
          </w:p>
        </w:tc>
      </w:tr>
      <w:tr w:rsidR="00AD2C6B" w14:paraId="20302CAB" w14:textId="77777777" w:rsidTr="2482C030">
        <w:trPr>
          <w:cantSplit/>
          <w:jc w:val="center"/>
        </w:trPr>
        <w:tc>
          <w:tcPr>
            <w:tcW w:w="1355" w:type="pct"/>
          </w:tcPr>
          <w:p w14:paraId="1824E926" w14:textId="77777777" w:rsidR="00AD2C6B" w:rsidRDefault="00AD2C6B" w:rsidP="00AD2C6B">
            <w:pPr>
              <w:pStyle w:val="Exhibit"/>
              <w:rPr>
                <w:rFonts w:ascii="Calibri" w:hAnsi="Calibri"/>
                <w:szCs w:val="18"/>
              </w:rPr>
            </w:pPr>
            <w:r>
              <w:rPr>
                <w:rFonts w:ascii="Calibri" w:hAnsi="Calibri"/>
                <w:szCs w:val="18"/>
              </w:rPr>
              <w:t>Emily Partin</w:t>
            </w:r>
          </w:p>
        </w:tc>
        <w:tc>
          <w:tcPr>
            <w:tcW w:w="1853" w:type="pct"/>
          </w:tcPr>
          <w:p w14:paraId="5B110290" w14:textId="77777777" w:rsidR="00AD2C6B" w:rsidRDefault="00AD2C6B" w:rsidP="00AD2C6B">
            <w:pPr>
              <w:pStyle w:val="Exhibit"/>
              <w:rPr>
                <w:rFonts w:ascii="Calibri" w:hAnsi="Calibri"/>
                <w:szCs w:val="18"/>
              </w:rPr>
            </w:pPr>
            <w:r>
              <w:rPr>
                <w:rFonts w:ascii="Calibri" w:hAnsi="Calibri"/>
                <w:szCs w:val="18"/>
              </w:rPr>
              <w:t>Sewanee: The University of the South</w:t>
            </w:r>
          </w:p>
        </w:tc>
        <w:tc>
          <w:tcPr>
            <w:tcW w:w="1792" w:type="pct"/>
          </w:tcPr>
          <w:p w14:paraId="369C2B26" w14:textId="1AB2724A" w:rsidR="00AD2C6B" w:rsidRDefault="00AD2C6B" w:rsidP="00AD2C6B">
            <w:pPr>
              <w:pStyle w:val="Exhibit"/>
              <w:rPr>
                <w:rFonts w:ascii="Calibri" w:hAnsi="Calibri"/>
                <w:szCs w:val="18"/>
              </w:rPr>
            </w:pPr>
            <w:r>
              <w:rPr>
                <w:rFonts w:ascii="Calibri" w:hAnsi="Calibri"/>
                <w:szCs w:val="18"/>
              </w:rPr>
              <w:t>Interview</w:t>
            </w:r>
          </w:p>
        </w:tc>
      </w:tr>
      <w:tr w:rsidR="00AD2C6B" w14:paraId="1AE6395F" w14:textId="77777777" w:rsidTr="2482C030">
        <w:trPr>
          <w:cantSplit/>
          <w:jc w:val="center"/>
        </w:trPr>
        <w:tc>
          <w:tcPr>
            <w:tcW w:w="1355" w:type="pct"/>
          </w:tcPr>
          <w:p w14:paraId="732E6A1E" w14:textId="77777777" w:rsidR="00AD2C6B" w:rsidRDefault="00AD2C6B" w:rsidP="00AD2C6B">
            <w:pPr>
              <w:pStyle w:val="Exhibit"/>
              <w:rPr>
                <w:rFonts w:ascii="Calibri" w:hAnsi="Calibri"/>
                <w:szCs w:val="18"/>
              </w:rPr>
            </w:pPr>
            <w:r>
              <w:rPr>
                <w:rFonts w:ascii="Calibri" w:hAnsi="Calibri"/>
                <w:szCs w:val="18"/>
              </w:rPr>
              <w:t>Amelia Popham</w:t>
            </w:r>
          </w:p>
        </w:tc>
        <w:tc>
          <w:tcPr>
            <w:tcW w:w="1853" w:type="pct"/>
          </w:tcPr>
          <w:p w14:paraId="56AA0479" w14:textId="35E1AE63" w:rsidR="00AD2C6B" w:rsidRDefault="00AD2C6B" w:rsidP="00AD2C6B">
            <w:pPr>
              <w:pStyle w:val="Exhibit"/>
              <w:rPr>
                <w:rFonts w:ascii="Calibri" w:hAnsi="Calibri"/>
                <w:szCs w:val="18"/>
              </w:rPr>
            </w:pPr>
            <w:r>
              <w:rPr>
                <w:rFonts w:ascii="Calibri" w:hAnsi="Calibri"/>
                <w:szCs w:val="18"/>
              </w:rPr>
              <w:t>Office of Planning, Research</w:t>
            </w:r>
            <w:r w:rsidR="00C06E80">
              <w:rPr>
                <w:rFonts w:ascii="Calibri" w:hAnsi="Calibri"/>
                <w:szCs w:val="18"/>
              </w:rPr>
              <w:t>,</w:t>
            </w:r>
            <w:r>
              <w:rPr>
                <w:rFonts w:ascii="Calibri" w:hAnsi="Calibri"/>
                <w:szCs w:val="18"/>
              </w:rPr>
              <w:t xml:space="preserve"> and Evaluation</w:t>
            </w:r>
          </w:p>
        </w:tc>
        <w:tc>
          <w:tcPr>
            <w:tcW w:w="1792" w:type="pct"/>
          </w:tcPr>
          <w:p w14:paraId="537A6E4C" w14:textId="77777777" w:rsidR="00AD2C6B" w:rsidRDefault="00AD2C6B" w:rsidP="00AD2C6B">
            <w:pPr>
              <w:pStyle w:val="Exhibit"/>
              <w:rPr>
                <w:rFonts w:ascii="Calibri" w:hAnsi="Calibri"/>
                <w:szCs w:val="18"/>
              </w:rPr>
            </w:pPr>
            <w:r>
              <w:rPr>
                <w:rFonts w:ascii="Calibri" w:hAnsi="Calibri"/>
                <w:szCs w:val="18"/>
              </w:rPr>
              <w:t>Project Officer</w:t>
            </w:r>
          </w:p>
        </w:tc>
      </w:tr>
      <w:tr w:rsidR="00AD2C6B" w14:paraId="307A0ABD" w14:textId="77777777" w:rsidTr="2482C030">
        <w:trPr>
          <w:cantSplit/>
          <w:jc w:val="center"/>
        </w:trPr>
        <w:tc>
          <w:tcPr>
            <w:tcW w:w="1355" w:type="pct"/>
          </w:tcPr>
          <w:p w14:paraId="0D33AA3C" w14:textId="77777777" w:rsidR="00AD2C6B" w:rsidRDefault="00AD2C6B" w:rsidP="00AD2C6B">
            <w:pPr>
              <w:pStyle w:val="Exhibit"/>
              <w:rPr>
                <w:rFonts w:ascii="Calibri" w:hAnsi="Calibri"/>
                <w:szCs w:val="18"/>
              </w:rPr>
            </w:pPr>
            <w:r>
              <w:rPr>
                <w:rFonts w:ascii="Calibri" w:hAnsi="Calibri"/>
                <w:szCs w:val="18"/>
              </w:rPr>
              <w:t>Lauren Deutsch</w:t>
            </w:r>
          </w:p>
        </w:tc>
        <w:tc>
          <w:tcPr>
            <w:tcW w:w="1853" w:type="pct"/>
          </w:tcPr>
          <w:p w14:paraId="12168688" w14:textId="176BE26E" w:rsidR="00AD2C6B" w:rsidRDefault="00AD2C6B" w:rsidP="00AD2C6B">
            <w:pPr>
              <w:pStyle w:val="Exhibit"/>
              <w:rPr>
                <w:rFonts w:ascii="Calibri" w:hAnsi="Calibri"/>
                <w:szCs w:val="18"/>
              </w:rPr>
            </w:pPr>
            <w:r>
              <w:rPr>
                <w:rFonts w:ascii="Calibri" w:hAnsi="Calibri"/>
                <w:szCs w:val="18"/>
              </w:rPr>
              <w:t>Office of Planning, Research</w:t>
            </w:r>
            <w:r w:rsidR="00C06E80">
              <w:rPr>
                <w:rFonts w:ascii="Calibri" w:hAnsi="Calibri"/>
                <w:szCs w:val="18"/>
              </w:rPr>
              <w:t>,</w:t>
            </w:r>
            <w:r>
              <w:rPr>
                <w:rFonts w:ascii="Calibri" w:hAnsi="Calibri"/>
                <w:szCs w:val="18"/>
              </w:rPr>
              <w:t xml:space="preserve"> and Evaluation/Business Strategies Consultants</w:t>
            </w:r>
          </w:p>
        </w:tc>
        <w:tc>
          <w:tcPr>
            <w:tcW w:w="1792" w:type="pct"/>
          </w:tcPr>
          <w:p w14:paraId="0533D4DE" w14:textId="77777777" w:rsidR="00AD2C6B" w:rsidRDefault="00AD2C6B" w:rsidP="00AD2C6B">
            <w:pPr>
              <w:pStyle w:val="Exhibit"/>
              <w:rPr>
                <w:rFonts w:ascii="Calibri" w:hAnsi="Calibri"/>
                <w:szCs w:val="18"/>
              </w:rPr>
            </w:pPr>
            <w:r>
              <w:rPr>
                <w:rFonts w:ascii="Calibri" w:hAnsi="Calibri"/>
                <w:szCs w:val="18"/>
              </w:rPr>
              <w:t>Contract Project Officer</w:t>
            </w:r>
          </w:p>
        </w:tc>
      </w:tr>
    </w:tbl>
    <w:p w14:paraId="67093FC3" w14:textId="77777777" w:rsidR="000D53DF" w:rsidRDefault="000D53DF" w:rsidP="00FD1B70"/>
    <w:sectPr w:rsidR="000D53DF" w:rsidSect="00DD190D">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45BB71" w16cid:durableId="20105E4D"/>
  <w16cid:commentId w16cid:paraId="31D4EE92" w16cid:durableId="20105E4E"/>
  <w16cid:commentId w16cid:paraId="563CCD91" w16cid:durableId="1FFEA1EF"/>
  <w16cid:commentId w16cid:paraId="75C935BE" w16cid:durableId="1FFEA1F0"/>
  <w16cid:commentId w16cid:paraId="00F56E81" w16cid:durableId="20105E51"/>
  <w16cid:commentId w16cid:paraId="74E615EB" w16cid:durableId="1FFEA1F1"/>
  <w16cid:commentId w16cid:paraId="04D91492" w16cid:durableId="1FFEA1F2"/>
  <w16cid:commentId w16cid:paraId="5210BD0F" w16cid:durableId="2000398C"/>
  <w16cid:commentId w16cid:paraId="53248787" w16cid:durableId="1FFEA1F3"/>
  <w16cid:commentId w16cid:paraId="0953F4E6" w16cid:durableId="2001945D"/>
  <w16cid:commentId w16cid:paraId="49E7B15B" w16cid:durableId="1FFEA1F4"/>
  <w16cid:commentId w16cid:paraId="785355CA" w16cid:durableId="1FFEA1F5"/>
  <w16cid:commentId w16cid:paraId="128565A2" w16cid:durableId="1FFEA1F6"/>
  <w16cid:commentId w16cid:paraId="6438B8C9" w16cid:durableId="200196E4"/>
  <w16cid:commentId w16cid:paraId="0A227497" w16cid:durableId="1FFEA1F7"/>
  <w16cid:commentId w16cid:paraId="5748A74F" w16cid:durableId="20105E60"/>
  <w16cid:commentId w16cid:paraId="23E9CEF1" w16cid:durableId="20106B2E"/>
  <w16cid:commentId w16cid:paraId="28AAD67E" w16cid:durableId="1FFEA1F8"/>
  <w16cid:commentId w16cid:paraId="08CB2FC6" w16cid:durableId="1FFEA1F9"/>
  <w16cid:commentId w16cid:paraId="62DC42FF" w16cid:durableId="1FFEA1FA"/>
  <w16cid:commentId w16cid:paraId="73A13928" w16cid:durableId="20019ECD"/>
  <w16cid:commentId w16cid:paraId="44F0AF61" w16cid:durableId="1FFEA1FB"/>
  <w16cid:commentId w16cid:paraId="293F39C4" w16cid:durableId="2003DB6F"/>
  <w16cid:commentId w16cid:paraId="4516BE29" w16cid:durableId="20105E69"/>
  <w16cid:commentId w16cid:paraId="0F45FD98" w16cid:durableId="20106CDD"/>
  <w16cid:commentId w16cid:paraId="5A211A38" w16cid:durableId="1FFEA1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EF7B0" w14:textId="77777777" w:rsidR="005B7E91" w:rsidRDefault="005B7E91">
      <w:r>
        <w:separator/>
      </w:r>
    </w:p>
  </w:endnote>
  <w:endnote w:type="continuationSeparator" w:id="0">
    <w:p w14:paraId="6376EAC0" w14:textId="77777777" w:rsidR="005B7E91" w:rsidRDefault="005B7E91">
      <w:r>
        <w:continuationSeparator/>
      </w:r>
    </w:p>
  </w:endnote>
  <w:endnote w:type="continuationNotice" w:id="1">
    <w:p w14:paraId="2403E11A" w14:textId="77777777" w:rsidR="005B7E91" w:rsidRDefault="005B7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ource Sans Pro">
    <w:altName w:val="Cambria Math"/>
    <w:charset w:val="00"/>
    <w:family w:val="auto"/>
    <w:pitch w:val="variable"/>
    <w:sig w:usb0="600002F7" w:usb1="02000001" w:usb2="00000000" w:usb3="00000000" w:csb0="0000019F" w:csb1="00000000"/>
  </w:font>
  <w:font w:name="Yu Gothic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1DA8E" w14:textId="7CC31A08" w:rsidR="00C34C12" w:rsidRDefault="00C34C12" w:rsidP="0073498D">
    <w:pPr>
      <w:pStyle w:val="Footer"/>
      <w:jc w:val="right"/>
    </w:pPr>
    <w:r w:rsidRPr="002A255E">
      <w:rPr>
        <w:rFonts w:ascii="Garamond" w:hAnsi="Garamond"/>
        <w:sz w:val="18"/>
        <w:szCs w:val="18"/>
      </w:rPr>
      <w:t xml:space="preserve">Supporting Statements for OMB Clearance Request Part </w:t>
    </w:r>
    <w:r>
      <w:rPr>
        <w:rFonts w:ascii="Garamond" w:hAnsi="Garamond"/>
        <w:sz w:val="18"/>
        <w:szCs w:val="18"/>
      </w:rPr>
      <w:t>B</w:t>
    </w:r>
    <w:r>
      <w:rPr>
        <w:rFonts w:ascii="Garamond" w:hAnsi="Garamond"/>
        <w:color w:val="A5A5A5"/>
        <w:sz w:val="18"/>
        <w:szCs w:val="18"/>
      </w:rPr>
      <w:t xml:space="preserve"> </w:t>
    </w:r>
    <w:r w:rsidRPr="00B55501">
      <w:rPr>
        <w:rFonts w:ascii="Source Sans Pro" w:hAnsi="Source Sans Pro"/>
        <w:b/>
        <w:bCs/>
        <w:color w:val="E44044"/>
        <w:sz w:val="16"/>
        <w:szCs w:val="16"/>
      </w:rPr>
      <w:t>|</w:t>
    </w:r>
    <w:r>
      <w:rPr>
        <w:rFonts w:ascii="Source Sans Pro" w:hAnsi="Source Sans Pro"/>
        <w:b/>
        <w:bCs/>
        <w:sz w:val="16"/>
        <w:szCs w:val="16"/>
      </w:rPr>
      <w:t xml:space="preserve">  </w:t>
    </w:r>
    <w:r w:rsidRPr="00B55501">
      <w:rPr>
        <w:rFonts w:ascii="Calibri" w:hAnsi="Calibri"/>
        <w:b/>
        <w:bCs/>
        <w:color w:val="1E4F5C"/>
        <w:sz w:val="16"/>
        <w:szCs w:val="16"/>
      </w:rPr>
      <w:fldChar w:fldCharType="begin"/>
    </w:r>
    <w:r w:rsidRPr="00B55501">
      <w:rPr>
        <w:rFonts w:ascii="Calibri" w:hAnsi="Calibri"/>
        <w:b/>
        <w:bCs/>
        <w:color w:val="1E4F5C"/>
        <w:sz w:val="16"/>
        <w:szCs w:val="16"/>
      </w:rPr>
      <w:instrText xml:space="preserve"> PAGE  \* MERGEFORMAT </w:instrText>
    </w:r>
    <w:r w:rsidRPr="00B55501">
      <w:rPr>
        <w:rFonts w:ascii="Calibri" w:hAnsi="Calibri"/>
        <w:b/>
        <w:bCs/>
        <w:color w:val="1E4F5C"/>
        <w:sz w:val="16"/>
        <w:szCs w:val="16"/>
      </w:rPr>
      <w:fldChar w:fldCharType="separate"/>
    </w:r>
    <w:r w:rsidR="00B50259">
      <w:rPr>
        <w:rFonts w:ascii="Calibri" w:hAnsi="Calibri"/>
        <w:b/>
        <w:bCs/>
        <w:noProof/>
        <w:color w:val="1E4F5C"/>
        <w:sz w:val="16"/>
        <w:szCs w:val="16"/>
      </w:rPr>
      <w:t>1</w:t>
    </w:r>
    <w:r w:rsidRPr="00B55501">
      <w:rPr>
        <w:rFonts w:ascii="Calibri" w:hAnsi="Calibri"/>
        <w:b/>
        <w:bCs/>
        <w:color w:val="1E4F5C"/>
        <w:sz w:val="16"/>
        <w:szCs w:val="16"/>
      </w:rPr>
      <w:fldChar w:fldCharType="end"/>
    </w:r>
  </w:p>
  <w:p w14:paraId="0E8A4BA3" w14:textId="77777777" w:rsidR="00C34C12" w:rsidRDefault="00C34C12"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B821D" w14:textId="77777777" w:rsidR="005B7E91" w:rsidRDefault="005B7E91">
      <w:r>
        <w:separator/>
      </w:r>
    </w:p>
  </w:footnote>
  <w:footnote w:type="continuationSeparator" w:id="0">
    <w:p w14:paraId="156E4C57" w14:textId="77777777" w:rsidR="005B7E91" w:rsidRDefault="005B7E91">
      <w:r>
        <w:continuationSeparator/>
      </w:r>
    </w:p>
  </w:footnote>
  <w:footnote w:type="continuationNotice" w:id="1">
    <w:p w14:paraId="3AA91240" w14:textId="77777777" w:rsidR="005B7E91" w:rsidRDefault="005B7E91"/>
  </w:footnote>
  <w:footnote w:id="2">
    <w:p w14:paraId="54DFB7FE" w14:textId="77DDBEC5" w:rsidR="00C34C12" w:rsidRPr="00983989" w:rsidRDefault="00C34C12" w:rsidP="007626F1">
      <w:pPr>
        <w:pStyle w:val="FootnoteText"/>
        <w:rPr>
          <w:rFonts w:ascii="Calibri" w:hAnsi="Calibri"/>
        </w:rPr>
      </w:pPr>
      <w:r w:rsidRPr="007626F1">
        <w:rPr>
          <w:rStyle w:val="FootnoteReference"/>
          <w:rFonts w:ascii="Calibri" w:hAnsi="Calibri"/>
        </w:rPr>
        <w:footnoteRef/>
      </w:r>
      <w:r w:rsidRPr="007626F1">
        <w:rPr>
          <w:rFonts w:ascii="Calibri" w:hAnsi="Calibri"/>
        </w:rPr>
        <w:t xml:space="preserve"> </w:t>
      </w:r>
      <w:r>
        <w:rPr>
          <w:rFonts w:ascii="Calibri" w:hAnsi="Calibri"/>
        </w:rPr>
        <w:t>Urban Institute. (2016). “Welfare Rules Database.” Website: www.wrd.urban.og</w:t>
      </w:r>
      <w:r w:rsidRPr="007626F1">
        <w:rPr>
          <w:rFonts w:ascii="Calibri" w:hAnsi="Calibri"/>
        </w:rPr>
        <w:t>; U.S. Department of Health and Human Services</w:t>
      </w:r>
      <w:r>
        <w:rPr>
          <w:rFonts w:ascii="Calibri" w:hAnsi="Calibri"/>
        </w:rPr>
        <w:t>.</w:t>
      </w:r>
      <w:r w:rsidRPr="007626F1">
        <w:rPr>
          <w:rFonts w:ascii="Calibri" w:hAnsi="Calibri"/>
        </w:rPr>
        <w:t xml:space="preserve"> (2016)</w:t>
      </w:r>
      <w:r>
        <w:rPr>
          <w:rFonts w:ascii="Calibri" w:hAnsi="Calibri"/>
        </w:rPr>
        <w:t xml:space="preserve"> </w:t>
      </w:r>
      <w:r w:rsidRPr="00DD190D">
        <w:rPr>
          <w:rFonts w:ascii="Calibri" w:hAnsi="Calibri"/>
          <w:i/>
          <w:iCs/>
        </w:rPr>
        <w:t>Welfare Rules Databook: State TANF Policies as of July 2015</w:t>
      </w:r>
      <w:r w:rsidRPr="007626F1">
        <w:rPr>
          <w:rFonts w:ascii="Calibri" w:hAnsi="Calibri"/>
        </w:rPr>
        <w:t>.</w:t>
      </w:r>
      <w:r>
        <w:rPr>
          <w:rFonts w:ascii="Calibri" w:hAnsi="Calibri"/>
        </w:rPr>
        <w:t xml:space="preserve"> Washington, DC: Office of Planning, Research, and Evaluation, Administration for Children and Families, U.S. Department of Health and Human Services. </w:t>
      </w:r>
    </w:p>
  </w:footnote>
  <w:footnote w:id="3">
    <w:p w14:paraId="25A271DA" w14:textId="50516A74" w:rsidR="00C34C12" w:rsidRPr="007626F1" w:rsidRDefault="00C34C12" w:rsidP="007626F1">
      <w:pPr>
        <w:pStyle w:val="FootnoteText"/>
        <w:rPr>
          <w:rFonts w:ascii="Calibri" w:hAnsi="Calibri"/>
        </w:rPr>
      </w:pPr>
      <w:r w:rsidRPr="007626F1">
        <w:rPr>
          <w:rStyle w:val="FootnoteReference"/>
          <w:rFonts w:ascii="Calibri" w:hAnsi="Calibri"/>
        </w:rPr>
        <w:footnoteRef/>
      </w:r>
      <w:r w:rsidRPr="007626F1">
        <w:rPr>
          <w:rFonts w:ascii="Calibri" w:hAnsi="Calibri"/>
        </w:rPr>
        <w:t xml:space="preserve"> Medicaid</w:t>
      </w:r>
      <w:r>
        <w:rPr>
          <w:rFonts w:ascii="Calibri" w:hAnsi="Calibri"/>
        </w:rPr>
        <w:t>.</w:t>
      </w:r>
      <w:r w:rsidRPr="007626F1">
        <w:rPr>
          <w:rFonts w:ascii="Calibri" w:hAnsi="Calibri"/>
        </w:rPr>
        <w:t xml:space="preserve"> (2017).</w:t>
      </w:r>
      <w:r>
        <w:rPr>
          <w:rFonts w:ascii="Calibri" w:hAnsi="Calibri"/>
        </w:rPr>
        <w:t xml:space="preserve"> “Financing and Reimbursement.” Website: www.medicaid.gov/medicaid/financing-and-reimbursement</w:t>
      </w:r>
      <w:r w:rsidRPr="007626F1">
        <w:rPr>
          <w:rFonts w:ascii="Calibri" w:hAnsi="Calibri"/>
        </w:rPr>
        <w:t xml:space="preserve"> </w:t>
      </w:r>
    </w:p>
  </w:footnote>
  <w:footnote w:id="4">
    <w:p w14:paraId="63F68538" w14:textId="736C10FE" w:rsidR="00C34C12" w:rsidRPr="00E4335A" w:rsidRDefault="00C34C12" w:rsidP="007626F1">
      <w:pPr>
        <w:autoSpaceDE w:val="0"/>
        <w:autoSpaceDN w:val="0"/>
        <w:adjustRightInd w:val="0"/>
        <w:rPr>
          <w:rFonts w:asciiTheme="minorHAnsi" w:hAnsiTheme="minorHAnsi" w:cstheme="minorHAnsi"/>
        </w:rPr>
      </w:pPr>
      <w:r w:rsidRPr="00E4335A">
        <w:rPr>
          <w:rStyle w:val="FootnoteReference"/>
          <w:rFonts w:asciiTheme="minorHAnsi" w:hAnsiTheme="minorHAnsi" w:cstheme="minorHAnsi"/>
          <w:sz w:val="20"/>
          <w:szCs w:val="20"/>
        </w:rPr>
        <w:footnoteRef/>
      </w:r>
      <w:r w:rsidRPr="00E4335A">
        <w:rPr>
          <w:rFonts w:asciiTheme="minorHAnsi" w:hAnsiTheme="minorHAnsi" w:cstheme="minorHAnsi"/>
          <w:sz w:val="20"/>
          <w:szCs w:val="20"/>
        </w:rPr>
        <w:t xml:space="preserve"> Allard</w:t>
      </w:r>
      <w:r>
        <w:rPr>
          <w:rFonts w:asciiTheme="minorHAnsi" w:hAnsiTheme="minorHAnsi" w:cstheme="minorHAnsi"/>
          <w:sz w:val="20"/>
          <w:szCs w:val="20"/>
        </w:rPr>
        <w:t>, Scott W.</w:t>
      </w:r>
      <w:r w:rsidRPr="00E4335A">
        <w:rPr>
          <w:rFonts w:asciiTheme="minorHAnsi" w:hAnsiTheme="minorHAnsi" w:cstheme="minorHAnsi"/>
          <w:sz w:val="20"/>
          <w:szCs w:val="20"/>
        </w:rPr>
        <w:t xml:space="preserve"> (2009)</w:t>
      </w:r>
      <w:r>
        <w:rPr>
          <w:rFonts w:asciiTheme="minorHAnsi" w:hAnsiTheme="minorHAnsi" w:cstheme="minorHAnsi"/>
          <w:sz w:val="20"/>
          <w:szCs w:val="20"/>
        </w:rPr>
        <w:t xml:space="preserve">. “Mismatches and Unmet Needs: Access to Social Services in Urban and Rural America.” Pgs 337-368 in James P. Ziliak (ed.) </w:t>
      </w:r>
      <w:r>
        <w:rPr>
          <w:rFonts w:asciiTheme="minorHAnsi" w:hAnsiTheme="minorHAnsi" w:cstheme="minorHAnsi"/>
          <w:i/>
          <w:sz w:val="20"/>
          <w:szCs w:val="20"/>
        </w:rPr>
        <w:t>Welfare Reform and its Long-Term Consequences for America’s Poor</w:t>
      </w:r>
      <w:r>
        <w:rPr>
          <w:rFonts w:asciiTheme="minorHAnsi" w:hAnsiTheme="minorHAnsi" w:cstheme="minorHAnsi"/>
          <w:sz w:val="20"/>
          <w:szCs w:val="20"/>
        </w:rPr>
        <w:t>. Cambridge, England, UK: Cambridge University Press</w:t>
      </w:r>
      <w:r w:rsidRPr="00E4335A">
        <w:rPr>
          <w:rFonts w:asciiTheme="minorHAnsi" w:hAnsiTheme="minorHAnsi" w:cstheme="minorHAnsi"/>
          <w:sz w:val="20"/>
          <w:szCs w:val="20"/>
        </w:rPr>
        <w:t>; Allard</w:t>
      </w:r>
      <w:r>
        <w:rPr>
          <w:rFonts w:asciiTheme="minorHAnsi" w:hAnsiTheme="minorHAnsi" w:cstheme="minorHAnsi"/>
          <w:sz w:val="20"/>
          <w:szCs w:val="20"/>
        </w:rPr>
        <w:t>, Scott W.</w:t>
      </w:r>
      <w:r w:rsidRPr="00E4335A">
        <w:rPr>
          <w:rFonts w:asciiTheme="minorHAnsi" w:hAnsiTheme="minorHAnsi" w:cstheme="minorHAnsi"/>
          <w:sz w:val="20"/>
          <w:szCs w:val="20"/>
        </w:rPr>
        <w:t xml:space="preserve"> (2008).</w:t>
      </w:r>
      <w:r>
        <w:rPr>
          <w:rFonts w:asciiTheme="minorHAnsi" w:hAnsiTheme="minorHAnsi" w:cstheme="minorHAnsi"/>
          <w:sz w:val="20"/>
          <w:szCs w:val="20"/>
        </w:rPr>
        <w:t xml:space="preserve"> </w:t>
      </w:r>
      <w:r>
        <w:rPr>
          <w:rFonts w:asciiTheme="minorHAnsi" w:hAnsiTheme="minorHAnsi" w:cstheme="minorHAnsi"/>
          <w:i/>
          <w:sz w:val="20"/>
          <w:szCs w:val="20"/>
        </w:rPr>
        <w:t>Out of Reach: Place, Poverty, and the New American Welfare State</w:t>
      </w:r>
      <w:r>
        <w:rPr>
          <w:rFonts w:asciiTheme="minorHAnsi" w:hAnsiTheme="minorHAnsi" w:cstheme="minorHAnsi"/>
          <w:sz w:val="20"/>
          <w:szCs w:val="20"/>
        </w:rPr>
        <w:t xml:space="preserve">. New Haven, CT: Yale University Press.  </w:t>
      </w:r>
    </w:p>
  </w:footnote>
  <w:footnote w:id="5">
    <w:p w14:paraId="0361AB0F" w14:textId="77777777" w:rsidR="00C34C12" w:rsidRPr="007626F1" w:rsidRDefault="00C34C12" w:rsidP="007626F1">
      <w:pPr>
        <w:pStyle w:val="FootnoteText"/>
        <w:rPr>
          <w:rFonts w:ascii="Calibri" w:hAnsi="Calibri"/>
        </w:rPr>
      </w:pPr>
      <w:r w:rsidRPr="007626F1">
        <w:rPr>
          <w:rStyle w:val="FootnoteReference"/>
          <w:rFonts w:ascii="Calibri" w:hAnsi="Calibri"/>
        </w:rPr>
        <w:footnoteRef/>
      </w:r>
      <w:r w:rsidRPr="007626F1">
        <w:rPr>
          <w:rFonts w:ascii="Calibri" w:hAnsi="Calibri"/>
        </w:rPr>
        <w:t xml:space="preserve"> Personal interview with Rashmita Mistry (January 5, 2017); Mistry, Spears Brown, Chow, and Collins (2012); Spyrou (2013). </w:t>
      </w:r>
    </w:p>
  </w:footnote>
  <w:footnote w:id="6">
    <w:p w14:paraId="54EC1FA3" w14:textId="77777777" w:rsidR="00C34C12" w:rsidRPr="007626F1" w:rsidRDefault="00C34C12" w:rsidP="007626F1">
      <w:pPr>
        <w:pStyle w:val="FootnoteText"/>
        <w:rPr>
          <w:rFonts w:ascii="Calibri" w:hAnsi="Calibri"/>
        </w:rPr>
      </w:pPr>
      <w:r w:rsidRPr="007626F1">
        <w:rPr>
          <w:rStyle w:val="FootnoteReference"/>
          <w:rFonts w:ascii="Calibri" w:hAnsi="Calibri"/>
        </w:rPr>
        <w:footnoteRef/>
      </w:r>
      <w:r w:rsidRPr="007626F1">
        <w:rPr>
          <w:rFonts w:ascii="Calibri" w:hAnsi="Calibri"/>
        </w:rPr>
        <w:t xml:space="preserve"> Personal interview with Linda Mayes (December 20, 2016).</w:t>
      </w:r>
    </w:p>
  </w:footnote>
  <w:footnote w:id="7">
    <w:p w14:paraId="3B9540D5" w14:textId="67E50644" w:rsidR="00C34C12" w:rsidRPr="00E20EE6" w:rsidRDefault="00C34C12" w:rsidP="00E20EE6">
      <w:pPr>
        <w:pStyle w:val="FootnoteText"/>
        <w:rPr>
          <w:rFonts w:ascii="Calibri" w:hAnsi="Calibri"/>
        </w:rPr>
      </w:pPr>
      <w:r w:rsidRPr="00E20EE6">
        <w:rPr>
          <w:rStyle w:val="FootnoteReference"/>
          <w:rFonts w:ascii="Calibri" w:hAnsi="Calibri"/>
        </w:rPr>
        <w:footnoteRef/>
      </w:r>
      <w:r w:rsidRPr="00E20EE6">
        <w:rPr>
          <w:rFonts w:ascii="Calibri" w:hAnsi="Calibri"/>
        </w:rPr>
        <w:t xml:space="preserve"> Ryan (2013), see Table 3.</w:t>
      </w:r>
    </w:p>
  </w:footnote>
  <w:footnote w:id="8">
    <w:p w14:paraId="46FFB17A" w14:textId="54BE4D6F" w:rsidR="00C34C12" w:rsidRPr="00D05C1B" w:rsidRDefault="00C34C12" w:rsidP="00D05C1B">
      <w:pPr>
        <w:pStyle w:val="CommentText"/>
        <w:rPr>
          <w:rFonts w:asciiTheme="minorHAnsi" w:hAnsiTheme="minorHAnsi"/>
        </w:rPr>
      </w:pPr>
      <w:r w:rsidRPr="00D05C1B">
        <w:rPr>
          <w:rStyle w:val="FootnoteReference"/>
          <w:rFonts w:asciiTheme="minorHAnsi" w:hAnsiTheme="minorHAnsi"/>
        </w:rPr>
        <w:footnoteRef/>
      </w:r>
      <w:r w:rsidRPr="00D05C1B">
        <w:rPr>
          <w:rFonts w:asciiTheme="minorHAnsi" w:hAnsiTheme="minorHAnsi"/>
        </w:rPr>
        <w:t xml:space="preserve"> Among the general population Spanish is spoken among 62% of those speaking a language other than English, followed by 4.8% speaking Chinese. The percentages for other languages range from 2.6%-.2% of those speaking a language other than English. Therefore, eligibility criteria to participate in the study are either English or Spanish Speaking. (Ryan, 2013).</w:t>
      </w:r>
    </w:p>
  </w:footnote>
  <w:footnote w:id="9">
    <w:p w14:paraId="0D5919D5" w14:textId="5983F980" w:rsidR="00C34C12" w:rsidRPr="009809C9" w:rsidRDefault="00C34C12">
      <w:pPr>
        <w:pStyle w:val="FootnoteText"/>
        <w:rPr>
          <w:rFonts w:ascii="Garamond" w:hAnsi="Garamond" w:cstheme="minorBidi"/>
        </w:rPr>
      </w:pPr>
      <w:r w:rsidRPr="009809C9">
        <w:rPr>
          <w:rStyle w:val="FootnoteReference"/>
          <w:rFonts w:ascii="Garamond" w:hAnsi="Garamond" w:cstheme="minorBidi"/>
        </w:rPr>
        <w:footnoteRef/>
      </w:r>
      <w:r w:rsidRPr="009809C9">
        <w:rPr>
          <w:rFonts w:ascii="Garamond" w:hAnsi="Garamond" w:cstheme="minorBidi"/>
        </w:rPr>
        <w:t xml:space="preserve"> U.S. Census Bureau, Current Population Survey, 2018 Annual Social and Economic Supplement. Table POV04: Families by Age of Householder, Number of Children, and Family Structure: 2017. Retrieved from </w:t>
      </w:r>
      <w:hyperlink r:id="rId1" w:anchor="par_textimage_14" w:history="1">
        <w:r w:rsidRPr="009809C9">
          <w:rPr>
            <w:rStyle w:val="Hyperlink"/>
            <w:rFonts w:ascii="Garamond" w:hAnsi="Garamond" w:cstheme="minorBidi"/>
          </w:rPr>
          <w:t>https://www.census.gov/data/tables/time-series/demo/income-poverty/cps-pov/pov-04.html#par_textimage_14</w:t>
        </w:r>
      </w:hyperlink>
      <w:r w:rsidRPr="009809C9">
        <w:rPr>
          <w:rFonts w:ascii="Garamond" w:hAnsi="Garamond" w:cstheme="minorBidi"/>
        </w:rPr>
        <w:t>, February 8, 2019.</w:t>
      </w:r>
    </w:p>
  </w:footnote>
  <w:footnote w:id="10">
    <w:p w14:paraId="267FB34D" w14:textId="77777777" w:rsidR="00C34C12" w:rsidRPr="0062299A" w:rsidRDefault="00C34C12" w:rsidP="006010EC">
      <w:pPr>
        <w:pStyle w:val="FootnoteText"/>
        <w:rPr>
          <w:rFonts w:ascii="Garamond" w:hAnsi="Garamond"/>
        </w:rPr>
      </w:pPr>
      <w:r w:rsidRPr="0062299A">
        <w:rPr>
          <w:rStyle w:val="FootnoteReference"/>
          <w:rFonts w:ascii="Garamond" w:hAnsi="Garamond"/>
        </w:rPr>
        <w:footnoteRef/>
      </w:r>
      <w:r w:rsidRPr="0062299A">
        <w:rPr>
          <w:rFonts w:ascii="Garamond" w:hAnsi="Garamond"/>
        </w:rPr>
        <w:t xml:space="preserve"> </w:t>
      </w:r>
      <w:r w:rsidRPr="0062299A">
        <w:rPr>
          <w:rFonts w:ascii="Garamond" w:hAnsi="Garamond"/>
          <w:color w:val="333333"/>
          <w:shd w:val="clear" w:color="auto" w:fill="FFFFFF"/>
        </w:rPr>
        <w:t>Dedoose Version </w:t>
      </w:r>
      <w:r w:rsidRPr="2482C030">
        <w:rPr>
          <w:rStyle w:val="Strong"/>
          <w:rFonts w:ascii="Garamond" w:hAnsi="Garamond"/>
          <w:i/>
          <w:iCs/>
          <w:color w:val="333333"/>
          <w:shd w:val="clear" w:color="auto" w:fill="FFFFFF"/>
        </w:rPr>
        <w:t>7.0.23</w:t>
      </w:r>
      <w:r w:rsidRPr="00711E8B">
        <w:rPr>
          <w:rFonts w:ascii="Garamond" w:hAnsi="Garamond"/>
          <w:b/>
          <w:bCs/>
          <w:color w:val="333333"/>
          <w:shd w:val="clear" w:color="auto" w:fill="FFFFFF"/>
        </w:rPr>
        <w:t>,</w:t>
      </w:r>
      <w:r w:rsidRPr="0062299A">
        <w:rPr>
          <w:rFonts w:ascii="Garamond" w:hAnsi="Garamond"/>
          <w:color w:val="333333"/>
          <w:shd w:val="clear" w:color="auto" w:fill="FFFFFF"/>
        </w:rPr>
        <w:t xml:space="preserve"> web application for managing, analyzing, and presenting qualitative and mixed method research data </w:t>
      </w:r>
      <w:r w:rsidRPr="2482C030">
        <w:rPr>
          <w:rStyle w:val="Strong"/>
          <w:rFonts w:ascii="Garamond" w:hAnsi="Garamond"/>
          <w:i/>
          <w:iCs/>
          <w:color w:val="333333"/>
          <w:shd w:val="clear" w:color="auto" w:fill="FFFFFF"/>
        </w:rPr>
        <w:t>(2016)</w:t>
      </w:r>
      <w:r w:rsidRPr="00711E8B">
        <w:rPr>
          <w:rFonts w:ascii="Garamond" w:hAnsi="Garamond"/>
          <w:b/>
          <w:bCs/>
          <w:color w:val="333333"/>
          <w:shd w:val="clear" w:color="auto" w:fill="FFFFFF"/>
        </w:rPr>
        <w:t>.</w:t>
      </w:r>
      <w:r w:rsidRPr="0062299A">
        <w:rPr>
          <w:rFonts w:ascii="Garamond" w:hAnsi="Garamond"/>
          <w:color w:val="333333"/>
          <w:shd w:val="clear" w:color="auto" w:fill="FFFFFF"/>
        </w:rPr>
        <w:t xml:space="preserve"> Los Angeles, CA: SocioCultural Research Consultants, LLC </w:t>
      </w:r>
      <w:hyperlink r:id="rId2" w:history="1">
        <w:r w:rsidRPr="0062299A">
          <w:rPr>
            <w:rStyle w:val="Hyperlink"/>
            <w:rFonts w:ascii="Garamond" w:hAnsi="Garamond"/>
            <w:color w:val="EF2F20"/>
            <w:shd w:val="clear" w:color="auto" w:fill="FFFFFF"/>
          </w:rPr>
          <w:t>www.dedoose.com</w:t>
        </w:r>
      </w:hyperlink>
      <w:r w:rsidRPr="0062299A">
        <w:rPr>
          <w:rFonts w:ascii="Garamond" w:hAnsi="Garamond"/>
          <w:color w:val="333333"/>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4C37" w14:textId="36EABCEB" w:rsidR="00C34C12" w:rsidRDefault="00C34C12" w:rsidP="00FE1C8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731131"/>
    <w:multiLevelType w:val="hybridMultilevel"/>
    <w:tmpl w:val="8D7097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B4B5D"/>
    <w:multiLevelType w:val="hybridMultilevel"/>
    <w:tmpl w:val="960CBC6C"/>
    <w:lvl w:ilvl="0" w:tplc="04090003">
      <w:start w:val="1"/>
      <w:numFmt w:val="bullet"/>
      <w:lvlText w:val="o"/>
      <w:lvlJc w:val="left"/>
      <w:pPr>
        <w:ind w:left="1440" w:hanging="360"/>
      </w:pPr>
      <w:rPr>
        <w:rFonts w:ascii="Courier New" w:hAnsi="Courier New" w:cs="Courier New"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EF2527"/>
    <w:multiLevelType w:val="hybridMultilevel"/>
    <w:tmpl w:val="F1FC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B447C3"/>
    <w:multiLevelType w:val="hybridMultilevel"/>
    <w:tmpl w:val="70865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04697"/>
    <w:multiLevelType w:val="hybridMultilevel"/>
    <w:tmpl w:val="805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0F5412"/>
    <w:multiLevelType w:val="hybridMultilevel"/>
    <w:tmpl w:val="87AA09F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11DDA"/>
    <w:multiLevelType w:val="multilevel"/>
    <w:tmpl w:val="C50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B08024D"/>
    <w:multiLevelType w:val="hybridMultilevel"/>
    <w:tmpl w:val="F920FE66"/>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A1725E"/>
    <w:multiLevelType w:val="hybridMultilevel"/>
    <w:tmpl w:val="82DE0C8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FD2594"/>
    <w:multiLevelType w:val="hybridMultilevel"/>
    <w:tmpl w:val="9FFE6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510D81"/>
    <w:multiLevelType w:val="hybridMultilevel"/>
    <w:tmpl w:val="71A2EA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7"/>
  </w:num>
  <w:num w:numId="4">
    <w:abstractNumId w:val="9"/>
  </w:num>
  <w:num w:numId="5">
    <w:abstractNumId w:val="10"/>
  </w:num>
  <w:num w:numId="6">
    <w:abstractNumId w:val="21"/>
  </w:num>
  <w:num w:numId="7">
    <w:abstractNumId w:val="20"/>
  </w:num>
  <w:num w:numId="8">
    <w:abstractNumId w:val="12"/>
  </w:num>
  <w:num w:numId="9">
    <w:abstractNumId w:val="13"/>
  </w:num>
  <w:num w:numId="10">
    <w:abstractNumId w:val="2"/>
  </w:num>
  <w:num w:numId="11">
    <w:abstractNumId w:val="0"/>
  </w:num>
  <w:num w:numId="12">
    <w:abstractNumId w:val="3"/>
  </w:num>
  <w:num w:numId="13">
    <w:abstractNumId w:val="23"/>
  </w:num>
  <w:num w:numId="14">
    <w:abstractNumId w:val="8"/>
  </w:num>
  <w:num w:numId="15">
    <w:abstractNumId w:val="15"/>
  </w:num>
  <w:num w:numId="16">
    <w:abstractNumId w:val="7"/>
  </w:num>
  <w:num w:numId="17">
    <w:abstractNumId w:val="22"/>
  </w:num>
  <w:num w:numId="18">
    <w:abstractNumId w:val="24"/>
  </w:num>
  <w:num w:numId="19">
    <w:abstractNumId w:val="11"/>
  </w:num>
  <w:num w:numId="20">
    <w:abstractNumId w:val="5"/>
  </w:num>
  <w:num w:numId="21">
    <w:abstractNumId w:val="16"/>
  </w:num>
  <w:num w:numId="22">
    <w:abstractNumId w:val="6"/>
  </w:num>
  <w:num w:numId="23">
    <w:abstractNumId w:val="14"/>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20F56"/>
    <w:rsid w:val="00022D6F"/>
    <w:rsid w:val="00046222"/>
    <w:rsid w:val="00055D4F"/>
    <w:rsid w:val="00071845"/>
    <w:rsid w:val="00075095"/>
    <w:rsid w:val="00082CDC"/>
    <w:rsid w:val="00083AFC"/>
    <w:rsid w:val="000860DA"/>
    <w:rsid w:val="000862CD"/>
    <w:rsid w:val="00091C59"/>
    <w:rsid w:val="000940E5"/>
    <w:rsid w:val="00096CBA"/>
    <w:rsid w:val="000A7C22"/>
    <w:rsid w:val="000B5EA8"/>
    <w:rsid w:val="000D0E63"/>
    <w:rsid w:val="000D3855"/>
    <w:rsid w:val="000D53DF"/>
    <w:rsid w:val="000E6F12"/>
    <w:rsid w:val="000F03BD"/>
    <w:rsid w:val="000F0854"/>
    <w:rsid w:val="000F3F2C"/>
    <w:rsid w:val="000F5D39"/>
    <w:rsid w:val="00110FB4"/>
    <w:rsid w:val="001114C8"/>
    <w:rsid w:val="00112E64"/>
    <w:rsid w:val="00122841"/>
    <w:rsid w:val="001228DF"/>
    <w:rsid w:val="0012667E"/>
    <w:rsid w:val="00131DEC"/>
    <w:rsid w:val="001350D8"/>
    <w:rsid w:val="00141E6B"/>
    <w:rsid w:val="00144714"/>
    <w:rsid w:val="00147D65"/>
    <w:rsid w:val="00152D47"/>
    <w:rsid w:val="001550F9"/>
    <w:rsid w:val="0016012E"/>
    <w:rsid w:val="001779C2"/>
    <w:rsid w:val="00183C0F"/>
    <w:rsid w:val="00195F19"/>
    <w:rsid w:val="00196121"/>
    <w:rsid w:val="001A00CD"/>
    <w:rsid w:val="001A7195"/>
    <w:rsid w:val="001B1127"/>
    <w:rsid w:val="001B4E2D"/>
    <w:rsid w:val="001C1837"/>
    <w:rsid w:val="001C4D60"/>
    <w:rsid w:val="001D08FC"/>
    <w:rsid w:val="001D69A8"/>
    <w:rsid w:val="001D772B"/>
    <w:rsid w:val="001E1D51"/>
    <w:rsid w:val="001F7896"/>
    <w:rsid w:val="0020370E"/>
    <w:rsid w:val="0020382F"/>
    <w:rsid w:val="00205069"/>
    <w:rsid w:val="00216C4B"/>
    <w:rsid w:val="002206F9"/>
    <w:rsid w:val="002231FA"/>
    <w:rsid w:val="00234E8D"/>
    <w:rsid w:val="00235A6D"/>
    <w:rsid w:val="00247A46"/>
    <w:rsid w:val="002514BE"/>
    <w:rsid w:val="00253148"/>
    <w:rsid w:val="00260DD3"/>
    <w:rsid w:val="00262109"/>
    <w:rsid w:val="002625DA"/>
    <w:rsid w:val="00265D46"/>
    <w:rsid w:val="00267016"/>
    <w:rsid w:val="0027551D"/>
    <w:rsid w:val="00280015"/>
    <w:rsid w:val="00282B86"/>
    <w:rsid w:val="00282BF0"/>
    <w:rsid w:val="00283404"/>
    <w:rsid w:val="00292B70"/>
    <w:rsid w:val="002940C4"/>
    <w:rsid w:val="002A1F68"/>
    <w:rsid w:val="002B4DBE"/>
    <w:rsid w:val="002C2E21"/>
    <w:rsid w:val="002E12D6"/>
    <w:rsid w:val="002F5B94"/>
    <w:rsid w:val="002F727C"/>
    <w:rsid w:val="00300E4A"/>
    <w:rsid w:val="00317C49"/>
    <w:rsid w:val="00324350"/>
    <w:rsid w:val="003277A1"/>
    <w:rsid w:val="003326E9"/>
    <w:rsid w:val="003567AC"/>
    <w:rsid w:val="00361524"/>
    <w:rsid w:val="0037156C"/>
    <w:rsid w:val="00372CD6"/>
    <w:rsid w:val="00374DAB"/>
    <w:rsid w:val="003907D4"/>
    <w:rsid w:val="003921B1"/>
    <w:rsid w:val="00393E87"/>
    <w:rsid w:val="003A0DFA"/>
    <w:rsid w:val="003B4857"/>
    <w:rsid w:val="003D0ED9"/>
    <w:rsid w:val="003D1370"/>
    <w:rsid w:val="003D5231"/>
    <w:rsid w:val="003D6E2B"/>
    <w:rsid w:val="003D7266"/>
    <w:rsid w:val="003E0F8D"/>
    <w:rsid w:val="003F5F97"/>
    <w:rsid w:val="003F7428"/>
    <w:rsid w:val="003F7507"/>
    <w:rsid w:val="0040617B"/>
    <w:rsid w:val="00413095"/>
    <w:rsid w:val="00424B61"/>
    <w:rsid w:val="0043510E"/>
    <w:rsid w:val="00436950"/>
    <w:rsid w:val="00454E23"/>
    <w:rsid w:val="004554B1"/>
    <w:rsid w:val="00456E2F"/>
    <w:rsid w:val="00463AFE"/>
    <w:rsid w:val="004677FD"/>
    <w:rsid w:val="00480653"/>
    <w:rsid w:val="00481648"/>
    <w:rsid w:val="00482ADE"/>
    <w:rsid w:val="00482DDE"/>
    <w:rsid w:val="004924AD"/>
    <w:rsid w:val="00496E40"/>
    <w:rsid w:val="004979B3"/>
    <w:rsid w:val="004B1583"/>
    <w:rsid w:val="004B587E"/>
    <w:rsid w:val="004C3940"/>
    <w:rsid w:val="004C6DBA"/>
    <w:rsid w:val="004D2D75"/>
    <w:rsid w:val="004D301D"/>
    <w:rsid w:val="004D6CA9"/>
    <w:rsid w:val="004E0DF4"/>
    <w:rsid w:val="004E42E3"/>
    <w:rsid w:val="004E539E"/>
    <w:rsid w:val="004F4E1D"/>
    <w:rsid w:val="00502D54"/>
    <w:rsid w:val="005040A9"/>
    <w:rsid w:val="005046F0"/>
    <w:rsid w:val="00520737"/>
    <w:rsid w:val="00520A96"/>
    <w:rsid w:val="00522ABD"/>
    <w:rsid w:val="005312F6"/>
    <w:rsid w:val="00532354"/>
    <w:rsid w:val="005340EC"/>
    <w:rsid w:val="005353B7"/>
    <w:rsid w:val="00541024"/>
    <w:rsid w:val="005417EB"/>
    <w:rsid w:val="005448D2"/>
    <w:rsid w:val="00553A3D"/>
    <w:rsid w:val="00571398"/>
    <w:rsid w:val="0057375F"/>
    <w:rsid w:val="00582006"/>
    <w:rsid w:val="00597BAF"/>
    <w:rsid w:val="005A64C5"/>
    <w:rsid w:val="005B3D55"/>
    <w:rsid w:val="005B3FF8"/>
    <w:rsid w:val="005B7E91"/>
    <w:rsid w:val="005C0EBC"/>
    <w:rsid w:val="005C529D"/>
    <w:rsid w:val="005D25BC"/>
    <w:rsid w:val="005D3FE7"/>
    <w:rsid w:val="005D5590"/>
    <w:rsid w:val="005D6217"/>
    <w:rsid w:val="005E04B9"/>
    <w:rsid w:val="005E17E2"/>
    <w:rsid w:val="005E39B9"/>
    <w:rsid w:val="005E55CB"/>
    <w:rsid w:val="005E72B3"/>
    <w:rsid w:val="005E7A8E"/>
    <w:rsid w:val="005F1DE4"/>
    <w:rsid w:val="005F2061"/>
    <w:rsid w:val="005F6E42"/>
    <w:rsid w:val="006010EC"/>
    <w:rsid w:val="00604795"/>
    <w:rsid w:val="00607351"/>
    <w:rsid w:val="0061223C"/>
    <w:rsid w:val="00622ADF"/>
    <w:rsid w:val="006236EE"/>
    <w:rsid w:val="00646B36"/>
    <w:rsid w:val="00650768"/>
    <w:rsid w:val="00651DBA"/>
    <w:rsid w:val="00653229"/>
    <w:rsid w:val="00654FA3"/>
    <w:rsid w:val="00657424"/>
    <w:rsid w:val="00657DD9"/>
    <w:rsid w:val="00662A59"/>
    <w:rsid w:val="0066645D"/>
    <w:rsid w:val="006774FF"/>
    <w:rsid w:val="00677C02"/>
    <w:rsid w:val="00682501"/>
    <w:rsid w:val="0068472B"/>
    <w:rsid w:val="00690968"/>
    <w:rsid w:val="00693BCE"/>
    <w:rsid w:val="006A04E1"/>
    <w:rsid w:val="006A1A83"/>
    <w:rsid w:val="006A357C"/>
    <w:rsid w:val="006A4745"/>
    <w:rsid w:val="006A7B41"/>
    <w:rsid w:val="006B0E78"/>
    <w:rsid w:val="006B32DF"/>
    <w:rsid w:val="006B3C66"/>
    <w:rsid w:val="006B6845"/>
    <w:rsid w:val="006B6E39"/>
    <w:rsid w:val="006C1218"/>
    <w:rsid w:val="006C2C7E"/>
    <w:rsid w:val="006C4B55"/>
    <w:rsid w:val="006C67F1"/>
    <w:rsid w:val="006D16D6"/>
    <w:rsid w:val="006D28D6"/>
    <w:rsid w:val="006D3D27"/>
    <w:rsid w:val="006F30E0"/>
    <w:rsid w:val="00701045"/>
    <w:rsid w:val="00701691"/>
    <w:rsid w:val="007116DB"/>
    <w:rsid w:val="00711E8B"/>
    <w:rsid w:val="00713952"/>
    <w:rsid w:val="007219EC"/>
    <w:rsid w:val="0072204D"/>
    <w:rsid w:val="007269B0"/>
    <w:rsid w:val="00726A19"/>
    <w:rsid w:val="0073113E"/>
    <w:rsid w:val="007337FB"/>
    <w:rsid w:val="00733BD4"/>
    <w:rsid w:val="0073498D"/>
    <w:rsid w:val="007369F8"/>
    <w:rsid w:val="0074014E"/>
    <w:rsid w:val="00757978"/>
    <w:rsid w:val="007626F1"/>
    <w:rsid w:val="007672D8"/>
    <w:rsid w:val="00771703"/>
    <w:rsid w:val="00771890"/>
    <w:rsid w:val="00772457"/>
    <w:rsid w:val="00775D02"/>
    <w:rsid w:val="00782E50"/>
    <w:rsid w:val="00784137"/>
    <w:rsid w:val="00786188"/>
    <w:rsid w:val="00794E99"/>
    <w:rsid w:val="00796CB0"/>
    <w:rsid w:val="00797A38"/>
    <w:rsid w:val="007A073F"/>
    <w:rsid w:val="007A4058"/>
    <w:rsid w:val="007D1381"/>
    <w:rsid w:val="007E101B"/>
    <w:rsid w:val="007E3ACF"/>
    <w:rsid w:val="007F43E9"/>
    <w:rsid w:val="0080233F"/>
    <w:rsid w:val="00807A71"/>
    <w:rsid w:val="00813173"/>
    <w:rsid w:val="008172E0"/>
    <w:rsid w:val="00824031"/>
    <w:rsid w:val="0082455D"/>
    <w:rsid w:val="00825E0F"/>
    <w:rsid w:val="00832C61"/>
    <w:rsid w:val="00843DF4"/>
    <w:rsid w:val="00846807"/>
    <w:rsid w:val="00866EEA"/>
    <w:rsid w:val="0087234E"/>
    <w:rsid w:val="00874674"/>
    <w:rsid w:val="008762CB"/>
    <w:rsid w:val="00885392"/>
    <w:rsid w:val="00890ADC"/>
    <w:rsid w:val="008A21C2"/>
    <w:rsid w:val="008A392F"/>
    <w:rsid w:val="008A4DAC"/>
    <w:rsid w:val="008B1D5C"/>
    <w:rsid w:val="008B3D1A"/>
    <w:rsid w:val="008B6A5B"/>
    <w:rsid w:val="008B79EF"/>
    <w:rsid w:val="008B7F2C"/>
    <w:rsid w:val="008C4929"/>
    <w:rsid w:val="008C5C5F"/>
    <w:rsid w:val="008D3DD6"/>
    <w:rsid w:val="008D4101"/>
    <w:rsid w:val="008D4864"/>
    <w:rsid w:val="008E3724"/>
    <w:rsid w:val="008E634E"/>
    <w:rsid w:val="008F095A"/>
    <w:rsid w:val="00910080"/>
    <w:rsid w:val="00922634"/>
    <w:rsid w:val="00931471"/>
    <w:rsid w:val="00932D71"/>
    <w:rsid w:val="00940AFF"/>
    <w:rsid w:val="009430ED"/>
    <w:rsid w:val="00945CD6"/>
    <w:rsid w:val="00952181"/>
    <w:rsid w:val="009554CF"/>
    <w:rsid w:val="00963CD1"/>
    <w:rsid w:val="009648CE"/>
    <w:rsid w:val="009679EE"/>
    <w:rsid w:val="00974826"/>
    <w:rsid w:val="009803F1"/>
    <w:rsid w:val="009809C9"/>
    <w:rsid w:val="00983989"/>
    <w:rsid w:val="009B20AA"/>
    <w:rsid w:val="009B5FFA"/>
    <w:rsid w:val="009C59CB"/>
    <w:rsid w:val="009D272E"/>
    <w:rsid w:val="009D47D2"/>
    <w:rsid w:val="009E7EA4"/>
    <w:rsid w:val="009F02E3"/>
    <w:rsid w:val="00A27C62"/>
    <w:rsid w:val="00A27FEF"/>
    <w:rsid w:val="00A34E22"/>
    <w:rsid w:val="00A35E23"/>
    <w:rsid w:val="00A43628"/>
    <w:rsid w:val="00A47FDB"/>
    <w:rsid w:val="00A57496"/>
    <w:rsid w:val="00A76729"/>
    <w:rsid w:val="00A80B84"/>
    <w:rsid w:val="00A90C31"/>
    <w:rsid w:val="00A91351"/>
    <w:rsid w:val="00A93093"/>
    <w:rsid w:val="00A934DC"/>
    <w:rsid w:val="00A95A45"/>
    <w:rsid w:val="00AA29C0"/>
    <w:rsid w:val="00AB6059"/>
    <w:rsid w:val="00AC4338"/>
    <w:rsid w:val="00AC547B"/>
    <w:rsid w:val="00AC6861"/>
    <w:rsid w:val="00AD2C6B"/>
    <w:rsid w:val="00AD31E9"/>
    <w:rsid w:val="00AD733E"/>
    <w:rsid w:val="00AE13A2"/>
    <w:rsid w:val="00AF40EE"/>
    <w:rsid w:val="00AF51CC"/>
    <w:rsid w:val="00B00DFB"/>
    <w:rsid w:val="00B06D6E"/>
    <w:rsid w:val="00B118A0"/>
    <w:rsid w:val="00B14396"/>
    <w:rsid w:val="00B16C5B"/>
    <w:rsid w:val="00B33BB0"/>
    <w:rsid w:val="00B36EA8"/>
    <w:rsid w:val="00B40DB8"/>
    <w:rsid w:val="00B479CB"/>
    <w:rsid w:val="00B50259"/>
    <w:rsid w:val="00B603B0"/>
    <w:rsid w:val="00B60ED1"/>
    <w:rsid w:val="00B621CD"/>
    <w:rsid w:val="00B63070"/>
    <w:rsid w:val="00B662D2"/>
    <w:rsid w:val="00B73076"/>
    <w:rsid w:val="00B907E1"/>
    <w:rsid w:val="00BC23DE"/>
    <w:rsid w:val="00BC47E0"/>
    <w:rsid w:val="00BD4CFB"/>
    <w:rsid w:val="00BD5556"/>
    <w:rsid w:val="00BD7207"/>
    <w:rsid w:val="00BE17F5"/>
    <w:rsid w:val="00BE48AA"/>
    <w:rsid w:val="00BF5ACE"/>
    <w:rsid w:val="00C02E66"/>
    <w:rsid w:val="00C06E80"/>
    <w:rsid w:val="00C1069B"/>
    <w:rsid w:val="00C12B95"/>
    <w:rsid w:val="00C20696"/>
    <w:rsid w:val="00C20E93"/>
    <w:rsid w:val="00C22BCD"/>
    <w:rsid w:val="00C2679E"/>
    <w:rsid w:val="00C34C12"/>
    <w:rsid w:val="00C35BD9"/>
    <w:rsid w:val="00C447E8"/>
    <w:rsid w:val="00C50DB3"/>
    <w:rsid w:val="00C522A4"/>
    <w:rsid w:val="00C528DD"/>
    <w:rsid w:val="00C56A37"/>
    <w:rsid w:val="00C56EA9"/>
    <w:rsid w:val="00C75EEF"/>
    <w:rsid w:val="00C768BA"/>
    <w:rsid w:val="00C77D0E"/>
    <w:rsid w:val="00C82365"/>
    <w:rsid w:val="00C90215"/>
    <w:rsid w:val="00C93C89"/>
    <w:rsid w:val="00CA28B2"/>
    <w:rsid w:val="00CC0FE0"/>
    <w:rsid w:val="00CC1418"/>
    <w:rsid w:val="00CE0D63"/>
    <w:rsid w:val="00CE5FE0"/>
    <w:rsid w:val="00CE6EFF"/>
    <w:rsid w:val="00CF349D"/>
    <w:rsid w:val="00CF43C7"/>
    <w:rsid w:val="00CF578E"/>
    <w:rsid w:val="00D012A6"/>
    <w:rsid w:val="00D05C1B"/>
    <w:rsid w:val="00D06D5F"/>
    <w:rsid w:val="00D10533"/>
    <w:rsid w:val="00D13EE8"/>
    <w:rsid w:val="00D148E1"/>
    <w:rsid w:val="00D17E82"/>
    <w:rsid w:val="00D32D50"/>
    <w:rsid w:val="00D37C7C"/>
    <w:rsid w:val="00D41790"/>
    <w:rsid w:val="00D43BE1"/>
    <w:rsid w:val="00D519D9"/>
    <w:rsid w:val="00D661B9"/>
    <w:rsid w:val="00D70E19"/>
    <w:rsid w:val="00D843C8"/>
    <w:rsid w:val="00DC0760"/>
    <w:rsid w:val="00DC1CB6"/>
    <w:rsid w:val="00DC3CBA"/>
    <w:rsid w:val="00DD190D"/>
    <w:rsid w:val="00DD7D2D"/>
    <w:rsid w:val="00DE20B8"/>
    <w:rsid w:val="00DE23BB"/>
    <w:rsid w:val="00E03B23"/>
    <w:rsid w:val="00E05A0A"/>
    <w:rsid w:val="00E20EE6"/>
    <w:rsid w:val="00E24C07"/>
    <w:rsid w:val="00E26829"/>
    <w:rsid w:val="00E2759C"/>
    <w:rsid w:val="00E41D46"/>
    <w:rsid w:val="00E4335A"/>
    <w:rsid w:val="00E5213E"/>
    <w:rsid w:val="00E5351D"/>
    <w:rsid w:val="00E57A35"/>
    <w:rsid w:val="00E67892"/>
    <w:rsid w:val="00E709D8"/>
    <w:rsid w:val="00E72E9A"/>
    <w:rsid w:val="00E766D9"/>
    <w:rsid w:val="00E82D2A"/>
    <w:rsid w:val="00E90743"/>
    <w:rsid w:val="00E94CA2"/>
    <w:rsid w:val="00E9659A"/>
    <w:rsid w:val="00EA699A"/>
    <w:rsid w:val="00EB1F55"/>
    <w:rsid w:val="00EB5B54"/>
    <w:rsid w:val="00EC329F"/>
    <w:rsid w:val="00EC52ED"/>
    <w:rsid w:val="00EC6101"/>
    <w:rsid w:val="00ED0375"/>
    <w:rsid w:val="00ED0612"/>
    <w:rsid w:val="00ED2F02"/>
    <w:rsid w:val="00EE45E4"/>
    <w:rsid w:val="00EE56A2"/>
    <w:rsid w:val="00EE6519"/>
    <w:rsid w:val="00F00183"/>
    <w:rsid w:val="00F0670D"/>
    <w:rsid w:val="00F20419"/>
    <w:rsid w:val="00F20C0C"/>
    <w:rsid w:val="00F302DA"/>
    <w:rsid w:val="00F35F3C"/>
    <w:rsid w:val="00F41AA5"/>
    <w:rsid w:val="00F529F8"/>
    <w:rsid w:val="00F55F37"/>
    <w:rsid w:val="00F56220"/>
    <w:rsid w:val="00F6478A"/>
    <w:rsid w:val="00F73374"/>
    <w:rsid w:val="00F74F04"/>
    <w:rsid w:val="00F808EF"/>
    <w:rsid w:val="00F81DDE"/>
    <w:rsid w:val="00F86E75"/>
    <w:rsid w:val="00F95F02"/>
    <w:rsid w:val="00F96AAB"/>
    <w:rsid w:val="00FB4EB2"/>
    <w:rsid w:val="00FC04C5"/>
    <w:rsid w:val="00FC5BE7"/>
    <w:rsid w:val="00FD1B70"/>
    <w:rsid w:val="00FD4C17"/>
    <w:rsid w:val="00FD7600"/>
    <w:rsid w:val="00FE1C8E"/>
    <w:rsid w:val="00FE6384"/>
    <w:rsid w:val="00FF3048"/>
    <w:rsid w:val="00FF382F"/>
    <w:rsid w:val="13033F6E"/>
    <w:rsid w:val="1B6B71C9"/>
    <w:rsid w:val="2482C030"/>
    <w:rsid w:val="26A60F7C"/>
    <w:rsid w:val="2DD1B8C5"/>
    <w:rsid w:val="38F8C43C"/>
    <w:rsid w:val="3F74967B"/>
    <w:rsid w:val="50F20B0B"/>
    <w:rsid w:val="536B3BF3"/>
    <w:rsid w:val="57D57CB2"/>
    <w:rsid w:val="6463DC19"/>
    <w:rsid w:val="66EB408E"/>
    <w:rsid w:val="6CE06701"/>
    <w:rsid w:val="703CC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B8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498D"/>
    <w:pPr>
      <w:outlineLvl w:val="0"/>
    </w:pPr>
    <w:rPr>
      <w:rFonts w:ascii="Calibri Light" w:hAnsi="Calibri Light" w:cs="Calibri Light"/>
      <w:color w:val="E44044"/>
      <w:sz w:val="34"/>
      <w:szCs w:val="34"/>
    </w:rPr>
  </w:style>
  <w:style w:type="paragraph" w:styleId="Heading2">
    <w:name w:val="heading 2"/>
    <w:basedOn w:val="Normal"/>
    <w:next w:val="Normal"/>
    <w:link w:val="Heading2Char"/>
    <w:unhideWhenUsed/>
    <w:qFormat/>
    <w:rsid w:val="0073498D"/>
    <w:pPr>
      <w:keepNext/>
      <w:spacing w:before="240" w:after="60"/>
      <w:outlineLvl w:val="1"/>
    </w:pPr>
    <w:rPr>
      <w:rFonts w:ascii="Calibri" w:hAnsi="Calibri"/>
      <w:b/>
      <w:bCs/>
      <w:iCs/>
      <w:color w:val="1E4F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1Char">
    <w:name w:val="Heading 1 Char"/>
    <w:link w:val="Heading1"/>
    <w:rsid w:val="0073498D"/>
    <w:rPr>
      <w:rFonts w:ascii="Calibri Light" w:hAnsi="Calibri Light" w:cs="Calibri Light"/>
      <w:color w:val="E44044"/>
      <w:sz w:val="34"/>
      <w:szCs w:val="34"/>
    </w:rPr>
  </w:style>
  <w:style w:type="character" w:customStyle="1" w:styleId="Heading2Char">
    <w:name w:val="Heading 2 Char"/>
    <w:link w:val="Heading2"/>
    <w:rsid w:val="0073498D"/>
    <w:rPr>
      <w:rFonts w:ascii="Calibri" w:eastAsia="Times New Roman" w:hAnsi="Calibri" w:cs="Times New Roman"/>
      <w:b/>
      <w:bCs/>
      <w:iCs/>
      <w:color w:val="1E4F5C"/>
      <w:sz w:val="24"/>
      <w:szCs w:val="24"/>
    </w:rPr>
  </w:style>
  <w:style w:type="paragraph" w:styleId="ListParagraph">
    <w:name w:val="List Paragraph"/>
    <w:basedOn w:val="Normal"/>
    <w:uiPriority w:val="34"/>
    <w:qFormat/>
    <w:rsid w:val="003D0ED9"/>
    <w:pPr>
      <w:ind w:left="720"/>
    </w:pPr>
    <w:rPr>
      <w:rFonts w:ascii="Calibri" w:eastAsia="Calibri" w:hAnsi="Calibri"/>
      <w:sz w:val="22"/>
      <w:szCs w:val="22"/>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3D0ED9"/>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D0ED9"/>
  </w:style>
  <w:style w:type="character" w:styleId="FootnoteReference">
    <w:name w:val="footnote reference"/>
    <w:aliases w:val="*Footnote Reference,*Footnote Reference ALT-R"/>
    <w:uiPriority w:val="99"/>
    <w:unhideWhenUsed/>
    <w:rsid w:val="003D0ED9"/>
    <w:rPr>
      <w:vertAlign w:val="superscript"/>
    </w:rPr>
  </w:style>
  <w:style w:type="paragraph" w:styleId="NormalWeb">
    <w:name w:val="Normal (Web)"/>
    <w:basedOn w:val="Normal"/>
    <w:uiPriority w:val="99"/>
    <w:unhideWhenUsed/>
    <w:rsid w:val="00CF578E"/>
    <w:rPr>
      <w:rFonts w:eastAsia="Calibri"/>
    </w:rPr>
  </w:style>
  <w:style w:type="paragraph" w:customStyle="1" w:styleId="Exhibit">
    <w:name w:val="Exhibit"/>
    <w:basedOn w:val="Normal"/>
    <w:uiPriority w:val="99"/>
    <w:rsid w:val="00690968"/>
    <w:pPr>
      <w:spacing w:line="264" w:lineRule="auto"/>
    </w:pPr>
    <w:rPr>
      <w:rFonts w:ascii="Arial" w:hAnsi="Arial"/>
      <w:sz w:val="18"/>
      <w:szCs w:val="20"/>
    </w:rPr>
  </w:style>
  <w:style w:type="paragraph" w:customStyle="1" w:styleId="ExhibitColumnHeader">
    <w:name w:val="Exhibit Column Header"/>
    <w:basedOn w:val="Normal"/>
    <w:uiPriority w:val="99"/>
    <w:qFormat/>
    <w:rsid w:val="00690968"/>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F74F04"/>
    <w:pPr>
      <w:keepNext/>
      <w:keepLines/>
      <w:spacing w:before="240" w:line="259" w:lineRule="auto"/>
      <w:outlineLvl w:val="9"/>
    </w:pPr>
    <w:rPr>
      <w:rFonts w:cs="Times New Roman"/>
      <w:color w:val="2F5496"/>
      <w:sz w:val="32"/>
      <w:szCs w:val="32"/>
    </w:rPr>
  </w:style>
  <w:style w:type="paragraph" w:styleId="TOC1">
    <w:name w:val="toc 1"/>
    <w:basedOn w:val="Normal"/>
    <w:next w:val="Normal"/>
    <w:autoRedefine/>
    <w:uiPriority w:val="39"/>
    <w:rsid w:val="00F74F04"/>
  </w:style>
  <w:style w:type="paragraph" w:styleId="TOC2">
    <w:name w:val="toc 2"/>
    <w:basedOn w:val="Normal"/>
    <w:next w:val="Normal"/>
    <w:autoRedefine/>
    <w:uiPriority w:val="39"/>
    <w:rsid w:val="00F74F04"/>
    <w:pPr>
      <w:ind w:left="240"/>
    </w:pPr>
  </w:style>
  <w:style w:type="paragraph" w:styleId="Revision">
    <w:name w:val="Revision"/>
    <w:hidden/>
    <w:uiPriority w:val="99"/>
    <w:semiHidden/>
    <w:rsid w:val="00E5351D"/>
    <w:rPr>
      <w:sz w:val="24"/>
      <w:szCs w:val="24"/>
    </w:rPr>
  </w:style>
  <w:style w:type="character" w:styleId="Strong">
    <w:name w:val="Strong"/>
    <w:uiPriority w:val="22"/>
    <w:qFormat/>
    <w:rsid w:val="006010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498D"/>
    <w:pPr>
      <w:outlineLvl w:val="0"/>
    </w:pPr>
    <w:rPr>
      <w:rFonts w:ascii="Calibri Light" w:hAnsi="Calibri Light" w:cs="Calibri Light"/>
      <w:color w:val="E44044"/>
      <w:sz w:val="34"/>
      <w:szCs w:val="34"/>
    </w:rPr>
  </w:style>
  <w:style w:type="paragraph" w:styleId="Heading2">
    <w:name w:val="heading 2"/>
    <w:basedOn w:val="Normal"/>
    <w:next w:val="Normal"/>
    <w:link w:val="Heading2Char"/>
    <w:unhideWhenUsed/>
    <w:qFormat/>
    <w:rsid w:val="0073498D"/>
    <w:pPr>
      <w:keepNext/>
      <w:spacing w:before="240" w:after="60"/>
      <w:outlineLvl w:val="1"/>
    </w:pPr>
    <w:rPr>
      <w:rFonts w:ascii="Calibri" w:hAnsi="Calibri"/>
      <w:b/>
      <w:bCs/>
      <w:iCs/>
      <w:color w:val="1E4F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1Char">
    <w:name w:val="Heading 1 Char"/>
    <w:link w:val="Heading1"/>
    <w:rsid w:val="0073498D"/>
    <w:rPr>
      <w:rFonts w:ascii="Calibri Light" w:hAnsi="Calibri Light" w:cs="Calibri Light"/>
      <w:color w:val="E44044"/>
      <w:sz w:val="34"/>
      <w:szCs w:val="34"/>
    </w:rPr>
  </w:style>
  <w:style w:type="character" w:customStyle="1" w:styleId="Heading2Char">
    <w:name w:val="Heading 2 Char"/>
    <w:link w:val="Heading2"/>
    <w:rsid w:val="0073498D"/>
    <w:rPr>
      <w:rFonts w:ascii="Calibri" w:eastAsia="Times New Roman" w:hAnsi="Calibri" w:cs="Times New Roman"/>
      <w:b/>
      <w:bCs/>
      <w:iCs/>
      <w:color w:val="1E4F5C"/>
      <w:sz w:val="24"/>
      <w:szCs w:val="24"/>
    </w:rPr>
  </w:style>
  <w:style w:type="paragraph" w:styleId="ListParagraph">
    <w:name w:val="List Paragraph"/>
    <w:basedOn w:val="Normal"/>
    <w:uiPriority w:val="34"/>
    <w:qFormat/>
    <w:rsid w:val="003D0ED9"/>
    <w:pPr>
      <w:ind w:left="720"/>
    </w:pPr>
    <w:rPr>
      <w:rFonts w:ascii="Calibri" w:eastAsia="Calibri" w:hAnsi="Calibri"/>
      <w:sz w:val="22"/>
      <w:szCs w:val="22"/>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3D0ED9"/>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D0ED9"/>
  </w:style>
  <w:style w:type="character" w:styleId="FootnoteReference">
    <w:name w:val="footnote reference"/>
    <w:aliases w:val="*Footnote Reference,*Footnote Reference ALT-R"/>
    <w:uiPriority w:val="99"/>
    <w:unhideWhenUsed/>
    <w:rsid w:val="003D0ED9"/>
    <w:rPr>
      <w:vertAlign w:val="superscript"/>
    </w:rPr>
  </w:style>
  <w:style w:type="paragraph" w:styleId="NormalWeb">
    <w:name w:val="Normal (Web)"/>
    <w:basedOn w:val="Normal"/>
    <w:uiPriority w:val="99"/>
    <w:unhideWhenUsed/>
    <w:rsid w:val="00CF578E"/>
    <w:rPr>
      <w:rFonts w:eastAsia="Calibri"/>
    </w:rPr>
  </w:style>
  <w:style w:type="paragraph" w:customStyle="1" w:styleId="Exhibit">
    <w:name w:val="Exhibit"/>
    <w:basedOn w:val="Normal"/>
    <w:uiPriority w:val="99"/>
    <w:rsid w:val="00690968"/>
    <w:pPr>
      <w:spacing w:line="264" w:lineRule="auto"/>
    </w:pPr>
    <w:rPr>
      <w:rFonts w:ascii="Arial" w:hAnsi="Arial"/>
      <w:sz w:val="18"/>
      <w:szCs w:val="20"/>
    </w:rPr>
  </w:style>
  <w:style w:type="paragraph" w:customStyle="1" w:styleId="ExhibitColumnHeader">
    <w:name w:val="Exhibit Column Header"/>
    <w:basedOn w:val="Normal"/>
    <w:uiPriority w:val="99"/>
    <w:qFormat/>
    <w:rsid w:val="00690968"/>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F74F04"/>
    <w:pPr>
      <w:keepNext/>
      <w:keepLines/>
      <w:spacing w:before="240" w:line="259" w:lineRule="auto"/>
      <w:outlineLvl w:val="9"/>
    </w:pPr>
    <w:rPr>
      <w:rFonts w:cs="Times New Roman"/>
      <w:color w:val="2F5496"/>
      <w:sz w:val="32"/>
      <w:szCs w:val="32"/>
    </w:rPr>
  </w:style>
  <w:style w:type="paragraph" w:styleId="TOC1">
    <w:name w:val="toc 1"/>
    <w:basedOn w:val="Normal"/>
    <w:next w:val="Normal"/>
    <w:autoRedefine/>
    <w:uiPriority w:val="39"/>
    <w:rsid w:val="00F74F04"/>
  </w:style>
  <w:style w:type="paragraph" w:styleId="TOC2">
    <w:name w:val="toc 2"/>
    <w:basedOn w:val="Normal"/>
    <w:next w:val="Normal"/>
    <w:autoRedefine/>
    <w:uiPriority w:val="39"/>
    <w:rsid w:val="00F74F04"/>
    <w:pPr>
      <w:ind w:left="240"/>
    </w:pPr>
  </w:style>
  <w:style w:type="paragraph" w:styleId="Revision">
    <w:name w:val="Revision"/>
    <w:hidden/>
    <w:uiPriority w:val="99"/>
    <w:semiHidden/>
    <w:rsid w:val="00E5351D"/>
    <w:rPr>
      <w:sz w:val="24"/>
      <w:szCs w:val="24"/>
    </w:rPr>
  </w:style>
  <w:style w:type="character" w:styleId="Strong">
    <w:name w:val="Strong"/>
    <w:uiPriority w:val="22"/>
    <w:qFormat/>
    <w:rsid w:val="0060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8553">
      <w:bodyDiv w:val="1"/>
      <w:marLeft w:val="0"/>
      <w:marRight w:val="0"/>
      <w:marTop w:val="0"/>
      <w:marBottom w:val="0"/>
      <w:divBdr>
        <w:top w:val="none" w:sz="0" w:space="0" w:color="auto"/>
        <w:left w:val="none" w:sz="0" w:space="0" w:color="auto"/>
        <w:bottom w:val="none" w:sz="0" w:space="0" w:color="auto"/>
        <w:right w:val="none" w:sz="0" w:space="0" w:color="auto"/>
      </w:divBdr>
    </w:div>
    <w:div w:id="863448105">
      <w:bodyDiv w:val="1"/>
      <w:marLeft w:val="0"/>
      <w:marRight w:val="0"/>
      <w:marTop w:val="0"/>
      <w:marBottom w:val="0"/>
      <w:divBdr>
        <w:top w:val="none" w:sz="0" w:space="0" w:color="auto"/>
        <w:left w:val="none" w:sz="0" w:space="0" w:color="auto"/>
        <w:bottom w:val="none" w:sz="0" w:space="0" w:color="auto"/>
        <w:right w:val="none" w:sz="0" w:space="0" w:color="auto"/>
      </w:divBdr>
    </w:div>
    <w:div w:id="1163470689">
      <w:bodyDiv w:val="1"/>
      <w:marLeft w:val="0"/>
      <w:marRight w:val="0"/>
      <w:marTop w:val="0"/>
      <w:marBottom w:val="0"/>
      <w:divBdr>
        <w:top w:val="none" w:sz="0" w:space="0" w:color="auto"/>
        <w:left w:val="none" w:sz="0" w:space="0" w:color="auto"/>
        <w:bottom w:val="none" w:sz="0" w:space="0" w:color="auto"/>
        <w:right w:val="none" w:sz="0" w:space="0" w:color="auto"/>
      </w:divBdr>
    </w:div>
    <w:div w:id="1955793956">
      <w:bodyDiv w:val="1"/>
      <w:marLeft w:val="0"/>
      <w:marRight w:val="0"/>
      <w:marTop w:val="0"/>
      <w:marBottom w:val="0"/>
      <w:divBdr>
        <w:top w:val="none" w:sz="0" w:space="0" w:color="auto"/>
        <w:left w:val="none" w:sz="0" w:space="0" w:color="auto"/>
        <w:bottom w:val="none" w:sz="0" w:space="0" w:color="auto"/>
        <w:right w:val="none" w:sz="0" w:space="0" w:color="auto"/>
      </w:divBdr>
    </w:div>
    <w:div w:id="2052068707">
      <w:bodyDiv w:val="1"/>
      <w:marLeft w:val="0"/>
      <w:marRight w:val="0"/>
      <w:marTop w:val="0"/>
      <w:marBottom w:val="0"/>
      <w:divBdr>
        <w:top w:val="none" w:sz="0" w:space="0" w:color="auto"/>
        <w:left w:val="none" w:sz="0" w:space="0" w:color="auto"/>
        <w:bottom w:val="none" w:sz="0" w:space="0" w:color="auto"/>
        <w:right w:val="none" w:sz="0" w:space="0" w:color="auto"/>
      </w:divBdr>
    </w:div>
    <w:div w:id="20836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dedoose.com/" TargetMode="External"/><Relationship Id="rId1" Type="http://schemas.openxmlformats.org/officeDocument/2006/relationships/hyperlink" Target="https://www.census.gov/data/tables/time-series/demo/income-poverty/cps-pov/pov-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7680-92BE-43B0-AFFD-F6DEBCD9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2019-02-22T14:08:00Z</dcterms:created>
  <dcterms:modified xsi:type="dcterms:W3CDTF">2019-02-22T14:08:00Z</dcterms:modified>
</cp:coreProperties>
</file>