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DB39CA" w14:textId="77777777" w:rsidR="000F5D39" w:rsidRPr="002C4F75" w:rsidRDefault="000F5D39" w:rsidP="000F5D39">
      <w:pPr>
        <w:jc w:val="center"/>
        <w:rPr>
          <w:rFonts w:ascii="Arial" w:hAnsi="Arial" w:cs="Arial"/>
          <w:b/>
        </w:rPr>
      </w:pPr>
      <w:bookmarkStart w:id="0" w:name="_GoBack"/>
      <w:bookmarkEnd w:id="0"/>
    </w:p>
    <w:p w14:paraId="2344B7AD" w14:textId="77777777" w:rsidR="000F5D39" w:rsidRPr="002C4F75" w:rsidRDefault="000F5D39" w:rsidP="000F5D39">
      <w:pPr>
        <w:jc w:val="center"/>
        <w:rPr>
          <w:rFonts w:ascii="Arial" w:hAnsi="Arial" w:cs="Arial"/>
          <w:b/>
        </w:rPr>
      </w:pPr>
    </w:p>
    <w:p w14:paraId="1E4731A8" w14:textId="77777777" w:rsidR="000F5D39" w:rsidRPr="002C4F75" w:rsidRDefault="000F5D39" w:rsidP="000F5D39">
      <w:pPr>
        <w:jc w:val="center"/>
        <w:rPr>
          <w:rFonts w:ascii="Arial" w:hAnsi="Arial" w:cs="Arial"/>
          <w:b/>
        </w:rPr>
      </w:pPr>
    </w:p>
    <w:p w14:paraId="2C48AA49" w14:textId="77777777" w:rsidR="000F5D39" w:rsidRPr="002C4F75" w:rsidRDefault="000F5D39" w:rsidP="000F5D39">
      <w:pPr>
        <w:pStyle w:val="ReportCover-Title"/>
        <w:rPr>
          <w:rFonts w:ascii="Arial" w:hAnsi="Arial" w:cs="Arial"/>
          <w:color w:val="auto"/>
        </w:rPr>
      </w:pPr>
    </w:p>
    <w:p w14:paraId="7AB98B75" w14:textId="77777777" w:rsidR="001E66A2" w:rsidRPr="002C4F75" w:rsidRDefault="001E66A2" w:rsidP="001E66A2">
      <w:pPr>
        <w:pStyle w:val="ReportCover-Title"/>
        <w:jc w:val="center"/>
        <w:rPr>
          <w:rFonts w:ascii="Arial" w:hAnsi="Arial" w:cs="Arial"/>
          <w:color w:val="auto"/>
        </w:rPr>
      </w:pPr>
      <w:r w:rsidRPr="00742161">
        <w:rPr>
          <w:rFonts w:ascii="Arial" w:eastAsia="Arial Unicode MS" w:hAnsi="Arial" w:cs="Arial"/>
          <w:noProof/>
          <w:color w:val="auto"/>
        </w:rPr>
        <w:t>Transitional Living Program Evaluation</w:t>
      </w:r>
    </w:p>
    <w:p w14:paraId="3B27F8A5" w14:textId="77777777" w:rsidR="000F5D39" w:rsidRPr="002C4F75" w:rsidRDefault="000F5D39" w:rsidP="000F5D39">
      <w:pPr>
        <w:pStyle w:val="ReportCover-Title"/>
        <w:rPr>
          <w:rFonts w:ascii="Arial" w:hAnsi="Arial" w:cs="Arial"/>
          <w:color w:val="auto"/>
        </w:rPr>
      </w:pPr>
    </w:p>
    <w:p w14:paraId="077AB693" w14:textId="77777777" w:rsidR="000F5D39" w:rsidRPr="002C4F75" w:rsidRDefault="000F5D39" w:rsidP="000F5D39">
      <w:pPr>
        <w:pStyle w:val="ReportCover-Title"/>
        <w:rPr>
          <w:rFonts w:ascii="Arial" w:hAnsi="Arial" w:cs="Arial"/>
          <w:color w:val="auto"/>
        </w:rPr>
      </w:pPr>
    </w:p>
    <w:p w14:paraId="09BAD6B5" w14:textId="77777777" w:rsidR="000F5D39" w:rsidRPr="002C4F75" w:rsidRDefault="000F5D39" w:rsidP="000F5D39">
      <w:pPr>
        <w:pStyle w:val="ReportCover-Title"/>
        <w:jc w:val="center"/>
        <w:rPr>
          <w:rFonts w:ascii="Arial" w:hAnsi="Arial" w:cs="Arial"/>
          <w:color w:val="auto"/>
          <w:sz w:val="32"/>
          <w:szCs w:val="32"/>
        </w:rPr>
      </w:pPr>
      <w:r w:rsidRPr="002C4F75">
        <w:rPr>
          <w:rFonts w:ascii="Arial" w:hAnsi="Arial" w:cs="Arial"/>
          <w:color w:val="auto"/>
          <w:sz w:val="32"/>
          <w:szCs w:val="32"/>
        </w:rPr>
        <w:t>OMB Information Collection Request</w:t>
      </w:r>
    </w:p>
    <w:p w14:paraId="5FCBA529" w14:textId="77777777" w:rsidR="001E66A2" w:rsidRPr="002C4F75" w:rsidRDefault="001E66A2" w:rsidP="001E66A2">
      <w:pPr>
        <w:pStyle w:val="ReportCover-Title"/>
        <w:jc w:val="center"/>
        <w:rPr>
          <w:rFonts w:ascii="Arial" w:hAnsi="Arial" w:cs="Arial"/>
          <w:color w:val="auto"/>
          <w:sz w:val="32"/>
          <w:szCs w:val="32"/>
        </w:rPr>
      </w:pPr>
      <w:r w:rsidRPr="00FC2B1B">
        <w:rPr>
          <w:rFonts w:ascii="Arial" w:hAnsi="Arial" w:cs="Arial"/>
          <w:color w:val="auto"/>
          <w:sz w:val="32"/>
          <w:szCs w:val="32"/>
        </w:rPr>
        <w:t>0970 - 0383</w:t>
      </w:r>
    </w:p>
    <w:p w14:paraId="228BF3B5" w14:textId="77777777" w:rsidR="000F5D39" w:rsidRPr="002C4F75" w:rsidRDefault="000F5D39" w:rsidP="000F5D39">
      <w:pPr>
        <w:rPr>
          <w:rFonts w:ascii="Arial" w:hAnsi="Arial" w:cs="Arial"/>
          <w:szCs w:val="22"/>
        </w:rPr>
      </w:pPr>
    </w:p>
    <w:p w14:paraId="6E112A1D" w14:textId="77777777" w:rsidR="000F5D39" w:rsidRPr="002C4F75" w:rsidRDefault="000F5D39" w:rsidP="000F5D39">
      <w:pPr>
        <w:pStyle w:val="ReportCover-Date"/>
        <w:jc w:val="center"/>
        <w:rPr>
          <w:rFonts w:ascii="Arial" w:hAnsi="Arial" w:cs="Arial"/>
          <w:color w:val="auto"/>
        </w:rPr>
      </w:pPr>
    </w:p>
    <w:p w14:paraId="23897FB1" w14:textId="77777777" w:rsidR="000F5D39" w:rsidRPr="002C4F75" w:rsidRDefault="000F5D39" w:rsidP="000F5D39">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14:paraId="6CF4652B" w14:textId="77777777" w:rsidR="000F5D39" w:rsidRPr="002C4F75" w:rsidRDefault="000F5D39" w:rsidP="000F5D39">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 xml:space="preserve">Part </w:t>
      </w:r>
      <w:r w:rsidR="006F30E0">
        <w:rPr>
          <w:rFonts w:ascii="Arial" w:hAnsi="Arial" w:cs="Arial"/>
          <w:color w:val="auto"/>
          <w:sz w:val="48"/>
          <w:szCs w:val="48"/>
        </w:rPr>
        <w:t>B</w:t>
      </w:r>
    </w:p>
    <w:p w14:paraId="76DA017A" w14:textId="12DF5A40" w:rsidR="000F5D39" w:rsidRPr="002C4F75" w:rsidRDefault="00005E54" w:rsidP="000F5D39">
      <w:pPr>
        <w:pStyle w:val="ReportCover-Date"/>
        <w:jc w:val="center"/>
        <w:rPr>
          <w:rFonts w:ascii="Arial" w:hAnsi="Arial" w:cs="Arial"/>
          <w:color w:val="auto"/>
        </w:rPr>
      </w:pPr>
      <w:r w:rsidRPr="00005E54">
        <w:rPr>
          <w:rFonts w:ascii="Arial" w:hAnsi="Arial" w:cs="Arial"/>
          <w:color w:val="auto"/>
        </w:rPr>
        <w:t>Ju</w:t>
      </w:r>
      <w:r w:rsidR="006056F4">
        <w:rPr>
          <w:rFonts w:ascii="Arial" w:hAnsi="Arial" w:cs="Arial"/>
          <w:color w:val="auto"/>
        </w:rPr>
        <w:t>ly</w:t>
      </w:r>
      <w:r w:rsidR="005F1045">
        <w:rPr>
          <w:rFonts w:ascii="Arial" w:hAnsi="Arial" w:cs="Arial"/>
          <w:color w:val="auto"/>
        </w:rPr>
        <w:t xml:space="preserve"> </w:t>
      </w:r>
      <w:r w:rsidR="001E66A2" w:rsidRPr="00005E54">
        <w:rPr>
          <w:rFonts w:ascii="Arial" w:hAnsi="Arial" w:cs="Arial"/>
          <w:color w:val="auto"/>
        </w:rPr>
        <w:t>2018</w:t>
      </w:r>
    </w:p>
    <w:p w14:paraId="2477A407" w14:textId="77777777" w:rsidR="000F5D39" w:rsidRPr="002C4F75" w:rsidRDefault="000F5D39" w:rsidP="000F5D39">
      <w:pPr>
        <w:jc w:val="center"/>
        <w:rPr>
          <w:rFonts w:ascii="Arial" w:hAnsi="Arial" w:cs="Arial"/>
        </w:rPr>
      </w:pPr>
    </w:p>
    <w:p w14:paraId="1CDC5A04" w14:textId="77777777" w:rsidR="000F5D39" w:rsidRPr="002C4F75" w:rsidRDefault="000F5D39" w:rsidP="000F5D39">
      <w:pPr>
        <w:jc w:val="center"/>
        <w:rPr>
          <w:rFonts w:ascii="Arial" w:hAnsi="Arial" w:cs="Arial"/>
        </w:rPr>
      </w:pPr>
      <w:r w:rsidRPr="002C4F75">
        <w:rPr>
          <w:rFonts w:ascii="Arial" w:hAnsi="Arial" w:cs="Arial"/>
        </w:rPr>
        <w:t>Submitted By:</w:t>
      </w:r>
    </w:p>
    <w:p w14:paraId="4C760B24" w14:textId="0C259D45" w:rsidR="000F5D39" w:rsidRPr="002C4F75" w:rsidRDefault="000F5D39" w:rsidP="000F5D39">
      <w:pPr>
        <w:jc w:val="center"/>
        <w:rPr>
          <w:rFonts w:ascii="Arial" w:hAnsi="Arial" w:cs="Arial"/>
        </w:rPr>
      </w:pPr>
      <w:r w:rsidRPr="002C4F75">
        <w:rPr>
          <w:rFonts w:ascii="Arial" w:hAnsi="Arial" w:cs="Arial"/>
        </w:rPr>
        <w:t>Office of Planning, Research</w:t>
      </w:r>
      <w:r w:rsidR="006056F4">
        <w:rPr>
          <w:rFonts w:ascii="Arial" w:hAnsi="Arial" w:cs="Arial"/>
        </w:rPr>
        <w:t>,</w:t>
      </w:r>
      <w:r w:rsidRPr="002C4F75">
        <w:rPr>
          <w:rFonts w:ascii="Arial" w:hAnsi="Arial" w:cs="Arial"/>
        </w:rPr>
        <w:t xml:space="preserve"> and Evaluation</w:t>
      </w:r>
    </w:p>
    <w:p w14:paraId="67964D0D" w14:textId="77777777" w:rsidR="000F5D39" w:rsidRPr="002C4F75" w:rsidRDefault="000F5D39" w:rsidP="000F5D39">
      <w:pPr>
        <w:jc w:val="center"/>
        <w:rPr>
          <w:rFonts w:ascii="Arial" w:hAnsi="Arial" w:cs="Arial"/>
        </w:rPr>
      </w:pPr>
      <w:r w:rsidRPr="002C4F75">
        <w:rPr>
          <w:rFonts w:ascii="Arial" w:hAnsi="Arial" w:cs="Arial"/>
        </w:rPr>
        <w:t xml:space="preserve">Administration for Children and Families </w:t>
      </w:r>
    </w:p>
    <w:p w14:paraId="0C16D7EC" w14:textId="77777777" w:rsidR="000F5D39" w:rsidRPr="002C4F75" w:rsidRDefault="000F5D39" w:rsidP="000F5D39">
      <w:pPr>
        <w:jc w:val="center"/>
        <w:rPr>
          <w:rFonts w:ascii="Arial" w:hAnsi="Arial" w:cs="Arial"/>
        </w:rPr>
      </w:pPr>
      <w:r w:rsidRPr="002C4F75">
        <w:rPr>
          <w:rFonts w:ascii="Arial" w:hAnsi="Arial" w:cs="Arial"/>
        </w:rPr>
        <w:t>U.S. Department of Health and Human Services</w:t>
      </w:r>
    </w:p>
    <w:p w14:paraId="6366374C" w14:textId="77777777" w:rsidR="000F5D39" w:rsidRPr="002C4F75" w:rsidRDefault="000F5D39" w:rsidP="000F5D39">
      <w:pPr>
        <w:jc w:val="center"/>
        <w:rPr>
          <w:rFonts w:ascii="Arial" w:hAnsi="Arial" w:cs="Arial"/>
        </w:rPr>
      </w:pPr>
    </w:p>
    <w:p w14:paraId="63645226" w14:textId="77777777" w:rsidR="007A6EEC" w:rsidRDefault="007A6EEC" w:rsidP="007A6EEC">
      <w:pPr>
        <w:jc w:val="center"/>
        <w:rPr>
          <w:rFonts w:ascii="Arial" w:hAnsi="Arial" w:cs="Arial"/>
        </w:rPr>
      </w:pPr>
      <w:r>
        <w:rPr>
          <w:rFonts w:ascii="Arial" w:hAnsi="Arial" w:cs="Arial"/>
        </w:rPr>
        <w:t>4</w:t>
      </w:r>
      <w:r>
        <w:rPr>
          <w:rFonts w:ascii="Arial" w:hAnsi="Arial" w:cs="Arial"/>
          <w:vertAlign w:val="superscript"/>
        </w:rPr>
        <w:t>th</w:t>
      </w:r>
      <w:r>
        <w:rPr>
          <w:rFonts w:ascii="Arial" w:hAnsi="Arial" w:cs="Arial"/>
        </w:rPr>
        <w:t xml:space="preserve"> Floor, Mary E. Switzer Building</w:t>
      </w:r>
    </w:p>
    <w:p w14:paraId="1AB05918" w14:textId="77777777" w:rsidR="007A6EEC" w:rsidRDefault="007A6EEC" w:rsidP="007A6EEC">
      <w:pPr>
        <w:jc w:val="center"/>
        <w:rPr>
          <w:rFonts w:ascii="Arial" w:hAnsi="Arial" w:cs="Arial"/>
        </w:rPr>
      </w:pPr>
      <w:r>
        <w:rPr>
          <w:rFonts w:ascii="Arial" w:hAnsi="Arial" w:cs="Arial"/>
        </w:rPr>
        <w:t>330 C Street, SW</w:t>
      </w:r>
    </w:p>
    <w:p w14:paraId="7A56A6A9" w14:textId="77777777" w:rsidR="007A6EEC" w:rsidRDefault="007A6EEC" w:rsidP="007A6EEC">
      <w:pPr>
        <w:jc w:val="center"/>
        <w:rPr>
          <w:rFonts w:ascii="Arial" w:hAnsi="Arial" w:cs="Arial"/>
        </w:rPr>
      </w:pPr>
      <w:r>
        <w:rPr>
          <w:rFonts w:ascii="Arial" w:hAnsi="Arial" w:cs="Arial"/>
        </w:rPr>
        <w:t>Washington, D.C. 20201</w:t>
      </w:r>
    </w:p>
    <w:p w14:paraId="6944A365" w14:textId="77777777" w:rsidR="000F5D39" w:rsidRPr="002C4F75" w:rsidRDefault="000F5D39" w:rsidP="000F5D39">
      <w:pPr>
        <w:jc w:val="center"/>
        <w:rPr>
          <w:rFonts w:ascii="Arial" w:hAnsi="Arial" w:cs="Arial"/>
        </w:rPr>
      </w:pPr>
    </w:p>
    <w:p w14:paraId="093D393B" w14:textId="77777777" w:rsidR="001E66A2" w:rsidRDefault="001E66A2" w:rsidP="001E66A2">
      <w:pPr>
        <w:jc w:val="center"/>
        <w:rPr>
          <w:rFonts w:ascii="Arial" w:hAnsi="Arial" w:cs="Arial"/>
        </w:rPr>
      </w:pPr>
      <w:r w:rsidRPr="00BE7952">
        <w:rPr>
          <w:rFonts w:ascii="Arial" w:hAnsi="Arial" w:cs="Arial"/>
        </w:rPr>
        <w:t>Project Officers:</w:t>
      </w:r>
    </w:p>
    <w:p w14:paraId="0CC93041" w14:textId="6B2FF15C" w:rsidR="001E66A2" w:rsidRPr="00616D80" w:rsidRDefault="001E66A2" w:rsidP="001E66A2">
      <w:pPr>
        <w:jc w:val="center"/>
        <w:rPr>
          <w:rFonts w:ascii="Arial" w:hAnsi="Arial" w:cs="Arial"/>
        </w:rPr>
      </w:pPr>
      <w:r w:rsidRPr="00616D80">
        <w:rPr>
          <w:rFonts w:ascii="Arial" w:hAnsi="Arial" w:cs="Arial"/>
        </w:rPr>
        <w:t>Caryn Blitz, Office of Planning, Research</w:t>
      </w:r>
      <w:r w:rsidR="00CB1CBB">
        <w:rPr>
          <w:rFonts w:ascii="Arial" w:hAnsi="Arial" w:cs="Arial"/>
        </w:rPr>
        <w:t>,</w:t>
      </w:r>
      <w:r w:rsidRPr="00616D80">
        <w:rPr>
          <w:rFonts w:ascii="Arial" w:hAnsi="Arial" w:cs="Arial"/>
        </w:rPr>
        <w:t xml:space="preserve"> and Evaluation</w:t>
      </w:r>
    </w:p>
    <w:p w14:paraId="1D4CDA59" w14:textId="77777777" w:rsidR="001E66A2" w:rsidRDefault="001E66A2" w:rsidP="001E66A2">
      <w:pPr>
        <w:spacing w:after="120"/>
        <w:jc w:val="center"/>
        <w:rPr>
          <w:rFonts w:ascii="Arial" w:hAnsi="Arial" w:cs="Arial"/>
        </w:rPr>
      </w:pPr>
      <w:r w:rsidRPr="00616D80">
        <w:rPr>
          <w:rFonts w:ascii="Arial" w:hAnsi="Arial" w:cs="Arial"/>
        </w:rPr>
        <w:t>Angie Webley, Family Youth Services Bureau</w:t>
      </w:r>
    </w:p>
    <w:p w14:paraId="28614CAB" w14:textId="77777777" w:rsidR="000F5D39" w:rsidRDefault="000F5D39" w:rsidP="000F5D39">
      <w:pPr>
        <w:jc w:val="center"/>
        <w:rPr>
          <w:b/>
        </w:rPr>
      </w:pPr>
    </w:p>
    <w:p w14:paraId="37C708C6" w14:textId="77777777" w:rsidR="00383A0C" w:rsidRPr="00383A0C" w:rsidRDefault="000F5D39" w:rsidP="00383A0C">
      <w:pPr>
        <w:pStyle w:val="TOCHeader"/>
        <w:rPr>
          <w:rFonts w:ascii="Times New Roman" w:hAnsi="Times New Roman"/>
          <w:color w:val="auto"/>
        </w:rPr>
      </w:pPr>
      <w:r>
        <w:rPr>
          <w:b w:val="0"/>
        </w:rPr>
        <w:br w:type="page"/>
      </w:r>
      <w:r w:rsidR="00383A0C" w:rsidRPr="00383A0C">
        <w:rPr>
          <w:rFonts w:ascii="Times New Roman" w:hAnsi="Times New Roman"/>
          <w:color w:val="auto"/>
        </w:rPr>
        <w:lastRenderedPageBreak/>
        <w:t>Table of Contents</w:t>
      </w:r>
    </w:p>
    <w:p w14:paraId="630A7FBD" w14:textId="77777777" w:rsidR="001F3620" w:rsidRDefault="00383A0C">
      <w:pPr>
        <w:pStyle w:val="TOC1"/>
        <w:rPr>
          <w:rFonts w:asciiTheme="minorHAnsi" w:eastAsiaTheme="minorEastAsia" w:hAnsiTheme="minorHAnsi" w:cstheme="minorBidi"/>
          <w:b w:val="0"/>
          <w:szCs w:val="22"/>
        </w:rPr>
      </w:pPr>
      <w:r w:rsidRPr="00157926">
        <w:rPr>
          <w:b w:val="0"/>
        </w:rPr>
        <w:fldChar w:fldCharType="begin"/>
      </w:r>
      <w:r w:rsidRPr="00157926">
        <w:rPr>
          <w:b w:val="0"/>
        </w:rPr>
        <w:instrText xml:space="preserve"> TOC \o "1-3" \h \z \u </w:instrText>
      </w:r>
      <w:r w:rsidRPr="00157926">
        <w:rPr>
          <w:b w:val="0"/>
        </w:rPr>
        <w:fldChar w:fldCharType="separate"/>
      </w:r>
      <w:hyperlink w:anchor="_Toc516682561" w:history="1">
        <w:r w:rsidR="001F3620" w:rsidRPr="0050630D">
          <w:rPr>
            <w:rStyle w:val="Hyperlink"/>
          </w:rPr>
          <w:t>Introduction</w:t>
        </w:r>
        <w:r w:rsidR="001F3620">
          <w:rPr>
            <w:webHidden/>
          </w:rPr>
          <w:tab/>
        </w:r>
        <w:r w:rsidR="001F3620">
          <w:rPr>
            <w:webHidden/>
          </w:rPr>
          <w:fldChar w:fldCharType="begin"/>
        </w:r>
        <w:r w:rsidR="001F3620">
          <w:rPr>
            <w:webHidden/>
          </w:rPr>
          <w:instrText xml:space="preserve"> PAGEREF _Toc516682561 \h </w:instrText>
        </w:r>
        <w:r w:rsidR="001F3620">
          <w:rPr>
            <w:webHidden/>
          </w:rPr>
        </w:r>
        <w:r w:rsidR="001F3620">
          <w:rPr>
            <w:webHidden/>
          </w:rPr>
          <w:fldChar w:fldCharType="separate"/>
        </w:r>
        <w:r w:rsidR="001F3620">
          <w:rPr>
            <w:webHidden/>
          </w:rPr>
          <w:t>3</w:t>
        </w:r>
        <w:r w:rsidR="001F3620">
          <w:rPr>
            <w:webHidden/>
          </w:rPr>
          <w:fldChar w:fldCharType="end"/>
        </w:r>
      </w:hyperlink>
    </w:p>
    <w:p w14:paraId="24D34E9A" w14:textId="77777777" w:rsidR="001F3620" w:rsidRDefault="00FB24E8">
      <w:pPr>
        <w:pStyle w:val="TOC1"/>
        <w:rPr>
          <w:rFonts w:asciiTheme="minorHAnsi" w:eastAsiaTheme="minorEastAsia" w:hAnsiTheme="minorHAnsi" w:cstheme="minorBidi"/>
          <w:b w:val="0"/>
          <w:szCs w:val="22"/>
        </w:rPr>
      </w:pPr>
      <w:hyperlink w:anchor="_Toc516682562" w:history="1">
        <w:r w:rsidR="001F3620" w:rsidRPr="0050630D">
          <w:rPr>
            <w:rStyle w:val="Hyperlink"/>
          </w:rPr>
          <w:t>B1. Respondent Universe and Sampling Methods</w:t>
        </w:r>
        <w:r w:rsidR="001F3620">
          <w:rPr>
            <w:webHidden/>
          </w:rPr>
          <w:tab/>
        </w:r>
        <w:r w:rsidR="001F3620">
          <w:rPr>
            <w:webHidden/>
          </w:rPr>
          <w:fldChar w:fldCharType="begin"/>
        </w:r>
        <w:r w:rsidR="001F3620">
          <w:rPr>
            <w:webHidden/>
          </w:rPr>
          <w:instrText xml:space="preserve"> PAGEREF _Toc516682562 \h </w:instrText>
        </w:r>
        <w:r w:rsidR="001F3620">
          <w:rPr>
            <w:webHidden/>
          </w:rPr>
        </w:r>
        <w:r w:rsidR="001F3620">
          <w:rPr>
            <w:webHidden/>
          </w:rPr>
          <w:fldChar w:fldCharType="separate"/>
        </w:r>
        <w:r w:rsidR="001F3620">
          <w:rPr>
            <w:webHidden/>
          </w:rPr>
          <w:t>3</w:t>
        </w:r>
        <w:r w:rsidR="001F3620">
          <w:rPr>
            <w:webHidden/>
          </w:rPr>
          <w:fldChar w:fldCharType="end"/>
        </w:r>
      </w:hyperlink>
    </w:p>
    <w:p w14:paraId="597B34B9" w14:textId="77777777" w:rsidR="001F3620" w:rsidRDefault="00FB24E8">
      <w:pPr>
        <w:pStyle w:val="TOC1"/>
        <w:rPr>
          <w:rFonts w:asciiTheme="minorHAnsi" w:eastAsiaTheme="minorEastAsia" w:hAnsiTheme="minorHAnsi" w:cstheme="minorBidi"/>
          <w:b w:val="0"/>
          <w:szCs w:val="22"/>
        </w:rPr>
      </w:pPr>
      <w:hyperlink w:anchor="_Toc516682563" w:history="1">
        <w:r w:rsidR="001F3620" w:rsidRPr="0050630D">
          <w:rPr>
            <w:rStyle w:val="Hyperlink"/>
          </w:rPr>
          <w:t>B2. Procedures for Collection of Information</w:t>
        </w:r>
        <w:r w:rsidR="001F3620">
          <w:rPr>
            <w:webHidden/>
          </w:rPr>
          <w:tab/>
        </w:r>
        <w:r w:rsidR="001F3620">
          <w:rPr>
            <w:webHidden/>
          </w:rPr>
          <w:fldChar w:fldCharType="begin"/>
        </w:r>
        <w:r w:rsidR="001F3620">
          <w:rPr>
            <w:webHidden/>
          </w:rPr>
          <w:instrText xml:space="preserve"> PAGEREF _Toc516682563 \h </w:instrText>
        </w:r>
        <w:r w:rsidR="001F3620">
          <w:rPr>
            <w:webHidden/>
          </w:rPr>
        </w:r>
        <w:r w:rsidR="001F3620">
          <w:rPr>
            <w:webHidden/>
          </w:rPr>
          <w:fldChar w:fldCharType="separate"/>
        </w:r>
        <w:r w:rsidR="001F3620">
          <w:rPr>
            <w:webHidden/>
          </w:rPr>
          <w:t>3</w:t>
        </w:r>
        <w:r w:rsidR="001F3620">
          <w:rPr>
            <w:webHidden/>
          </w:rPr>
          <w:fldChar w:fldCharType="end"/>
        </w:r>
      </w:hyperlink>
    </w:p>
    <w:p w14:paraId="66A281AF" w14:textId="77777777" w:rsidR="001F3620" w:rsidRDefault="00FB24E8">
      <w:pPr>
        <w:pStyle w:val="TOC1"/>
        <w:rPr>
          <w:rFonts w:asciiTheme="minorHAnsi" w:eastAsiaTheme="minorEastAsia" w:hAnsiTheme="minorHAnsi" w:cstheme="minorBidi"/>
          <w:b w:val="0"/>
          <w:szCs w:val="22"/>
        </w:rPr>
      </w:pPr>
      <w:hyperlink w:anchor="_Toc516682564" w:history="1">
        <w:r w:rsidR="001F3620" w:rsidRPr="0050630D">
          <w:rPr>
            <w:rStyle w:val="Hyperlink"/>
          </w:rPr>
          <w:t>B3. Methods to Maximize Response Rates and Deal with Nonresponse</w:t>
        </w:r>
        <w:r w:rsidR="001F3620">
          <w:rPr>
            <w:webHidden/>
          </w:rPr>
          <w:tab/>
        </w:r>
        <w:r w:rsidR="001F3620">
          <w:rPr>
            <w:webHidden/>
          </w:rPr>
          <w:fldChar w:fldCharType="begin"/>
        </w:r>
        <w:r w:rsidR="001F3620">
          <w:rPr>
            <w:webHidden/>
          </w:rPr>
          <w:instrText xml:space="preserve"> PAGEREF _Toc516682564 \h </w:instrText>
        </w:r>
        <w:r w:rsidR="001F3620">
          <w:rPr>
            <w:webHidden/>
          </w:rPr>
        </w:r>
        <w:r w:rsidR="001F3620">
          <w:rPr>
            <w:webHidden/>
          </w:rPr>
          <w:fldChar w:fldCharType="separate"/>
        </w:r>
        <w:r w:rsidR="001F3620">
          <w:rPr>
            <w:webHidden/>
          </w:rPr>
          <w:t>5</w:t>
        </w:r>
        <w:r w:rsidR="001F3620">
          <w:rPr>
            <w:webHidden/>
          </w:rPr>
          <w:fldChar w:fldCharType="end"/>
        </w:r>
      </w:hyperlink>
    </w:p>
    <w:p w14:paraId="035606AC" w14:textId="77777777" w:rsidR="001F3620" w:rsidRDefault="00FB24E8">
      <w:pPr>
        <w:pStyle w:val="TOC1"/>
        <w:rPr>
          <w:rFonts w:asciiTheme="minorHAnsi" w:eastAsiaTheme="minorEastAsia" w:hAnsiTheme="minorHAnsi" w:cstheme="minorBidi"/>
          <w:b w:val="0"/>
          <w:szCs w:val="22"/>
        </w:rPr>
      </w:pPr>
      <w:hyperlink w:anchor="_Toc516682565" w:history="1">
        <w:r w:rsidR="001F3620" w:rsidRPr="0050630D">
          <w:rPr>
            <w:rStyle w:val="Hyperlink"/>
          </w:rPr>
          <w:t>B4. Tests of Procedures or Methods to be Undertaken</w:t>
        </w:r>
        <w:r w:rsidR="001F3620">
          <w:rPr>
            <w:webHidden/>
          </w:rPr>
          <w:tab/>
        </w:r>
        <w:r w:rsidR="001F3620">
          <w:rPr>
            <w:webHidden/>
          </w:rPr>
          <w:fldChar w:fldCharType="begin"/>
        </w:r>
        <w:r w:rsidR="001F3620">
          <w:rPr>
            <w:webHidden/>
          </w:rPr>
          <w:instrText xml:space="preserve"> PAGEREF _Toc516682565 \h </w:instrText>
        </w:r>
        <w:r w:rsidR="001F3620">
          <w:rPr>
            <w:webHidden/>
          </w:rPr>
        </w:r>
        <w:r w:rsidR="001F3620">
          <w:rPr>
            <w:webHidden/>
          </w:rPr>
          <w:fldChar w:fldCharType="separate"/>
        </w:r>
        <w:r w:rsidR="001F3620">
          <w:rPr>
            <w:webHidden/>
          </w:rPr>
          <w:t>7</w:t>
        </w:r>
        <w:r w:rsidR="001F3620">
          <w:rPr>
            <w:webHidden/>
          </w:rPr>
          <w:fldChar w:fldCharType="end"/>
        </w:r>
      </w:hyperlink>
    </w:p>
    <w:p w14:paraId="164A9DC6" w14:textId="77777777" w:rsidR="001F3620" w:rsidRDefault="00FB24E8">
      <w:pPr>
        <w:pStyle w:val="TOC1"/>
        <w:rPr>
          <w:rFonts w:asciiTheme="minorHAnsi" w:eastAsiaTheme="minorEastAsia" w:hAnsiTheme="minorHAnsi" w:cstheme="minorBidi"/>
          <w:b w:val="0"/>
          <w:szCs w:val="22"/>
        </w:rPr>
      </w:pPr>
      <w:hyperlink w:anchor="_Toc516682566" w:history="1">
        <w:r w:rsidR="001F3620" w:rsidRPr="0050630D">
          <w:rPr>
            <w:rStyle w:val="Hyperlink"/>
          </w:rPr>
          <w:t>B5. Individual(s) Consulted on Statistical Aspects and Individuals Collecting and/or Analyzing Data</w:t>
        </w:r>
        <w:r w:rsidR="001F3620">
          <w:rPr>
            <w:webHidden/>
          </w:rPr>
          <w:tab/>
        </w:r>
        <w:r w:rsidR="001F3620">
          <w:rPr>
            <w:webHidden/>
          </w:rPr>
          <w:fldChar w:fldCharType="begin"/>
        </w:r>
        <w:r w:rsidR="001F3620">
          <w:rPr>
            <w:webHidden/>
          </w:rPr>
          <w:instrText xml:space="preserve"> PAGEREF _Toc516682566 \h </w:instrText>
        </w:r>
        <w:r w:rsidR="001F3620">
          <w:rPr>
            <w:webHidden/>
          </w:rPr>
        </w:r>
        <w:r w:rsidR="001F3620">
          <w:rPr>
            <w:webHidden/>
          </w:rPr>
          <w:fldChar w:fldCharType="separate"/>
        </w:r>
        <w:r w:rsidR="001F3620">
          <w:rPr>
            <w:webHidden/>
          </w:rPr>
          <w:t>7</w:t>
        </w:r>
        <w:r w:rsidR="001F3620">
          <w:rPr>
            <w:webHidden/>
          </w:rPr>
          <w:fldChar w:fldCharType="end"/>
        </w:r>
      </w:hyperlink>
    </w:p>
    <w:p w14:paraId="47936BA1" w14:textId="77777777" w:rsidR="001F3620" w:rsidRDefault="00FB24E8">
      <w:pPr>
        <w:pStyle w:val="TOC1"/>
        <w:rPr>
          <w:rFonts w:asciiTheme="minorHAnsi" w:eastAsiaTheme="minorEastAsia" w:hAnsiTheme="minorHAnsi" w:cstheme="minorBidi"/>
          <w:b w:val="0"/>
          <w:szCs w:val="22"/>
        </w:rPr>
      </w:pPr>
      <w:hyperlink w:anchor="_Toc516682567" w:history="1">
        <w:r w:rsidR="001F3620" w:rsidRPr="0050630D">
          <w:rPr>
            <w:rStyle w:val="Hyperlink"/>
          </w:rPr>
          <w:t>References</w:t>
        </w:r>
        <w:r w:rsidR="001F3620">
          <w:rPr>
            <w:webHidden/>
          </w:rPr>
          <w:tab/>
        </w:r>
        <w:r w:rsidR="001F3620">
          <w:rPr>
            <w:webHidden/>
          </w:rPr>
          <w:fldChar w:fldCharType="begin"/>
        </w:r>
        <w:r w:rsidR="001F3620">
          <w:rPr>
            <w:webHidden/>
          </w:rPr>
          <w:instrText xml:space="preserve"> PAGEREF _Toc516682567 \h </w:instrText>
        </w:r>
        <w:r w:rsidR="001F3620">
          <w:rPr>
            <w:webHidden/>
          </w:rPr>
        </w:r>
        <w:r w:rsidR="001F3620">
          <w:rPr>
            <w:webHidden/>
          </w:rPr>
          <w:fldChar w:fldCharType="separate"/>
        </w:r>
        <w:r w:rsidR="001F3620">
          <w:rPr>
            <w:webHidden/>
          </w:rPr>
          <w:t>8</w:t>
        </w:r>
        <w:r w:rsidR="001F3620">
          <w:rPr>
            <w:webHidden/>
          </w:rPr>
          <w:fldChar w:fldCharType="end"/>
        </w:r>
      </w:hyperlink>
    </w:p>
    <w:p w14:paraId="234AC1DD" w14:textId="77777777" w:rsidR="00383A0C" w:rsidRPr="00157926" w:rsidRDefault="00383A0C">
      <w:r w:rsidRPr="00157926">
        <w:rPr>
          <w:bCs/>
          <w:noProof/>
        </w:rPr>
        <w:fldChar w:fldCharType="end"/>
      </w:r>
    </w:p>
    <w:p w14:paraId="05FBFB81" w14:textId="77777777" w:rsidR="00383A0C" w:rsidRPr="00157926" w:rsidRDefault="00383A0C" w:rsidP="00383A0C">
      <w:pPr>
        <w:pStyle w:val="BodyText"/>
        <w:spacing w:before="240"/>
        <w:outlineLvl w:val="0"/>
      </w:pPr>
      <w:r w:rsidRPr="00157926">
        <w:t xml:space="preserve"> </w:t>
      </w:r>
    </w:p>
    <w:p w14:paraId="54AF2E08" w14:textId="77777777" w:rsidR="00CA4FE5" w:rsidRPr="00814068" w:rsidRDefault="00383A0C" w:rsidP="00814068">
      <w:pPr>
        <w:pStyle w:val="Heading1"/>
        <w:rPr>
          <w:rFonts w:ascii="Times New Roman" w:hAnsi="Times New Roman"/>
          <w:sz w:val="24"/>
        </w:rPr>
      </w:pPr>
      <w:r>
        <w:br w:type="page"/>
      </w:r>
      <w:bookmarkStart w:id="1" w:name="_Toc516682561"/>
      <w:r w:rsidR="00CA4FE5" w:rsidRPr="00814068">
        <w:rPr>
          <w:rFonts w:ascii="Times New Roman" w:hAnsi="Times New Roman"/>
          <w:sz w:val="24"/>
        </w:rPr>
        <w:lastRenderedPageBreak/>
        <w:t>Introduction</w:t>
      </w:r>
      <w:bookmarkEnd w:id="1"/>
    </w:p>
    <w:p w14:paraId="48C1B5A0" w14:textId="403877A7" w:rsidR="00E05A0A" w:rsidRPr="00383A0C" w:rsidRDefault="00E05A0A" w:rsidP="00383A0C">
      <w:pPr>
        <w:pStyle w:val="Heading1"/>
        <w:rPr>
          <w:rFonts w:ascii="Times New Roman" w:hAnsi="Times New Roman"/>
          <w:sz w:val="24"/>
          <w:szCs w:val="24"/>
        </w:rPr>
      </w:pPr>
      <w:bookmarkStart w:id="2" w:name="_Toc516682562"/>
      <w:r w:rsidRPr="00383A0C">
        <w:rPr>
          <w:rFonts w:ascii="Times New Roman" w:hAnsi="Times New Roman"/>
          <w:sz w:val="24"/>
          <w:szCs w:val="24"/>
        </w:rPr>
        <w:t>B1. Respondent Universe and Sampling Methods</w:t>
      </w:r>
      <w:bookmarkEnd w:id="2"/>
    </w:p>
    <w:p w14:paraId="4A61A1A0" w14:textId="43B34243" w:rsidR="001E66A2" w:rsidRPr="001F3620" w:rsidRDefault="001E66A2" w:rsidP="001E66A2">
      <w:r w:rsidRPr="001F3620">
        <w:t xml:space="preserve">The sampling frame includes all </w:t>
      </w:r>
      <w:r w:rsidR="00EC0584" w:rsidRPr="001F3620">
        <w:t>10</w:t>
      </w:r>
      <w:r w:rsidR="003C590B" w:rsidRPr="001F3620">
        <w:t>8</w:t>
      </w:r>
      <w:r w:rsidR="0027038A" w:rsidRPr="001F3620">
        <w:t xml:space="preserve"> </w:t>
      </w:r>
      <w:r w:rsidRPr="001F3620">
        <w:t>TLPs funded in September 2017</w:t>
      </w:r>
      <w:r w:rsidR="00E55906" w:rsidRPr="001F3620">
        <w:t>. From among these</w:t>
      </w:r>
      <w:r w:rsidR="006056F4">
        <w:t>,</w:t>
      </w:r>
      <w:r w:rsidR="00E55906" w:rsidRPr="001F3620">
        <w:t xml:space="preserve"> </w:t>
      </w:r>
      <w:r w:rsidR="00E36BBC" w:rsidRPr="001F3620">
        <w:t>50</w:t>
      </w:r>
      <w:r w:rsidRPr="001F3620">
        <w:t xml:space="preserve"> TLPs will be selected to participate in the study. The selection process is purposive</w:t>
      </w:r>
      <w:r w:rsidR="0027038A" w:rsidRPr="001F3620">
        <w:t xml:space="preserve"> and </w:t>
      </w:r>
      <w:r w:rsidRPr="001F3620">
        <w:t xml:space="preserve">based on the </w:t>
      </w:r>
      <w:r w:rsidR="000C21E7" w:rsidRPr="001F3620">
        <w:t xml:space="preserve">following criteria: 1) </w:t>
      </w:r>
      <w:r w:rsidRPr="001F3620">
        <w:t>number of expected entries, which estimate</w:t>
      </w:r>
      <w:r w:rsidR="00BA6C64" w:rsidRPr="001F3620">
        <w:t>s the TLP service volume over a</w:t>
      </w:r>
      <w:r w:rsidRPr="001F3620">
        <w:t xml:space="preserve"> 12-month period</w:t>
      </w:r>
      <w:r w:rsidR="000C21E7" w:rsidRPr="001F3620">
        <w:t>; 2) TLP grant type (</w:t>
      </w:r>
      <w:r w:rsidRPr="001F3620">
        <w:t>Maternity Group Home</w:t>
      </w:r>
      <w:r w:rsidR="000C21E7" w:rsidRPr="001F3620">
        <w:t xml:space="preserve"> program</w:t>
      </w:r>
      <w:r w:rsidRPr="001F3620">
        <w:t xml:space="preserve">s will be excluded from </w:t>
      </w:r>
      <w:r w:rsidR="0027038A" w:rsidRPr="001F3620">
        <w:t xml:space="preserve">the study </w:t>
      </w:r>
      <w:r w:rsidRPr="001F3620">
        <w:t xml:space="preserve">because </w:t>
      </w:r>
      <w:r w:rsidR="000C21E7" w:rsidRPr="001F3620">
        <w:t>they</w:t>
      </w:r>
      <w:r w:rsidRPr="001F3620">
        <w:t xml:space="preserve"> serve </w:t>
      </w:r>
      <w:r w:rsidR="007A6278" w:rsidRPr="001F3620">
        <w:t>only pregnant and parenting youth</w:t>
      </w:r>
      <w:r w:rsidR="007A6278" w:rsidRPr="001F3620" w:rsidDel="007A6278">
        <w:t xml:space="preserve"> </w:t>
      </w:r>
      <w:r w:rsidRPr="001F3620">
        <w:t xml:space="preserve">and offer a unique set of services to address </w:t>
      </w:r>
      <w:r w:rsidR="007A6278" w:rsidRPr="001F3620">
        <w:t xml:space="preserve">this subpopulation’s special </w:t>
      </w:r>
      <w:r w:rsidRPr="001F3620">
        <w:t>needs</w:t>
      </w:r>
      <w:r w:rsidR="000C21E7" w:rsidRPr="001F3620">
        <w:t>); and 3) length of time providing TLP services (n</w:t>
      </w:r>
      <w:r w:rsidRPr="001F3620">
        <w:t>ew TLPs with little prior program experience will be excluded</w:t>
      </w:r>
      <w:r w:rsidR="000C21E7" w:rsidRPr="001F3620">
        <w:t xml:space="preserve"> from the study)</w:t>
      </w:r>
      <w:r w:rsidRPr="001F3620">
        <w:t xml:space="preserve">. </w:t>
      </w:r>
    </w:p>
    <w:p w14:paraId="1E82638C" w14:textId="77777777" w:rsidR="001E66A2" w:rsidRPr="001F3620" w:rsidRDefault="001E66A2" w:rsidP="001E66A2"/>
    <w:p w14:paraId="0B31C555" w14:textId="4F01D81C" w:rsidR="001E66A2" w:rsidRPr="001F3620" w:rsidRDefault="00464E04" w:rsidP="001E66A2">
      <w:r w:rsidRPr="001F3620">
        <w:t xml:space="preserve">ACF has provided the research team with a complete list of the 2017 TLP grantees along with information about their service volume. </w:t>
      </w:r>
      <w:r w:rsidR="001E66A2" w:rsidRPr="001F3620">
        <w:t xml:space="preserve">To identify an initial set of </w:t>
      </w:r>
      <w:r w:rsidR="00E36BBC" w:rsidRPr="001F3620">
        <w:t>50</w:t>
      </w:r>
      <w:r w:rsidR="001E66A2" w:rsidRPr="001F3620">
        <w:t xml:space="preserve"> grantees, </w:t>
      </w:r>
      <w:r w:rsidRPr="001F3620">
        <w:t xml:space="preserve">the research team has </w:t>
      </w:r>
      <w:r w:rsidR="001E66A2" w:rsidRPr="001F3620">
        <w:t xml:space="preserve">rank-ordered </w:t>
      </w:r>
      <w:r w:rsidRPr="001F3620">
        <w:t xml:space="preserve">TLPs </w:t>
      </w:r>
      <w:r w:rsidR="001E66A2" w:rsidRPr="001F3620">
        <w:t xml:space="preserve">according to their projected service volume to identify </w:t>
      </w:r>
      <w:r w:rsidRPr="001F3620">
        <w:t xml:space="preserve">those </w:t>
      </w:r>
      <w:r w:rsidR="001E66A2" w:rsidRPr="001F3620">
        <w:t xml:space="preserve">with a high service volume. The contractor is currently in the process of screening the candidate TLPs to identify those to include in the </w:t>
      </w:r>
      <w:r w:rsidR="003E3CE0" w:rsidRPr="001F3620">
        <w:t>Youth Outcomes S</w:t>
      </w:r>
      <w:r w:rsidR="001E66A2" w:rsidRPr="001F3620">
        <w:t xml:space="preserve">tudy. </w:t>
      </w:r>
    </w:p>
    <w:p w14:paraId="1DEB2773" w14:textId="77777777" w:rsidR="00814068" w:rsidRPr="001F3620" w:rsidRDefault="00814068" w:rsidP="001E66A2"/>
    <w:p w14:paraId="615529C3" w14:textId="575C44C1" w:rsidR="00814068" w:rsidRPr="001F3620" w:rsidRDefault="00814068" w:rsidP="001E66A2">
      <w:r w:rsidRPr="001F3620">
        <w:t xml:space="preserve">Across the </w:t>
      </w:r>
      <w:r w:rsidR="00E36BBC" w:rsidRPr="001F3620">
        <w:t>50</w:t>
      </w:r>
      <w:r w:rsidRPr="001F3620">
        <w:t xml:space="preserve"> grantees ultimately included in the study, the intent is to achieve a total sample size of 600 youth.</w:t>
      </w:r>
      <w:r w:rsidRPr="001F3620">
        <w:rPr>
          <w:rStyle w:val="FootnoteReference"/>
        </w:rPr>
        <w:footnoteReference w:id="2"/>
      </w:r>
      <w:r w:rsidRPr="001F3620">
        <w:t xml:space="preserve"> Thus, the average agency will enroll </w:t>
      </w:r>
      <w:r w:rsidR="00E36BBC" w:rsidRPr="001F3620">
        <w:t>12</w:t>
      </w:r>
      <w:r w:rsidRPr="001F3620">
        <w:t xml:space="preserve"> youth in the study over an estimated 24-month period. At the participant level, study eligibility requirements mirror program eligibility and enrollment requirements. Thus, the study will include youth who are eligible to enter the TLP and enroll in the program. Study participation is voluntary, and youth who enroll in the TLP will elect to participate in the study (or not) through an informed consent process. </w:t>
      </w:r>
    </w:p>
    <w:p w14:paraId="0F6C0EB2" w14:textId="77777777" w:rsidR="001E66A2" w:rsidRPr="001F3620" w:rsidRDefault="001E66A2" w:rsidP="001E66A2"/>
    <w:p w14:paraId="00B79C8C" w14:textId="77777777" w:rsidR="00E05A0A" w:rsidRPr="001F3620" w:rsidRDefault="00E05A0A" w:rsidP="00383A0C">
      <w:pPr>
        <w:pStyle w:val="Heading1"/>
        <w:rPr>
          <w:rFonts w:ascii="Times New Roman" w:hAnsi="Times New Roman"/>
          <w:sz w:val="24"/>
          <w:szCs w:val="24"/>
        </w:rPr>
      </w:pPr>
      <w:bookmarkStart w:id="3" w:name="_Toc516682563"/>
      <w:r w:rsidRPr="001F3620">
        <w:rPr>
          <w:rFonts w:ascii="Times New Roman" w:hAnsi="Times New Roman"/>
          <w:sz w:val="24"/>
          <w:szCs w:val="24"/>
        </w:rPr>
        <w:t>B2. Procedures for Collection of Information</w:t>
      </w:r>
      <w:bookmarkEnd w:id="3"/>
    </w:p>
    <w:p w14:paraId="1EFD4C67" w14:textId="2B70C56B" w:rsidR="00F64DCD" w:rsidRPr="009A3D19" w:rsidRDefault="00F64DCD" w:rsidP="00F64DCD">
      <w:r w:rsidRPr="001F3620">
        <w:t xml:space="preserve">The evaluation will collect information on youth baseline characteristics and behaviors from approximately 600 youth across </w:t>
      </w:r>
      <w:r w:rsidR="007D325C" w:rsidRPr="001F3620">
        <w:t>50</w:t>
      </w:r>
      <w:r w:rsidRPr="001F3620">
        <w:t xml:space="preserve"> grantees. The research approach uses a series of web-based surveys to collect data from youth. A secure, encrypted, passcode protected website will serve as the portal for data collection and will allow research staff to monitor survey completion rates. The website will permit youth survey respondents to log in using a unique username and password and complete their respective surveys online.</w:t>
      </w:r>
      <w:r w:rsidRPr="009A3D19">
        <w:t xml:space="preserve">  </w:t>
      </w:r>
    </w:p>
    <w:p w14:paraId="7668BEF8" w14:textId="77777777" w:rsidR="00F64DCD" w:rsidRPr="009A3D19" w:rsidRDefault="00F64DCD" w:rsidP="00F64DCD"/>
    <w:p w14:paraId="2B73143D" w14:textId="0F37E642" w:rsidR="00F64DCD" w:rsidRPr="000A00DF" w:rsidRDefault="00F64DCD" w:rsidP="00F64DCD">
      <w:r>
        <w:t>Before data collection begins</w:t>
      </w:r>
      <w:r w:rsidRPr="009A3D19">
        <w:t>, trained TLP staff will obtain youth consent</w:t>
      </w:r>
      <w:r w:rsidR="006056F4">
        <w:t xml:space="preserve"> </w:t>
      </w:r>
      <w:r w:rsidR="005A772B">
        <w:t>and, as needed</w:t>
      </w:r>
      <w:r w:rsidR="005C14BB">
        <w:t xml:space="preserve"> for minors</w:t>
      </w:r>
      <w:r w:rsidR="005A772B">
        <w:t xml:space="preserve">, </w:t>
      </w:r>
      <w:r w:rsidR="005C14BB">
        <w:t xml:space="preserve">assent with </w:t>
      </w:r>
      <w:r w:rsidR="005A772B">
        <w:t xml:space="preserve">parental consent </w:t>
      </w:r>
      <w:r w:rsidR="006056F4">
        <w:t>(Attachment</w:t>
      </w:r>
      <w:r w:rsidR="005C4346">
        <w:t>s</w:t>
      </w:r>
      <w:r w:rsidR="006056F4">
        <w:t xml:space="preserve"> A</w:t>
      </w:r>
      <w:r w:rsidR="005C4346">
        <w:t xml:space="preserve"> and B</w:t>
      </w:r>
      <w:r w:rsidR="006056F4">
        <w:t>)</w:t>
      </w:r>
      <w:r>
        <w:t>. Then they will</w:t>
      </w:r>
      <w:r w:rsidRPr="009A3D19">
        <w:t xml:space="preserve"> administer the baseline survey</w:t>
      </w:r>
      <w:r>
        <w:t xml:space="preserve"> at the TLP</w:t>
      </w:r>
      <w:r w:rsidRPr="009A3D19">
        <w:t xml:space="preserve">, which </w:t>
      </w:r>
      <w:r>
        <w:t xml:space="preserve">will </w:t>
      </w:r>
      <w:r w:rsidRPr="009A3D19">
        <w:t>involve</w:t>
      </w:r>
      <w:r>
        <w:t xml:space="preserve"> seating each youth respondent at a computer (in the designated private space) and assisting them in registering and logging into the web portal in order to complete the survey. English and Spanish versions of the survey will be available so that respondents can choose their preferred language. The </w:t>
      </w:r>
      <w:r w:rsidR="000A6C4A">
        <w:t xml:space="preserve">youth </w:t>
      </w:r>
      <w:r>
        <w:t xml:space="preserve">respondent will be left to complete the survey in private. The final screen of the survey will inform youth they have completed the survey and ask them to confirm the method by which they would like to receive their incentive (an electronic gift card or gift card code, sent by email or text, or </w:t>
      </w:r>
      <w:r w:rsidR="000A6C4A">
        <w:t xml:space="preserve">shipped </w:t>
      </w:r>
      <w:r>
        <w:t>if neither of those options is possible). The youth will then exit the survey</w:t>
      </w:r>
      <w:r w:rsidRPr="000A00DF">
        <w:t xml:space="preserve">, real-time verification of </w:t>
      </w:r>
      <w:r>
        <w:t xml:space="preserve">survey </w:t>
      </w:r>
      <w:r w:rsidRPr="000A00DF">
        <w:t xml:space="preserve">completion will be </w:t>
      </w:r>
      <w:r>
        <w:t xml:space="preserve">automatically </w:t>
      </w:r>
      <w:r w:rsidRPr="000A00DF">
        <w:t xml:space="preserve">recorded in the survey database, and </w:t>
      </w:r>
      <w:r w:rsidR="000A6C4A">
        <w:t xml:space="preserve">afterward </w:t>
      </w:r>
      <w:r w:rsidRPr="000A00DF">
        <w:t xml:space="preserve">the </w:t>
      </w:r>
      <w:r>
        <w:t xml:space="preserve">incentive will be </w:t>
      </w:r>
      <w:r w:rsidR="000A6C4A">
        <w:t xml:space="preserve">processed and delivered </w:t>
      </w:r>
      <w:r>
        <w:t xml:space="preserve">to the </w:t>
      </w:r>
      <w:r w:rsidRPr="000A00DF">
        <w:t>youth.</w:t>
      </w:r>
    </w:p>
    <w:p w14:paraId="78DC25D3" w14:textId="77777777" w:rsidR="00F64DCD" w:rsidRPr="000A00DF" w:rsidRDefault="00F64DCD" w:rsidP="00F64DCD"/>
    <w:p w14:paraId="30A3FC4D" w14:textId="7FAD2190" w:rsidR="00253148" w:rsidRDefault="00F64DCD" w:rsidP="00FD1B70">
      <w:r>
        <w:t>The follow-up surveys will be self-administered.</w:t>
      </w:r>
      <w:r w:rsidRPr="000A00DF">
        <w:t xml:space="preserve"> The contracted research team will invite all youth enrolled in the study to complete the </w:t>
      </w:r>
      <w:r>
        <w:t>6</w:t>
      </w:r>
      <w:r w:rsidR="004E4B45">
        <w:t xml:space="preserve">- </w:t>
      </w:r>
      <w:r w:rsidRPr="000A00DF">
        <w:t>and 1</w:t>
      </w:r>
      <w:r>
        <w:t>2-</w:t>
      </w:r>
      <w:r w:rsidRPr="000A00DF">
        <w:t>month follow</w:t>
      </w:r>
      <w:r>
        <w:t>-</w:t>
      </w:r>
      <w:r w:rsidRPr="000A00DF">
        <w:t xml:space="preserve">up surveys using </w:t>
      </w:r>
      <w:r>
        <w:t xml:space="preserve">the </w:t>
      </w:r>
      <w:r w:rsidRPr="000A00DF">
        <w:t>communication strategy</w:t>
      </w:r>
      <w:r>
        <w:t xml:space="preserve"> previously indicate</w:t>
      </w:r>
      <w:r w:rsidR="004E4B45">
        <w:t>d</w:t>
      </w:r>
      <w:r>
        <w:t xml:space="preserve"> by the youth</w:t>
      </w:r>
      <w:r w:rsidRPr="000A00DF">
        <w:t xml:space="preserve"> (email, texting, etc.)</w:t>
      </w:r>
      <w:r>
        <w:t>. Youth respondents will also receive</w:t>
      </w:r>
      <w:r w:rsidRPr="000A00DF">
        <w:t xml:space="preserve"> </w:t>
      </w:r>
      <w:r>
        <w:t>support</w:t>
      </w:r>
      <w:r w:rsidRPr="000A00DF">
        <w:t xml:space="preserve"> from program staff, </w:t>
      </w:r>
      <w:r w:rsidR="00ED6FFC">
        <w:t>as needed</w:t>
      </w:r>
      <w:r w:rsidRPr="000A00DF">
        <w:t>, to remind them about the follow-up survey</w:t>
      </w:r>
      <w:r>
        <w:t>,</w:t>
      </w:r>
      <w:r w:rsidRPr="000A00DF">
        <w:t xml:space="preserve"> provide instructions</w:t>
      </w:r>
      <w:r w:rsidR="00ED6FFC">
        <w:t xml:space="preserve"> and assistance with </w:t>
      </w:r>
      <w:r w:rsidRPr="000A00DF">
        <w:t>access</w:t>
      </w:r>
      <w:r w:rsidR="00ED6FFC">
        <w:t>ing</w:t>
      </w:r>
      <w:r w:rsidRPr="000A00DF">
        <w:t xml:space="preserve"> the survey</w:t>
      </w:r>
      <w:r>
        <w:t>,</w:t>
      </w:r>
      <w:r w:rsidRPr="000A00DF">
        <w:t xml:space="preserve"> </w:t>
      </w:r>
      <w:r>
        <w:t xml:space="preserve">assistance resetting their </w:t>
      </w:r>
      <w:r w:rsidRPr="000A00DF">
        <w:t>password</w:t>
      </w:r>
      <w:r w:rsidR="00ED6FFC">
        <w:t>, or use of a computer with Internet access</w:t>
      </w:r>
      <w:r w:rsidRPr="000A00DF">
        <w:t>. Repeated reminders will be sent electronic</w:t>
      </w:r>
      <w:r>
        <w:t>ally</w:t>
      </w:r>
      <w:r w:rsidRPr="000A00DF">
        <w:t xml:space="preserve"> until the survey has been accessed and completed</w:t>
      </w:r>
      <w:r>
        <w:t xml:space="preserve">, with telephone and in-person outreach from TLP staff and outreach to </w:t>
      </w:r>
      <w:r w:rsidR="00ED6FFC">
        <w:t xml:space="preserve">youth and, if permitted by youth, to their </w:t>
      </w:r>
      <w:r>
        <w:t>secondary or tertiary contacts</w:t>
      </w:r>
      <w:r w:rsidR="000F3CC4">
        <w:t xml:space="preserve"> (</w:t>
      </w:r>
      <w:r w:rsidR="005C14BB">
        <w:t xml:space="preserve">see </w:t>
      </w:r>
      <w:r w:rsidR="000F3CC4">
        <w:t>Attachment H)</w:t>
      </w:r>
      <w:r>
        <w:t xml:space="preserve">. </w:t>
      </w:r>
    </w:p>
    <w:p w14:paraId="278AA649" w14:textId="77777777" w:rsidR="007A6278" w:rsidRDefault="007A6278" w:rsidP="00FD1B70"/>
    <w:p w14:paraId="3859EA51" w14:textId="77777777" w:rsidR="007A6278" w:rsidRPr="00383A0C" w:rsidRDefault="007A6278" w:rsidP="007A6278">
      <w:pPr>
        <w:pStyle w:val="TOC2"/>
        <w:ind w:left="0"/>
        <w:rPr>
          <w:b/>
          <w:i/>
          <w:sz w:val="24"/>
        </w:rPr>
      </w:pPr>
      <w:r w:rsidRPr="00383A0C">
        <w:rPr>
          <w:b/>
          <w:i/>
          <w:sz w:val="24"/>
        </w:rPr>
        <w:t xml:space="preserve">Analytic Methods </w:t>
      </w:r>
    </w:p>
    <w:p w14:paraId="6C7EF9CB" w14:textId="147F66A1" w:rsidR="007A6278" w:rsidRPr="009D72EE" w:rsidRDefault="007A6278" w:rsidP="007A6278">
      <w:r>
        <w:t xml:space="preserve">The goal of the outcome analysis is to estimate the change in youth outcomes associated with participating in the TLP. Changes in the outcomes of interest for each youth </w:t>
      </w:r>
      <w:r w:rsidRPr="002D5A1C">
        <w:rPr>
          <w:i/>
        </w:rPr>
        <w:t>i</w:t>
      </w:r>
      <w:r w:rsidRPr="00ED1B42" w:rsidDel="00A57918">
        <w:t xml:space="preserve"> </w:t>
      </w:r>
      <w:r>
        <w:t>after participating in a TLP will be estimated at 6 months after enrollment and at 12 months after enrollment. As shown in Equation 1, t</w:t>
      </w:r>
      <w:r w:rsidRPr="00934896">
        <w:t>he change at 6 months (</w:t>
      </w:r>
      <w:r>
        <w:t>ΔE</w:t>
      </w:r>
      <w:r w:rsidRPr="00D00449">
        <w:rPr>
          <w:vertAlign w:val="subscript"/>
        </w:rPr>
        <w:t>6mo</w:t>
      </w:r>
      <w:r>
        <w:rPr>
          <w:vertAlign w:val="subscript"/>
        </w:rPr>
        <w:t>i</w:t>
      </w:r>
      <w:r w:rsidRPr="00934896">
        <w:t xml:space="preserve">) is calculated by subtracting the score on a given outcome </w:t>
      </w:r>
      <w:r>
        <w:t xml:space="preserve">(e.g., risky behavior) </w:t>
      </w:r>
      <w:r w:rsidRPr="00934896">
        <w:t xml:space="preserve">for </w:t>
      </w:r>
      <w:r>
        <w:t xml:space="preserve">youth </w:t>
      </w:r>
      <w:r w:rsidRPr="002D5A1C">
        <w:rPr>
          <w:i/>
        </w:rPr>
        <w:t>i</w:t>
      </w:r>
      <w:r w:rsidRPr="00ED1B42" w:rsidDel="00A57918">
        <w:t xml:space="preserve"> </w:t>
      </w:r>
      <w:r w:rsidRPr="00934896">
        <w:t>prior to TLP participation (</w:t>
      </w:r>
      <w:r>
        <w:t>Y</w:t>
      </w:r>
      <w:r>
        <w:rPr>
          <w:rFonts w:eastAsia="Arial Unicode MS"/>
          <w:vertAlign w:val="subscript"/>
        </w:rPr>
        <w:t>bi</w:t>
      </w:r>
      <w:r w:rsidRPr="00934896">
        <w:t>) from the score for that outcome 6 months after enrollment (</w:t>
      </w:r>
      <w:r>
        <w:t>Y</w:t>
      </w:r>
      <w:r w:rsidRPr="00BB0A2D">
        <w:rPr>
          <w:rFonts w:eastAsia="Arial Unicode MS"/>
          <w:vertAlign w:val="subscript"/>
        </w:rPr>
        <w:t>6mo</w:t>
      </w:r>
      <w:r>
        <w:rPr>
          <w:rFonts w:eastAsia="Arial Unicode MS"/>
          <w:vertAlign w:val="subscript"/>
        </w:rPr>
        <w:t>i</w:t>
      </w:r>
      <w:r w:rsidRPr="00934896">
        <w:t xml:space="preserve">). </w:t>
      </w:r>
      <w:r>
        <w:t>As shown in Equation 2, t</w:t>
      </w:r>
      <w:r w:rsidRPr="00934896">
        <w:t>he change at 12 months (</w:t>
      </w:r>
      <w:r>
        <w:t>ΔE</w:t>
      </w:r>
      <w:r>
        <w:rPr>
          <w:vertAlign w:val="subscript"/>
        </w:rPr>
        <w:t>12</w:t>
      </w:r>
      <w:r w:rsidRPr="00D00449">
        <w:rPr>
          <w:vertAlign w:val="subscript"/>
        </w:rPr>
        <w:t>mo</w:t>
      </w:r>
      <w:r>
        <w:rPr>
          <w:vertAlign w:val="subscript"/>
        </w:rPr>
        <w:t>i</w:t>
      </w:r>
      <w:r w:rsidRPr="00934896">
        <w:t xml:space="preserve">) will be calculated using the same method—that is, by subtracting the score on a given outcome for </w:t>
      </w:r>
      <w:r>
        <w:t xml:space="preserve">youth </w:t>
      </w:r>
      <w:r w:rsidRPr="002D5A1C">
        <w:rPr>
          <w:i/>
        </w:rPr>
        <w:t>i</w:t>
      </w:r>
      <w:r w:rsidRPr="00ED1B42" w:rsidDel="00A57918">
        <w:t xml:space="preserve"> </w:t>
      </w:r>
      <w:r w:rsidRPr="00934896">
        <w:t>prior to TLP participation (</w:t>
      </w:r>
      <w:r>
        <w:t>Y</w:t>
      </w:r>
      <w:r>
        <w:rPr>
          <w:rFonts w:eastAsia="Arial Unicode MS"/>
          <w:vertAlign w:val="subscript"/>
        </w:rPr>
        <w:t>bi</w:t>
      </w:r>
      <w:r w:rsidRPr="00934896">
        <w:t>) from the score for that outcome 12 months after enrollment (</w:t>
      </w:r>
      <w:r>
        <w:t>Y</w:t>
      </w:r>
      <w:r>
        <w:rPr>
          <w:rFonts w:eastAsia="Arial Unicode MS"/>
          <w:vertAlign w:val="subscript"/>
        </w:rPr>
        <w:t>12</w:t>
      </w:r>
      <w:r w:rsidRPr="00BB0A2D">
        <w:rPr>
          <w:rFonts w:eastAsia="Arial Unicode MS"/>
          <w:vertAlign w:val="subscript"/>
        </w:rPr>
        <w:t>mo</w:t>
      </w:r>
      <w:r>
        <w:rPr>
          <w:rFonts w:eastAsia="Arial Unicode MS"/>
          <w:vertAlign w:val="subscript"/>
        </w:rPr>
        <w:t>i</w:t>
      </w:r>
      <w:r>
        <w:t>).</w:t>
      </w:r>
      <w:r w:rsidRPr="00934896">
        <w:t xml:space="preserve"> </w:t>
      </w:r>
    </w:p>
    <w:p w14:paraId="5E41CED0" w14:textId="77777777" w:rsidR="007A6278" w:rsidRPr="009E3634" w:rsidRDefault="007A6278" w:rsidP="007A6278">
      <w:pPr>
        <w:pStyle w:val="BodyText"/>
      </w:pPr>
    </w:p>
    <w:p w14:paraId="1DA7FB53" w14:textId="77777777" w:rsidR="007A6278" w:rsidRPr="00D062E7" w:rsidRDefault="007A6278" w:rsidP="007A6278">
      <w:pPr>
        <w:pStyle w:val="BodyText"/>
        <w:rPr>
          <w:rFonts w:ascii="Times New Roman" w:eastAsia="Arial Unicode MS" w:hAnsi="Times New Roman"/>
          <w:vertAlign w:val="subscript"/>
          <w:lang w:val="es-MX"/>
        </w:rPr>
      </w:pPr>
      <w:r w:rsidRPr="00D062E7">
        <w:rPr>
          <w:lang w:val="es-MX"/>
        </w:rPr>
        <w:t>(1)</w:t>
      </w:r>
      <w:r w:rsidRPr="00D062E7">
        <w:rPr>
          <w:lang w:val="es-MX"/>
        </w:rPr>
        <w:tab/>
      </w:r>
      <w:r>
        <w:t>Δ</w:t>
      </w:r>
      <w:r w:rsidRPr="00D062E7">
        <w:rPr>
          <w:lang w:val="es-MX"/>
        </w:rPr>
        <w:t>E</w:t>
      </w:r>
      <w:r w:rsidRPr="00D062E7">
        <w:rPr>
          <w:vertAlign w:val="subscript"/>
          <w:lang w:val="es-MX"/>
        </w:rPr>
        <w:t>6moi</w:t>
      </w:r>
      <w:r w:rsidRPr="00D062E7">
        <w:rPr>
          <w:lang w:val="es-MX"/>
        </w:rPr>
        <w:t xml:space="preserve"> = Y</w:t>
      </w:r>
      <w:r w:rsidRPr="00D062E7">
        <w:rPr>
          <w:rFonts w:ascii="Times New Roman" w:eastAsia="Arial Unicode MS" w:hAnsi="Times New Roman"/>
          <w:vertAlign w:val="subscript"/>
          <w:lang w:val="es-MX"/>
        </w:rPr>
        <w:t xml:space="preserve">6moi </w:t>
      </w:r>
      <w:r w:rsidRPr="00D062E7">
        <w:rPr>
          <w:rFonts w:ascii="Times New Roman" w:eastAsia="Arial Unicode MS" w:hAnsi="Times New Roman"/>
          <w:lang w:val="es-MX"/>
        </w:rPr>
        <w:t xml:space="preserve">- </w:t>
      </w:r>
      <w:r w:rsidRPr="00D062E7">
        <w:rPr>
          <w:lang w:val="es-MX"/>
        </w:rPr>
        <w:t>Y</w:t>
      </w:r>
      <w:r w:rsidRPr="00D062E7">
        <w:rPr>
          <w:rFonts w:ascii="Times New Roman" w:eastAsia="Arial Unicode MS" w:hAnsi="Times New Roman"/>
          <w:vertAlign w:val="subscript"/>
          <w:lang w:val="es-MX"/>
        </w:rPr>
        <w:t>bi</w:t>
      </w:r>
    </w:p>
    <w:p w14:paraId="506158FF" w14:textId="77777777" w:rsidR="007A6278" w:rsidRPr="00D062E7" w:rsidRDefault="007A6278" w:rsidP="007A6278">
      <w:pPr>
        <w:pStyle w:val="BodyText"/>
        <w:rPr>
          <w:lang w:val="es-MX"/>
        </w:rPr>
      </w:pPr>
      <w:r w:rsidRPr="00D062E7">
        <w:rPr>
          <w:lang w:val="es-MX"/>
        </w:rPr>
        <w:t>(2)</w:t>
      </w:r>
      <w:r w:rsidRPr="00D062E7">
        <w:rPr>
          <w:lang w:val="es-MX"/>
        </w:rPr>
        <w:tab/>
      </w:r>
      <w:r>
        <w:t>Δ</w:t>
      </w:r>
      <w:r w:rsidRPr="00D062E7">
        <w:rPr>
          <w:lang w:val="es-MX"/>
        </w:rPr>
        <w:t>E</w:t>
      </w:r>
      <w:r w:rsidRPr="00D062E7">
        <w:rPr>
          <w:vertAlign w:val="subscript"/>
          <w:lang w:val="es-MX"/>
        </w:rPr>
        <w:t>12moi</w:t>
      </w:r>
      <w:r w:rsidRPr="00D062E7">
        <w:rPr>
          <w:lang w:val="es-MX"/>
        </w:rPr>
        <w:t xml:space="preserve"> = Y</w:t>
      </w:r>
      <w:r w:rsidRPr="00D062E7">
        <w:rPr>
          <w:rFonts w:ascii="Times New Roman" w:eastAsia="Arial Unicode MS" w:hAnsi="Times New Roman"/>
          <w:vertAlign w:val="subscript"/>
          <w:lang w:val="es-MX"/>
        </w:rPr>
        <w:t xml:space="preserve">12moi </w:t>
      </w:r>
      <w:r w:rsidRPr="00D062E7">
        <w:rPr>
          <w:rFonts w:ascii="Times New Roman" w:eastAsia="Arial Unicode MS" w:hAnsi="Times New Roman"/>
          <w:lang w:val="es-MX"/>
        </w:rPr>
        <w:t xml:space="preserve">- </w:t>
      </w:r>
      <w:r w:rsidRPr="00D062E7">
        <w:rPr>
          <w:lang w:val="es-MX"/>
        </w:rPr>
        <w:t>Y</w:t>
      </w:r>
      <w:r w:rsidRPr="00D062E7">
        <w:rPr>
          <w:rFonts w:ascii="Times New Roman" w:eastAsia="Arial Unicode MS" w:hAnsi="Times New Roman"/>
          <w:vertAlign w:val="subscript"/>
          <w:lang w:val="es-MX"/>
        </w:rPr>
        <w:t>bi</w:t>
      </w:r>
    </w:p>
    <w:p w14:paraId="41A0112B" w14:textId="77777777" w:rsidR="007A6278" w:rsidRPr="00D062E7" w:rsidRDefault="007A6278" w:rsidP="007A6278">
      <w:pPr>
        <w:pStyle w:val="BodyText"/>
        <w:rPr>
          <w:lang w:val="es-MX"/>
        </w:rPr>
      </w:pPr>
    </w:p>
    <w:p w14:paraId="34BF72FE" w14:textId="77777777" w:rsidR="007A6278" w:rsidRDefault="007A6278" w:rsidP="007A6278">
      <w:pPr>
        <w:pStyle w:val="BodyText"/>
      </w:pPr>
      <w:r w:rsidRPr="009D72EE">
        <w:rPr>
          <w:rFonts w:ascii="Times New Roman" w:hAnsi="Times New Roman"/>
        </w:rPr>
        <w:t xml:space="preserve">The statistical model to estimate the </w:t>
      </w:r>
      <w:r>
        <w:t xml:space="preserve">average baseline to follow-up change at 6 or 12 months after program enrollment on an outcome </w:t>
      </w:r>
      <w:r w:rsidRPr="009E3634">
        <w:rPr>
          <w:i/>
        </w:rPr>
        <w:t>Y</w:t>
      </w:r>
      <w:r>
        <w:t xml:space="preserve"> (e.g., risky behavior) is presented in equation (3): </w:t>
      </w:r>
    </w:p>
    <w:p w14:paraId="2FAB41FB" w14:textId="77777777" w:rsidR="007A6278" w:rsidRDefault="007A6278" w:rsidP="007A6278">
      <w:pPr>
        <w:pStyle w:val="BodyText"/>
      </w:pPr>
    </w:p>
    <w:p w14:paraId="580F0D81" w14:textId="77777777" w:rsidR="007A6278" w:rsidRPr="004C23FE" w:rsidRDefault="007A6278" w:rsidP="007A6278">
      <w:pPr>
        <w:pStyle w:val="BodyText"/>
        <w:tabs>
          <w:tab w:val="left" w:pos="720"/>
        </w:tabs>
      </w:pPr>
      <w:r w:rsidRPr="00232CAA">
        <w:t>(3)</w:t>
      </w:r>
      <w:r w:rsidRPr="00232CAA">
        <w:tab/>
      </w:r>
      <w:r w:rsidRPr="004C23FE">
        <w:rPr>
          <w:rFonts w:hint="eastAsia"/>
        </w:rPr>
        <w:t>Δ</w:t>
      </w:r>
      <w:r w:rsidRPr="004C23FE">
        <w:t>Y</w:t>
      </w:r>
      <w:r w:rsidRPr="00232CAA">
        <w:rPr>
          <w:vertAlign w:val="subscript"/>
        </w:rPr>
        <w:t>i</w:t>
      </w:r>
      <w:r w:rsidRPr="004C23FE">
        <w:t xml:space="preserve"> = </w:t>
      </w:r>
      <w:r w:rsidRPr="004C23FE">
        <w:rPr>
          <w:rFonts w:hint="eastAsia"/>
        </w:rPr>
        <w:t>β̂</w:t>
      </w:r>
      <w:r w:rsidRPr="00232CAA">
        <w:rPr>
          <w:vertAlign w:val="subscript"/>
        </w:rPr>
        <w:t>0</w:t>
      </w:r>
      <w:r w:rsidRPr="004C23FE">
        <w:t xml:space="preserve"> + ϵ</w:t>
      </w:r>
      <w:r w:rsidRPr="00232CAA">
        <w:rPr>
          <w:vertAlign w:val="subscript"/>
        </w:rPr>
        <w:t xml:space="preserve">i </w:t>
      </w:r>
    </w:p>
    <w:p w14:paraId="5485E71A" w14:textId="77777777" w:rsidR="007A6278" w:rsidRDefault="007A6278" w:rsidP="007A6278">
      <w:pPr>
        <w:pStyle w:val="BodyText"/>
      </w:pPr>
    </w:p>
    <w:p w14:paraId="2FFFB719" w14:textId="77777777" w:rsidR="007A6278" w:rsidRDefault="007A6278" w:rsidP="007A6278">
      <w:pPr>
        <w:pStyle w:val="BodyText"/>
      </w:pPr>
      <w:r>
        <w:t>where:</w:t>
      </w:r>
    </w:p>
    <w:p w14:paraId="00200E15" w14:textId="77777777" w:rsidR="007A6278" w:rsidRPr="009E3634" w:rsidRDefault="007A6278" w:rsidP="007A6278">
      <w:pPr>
        <w:pStyle w:val="BodyText"/>
        <w:tabs>
          <w:tab w:val="left" w:pos="1080"/>
        </w:tabs>
        <w:ind w:left="1080" w:hanging="720"/>
      </w:pPr>
      <w:r>
        <w:t>ΔY</w:t>
      </w:r>
      <w:r w:rsidRPr="00D00449">
        <w:rPr>
          <w:vertAlign w:val="subscript"/>
        </w:rPr>
        <w:t>i</w:t>
      </w:r>
      <w:r w:rsidRPr="009E3634">
        <w:tab/>
        <w:t xml:space="preserve">is the </w:t>
      </w:r>
      <w:r>
        <w:t xml:space="preserve">posttest </w:t>
      </w:r>
      <w:r w:rsidRPr="009E3634">
        <w:t xml:space="preserve">outcome of interest for </w:t>
      </w:r>
      <w:r>
        <w:t xml:space="preserve">youth </w:t>
      </w:r>
      <w:r w:rsidRPr="002D5A1C">
        <w:rPr>
          <w:i/>
        </w:rPr>
        <w:t>i</w:t>
      </w:r>
      <w:r w:rsidRPr="00ED1B42" w:rsidDel="00A57918">
        <w:t xml:space="preserve"> </w:t>
      </w:r>
      <w:r>
        <w:t>measured at 6 months or 12 months</w:t>
      </w:r>
      <w:r w:rsidRPr="009E3634">
        <w:t>;</w:t>
      </w:r>
    </w:p>
    <w:p w14:paraId="68C8E07E" w14:textId="77777777" w:rsidR="007A6278" w:rsidRPr="009E3634" w:rsidRDefault="007A6278" w:rsidP="007A6278">
      <w:pPr>
        <w:pStyle w:val="BodyText"/>
        <w:tabs>
          <w:tab w:val="left" w:pos="1080"/>
        </w:tabs>
        <w:ind w:left="1080" w:hanging="720"/>
      </w:pPr>
      <w:r>
        <w:t>β</w:t>
      </w:r>
      <w:r w:rsidRPr="00D00449">
        <w:rPr>
          <w:vertAlign w:val="subscript"/>
        </w:rPr>
        <w:t>0</w:t>
      </w:r>
      <w:r w:rsidRPr="009E3634">
        <w:tab/>
      </w:r>
      <w:r w:rsidRPr="004C23FE">
        <w:t>is the average baseline to follow-up change 6 or 12 months after program enrollment</w:t>
      </w:r>
      <w:r w:rsidRPr="009E3634">
        <w:t>; and</w:t>
      </w:r>
    </w:p>
    <w:p w14:paraId="7D5929B2" w14:textId="77777777" w:rsidR="007A6278" w:rsidRDefault="007A6278" w:rsidP="007A6278">
      <w:pPr>
        <w:pStyle w:val="BodyText"/>
        <w:tabs>
          <w:tab w:val="left" w:pos="1080"/>
        </w:tabs>
        <w:ind w:left="1080" w:hanging="720"/>
      </w:pPr>
      <w:r>
        <w:t>ϵ</w:t>
      </w:r>
      <w:r w:rsidRPr="00BB0A2D">
        <w:rPr>
          <w:vertAlign w:val="subscript"/>
        </w:rPr>
        <w:t>i</w:t>
      </w:r>
      <w:r w:rsidRPr="009E3634">
        <w:tab/>
        <w:t xml:space="preserve">is a random error term measured with mean of 0 and variance </w:t>
      </w:r>
      <w:r>
        <w:t>σ</w:t>
      </w:r>
      <w:r w:rsidRPr="006A6BCC">
        <w:rPr>
          <w:vertAlign w:val="superscript"/>
        </w:rPr>
        <w:t>2</w:t>
      </w:r>
      <w:r w:rsidRPr="009E3634">
        <w:t>.</w:t>
      </w:r>
    </w:p>
    <w:p w14:paraId="60A19DC7" w14:textId="77777777" w:rsidR="007A6278" w:rsidRPr="009E3634" w:rsidRDefault="007A6278" w:rsidP="007A6278">
      <w:pPr>
        <w:pStyle w:val="BodyText"/>
        <w:tabs>
          <w:tab w:val="left" w:pos="1080"/>
        </w:tabs>
        <w:ind w:left="1080" w:hanging="720"/>
      </w:pPr>
    </w:p>
    <w:p w14:paraId="332ECEE9" w14:textId="5692B249" w:rsidR="007A6278" w:rsidRDefault="007A6278" w:rsidP="007A6278">
      <w:pPr>
        <w:pStyle w:val="BodyText"/>
      </w:pPr>
      <w:r>
        <w:t xml:space="preserve">To determine </w:t>
      </w:r>
      <w:r w:rsidR="005A772B">
        <w:t xml:space="preserve">if </w:t>
      </w:r>
      <w:r>
        <w:t xml:space="preserve">TLP participation has a statistically significant association with changes in youth outcomes, we will conduct a </w:t>
      </w:r>
      <w:r w:rsidRPr="00D1000D">
        <w:rPr>
          <w:i/>
        </w:rPr>
        <w:t>t</w:t>
      </w:r>
      <w:r>
        <w:t xml:space="preserve">-test for each </w:t>
      </w:r>
      <w:r w:rsidRPr="002B7A4E">
        <w:t xml:space="preserve">outcome measure. If the estimate of </w:t>
      </w:r>
      <w:r w:rsidRPr="002B7A4E">
        <w:rPr>
          <w:rFonts w:hint="eastAsia"/>
        </w:rPr>
        <w:t>β</w:t>
      </w:r>
      <w:r w:rsidRPr="00232CAA">
        <w:rPr>
          <w:vertAlign w:val="subscript"/>
        </w:rPr>
        <w:t>0</w:t>
      </w:r>
      <w:r w:rsidRPr="002B7A4E">
        <w:t xml:space="preserve"> is statistically significant at the 5-percent level using a two-tailed test, we will conclude that we have found scientific evidence that </w:t>
      </w:r>
      <w:r w:rsidRPr="00232CAA">
        <w:t>TLP</w:t>
      </w:r>
      <w:r>
        <w:t xml:space="preserve"> </w:t>
      </w:r>
      <w:r w:rsidRPr="002D5A1C">
        <w:t xml:space="preserve">participation </w:t>
      </w:r>
      <w:r>
        <w:t xml:space="preserve">is </w:t>
      </w:r>
      <w:r w:rsidRPr="00232CAA">
        <w:t xml:space="preserve">related </w:t>
      </w:r>
      <w:r>
        <w:t xml:space="preserve">to </w:t>
      </w:r>
      <w:r w:rsidRPr="00232CAA">
        <w:t>change in the outcome. O</w:t>
      </w:r>
      <w:r w:rsidRPr="002B7A4E">
        <w:t xml:space="preserve">therwise, we will conclude that there is no scientific evidence </w:t>
      </w:r>
      <w:r w:rsidRPr="00232CAA">
        <w:t xml:space="preserve">that TLP participation is related to a change in </w:t>
      </w:r>
      <w:r w:rsidRPr="002B7A4E">
        <w:t>this outcome.</w:t>
      </w:r>
      <w:r>
        <w:t xml:space="preserve"> </w:t>
      </w:r>
    </w:p>
    <w:p w14:paraId="25C47E8A" w14:textId="77777777" w:rsidR="007A6278" w:rsidRDefault="007A6278" w:rsidP="007A6278">
      <w:pPr>
        <w:pStyle w:val="BodyText"/>
      </w:pPr>
    </w:p>
    <w:p w14:paraId="7E3728F4" w14:textId="77777777" w:rsidR="007A6278" w:rsidRDefault="007A6278" w:rsidP="007A6278">
      <w:pPr>
        <w:pStyle w:val="BodyText"/>
      </w:pPr>
      <w:r>
        <w:t xml:space="preserve">For continuous or categorical outcomes, we plan to estimate the model above using ordinary least squares (OLS), which assumes that the outcome data have a normal distribution (i.e., form a bell-shaped curve) with homoscedasticity (e.g., a common variance). For binary (dichotomous) outcomes, models will be estimated using logistic regression and we will report the marginal effect on the probability of observing the binary outcome. </w:t>
      </w:r>
    </w:p>
    <w:p w14:paraId="252B1B05" w14:textId="77777777" w:rsidR="007A6278" w:rsidRDefault="007A6278" w:rsidP="007A6278">
      <w:pPr>
        <w:pStyle w:val="BodyText"/>
      </w:pPr>
    </w:p>
    <w:p w14:paraId="01B84465" w14:textId="3963FA2A" w:rsidR="007A6278" w:rsidRDefault="007A6278" w:rsidP="007A6278">
      <w:pPr>
        <w:pStyle w:val="BodyText"/>
      </w:pPr>
      <w:r>
        <w:t xml:space="preserve">We have no reason a priori to expect homoscedasticity, because some TLPs could have higher variability in youth outcomes than other </w:t>
      </w:r>
      <w:r w:rsidRPr="00FF0291">
        <w:t>TLPs (Angrist &amp; Pischke, 2008).</w:t>
      </w:r>
      <w:r>
        <w:t xml:space="preserve"> To address the potential of heteroscedasticity and account for variation in continuous and categorical youth outcomes across TLPs, we will include site-level indicator variables (“fixed effects”) as covariates in our linear models, and we will compute robust standard errors </w:t>
      </w:r>
      <w:r w:rsidRPr="00FF0291">
        <w:t>(i.e., Huber-Eicker-White robust standard errors; Huber, 1967; Greene, 2003; White 1980, 1984).</w:t>
      </w:r>
      <w:r>
        <w:t xml:space="preserve"> </w:t>
      </w:r>
    </w:p>
    <w:p w14:paraId="0D19F85E" w14:textId="77777777" w:rsidR="007A6278" w:rsidRDefault="007A6278" w:rsidP="00FD1B70"/>
    <w:p w14:paraId="5E58A18E" w14:textId="2B9BF2B0" w:rsidR="007A6278" w:rsidRPr="00383A0C" w:rsidRDefault="007A6278" w:rsidP="007A6278">
      <w:pPr>
        <w:pStyle w:val="TOC2"/>
        <w:ind w:left="0"/>
        <w:rPr>
          <w:b/>
          <w:i/>
          <w:sz w:val="24"/>
        </w:rPr>
      </w:pPr>
      <w:r>
        <w:rPr>
          <w:b/>
          <w:i/>
          <w:sz w:val="24"/>
        </w:rPr>
        <w:t>Degree of Accuracy Required</w:t>
      </w:r>
      <w:r w:rsidRPr="00383A0C">
        <w:rPr>
          <w:b/>
          <w:i/>
          <w:sz w:val="24"/>
        </w:rPr>
        <w:t xml:space="preserve"> </w:t>
      </w:r>
    </w:p>
    <w:p w14:paraId="41FC9675" w14:textId="026D3E75" w:rsidR="007A6278" w:rsidRDefault="007A6278" w:rsidP="007A6278"/>
    <w:p w14:paraId="1224D448" w14:textId="09E4937A" w:rsidR="007A6278" w:rsidRPr="00E82405" w:rsidRDefault="007A6278" w:rsidP="007A6278">
      <w:r>
        <w:t xml:space="preserve">Across the </w:t>
      </w:r>
      <w:r w:rsidRPr="001F3620">
        <w:t xml:space="preserve">ultimately </w:t>
      </w:r>
      <w:r w:rsidR="00E36BBC" w:rsidRPr="001F3620">
        <w:t>50</w:t>
      </w:r>
      <w:r w:rsidRPr="001F3620">
        <w:t xml:space="preserve"> grantees included in the study</w:t>
      </w:r>
      <w:r>
        <w:t>, the intent is to</w:t>
      </w:r>
      <w:r w:rsidRPr="00E82405">
        <w:t xml:space="preserve"> </w:t>
      </w:r>
      <w:r>
        <w:t xml:space="preserve">achieve </w:t>
      </w:r>
      <w:r w:rsidRPr="00E82405">
        <w:t xml:space="preserve">a total sample </w:t>
      </w:r>
      <w:r>
        <w:t xml:space="preserve">size </w:t>
      </w:r>
      <w:r w:rsidRPr="00E82405">
        <w:t xml:space="preserve">of </w:t>
      </w:r>
      <w:r>
        <w:t xml:space="preserve">600 </w:t>
      </w:r>
      <w:r w:rsidRPr="00E82405">
        <w:t xml:space="preserve">youth. This sample will allow us to detect </w:t>
      </w:r>
      <w:r>
        <w:t>effects</w:t>
      </w:r>
      <w:r w:rsidRPr="00E82405">
        <w:t xml:space="preserve"> of TLP on binary outcomes (e.g., stable housing) of between 5 and 10 percentage points. In </w:t>
      </w:r>
      <w:r>
        <w:t>Exhibit</w:t>
      </w:r>
      <w:r w:rsidRPr="00E82405">
        <w:t xml:space="preserve"> </w:t>
      </w:r>
      <w:r>
        <w:t>B.1.1</w:t>
      </w:r>
      <w:r w:rsidRPr="00E82405">
        <w:t>, we present calculated Minimum Detectable Effects (MDEs) for this design</w:t>
      </w:r>
      <w:r>
        <w:t xml:space="preserve"> at 6 months and at 12 months following program enrollment</w:t>
      </w:r>
      <w:r w:rsidRPr="00E82405">
        <w:t xml:space="preserve">. </w:t>
      </w:r>
      <w:r>
        <w:t>At 6 months, t</w:t>
      </w:r>
      <w:r w:rsidRPr="00E82405">
        <w:t xml:space="preserve">he </w:t>
      </w:r>
      <w:r>
        <w:t>exhibit</w:t>
      </w:r>
      <w:r w:rsidRPr="00E82405">
        <w:t xml:space="preserve"> shows MDEs of </w:t>
      </w:r>
      <w:r>
        <w:t xml:space="preserve">0.167 </w:t>
      </w:r>
      <w:r w:rsidRPr="00E82405">
        <w:t>standard deviations for continuous outcomes (e.g., delinquency score</w:t>
      </w:r>
      <w:r>
        <w:t xml:space="preserve"> after 6 months</w:t>
      </w:r>
      <w:r w:rsidR="00682AB3">
        <w:t>) and 5 to</w:t>
      </w:r>
      <w:r w:rsidRPr="00E82405">
        <w:t xml:space="preserve"> </w:t>
      </w:r>
      <w:r>
        <w:t>8</w:t>
      </w:r>
      <w:r w:rsidRPr="00E82405">
        <w:t xml:space="preserve"> percentage points for binary outcomes</w:t>
      </w:r>
      <w:r>
        <w:t>. At 12 months, the exhibit</w:t>
      </w:r>
      <w:r w:rsidRPr="00E82405">
        <w:t xml:space="preserve"> shows MDEs of</w:t>
      </w:r>
      <w:r>
        <w:t xml:space="preserve"> 0.205</w:t>
      </w:r>
      <w:r w:rsidRPr="00FB007B">
        <w:t xml:space="preserve"> </w:t>
      </w:r>
      <w:r w:rsidRPr="00E82405">
        <w:t xml:space="preserve">standard deviations for continuous outcomes and </w:t>
      </w:r>
      <w:r>
        <w:t>6</w:t>
      </w:r>
      <w:r w:rsidRPr="00E82405">
        <w:t xml:space="preserve"> </w:t>
      </w:r>
      <w:r w:rsidR="00682AB3">
        <w:t>to</w:t>
      </w:r>
      <w:r w:rsidRPr="00E82405">
        <w:t xml:space="preserve"> </w:t>
      </w:r>
      <w:r>
        <w:t>10</w:t>
      </w:r>
      <w:r w:rsidRPr="00E82405">
        <w:t xml:space="preserve"> percentage points for binary outcomes. The estimated MDEs assume a response rate of 7</w:t>
      </w:r>
      <w:r>
        <w:t>5</w:t>
      </w:r>
      <w:r w:rsidRPr="00E82405">
        <w:t xml:space="preserve"> percent for the </w:t>
      </w:r>
      <w:r>
        <w:t xml:space="preserve">6-month </w:t>
      </w:r>
      <w:r w:rsidRPr="00E82405">
        <w:t xml:space="preserve">follow-up survey </w:t>
      </w:r>
      <w:r>
        <w:t>and 50 percent for the 12-month follow-up survey. Both the 6-month and 12-month follow-up surveys assume a pre-post correlation of 0.2</w:t>
      </w:r>
      <w:r w:rsidRPr="00E82405">
        <w:t xml:space="preserve">. This low </w:t>
      </w:r>
      <w:r>
        <w:t>pre</w:t>
      </w:r>
      <w:r w:rsidR="00682AB3">
        <w:t>test</w:t>
      </w:r>
      <w:r>
        <w:t>-post</w:t>
      </w:r>
      <w:r w:rsidR="00682AB3">
        <w:t>test</w:t>
      </w:r>
      <w:r>
        <w:t xml:space="preserve"> correlation </w:t>
      </w:r>
      <w:r w:rsidRPr="00E82405">
        <w:t xml:space="preserve">was selected to provide a conservative MDE estimate. </w:t>
      </w:r>
      <w:r>
        <w:t>Outcome</w:t>
      </w:r>
      <w:r w:rsidRPr="00E82405">
        <w:t xml:space="preserve"> estimates with a higher R-square value would yield smaller MDEs. </w:t>
      </w:r>
      <w:r w:rsidRPr="00E82405" w:rsidDel="001552DD">
        <w:t xml:space="preserve"> </w:t>
      </w:r>
    </w:p>
    <w:p w14:paraId="01641C2A" w14:textId="77777777" w:rsidR="00D062E7" w:rsidRDefault="00D062E7" w:rsidP="007A6278">
      <w:pPr>
        <w:spacing w:after="60"/>
        <w:rPr>
          <w:b/>
          <w:sz w:val="22"/>
          <w:szCs w:val="22"/>
        </w:rPr>
      </w:pPr>
    </w:p>
    <w:p w14:paraId="0DC91193" w14:textId="77777777" w:rsidR="007A6278" w:rsidRPr="003E3CE0" w:rsidRDefault="007A6278" w:rsidP="007A6278">
      <w:pPr>
        <w:spacing w:after="60"/>
        <w:rPr>
          <w:b/>
          <w:color w:val="FFFFFF"/>
          <w:sz w:val="22"/>
          <w:szCs w:val="22"/>
        </w:rPr>
      </w:pPr>
      <w:r w:rsidRPr="00D3754E">
        <w:rPr>
          <w:b/>
          <w:sz w:val="22"/>
          <w:szCs w:val="22"/>
        </w:rPr>
        <w:t>Exhibit B.1.1</w:t>
      </w:r>
      <w:r>
        <w:rPr>
          <w:b/>
          <w:sz w:val="22"/>
          <w:szCs w:val="22"/>
        </w:rPr>
        <w:t xml:space="preserve">: Calculated </w:t>
      </w:r>
      <w:r w:rsidRPr="003E3CE0">
        <w:rPr>
          <w:b/>
          <w:sz w:val="22"/>
          <w:szCs w:val="22"/>
        </w:rPr>
        <w:t xml:space="preserve">Minimum Detectable Effects (MDEs) </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8"/>
        <w:gridCol w:w="2970"/>
        <w:gridCol w:w="2700"/>
      </w:tblGrid>
      <w:tr w:rsidR="007A6278" w:rsidRPr="00D3754E" w14:paraId="2D6557B7" w14:textId="77777777" w:rsidTr="00232CAA">
        <w:tc>
          <w:tcPr>
            <w:tcW w:w="3798" w:type="dxa"/>
            <w:shd w:val="clear" w:color="auto" w:fill="D9D9D9"/>
          </w:tcPr>
          <w:p w14:paraId="75B3ECAC" w14:textId="77777777" w:rsidR="007A6278" w:rsidRPr="00D3754E" w:rsidRDefault="007A6278" w:rsidP="00232CAA">
            <w:pPr>
              <w:pStyle w:val="Exhibit"/>
              <w:keepNext/>
              <w:rPr>
                <w:rFonts w:ascii="Times New Roman" w:hAnsi="Times New Roman"/>
                <w:b/>
                <w:sz w:val="20"/>
              </w:rPr>
            </w:pPr>
          </w:p>
        </w:tc>
        <w:tc>
          <w:tcPr>
            <w:tcW w:w="2970" w:type="dxa"/>
            <w:shd w:val="clear" w:color="auto" w:fill="D9D9D9"/>
          </w:tcPr>
          <w:p w14:paraId="128B6C23" w14:textId="77777777" w:rsidR="007A6278" w:rsidRPr="00D3754E" w:rsidRDefault="007A6278" w:rsidP="00232CAA">
            <w:pPr>
              <w:pStyle w:val="Exhibit"/>
              <w:keepNext/>
              <w:rPr>
                <w:rFonts w:ascii="Times New Roman" w:hAnsi="Times New Roman"/>
                <w:b/>
                <w:sz w:val="20"/>
              </w:rPr>
            </w:pPr>
            <w:r w:rsidRPr="00D3754E">
              <w:rPr>
                <w:rFonts w:ascii="Times New Roman" w:hAnsi="Times New Roman"/>
                <w:b/>
                <w:sz w:val="20"/>
              </w:rPr>
              <w:t>6 months after enrollment</w:t>
            </w:r>
          </w:p>
        </w:tc>
        <w:tc>
          <w:tcPr>
            <w:tcW w:w="2700" w:type="dxa"/>
            <w:shd w:val="clear" w:color="auto" w:fill="D9D9D9"/>
          </w:tcPr>
          <w:p w14:paraId="09C032B1" w14:textId="77777777" w:rsidR="007A6278" w:rsidRPr="00D3754E" w:rsidRDefault="007A6278" w:rsidP="00232CAA">
            <w:pPr>
              <w:pStyle w:val="Exhibit"/>
              <w:keepNext/>
              <w:rPr>
                <w:rFonts w:ascii="Times New Roman" w:hAnsi="Times New Roman"/>
                <w:b/>
                <w:sz w:val="20"/>
              </w:rPr>
            </w:pPr>
            <w:r w:rsidRPr="00D3754E">
              <w:rPr>
                <w:rFonts w:ascii="Times New Roman" w:hAnsi="Times New Roman"/>
                <w:b/>
                <w:sz w:val="20"/>
              </w:rPr>
              <w:t>12 months after enrollment</w:t>
            </w:r>
          </w:p>
        </w:tc>
      </w:tr>
      <w:tr w:rsidR="007A6278" w:rsidRPr="00D3754E" w14:paraId="547862C1" w14:textId="77777777" w:rsidTr="00232CAA">
        <w:trPr>
          <w:trHeight w:val="368"/>
        </w:trPr>
        <w:tc>
          <w:tcPr>
            <w:tcW w:w="3798" w:type="dxa"/>
            <w:shd w:val="clear" w:color="auto" w:fill="auto"/>
          </w:tcPr>
          <w:p w14:paraId="23E2CFCA" w14:textId="77777777" w:rsidR="007A6278" w:rsidRPr="00D3754E" w:rsidRDefault="007A6278" w:rsidP="00232CAA">
            <w:pPr>
              <w:pStyle w:val="Exhibit"/>
              <w:keepNext/>
              <w:rPr>
                <w:rFonts w:ascii="Times New Roman" w:hAnsi="Times New Roman"/>
                <w:b/>
                <w:sz w:val="20"/>
              </w:rPr>
            </w:pPr>
            <w:r w:rsidRPr="00D3754E">
              <w:rPr>
                <w:rFonts w:ascii="Times New Roman" w:hAnsi="Times New Roman"/>
                <w:b/>
                <w:sz w:val="20"/>
              </w:rPr>
              <w:t>Number of Youth in Analytic Sample:</w:t>
            </w:r>
          </w:p>
        </w:tc>
        <w:tc>
          <w:tcPr>
            <w:tcW w:w="2970" w:type="dxa"/>
            <w:shd w:val="clear" w:color="auto" w:fill="auto"/>
          </w:tcPr>
          <w:p w14:paraId="4F4A36B9" w14:textId="77777777" w:rsidR="007A6278" w:rsidRPr="00D3754E" w:rsidRDefault="007A6278" w:rsidP="00232CAA">
            <w:pPr>
              <w:pStyle w:val="Exhibit"/>
              <w:keepNext/>
              <w:rPr>
                <w:rFonts w:ascii="Times New Roman" w:hAnsi="Times New Roman"/>
                <w:sz w:val="20"/>
              </w:rPr>
            </w:pPr>
            <w:r w:rsidRPr="00D3754E">
              <w:rPr>
                <w:rFonts w:ascii="Times New Roman" w:hAnsi="Times New Roman"/>
                <w:sz w:val="20"/>
              </w:rPr>
              <w:t>N = 450</w:t>
            </w:r>
          </w:p>
        </w:tc>
        <w:tc>
          <w:tcPr>
            <w:tcW w:w="2700" w:type="dxa"/>
          </w:tcPr>
          <w:p w14:paraId="6D2235D7" w14:textId="77777777" w:rsidR="007A6278" w:rsidRPr="00D3754E" w:rsidRDefault="007A6278" w:rsidP="00232CAA">
            <w:pPr>
              <w:pStyle w:val="Exhibit"/>
              <w:keepNext/>
              <w:rPr>
                <w:rFonts w:ascii="Times New Roman" w:hAnsi="Times New Roman"/>
                <w:sz w:val="20"/>
              </w:rPr>
            </w:pPr>
            <w:r w:rsidRPr="00D3754E">
              <w:rPr>
                <w:rFonts w:ascii="Times New Roman" w:hAnsi="Times New Roman"/>
                <w:sz w:val="20"/>
              </w:rPr>
              <w:t>N = 300</w:t>
            </w:r>
          </w:p>
        </w:tc>
      </w:tr>
      <w:tr w:rsidR="007A6278" w:rsidRPr="00D3754E" w14:paraId="0459879C" w14:textId="77777777" w:rsidTr="00232CAA">
        <w:tc>
          <w:tcPr>
            <w:tcW w:w="3798" w:type="dxa"/>
            <w:shd w:val="clear" w:color="auto" w:fill="auto"/>
          </w:tcPr>
          <w:p w14:paraId="29716473" w14:textId="77777777" w:rsidR="007A6278" w:rsidRPr="00D3754E" w:rsidRDefault="007A6278" w:rsidP="00232CAA">
            <w:pPr>
              <w:pStyle w:val="Exhibit"/>
              <w:keepNext/>
              <w:rPr>
                <w:rFonts w:ascii="Times New Roman" w:hAnsi="Times New Roman"/>
                <w:b/>
                <w:sz w:val="20"/>
              </w:rPr>
            </w:pPr>
            <w:r w:rsidRPr="00D3754E">
              <w:rPr>
                <w:rFonts w:ascii="Times New Roman" w:hAnsi="Times New Roman"/>
                <w:b/>
                <w:sz w:val="20"/>
              </w:rPr>
              <w:t xml:space="preserve">Continuous Outcomes </w:t>
            </w:r>
            <w:r w:rsidRPr="00D3754E">
              <w:rPr>
                <w:rFonts w:ascii="Times New Roman" w:hAnsi="Times New Roman"/>
                <w:b/>
                <w:sz w:val="20"/>
                <w:vertAlign w:val="superscript"/>
              </w:rPr>
              <w:t>a</w:t>
            </w:r>
          </w:p>
        </w:tc>
        <w:tc>
          <w:tcPr>
            <w:tcW w:w="2970" w:type="dxa"/>
            <w:shd w:val="clear" w:color="auto" w:fill="auto"/>
          </w:tcPr>
          <w:p w14:paraId="7E275D8D" w14:textId="77777777" w:rsidR="007A6278" w:rsidRPr="00D3754E" w:rsidRDefault="007A6278" w:rsidP="00232CAA">
            <w:pPr>
              <w:pStyle w:val="Exhibit"/>
              <w:keepNext/>
              <w:rPr>
                <w:rFonts w:ascii="Times New Roman" w:hAnsi="Times New Roman"/>
                <w:sz w:val="20"/>
              </w:rPr>
            </w:pPr>
            <w:r w:rsidRPr="00D3754E">
              <w:rPr>
                <w:rFonts w:ascii="Times New Roman" w:hAnsi="Times New Roman"/>
                <w:sz w:val="20"/>
              </w:rPr>
              <w:t>0.167 (standard deviations)</w:t>
            </w:r>
          </w:p>
        </w:tc>
        <w:tc>
          <w:tcPr>
            <w:tcW w:w="2700" w:type="dxa"/>
          </w:tcPr>
          <w:p w14:paraId="473CD8E4" w14:textId="77777777" w:rsidR="007A6278" w:rsidRPr="00D3754E" w:rsidRDefault="007A6278" w:rsidP="00232CAA">
            <w:pPr>
              <w:pStyle w:val="Exhibit"/>
              <w:keepNext/>
              <w:rPr>
                <w:rFonts w:ascii="Times New Roman" w:hAnsi="Times New Roman"/>
                <w:sz w:val="20"/>
              </w:rPr>
            </w:pPr>
            <w:r w:rsidRPr="00D3754E">
              <w:rPr>
                <w:rFonts w:ascii="Times New Roman" w:hAnsi="Times New Roman"/>
                <w:sz w:val="20"/>
              </w:rPr>
              <w:t>0.205</w:t>
            </w:r>
          </w:p>
        </w:tc>
      </w:tr>
      <w:tr w:rsidR="007A6278" w:rsidRPr="00D3754E" w14:paraId="7BC9009E" w14:textId="77777777" w:rsidTr="00232CAA">
        <w:tc>
          <w:tcPr>
            <w:tcW w:w="6768" w:type="dxa"/>
            <w:gridSpan w:val="2"/>
            <w:shd w:val="clear" w:color="auto" w:fill="auto"/>
          </w:tcPr>
          <w:p w14:paraId="79B42AE8" w14:textId="77777777" w:rsidR="007A6278" w:rsidRPr="00D3754E" w:rsidRDefault="007A6278" w:rsidP="00232CAA">
            <w:pPr>
              <w:pStyle w:val="Exhibit"/>
              <w:keepNext/>
              <w:rPr>
                <w:rFonts w:ascii="Times New Roman" w:hAnsi="Times New Roman"/>
                <w:b/>
                <w:sz w:val="20"/>
              </w:rPr>
            </w:pPr>
            <w:r w:rsidRPr="00D3754E">
              <w:rPr>
                <w:rFonts w:ascii="Times New Roman" w:hAnsi="Times New Roman"/>
                <w:b/>
                <w:sz w:val="20"/>
              </w:rPr>
              <w:t xml:space="preserve">Binary Outcomes </w:t>
            </w:r>
            <w:r w:rsidRPr="00D3754E">
              <w:rPr>
                <w:rFonts w:ascii="Times New Roman" w:hAnsi="Times New Roman"/>
                <w:b/>
                <w:sz w:val="20"/>
                <w:vertAlign w:val="superscript"/>
              </w:rPr>
              <w:t>2</w:t>
            </w:r>
          </w:p>
        </w:tc>
        <w:tc>
          <w:tcPr>
            <w:tcW w:w="2700" w:type="dxa"/>
          </w:tcPr>
          <w:p w14:paraId="0FDF122D" w14:textId="77777777" w:rsidR="007A6278" w:rsidRPr="00D3754E" w:rsidRDefault="007A6278" w:rsidP="00232CAA">
            <w:pPr>
              <w:pStyle w:val="Exhibit"/>
              <w:keepNext/>
              <w:rPr>
                <w:rFonts w:ascii="Times New Roman" w:hAnsi="Times New Roman"/>
                <w:b/>
                <w:sz w:val="20"/>
              </w:rPr>
            </w:pPr>
          </w:p>
        </w:tc>
      </w:tr>
      <w:tr w:rsidR="007A6278" w:rsidRPr="00D3754E" w14:paraId="3D5E7682" w14:textId="77777777" w:rsidTr="00232CAA">
        <w:tc>
          <w:tcPr>
            <w:tcW w:w="3798" w:type="dxa"/>
            <w:shd w:val="clear" w:color="auto" w:fill="auto"/>
          </w:tcPr>
          <w:p w14:paraId="6929970C" w14:textId="77777777" w:rsidR="007A6278" w:rsidRPr="00D3754E" w:rsidRDefault="007A6278" w:rsidP="00612E57">
            <w:pPr>
              <w:pStyle w:val="Exhibit"/>
              <w:keepNext/>
              <w:ind w:left="288"/>
              <w:rPr>
                <w:rFonts w:ascii="Times New Roman" w:hAnsi="Times New Roman"/>
                <w:sz w:val="20"/>
              </w:rPr>
            </w:pPr>
            <w:r w:rsidRPr="00D3754E">
              <w:rPr>
                <w:rFonts w:ascii="Times New Roman" w:hAnsi="Times New Roman"/>
                <w:sz w:val="20"/>
              </w:rPr>
              <w:t>Control Mean of 10% (or 90%)</w:t>
            </w:r>
          </w:p>
        </w:tc>
        <w:tc>
          <w:tcPr>
            <w:tcW w:w="2970" w:type="dxa"/>
            <w:shd w:val="clear" w:color="auto" w:fill="auto"/>
          </w:tcPr>
          <w:p w14:paraId="7B9485B1" w14:textId="77777777" w:rsidR="007A6278" w:rsidRPr="00D3754E" w:rsidRDefault="007A6278" w:rsidP="00232CAA">
            <w:pPr>
              <w:pStyle w:val="Exhibit"/>
              <w:keepNext/>
              <w:rPr>
                <w:rFonts w:ascii="Times New Roman" w:hAnsi="Times New Roman"/>
                <w:sz w:val="20"/>
              </w:rPr>
            </w:pPr>
            <w:r w:rsidRPr="00D3754E">
              <w:rPr>
                <w:rFonts w:ascii="Times New Roman" w:hAnsi="Times New Roman"/>
                <w:sz w:val="20"/>
              </w:rPr>
              <w:t>5.0 percentage points</w:t>
            </w:r>
          </w:p>
        </w:tc>
        <w:tc>
          <w:tcPr>
            <w:tcW w:w="2700" w:type="dxa"/>
          </w:tcPr>
          <w:p w14:paraId="0BD9CB71" w14:textId="77777777" w:rsidR="007A6278" w:rsidRPr="00D3754E" w:rsidRDefault="007A6278" w:rsidP="00232CAA">
            <w:pPr>
              <w:pStyle w:val="Exhibit"/>
              <w:keepNext/>
              <w:rPr>
                <w:rFonts w:ascii="Times New Roman" w:hAnsi="Times New Roman"/>
                <w:sz w:val="20"/>
              </w:rPr>
            </w:pPr>
            <w:r w:rsidRPr="00D3754E">
              <w:rPr>
                <w:rFonts w:ascii="Times New Roman" w:hAnsi="Times New Roman"/>
                <w:sz w:val="20"/>
              </w:rPr>
              <w:t>6.2</w:t>
            </w:r>
          </w:p>
        </w:tc>
      </w:tr>
      <w:tr w:rsidR="007A6278" w:rsidRPr="00D3754E" w14:paraId="0FEDAE1B" w14:textId="77777777" w:rsidTr="00232CAA">
        <w:tc>
          <w:tcPr>
            <w:tcW w:w="3798" w:type="dxa"/>
            <w:shd w:val="clear" w:color="auto" w:fill="auto"/>
          </w:tcPr>
          <w:p w14:paraId="6BF52580" w14:textId="77777777" w:rsidR="007A6278" w:rsidRPr="00D3754E" w:rsidRDefault="007A6278" w:rsidP="00612E57">
            <w:pPr>
              <w:pStyle w:val="Exhibit"/>
              <w:keepNext/>
              <w:ind w:left="288"/>
              <w:rPr>
                <w:rFonts w:ascii="Times New Roman" w:hAnsi="Times New Roman"/>
                <w:sz w:val="20"/>
              </w:rPr>
            </w:pPr>
            <w:r w:rsidRPr="00D3754E">
              <w:rPr>
                <w:rFonts w:ascii="Times New Roman" w:hAnsi="Times New Roman"/>
                <w:sz w:val="20"/>
              </w:rPr>
              <w:t>Control Mean of 30% (or 70%)</w:t>
            </w:r>
          </w:p>
        </w:tc>
        <w:tc>
          <w:tcPr>
            <w:tcW w:w="2970" w:type="dxa"/>
            <w:shd w:val="clear" w:color="auto" w:fill="auto"/>
          </w:tcPr>
          <w:p w14:paraId="36AC9C42" w14:textId="77777777" w:rsidR="007A6278" w:rsidRPr="00D3754E" w:rsidRDefault="007A6278" w:rsidP="00232CAA">
            <w:pPr>
              <w:pStyle w:val="Exhibit"/>
              <w:keepNext/>
              <w:rPr>
                <w:rFonts w:ascii="Times New Roman" w:hAnsi="Times New Roman"/>
                <w:sz w:val="20"/>
              </w:rPr>
            </w:pPr>
            <w:r w:rsidRPr="00D3754E">
              <w:rPr>
                <w:rFonts w:ascii="Times New Roman" w:hAnsi="Times New Roman"/>
                <w:sz w:val="20"/>
              </w:rPr>
              <w:t>7.7 percentage points</w:t>
            </w:r>
          </w:p>
        </w:tc>
        <w:tc>
          <w:tcPr>
            <w:tcW w:w="2700" w:type="dxa"/>
          </w:tcPr>
          <w:p w14:paraId="16F35417" w14:textId="77777777" w:rsidR="007A6278" w:rsidRPr="00D3754E" w:rsidRDefault="007A6278" w:rsidP="00232CAA">
            <w:pPr>
              <w:pStyle w:val="Exhibit"/>
              <w:keepNext/>
              <w:rPr>
                <w:rFonts w:ascii="Times New Roman" w:hAnsi="Times New Roman"/>
                <w:sz w:val="20"/>
              </w:rPr>
            </w:pPr>
            <w:r w:rsidRPr="00D3754E">
              <w:rPr>
                <w:rFonts w:ascii="Times New Roman" w:hAnsi="Times New Roman"/>
                <w:sz w:val="20"/>
              </w:rPr>
              <w:t>9.4</w:t>
            </w:r>
          </w:p>
        </w:tc>
      </w:tr>
      <w:tr w:rsidR="007A6278" w:rsidRPr="00D3754E" w14:paraId="57A09CA0" w14:textId="77777777" w:rsidTr="00232CAA">
        <w:tc>
          <w:tcPr>
            <w:tcW w:w="3798" w:type="dxa"/>
            <w:shd w:val="clear" w:color="auto" w:fill="auto"/>
          </w:tcPr>
          <w:p w14:paraId="2C3CFAAE" w14:textId="77777777" w:rsidR="007A6278" w:rsidRPr="00D3754E" w:rsidRDefault="007A6278" w:rsidP="00612E57">
            <w:pPr>
              <w:pStyle w:val="Exhibit"/>
              <w:keepNext/>
              <w:ind w:left="288"/>
              <w:rPr>
                <w:rFonts w:ascii="Times New Roman" w:hAnsi="Times New Roman"/>
                <w:sz w:val="20"/>
              </w:rPr>
            </w:pPr>
            <w:r w:rsidRPr="00D3754E">
              <w:rPr>
                <w:rFonts w:ascii="Times New Roman" w:hAnsi="Times New Roman"/>
                <w:sz w:val="20"/>
              </w:rPr>
              <w:t>Control Mean of 50%</w:t>
            </w:r>
          </w:p>
        </w:tc>
        <w:tc>
          <w:tcPr>
            <w:tcW w:w="2970" w:type="dxa"/>
            <w:shd w:val="clear" w:color="auto" w:fill="auto"/>
          </w:tcPr>
          <w:p w14:paraId="3A69B9E1" w14:textId="77777777" w:rsidR="007A6278" w:rsidRPr="00D3754E" w:rsidRDefault="007A6278" w:rsidP="00232CAA">
            <w:pPr>
              <w:pStyle w:val="Exhibit"/>
              <w:keepNext/>
              <w:rPr>
                <w:rFonts w:ascii="Times New Roman" w:hAnsi="Times New Roman"/>
                <w:sz w:val="20"/>
              </w:rPr>
            </w:pPr>
            <w:r w:rsidRPr="00D3754E">
              <w:rPr>
                <w:rFonts w:ascii="Times New Roman" w:hAnsi="Times New Roman"/>
                <w:sz w:val="20"/>
              </w:rPr>
              <w:t>8.4 percentage points</w:t>
            </w:r>
          </w:p>
        </w:tc>
        <w:tc>
          <w:tcPr>
            <w:tcW w:w="2700" w:type="dxa"/>
          </w:tcPr>
          <w:p w14:paraId="050CD052" w14:textId="77777777" w:rsidR="007A6278" w:rsidRPr="00D3754E" w:rsidRDefault="007A6278" w:rsidP="00232CAA">
            <w:pPr>
              <w:pStyle w:val="Exhibit"/>
              <w:keepNext/>
              <w:rPr>
                <w:rFonts w:ascii="Times New Roman" w:hAnsi="Times New Roman"/>
                <w:sz w:val="20"/>
              </w:rPr>
            </w:pPr>
            <w:r w:rsidRPr="00D3754E">
              <w:rPr>
                <w:rFonts w:ascii="Times New Roman" w:hAnsi="Times New Roman"/>
                <w:sz w:val="20"/>
              </w:rPr>
              <w:t>10.3</w:t>
            </w:r>
          </w:p>
        </w:tc>
      </w:tr>
    </w:tbl>
    <w:p w14:paraId="150D29EF" w14:textId="77777777" w:rsidR="00ED6FFC" w:rsidRDefault="00ED6FFC" w:rsidP="001D42F8">
      <w:pPr>
        <w:pStyle w:val="ListParagraph"/>
      </w:pPr>
    </w:p>
    <w:p w14:paraId="1E12D823" w14:textId="77777777" w:rsidR="00E05A0A" w:rsidRPr="00383A0C" w:rsidRDefault="00E05A0A" w:rsidP="00383A0C">
      <w:pPr>
        <w:pStyle w:val="Heading1"/>
        <w:rPr>
          <w:rFonts w:ascii="Times New Roman" w:hAnsi="Times New Roman"/>
          <w:sz w:val="24"/>
          <w:szCs w:val="24"/>
        </w:rPr>
      </w:pPr>
      <w:bookmarkStart w:id="4" w:name="_Toc516682564"/>
      <w:r w:rsidRPr="00383A0C">
        <w:rPr>
          <w:rFonts w:ascii="Times New Roman" w:hAnsi="Times New Roman"/>
          <w:sz w:val="24"/>
          <w:szCs w:val="24"/>
        </w:rPr>
        <w:t>B3. Methods to Maximize Response Rates and Deal with Nonresponse</w:t>
      </w:r>
      <w:bookmarkEnd w:id="4"/>
    </w:p>
    <w:p w14:paraId="53FA791A" w14:textId="77777777" w:rsidR="00EC6101" w:rsidRPr="00383A0C" w:rsidRDefault="00EC6101" w:rsidP="00383A0C">
      <w:pPr>
        <w:pStyle w:val="TOC2"/>
        <w:ind w:left="0"/>
        <w:rPr>
          <w:b/>
          <w:i/>
          <w:sz w:val="24"/>
        </w:rPr>
      </w:pPr>
      <w:r w:rsidRPr="00383A0C">
        <w:rPr>
          <w:b/>
          <w:i/>
          <w:sz w:val="24"/>
        </w:rPr>
        <w:t>Expected Response Rates</w:t>
      </w:r>
    </w:p>
    <w:p w14:paraId="4B04B1BD" w14:textId="620C6E7B" w:rsidR="00F64DCD" w:rsidRDefault="00F64DCD" w:rsidP="00F64DCD">
      <w:pPr>
        <w:spacing w:after="60"/>
      </w:pPr>
      <w:r>
        <w:t>W</w:t>
      </w:r>
      <w:r w:rsidRPr="00C022CE">
        <w:t xml:space="preserve">e </w:t>
      </w:r>
      <w:r>
        <w:t xml:space="preserve">anticipate </w:t>
      </w:r>
      <w:r w:rsidRPr="00C022CE">
        <w:t xml:space="preserve">a </w:t>
      </w:r>
      <w:r>
        <w:t xml:space="preserve">75 percent response rate at the 6-month follow up and a </w:t>
      </w:r>
      <w:r w:rsidRPr="00C022CE">
        <w:t>50</w:t>
      </w:r>
      <w:r>
        <w:t xml:space="preserve"> percent</w:t>
      </w:r>
      <w:r w:rsidRPr="00C022CE">
        <w:t xml:space="preserve"> response rate </w:t>
      </w:r>
      <w:r>
        <w:t>at the 12</w:t>
      </w:r>
      <w:r w:rsidRPr="00C022CE">
        <w:t xml:space="preserve">-month follow up. This rate is based on </w:t>
      </w:r>
      <w:r>
        <w:t xml:space="preserve">the mobility of the target population, our experiences </w:t>
      </w:r>
      <w:r w:rsidR="0096570D">
        <w:t xml:space="preserve">locating </w:t>
      </w:r>
      <w:r w:rsidR="007B4894">
        <w:t xml:space="preserve">and contacting </w:t>
      </w:r>
      <w:r>
        <w:t xml:space="preserve">youth for follow-up data collection during the TLP random assignment pilot study, </w:t>
      </w:r>
      <w:r w:rsidRPr="00C022CE">
        <w:t xml:space="preserve">and conversations with </w:t>
      </w:r>
      <w:r>
        <w:t xml:space="preserve">TLP </w:t>
      </w:r>
      <w:r w:rsidRPr="00C022CE">
        <w:t>grantees about their success rate in reaching youth who have exited the program.</w:t>
      </w:r>
      <w:r w:rsidRPr="00C022CE" w:rsidDel="00C022CE">
        <w:t xml:space="preserve"> </w:t>
      </w:r>
      <w:r w:rsidR="007B4894">
        <w:t xml:space="preserve">We expect the proposed incentive to assist with reaching these anticipated response rates and would expect a lower response rate in the absence of the proposed incentive. </w:t>
      </w:r>
    </w:p>
    <w:p w14:paraId="0E236A98" w14:textId="77777777" w:rsidR="00F56220" w:rsidRDefault="00F56220" w:rsidP="00EC6101">
      <w:pPr>
        <w:spacing w:line="276" w:lineRule="auto"/>
        <w:rPr>
          <w:b/>
          <w:i/>
        </w:rPr>
      </w:pPr>
    </w:p>
    <w:p w14:paraId="7FBCEEE7" w14:textId="77777777" w:rsidR="00EC6101" w:rsidRPr="00383A0C" w:rsidRDefault="00EC6101" w:rsidP="00383A0C">
      <w:pPr>
        <w:pStyle w:val="TOC2"/>
        <w:ind w:left="0"/>
        <w:rPr>
          <w:b/>
          <w:i/>
          <w:sz w:val="24"/>
        </w:rPr>
      </w:pPr>
      <w:r w:rsidRPr="00383A0C">
        <w:rPr>
          <w:b/>
          <w:i/>
          <w:sz w:val="24"/>
        </w:rPr>
        <w:t>Dealing with Nonresponse</w:t>
      </w:r>
    </w:p>
    <w:p w14:paraId="06525F1C" w14:textId="095D4474" w:rsidR="001D42F8" w:rsidRDefault="00F64DCD" w:rsidP="004D2D7D">
      <w:r w:rsidRPr="00DD48AC">
        <w:t>Missing data are of concern in any study, particularly one with a longitudinal design such as this. The presence of non-response to the follow-up survey can threaten the generalizability of results to the entire enrolled sample if the subsequent outcomes of survey non</w:t>
      </w:r>
      <w:r>
        <w:t>-</w:t>
      </w:r>
      <w:r w:rsidRPr="00DD48AC">
        <w:t xml:space="preserve">respondents differ from respondents. </w:t>
      </w:r>
      <w:r w:rsidR="004D2D7D">
        <w:t>Without the modest incentives OMB has previously approved, the evaluation risks having unacceptably</w:t>
      </w:r>
      <w:r w:rsidR="004D2D7D" w:rsidRPr="00047CC6">
        <w:t xml:space="preserve"> </w:t>
      </w:r>
      <w:r w:rsidR="004D2D7D">
        <w:t xml:space="preserve">low </w:t>
      </w:r>
      <w:r w:rsidR="004D2D7D" w:rsidRPr="00047CC6">
        <w:t>response rate</w:t>
      </w:r>
      <w:r w:rsidR="004D2D7D">
        <w:t>s</w:t>
      </w:r>
      <w:r w:rsidR="004D2D7D" w:rsidRPr="00047CC6">
        <w:t xml:space="preserve"> </w:t>
      </w:r>
      <w:r w:rsidR="004D2D7D">
        <w:t>for the 6-</w:t>
      </w:r>
      <w:r w:rsidR="004D2D7D" w:rsidRPr="00047CC6">
        <w:t xml:space="preserve"> and </w:t>
      </w:r>
      <w:r w:rsidR="004D2D7D">
        <w:t>12-</w:t>
      </w:r>
      <w:r w:rsidR="004D2D7D" w:rsidRPr="00047CC6">
        <w:t>month</w:t>
      </w:r>
      <w:r w:rsidR="004D2D7D">
        <w:t xml:space="preserve"> follow-up survey</w:t>
      </w:r>
      <w:r w:rsidR="004D2D7D" w:rsidRPr="00047CC6">
        <w:t>s</w:t>
      </w:r>
      <w:r w:rsidR="004D2D7D">
        <w:t xml:space="preserve"> </w:t>
      </w:r>
      <w:r w:rsidR="00BB7A00">
        <w:t xml:space="preserve">which </w:t>
      </w:r>
      <w:r w:rsidR="004D2D7D">
        <w:t>would lead to insufficient statistical power (due to a small analytic sample size) and nonresponse bias (i.e., when survey re</w:t>
      </w:r>
      <w:r w:rsidR="004D2D7D" w:rsidRPr="007F3FF7">
        <w:t>spondents differ in meaningful ways from non</w:t>
      </w:r>
      <w:r w:rsidR="004D2D7D">
        <w:t>-</w:t>
      </w:r>
      <w:r w:rsidR="004D2D7D" w:rsidRPr="007F3FF7">
        <w:t>respondents</w:t>
      </w:r>
      <w:r w:rsidR="004D2D7D">
        <w:t xml:space="preserve">. Response rates for undereducated, minority, and high-risk youth, which make up the majority of the homeless youth population served by TLPs, have been shown to increase with the use of the types of incentives </w:t>
      </w:r>
      <w:r w:rsidR="00D370E5">
        <w:t xml:space="preserve">in the </w:t>
      </w:r>
      <w:r w:rsidR="004D2D7D">
        <w:t>model we propose.</w:t>
      </w:r>
      <w:r w:rsidR="004D2D7D">
        <w:rPr>
          <w:rStyle w:val="FootnoteReference"/>
        </w:rPr>
        <w:footnoteReference w:id="3"/>
      </w:r>
      <w:r w:rsidR="004D2D7D">
        <w:t xml:space="preserve"> This incentive</w:t>
      </w:r>
      <w:r w:rsidR="00D370E5">
        <w:t>s</w:t>
      </w:r>
      <w:r w:rsidR="004D2D7D">
        <w:t xml:space="preserve"> model is</w:t>
      </w:r>
      <w:r w:rsidR="004D2D7D" w:rsidRPr="00D77DA3">
        <w:t xml:space="preserve"> designed to increase the survey response rates, </w:t>
      </w:r>
      <w:r w:rsidR="004D2D7D">
        <w:t>with specific attention to</w:t>
      </w:r>
      <w:r w:rsidR="00BB7A00">
        <w:t xml:space="preserve"> </w:t>
      </w:r>
      <w:r w:rsidR="004D2D7D" w:rsidRPr="00D77DA3">
        <w:t xml:space="preserve">youth </w:t>
      </w:r>
      <w:r w:rsidR="004D2D7D">
        <w:t xml:space="preserve">that will be </w:t>
      </w:r>
      <w:r w:rsidR="004D2D7D" w:rsidRPr="00D77DA3">
        <w:t>dispersing widely into the general population as they gain independence</w:t>
      </w:r>
      <w:r w:rsidR="004D2D7D">
        <w:t>,</w:t>
      </w:r>
      <w:r w:rsidR="004D2D7D" w:rsidRPr="00D77DA3">
        <w:t xml:space="preserve"> which is the purpose of TLP. </w:t>
      </w:r>
      <w:r w:rsidR="004D2D7D" w:rsidRPr="004F0EE0">
        <w:t>Research suggests that providing an incentive for earlier surveys may contribute to higher response rates for subsequent surveys.</w:t>
      </w:r>
      <w:r w:rsidR="004D2D7D" w:rsidRPr="004F0EE0">
        <w:rPr>
          <w:vertAlign w:val="superscript"/>
        </w:rPr>
        <w:footnoteReference w:id="4"/>
      </w:r>
    </w:p>
    <w:p w14:paraId="3474A009" w14:textId="77777777" w:rsidR="001D42F8" w:rsidRDefault="001D42F8" w:rsidP="00FD1B70"/>
    <w:p w14:paraId="0E262223" w14:textId="0F06781E" w:rsidR="00253148" w:rsidRDefault="001D42F8" w:rsidP="00FD1B70">
      <w:r>
        <w:t>The</w:t>
      </w:r>
      <w:r w:rsidRPr="001D42F8">
        <w:t xml:space="preserve"> </w:t>
      </w:r>
      <w:r>
        <w:t xml:space="preserve">research </w:t>
      </w:r>
      <w:r w:rsidRPr="001D42F8">
        <w:t xml:space="preserve">team will take steps to understand the </w:t>
      </w:r>
      <w:r w:rsidR="000F047D">
        <w:t>quantity and quality</w:t>
      </w:r>
      <w:r w:rsidR="00882564" w:rsidRPr="001D42F8">
        <w:t xml:space="preserve"> </w:t>
      </w:r>
      <w:r w:rsidRPr="001D42F8">
        <w:t xml:space="preserve">of any non-response and to </w:t>
      </w:r>
      <w:r w:rsidR="000F047D">
        <w:t>describe and address</w:t>
      </w:r>
      <w:r w:rsidR="000F047D" w:rsidRPr="001D42F8">
        <w:t xml:space="preserve"> </w:t>
      </w:r>
      <w:r w:rsidRPr="001D42F8">
        <w:t xml:space="preserve">the threat that it may pose </w:t>
      </w:r>
      <w:r w:rsidR="00882564">
        <w:t>to</w:t>
      </w:r>
      <w:r w:rsidR="00882564" w:rsidRPr="001D42F8">
        <w:t xml:space="preserve"> </w:t>
      </w:r>
      <w:r w:rsidRPr="001D42F8">
        <w:t xml:space="preserve">the validity of </w:t>
      </w:r>
      <w:r w:rsidR="000F047D">
        <w:t xml:space="preserve">findings from </w:t>
      </w:r>
      <w:r w:rsidRPr="001D42F8">
        <w:t xml:space="preserve">the </w:t>
      </w:r>
      <w:r w:rsidR="000F047D">
        <w:t>evaluation</w:t>
      </w:r>
      <w:r w:rsidRPr="001D42F8">
        <w:t xml:space="preserve">. Using data from the baseline survey, </w:t>
      </w:r>
      <w:r>
        <w:t xml:space="preserve">research </w:t>
      </w:r>
      <w:r w:rsidRPr="001D42F8">
        <w:t xml:space="preserve">team members will test for differences </w:t>
      </w:r>
      <w:r w:rsidR="00882564" w:rsidRPr="001D42F8">
        <w:t>between respondents and non</w:t>
      </w:r>
      <w:r w:rsidR="00682AB3">
        <w:t>-</w:t>
      </w:r>
      <w:r w:rsidR="00882564" w:rsidRPr="001D42F8">
        <w:t xml:space="preserve">respondents </w:t>
      </w:r>
      <w:r w:rsidR="00882564">
        <w:t xml:space="preserve">on key </w:t>
      </w:r>
      <w:r w:rsidRPr="001D42F8">
        <w:t xml:space="preserve">demographic and outcome variables. Any </w:t>
      </w:r>
      <w:r w:rsidR="00882564" w:rsidRPr="001D42F8">
        <w:t xml:space="preserve">statistically significant </w:t>
      </w:r>
      <w:r w:rsidRPr="001D42F8">
        <w:t xml:space="preserve">differences will be documented in the </w:t>
      </w:r>
      <w:r>
        <w:t xml:space="preserve">findings </w:t>
      </w:r>
      <w:r w:rsidRPr="001D42F8">
        <w:t xml:space="preserve">report. </w:t>
      </w:r>
      <w:r w:rsidR="00882564">
        <w:t xml:space="preserve">Should </w:t>
      </w:r>
      <w:r>
        <w:t>non-response bia</w:t>
      </w:r>
      <w:r w:rsidR="00882564">
        <w:t>s be evident</w:t>
      </w:r>
      <w:r w:rsidR="00F64DCD" w:rsidRPr="00DD48AC">
        <w:t xml:space="preserve">, </w:t>
      </w:r>
      <w:r>
        <w:t xml:space="preserve">the research </w:t>
      </w:r>
      <w:r w:rsidRPr="001D42F8">
        <w:t xml:space="preserve">team </w:t>
      </w:r>
      <w:r w:rsidR="00F64DCD" w:rsidRPr="00DD48AC">
        <w:t>will prepare a set of weights that adjusts for non-response in the 6</w:t>
      </w:r>
      <w:r w:rsidR="00F64DCD">
        <w:t>-</w:t>
      </w:r>
      <w:r w:rsidR="00F64DCD" w:rsidRPr="00DD48AC">
        <w:t>month follow-up survey and a separate set of weights that adjusts for non-response in the 12</w:t>
      </w:r>
      <w:r w:rsidR="00F64DCD">
        <w:t>-</w:t>
      </w:r>
      <w:r w:rsidR="00F64DCD" w:rsidRPr="00DD48AC">
        <w:t>month follow-up survey.  The weights will be used in all regression</w:t>
      </w:r>
      <w:r>
        <w:t xml:space="preserve"> models</w:t>
      </w:r>
      <w:r w:rsidR="00882564">
        <w:t xml:space="preserve">. </w:t>
      </w:r>
    </w:p>
    <w:p w14:paraId="67F842E6" w14:textId="77777777" w:rsidR="00F64DCD" w:rsidRDefault="00F64DCD" w:rsidP="00FD1B70"/>
    <w:p w14:paraId="3A2B5582" w14:textId="77777777" w:rsidR="00EC6101" w:rsidRPr="00383A0C" w:rsidRDefault="00EC6101" w:rsidP="00383A0C">
      <w:pPr>
        <w:pStyle w:val="TOC2"/>
        <w:ind w:left="0"/>
        <w:rPr>
          <w:b/>
          <w:i/>
          <w:sz w:val="24"/>
        </w:rPr>
      </w:pPr>
      <w:r w:rsidRPr="00383A0C">
        <w:rPr>
          <w:b/>
          <w:i/>
          <w:sz w:val="24"/>
        </w:rPr>
        <w:t>Maximizing Response Rates</w:t>
      </w:r>
    </w:p>
    <w:p w14:paraId="2B7C41E8" w14:textId="569DC18C" w:rsidR="00F64DCD" w:rsidRDefault="00F64DCD" w:rsidP="00F64DCD">
      <w:r w:rsidRPr="00206191">
        <w:t xml:space="preserve">Collecting </w:t>
      </w:r>
      <w:r w:rsidR="00882564">
        <w:t xml:space="preserve">longitudinal </w:t>
      </w:r>
      <w:r w:rsidRPr="00206191">
        <w:t xml:space="preserve">data from </w:t>
      </w:r>
      <w:r w:rsidR="00882564">
        <w:t xml:space="preserve">runaway and </w:t>
      </w:r>
      <w:r w:rsidRPr="00206191">
        <w:t xml:space="preserve">homeless youth </w:t>
      </w:r>
      <w:r w:rsidR="00882564">
        <w:t>is</w:t>
      </w:r>
      <w:r w:rsidRPr="00206191">
        <w:t xml:space="preserve"> </w:t>
      </w:r>
      <w:r w:rsidR="00882564">
        <w:t xml:space="preserve">a </w:t>
      </w:r>
      <w:r w:rsidRPr="00206191">
        <w:t>challenge because many are transitory and lack fixed addresses. To obtain adequate response rates, we will implement a robust data monitoring and tracking process. The study team will employ several outreach tactics to obtain the highest response rates possible from study participants for each of the surveys. The primary mode of outreach will be email or cell phone text message. (Note that upon enrollment into the study, youth will have an opportunity to refuse text messaging from the study team if this approach forces youth to incur additional costs. Some cell phone data plans have unlimited text messaging, while others have an additional charge.)</w:t>
      </w:r>
      <w:r>
        <w:t xml:space="preserve"> </w:t>
      </w:r>
    </w:p>
    <w:p w14:paraId="58F9276A" w14:textId="77777777" w:rsidR="00F64DCD" w:rsidRPr="00206191" w:rsidRDefault="00F64DCD" w:rsidP="00F64DCD"/>
    <w:p w14:paraId="6969E7F2" w14:textId="155086F8" w:rsidR="00F64DCD" w:rsidRPr="00206191" w:rsidRDefault="00F64DCD" w:rsidP="00F64DCD">
      <w:pPr>
        <w:tabs>
          <w:tab w:val="left" w:pos="8190"/>
        </w:tabs>
      </w:pPr>
      <w:r>
        <w:t xml:space="preserve">In addition, the study team </w:t>
      </w:r>
      <w:r w:rsidRPr="00206191">
        <w:t xml:space="preserve">will send email or text message invitations for the </w:t>
      </w:r>
      <w:r>
        <w:t>6-</w:t>
      </w:r>
      <w:r w:rsidRPr="00206191">
        <w:t xml:space="preserve"> and</w:t>
      </w:r>
      <w:r>
        <w:t xml:space="preserve"> </w:t>
      </w:r>
      <w:r w:rsidRPr="00206191">
        <w:t>1</w:t>
      </w:r>
      <w:r>
        <w:t>2</w:t>
      </w:r>
      <w:r w:rsidRPr="00206191">
        <w:t>-month surveys</w:t>
      </w:r>
      <w:r w:rsidR="00157DD6">
        <w:t xml:space="preserve"> (see Attachment H)</w:t>
      </w:r>
      <w:r w:rsidRPr="00206191">
        <w:t xml:space="preserve">. The invitations will include a link to the study’s web portal where youth will login using their unique username and password (set up during enrollment). Up to two email/text reminders will be sent to non-responders before moving them to </w:t>
      </w:r>
      <w:r>
        <w:t>outreach by TLP staff</w:t>
      </w:r>
      <w:r w:rsidRPr="00206191">
        <w:t xml:space="preserve">. </w:t>
      </w:r>
      <w:r>
        <w:t>For t</w:t>
      </w:r>
      <w:r w:rsidRPr="00206191">
        <w:t>hose who do not complete th</w:t>
      </w:r>
      <w:r>
        <w:t>e</w:t>
      </w:r>
      <w:r w:rsidRPr="00206191">
        <w:t xml:space="preserve"> surveys within 48 hours of the </w:t>
      </w:r>
      <w:r>
        <w:t xml:space="preserve">second </w:t>
      </w:r>
      <w:r w:rsidRPr="00206191">
        <w:t>email/text invitation</w:t>
      </w:r>
      <w:r>
        <w:t>, specially trained TLP staff will reach out to the youth via telephone or in person for the completion of the survey using a study-provided laptop</w:t>
      </w:r>
      <w:r w:rsidR="004E4B45">
        <w:t>/tablet</w:t>
      </w:r>
      <w:r>
        <w:t xml:space="preserve"> with an internet connection</w:t>
      </w:r>
      <w:r w:rsidR="000F3CC4">
        <w:t xml:space="preserve"> (Attachment H)</w:t>
      </w:r>
      <w:r w:rsidRPr="00206191">
        <w:t xml:space="preserve">. </w:t>
      </w:r>
      <w:r>
        <w:t xml:space="preserve">Alternatively, TLP staff may offer to help troubleshoot any issues the youth may have connecting to the survey (e.g., password reset), logging into the </w:t>
      </w:r>
      <w:r w:rsidRPr="00206191">
        <w:t>study web portal</w:t>
      </w:r>
      <w:r>
        <w:t>,</w:t>
      </w:r>
      <w:r w:rsidRPr="00206191">
        <w:t xml:space="preserve"> </w:t>
      </w:r>
      <w:r>
        <w:t xml:space="preserve">or </w:t>
      </w:r>
      <w:r w:rsidRPr="00206191">
        <w:t>complet</w:t>
      </w:r>
      <w:r>
        <w:t>ing</w:t>
      </w:r>
      <w:r w:rsidRPr="00206191">
        <w:t xml:space="preserve"> the survey. Staff will use secondary and tertiary contact information obtained </w:t>
      </w:r>
      <w:r>
        <w:t xml:space="preserve">from </w:t>
      </w:r>
      <w:r w:rsidRPr="00206191">
        <w:t xml:space="preserve">the </w:t>
      </w:r>
      <w:r>
        <w:t xml:space="preserve">most recent completed survey </w:t>
      </w:r>
      <w:r w:rsidRPr="00206191">
        <w:t xml:space="preserve">to contact individuals who may know of the youth's whereabouts or have updated contact information for them. </w:t>
      </w:r>
    </w:p>
    <w:p w14:paraId="1EF411F9" w14:textId="77777777" w:rsidR="00F64DCD" w:rsidRDefault="00F64DCD" w:rsidP="00F64DCD"/>
    <w:p w14:paraId="146235E2" w14:textId="77777777" w:rsidR="00F64DCD" w:rsidRPr="00206191" w:rsidRDefault="00F64DCD" w:rsidP="00F64DCD">
      <w:r>
        <w:t>The study team will actively m</w:t>
      </w:r>
      <w:r w:rsidRPr="00206191">
        <w:t>onitor data collection and produce bi-weekly reports on the status (e.g., response rates) of each participating TLP agency.</w:t>
      </w:r>
    </w:p>
    <w:p w14:paraId="7407C5D4" w14:textId="77777777" w:rsidR="00E05A0A" w:rsidRPr="00383A0C" w:rsidRDefault="00E05A0A" w:rsidP="00383A0C">
      <w:pPr>
        <w:pStyle w:val="Heading1"/>
        <w:rPr>
          <w:rFonts w:ascii="Times New Roman" w:hAnsi="Times New Roman"/>
          <w:sz w:val="24"/>
          <w:szCs w:val="24"/>
        </w:rPr>
      </w:pPr>
      <w:bookmarkStart w:id="5" w:name="_Toc516682565"/>
      <w:r w:rsidRPr="00383A0C">
        <w:rPr>
          <w:rFonts w:ascii="Times New Roman" w:hAnsi="Times New Roman"/>
          <w:sz w:val="24"/>
          <w:szCs w:val="24"/>
        </w:rPr>
        <w:t>B4. Tests of Procedures or Methods to be Undertaken</w:t>
      </w:r>
      <w:bookmarkEnd w:id="5"/>
    </w:p>
    <w:p w14:paraId="693D5DB5" w14:textId="06689C9B" w:rsidR="00F20419" w:rsidRPr="00FD1B70" w:rsidRDefault="000F047D" w:rsidP="00383A0C">
      <w:pPr>
        <w:tabs>
          <w:tab w:val="left" w:pos="6390"/>
        </w:tabs>
      </w:pPr>
      <w:r w:rsidRPr="000F047D">
        <w:t xml:space="preserve">ACF is not proposing any </w:t>
      </w:r>
      <w:r>
        <w:t xml:space="preserve">substantive </w:t>
      </w:r>
      <w:r w:rsidRPr="000F047D">
        <w:t>changes to the previously approved data collection instruments or procedures as part of this request. ACF has not conducted any additional testing of the data collection procedures or methods since receiving initial OMB approval.</w:t>
      </w:r>
    </w:p>
    <w:p w14:paraId="7240E728" w14:textId="77777777" w:rsidR="00E05A0A" w:rsidRPr="00383A0C" w:rsidRDefault="00E05A0A" w:rsidP="00383A0C">
      <w:pPr>
        <w:pStyle w:val="Heading1"/>
        <w:rPr>
          <w:rFonts w:ascii="Times New Roman" w:hAnsi="Times New Roman"/>
          <w:sz w:val="24"/>
          <w:szCs w:val="24"/>
        </w:rPr>
      </w:pPr>
      <w:bookmarkStart w:id="6" w:name="_Toc516682566"/>
      <w:r w:rsidRPr="00383A0C">
        <w:rPr>
          <w:rFonts w:ascii="Times New Roman" w:hAnsi="Times New Roman"/>
          <w:sz w:val="24"/>
          <w:szCs w:val="24"/>
        </w:rPr>
        <w:t xml:space="preserve">B5. </w:t>
      </w:r>
      <w:r w:rsidR="0008315A" w:rsidRPr="00383A0C">
        <w:rPr>
          <w:rFonts w:ascii="Times New Roman" w:hAnsi="Times New Roman"/>
          <w:sz w:val="24"/>
          <w:szCs w:val="24"/>
        </w:rPr>
        <w:t>Individual(s)</w:t>
      </w:r>
      <w:r w:rsidRPr="00383A0C">
        <w:rPr>
          <w:rFonts w:ascii="Times New Roman" w:hAnsi="Times New Roman"/>
          <w:sz w:val="24"/>
          <w:szCs w:val="24"/>
        </w:rPr>
        <w:t xml:space="preserve"> Consulted on Statistical Aspects and Individuals Collecting and/or Analyzing Data</w:t>
      </w:r>
      <w:bookmarkEnd w:id="6"/>
    </w:p>
    <w:p w14:paraId="3EF0D3C8" w14:textId="77777777" w:rsidR="00F64DCD" w:rsidRDefault="00F64DCD" w:rsidP="00F64DCD">
      <w:r w:rsidRPr="007875BB">
        <w:t xml:space="preserve">Consultations on the statistical methods used in this study have been undertaken to ensure the technical soundness of the research. </w:t>
      </w:r>
      <w:r>
        <w:t>Administration of the data collection will be overseen by</w:t>
      </w:r>
      <w:r w:rsidRPr="00381FE6">
        <w:t xml:space="preserve"> </w:t>
      </w:r>
      <w:r>
        <w:t xml:space="preserve">Abt Associates (statistical and research contractor). </w:t>
      </w:r>
      <w:r w:rsidRPr="00381FE6">
        <w:t>The same contractor will analyze data</w:t>
      </w:r>
      <w:r>
        <w:t xml:space="preserve">. Members of this research team include: </w:t>
      </w:r>
    </w:p>
    <w:p w14:paraId="37F96903" w14:textId="77777777" w:rsidR="00F64DCD" w:rsidRDefault="00F64DCD" w:rsidP="00F64DCD"/>
    <w:p w14:paraId="763E6B42" w14:textId="77777777" w:rsidR="00F64DCD" w:rsidRDefault="00F64DCD" w:rsidP="00F64DCD">
      <w:r>
        <w:t xml:space="preserve">Dr. Alvaro Cortes </w:t>
      </w:r>
    </w:p>
    <w:p w14:paraId="53A5B4A4" w14:textId="77777777" w:rsidR="00F64DCD" w:rsidRDefault="00F64DCD" w:rsidP="00F64DCD">
      <w:r>
        <w:t xml:space="preserve">Abt Associates </w:t>
      </w:r>
    </w:p>
    <w:p w14:paraId="170FE68D" w14:textId="77777777" w:rsidR="00F64DCD" w:rsidRDefault="00F64DCD" w:rsidP="00F64DCD">
      <w:r w:rsidRPr="00B62D13">
        <w:t xml:space="preserve">6130 Executive Boulevard </w:t>
      </w:r>
    </w:p>
    <w:p w14:paraId="580C6312" w14:textId="77777777" w:rsidR="00F64DCD" w:rsidRDefault="00F64DCD" w:rsidP="00F64DCD">
      <w:r w:rsidRPr="00B62D13">
        <w:t xml:space="preserve">Rockville, </w:t>
      </w:r>
      <w:r>
        <w:t>MD</w:t>
      </w:r>
      <w:r w:rsidRPr="00B62D13">
        <w:t xml:space="preserve"> 20852</w:t>
      </w:r>
    </w:p>
    <w:p w14:paraId="6E419E0D" w14:textId="77777777" w:rsidR="00F64DCD" w:rsidRDefault="00F64DCD" w:rsidP="00F64DCD">
      <w:r>
        <w:t>(</w:t>
      </w:r>
      <w:r w:rsidRPr="000B774D">
        <w:t>301) 634-1857</w:t>
      </w:r>
    </w:p>
    <w:p w14:paraId="665943DE" w14:textId="77777777" w:rsidR="00F64DCD" w:rsidRDefault="00F64DCD" w:rsidP="00F64DCD"/>
    <w:p w14:paraId="098D9243" w14:textId="77777777" w:rsidR="00F64DCD" w:rsidRDefault="00F64DCD" w:rsidP="00F64DCD">
      <w:r>
        <w:t>Dr. Jill Khadduri</w:t>
      </w:r>
    </w:p>
    <w:p w14:paraId="1730DC6C" w14:textId="77777777" w:rsidR="00F64DCD" w:rsidRDefault="00F64DCD" w:rsidP="00F64DCD">
      <w:r>
        <w:t xml:space="preserve">Abt Associates </w:t>
      </w:r>
    </w:p>
    <w:p w14:paraId="4884EB08" w14:textId="77777777" w:rsidR="00F64DCD" w:rsidRDefault="00F64DCD" w:rsidP="00F64DCD">
      <w:r w:rsidRPr="00B62D13">
        <w:t xml:space="preserve">6130 Executive Boulevard </w:t>
      </w:r>
    </w:p>
    <w:p w14:paraId="2E397CE8" w14:textId="77777777" w:rsidR="00F64DCD" w:rsidRDefault="00F64DCD" w:rsidP="00F64DCD">
      <w:r w:rsidRPr="00B62D13">
        <w:t xml:space="preserve">Rockville, </w:t>
      </w:r>
      <w:r>
        <w:t>MD</w:t>
      </w:r>
      <w:r w:rsidRPr="00B62D13">
        <w:t xml:space="preserve"> 20852</w:t>
      </w:r>
    </w:p>
    <w:p w14:paraId="6E799271" w14:textId="77777777" w:rsidR="00F64DCD" w:rsidRDefault="00F64DCD" w:rsidP="00F64DCD">
      <w:r w:rsidRPr="0011103A">
        <w:t>(301) 634-1745</w:t>
      </w:r>
    </w:p>
    <w:p w14:paraId="48F3E1CD" w14:textId="77777777" w:rsidR="00F64DCD" w:rsidRDefault="00F64DCD" w:rsidP="00F64DCD"/>
    <w:p w14:paraId="4F2A4CEA" w14:textId="4674514B" w:rsidR="00F64DCD" w:rsidRDefault="00E64BC3" w:rsidP="00F64DCD">
      <w:r>
        <w:t>M</w:t>
      </w:r>
      <w:r w:rsidR="00F64DCD">
        <w:t xml:space="preserve">r. </w:t>
      </w:r>
      <w:r w:rsidR="00E55906">
        <w:t>Cristofer Price</w:t>
      </w:r>
    </w:p>
    <w:p w14:paraId="24D585E0" w14:textId="77777777" w:rsidR="00F64DCD" w:rsidRDefault="00F64DCD" w:rsidP="00F64DCD">
      <w:r>
        <w:t xml:space="preserve">Abt Associates </w:t>
      </w:r>
    </w:p>
    <w:p w14:paraId="2E7DA630" w14:textId="77777777" w:rsidR="00F64DCD" w:rsidRDefault="00F64DCD" w:rsidP="00F64DCD">
      <w:r w:rsidRPr="00B62D13">
        <w:t xml:space="preserve">6130 Executive Boulevard </w:t>
      </w:r>
    </w:p>
    <w:p w14:paraId="255D41AD" w14:textId="77777777" w:rsidR="00F64DCD" w:rsidRDefault="00F64DCD" w:rsidP="00F64DCD">
      <w:r w:rsidRPr="00B62D13">
        <w:t xml:space="preserve">Rockville, </w:t>
      </w:r>
      <w:r>
        <w:t>MD</w:t>
      </w:r>
      <w:r w:rsidRPr="00B62D13">
        <w:t xml:space="preserve"> 20852</w:t>
      </w:r>
    </w:p>
    <w:p w14:paraId="05AD5335" w14:textId="77777777" w:rsidR="00F64DCD" w:rsidRDefault="00F64DCD" w:rsidP="00F64DCD">
      <w:r w:rsidRPr="0011103A">
        <w:t>(301) 634-1854</w:t>
      </w:r>
    </w:p>
    <w:p w14:paraId="655DC50F" w14:textId="77777777" w:rsidR="00F64DCD" w:rsidRDefault="00F64DCD" w:rsidP="00F64DCD"/>
    <w:p w14:paraId="2B7CD275" w14:textId="51A728FF" w:rsidR="00E64BC3" w:rsidRDefault="00E64BC3" w:rsidP="00E64BC3">
      <w:r>
        <w:t>Ms. Alisa Santucci</w:t>
      </w:r>
    </w:p>
    <w:p w14:paraId="6EA29915" w14:textId="77777777" w:rsidR="00E64BC3" w:rsidRDefault="00E64BC3" w:rsidP="00E64BC3">
      <w:r>
        <w:t xml:space="preserve">Abt Associates </w:t>
      </w:r>
    </w:p>
    <w:p w14:paraId="6ED7BEE0" w14:textId="77777777" w:rsidR="00E64BC3" w:rsidRDefault="00E64BC3" w:rsidP="00E64BC3">
      <w:r w:rsidRPr="00B62D13">
        <w:t xml:space="preserve">6130 Executive Boulevard </w:t>
      </w:r>
    </w:p>
    <w:p w14:paraId="65C28824" w14:textId="77777777" w:rsidR="00E64BC3" w:rsidRDefault="00E64BC3" w:rsidP="00E64BC3">
      <w:r w:rsidRPr="00B62D13">
        <w:t xml:space="preserve">Rockville, </w:t>
      </w:r>
      <w:r>
        <w:t>MD</w:t>
      </w:r>
      <w:r w:rsidRPr="00B62D13">
        <w:t xml:space="preserve"> 20852</w:t>
      </w:r>
    </w:p>
    <w:p w14:paraId="72EDB527" w14:textId="77777777" w:rsidR="00E64BC3" w:rsidRDefault="00E64BC3" w:rsidP="00E64BC3">
      <w:r w:rsidRPr="0011103A">
        <w:t>(301) 634-1854</w:t>
      </w:r>
    </w:p>
    <w:p w14:paraId="544F24A1" w14:textId="77777777" w:rsidR="00E64BC3" w:rsidRDefault="00E64BC3" w:rsidP="00F64DCD"/>
    <w:p w14:paraId="595DC21D" w14:textId="77777777" w:rsidR="00F64DCD" w:rsidRDefault="00F64DCD" w:rsidP="00F64DCD">
      <w:r>
        <w:t>Dr. Jessica Thornton Walker</w:t>
      </w:r>
    </w:p>
    <w:p w14:paraId="7CECC16D" w14:textId="77777777" w:rsidR="00F64DCD" w:rsidRDefault="00F64DCD" w:rsidP="00F64DCD">
      <w:r>
        <w:t xml:space="preserve">Abt Associates </w:t>
      </w:r>
    </w:p>
    <w:p w14:paraId="21C56C35" w14:textId="77777777" w:rsidR="00F64DCD" w:rsidRDefault="00F64DCD" w:rsidP="00F64DCD">
      <w:r w:rsidRPr="00B62D13">
        <w:t xml:space="preserve">6130 Executive Boulevard </w:t>
      </w:r>
    </w:p>
    <w:p w14:paraId="2DD4FF9A" w14:textId="77777777" w:rsidR="00F64DCD" w:rsidRDefault="00F64DCD" w:rsidP="00F64DCD">
      <w:r w:rsidRPr="00B62D13">
        <w:t xml:space="preserve">Rockville, </w:t>
      </w:r>
      <w:r>
        <w:t>MD</w:t>
      </w:r>
      <w:r w:rsidRPr="00B62D13">
        <w:t xml:space="preserve"> 20852</w:t>
      </w:r>
    </w:p>
    <w:p w14:paraId="5F5E8252" w14:textId="77777777" w:rsidR="00F64DCD" w:rsidRDefault="00F64DCD" w:rsidP="00F64DCD">
      <w:r>
        <w:t xml:space="preserve">(301) </w:t>
      </w:r>
      <w:r w:rsidRPr="00D50392">
        <w:t>347</w:t>
      </w:r>
      <w:r>
        <w:t>-</w:t>
      </w:r>
      <w:r w:rsidRPr="00D50392">
        <w:t>5622</w:t>
      </w:r>
    </w:p>
    <w:p w14:paraId="47BA79A7" w14:textId="77777777" w:rsidR="00FF0291" w:rsidRPr="004E1DED" w:rsidRDefault="00FF0291" w:rsidP="00157926">
      <w:pPr>
        <w:pStyle w:val="Heading1"/>
        <w:rPr>
          <w:rFonts w:ascii="Times New Roman" w:hAnsi="Times New Roman"/>
        </w:rPr>
      </w:pPr>
      <w:r>
        <w:br w:type="page"/>
      </w:r>
      <w:bookmarkStart w:id="7" w:name="_Toc516682567"/>
      <w:r w:rsidRPr="004E1DED">
        <w:rPr>
          <w:rFonts w:ascii="Times New Roman" w:hAnsi="Times New Roman"/>
          <w:sz w:val="24"/>
        </w:rPr>
        <w:t>References</w:t>
      </w:r>
      <w:bookmarkEnd w:id="7"/>
    </w:p>
    <w:p w14:paraId="57D9CACB" w14:textId="77777777" w:rsidR="00FF0291" w:rsidRPr="004E1DED" w:rsidRDefault="00FF0291" w:rsidP="00FF0291">
      <w:pPr>
        <w:pStyle w:val="BodyText"/>
        <w:ind w:left="360" w:hanging="360"/>
        <w:rPr>
          <w:b/>
        </w:rPr>
      </w:pPr>
    </w:p>
    <w:p w14:paraId="5945A064" w14:textId="77777777" w:rsidR="00FF0291" w:rsidRPr="004E1DED" w:rsidRDefault="00FF0291" w:rsidP="00FF0291">
      <w:pPr>
        <w:pStyle w:val="BodyText"/>
        <w:ind w:left="360" w:hanging="360"/>
      </w:pPr>
      <w:r w:rsidRPr="004E1DED">
        <w:t xml:space="preserve">Angrist, J.D., &amp; Pischke J.S. (2008), </w:t>
      </w:r>
      <w:r w:rsidRPr="004E1DED">
        <w:rPr>
          <w:i/>
          <w:iCs/>
        </w:rPr>
        <w:t>Mostly harmless econometrics: An empiricist's companion</w:t>
      </w:r>
      <w:r w:rsidRPr="004E1DED">
        <w:t>. Princeton, NJ: Princeton University Press.</w:t>
      </w:r>
    </w:p>
    <w:p w14:paraId="5F270394" w14:textId="77777777" w:rsidR="000D53DF" w:rsidRPr="004E1DED" w:rsidRDefault="000D53DF" w:rsidP="00FD1B70"/>
    <w:p w14:paraId="76C12A24" w14:textId="77777777" w:rsidR="00FF0291" w:rsidRPr="004E1DED" w:rsidRDefault="00FF0291" w:rsidP="00FF0291">
      <w:pPr>
        <w:pStyle w:val="BodyText"/>
        <w:ind w:left="360" w:hanging="360"/>
      </w:pPr>
      <w:r w:rsidRPr="004E1DED">
        <w:t xml:space="preserve">Greene, W. H. (2003). </w:t>
      </w:r>
      <w:r w:rsidRPr="004E1DED">
        <w:rPr>
          <w:i/>
          <w:iCs/>
        </w:rPr>
        <w:t>Econometric analysis, 5</w:t>
      </w:r>
      <w:r w:rsidRPr="004E1DED">
        <w:rPr>
          <w:i/>
          <w:iCs/>
          <w:vertAlign w:val="superscript"/>
        </w:rPr>
        <w:t>th</w:t>
      </w:r>
      <w:r w:rsidRPr="004E1DED">
        <w:rPr>
          <w:i/>
          <w:iCs/>
        </w:rPr>
        <w:t xml:space="preserve"> e</w:t>
      </w:r>
      <w:r w:rsidRPr="004E1DED">
        <w:rPr>
          <w:iCs/>
        </w:rPr>
        <w:t>dition</w:t>
      </w:r>
      <w:r w:rsidRPr="004E1DED">
        <w:t>. Upper Saddle River, NJ: Prentice-Hall Inc.</w:t>
      </w:r>
    </w:p>
    <w:p w14:paraId="6B7A9E10" w14:textId="77777777" w:rsidR="00FF0291" w:rsidRPr="004E1DED" w:rsidRDefault="00FF0291" w:rsidP="00FD1B70"/>
    <w:p w14:paraId="5A0EB6BC" w14:textId="77777777" w:rsidR="00FF0291" w:rsidRPr="004E1DED" w:rsidRDefault="00FF0291" w:rsidP="00FF0291">
      <w:pPr>
        <w:pStyle w:val="BodyText"/>
        <w:ind w:left="360" w:hanging="360"/>
      </w:pPr>
      <w:r w:rsidRPr="004E1DED">
        <w:t xml:space="preserve">Huber, P. J. (1967). The behavior of maximum likelihood estimates under nonstandard conditions. In </w:t>
      </w:r>
      <w:r w:rsidRPr="004E1DED">
        <w:rPr>
          <w:i/>
          <w:iCs/>
        </w:rPr>
        <w:t>Proceedings of the Fifth Berkeley Symposium on Mathematical Statistics and Probability</w:t>
      </w:r>
      <w:r w:rsidRPr="004E1DED">
        <w:t xml:space="preserve">. Berkeley, CA: University of California Press, 1, 221–233. </w:t>
      </w:r>
    </w:p>
    <w:p w14:paraId="01852BEF" w14:textId="77777777" w:rsidR="00FF0291" w:rsidRPr="004E1DED" w:rsidRDefault="00FF0291" w:rsidP="00FD1B70"/>
    <w:p w14:paraId="0085EE9B" w14:textId="59A01CBC" w:rsidR="00FF0291" w:rsidRPr="004E1DED" w:rsidRDefault="00FF0291" w:rsidP="00FF0291">
      <w:pPr>
        <w:pStyle w:val="BodyText"/>
        <w:ind w:left="360" w:hanging="360"/>
      </w:pPr>
      <w:r w:rsidRPr="004E1DED">
        <w:t xml:space="preserve">White, H. (1980). A heteroskedasticity-consistent covariance matrix estimator and a direct test for heteroskedasticity. </w:t>
      </w:r>
      <w:r w:rsidRPr="004E1DED">
        <w:rPr>
          <w:i/>
          <w:iCs/>
        </w:rPr>
        <w:t>Econometrica,</w:t>
      </w:r>
      <w:r w:rsidRPr="004E1DED">
        <w:t xml:space="preserve"> 48, 817–830.</w:t>
      </w:r>
    </w:p>
    <w:p w14:paraId="2D1F68BB" w14:textId="77777777" w:rsidR="00FF0291" w:rsidRPr="004E1DED" w:rsidRDefault="00FF0291" w:rsidP="00FF0291">
      <w:pPr>
        <w:pStyle w:val="BodyText"/>
        <w:ind w:left="360" w:hanging="360"/>
      </w:pPr>
    </w:p>
    <w:p w14:paraId="29019F29" w14:textId="77777777" w:rsidR="00FF0291" w:rsidRDefault="00FF0291" w:rsidP="00FF0291">
      <w:pPr>
        <w:pStyle w:val="BodyText"/>
        <w:ind w:left="360" w:hanging="360"/>
      </w:pPr>
      <w:r w:rsidRPr="004E1DED">
        <w:t xml:space="preserve">White, H. (1984). </w:t>
      </w:r>
      <w:r w:rsidRPr="004E1DED">
        <w:rPr>
          <w:i/>
          <w:iCs/>
        </w:rPr>
        <w:t>Asymptotic Theory for Econometricians</w:t>
      </w:r>
      <w:r w:rsidRPr="004E1DED">
        <w:t>. Orlando, FL: Academic Press.</w:t>
      </w:r>
    </w:p>
    <w:p w14:paraId="3E43A2FA" w14:textId="77777777" w:rsidR="00FF0291" w:rsidRDefault="00FF0291" w:rsidP="00FD1B70"/>
    <w:sectPr w:rsidR="00FF0291" w:rsidSect="00520737">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2C6156" w14:textId="77777777" w:rsidR="0002022F" w:rsidRDefault="0002022F">
      <w:r>
        <w:separator/>
      </w:r>
    </w:p>
  </w:endnote>
  <w:endnote w:type="continuationSeparator" w:id="0">
    <w:p w14:paraId="35B8E01F" w14:textId="77777777" w:rsidR="0002022F" w:rsidRDefault="0002022F">
      <w:r>
        <w:continuationSeparator/>
      </w:r>
    </w:p>
  </w:endnote>
  <w:endnote w:type="continuationNotice" w:id="1">
    <w:p w14:paraId="5124A447" w14:textId="77777777" w:rsidR="0002022F" w:rsidRDefault="000202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W1)">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38CC2F" w14:textId="123699DF" w:rsidR="00EC6101" w:rsidRDefault="00EC6101">
    <w:pPr>
      <w:pStyle w:val="Footer"/>
      <w:jc w:val="center"/>
    </w:pPr>
    <w:r>
      <w:fldChar w:fldCharType="begin"/>
    </w:r>
    <w:r>
      <w:instrText xml:space="preserve"> PAGE   \* MERGEFORMAT </w:instrText>
    </w:r>
    <w:r>
      <w:fldChar w:fldCharType="separate"/>
    </w:r>
    <w:r w:rsidR="00FB24E8">
      <w:rPr>
        <w:noProof/>
      </w:rPr>
      <w:t>1</w:t>
    </w:r>
    <w:r>
      <w:fldChar w:fldCharType="end"/>
    </w:r>
  </w:p>
  <w:p w14:paraId="41FE25C7" w14:textId="77777777" w:rsidR="00EC6101" w:rsidRDefault="00EC6101" w:rsidP="00292B70">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ACCCF7" w14:textId="77777777" w:rsidR="0002022F" w:rsidRDefault="0002022F">
      <w:r>
        <w:separator/>
      </w:r>
    </w:p>
  </w:footnote>
  <w:footnote w:type="continuationSeparator" w:id="0">
    <w:p w14:paraId="4BABCCCB" w14:textId="77777777" w:rsidR="0002022F" w:rsidRDefault="0002022F">
      <w:r>
        <w:continuationSeparator/>
      </w:r>
    </w:p>
  </w:footnote>
  <w:footnote w:type="continuationNotice" w:id="1">
    <w:p w14:paraId="5B3F1627" w14:textId="77777777" w:rsidR="0002022F" w:rsidRDefault="0002022F"/>
  </w:footnote>
  <w:footnote w:id="2">
    <w:p w14:paraId="19287E31" w14:textId="3E914640" w:rsidR="00814068" w:rsidRDefault="00814068">
      <w:pPr>
        <w:pStyle w:val="FootnoteText"/>
      </w:pPr>
      <w:r>
        <w:rPr>
          <w:rStyle w:val="FootnoteReference"/>
        </w:rPr>
        <w:footnoteRef/>
      </w:r>
      <w:r>
        <w:t xml:space="preserve"> </w:t>
      </w:r>
      <w:r w:rsidRPr="001327FF">
        <w:t>Most TLPs serve a relatively small number of youth</w:t>
      </w:r>
      <w:r w:rsidRPr="00814068">
        <w:t xml:space="preserve">. </w:t>
      </w:r>
      <w:r w:rsidRPr="000F047D">
        <w:t xml:space="preserve">Among the </w:t>
      </w:r>
      <w:r>
        <w:t>108 TLPs funded in September 2017</w:t>
      </w:r>
      <w:r w:rsidRPr="000F047D">
        <w:t>, the average number of youth served annually was about 10, ranging from 1 to 54 youth annually</w:t>
      </w:r>
      <w:r w:rsidRPr="00814068">
        <w:t xml:space="preserve">. </w:t>
      </w:r>
      <w:r w:rsidRPr="007A6278">
        <w:t xml:space="preserve"> </w:t>
      </w:r>
    </w:p>
  </w:footnote>
  <w:footnote w:id="3">
    <w:p w14:paraId="62AAE390" w14:textId="380584D1" w:rsidR="004D2D7D" w:rsidRPr="00933293" w:rsidRDefault="007646F1" w:rsidP="00933293">
      <w:pPr>
        <w:rPr>
          <w:sz w:val="20"/>
          <w:szCs w:val="20"/>
        </w:rPr>
      </w:pPr>
      <w:r w:rsidRPr="007646F1">
        <w:rPr>
          <w:sz w:val="20"/>
          <w:szCs w:val="20"/>
          <w:vertAlign w:val="superscript"/>
        </w:rPr>
        <w:footnoteRef/>
      </w:r>
      <w:r w:rsidRPr="007646F1">
        <w:rPr>
          <w:sz w:val="20"/>
          <w:szCs w:val="20"/>
        </w:rPr>
        <w:t xml:space="preserve"> Berlin, Martha, Leyla Mohadjer, Joseph Waksberg, Andrew Kolstad, Irwin Kirsch, D. Rock, and Kentaro Yamamoto. 1992. An experiment in monetary incentives. In </w:t>
      </w:r>
      <w:r w:rsidRPr="007646F1">
        <w:rPr>
          <w:i/>
          <w:iCs/>
          <w:sz w:val="20"/>
          <w:szCs w:val="20"/>
        </w:rPr>
        <w:t>JSM proceedings</w:t>
      </w:r>
      <w:r w:rsidRPr="007646F1">
        <w:rPr>
          <w:sz w:val="20"/>
          <w:szCs w:val="20"/>
        </w:rPr>
        <w:t>, 393–98. Alexandria, VA:  American Statistical Association.</w:t>
      </w:r>
    </w:p>
  </w:footnote>
  <w:footnote w:id="4">
    <w:p w14:paraId="40CD294A" w14:textId="3AD3F7EF" w:rsidR="004D2D7D" w:rsidRPr="00EF0A75" w:rsidRDefault="004D2D7D" w:rsidP="00933293">
      <w:pPr>
        <w:pStyle w:val="FootnoteText"/>
        <w:ind w:left="0" w:firstLine="0"/>
        <w:rPr>
          <w:sz w:val="16"/>
          <w:szCs w:val="16"/>
        </w:rPr>
      </w:pPr>
      <w:r w:rsidRPr="00BD60B9">
        <w:rPr>
          <w:rStyle w:val="FootnoteReference"/>
        </w:rPr>
        <w:footnoteRef/>
      </w:r>
      <w:r w:rsidRPr="00BD60B9">
        <w:t xml:space="preserve"> Singer, Eleanor, John Van Hoewyk, and Mary P. Maher. 1998. Does the payment o</w:t>
      </w:r>
      <w:r w:rsidR="00933293">
        <w:t xml:space="preserve">f incentives create expectation </w:t>
      </w:r>
      <w:r w:rsidRPr="00BD60B9">
        <w:t xml:space="preserve">effects? </w:t>
      </w:r>
      <w:r w:rsidRPr="00BD60B9">
        <w:rPr>
          <w:i/>
          <w:iCs/>
        </w:rPr>
        <w:t xml:space="preserve">Public Opinion Quarterly </w:t>
      </w:r>
      <w:r w:rsidRPr="00BD60B9">
        <w:t>62:152–64.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745D9"/>
    <w:multiLevelType w:val="hybridMultilevel"/>
    <w:tmpl w:val="BBC2B8F6"/>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E03283"/>
    <w:multiLevelType w:val="hybridMultilevel"/>
    <w:tmpl w:val="EAB2520C"/>
    <w:lvl w:ilvl="0" w:tplc="2E86487C">
      <w:start w:val="1"/>
      <w:numFmt w:val="decimal"/>
      <w:lvlText w:val="%1."/>
      <w:lvlJc w:val="left"/>
      <w:pPr>
        <w:tabs>
          <w:tab w:val="num" w:pos="720"/>
        </w:tabs>
        <w:ind w:left="720" w:hanging="360"/>
      </w:pPr>
      <w:rPr>
        <w:rFonts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8F84C05"/>
    <w:multiLevelType w:val="hybridMultilevel"/>
    <w:tmpl w:val="10C8301C"/>
    <w:lvl w:ilvl="0" w:tplc="79423C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D502E5"/>
    <w:multiLevelType w:val="hybridMultilevel"/>
    <w:tmpl w:val="741A6838"/>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C358DF"/>
    <w:multiLevelType w:val="hybridMultilevel"/>
    <w:tmpl w:val="4048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54F7774"/>
    <w:multiLevelType w:val="hybridMultilevel"/>
    <w:tmpl w:val="B87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8B52B62"/>
    <w:multiLevelType w:val="hybridMultilevel"/>
    <w:tmpl w:val="AC48E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FB72DF"/>
    <w:multiLevelType w:val="hybridMultilevel"/>
    <w:tmpl w:val="54F2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9EC15B6"/>
    <w:multiLevelType w:val="hybridMultilevel"/>
    <w:tmpl w:val="39FCF302"/>
    <w:lvl w:ilvl="0" w:tplc="2786B2F0">
      <w:start w:val="1"/>
      <w:numFmt w:val="decimal"/>
      <w:lvlText w:val="%1."/>
      <w:lvlJc w:val="left"/>
      <w:pPr>
        <w:ind w:left="720" w:hanging="360"/>
      </w:pPr>
    </w:lvl>
    <w:lvl w:ilvl="1" w:tplc="04090019">
      <w:start w:val="1"/>
      <w:numFmt w:val="lowerLetter"/>
      <w:lvlText w:val="%2."/>
      <w:lvlJc w:val="left"/>
      <w:pPr>
        <w:ind w:left="1440" w:hanging="360"/>
      </w:pPr>
    </w:lvl>
    <w:lvl w:ilvl="2" w:tplc="3B28C868">
      <w:start w:val="1"/>
      <w:numFmt w:val="decimal"/>
      <w:lvlText w:val="(%3)"/>
      <w:lvlJc w:val="left"/>
      <w:pPr>
        <w:ind w:left="3420" w:hanging="144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AB92ED5"/>
    <w:multiLevelType w:val="hybridMultilevel"/>
    <w:tmpl w:val="DF1230B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5C127280"/>
    <w:multiLevelType w:val="hybridMultilevel"/>
    <w:tmpl w:val="1924D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E3E4071"/>
    <w:multiLevelType w:val="hybridMultilevel"/>
    <w:tmpl w:val="0DF27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A445D60">
      <w:start w:val="1"/>
      <w:numFmt w:val="lowerLetter"/>
      <w:lvlText w:val="%3)"/>
      <w:lvlJc w:val="left"/>
      <w:pPr>
        <w:tabs>
          <w:tab w:val="num" w:pos="2340"/>
        </w:tabs>
        <w:ind w:left="2340" w:hanging="360"/>
      </w:pPr>
      <w:rPr>
        <w:rFont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3284632"/>
    <w:multiLevelType w:val="hybridMultilevel"/>
    <w:tmpl w:val="50FC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num w:numId="1">
    <w:abstractNumId w:val="4"/>
  </w:num>
  <w:num w:numId="2">
    <w:abstractNumId w:val="1"/>
  </w:num>
  <w:num w:numId="3">
    <w:abstractNumId w:val="12"/>
  </w:num>
  <w:num w:numId="4">
    <w:abstractNumId w:val="7"/>
  </w:num>
  <w:num w:numId="5">
    <w:abstractNumId w:val="8"/>
  </w:num>
  <w:num w:numId="6">
    <w:abstractNumId w:val="14"/>
  </w:num>
  <w:num w:numId="7">
    <w:abstractNumId w:val="13"/>
  </w:num>
  <w:num w:numId="8">
    <w:abstractNumId w:val="9"/>
  </w:num>
  <w:num w:numId="9">
    <w:abstractNumId w:val="10"/>
  </w:num>
  <w:num w:numId="10">
    <w:abstractNumId w:val="2"/>
  </w:num>
  <w:num w:numId="11">
    <w:abstractNumId w:val="0"/>
  </w:num>
  <w:num w:numId="12">
    <w:abstractNumId w:val="3"/>
  </w:num>
  <w:num w:numId="13">
    <w:abstractNumId w:val="15"/>
  </w:num>
  <w:num w:numId="14">
    <w:abstractNumId w:val="5"/>
  </w:num>
  <w:num w:numId="15">
    <w:abstractNumId w:val="6"/>
  </w:num>
  <w:num w:numId="16">
    <w:abstractNumId w:val="11"/>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s-MX"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F2C"/>
    <w:rsid w:val="00005E54"/>
    <w:rsid w:val="0002022F"/>
    <w:rsid w:val="0006346A"/>
    <w:rsid w:val="0008276F"/>
    <w:rsid w:val="0008315A"/>
    <w:rsid w:val="00091C59"/>
    <w:rsid w:val="000A6C4A"/>
    <w:rsid w:val="000B5EA8"/>
    <w:rsid w:val="000B6ED3"/>
    <w:rsid w:val="000C21E7"/>
    <w:rsid w:val="000D53DF"/>
    <w:rsid w:val="000F047D"/>
    <w:rsid w:val="000F3CC4"/>
    <w:rsid w:val="000F5D39"/>
    <w:rsid w:val="00115E3E"/>
    <w:rsid w:val="00125B9C"/>
    <w:rsid w:val="00157926"/>
    <w:rsid w:val="00157DD6"/>
    <w:rsid w:val="0016012E"/>
    <w:rsid w:val="001779C2"/>
    <w:rsid w:val="00183C0F"/>
    <w:rsid w:val="001C4D60"/>
    <w:rsid w:val="001D42F8"/>
    <w:rsid w:val="001E66A2"/>
    <w:rsid w:val="001F3620"/>
    <w:rsid w:val="0020382F"/>
    <w:rsid w:val="002231FA"/>
    <w:rsid w:val="00234E8D"/>
    <w:rsid w:val="00235A6D"/>
    <w:rsid w:val="00253148"/>
    <w:rsid w:val="0027038A"/>
    <w:rsid w:val="00286D97"/>
    <w:rsid w:val="00292B70"/>
    <w:rsid w:val="002A1F68"/>
    <w:rsid w:val="002B4DBE"/>
    <w:rsid w:val="002B7A4E"/>
    <w:rsid w:val="002C44BC"/>
    <w:rsid w:val="002D0FF3"/>
    <w:rsid w:val="00342BD9"/>
    <w:rsid w:val="0037156C"/>
    <w:rsid w:val="00374DAB"/>
    <w:rsid w:val="00383A0C"/>
    <w:rsid w:val="00395B8B"/>
    <w:rsid w:val="003C590B"/>
    <w:rsid w:val="003D5231"/>
    <w:rsid w:val="003E3CE0"/>
    <w:rsid w:val="004008AC"/>
    <w:rsid w:val="004554B1"/>
    <w:rsid w:val="00456E2F"/>
    <w:rsid w:val="00464E04"/>
    <w:rsid w:val="00482DDE"/>
    <w:rsid w:val="00485114"/>
    <w:rsid w:val="004B587E"/>
    <w:rsid w:val="004B6A51"/>
    <w:rsid w:val="004C23FE"/>
    <w:rsid w:val="004D2D7D"/>
    <w:rsid w:val="004D6CA9"/>
    <w:rsid w:val="004E1DED"/>
    <w:rsid w:val="004E4B45"/>
    <w:rsid w:val="004F4E1D"/>
    <w:rsid w:val="005046F0"/>
    <w:rsid w:val="00520737"/>
    <w:rsid w:val="005353B7"/>
    <w:rsid w:val="00536259"/>
    <w:rsid w:val="00541024"/>
    <w:rsid w:val="005A4C0B"/>
    <w:rsid w:val="005A64C5"/>
    <w:rsid w:val="005A772B"/>
    <w:rsid w:val="005B134D"/>
    <w:rsid w:val="005C14BB"/>
    <w:rsid w:val="005C4346"/>
    <w:rsid w:val="005D6BEA"/>
    <w:rsid w:val="005E17E2"/>
    <w:rsid w:val="005F1045"/>
    <w:rsid w:val="005F2061"/>
    <w:rsid w:val="006056F4"/>
    <w:rsid w:val="00607351"/>
    <w:rsid w:val="00612E57"/>
    <w:rsid w:val="006178A8"/>
    <w:rsid w:val="00644BFA"/>
    <w:rsid w:val="00651DBA"/>
    <w:rsid w:val="00657424"/>
    <w:rsid w:val="00673E5D"/>
    <w:rsid w:val="00682AB3"/>
    <w:rsid w:val="006B6845"/>
    <w:rsid w:val="006F30E0"/>
    <w:rsid w:val="00701045"/>
    <w:rsid w:val="00704550"/>
    <w:rsid w:val="0072204D"/>
    <w:rsid w:val="00735EBE"/>
    <w:rsid w:val="007646F1"/>
    <w:rsid w:val="00771B20"/>
    <w:rsid w:val="00772457"/>
    <w:rsid w:val="00784137"/>
    <w:rsid w:val="007A6278"/>
    <w:rsid w:val="007A6EEC"/>
    <w:rsid w:val="007B4894"/>
    <w:rsid w:val="007C5FEB"/>
    <w:rsid w:val="007D325C"/>
    <w:rsid w:val="00814068"/>
    <w:rsid w:val="008172E0"/>
    <w:rsid w:val="008426D7"/>
    <w:rsid w:val="0087234E"/>
    <w:rsid w:val="00882564"/>
    <w:rsid w:val="008B7F2C"/>
    <w:rsid w:val="008E0F79"/>
    <w:rsid w:val="009015CF"/>
    <w:rsid w:val="00932D71"/>
    <w:rsid w:val="00933293"/>
    <w:rsid w:val="00934896"/>
    <w:rsid w:val="00945CD6"/>
    <w:rsid w:val="009648CE"/>
    <w:rsid w:val="0096570D"/>
    <w:rsid w:val="00986CC4"/>
    <w:rsid w:val="009A7740"/>
    <w:rsid w:val="009D47D2"/>
    <w:rsid w:val="009D72EE"/>
    <w:rsid w:val="00A10EA6"/>
    <w:rsid w:val="00A333A2"/>
    <w:rsid w:val="00A35E23"/>
    <w:rsid w:val="00A57918"/>
    <w:rsid w:val="00A74FAF"/>
    <w:rsid w:val="00A92170"/>
    <w:rsid w:val="00AA29C0"/>
    <w:rsid w:val="00AA62BF"/>
    <w:rsid w:val="00AC4338"/>
    <w:rsid w:val="00B14396"/>
    <w:rsid w:val="00BA6C64"/>
    <w:rsid w:val="00BB7A00"/>
    <w:rsid w:val="00BD4CFB"/>
    <w:rsid w:val="00BE17F5"/>
    <w:rsid w:val="00C12B95"/>
    <w:rsid w:val="00C204C8"/>
    <w:rsid w:val="00C26033"/>
    <w:rsid w:val="00C56EA9"/>
    <w:rsid w:val="00CA4FE5"/>
    <w:rsid w:val="00CB1CBB"/>
    <w:rsid w:val="00CE6EFF"/>
    <w:rsid w:val="00CF552B"/>
    <w:rsid w:val="00D012A6"/>
    <w:rsid w:val="00D062E7"/>
    <w:rsid w:val="00D06D5F"/>
    <w:rsid w:val="00D370E5"/>
    <w:rsid w:val="00D50131"/>
    <w:rsid w:val="00D519D9"/>
    <w:rsid w:val="00D54678"/>
    <w:rsid w:val="00D67880"/>
    <w:rsid w:val="00DF0F40"/>
    <w:rsid w:val="00E05A0A"/>
    <w:rsid w:val="00E36BBC"/>
    <w:rsid w:val="00E41D46"/>
    <w:rsid w:val="00E55906"/>
    <w:rsid w:val="00E64BC3"/>
    <w:rsid w:val="00E72E9A"/>
    <w:rsid w:val="00EB3C25"/>
    <w:rsid w:val="00EB5B54"/>
    <w:rsid w:val="00EC0584"/>
    <w:rsid w:val="00EC329F"/>
    <w:rsid w:val="00EC6101"/>
    <w:rsid w:val="00ED6FFC"/>
    <w:rsid w:val="00F10B9A"/>
    <w:rsid w:val="00F20419"/>
    <w:rsid w:val="00F20F99"/>
    <w:rsid w:val="00F56220"/>
    <w:rsid w:val="00F64DCD"/>
    <w:rsid w:val="00F73374"/>
    <w:rsid w:val="00F93449"/>
    <w:rsid w:val="00F95F02"/>
    <w:rsid w:val="00FB24E8"/>
    <w:rsid w:val="00FC04C5"/>
    <w:rsid w:val="00FD1B70"/>
    <w:rsid w:val="00FD7600"/>
    <w:rsid w:val="00FE00B4"/>
    <w:rsid w:val="00FE1C8E"/>
    <w:rsid w:val="00FF0291"/>
    <w:rsid w:val="00FF3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53E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annotation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383A0C"/>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uiPriority w:val="99"/>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uiPriority w:val="99"/>
    <w:rsid w:val="005A64C5"/>
    <w:rPr>
      <w:sz w:val="20"/>
      <w:szCs w:val="20"/>
    </w:rPr>
  </w:style>
  <w:style w:type="character" w:customStyle="1" w:styleId="CommentTextChar">
    <w:name w:val="Comment Text Char"/>
    <w:basedOn w:val="DefaultParagraphFont"/>
    <w:link w:val="CommentText"/>
    <w:uiPriority w:val="99"/>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0F5D39"/>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0F5D39"/>
    <w:pPr>
      <w:spacing w:after="840" w:line="260" w:lineRule="exact"/>
    </w:pPr>
    <w:rPr>
      <w:rFonts w:ascii="Franklin Gothic Medium" w:hAnsi="Franklin Gothic Medium"/>
      <w:b/>
      <w:color w:val="003C79"/>
      <w:szCs w:val="20"/>
    </w:rPr>
  </w:style>
  <w:style w:type="character" w:customStyle="1" w:styleId="FooterChar">
    <w:name w:val="Footer Char"/>
    <w:link w:val="Footer"/>
    <w:uiPriority w:val="99"/>
    <w:rsid w:val="000F5D39"/>
    <w:rPr>
      <w:sz w:val="24"/>
      <w:szCs w:val="24"/>
    </w:rPr>
  </w:style>
  <w:style w:type="character" w:customStyle="1" w:styleId="HeaderChar">
    <w:name w:val="Header Char"/>
    <w:link w:val="Header"/>
    <w:rsid w:val="00FE1C8E"/>
    <w:rPr>
      <w:sz w:val="24"/>
      <w:szCs w:val="24"/>
    </w:rPr>
  </w:style>
  <w:style w:type="paragraph" w:customStyle="1" w:styleId="Exhibit">
    <w:name w:val="Exhibit"/>
    <w:basedOn w:val="Normal"/>
    <w:rsid w:val="001E66A2"/>
    <w:pPr>
      <w:spacing w:line="264" w:lineRule="auto"/>
    </w:pPr>
    <w:rPr>
      <w:rFonts w:ascii="Arial" w:hAnsi="Arial"/>
      <w:sz w:val="18"/>
      <w:szCs w:val="20"/>
    </w:rPr>
  </w:style>
  <w:style w:type="paragraph" w:styleId="BodyText">
    <w:name w:val="Body Text"/>
    <w:basedOn w:val="Normal"/>
    <w:link w:val="BodyTextChar"/>
    <w:rsid w:val="00F64DCD"/>
    <w:rPr>
      <w:rFonts w:ascii="Times New (W1)" w:hAnsi="Times New (W1)"/>
      <w:szCs w:val="20"/>
    </w:rPr>
  </w:style>
  <w:style w:type="character" w:customStyle="1" w:styleId="BodyTextChar">
    <w:name w:val="Body Text Char"/>
    <w:link w:val="BodyText"/>
    <w:rsid w:val="00F64DCD"/>
    <w:rPr>
      <w:rFonts w:ascii="Times New (W1)" w:hAnsi="Times New (W1)"/>
      <w:sz w:val="24"/>
    </w:rPr>
  </w:style>
  <w:style w:type="character" w:styleId="FootnoteReference">
    <w:name w:val="footnote reference"/>
    <w:aliases w:val="*Footnote Reference"/>
    <w:uiPriority w:val="99"/>
    <w:rsid w:val="00F64DCD"/>
    <w:rPr>
      <w:vertAlign w:val="superscript"/>
    </w:rPr>
  </w:style>
  <w:style w:type="paragraph" w:styleId="FootnoteText">
    <w:name w:val="footnote text"/>
    <w:aliases w:val="F1"/>
    <w:basedOn w:val="Normal"/>
    <w:link w:val="FootnoteTextChar"/>
    <w:uiPriority w:val="99"/>
    <w:rsid w:val="00F64DCD"/>
    <w:pPr>
      <w:spacing w:after="120" w:line="264" w:lineRule="auto"/>
      <w:ind w:left="360" w:hanging="360"/>
    </w:pPr>
    <w:rPr>
      <w:sz w:val="20"/>
      <w:szCs w:val="20"/>
    </w:rPr>
  </w:style>
  <w:style w:type="character" w:customStyle="1" w:styleId="FootnoteTextChar">
    <w:name w:val="Footnote Text Char"/>
    <w:aliases w:val="F1 Char"/>
    <w:basedOn w:val="DefaultParagraphFont"/>
    <w:link w:val="FootnoteText"/>
    <w:uiPriority w:val="99"/>
    <w:rsid w:val="00F64DCD"/>
  </w:style>
  <w:style w:type="paragraph" w:styleId="ListParagraph">
    <w:name w:val="List Paragraph"/>
    <w:basedOn w:val="Normal"/>
    <w:uiPriority w:val="34"/>
    <w:qFormat/>
    <w:rsid w:val="00F64DCD"/>
    <w:pPr>
      <w:ind w:left="720"/>
    </w:pPr>
  </w:style>
  <w:style w:type="paragraph" w:styleId="TOC1">
    <w:name w:val="toc 1"/>
    <w:basedOn w:val="BodyText"/>
    <w:next w:val="BodyText"/>
    <w:uiPriority w:val="39"/>
    <w:qFormat/>
    <w:rsid w:val="00383A0C"/>
    <w:pPr>
      <w:tabs>
        <w:tab w:val="right" w:leader="dot" w:pos="9350"/>
      </w:tabs>
      <w:spacing w:before="240" w:line="264" w:lineRule="auto"/>
    </w:pPr>
    <w:rPr>
      <w:rFonts w:ascii="Times New Roman" w:hAnsi="Times New Roman"/>
      <w:b/>
      <w:noProof/>
      <w:sz w:val="22"/>
    </w:rPr>
  </w:style>
  <w:style w:type="paragraph" w:styleId="TOC2">
    <w:name w:val="toc 2"/>
    <w:basedOn w:val="BodyText"/>
    <w:next w:val="BodyText"/>
    <w:uiPriority w:val="39"/>
    <w:qFormat/>
    <w:rsid w:val="00383A0C"/>
    <w:pPr>
      <w:tabs>
        <w:tab w:val="left" w:pos="1152"/>
        <w:tab w:val="right" w:leader="dot" w:pos="9350"/>
      </w:tabs>
      <w:spacing w:line="264" w:lineRule="auto"/>
      <w:ind w:left="576"/>
    </w:pPr>
    <w:rPr>
      <w:rFonts w:ascii="Times New Roman" w:hAnsi="Times New Roman"/>
      <w:noProof/>
      <w:sz w:val="22"/>
    </w:rPr>
  </w:style>
  <w:style w:type="paragraph" w:customStyle="1" w:styleId="TOCHeader">
    <w:name w:val="TOC Header"/>
    <w:basedOn w:val="Normal"/>
    <w:next w:val="BodyText"/>
    <w:rsid w:val="00383A0C"/>
    <w:pPr>
      <w:spacing w:after="180" w:line="264" w:lineRule="auto"/>
    </w:pPr>
    <w:rPr>
      <w:rFonts w:ascii="Arial" w:hAnsi="Arial"/>
      <w:b/>
      <w:color w:val="898D8D"/>
      <w:szCs w:val="20"/>
    </w:rPr>
  </w:style>
  <w:style w:type="character" w:customStyle="1" w:styleId="Heading1Char">
    <w:name w:val="Heading 1 Char"/>
    <w:link w:val="Heading1"/>
    <w:rsid w:val="00383A0C"/>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383A0C"/>
    <w:pPr>
      <w:keepLines/>
      <w:spacing w:before="480" w:after="0" w:line="276" w:lineRule="auto"/>
      <w:outlineLvl w:val="9"/>
    </w:pPr>
    <w:rPr>
      <w:color w:val="365F91"/>
      <w:kern w:val="0"/>
      <w:sz w:val="28"/>
      <w:szCs w:val="28"/>
      <w:lang w:eastAsia="ja-JP"/>
    </w:rPr>
  </w:style>
  <w:style w:type="paragraph" w:styleId="TOC3">
    <w:name w:val="toc 3"/>
    <w:basedOn w:val="Normal"/>
    <w:next w:val="Normal"/>
    <w:autoRedefine/>
    <w:uiPriority w:val="39"/>
    <w:unhideWhenUsed/>
    <w:qFormat/>
    <w:rsid w:val="00383A0C"/>
    <w:pPr>
      <w:spacing w:after="100" w:line="276" w:lineRule="auto"/>
      <w:ind w:left="440"/>
    </w:pPr>
    <w:rPr>
      <w:rFonts w:ascii="Calibri" w:eastAsia="MS Mincho" w:hAnsi="Calibri" w:cs="Arial"/>
      <w:sz w:val="22"/>
      <w:szCs w:val="22"/>
      <w:lang w:eastAsia="ja-JP"/>
    </w:rPr>
  </w:style>
  <w:style w:type="paragraph" w:customStyle="1" w:styleId="Bullets">
    <w:name w:val="Bullets"/>
    <w:basedOn w:val="BodyText"/>
    <w:link w:val="BulletsChar"/>
    <w:qFormat/>
    <w:rsid w:val="00A74FAF"/>
    <w:pPr>
      <w:numPr>
        <w:numId w:val="17"/>
      </w:numPr>
      <w:spacing w:after="120" w:line="264" w:lineRule="auto"/>
    </w:pPr>
    <w:rPr>
      <w:rFonts w:ascii="Times New Roman" w:hAnsi="Times New Roman"/>
      <w:sz w:val="22"/>
    </w:rPr>
  </w:style>
  <w:style w:type="character" w:customStyle="1" w:styleId="BulletsChar">
    <w:name w:val="Bullets Char"/>
    <w:link w:val="Bullets"/>
    <w:locked/>
    <w:rsid w:val="00A74FAF"/>
    <w:rPr>
      <w:sz w:val="22"/>
    </w:rPr>
  </w:style>
  <w:style w:type="paragraph" w:styleId="Revision">
    <w:name w:val="Revision"/>
    <w:hidden/>
    <w:uiPriority w:val="99"/>
    <w:semiHidden/>
    <w:rsid w:val="00E5590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annotation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383A0C"/>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uiPriority w:val="99"/>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uiPriority w:val="99"/>
    <w:rsid w:val="005A64C5"/>
    <w:rPr>
      <w:sz w:val="20"/>
      <w:szCs w:val="20"/>
    </w:rPr>
  </w:style>
  <w:style w:type="character" w:customStyle="1" w:styleId="CommentTextChar">
    <w:name w:val="Comment Text Char"/>
    <w:basedOn w:val="DefaultParagraphFont"/>
    <w:link w:val="CommentText"/>
    <w:uiPriority w:val="99"/>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0F5D39"/>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0F5D39"/>
    <w:pPr>
      <w:spacing w:after="840" w:line="260" w:lineRule="exact"/>
    </w:pPr>
    <w:rPr>
      <w:rFonts w:ascii="Franklin Gothic Medium" w:hAnsi="Franklin Gothic Medium"/>
      <w:b/>
      <w:color w:val="003C79"/>
      <w:szCs w:val="20"/>
    </w:rPr>
  </w:style>
  <w:style w:type="character" w:customStyle="1" w:styleId="FooterChar">
    <w:name w:val="Footer Char"/>
    <w:link w:val="Footer"/>
    <w:uiPriority w:val="99"/>
    <w:rsid w:val="000F5D39"/>
    <w:rPr>
      <w:sz w:val="24"/>
      <w:szCs w:val="24"/>
    </w:rPr>
  </w:style>
  <w:style w:type="character" w:customStyle="1" w:styleId="HeaderChar">
    <w:name w:val="Header Char"/>
    <w:link w:val="Header"/>
    <w:rsid w:val="00FE1C8E"/>
    <w:rPr>
      <w:sz w:val="24"/>
      <w:szCs w:val="24"/>
    </w:rPr>
  </w:style>
  <w:style w:type="paragraph" w:customStyle="1" w:styleId="Exhibit">
    <w:name w:val="Exhibit"/>
    <w:basedOn w:val="Normal"/>
    <w:rsid w:val="001E66A2"/>
    <w:pPr>
      <w:spacing w:line="264" w:lineRule="auto"/>
    </w:pPr>
    <w:rPr>
      <w:rFonts w:ascii="Arial" w:hAnsi="Arial"/>
      <w:sz w:val="18"/>
      <w:szCs w:val="20"/>
    </w:rPr>
  </w:style>
  <w:style w:type="paragraph" w:styleId="BodyText">
    <w:name w:val="Body Text"/>
    <w:basedOn w:val="Normal"/>
    <w:link w:val="BodyTextChar"/>
    <w:rsid w:val="00F64DCD"/>
    <w:rPr>
      <w:rFonts w:ascii="Times New (W1)" w:hAnsi="Times New (W1)"/>
      <w:szCs w:val="20"/>
    </w:rPr>
  </w:style>
  <w:style w:type="character" w:customStyle="1" w:styleId="BodyTextChar">
    <w:name w:val="Body Text Char"/>
    <w:link w:val="BodyText"/>
    <w:rsid w:val="00F64DCD"/>
    <w:rPr>
      <w:rFonts w:ascii="Times New (W1)" w:hAnsi="Times New (W1)"/>
      <w:sz w:val="24"/>
    </w:rPr>
  </w:style>
  <w:style w:type="character" w:styleId="FootnoteReference">
    <w:name w:val="footnote reference"/>
    <w:aliases w:val="*Footnote Reference"/>
    <w:uiPriority w:val="99"/>
    <w:rsid w:val="00F64DCD"/>
    <w:rPr>
      <w:vertAlign w:val="superscript"/>
    </w:rPr>
  </w:style>
  <w:style w:type="paragraph" w:styleId="FootnoteText">
    <w:name w:val="footnote text"/>
    <w:aliases w:val="F1"/>
    <w:basedOn w:val="Normal"/>
    <w:link w:val="FootnoteTextChar"/>
    <w:uiPriority w:val="99"/>
    <w:rsid w:val="00F64DCD"/>
    <w:pPr>
      <w:spacing w:after="120" w:line="264" w:lineRule="auto"/>
      <w:ind w:left="360" w:hanging="360"/>
    </w:pPr>
    <w:rPr>
      <w:sz w:val="20"/>
      <w:szCs w:val="20"/>
    </w:rPr>
  </w:style>
  <w:style w:type="character" w:customStyle="1" w:styleId="FootnoteTextChar">
    <w:name w:val="Footnote Text Char"/>
    <w:aliases w:val="F1 Char"/>
    <w:basedOn w:val="DefaultParagraphFont"/>
    <w:link w:val="FootnoteText"/>
    <w:uiPriority w:val="99"/>
    <w:rsid w:val="00F64DCD"/>
  </w:style>
  <w:style w:type="paragraph" w:styleId="ListParagraph">
    <w:name w:val="List Paragraph"/>
    <w:basedOn w:val="Normal"/>
    <w:uiPriority w:val="34"/>
    <w:qFormat/>
    <w:rsid w:val="00F64DCD"/>
    <w:pPr>
      <w:ind w:left="720"/>
    </w:pPr>
  </w:style>
  <w:style w:type="paragraph" w:styleId="TOC1">
    <w:name w:val="toc 1"/>
    <w:basedOn w:val="BodyText"/>
    <w:next w:val="BodyText"/>
    <w:uiPriority w:val="39"/>
    <w:qFormat/>
    <w:rsid w:val="00383A0C"/>
    <w:pPr>
      <w:tabs>
        <w:tab w:val="right" w:leader="dot" w:pos="9350"/>
      </w:tabs>
      <w:spacing w:before="240" w:line="264" w:lineRule="auto"/>
    </w:pPr>
    <w:rPr>
      <w:rFonts w:ascii="Times New Roman" w:hAnsi="Times New Roman"/>
      <w:b/>
      <w:noProof/>
      <w:sz w:val="22"/>
    </w:rPr>
  </w:style>
  <w:style w:type="paragraph" w:styleId="TOC2">
    <w:name w:val="toc 2"/>
    <w:basedOn w:val="BodyText"/>
    <w:next w:val="BodyText"/>
    <w:uiPriority w:val="39"/>
    <w:qFormat/>
    <w:rsid w:val="00383A0C"/>
    <w:pPr>
      <w:tabs>
        <w:tab w:val="left" w:pos="1152"/>
        <w:tab w:val="right" w:leader="dot" w:pos="9350"/>
      </w:tabs>
      <w:spacing w:line="264" w:lineRule="auto"/>
      <w:ind w:left="576"/>
    </w:pPr>
    <w:rPr>
      <w:rFonts w:ascii="Times New Roman" w:hAnsi="Times New Roman"/>
      <w:noProof/>
      <w:sz w:val="22"/>
    </w:rPr>
  </w:style>
  <w:style w:type="paragraph" w:customStyle="1" w:styleId="TOCHeader">
    <w:name w:val="TOC Header"/>
    <w:basedOn w:val="Normal"/>
    <w:next w:val="BodyText"/>
    <w:rsid w:val="00383A0C"/>
    <w:pPr>
      <w:spacing w:after="180" w:line="264" w:lineRule="auto"/>
    </w:pPr>
    <w:rPr>
      <w:rFonts w:ascii="Arial" w:hAnsi="Arial"/>
      <w:b/>
      <w:color w:val="898D8D"/>
      <w:szCs w:val="20"/>
    </w:rPr>
  </w:style>
  <w:style w:type="character" w:customStyle="1" w:styleId="Heading1Char">
    <w:name w:val="Heading 1 Char"/>
    <w:link w:val="Heading1"/>
    <w:rsid w:val="00383A0C"/>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383A0C"/>
    <w:pPr>
      <w:keepLines/>
      <w:spacing w:before="480" w:after="0" w:line="276" w:lineRule="auto"/>
      <w:outlineLvl w:val="9"/>
    </w:pPr>
    <w:rPr>
      <w:color w:val="365F91"/>
      <w:kern w:val="0"/>
      <w:sz w:val="28"/>
      <w:szCs w:val="28"/>
      <w:lang w:eastAsia="ja-JP"/>
    </w:rPr>
  </w:style>
  <w:style w:type="paragraph" w:styleId="TOC3">
    <w:name w:val="toc 3"/>
    <w:basedOn w:val="Normal"/>
    <w:next w:val="Normal"/>
    <w:autoRedefine/>
    <w:uiPriority w:val="39"/>
    <w:unhideWhenUsed/>
    <w:qFormat/>
    <w:rsid w:val="00383A0C"/>
    <w:pPr>
      <w:spacing w:after="100" w:line="276" w:lineRule="auto"/>
      <w:ind w:left="440"/>
    </w:pPr>
    <w:rPr>
      <w:rFonts w:ascii="Calibri" w:eastAsia="MS Mincho" w:hAnsi="Calibri" w:cs="Arial"/>
      <w:sz w:val="22"/>
      <w:szCs w:val="22"/>
      <w:lang w:eastAsia="ja-JP"/>
    </w:rPr>
  </w:style>
  <w:style w:type="paragraph" w:customStyle="1" w:styleId="Bullets">
    <w:name w:val="Bullets"/>
    <w:basedOn w:val="BodyText"/>
    <w:link w:val="BulletsChar"/>
    <w:qFormat/>
    <w:rsid w:val="00A74FAF"/>
    <w:pPr>
      <w:numPr>
        <w:numId w:val="17"/>
      </w:numPr>
      <w:spacing w:after="120" w:line="264" w:lineRule="auto"/>
    </w:pPr>
    <w:rPr>
      <w:rFonts w:ascii="Times New Roman" w:hAnsi="Times New Roman"/>
      <w:sz w:val="22"/>
    </w:rPr>
  </w:style>
  <w:style w:type="character" w:customStyle="1" w:styleId="BulletsChar">
    <w:name w:val="Bullets Char"/>
    <w:link w:val="Bullets"/>
    <w:locked/>
    <w:rsid w:val="00A74FAF"/>
    <w:rPr>
      <w:sz w:val="22"/>
    </w:rPr>
  </w:style>
  <w:style w:type="paragraph" w:styleId="Revision">
    <w:name w:val="Revision"/>
    <w:hidden/>
    <w:uiPriority w:val="99"/>
    <w:semiHidden/>
    <w:rsid w:val="00E5590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523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B02C72F154DB4BA66D8E527638FDEE" ma:contentTypeVersion="1" ma:contentTypeDescription="Create a new document." ma:contentTypeScope="" ma:versionID="ec9e7d6f0c995c2dde41cc2777eff191">
  <xsd:schema xmlns:xsd="http://www.w3.org/2001/XMLSchema" xmlns:xs="http://www.w3.org/2001/XMLSchema" xmlns:p="http://schemas.microsoft.com/office/2006/metadata/properties" xmlns:ns2="eaa45b17-fd56-44b4-85b7-73d344da6853" targetNamespace="http://schemas.microsoft.com/office/2006/metadata/properties" ma:root="true" ma:fieldsID="ea58d3ab72b0083b1336aa6227d52825" ns2:_="">
    <xsd:import namespace="eaa45b17-fd56-44b4-85b7-73d344da6853"/>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a45b17-fd56-44b4-85b7-73d344da6853" elementFormDefault="qualified">
    <xsd:import namespace="http://schemas.microsoft.com/office/2006/documentManagement/types"/>
    <xsd:import namespace="http://schemas.microsoft.com/office/infopath/2007/PartnerControls"/>
    <xsd:element name="Description0" ma:index="8" nillable="true" ma:displayName="Description" ma:internalName="Description0">
      <xsd:simpleType>
        <xsd:restriction base="dms:Text">
          <xsd:maxLength value="10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scription0 xmlns="eaa45b17-fd56-44b4-85b7-73d344da685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496089-C5B2-42F3-9381-70EA40BAE4EB}">
  <ds:schemaRefs>
    <ds:schemaRef ds:uri="http://schemas.microsoft.com/sharepoint/v3/contenttype/forms"/>
  </ds:schemaRefs>
</ds:datastoreItem>
</file>

<file path=customXml/itemProps2.xml><?xml version="1.0" encoding="utf-8"?>
<ds:datastoreItem xmlns:ds="http://schemas.openxmlformats.org/officeDocument/2006/customXml" ds:itemID="{8051A0F0-25DD-4BFD-9686-E9EB9F436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a45b17-fd56-44b4-85b7-73d344da68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2FBCB2-79C7-481B-9317-497333629EF9}">
  <ds:schemaRefs>
    <ds:schemaRef ds:uri="http://schemas.microsoft.com/office/2006/metadata/properties"/>
    <ds:schemaRef ds:uri="http://schemas.microsoft.com/office/infopath/2007/PartnerControls"/>
    <ds:schemaRef ds:uri="eaa45b17-fd56-44b4-85b7-73d344da6853"/>
  </ds:schemaRefs>
</ds:datastoreItem>
</file>

<file path=customXml/itemProps4.xml><?xml version="1.0" encoding="utf-8"?>
<ds:datastoreItem xmlns:ds="http://schemas.openxmlformats.org/officeDocument/2006/customXml" ds:itemID="{517BB3E1-93DD-4645-B788-363AF42A1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2462</Words>
  <Characters>14038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16468</CharactersWithSpaces>
  <SharedDoc>false</SharedDoc>
  <HLinks>
    <vt:vector size="36" baseType="variant">
      <vt:variant>
        <vt:i4>1507376</vt:i4>
      </vt:variant>
      <vt:variant>
        <vt:i4>32</vt:i4>
      </vt:variant>
      <vt:variant>
        <vt:i4>0</vt:i4>
      </vt:variant>
      <vt:variant>
        <vt:i4>5</vt:i4>
      </vt:variant>
      <vt:variant>
        <vt:lpwstr/>
      </vt:variant>
      <vt:variant>
        <vt:lpwstr>_Toc513536526</vt:lpwstr>
      </vt:variant>
      <vt:variant>
        <vt:i4>1507376</vt:i4>
      </vt:variant>
      <vt:variant>
        <vt:i4>26</vt:i4>
      </vt:variant>
      <vt:variant>
        <vt:i4>0</vt:i4>
      </vt:variant>
      <vt:variant>
        <vt:i4>5</vt:i4>
      </vt:variant>
      <vt:variant>
        <vt:lpwstr/>
      </vt:variant>
      <vt:variant>
        <vt:lpwstr>_Toc513536525</vt:lpwstr>
      </vt:variant>
      <vt:variant>
        <vt:i4>1507376</vt:i4>
      </vt:variant>
      <vt:variant>
        <vt:i4>20</vt:i4>
      </vt:variant>
      <vt:variant>
        <vt:i4>0</vt:i4>
      </vt:variant>
      <vt:variant>
        <vt:i4>5</vt:i4>
      </vt:variant>
      <vt:variant>
        <vt:lpwstr/>
      </vt:variant>
      <vt:variant>
        <vt:lpwstr>_Toc513536524</vt:lpwstr>
      </vt:variant>
      <vt:variant>
        <vt:i4>1507376</vt:i4>
      </vt:variant>
      <vt:variant>
        <vt:i4>14</vt:i4>
      </vt:variant>
      <vt:variant>
        <vt:i4>0</vt:i4>
      </vt:variant>
      <vt:variant>
        <vt:i4>5</vt:i4>
      </vt:variant>
      <vt:variant>
        <vt:lpwstr/>
      </vt:variant>
      <vt:variant>
        <vt:lpwstr>_Toc513536523</vt:lpwstr>
      </vt:variant>
      <vt:variant>
        <vt:i4>1507376</vt:i4>
      </vt:variant>
      <vt:variant>
        <vt:i4>8</vt:i4>
      </vt:variant>
      <vt:variant>
        <vt:i4>0</vt:i4>
      </vt:variant>
      <vt:variant>
        <vt:i4>5</vt:i4>
      </vt:variant>
      <vt:variant>
        <vt:lpwstr/>
      </vt:variant>
      <vt:variant>
        <vt:lpwstr>_Toc513536522</vt:lpwstr>
      </vt:variant>
      <vt:variant>
        <vt:i4>1507376</vt:i4>
      </vt:variant>
      <vt:variant>
        <vt:i4>2</vt:i4>
      </vt:variant>
      <vt:variant>
        <vt:i4>0</vt:i4>
      </vt:variant>
      <vt:variant>
        <vt:i4>5</vt:i4>
      </vt:variant>
      <vt:variant>
        <vt:lpwstr/>
      </vt:variant>
      <vt:variant>
        <vt:lpwstr>_Toc513536521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subject/>
  <dc:creator>DHHS</dc:creator>
  <cp:keywords/>
  <cp:lastModifiedBy>SYSTEM</cp:lastModifiedBy>
  <cp:revision>2</cp:revision>
  <cp:lastPrinted>2009-01-26T15:35:00Z</cp:lastPrinted>
  <dcterms:created xsi:type="dcterms:W3CDTF">2018-07-16T18:56:00Z</dcterms:created>
  <dcterms:modified xsi:type="dcterms:W3CDTF">2018-07-16T18:56:00Z</dcterms:modified>
</cp:coreProperties>
</file>