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04D20" w14:textId="7CFE46E4" w:rsidR="002C4F75" w:rsidRPr="002C4F75" w:rsidRDefault="00AE0319" w:rsidP="002C4F75">
      <w:pPr>
        <w:jc w:val="center"/>
        <w:rPr>
          <w:rFonts w:ascii="Arial" w:hAnsi="Arial" w:cs="Arial"/>
          <w:b/>
        </w:rPr>
      </w:pPr>
      <w:bookmarkStart w:id="0" w:name="_GoBack"/>
      <w:bookmarkEnd w:id="0"/>
      <w:r>
        <w:rPr>
          <w:rFonts w:ascii="Arial" w:hAnsi="Arial" w:cs="Arial"/>
          <w:b/>
        </w:rPr>
        <w:t xml:space="preserve"> </w:t>
      </w:r>
    </w:p>
    <w:p w14:paraId="2D5B9B3E" w14:textId="77777777" w:rsidR="002C4F75" w:rsidRPr="002C4F75" w:rsidRDefault="002C4F75" w:rsidP="002C4F75">
      <w:pPr>
        <w:pStyle w:val="ReportCover-Title"/>
        <w:rPr>
          <w:rFonts w:ascii="Arial" w:hAnsi="Arial" w:cs="Arial"/>
          <w:color w:val="auto"/>
        </w:rPr>
      </w:pPr>
    </w:p>
    <w:p w14:paraId="2E5F7277" w14:textId="77777777" w:rsidR="0033348F" w:rsidRPr="002C4F75" w:rsidRDefault="0033348F" w:rsidP="0033348F">
      <w:pPr>
        <w:pStyle w:val="ReportCover-Title"/>
        <w:jc w:val="center"/>
        <w:rPr>
          <w:rFonts w:ascii="Arial" w:hAnsi="Arial" w:cs="Arial"/>
          <w:color w:val="auto"/>
        </w:rPr>
      </w:pPr>
      <w:r w:rsidRPr="00742161">
        <w:rPr>
          <w:rFonts w:ascii="Arial" w:eastAsia="Arial Unicode MS" w:hAnsi="Arial" w:cs="Arial"/>
          <w:noProof/>
          <w:color w:val="auto"/>
        </w:rPr>
        <w:t>Transitional Living Program Evaluation</w:t>
      </w:r>
    </w:p>
    <w:p w14:paraId="1EB70A03" w14:textId="77777777" w:rsidR="002C4F75" w:rsidRPr="002C4F75" w:rsidRDefault="002C4F75" w:rsidP="002C4F75">
      <w:pPr>
        <w:pStyle w:val="ReportCover-Title"/>
        <w:rPr>
          <w:rFonts w:ascii="Arial" w:hAnsi="Arial" w:cs="Arial"/>
          <w:color w:val="auto"/>
        </w:rPr>
      </w:pPr>
    </w:p>
    <w:p w14:paraId="6F07D334" w14:textId="77777777" w:rsidR="002C4F75" w:rsidRPr="002C4F75" w:rsidRDefault="002C4F75" w:rsidP="002C4F75">
      <w:pPr>
        <w:pStyle w:val="ReportCover-Title"/>
        <w:rPr>
          <w:rFonts w:ascii="Arial" w:hAnsi="Arial" w:cs="Arial"/>
          <w:color w:val="auto"/>
        </w:rPr>
      </w:pPr>
    </w:p>
    <w:p w14:paraId="1A3E61FC" w14:textId="77777777" w:rsidR="002C4F75" w:rsidRPr="002C4F75" w:rsidRDefault="002C4F75" w:rsidP="002C4F75">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6641D032" w14:textId="77777777" w:rsidR="0033348F" w:rsidRPr="002C4F75" w:rsidRDefault="0033348F" w:rsidP="0033348F">
      <w:pPr>
        <w:pStyle w:val="ReportCover-Title"/>
        <w:jc w:val="center"/>
        <w:rPr>
          <w:rFonts w:ascii="Arial" w:hAnsi="Arial" w:cs="Arial"/>
          <w:color w:val="auto"/>
          <w:sz w:val="32"/>
          <w:szCs w:val="32"/>
        </w:rPr>
      </w:pPr>
      <w:r w:rsidRPr="00FC2B1B">
        <w:rPr>
          <w:rFonts w:ascii="Arial" w:hAnsi="Arial" w:cs="Arial"/>
          <w:color w:val="auto"/>
          <w:sz w:val="32"/>
          <w:szCs w:val="32"/>
        </w:rPr>
        <w:t>0970 - 0383</w:t>
      </w:r>
    </w:p>
    <w:p w14:paraId="05DCEB3B" w14:textId="77777777" w:rsidR="002C4F75" w:rsidRPr="002C4F75" w:rsidRDefault="002C4F75" w:rsidP="002C4F75">
      <w:pPr>
        <w:rPr>
          <w:rFonts w:ascii="Arial" w:hAnsi="Arial" w:cs="Arial"/>
          <w:szCs w:val="22"/>
        </w:rPr>
      </w:pPr>
    </w:p>
    <w:p w14:paraId="0738DA7A" w14:textId="77777777" w:rsidR="002C4F75" w:rsidRPr="002C4F75" w:rsidRDefault="002C4F75" w:rsidP="002C4F75">
      <w:pPr>
        <w:pStyle w:val="ReportCover-Date"/>
        <w:jc w:val="center"/>
        <w:rPr>
          <w:rFonts w:ascii="Arial" w:hAnsi="Arial" w:cs="Arial"/>
          <w:color w:val="auto"/>
        </w:rPr>
      </w:pPr>
    </w:p>
    <w:p w14:paraId="2B223BF6" w14:textId="77777777"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5B630456" w14:textId="77777777"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14:paraId="00AA4B63" w14:textId="556446B6" w:rsidR="002C4F75" w:rsidRPr="002C4F75" w:rsidRDefault="00BA2D96" w:rsidP="002C4F75">
      <w:pPr>
        <w:pStyle w:val="ReportCover-Date"/>
        <w:jc w:val="center"/>
        <w:rPr>
          <w:rFonts w:ascii="Arial" w:hAnsi="Arial" w:cs="Arial"/>
          <w:color w:val="auto"/>
        </w:rPr>
      </w:pPr>
      <w:r>
        <w:rPr>
          <w:rFonts w:ascii="Arial" w:hAnsi="Arial" w:cs="Arial"/>
          <w:color w:val="auto"/>
        </w:rPr>
        <w:t>Ju</w:t>
      </w:r>
      <w:r w:rsidR="00165502">
        <w:rPr>
          <w:rFonts w:ascii="Arial" w:hAnsi="Arial" w:cs="Arial"/>
          <w:color w:val="auto"/>
        </w:rPr>
        <w:t>ly</w:t>
      </w:r>
      <w:r w:rsidR="009D1674">
        <w:rPr>
          <w:rFonts w:ascii="Arial" w:hAnsi="Arial" w:cs="Arial"/>
          <w:color w:val="auto"/>
        </w:rPr>
        <w:t xml:space="preserve"> </w:t>
      </w:r>
      <w:r w:rsidR="00264DA2">
        <w:rPr>
          <w:rFonts w:ascii="Arial" w:hAnsi="Arial" w:cs="Arial"/>
          <w:color w:val="auto"/>
        </w:rPr>
        <w:t>2</w:t>
      </w:r>
      <w:r w:rsidR="0033348F" w:rsidRPr="0055637A">
        <w:rPr>
          <w:rFonts w:ascii="Arial" w:hAnsi="Arial" w:cs="Arial"/>
          <w:color w:val="auto"/>
        </w:rPr>
        <w:t>018</w:t>
      </w:r>
    </w:p>
    <w:p w14:paraId="201AB6E9" w14:textId="77777777" w:rsidR="002C4F75" w:rsidRPr="002C4F75" w:rsidRDefault="002C4F75" w:rsidP="002C4F75">
      <w:pPr>
        <w:jc w:val="center"/>
        <w:rPr>
          <w:rFonts w:ascii="Arial" w:hAnsi="Arial" w:cs="Arial"/>
        </w:rPr>
      </w:pPr>
    </w:p>
    <w:p w14:paraId="3BE7C6FD" w14:textId="77777777" w:rsidR="002C4F75" w:rsidRPr="002C4F75" w:rsidRDefault="002C4F75" w:rsidP="002C4F75">
      <w:pPr>
        <w:jc w:val="center"/>
        <w:rPr>
          <w:rFonts w:ascii="Arial" w:hAnsi="Arial" w:cs="Arial"/>
        </w:rPr>
      </w:pPr>
      <w:r w:rsidRPr="002C4F75">
        <w:rPr>
          <w:rFonts w:ascii="Arial" w:hAnsi="Arial" w:cs="Arial"/>
        </w:rPr>
        <w:t>Submitted By:</w:t>
      </w:r>
    </w:p>
    <w:p w14:paraId="45C99BAF" w14:textId="3B121B51" w:rsidR="002C4F75" w:rsidRPr="002C4F75" w:rsidRDefault="002C4F75" w:rsidP="002C4F75">
      <w:pPr>
        <w:jc w:val="center"/>
        <w:rPr>
          <w:rFonts w:ascii="Arial" w:hAnsi="Arial" w:cs="Arial"/>
        </w:rPr>
      </w:pPr>
      <w:r w:rsidRPr="002C4F75">
        <w:rPr>
          <w:rFonts w:ascii="Arial" w:hAnsi="Arial" w:cs="Arial"/>
        </w:rPr>
        <w:t>Office of Planning, Research</w:t>
      </w:r>
      <w:r w:rsidR="00D4078E">
        <w:rPr>
          <w:rFonts w:ascii="Arial" w:hAnsi="Arial" w:cs="Arial"/>
        </w:rPr>
        <w:t>,</w:t>
      </w:r>
      <w:r w:rsidRPr="002C4F75">
        <w:rPr>
          <w:rFonts w:ascii="Arial" w:hAnsi="Arial" w:cs="Arial"/>
        </w:rPr>
        <w:t xml:space="preserve"> and Evaluation</w:t>
      </w:r>
    </w:p>
    <w:p w14:paraId="62665A8B" w14:textId="77777777" w:rsidR="002C4F75" w:rsidRPr="002C4F75" w:rsidRDefault="002C4F75" w:rsidP="002C4F75">
      <w:pPr>
        <w:jc w:val="center"/>
        <w:rPr>
          <w:rFonts w:ascii="Arial" w:hAnsi="Arial" w:cs="Arial"/>
        </w:rPr>
      </w:pPr>
      <w:r w:rsidRPr="002C4F75">
        <w:rPr>
          <w:rFonts w:ascii="Arial" w:hAnsi="Arial" w:cs="Arial"/>
        </w:rPr>
        <w:t xml:space="preserve">Administration for Children and Families </w:t>
      </w:r>
    </w:p>
    <w:p w14:paraId="0BAC7BC3" w14:textId="77777777" w:rsidR="002C4F75" w:rsidRPr="002C4F75" w:rsidRDefault="002C4F75" w:rsidP="002C4F75">
      <w:pPr>
        <w:jc w:val="center"/>
        <w:rPr>
          <w:rFonts w:ascii="Arial" w:hAnsi="Arial" w:cs="Arial"/>
        </w:rPr>
      </w:pPr>
      <w:r w:rsidRPr="002C4F75">
        <w:rPr>
          <w:rFonts w:ascii="Arial" w:hAnsi="Arial" w:cs="Arial"/>
        </w:rPr>
        <w:t>U.S. Department of Health and Human Services</w:t>
      </w:r>
    </w:p>
    <w:p w14:paraId="7314A594" w14:textId="77777777" w:rsidR="002C4F75" w:rsidRPr="002C4F75" w:rsidRDefault="002C4F75" w:rsidP="002C4F75">
      <w:pPr>
        <w:jc w:val="center"/>
        <w:rPr>
          <w:rFonts w:ascii="Arial" w:hAnsi="Arial" w:cs="Arial"/>
        </w:rPr>
      </w:pPr>
    </w:p>
    <w:p w14:paraId="7A211260" w14:textId="77777777" w:rsidR="002C4F75" w:rsidRPr="002C4F75" w:rsidRDefault="00436F5E" w:rsidP="002C4F75">
      <w:pPr>
        <w:jc w:val="center"/>
        <w:rPr>
          <w:rFonts w:ascii="Arial" w:hAnsi="Arial" w:cs="Arial"/>
        </w:rPr>
      </w:pPr>
      <w:r>
        <w:rPr>
          <w:rFonts w:ascii="Arial" w:hAnsi="Arial" w:cs="Arial"/>
        </w:rPr>
        <w:t>4</w:t>
      </w:r>
      <w:r w:rsidR="002C4F75" w:rsidRPr="002C4F75">
        <w:rPr>
          <w:rFonts w:ascii="Arial" w:hAnsi="Arial" w:cs="Arial"/>
          <w:vertAlign w:val="superscript"/>
        </w:rPr>
        <w:t>th</w:t>
      </w:r>
      <w:r w:rsidR="002C4F75" w:rsidRPr="002C4F75">
        <w:rPr>
          <w:rFonts w:ascii="Arial" w:hAnsi="Arial" w:cs="Arial"/>
        </w:rPr>
        <w:t xml:space="preserve"> Floor, </w:t>
      </w:r>
      <w:r>
        <w:rPr>
          <w:rFonts w:ascii="Arial" w:hAnsi="Arial" w:cs="Arial"/>
        </w:rPr>
        <w:t>Mary E. Switzer Building</w:t>
      </w:r>
    </w:p>
    <w:p w14:paraId="61CAF791" w14:textId="77777777" w:rsidR="002C4F75" w:rsidRPr="002C4F75" w:rsidRDefault="002C4F75" w:rsidP="002C4F75">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14:paraId="428857E8" w14:textId="77777777" w:rsidR="002C4F75" w:rsidRPr="002C4F75" w:rsidRDefault="002C4F75" w:rsidP="002C4F75">
      <w:pPr>
        <w:jc w:val="center"/>
        <w:rPr>
          <w:rFonts w:ascii="Arial" w:hAnsi="Arial" w:cs="Arial"/>
        </w:rPr>
      </w:pPr>
      <w:r w:rsidRPr="002C4F75">
        <w:rPr>
          <w:rFonts w:ascii="Arial" w:hAnsi="Arial" w:cs="Arial"/>
        </w:rPr>
        <w:t>Washington, D.C. 20</w:t>
      </w:r>
      <w:r w:rsidR="00436F5E">
        <w:rPr>
          <w:rFonts w:ascii="Arial" w:hAnsi="Arial" w:cs="Arial"/>
        </w:rPr>
        <w:t>201</w:t>
      </w:r>
    </w:p>
    <w:p w14:paraId="03A13E25" w14:textId="77777777" w:rsidR="002C4F75" w:rsidRPr="002C4F75" w:rsidRDefault="002C4F75" w:rsidP="002C4F75">
      <w:pPr>
        <w:jc w:val="center"/>
        <w:rPr>
          <w:rFonts w:ascii="Arial" w:hAnsi="Arial" w:cs="Arial"/>
        </w:rPr>
      </w:pPr>
    </w:p>
    <w:p w14:paraId="5BD9C344" w14:textId="77777777" w:rsidR="002C4F75" w:rsidRDefault="002C4F75" w:rsidP="002C4F75">
      <w:pPr>
        <w:jc w:val="center"/>
        <w:rPr>
          <w:rFonts w:ascii="Arial" w:hAnsi="Arial" w:cs="Arial"/>
        </w:rPr>
      </w:pPr>
      <w:r w:rsidRPr="00BE7952">
        <w:rPr>
          <w:rFonts w:ascii="Arial" w:hAnsi="Arial" w:cs="Arial"/>
        </w:rPr>
        <w:t>Project Officers:</w:t>
      </w:r>
    </w:p>
    <w:p w14:paraId="4C24FFE3" w14:textId="770E2816" w:rsidR="0033348F" w:rsidRPr="00616D80" w:rsidRDefault="0033348F" w:rsidP="0033348F">
      <w:pPr>
        <w:jc w:val="center"/>
        <w:rPr>
          <w:rFonts w:ascii="Arial" w:hAnsi="Arial" w:cs="Arial"/>
        </w:rPr>
      </w:pPr>
      <w:r w:rsidRPr="00616D80">
        <w:rPr>
          <w:rFonts w:ascii="Arial" w:hAnsi="Arial" w:cs="Arial"/>
        </w:rPr>
        <w:t>Caryn Blitz, Office of Planning, Research</w:t>
      </w:r>
      <w:r w:rsidR="00264DA2">
        <w:rPr>
          <w:rFonts w:ascii="Arial" w:hAnsi="Arial" w:cs="Arial"/>
        </w:rPr>
        <w:t>,</w:t>
      </w:r>
      <w:r w:rsidRPr="00616D80">
        <w:rPr>
          <w:rFonts w:ascii="Arial" w:hAnsi="Arial" w:cs="Arial"/>
        </w:rPr>
        <w:t xml:space="preserve"> and Evaluation</w:t>
      </w:r>
    </w:p>
    <w:p w14:paraId="42798ECB" w14:textId="77777777" w:rsidR="0033348F" w:rsidRDefault="0033348F" w:rsidP="0033348F">
      <w:pPr>
        <w:spacing w:after="120"/>
        <w:jc w:val="center"/>
        <w:rPr>
          <w:rFonts w:ascii="Arial" w:hAnsi="Arial" w:cs="Arial"/>
        </w:rPr>
      </w:pPr>
      <w:r w:rsidRPr="00616D80">
        <w:rPr>
          <w:rFonts w:ascii="Arial" w:hAnsi="Arial" w:cs="Arial"/>
        </w:rPr>
        <w:t>Angie Webley, Family Youth Services Bureau</w:t>
      </w:r>
    </w:p>
    <w:p w14:paraId="4C67C7BB" w14:textId="77777777" w:rsidR="005E28E1" w:rsidRPr="000D53DF" w:rsidRDefault="0033348F" w:rsidP="00436F5E">
      <w:pPr>
        <w:spacing w:after="120"/>
        <w:rPr>
          <w:b/>
        </w:rPr>
      </w:pPr>
      <w:r>
        <w:rPr>
          <w:b/>
        </w:rPr>
        <w:br w:type="page"/>
      </w:r>
    </w:p>
    <w:p w14:paraId="44661D6F" w14:textId="77777777" w:rsidR="005E28E1" w:rsidRDefault="005E28E1" w:rsidP="005E28E1">
      <w:pPr>
        <w:pStyle w:val="TOCHeading"/>
        <w:rPr>
          <w:rFonts w:ascii="Times New Roman" w:hAnsi="Times New Roman"/>
          <w:color w:val="auto"/>
          <w:sz w:val="24"/>
        </w:rPr>
      </w:pPr>
      <w:r w:rsidRPr="005E28E1">
        <w:rPr>
          <w:rFonts w:ascii="Times New Roman" w:hAnsi="Times New Roman"/>
          <w:color w:val="auto"/>
          <w:sz w:val="24"/>
        </w:rPr>
        <w:lastRenderedPageBreak/>
        <w:t>Table of Contents</w:t>
      </w:r>
    </w:p>
    <w:p w14:paraId="1C8416A0" w14:textId="77777777" w:rsidR="008C31D3" w:rsidRPr="008C31D3" w:rsidRDefault="008C31D3" w:rsidP="008C31D3">
      <w:pPr>
        <w:rPr>
          <w:lang w:eastAsia="ja-JP"/>
        </w:rPr>
      </w:pPr>
    </w:p>
    <w:p w14:paraId="641FD26E" w14:textId="77777777" w:rsidR="00E934CC" w:rsidRDefault="005E28E1" w:rsidP="00E934CC">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9090775" w:history="1">
        <w:r w:rsidR="00E934CC" w:rsidRPr="004962DF">
          <w:rPr>
            <w:rStyle w:val="Hyperlink"/>
            <w:noProof/>
          </w:rPr>
          <w:t>A1. Necessity for the Data Collection</w:t>
        </w:r>
        <w:r w:rsidR="00E934CC">
          <w:rPr>
            <w:noProof/>
            <w:webHidden/>
          </w:rPr>
          <w:tab/>
        </w:r>
        <w:r w:rsidR="00E934CC">
          <w:rPr>
            <w:noProof/>
            <w:webHidden/>
          </w:rPr>
          <w:fldChar w:fldCharType="begin"/>
        </w:r>
        <w:r w:rsidR="00E934CC">
          <w:rPr>
            <w:noProof/>
            <w:webHidden/>
          </w:rPr>
          <w:instrText xml:space="preserve"> PAGEREF _Toc519090775 \h </w:instrText>
        </w:r>
        <w:r w:rsidR="00E934CC">
          <w:rPr>
            <w:noProof/>
            <w:webHidden/>
          </w:rPr>
        </w:r>
        <w:r w:rsidR="00E934CC">
          <w:rPr>
            <w:noProof/>
            <w:webHidden/>
          </w:rPr>
          <w:fldChar w:fldCharType="separate"/>
        </w:r>
        <w:r w:rsidR="00E934CC">
          <w:rPr>
            <w:noProof/>
            <w:webHidden/>
          </w:rPr>
          <w:t>3</w:t>
        </w:r>
        <w:r w:rsidR="00E934CC">
          <w:rPr>
            <w:noProof/>
            <w:webHidden/>
          </w:rPr>
          <w:fldChar w:fldCharType="end"/>
        </w:r>
      </w:hyperlink>
    </w:p>
    <w:p w14:paraId="33D8C172" w14:textId="77777777" w:rsidR="00E934CC" w:rsidRDefault="00122250" w:rsidP="00E934CC">
      <w:pPr>
        <w:pStyle w:val="TOC1"/>
        <w:rPr>
          <w:rFonts w:asciiTheme="minorHAnsi" w:eastAsiaTheme="minorEastAsia" w:hAnsiTheme="minorHAnsi" w:cstheme="minorBidi"/>
          <w:noProof/>
          <w:sz w:val="22"/>
          <w:szCs w:val="22"/>
        </w:rPr>
      </w:pPr>
      <w:hyperlink w:anchor="_Toc519090776" w:history="1">
        <w:r w:rsidR="00E934CC" w:rsidRPr="004962DF">
          <w:rPr>
            <w:rStyle w:val="Hyperlink"/>
            <w:noProof/>
          </w:rPr>
          <w:t>A2. Purpose of Survey and Data Collection Procedures</w:t>
        </w:r>
        <w:r w:rsidR="00E934CC">
          <w:rPr>
            <w:noProof/>
            <w:webHidden/>
          </w:rPr>
          <w:tab/>
        </w:r>
        <w:r w:rsidR="00E934CC">
          <w:rPr>
            <w:noProof/>
            <w:webHidden/>
          </w:rPr>
          <w:fldChar w:fldCharType="begin"/>
        </w:r>
        <w:r w:rsidR="00E934CC">
          <w:rPr>
            <w:noProof/>
            <w:webHidden/>
          </w:rPr>
          <w:instrText xml:space="preserve"> PAGEREF _Toc519090776 \h </w:instrText>
        </w:r>
        <w:r w:rsidR="00E934CC">
          <w:rPr>
            <w:noProof/>
            <w:webHidden/>
          </w:rPr>
        </w:r>
        <w:r w:rsidR="00E934CC">
          <w:rPr>
            <w:noProof/>
            <w:webHidden/>
          </w:rPr>
          <w:fldChar w:fldCharType="separate"/>
        </w:r>
        <w:r w:rsidR="00E934CC">
          <w:rPr>
            <w:noProof/>
            <w:webHidden/>
          </w:rPr>
          <w:t>4</w:t>
        </w:r>
        <w:r w:rsidR="00E934CC">
          <w:rPr>
            <w:noProof/>
            <w:webHidden/>
          </w:rPr>
          <w:fldChar w:fldCharType="end"/>
        </w:r>
      </w:hyperlink>
    </w:p>
    <w:p w14:paraId="1D81F314" w14:textId="77777777" w:rsidR="00E934CC" w:rsidRDefault="00122250" w:rsidP="00E934CC">
      <w:pPr>
        <w:pStyle w:val="TOC1"/>
        <w:rPr>
          <w:rFonts w:asciiTheme="minorHAnsi" w:eastAsiaTheme="minorEastAsia" w:hAnsiTheme="minorHAnsi" w:cstheme="minorBidi"/>
          <w:noProof/>
          <w:sz w:val="22"/>
          <w:szCs w:val="22"/>
        </w:rPr>
      </w:pPr>
      <w:hyperlink w:anchor="_Toc519090777" w:history="1">
        <w:r w:rsidR="00E934CC" w:rsidRPr="004962DF">
          <w:rPr>
            <w:rStyle w:val="Hyperlink"/>
            <w:noProof/>
          </w:rPr>
          <w:t>A3. Improved Information Technology to Reduce Burden</w:t>
        </w:r>
        <w:r w:rsidR="00E934CC">
          <w:rPr>
            <w:noProof/>
            <w:webHidden/>
          </w:rPr>
          <w:tab/>
        </w:r>
        <w:r w:rsidR="00E934CC">
          <w:rPr>
            <w:noProof/>
            <w:webHidden/>
          </w:rPr>
          <w:fldChar w:fldCharType="begin"/>
        </w:r>
        <w:r w:rsidR="00E934CC">
          <w:rPr>
            <w:noProof/>
            <w:webHidden/>
          </w:rPr>
          <w:instrText xml:space="preserve"> PAGEREF _Toc519090777 \h </w:instrText>
        </w:r>
        <w:r w:rsidR="00E934CC">
          <w:rPr>
            <w:noProof/>
            <w:webHidden/>
          </w:rPr>
        </w:r>
        <w:r w:rsidR="00E934CC">
          <w:rPr>
            <w:noProof/>
            <w:webHidden/>
          </w:rPr>
          <w:fldChar w:fldCharType="separate"/>
        </w:r>
        <w:r w:rsidR="00E934CC">
          <w:rPr>
            <w:noProof/>
            <w:webHidden/>
          </w:rPr>
          <w:t>7</w:t>
        </w:r>
        <w:r w:rsidR="00E934CC">
          <w:rPr>
            <w:noProof/>
            <w:webHidden/>
          </w:rPr>
          <w:fldChar w:fldCharType="end"/>
        </w:r>
      </w:hyperlink>
    </w:p>
    <w:p w14:paraId="1D5716BE" w14:textId="77777777" w:rsidR="00E934CC" w:rsidRDefault="00122250" w:rsidP="00E934CC">
      <w:pPr>
        <w:pStyle w:val="TOC1"/>
        <w:rPr>
          <w:rFonts w:asciiTheme="minorHAnsi" w:eastAsiaTheme="minorEastAsia" w:hAnsiTheme="minorHAnsi" w:cstheme="minorBidi"/>
          <w:noProof/>
          <w:sz w:val="22"/>
          <w:szCs w:val="22"/>
        </w:rPr>
      </w:pPr>
      <w:hyperlink w:anchor="_Toc519090778" w:history="1">
        <w:r w:rsidR="00E934CC" w:rsidRPr="004962DF">
          <w:rPr>
            <w:rStyle w:val="Hyperlink"/>
            <w:noProof/>
          </w:rPr>
          <w:t>A4. Efforts to Identify Duplication</w:t>
        </w:r>
        <w:r w:rsidR="00E934CC">
          <w:rPr>
            <w:noProof/>
            <w:webHidden/>
          </w:rPr>
          <w:tab/>
        </w:r>
        <w:r w:rsidR="00E934CC">
          <w:rPr>
            <w:noProof/>
            <w:webHidden/>
          </w:rPr>
          <w:fldChar w:fldCharType="begin"/>
        </w:r>
        <w:r w:rsidR="00E934CC">
          <w:rPr>
            <w:noProof/>
            <w:webHidden/>
          </w:rPr>
          <w:instrText xml:space="preserve"> PAGEREF _Toc519090778 \h </w:instrText>
        </w:r>
        <w:r w:rsidR="00E934CC">
          <w:rPr>
            <w:noProof/>
            <w:webHidden/>
          </w:rPr>
        </w:r>
        <w:r w:rsidR="00E934CC">
          <w:rPr>
            <w:noProof/>
            <w:webHidden/>
          </w:rPr>
          <w:fldChar w:fldCharType="separate"/>
        </w:r>
        <w:r w:rsidR="00E934CC">
          <w:rPr>
            <w:noProof/>
            <w:webHidden/>
          </w:rPr>
          <w:t>7</w:t>
        </w:r>
        <w:r w:rsidR="00E934CC">
          <w:rPr>
            <w:noProof/>
            <w:webHidden/>
          </w:rPr>
          <w:fldChar w:fldCharType="end"/>
        </w:r>
      </w:hyperlink>
    </w:p>
    <w:p w14:paraId="31102DA6" w14:textId="77777777" w:rsidR="00E934CC" w:rsidRDefault="00122250" w:rsidP="00E934CC">
      <w:pPr>
        <w:pStyle w:val="TOC1"/>
        <w:rPr>
          <w:rFonts w:asciiTheme="minorHAnsi" w:eastAsiaTheme="minorEastAsia" w:hAnsiTheme="minorHAnsi" w:cstheme="minorBidi"/>
          <w:noProof/>
          <w:sz w:val="22"/>
          <w:szCs w:val="22"/>
        </w:rPr>
      </w:pPr>
      <w:hyperlink w:anchor="_Toc519090779" w:history="1">
        <w:r w:rsidR="00E934CC" w:rsidRPr="004962DF">
          <w:rPr>
            <w:rStyle w:val="Hyperlink"/>
            <w:noProof/>
          </w:rPr>
          <w:t>A5. Involvement of Small Organizations</w:t>
        </w:r>
        <w:r w:rsidR="00E934CC">
          <w:rPr>
            <w:noProof/>
            <w:webHidden/>
          </w:rPr>
          <w:tab/>
        </w:r>
        <w:r w:rsidR="00E934CC">
          <w:rPr>
            <w:noProof/>
            <w:webHidden/>
          </w:rPr>
          <w:fldChar w:fldCharType="begin"/>
        </w:r>
        <w:r w:rsidR="00E934CC">
          <w:rPr>
            <w:noProof/>
            <w:webHidden/>
          </w:rPr>
          <w:instrText xml:space="preserve"> PAGEREF _Toc519090779 \h </w:instrText>
        </w:r>
        <w:r w:rsidR="00E934CC">
          <w:rPr>
            <w:noProof/>
            <w:webHidden/>
          </w:rPr>
        </w:r>
        <w:r w:rsidR="00E934CC">
          <w:rPr>
            <w:noProof/>
            <w:webHidden/>
          </w:rPr>
          <w:fldChar w:fldCharType="separate"/>
        </w:r>
        <w:r w:rsidR="00E934CC">
          <w:rPr>
            <w:noProof/>
            <w:webHidden/>
          </w:rPr>
          <w:t>7</w:t>
        </w:r>
        <w:r w:rsidR="00E934CC">
          <w:rPr>
            <w:noProof/>
            <w:webHidden/>
          </w:rPr>
          <w:fldChar w:fldCharType="end"/>
        </w:r>
      </w:hyperlink>
    </w:p>
    <w:p w14:paraId="54B3FCBD" w14:textId="77777777" w:rsidR="00E934CC" w:rsidRDefault="00122250" w:rsidP="00E934CC">
      <w:pPr>
        <w:pStyle w:val="TOC1"/>
        <w:rPr>
          <w:rFonts w:asciiTheme="minorHAnsi" w:eastAsiaTheme="minorEastAsia" w:hAnsiTheme="minorHAnsi" w:cstheme="minorBidi"/>
          <w:noProof/>
          <w:sz w:val="22"/>
          <w:szCs w:val="22"/>
        </w:rPr>
      </w:pPr>
      <w:hyperlink w:anchor="_Toc519090780" w:history="1">
        <w:r w:rsidR="00E934CC" w:rsidRPr="004962DF">
          <w:rPr>
            <w:rStyle w:val="Hyperlink"/>
            <w:noProof/>
          </w:rPr>
          <w:t>A6. Consequences of Less Frequent Data Collection</w:t>
        </w:r>
        <w:r w:rsidR="00E934CC">
          <w:rPr>
            <w:noProof/>
            <w:webHidden/>
          </w:rPr>
          <w:tab/>
        </w:r>
        <w:r w:rsidR="00E934CC">
          <w:rPr>
            <w:noProof/>
            <w:webHidden/>
          </w:rPr>
          <w:fldChar w:fldCharType="begin"/>
        </w:r>
        <w:r w:rsidR="00E934CC">
          <w:rPr>
            <w:noProof/>
            <w:webHidden/>
          </w:rPr>
          <w:instrText xml:space="preserve"> PAGEREF _Toc519090780 \h </w:instrText>
        </w:r>
        <w:r w:rsidR="00E934CC">
          <w:rPr>
            <w:noProof/>
            <w:webHidden/>
          </w:rPr>
        </w:r>
        <w:r w:rsidR="00E934CC">
          <w:rPr>
            <w:noProof/>
            <w:webHidden/>
          </w:rPr>
          <w:fldChar w:fldCharType="separate"/>
        </w:r>
        <w:r w:rsidR="00E934CC">
          <w:rPr>
            <w:noProof/>
            <w:webHidden/>
          </w:rPr>
          <w:t>8</w:t>
        </w:r>
        <w:r w:rsidR="00E934CC">
          <w:rPr>
            <w:noProof/>
            <w:webHidden/>
          </w:rPr>
          <w:fldChar w:fldCharType="end"/>
        </w:r>
      </w:hyperlink>
    </w:p>
    <w:p w14:paraId="17F3CAC9" w14:textId="77777777" w:rsidR="00E934CC" w:rsidRDefault="00122250" w:rsidP="00E934CC">
      <w:pPr>
        <w:pStyle w:val="TOC1"/>
        <w:rPr>
          <w:rFonts w:asciiTheme="minorHAnsi" w:eastAsiaTheme="minorEastAsia" w:hAnsiTheme="minorHAnsi" w:cstheme="minorBidi"/>
          <w:noProof/>
          <w:sz w:val="22"/>
          <w:szCs w:val="22"/>
        </w:rPr>
      </w:pPr>
      <w:hyperlink w:anchor="_Toc519090781" w:history="1">
        <w:r w:rsidR="00E934CC" w:rsidRPr="004962DF">
          <w:rPr>
            <w:rStyle w:val="Hyperlink"/>
            <w:noProof/>
          </w:rPr>
          <w:t>A7. Special Circumstances</w:t>
        </w:r>
        <w:r w:rsidR="00E934CC">
          <w:rPr>
            <w:noProof/>
            <w:webHidden/>
          </w:rPr>
          <w:tab/>
        </w:r>
        <w:r w:rsidR="00E934CC">
          <w:rPr>
            <w:noProof/>
            <w:webHidden/>
          </w:rPr>
          <w:fldChar w:fldCharType="begin"/>
        </w:r>
        <w:r w:rsidR="00E934CC">
          <w:rPr>
            <w:noProof/>
            <w:webHidden/>
          </w:rPr>
          <w:instrText xml:space="preserve"> PAGEREF _Toc519090781 \h </w:instrText>
        </w:r>
        <w:r w:rsidR="00E934CC">
          <w:rPr>
            <w:noProof/>
            <w:webHidden/>
          </w:rPr>
        </w:r>
        <w:r w:rsidR="00E934CC">
          <w:rPr>
            <w:noProof/>
            <w:webHidden/>
          </w:rPr>
          <w:fldChar w:fldCharType="separate"/>
        </w:r>
        <w:r w:rsidR="00E934CC">
          <w:rPr>
            <w:noProof/>
            <w:webHidden/>
          </w:rPr>
          <w:t>8</w:t>
        </w:r>
        <w:r w:rsidR="00E934CC">
          <w:rPr>
            <w:noProof/>
            <w:webHidden/>
          </w:rPr>
          <w:fldChar w:fldCharType="end"/>
        </w:r>
      </w:hyperlink>
    </w:p>
    <w:p w14:paraId="7EB7389D" w14:textId="77777777" w:rsidR="00E934CC" w:rsidRDefault="00122250" w:rsidP="00E934CC">
      <w:pPr>
        <w:pStyle w:val="TOC1"/>
        <w:rPr>
          <w:rFonts w:asciiTheme="minorHAnsi" w:eastAsiaTheme="minorEastAsia" w:hAnsiTheme="minorHAnsi" w:cstheme="minorBidi"/>
          <w:noProof/>
          <w:sz w:val="22"/>
          <w:szCs w:val="22"/>
        </w:rPr>
      </w:pPr>
      <w:hyperlink w:anchor="_Toc519090782" w:history="1">
        <w:r w:rsidR="00E934CC" w:rsidRPr="004962DF">
          <w:rPr>
            <w:rStyle w:val="Hyperlink"/>
            <w:noProof/>
          </w:rPr>
          <w:t>A8. Federal Register Notice and Consultation</w:t>
        </w:r>
        <w:r w:rsidR="00E934CC">
          <w:rPr>
            <w:noProof/>
            <w:webHidden/>
          </w:rPr>
          <w:tab/>
        </w:r>
        <w:r w:rsidR="00E934CC">
          <w:rPr>
            <w:noProof/>
            <w:webHidden/>
          </w:rPr>
          <w:fldChar w:fldCharType="begin"/>
        </w:r>
        <w:r w:rsidR="00E934CC">
          <w:rPr>
            <w:noProof/>
            <w:webHidden/>
          </w:rPr>
          <w:instrText xml:space="preserve"> PAGEREF _Toc519090782 \h </w:instrText>
        </w:r>
        <w:r w:rsidR="00E934CC">
          <w:rPr>
            <w:noProof/>
            <w:webHidden/>
          </w:rPr>
        </w:r>
        <w:r w:rsidR="00E934CC">
          <w:rPr>
            <w:noProof/>
            <w:webHidden/>
          </w:rPr>
          <w:fldChar w:fldCharType="separate"/>
        </w:r>
        <w:r w:rsidR="00E934CC">
          <w:rPr>
            <w:noProof/>
            <w:webHidden/>
          </w:rPr>
          <w:t>8</w:t>
        </w:r>
        <w:r w:rsidR="00E934CC">
          <w:rPr>
            <w:noProof/>
            <w:webHidden/>
          </w:rPr>
          <w:fldChar w:fldCharType="end"/>
        </w:r>
      </w:hyperlink>
    </w:p>
    <w:p w14:paraId="5603D6B2" w14:textId="77777777" w:rsidR="00E934CC" w:rsidRDefault="00122250" w:rsidP="00E934CC">
      <w:pPr>
        <w:pStyle w:val="TOC1"/>
        <w:rPr>
          <w:rFonts w:asciiTheme="minorHAnsi" w:eastAsiaTheme="minorEastAsia" w:hAnsiTheme="minorHAnsi" w:cstheme="minorBidi"/>
          <w:noProof/>
          <w:sz w:val="22"/>
          <w:szCs w:val="22"/>
        </w:rPr>
      </w:pPr>
      <w:hyperlink w:anchor="_Toc519090783" w:history="1">
        <w:r w:rsidR="00E934CC" w:rsidRPr="004962DF">
          <w:rPr>
            <w:rStyle w:val="Hyperlink"/>
            <w:noProof/>
          </w:rPr>
          <w:t>A9. Incentives for Respondents</w:t>
        </w:r>
        <w:r w:rsidR="00E934CC">
          <w:rPr>
            <w:noProof/>
            <w:webHidden/>
          </w:rPr>
          <w:tab/>
        </w:r>
        <w:r w:rsidR="00E934CC">
          <w:rPr>
            <w:noProof/>
            <w:webHidden/>
          </w:rPr>
          <w:fldChar w:fldCharType="begin"/>
        </w:r>
        <w:r w:rsidR="00E934CC">
          <w:rPr>
            <w:noProof/>
            <w:webHidden/>
          </w:rPr>
          <w:instrText xml:space="preserve"> PAGEREF _Toc519090783 \h </w:instrText>
        </w:r>
        <w:r w:rsidR="00E934CC">
          <w:rPr>
            <w:noProof/>
            <w:webHidden/>
          </w:rPr>
        </w:r>
        <w:r w:rsidR="00E934CC">
          <w:rPr>
            <w:noProof/>
            <w:webHidden/>
          </w:rPr>
          <w:fldChar w:fldCharType="separate"/>
        </w:r>
        <w:r w:rsidR="00E934CC">
          <w:rPr>
            <w:noProof/>
            <w:webHidden/>
          </w:rPr>
          <w:t>9</w:t>
        </w:r>
        <w:r w:rsidR="00E934CC">
          <w:rPr>
            <w:noProof/>
            <w:webHidden/>
          </w:rPr>
          <w:fldChar w:fldCharType="end"/>
        </w:r>
      </w:hyperlink>
    </w:p>
    <w:p w14:paraId="6C5047A6" w14:textId="77777777" w:rsidR="00E934CC" w:rsidRDefault="00122250" w:rsidP="00E934CC">
      <w:pPr>
        <w:pStyle w:val="TOC1"/>
        <w:rPr>
          <w:rFonts w:asciiTheme="minorHAnsi" w:eastAsiaTheme="minorEastAsia" w:hAnsiTheme="minorHAnsi" w:cstheme="minorBidi"/>
          <w:noProof/>
          <w:sz w:val="22"/>
          <w:szCs w:val="22"/>
        </w:rPr>
      </w:pPr>
      <w:hyperlink w:anchor="_Toc519090784" w:history="1">
        <w:r w:rsidR="00E934CC" w:rsidRPr="004962DF">
          <w:rPr>
            <w:rStyle w:val="Hyperlink"/>
            <w:noProof/>
          </w:rPr>
          <w:t>A10. Privacy of Respondents</w:t>
        </w:r>
        <w:r w:rsidR="00E934CC">
          <w:rPr>
            <w:noProof/>
            <w:webHidden/>
          </w:rPr>
          <w:tab/>
        </w:r>
        <w:r w:rsidR="00E934CC">
          <w:rPr>
            <w:noProof/>
            <w:webHidden/>
          </w:rPr>
          <w:fldChar w:fldCharType="begin"/>
        </w:r>
        <w:r w:rsidR="00E934CC">
          <w:rPr>
            <w:noProof/>
            <w:webHidden/>
          </w:rPr>
          <w:instrText xml:space="preserve"> PAGEREF _Toc519090784 \h </w:instrText>
        </w:r>
        <w:r w:rsidR="00E934CC">
          <w:rPr>
            <w:noProof/>
            <w:webHidden/>
          </w:rPr>
        </w:r>
        <w:r w:rsidR="00E934CC">
          <w:rPr>
            <w:noProof/>
            <w:webHidden/>
          </w:rPr>
          <w:fldChar w:fldCharType="separate"/>
        </w:r>
        <w:r w:rsidR="00E934CC">
          <w:rPr>
            <w:noProof/>
            <w:webHidden/>
          </w:rPr>
          <w:t>9</w:t>
        </w:r>
        <w:r w:rsidR="00E934CC">
          <w:rPr>
            <w:noProof/>
            <w:webHidden/>
          </w:rPr>
          <w:fldChar w:fldCharType="end"/>
        </w:r>
      </w:hyperlink>
    </w:p>
    <w:p w14:paraId="5ED9951A" w14:textId="77777777" w:rsidR="00E934CC" w:rsidRDefault="00122250" w:rsidP="00E934CC">
      <w:pPr>
        <w:pStyle w:val="TOC1"/>
        <w:rPr>
          <w:rFonts w:asciiTheme="minorHAnsi" w:eastAsiaTheme="minorEastAsia" w:hAnsiTheme="minorHAnsi" w:cstheme="minorBidi"/>
          <w:noProof/>
          <w:sz w:val="22"/>
          <w:szCs w:val="22"/>
        </w:rPr>
      </w:pPr>
      <w:hyperlink w:anchor="_Toc519090785" w:history="1">
        <w:r w:rsidR="00E934CC" w:rsidRPr="004962DF">
          <w:rPr>
            <w:rStyle w:val="Hyperlink"/>
            <w:noProof/>
          </w:rPr>
          <w:t>A11. Sensitive Questions</w:t>
        </w:r>
        <w:r w:rsidR="00E934CC">
          <w:rPr>
            <w:noProof/>
            <w:webHidden/>
          </w:rPr>
          <w:tab/>
        </w:r>
        <w:r w:rsidR="00E934CC">
          <w:rPr>
            <w:noProof/>
            <w:webHidden/>
          </w:rPr>
          <w:fldChar w:fldCharType="begin"/>
        </w:r>
        <w:r w:rsidR="00E934CC">
          <w:rPr>
            <w:noProof/>
            <w:webHidden/>
          </w:rPr>
          <w:instrText xml:space="preserve"> PAGEREF _Toc519090785 \h </w:instrText>
        </w:r>
        <w:r w:rsidR="00E934CC">
          <w:rPr>
            <w:noProof/>
            <w:webHidden/>
          </w:rPr>
        </w:r>
        <w:r w:rsidR="00E934CC">
          <w:rPr>
            <w:noProof/>
            <w:webHidden/>
          </w:rPr>
          <w:fldChar w:fldCharType="separate"/>
        </w:r>
        <w:r w:rsidR="00E934CC">
          <w:rPr>
            <w:noProof/>
            <w:webHidden/>
          </w:rPr>
          <w:t>10</w:t>
        </w:r>
        <w:r w:rsidR="00E934CC">
          <w:rPr>
            <w:noProof/>
            <w:webHidden/>
          </w:rPr>
          <w:fldChar w:fldCharType="end"/>
        </w:r>
      </w:hyperlink>
    </w:p>
    <w:p w14:paraId="5C39F291" w14:textId="77777777" w:rsidR="00E934CC" w:rsidRDefault="00122250" w:rsidP="00E934CC">
      <w:pPr>
        <w:pStyle w:val="TOC1"/>
        <w:rPr>
          <w:rFonts w:asciiTheme="minorHAnsi" w:eastAsiaTheme="minorEastAsia" w:hAnsiTheme="minorHAnsi" w:cstheme="minorBidi"/>
          <w:noProof/>
          <w:sz w:val="22"/>
          <w:szCs w:val="22"/>
        </w:rPr>
      </w:pPr>
      <w:hyperlink w:anchor="_Toc519090786" w:history="1">
        <w:r w:rsidR="00E934CC" w:rsidRPr="004962DF">
          <w:rPr>
            <w:rStyle w:val="Hyperlink"/>
            <w:noProof/>
          </w:rPr>
          <w:t>A12. Estimation of Information Collection Burden</w:t>
        </w:r>
        <w:r w:rsidR="00E934CC">
          <w:rPr>
            <w:noProof/>
            <w:webHidden/>
          </w:rPr>
          <w:tab/>
        </w:r>
        <w:r w:rsidR="00E934CC">
          <w:rPr>
            <w:noProof/>
            <w:webHidden/>
          </w:rPr>
          <w:fldChar w:fldCharType="begin"/>
        </w:r>
        <w:r w:rsidR="00E934CC">
          <w:rPr>
            <w:noProof/>
            <w:webHidden/>
          </w:rPr>
          <w:instrText xml:space="preserve"> PAGEREF _Toc519090786 \h </w:instrText>
        </w:r>
        <w:r w:rsidR="00E934CC">
          <w:rPr>
            <w:noProof/>
            <w:webHidden/>
          </w:rPr>
        </w:r>
        <w:r w:rsidR="00E934CC">
          <w:rPr>
            <w:noProof/>
            <w:webHidden/>
          </w:rPr>
          <w:fldChar w:fldCharType="separate"/>
        </w:r>
        <w:r w:rsidR="00E934CC">
          <w:rPr>
            <w:noProof/>
            <w:webHidden/>
          </w:rPr>
          <w:t>11</w:t>
        </w:r>
        <w:r w:rsidR="00E934CC">
          <w:rPr>
            <w:noProof/>
            <w:webHidden/>
          </w:rPr>
          <w:fldChar w:fldCharType="end"/>
        </w:r>
      </w:hyperlink>
    </w:p>
    <w:p w14:paraId="361B82A3" w14:textId="77777777" w:rsidR="00E934CC" w:rsidRDefault="00122250" w:rsidP="00E934CC">
      <w:pPr>
        <w:pStyle w:val="TOC1"/>
        <w:rPr>
          <w:rFonts w:asciiTheme="minorHAnsi" w:eastAsiaTheme="minorEastAsia" w:hAnsiTheme="minorHAnsi" w:cstheme="minorBidi"/>
          <w:noProof/>
          <w:sz w:val="22"/>
          <w:szCs w:val="22"/>
        </w:rPr>
      </w:pPr>
      <w:hyperlink w:anchor="_Toc519090787" w:history="1">
        <w:r w:rsidR="00E934CC" w:rsidRPr="004962DF">
          <w:rPr>
            <w:rStyle w:val="Hyperlink"/>
            <w:noProof/>
          </w:rPr>
          <w:t>A13. Cost Burden to Respondents or Record Keepers</w:t>
        </w:r>
        <w:r w:rsidR="00E934CC">
          <w:rPr>
            <w:noProof/>
            <w:webHidden/>
          </w:rPr>
          <w:tab/>
        </w:r>
        <w:r w:rsidR="00E934CC">
          <w:rPr>
            <w:noProof/>
            <w:webHidden/>
          </w:rPr>
          <w:fldChar w:fldCharType="begin"/>
        </w:r>
        <w:r w:rsidR="00E934CC">
          <w:rPr>
            <w:noProof/>
            <w:webHidden/>
          </w:rPr>
          <w:instrText xml:space="preserve"> PAGEREF _Toc519090787 \h </w:instrText>
        </w:r>
        <w:r w:rsidR="00E934CC">
          <w:rPr>
            <w:noProof/>
            <w:webHidden/>
          </w:rPr>
        </w:r>
        <w:r w:rsidR="00E934CC">
          <w:rPr>
            <w:noProof/>
            <w:webHidden/>
          </w:rPr>
          <w:fldChar w:fldCharType="separate"/>
        </w:r>
        <w:r w:rsidR="00E934CC">
          <w:rPr>
            <w:noProof/>
            <w:webHidden/>
          </w:rPr>
          <w:t>13</w:t>
        </w:r>
        <w:r w:rsidR="00E934CC">
          <w:rPr>
            <w:noProof/>
            <w:webHidden/>
          </w:rPr>
          <w:fldChar w:fldCharType="end"/>
        </w:r>
      </w:hyperlink>
    </w:p>
    <w:p w14:paraId="586F7883" w14:textId="77777777" w:rsidR="00E934CC" w:rsidRDefault="00122250" w:rsidP="00E934CC">
      <w:pPr>
        <w:pStyle w:val="TOC1"/>
        <w:rPr>
          <w:rFonts w:asciiTheme="minorHAnsi" w:eastAsiaTheme="minorEastAsia" w:hAnsiTheme="minorHAnsi" w:cstheme="minorBidi"/>
          <w:noProof/>
          <w:sz w:val="22"/>
          <w:szCs w:val="22"/>
        </w:rPr>
      </w:pPr>
      <w:hyperlink w:anchor="_Toc519090788" w:history="1">
        <w:r w:rsidR="00E934CC" w:rsidRPr="004962DF">
          <w:rPr>
            <w:rStyle w:val="Hyperlink"/>
            <w:noProof/>
          </w:rPr>
          <w:t>A14. Estimate of Cost to the Federal Government</w:t>
        </w:r>
        <w:r w:rsidR="00E934CC">
          <w:rPr>
            <w:noProof/>
            <w:webHidden/>
          </w:rPr>
          <w:tab/>
        </w:r>
        <w:r w:rsidR="00E934CC">
          <w:rPr>
            <w:noProof/>
            <w:webHidden/>
          </w:rPr>
          <w:fldChar w:fldCharType="begin"/>
        </w:r>
        <w:r w:rsidR="00E934CC">
          <w:rPr>
            <w:noProof/>
            <w:webHidden/>
          </w:rPr>
          <w:instrText xml:space="preserve"> PAGEREF _Toc519090788 \h </w:instrText>
        </w:r>
        <w:r w:rsidR="00E934CC">
          <w:rPr>
            <w:noProof/>
            <w:webHidden/>
          </w:rPr>
        </w:r>
        <w:r w:rsidR="00E934CC">
          <w:rPr>
            <w:noProof/>
            <w:webHidden/>
          </w:rPr>
          <w:fldChar w:fldCharType="separate"/>
        </w:r>
        <w:r w:rsidR="00E934CC">
          <w:rPr>
            <w:noProof/>
            <w:webHidden/>
          </w:rPr>
          <w:t>13</w:t>
        </w:r>
        <w:r w:rsidR="00E934CC">
          <w:rPr>
            <w:noProof/>
            <w:webHidden/>
          </w:rPr>
          <w:fldChar w:fldCharType="end"/>
        </w:r>
      </w:hyperlink>
    </w:p>
    <w:p w14:paraId="476F1680" w14:textId="77777777" w:rsidR="00E934CC" w:rsidRDefault="00122250" w:rsidP="00E934CC">
      <w:pPr>
        <w:pStyle w:val="TOC1"/>
        <w:rPr>
          <w:rFonts w:asciiTheme="minorHAnsi" w:eastAsiaTheme="minorEastAsia" w:hAnsiTheme="minorHAnsi" w:cstheme="minorBidi"/>
          <w:noProof/>
          <w:sz w:val="22"/>
          <w:szCs w:val="22"/>
        </w:rPr>
      </w:pPr>
      <w:hyperlink w:anchor="_Toc519090789" w:history="1">
        <w:r w:rsidR="00E934CC" w:rsidRPr="004962DF">
          <w:rPr>
            <w:rStyle w:val="Hyperlink"/>
            <w:noProof/>
          </w:rPr>
          <w:t>A15. Change in Burden</w:t>
        </w:r>
        <w:r w:rsidR="00E934CC">
          <w:rPr>
            <w:noProof/>
            <w:webHidden/>
          </w:rPr>
          <w:tab/>
        </w:r>
        <w:r w:rsidR="00E934CC">
          <w:rPr>
            <w:noProof/>
            <w:webHidden/>
          </w:rPr>
          <w:fldChar w:fldCharType="begin"/>
        </w:r>
        <w:r w:rsidR="00E934CC">
          <w:rPr>
            <w:noProof/>
            <w:webHidden/>
          </w:rPr>
          <w:instrText xml:space="preserve"> PAGEREF _Toc519090789 \h </w:instrText>
        </w:r>
        <w:r w:rsidR="00E934CC">
          <w:rPr>
            <w:noProof/>
            <w:webHidden/>
          </w:rPr>
        </w:r>
        <w:r w:rsidR="00E934CC">
          <w:rPr>
            <w:noProof/>
            <w:webHidden/>
          </w:rPr>
          <w:fldChar w:fldCharType="separate"/>
        </w:r>
        <w:r w:rsidR="00E934CC">
          <w:rPr>
            <w:noProof/>
            <w:webHidden/>
          </w:rPr>
          <w:t>13</w:t>
        </w:r>
        <w:r w:rsidR="00E934CC">
          <w:rPr>
            <w:noProof/>
            <w:webHidden/>
          </w:rPr>
          <w:fldChar w:fldCharType="end"/>
        </w:r>
      </w:hyperlink>
    </w:p>
    <w:p w14:paraId="0BBF0F55" w14:textId="77777777" w:rsidR="00E934CC" w:rsidRDefault="00122250" w:rsidP="00E934CC">
      <w:pPr>
        <w:pStyle w:val="TOC1"/>
        <w:rPr>
          <w:rFonts w:asciiTheme="minorHAnsi" w:eastAsiaTheme="minorEastAsia" w:hAnsiTheme="minorHAnsi" w:cstheme="minorBidi"/>
          <w:noProof/>
          <w:sz w:val="22"/>
          <w:szCs w:val="22"/>
        </w:rPr>
      </w:pPr>
      <w:hyperlink w:anchor="_Toc519090790" w:history="1">
        <w:r w:rsidR="00E934CC" w:rsidRPr="004962DF">
          <w:rPr>
            <w:rStyle w:val="Hyperlink"/>
            <w:noProof/>
          </w:rPr>
          <w:t>A16. Plan and Time Schedule for Information Collection, Tabulation and Publication</w:t>
        </w:r>
        <w:r w:rsidR="00E934CC">
          <w:rPr>
            <w:noProof/>
            <w:webHidden/>
          </w:rPr>
          <w:tab/>
        </w:r>
        <w:r w:rsidR="00E934CC">
          <w:rPr>
            <w:noProof/>
            <w:webHidden/>
          </w:rPr>
          <w:fldChar w:fldCharType="begin"/>
        </w:r>
        <w:r w:rsidR="00E934CC">
          <w:rPr>
            <w:noProof/>
            <w:webHidden/>
          </w:rPr>
          <w:instrText xml:space="preserve"> PAGEREF _Toc519090790 \h </w:instrText>
        </w:r>
        <w:r w:rsidR="00E934CC">
          <w:rPr>
            <w:noProof/>
            <w:webHidden/>
          </w:rPr>
        </w:r>
        <w:r w:rsidR="00E934CC">
          <w:rPr>
            <w:noProof/>
            <w:webHidden/>
          </w:rPr>
          <w:fldChar w:fldCharType="separate"/>
        </w:r>
        <w:r w:rsidR="00E934CC">
          <w:rPr>
            <w:noProof/>
            <w:webHidden/>
          </w:rPr>
          <w:t>13</w:t>
        </w:r>
        <w:r w:rsidR="00E934CC">
          <w:rPr>
            <w:noProof/>
            <w:webHidden/>
          </w:rPr>
          <w:fldChar w:fldCharType="end"/>
        </w:r>
      </w:hyperlink>
    </w:p>
    <w:p w14:paraId="3BBBF9C2" w14:textId="77777777" w:rsidR="00E934CC" w:rsidRDefault="00122250" w:rsidP="00E934CC">
      <w:pPr>
        <w:pStyle w:val="TOC1"/>
        <w:rPr>
          <w:rFonts w:asciiTheme="minorHAnsi" w:eastAsiaTheme="minorEastAsia" w:hAnsiTheme="minorHAnsi" w:cstheme="minorBidi"/>
          <w:noProof/>
          <w:sz w:val="22"/>
          <w:szCs w:val="22"/>
        </w:rPr>
      </w:pPr>
      <w:hyperlink w:anchor="_Toc519090791" w:history="1">
        <w:r w:rsidR="00E934CC" w:rsidRPr="004962DF">
          <w:rPr>
            <w:rStyle w:val="Hyperlink"/>
            <w:noProof/>
          </w:rPr>
          <w:t>A17. Reasons Not to Display OMB Expiration Date</w:t>
        </w:r>
        <w:r w:rsidR="00E934CC">
          <w:rPr>
            <w:noProof/>
            <w:webHidden/>
          </w:rPr>
          <w:tab/>
        </w:r>
        <w:r w:rsidR="00E934CC">
          <w:rPr>
            <w:noProof/>
            <w:webHidden/>
          </w:rPr>
          <w:fldChar w:fldCharType="begin"/>
        </w:r>
        <w:r w:rsidR="00E934CC">
          <w:rPr>
            <w:noProof/>
            <w:webHidden/>
          </w:rPr>
          <w:instrText xml:space="preserve"> PAGEREF _Toc519090791 \h </w:instrText>
        </w:r>
        <w:r w:rsidR="00E934CC">
          <w:rPr>
            <w:noProof/>
            <w:webHidden/>
          </w:rPr>
        </w:r>
        <w:r w:rsidR="00E934CC">
          <w:rPr>
            <w:noProof/>
            <w:webHidden/>
          </w:rPr>
          <w:fldChar w:fldCharType="separate"/>
        </w:r>
        <w:r w:rsidR="00E934CC">
          <w:rPr>
            <w:noProof/>
            <w:webHidden/>
          </w:rPr>
          <w:t>13</w:t>
        </w:r>
        <w:r w:rsidR="00E934CC">
          <w:rPr>
            <w:noProof/>
            <w:webHidden/>
          </w:rPr>
          <w:fldChar w:fldCharType="end"/>
        </w:r>
      </w:hyperlink>
    </w:p>
    <w:p w14:paraId="35696510" w14:textId="77777777" w:rsidR="00E934CC" w:rsidRDefault="00122250" w:rsidP="00E934CC">
      <w:pPr>
        <w:pStyle w:val="TOC1"/>
        <w:rPr>
          <w:rFonts w:asciiTheme="minorHAnsi" w:eastAsiaTheme="minorEastAsia" w:hAnsiTheme="minorHAnsi" w:cstheme="minorBidi"/>
          <w:noProof/>
          <w:sz w:val="22"/>
          <w:szCs w:val="22"/>
        </w:rPr>
      </w:pPr>
      <w:hyperlink w:anchor="_Toc519090792" w:history="1">
        <w:r w:rsidR="00E934CC" w:rsidRPr="004962DF">
          <w:rPr>
            <w:rStyle w:val="Hyperlink"/>
            <w:noProof/>
          </w:rPr>
          <w:t>A18. Exceptions to Certification for Paperwork Reduction Act Submissions</w:t>
        </w:r>
        <w:r w:rsidR="00E934CC">
          <w:rPr>
            <w:noProof/>
            <w:webHidden/>
          </w:rPr>
          <w:tab/>
        </w:r>
        <w:r w:rsidR="00E934CC">
          <w:rPr>
            <w:noProof/>
            <w:webHidden/>
          </w:rPr>
          <w:fldChar w:fldCharType="begin"/>
        </w:r>
        <w:r w:rsidR="00E934CC">
          <w:rPr>
            <w:noProof/>
            <w:webHidden/>
          </w:rPr>
          <w:instrText xml:space="preserve"> PAGEREF _Toc519090792 \h </w:instrText>
        </w:r>
        <w:r w:rsidR="00E934CC">
          <w:rPr>
            <w:noProof/>
            <w:webHidden/>
          </w:rPr>
        </w:r>
        <w:r w:rsidR="00E934CC">
          <w:rPr>
            <w:noProof/>
            <w:webHidden/>
          </w:rPr>
          <w:fldChar w:fldCharType="separate"/>
        </w:r>
        <w:r w:rsidR="00E934CC">
          <w:rPr>
            <w:noProof/>
            <w:webHidden/>
          </w:rPr>
          <w:t>13</w:t>
        </w:r>
        <w:r w:rsidR="00E934CC">
          <w:rPr>
            <w:noProof/>
            <w:webHidden/>
          </w:rPr>
          <w:fldChar w:fldCharType="end"/>
        </w:r>
      </w:hyperlink>
    </w:p>
    <w:p w14:paraId="3A01489F" w14:textId="77777777" w:rsidR="005E28E1" w:rsidRDefault="005E28E1">
      <w:pPr>
        <w:rPr>
          <w:b/>
          <w:bCs/>
          <w:noProof/>
        </w:rPr>
      </w:pPr>
      <w:r>
        <w:rPr>
          <w:b/>
          <w:bCs/>
          <w:noProof/>
        </w:rPr>
        <w:fldChar w:fldCharType="end"/>
      </w:r>
    </w:p>
    <w:p w14:paraId="6975DAE5" w14:textId="77777777" w:rsidR="005D2955" w:rsidRDefault="005D2955" w:rsidP="008C31D3">
      <w:pPr>
        <w:rPr>
          <w:b/>
        </w:rPr>
      </w:pPr>
    </w:p>
    <w:p w14:paraId="5E4BC830" w14:textId="77777777" w:rsidR="008C31D3" w:rsidRPr="00C65C86" w:rsidRDefault="008C31D3" w:rsidP="008C31D3">
      <w:pPr>
        <w:rPr>
          <w:b/>
        </w:rPr>
      </w:pPr>
      <w:r w:rsidRPr="00C65C86">
        <w:rPr>
          <w:b/>
        </w:rPr>
        <w:t>List of Attachments</w:t>
      </w:r>
    </w:p>
    <w:p w14:paraId="1C4BBDC5" w14:textId="77777777" w:rsidR="008C31D3" w:rsidRDefault="008C31D3" w:rsidP="008C31D3">
      <w:r>
        <w:t>Attachment A:</w:t>
      </w:r>
      <w:r>
        <w:tab/>
      </w:r>
      <w:r>
        <w:tab/>
      </w:r>
      <w:r>
        <w:tab/>
      </w:r>
      <w:r>
        <w:tab/>
        <w:t>TLP Youth Consent Form Clean Final</w:t>
      </w:r>
    </w:p>
    <w:p w14:paraId="20BBEA5D" w14:textId="77777777" w:rsidR="008C31D3" w:rsidRDefault="008C31D3" w:rsidP="008C31D3">
      <w:r>
        <w:t>Attachment B:</w:t>
      </w:r>
      <w:r>
        <w:tab/>
      </w:r>
      <w:r>
        <w:tab/>
      </w:r>
      <w:r>
        <w:tab/>
      </w:r>
      <w:r>
        <w:tab/>
        <w:t>TLP Parental Consent Form Clean Final</w:t>
      </w:r>
    </w:p>
    <w:p w14:paraId="641AA350" w14:textId="77777777" w:rsidR="008C31D3" w:rsidRDefault="008C31D3" w:rsidP="008C31D3">
      <w:r>
        <w:t>Attachment C:</w:t>
      </w:r>
      <w:r>
        <w:tab/>
      </w:r>
      <w:r>
        <w:tab/>
      </w:r>
      <w:r>
        <w:tab/>
      </w:r>
      <w:r>
        <w:tab/>
      </w:r>
      <w:r w:rsidRPr="003A3D8F">
        <w:t>Young Adult Baseline Survey</w:t>
      </w:r>
    </w:p>
    <w:p w14:paraId="6CF8105F" w14:textId="77777777" w:rsidR="008C31D3" w:rsidRDefault="008C31D3" w:rsidP="008C31D3">
      <w:r>
        <w:t>Attachment D:</w:t>
      </w:r>
      <w:r>
        <w:tab/>
      </w:r>
      <w:r>
        <w:tab/>
      </w:r>
      <w:r>
        <w:tab/>
      </w:r>
      <w:r>
        <w:tab/>
      </w:r>
      <w:r w:rsidRPr="003A3D8F">
        <w:t xml:space="preserve">Young Adult </w:t>
      </w:r>
      <w:r>
        <w:t>6-Month and 12 Month Follow-Up</w:t>
      </w:r>
      <w:r w:rsidRPr="003A3D8F">
        <w:t xml:space="preserve"> Survey</w:t>
      </w:r>
    </w:p>
    <w:p w14:paraId="03990453" w14:textId="6C9F55F2" w:rsidR="008C31D3" w:rsidRDefault="008C31D3" w:rsidP="008C31D3">
      <w:r>
        <w:t>Attachment E:</w:t>
      </w:r>
      <w:r>
        <w:tab/>
      </w:r>
      <w:r>
        <w:tab/>
      </w:r>
      <w:r>
        <w:tab/>
      </w:r>
      <w:r>
        <w:tab/>
        <w:t xml:space="preserve">Crosswalk </w:t>
      </w:r>
      <w:r w:rsidR="00AF6A25">
        <w:t>of Survey Measures by Instrument</w:t>
      </w:r>
    </w:p>
    <w:p w14:paraId="2047A8B7" w14:textId="6103CA54" w:rsidR="008C31D3" w:rsidRDefault="008C31D3" w:rsidP="008C31D3">
      <w:r>
        <w:t>Attachment F:</w:t>
      </w:r>
      <w:r>
        <w:tab/>
      </w:r>
      <w:r>
        <w:tab/>
      </w:r>
      <w:r>
        <w:tab/>
      </w:r>
      <w:r>
        <w:tab/>
        <w:t xml:space="preserve">Youth Survey </w:t>
      </w:r>
      <w:r w:rsidR="005D2955">
        <w:t xml:space="preserve">Items and </w:t>
      </w:r>
      <w:r>
        <w:t>Sources</w:t>
      </w:r>
    </w:p>
    <w:p w14:paraId="6A5ADDCC" w14:textId="7DADB358" w:rsidR="006B422F" w:rsidRDefault="006B422F" w:rsidP="008C31D3">
      <w:r>
        <w:t>Attachment G:</w:t>
      </w:r>
      <w:r>
        <w:tab/>
      </w:r>
      <w:r>
        <w:tab/>
      </w:r>
      <w:r>
        <w:tab/>
      </w:r>
      <w:r>
        <w:tab/>
        <w:t>60-Day Federal Register Notice</w:t>
      </w:r>
    </w:p>
    <w:p w14:paraId="78202FAC" w14:textId="2A266984" w:rsidR="008C31D3" w:rsidRDefault="006900BC">
      <w:r>
        <w:t xml:space="preserve">Attachment H: </w:t>
      </w:r>
      <w:r>
        <w:tab/>
      </w:r>
      <w:r>
        <w:tab/>
      </w:r>
      <w:r>
        <w:tab/>
      </w:r>
      <w:r w:rsidRPr="006900BC">
        <w:t>Follow</w:t>
      </w:r>
      <w:r w:rsidR="00E934CC">
        <w:t>-</w:t>
      </w:r>
      <w:r w:rsidRPr="006900BC">
        <w:t>Up Survey Invitation and Reminder Scripts</w:t>
      </w:r>
    </w:p>
    <w:p w14:paraId="05D1C65C" w14:textId="77777777" w:rsidR="00945CD6" w:rsidRPr="005E28E1" w:rsidRDefault="005E28E1" w:rsidP="005E28E1">
      <w:pPr>
        <w:pStyle w:val="Heading1"/>
      </w:pPr>
      <w:r>
        <w:br w:type="page"/>
      </w:r>
      <w:bookmarkStart w:id="1" w:name="_Toc515615501"/>
      <w:bookmarkStart w:id="2" w:name="_Toc519090775"/>
      <w:r w:rsidR="00292B70" w:rsidRPr="005E28E1">
        <w:lastRenderedPageBreak/>
        <w:t xml:space="preserve">A1. </w:t>
      </w:r>
      <w:r w:rsidR="00945CD6" w:rsidRPr="005E28E1">
        <w:t>Necessity for the Data Collection</w:t>
      </w:r>
      <w:bookmarkEnd w:id="1"/>
      <w:bookmarkEnd w:id="2"/>
    </w:p>
    <w:p w14:paraId="115F2789" w14:textId="35383D93" w:rsidR="00A44537" w:rsidRPr="00F64BA7" w:rsidRDefault="00984CA2" w:rsidP="00436F5E">
      <w:r w:rsidRPr="004C3251">
        <w:t xml:space="preserve">The </w:t>
      </w:r>
      <w:r w:rsidR="00621BE8">
        <w:t xml:space="preserve">Family and Youth Services Bureau (FYSB) </w:t>
      </w:r>
      <w:r w:rsidR="009262DA">
        <w:t xml:space="preserve">and the Office of Planning, Research, Evaluation (OPRE) </w:t>
      </w:r>
      <w:r w:rsidR="00621BE8">
        <w:t xml:space="preserve">in the </w:t>
      </w:r>
      <w:r w:rsidR="00621BE8" w:rsidRPr="00710738">
        <w:t>Administration for Children and Families (ACF) at the</w:t>
      </w:r>
      <w:r w:rsidR="00621BE8" w:rsidRPr="004C3251">
        <w:t xml:space="preserve"> </w:t>
      </w:r>
      <w:r w:rsidRPr="004C3251">
        <w:t xml:space="preserve">U.S. Department of Health and Human Services (HHS) </w:t>
      </w:r>
      <w:r w:rsidR="009262DA">
        <w:t>are</w:t>
      </w:r>
      <w:r w:rsidR="0033348F" w:rsidRPr="004C3251">
        <w:t xml:space="preserve"> requesting</w:t>
      </w:r>
      <w:r w:rsidR="000E40A0">
        <w:t xml:space="preserve"> an additional three years of </w:t>
      </w:r>
      <w:r w:rsidR="00CE0C3E">
        <w:t xml:space="preserve">approval </w:t>
      </w:r>
      <w:r w:rsidR="004B0490">
        <w:t xml:space="preserve">for </w:t>
      </w:r>
      <w:r w:rsidR="0033348F" w:rsidRPr="004C3251">
        <w:t xml:space="preserve">the currently approved information collection for the Evaluation of the Transitional Living Program (TLP) (OMB No. 0970-0383). </w:t>
      </w:r>
      <w:r w:rsidR="004B0490">
        <w:t xml:space="preserve">The purpose of the </w:t>
      </w:r>
      <w:r w:rsidR="000E40A0">
        <w:t xml:space="preserve">approval </w:t>
      </w:r>
      <w:r w:rsidR="004B0490">
        <w:t xml:space="preserve">is to </w:t>
      </w:r>
      <w:r w:rsidR="00791582">
        <w:t xml:space="preserve">continue </w:t>
      </w:r>
      <w:r w:rsidR="004B0490">
        <w:t xml:space="preserve">data collection for the </w:t>
      </w:r>
      <w:r w:rsidR="002A2783">
        <w:t xml:space="preserve">pre-post </w:t>
      </w:r>
      <w:r w:rsidR="00950442">
        <w:t>Youth O</w:t>
      </w:r>
      <w:r w:rsidR="002A2783">
        <w:t xml:space="preserve">utcomes </w:t>
      </w:r>
      <w:r w:rsidR="00950442">
        <w:t>S</w:t>
      </w:r>
      <w:r w:rsidR="002A2783">
        <w:t>tudy</w:t>
      </w:r>
      <w:r w:rsidR="002A2783" w:rsidRPr="00F64BA7">
        <w:t xml:space="preserve">. </w:t>
      </w:r>
    </w:p>
    <w:p w14:paraId="181E5DE8" w14:textId="77777777" w:rsidR="00A44537" w:rsidRPr="009F3A7A" w:rsidRDefault="00A44537" w:rsidP="00436F5E"/>
    <w:p w14:paraId="44E6C259" w14:textId="21F921B4" w:rsidR="00A44537" w:rsidRPr="00F64BA7" w:rsidRDefault="00A44537" w:rsidP="00A44537">
      <w:r w:rsidRPr="00F64BA7">
        <w:t xml:space="preserve">The Evaluation of the Transitional Living Program is composed of three project components, two of which have been completed: 1) a Pilot Study to test the feasibility of using a random assignment study design with the TLP and runaway and homeless youth; 2) interviews with TLP staff as part of a qualitative study to gain insight into program implementation (Implementation Interviews); and 3) a Youth Outcomes Study that uses a pretest/posttest study design and data collected through youth surveys to measure changes in youth outcomes associated with participating in the TLP. </w:t>
      </w:r>
    </w:p>
    <w:p w14:paraId="63BA9A5C" w14:textId="77777777" w:rsidR="00A44537" w:rsidRPr="00F64BA7" w:rsidRDefault="00A44537" w:rsidP="00A44537"/>
    <w:p w14:paraId="538E1DAC" w14:textId="48408812" w:rsidR="00D779C2" w:rsidRDefault="00A44537" w:rsidP="00436F5E">
      <w:r w:rsidRPr="00F64BA7">
        <w:t xml:space="preserve">Data collection for the first two project components </w:t>
      </w:r>
      <w:r w:rsidR="00DB6AF4" w:rsidRPr="00F64BA7">
        <w:t xml:space="preserve">(Pilot Study and program staff interviews) </w:t>
      </w:r>
      <w:r w:rsidRPr="00F64BA7">
        <w:t xml:space="preserve">is complete. </w:t>
      </w:r>
      <w:r w:rsidR="00DB6AF4" w:rsidRPr="00F64BA7">
        <w:t xml:space="preserve">Data collection activities for the Youth Outcomes Study are expected to continue beyond the current OMB expiration date of July 31, 2018. As such, ACF is requesting a </w:t>
      </w:r>
      <w:r w:rsidR="00950442" w:rsidRPr="00F64BA7">
        <w:t>three</w:t>
      </w:r>
      <w:r w:rsidR="001A71B1" w:rsidRPr="00F64BA7">
        <w:t>-</w:t>
      </w:r>
      <w:r w:rsidR="00950442" w:rsidRPr="00F64BA7">
        <w:t xml:space="preserve"> </w:t>
      </w:r>
      <w:r w:rsidR="00DB6AF4" w:rsidRPr="00F64BA7">
        <w:t xml:space="preserve">year </w:t>
      </w:r>
      <w:r w:rsidR="000E40A0">
        <w:t>approval</w:t>
      </w:r>
      <w:r w:rsidR="000E40A0" w:rsidRPr="00F64BA7">
        <w:t xml:space="preserve"> </w:t>
      </w:r>
      <w:r w:rsidR="00DB6AF4" w:rsidRPr="00F64BA7">
        <w:t xml:space="preserve">to complete the </w:t>
      </w:r>
      <w:r w:rsidR="00950442" w:rsidRPr="00F64BA7">
        <w:t xml:space="preserve">planned </w:t>
      </w:r>
      <w:r w:rsidR="00DB6AF4" w:rsidRPr="00F64BA7">
        <w:t xml:space="preserve">data collection </w:t>
      </w:r>
      <w:r w:rsidR="00950442" w:rsidRPr="009F3A7A">
        <w:t>activities</w:t>
      </w:r>
      <w:r w:rsidR="00950442" w:rsidRPr="00F64BA7">
        <w:t xml:space="preserve">, which include </w:t>
      </w:r>
      <w:r w:rsidR="00D31A81" w:rsidRPr="00F64BA7">
        <w:t>enrolling youth in the study</w:t>
      </w:r>
      <w:r w:rsidR="00950442" w:rsidRPr="00F64BA7">
        <w:t>,</w:t>
      </w:r>
      <w:r w:rsidR="0034097B" w:rsidRPr="00F64BA7">
        <w:t xml:space="preserve"> </w:t>
      </w:r>
      <w:r w:rsidR="0033348F" w:rsidRPr="00F64BA7">
        <w:t>survey</w:t>
      </w:r>
      <w:r w:rsidR="00D31A81" w:rsidRPr="00F64BA7">
        <w:t>ing</w:t>
      </w:r>
      <w:r w:rsidR="0033348F" w:rsidRPr="00F64BA7">
        <w:t xml:space="preserve"> youth </w:t>
      </w:r>
      <w:r w:rsidR="00660F35" w:rsidRPr="00F64BA7">
        <w:t>participants</w:t>
      </w:r>
      <w:r w:rsidR="0034097B" w:rsidRPr="00F64BA7">
        <w:t xml:space="preserve"> at enrollment (baseline)</w:t>
      </w:r>
      <w:r w:rsidR="00950442" w:rsidRPr="00F64BA7">
        <w:t>,</w:t>
      </w:r>
      <w:r w:rsidR="0034097B" w:rsidRPr="00F64BA7">
        <w:t xml:space="preserve"> and again 6 months and 12</w:t>
      </w:r>
      <w:r w:rsidR="0055637A" w:rsidRPr="00F64BA7">
        <w:t xml:space="preserve"> </w:t>
      </w:r>
      <w:r w:rsidR="0034097B" w:rsidRPr="00F64BA7">
        <w:t>months</w:t>
      </w:r>
      <w:r w:rsidR="0034097B" w:rsidRPr="00F64BA7" w:rsidDel="00660F35">
        <w:t xml:space="preserve"> </w:t>
      </w:r>
      <w:r w:rsidR="0034097B" w:rsidRPr="00F64BA7">
        <w:t>after enrollment using previously approved data collection instruments</w:t>
      </w:r>
      <w:r w:rsidR="0033348F" w:rsidRPr="00F64BA7">
        <w:t>.</w:t>
      </w:r>
      <w:r w:rsidR="0033348F" w:rsidRPr="004C3251">
        <w:t xml:space="preserve"> </w:t>
      </w:r>
    </w:p>
    <w:p w14:paraId="0CAB9025" w14:textId="77777777" w:rsidR="00CC4FA8" w:rsidRDefault="00CC4FA8" w:rsidP="00436F5E"/>
    <w:p w14:paraId="11B12674" w14:textId="77777777" w:rsidR="00984CA2" w:rsidRPr="00177982" w:rsidRDefault="00984CA2" w:rsidP="00436F5E">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Study Background </w:t>
      </w:r>
    </w:p>
    <w:p w14:paraId="541CE57D" w14:textId="54422379" w:rsidR="00862824" w:rsidRPr="008464D8" w:rsidRDefault="00862824" w:rsidP="00862824">
      <w:r>
        <w:t xml:space="preserve">The purpose of the </w:t>
      </w:r>
      <w:r w:rsidR="009575A0" w:rsidRPr="004C3251">
        <w:t xml:space="preserve">Evaluation of the Transitional Living Program </w:t>
      </w:r>
      <w:r>
        <w:t xml:space="preserve">is to provide ACF with information about how youth who participate in </w:t>
      </w:r>
      <w:r w:rsidR="004B0490">
        <w:t xml:space="preserve">FYSB-funded </w:t>
      </w:r>
      <w:r>
        <w:t>TLP</w:t>
      </w:r>
      <w:r w:rsidR="004B0490">
        <w:t>s</w:t>
      </w:r>
      <w:r>
        <w:t xml:space="preserve"> fare over the short and longer term in the areas </w:t>
      </w:r>
      <w:r w:rsidRPr="007435A2">
        <w:t>of stable housing, positive social connections, social and emotional well-being, and education or employment. Th</w:t>
      </w:r>
      <w:r w:rsidRPr="00873339">
        <w:t xml:space="preserve">e </w:t>
      </w:r>
      <w:r>
        <w:t xml:space="preserve">evaluation </w:t>
      </w:r>
      <w:r w:rsidRPr="00873339">
        <w:t xml:space="preserve">will </w:t>
      </w:r>
      <w:r>
        <w:t xml:space="preserve">also </w:t>
      </w:r>
      <w:r w:rsidRPr="00873339">
        <w:t xml:space="preserve">provide information on </w:t>
      </w:r>
      <w:r w:rsidR="006365E6">
        <w:t xml:space="preserve">receipt of </w:t>
      </w:r>
      <w:r w:rsidRPr="00873339">
        <w:t>services</w:t>
      </w:r>
      <w:r w:rsidR="006365E6">
        <w:t xml:space="preserve"> (e.g., </w:t>
      </w:r>
      <w:r w:rsidR="006365E6" w:rsidRPr="009963F8">
        <w:rPr>
          <w:snapToGrid w:val="0"/>
        </w:rPr>
        <w:t>housing</w:t>
      </w:r>
      <w:r w:rsidR="001537A4">
        <w:rPr>
          <w:snapToGrid w:val="0"/>
        </w:rPr>
        <w:t xml:space="preserve"> </w:t>
      </w:r>
      <w:r w:rsidR="00E26AA3">
        <w:rPr>
          <w:snapToGrid w:val="0"/>
        </w:rPr>
        <w:t>assistance</w:t>
      </w:r>
      <w:r w:rsidR="006365E6" w:rsidRPr="009963F8">
        <w:rPr>
          <w:snapToGrid w:val="0"/>
        </w:rPr>
        <w:t xml:space="preserve">, employment, education, </w:t>
      </w:r>
      <w:r w:rsidR="006365E6">
        <w:rPr>
          <w:snapToGrid w:val="0"/>
        </w:rPr>
        <w:t>substance use</w:t>
      </w:r>
      <w:r w:rsidR="006365E6" w:rsidRPr="009963F8">
        <w:rPr>
          <w:snapToGrid w:val="0"/>
        </w:rPr>
        <w:t xml:space="preserve"> treatment, mental health </w:t>
      </w:r>
      <w:r w:rsidR="00E26AA3">
        <w:rPr>
          <w:snapToGrid w:val="0"/>
        </w:rPr>
        <w:t>care</w:t>
      </w:r>
      <w:r w:rsidR="006365E6" w:rsidRPr="009963F8">
        <w:rPr>
          <w:snapToGrid w:val="0"/>
        </w:rPr>
        <w:t xml:space="preserve">, physical health care, and life </w:t>
      </w:r>
      <w:r w:rsidR="006365E6" w:rsidRPr="008464D8">
        <w:rPr>
          <w:snapToGrid w:val="0"/>
        </w:rPr>
        <w:t>skills building,</w:t>
      </w:r>
      <w:r w:rsidR="001537A4" w:rsidRPr="008464D8">
        <w:rPr>
          <w:snapToGrid w:val="0"/>
        </w:rPr>
        <w:t xml:space="preserve"> among others</w:t>
      </w:r>
      <w:r w:rsidR="006365E6" w:rsidRPr="008464D8">
        <w:rPr>
          <w:snapToGrid w:val="0"/>
        </w:rPr>
        <w:t>)</w:t>
      </w:r>
      <w:r w:rsidR="001537A4" w:rsidRPr="008464D8">
        <w:t xml:space="preserve"> prior to and following enrollment in the TLP</w:t>
      </w:r>
      <w:r w:rsidRPr="008464D8">
        <w:t xml:space="preserve">. </w:t>
      </w:r>
    </w:p>
    <w:p w14:paraId="694FE9C2" w14:textId="77777777" w:rsidR="00D779C2" w:rsidRPr="008464D8" w:rsidRDefault="00D779C2" w:rsidP="00862824"/>
    <w:p w14:paraId="23F97CA9" w14:textId="0F4E14CA" w:rsidR="009575A0" w:rsidRPr="009575A0" w:rsidRDefault="009575A0" w:rsidP="00EB0D7F">
      <w:pPr>
        <w:pStyle w:val="NormalSS"/>
        <w:ind w:firstLine="0"/>
        <w:jc w:val="left"/>
        <w:rPr>
          <w:rFonts w:ascii="Times New Roman" w:hAnsi="Times New Roman"/>
        </w:rPr>
      </w:pPr>
      <w:r w:rsidRPr="008464D8">
        <w:rPr>
          <w:rFonts w:ascii="Times New Roman" w:hAnsi="Times New Roman"/>
        </w:rPr>
        <w:t>OMB approved the initial information collection request for activities</w:t>
      </w:r>
      <w:r w:rsidRPr="009575A0">
        <w:rPr>
          <w:rFonts w:ascii="Times New Roman" w:hAnsi="Times New Roman"/>
        </w:rPr>
        <w:t xml:space="preserve"> related to the Evaluation of the Transitional Living Program in </w:t>
      </w:r>
      <w:r>
        <w:rPr>
          <w:rFonts w:ascii="Times New Roman" w:hAnsi="Times New Roman"/>
        </w:rPr>
        <w:t>July 2015</w:t>
      </w:r>
      <w:r w:rsidRPr="009575A0">
        <w:rPr>
          <w:rFonts w:ascii="Times New Roman" w:hAnsi="Times New Roman"/>
        </w:rPr>
        <w:t xml:space="preserve"> (OMB No. 0970–03</w:t>
      </w:r>
      <w:r>
        <w:rPr>
          <w:rFonts w:ascii="Times New Roman" w:hAnsi="Times New Roman"/>
        </w:rPr>
        <w:t>83</w:t>
      </w:r>
      <w:r w:rsidRPr="009575A0">
        <w:rPr>
          <w:rFonts w:ascii="Times New Roman" w:hAnsi="Times New Roman"/>
        </w:rPr>
        <w:t xml:space="preserve">). ACF subsequently requested and received approval </w:t>
      </w:r>
      <w:r w:rsidR="00950442">
        <w:rPr>
          <w:rFonts w:ascii="Times New Roman" w:hAnsi="Times New Roman"/>
        </w:rPr>
        <w:t xml:space="preserve">to </w:t>
      </w:r>
      <w:r w:rsidR="00F146B5" w:rsidRPr="00F146B5">
        <w:rPr>
          <w:rFonts w:ascii="Times New Roman" w:hAnsi="Times New Roman"/>
        </w:rPr>
        <w:t>revis</w:t>
      </w:r>
      <w:r w:rsidR="00950442">
        <w:rPr>
          <w:rFonts w:ascii="Times New Roman" w:hAnsi="Times New Roman"/>
        </w:rPr>
        <w:t>e the study design from a randomized controlled trail to a pre-post outcomes study with fewer data collection time points</w:t>
      </w:r>
      <w:r w:rsidR="00D4078E">
        <w:rPr>
          <w:rFonts w:ascii="Times New Roman" w:hAnsi="Times New Roman"/>
        </w:rPr>
        <w:t xml:space="preserve"> (approved May 2018).</w:t>
      </w:r>
    </w:p>
    <w:p w14:paraId="104B06F2" w14:textId="77777777" w:rsidR="00984CA2" w:rsidRPr="00177982" w:rsidRDefault="00984CA2" w:rsidP="00436F5E">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14:paraId="29562D2F" w14:textId="11CEFA45" w:rsidR="00D51F4B" w:rsidRPr="00FE0094" w:rsidRDefault="00D51F4B" w:rsidP="00D51F4B">
      <w:pPr>
        <w:autoSpaceDE w:val="0"/>
        <w:autoSpaceDN w:val="0"/>
        <w:adjustRightInd w:val="0"/>
        <w:rPr>
          <w:snapToGrid w:val="0"/>
        </w:rPr>
      </w:pPr>
      <w:r w:rsidRPr="00FE0094">
        <w:rPr>
          <w:snapToGrid w:val="0"/>
        </w:rPr>
        <w:t xml:space="preserve">The Runaway and Homeless Youth Act (RHYA), as amended by Public Law 106-71 (42 U.S.C. 5701 </w:t>
      </w:r>
      <w:r w:rsidRPr="007435A2">
        <w:rPr>
          <w:i/>
          <w:snapToGrid w:val="0"/>
        </w:rPr>
        <w:t>et seq.</w:t>
      </w:r>
      <w:r w:rsidRPr="00FE0094">
        <w:rPr>
          <w:snapToGrid w:val="0"/>
        </w:rPr>
        <w:t>), provides for the Transitional Living Program (TLP), a residential program designed to prepare older homeless youth ages 16-21 for a healthy and self-sufficient adulthood. The following amendment was included in the 2003 “Runaway, Homeless Youth and Missing Children’s Assistance Act” (</w:t>
      </w:r>
      <w:r w:rsidR="00FC64B4" w:rsidRPr="00FE0094">
        <w:rPr>
          <w:snapToGrid w:val="0"/>
        </w:rPr>
        <w:t xml:space="preserve">Public Law </w:t>
      </w:r>
      <w:r w:rsidRPr="00FE0094">
        <w:rPr>
          <w:snapToGrid w:val="0"/>
        </w:rPr>
        <w:t xml:space="preserve">108-96), which reauthorized the </w:t>
      </w:r>
      <w:r w:rsidR="004E7C58" w:rsidRPr="00FE0094">
        <w:rPr>
          <w:snapToGrid w:val="0"/>
        </w:rPr>
        <w:t>RHYA</w:t>
      </w:r>
      <w:r w:rsidRPr="00FE0094">
        <w:rPr>
          <w:snapToGrid w:val="0"/>
        </w:rPr>
        <w:t>.</w:t>
      </w:r>
      <w:r>
        <w:rPr>
          <w:snapToGrid w:val="0"/>
        </w:rPr>
        <w:t xml:space="preserve"> This amendment directed</w:t>
      </w:r>
      <w:r w:rsidRPr="002331A3">
        <w:rPr>
          <w:snapToGrid w:val="0"/>
        </w:rPr>
        <w:t xml:space="preserve"> the Secretary</w:t>
      </w:r>
      <w:r>
        <w:rPr>
          <w:snapToGrid w:val="0"/>
        </w:rPr>
        <w:t xml:space="preserve"> </w:t>
      </w:r>
      <w:r w:rsidRPr="002331A3">
        <w:rPr>
          <w:snapToGrid w:val="0"/>
        </w:rPr>
        <w:t>of Health and Human Services to evaluate RHYA part B programs to report on long-term housing outcomes for youth after exiting the progra</w:t>
      </w:r>
      <w:r>
        <w:rPr>
          <w:snapToGrid w:val="0"/>
        </w:rPr>
        <w:t>m.</w:t>
      </w:r>
    </w:p>
    <w:p w14:paraId="6A10318C" w14:textId="77777777" w:rsidR="00D51F4B" w:rsidRPr="00FE0094" w:rsidRDefault="00D51F4B" w:rsidP="00D51F4B">
      <w:pPr>
        <w:autoSpaceDE w:val="0"/>
        <w:autoSpaceDN w:val="0"/>
        <w:adjustRightInd w:val="0"/>
        <w:ind w:left="720"/>
        <w:rPr>
          <w:snapToGrid w:val="0"/>
        </w:rPr>
      </w:pPr>
    </w:p>
    <w:p w14:paraId="0A49C106" w14:textId="77777777" w:rsidR="00D51F4B" w:rsidRDefault="00D51F4B" w:rsidP="00D51F4B">
      <w:pPr>
        <w:spacing w:after="240" w:line="315" w:lineRule="atLeast"/>
        <w:ind w:left="720" w:right="2070"/>
        <w:jc w:val="both"/>
        <w:rPr>
          <w:rFonts w:ascii="Arial" w:hAnsi="Arial" w:cs="Arial"/>
          <w:color w:val="2D261A"/>
          <w:sz w:val="21"/>
          <w:szCs w:val="21"/>
          <w:lang w:val="en"/>
        </w:rPr>
      </w:pPr>
      <w:r>
        <w:rPr>
          <w:rFonts w:ascii="Arial" w:hAnsi="Arial" w:cs="Arial"/>
          <w:color w:val="2D261A"/>
          <w:sz w:val="21"/>
          <w:szCs w:val="21"/>
          <w:lang w:val="en"/>
        </w:rPr>
        <w:t>SEC. 119. STUDY OF HOUSING SERVCIES AND STRATEGIES</w:t>
      </w:r>
    </w:p>
    <w:p w14:paraId="4A7EABA4" w14:textId="77777777" w:rsidR="00D51F4B" w:rsidRDefault="00D51F4B" w:rsidP="00D51F4B">
      <w:pPr>
        <w:spacing w:after="240" w:line="315" w:lineRule="atLeast"/>
        <w:ind w:left="720" w:right="2070"/>
        <w:jc w:val="both"/>
        <w:rPr>
          <w:rFonts w:ascii="Arial" w:hAnsi="Arial" w:cs="Arial"/>
          <w:color w:val="2D261A"/>
          <w:sz w:val="21"/>
          <w:szCs w:val="21"/>
          <w:lang w:val="en"/>
        </w:rPr>
      </w:pPr>
      <w:r>
        <w:rPr>
          <w:rFonts w:ascii="Arial" w:hAnsi="Arial" w:cs="Arial"/>
          <w:color w:val="2D261A"/>
          <w:sz w:val="21"/>
          <w:szCs w:val="21"/>
          <w:lang w:val="en"/>
        </w:rPr>
        <w:t>The Secretary of Health and Human Services shall conduct a study of programs funded under part B of the Runaway and Homeless Youth Act (42 W.S.C. 5714-1 et seq.) to report on long-term housing outcomes for youth after exiting the program. The study of any such program should provide information on housing services available to youth upon exiting the program, including assistance in locating and retaining permanent housing and referrals to other residential programs. In addition, the study should identify housing models and placement strategies that prevent future episodes of homelessness.</w:t>
      </w:r>
    </w:p>
    <w:p w14:paraId="788B8FB6" w14:textId="4C63F0D9" w:rsidR="00D51F4B" w:rsidRDefault="00D51F4B" w:rsidP="00D51F4B">
      <w:pPr>
        <w:rPr>
          <w:b/>
        </w:rPr>
      </w:pPr>
      <w:r>
        <w:rPr>
          <w:snapToGrid w:val="0"/>
        </w:rPr>
        <w:t xml:space="preserve">The RHYA was again reauthorized in 2008 </w:t>
      </w:r>
      <w:r w:rsidRPr="00592B5A">
        <w:rPr>
          <w:snapToGrid w:val="0"/>
        </w:rPr>
        <w:t xml:space="preserve">under </w:t>
      </w:r>
      <w:r>
        <w:rPr>
          <w:snapToGrid w:val="0"/>
        </w:rPr>
        <w:t xml:space="preserve">the </w:t>
      </w:r>
      <w:r w:rsidRPr="00592B5A">
        <w:rPr>
          <w:snapToGrid w:val="0"/>
        </w:rPr>
        <w:t>Reconnecting Homeless Youth Act of 2008 (</w:t>
      </w:r>
      <w:r w:rsidR="00FC64B4" w:rsidRPr="00FE0094">
        <w:rPr>
          <w:snapToGrid w:val="0"/>
        </w:rPr>
        <w:t>Public Law</w:t>
      </w:r>
      <w:r w:rsidRPr="00592B5A">
        <w:rPr>
          <w:snapToGrid w:val="0"/>
        </w:rPr>
        <w:t xml:space="preserve"> 110-378)</w:t>
      </w:r>
      <w:r>
        <w:rPr>
          <w:snapToGrid w:val="0"/>
        </w:rPr>
        <w:t>.</w:t>
      </w:r>
    </w:p>
    <w:p w14:paraId="1D1530DB" w14:textId="77777777" w:rsidR="00BE7952" w:rsidRDefault="00BE7952" w:rsidP="00292B70">
      <w:pPr>
        <w:rPr>
          <w:b/>
        </w:rPr>
      </w:pPr>
    </w:p>
    <w:p w14:paraId="50FFFF39" w14:textId="77777777" w:rsidR="00945CD6" w:rsidRPr="005E28E1" w:rsidRDefault="00292B70" w:rsidP="005E28E1">
      <w:pPr>
        <w:pStyle w:val="Heading1"/>
      </w:pPr>
      <w:bookmarkStart w:id="3" w:name="_Toc515615502"/>
      <w:bookmarkStart w:id="4" w:name="_Toc519090776"/>
      <w:r w:rsidRPr="005E28E1">
        <w:t xml:space="preserve">A2. </w:t>
      </w:r>
      <w:r w:rsidR="00945CD6" w:rsidRPr="005E28E1">
        <w:t>Purpose of Survey and Data Collection Procedures</w:t>
      </w:r>
      <w:bookmarkEnd w:id="3"/>
      <w:bookmarkEnd w:id="4"/>
    </w:p>
    <w:p w14:paraId="07EF1A5B" w14:textId="77777777" w:rsidR="00984CA2" w:rsidRPr="00177982" w:rsidRDefault="00984CA2" w:rsidP="00436F5E">
      <w:pPr>
        <w:spacing w:after="60"/>
        <w:rPr>
          <w:b/>
          <w:i/>
        </w:rPr>
      </w:pPr>
      <w:r w:rsidRPr="00177982">
        <w:rPr>
          <w:b/>
          <w:i/>
        </w:rPr>
        <w:t>Overview of Purpose and Approach</w:t>
      </w:r>
    </w:p>
    <w:p w14:paraId="1591A50D" w14:textId="224FB76C" w:rsidR="001755BC" w:rsidRDefault="00D51F4B" w:rsidP="00096542">
      <w:pPr>
        <w:autoSpaceDE w:val="0"/>
        <w:autoSpaceDN w:val="0"/>
        <w:adjustRightInd w:val="0"/>
        <w:rPr>
          <w:szCs w:val="22"/>
        </w:rPr>
      </w:pPr>
      <w:r w:rsidRPr="00D51F4B">
        <w:rPr>
          <w:szCs w:val="22"/>
        </w:rPr>
        <w:t>ACF’s request for a</w:t>
      </w:r>
      <w:r w:rsidR="000E40A0">
        <w:rPr>
          <w:szCs w:val="22"/>
        </w:rPr>
        <w:t>n additional three years of approval</w:t>
      </w:r>
      <w:r w:rsidRPr="00D51F4B">
        <w:rPr>
          <w:szCs w:val="22"/>
        </w:rPr>
        <w:t xml:space="preserve"> </w:t>
      </w:r>
      <w:r w:rsidR="003B5979">
        <w:rPr>
          <w:szCs w:val="22"/>
        </w:rPr>
        <w:t xml:space="preserve">is specific to </w:t>
      </w:r>
      <w:r>
        <w:rPr>
          <w:szCs w:val="22"/>
        </w:rPr>
        <w:t xml:space="preserve">the </w:t>
      </w:r>
      <w:r w:rsidR="004C3251">
        <w:rPr>
          <w:szCs w:val="22"/>
        </w:rPr>
        <w:t>Youth</w:t>
      </w:r>
      <w:r>
        <w:rPr>
          <w:szCs w:val="22"/>
        </w:rPr>
        <w:t xml:space="preserve"> Outcomes </w:t>
      </w:r>
      <w:r w:rsidRPr="00D51F4B">
        <w:rPr>
          <w:szCs w:val="22"/>
        </w:rPr>
        <w:t>Study</w:t>
      </w:r>
      <w:r w:rsidR="008464D8">
        <w:rPr>
          <w:szCs w:val="22"/>
        </w:rPr>
        <w:t>, which is designed to assess whether participation i</w:t>
      </w:r>
      <w:r w:rsidR="00D4078E">
        <w:rPr>
          <w:szCs w:val="22"/>
        </w:rPr>
        <w:t>n</w:t>
      </w:r>
      <w:r w:rsidR="008464D8">
        <w:rPr>
          <w:szCs w:val="22"/>
        </w:rPr>
        <w:t xml:space="preserve"> the TLP is associated with</w:t>
      </w:r>
      <w:r w:rsidR="001755BC">
        <w:rPr>
          <w:szCs w:val="22"/>
        </w:rPr>
        <w:t xml:space="preserve"> improvements in the developmental domains targeted by the intervention</w:t>
      </w:r>
      <w:r w:rsidR="001755BC">
        <w:t xml:space="preserve">—namely, stable housing, positive social connections, social and emotional well-being, and </w:t>
      </w:r>
      <w:r w:rsidR="001755BC" w:rsidRPr="00CC6417">
        <w:t>employment or education</w:t>
      </w:r>
      <w:r w:rsidR="001755BC">
        <w:rPr>
          <w:szCs w:val="22"/>
        </w:rPr>
        <w:t xml:space="preserve">. To accomplish this, the research team is using a pretest-posttest design and longitudinal survey data collection.  </w:t>
      </w:r>
    </w:p>
    <w:p w14:paraId="6FE2136B" w14:textId="77777777" w:rsidR="001755BC" w:rsidRDefault="001755BC" w:rsidP="00096542">
      <w:pPr>
        <w:autoSpaceDE w:val="0"/>
        <w:autoSpaceDN w:val="0"/>
        <w:adjustRightInd w:val="0"/>
        <w:rPr>
          <w:szCs w:val="22"/>
        </w:rPr>
      </w:pPr>
    </w:p>
    <w:p w14:paraId="37075839" w14:textId="77777777" w:rsidR="00394140" w:rsidRDefault="00D63C6A" w:rsidP="00371247">
      <w:pPr>
        <w:autoSpaceDE w:val="0"/>
        <w:autoSpaceDN w:val="0"/>
        <w:adjustRightInd w:val="0"/>
        <w:rPr>
          <w:snapToGrid w:val="0"/>
        </w:rPr>
      </w:pPr>
      <w:r w:rsidRPr="00D63C6A">
        <w:rPr>
          <w:snapToGrid w:val="0"/>
        </w:rPr>
        <w:t xml:space="preserve">The surveys </w:t>
      </w:r>
      <w:r w:rsidR="00DB5522">
        <w:rPr>
          <w:snapToGrid w:val="0"/>
        </w:rPr>
        <w:t>focus on</w:t>
      </w:r>
      <w:r w:rsidRPr="00D63C6A">
        <w:rPr>
          <w:snapToGrid w:val="0"/>
        </w:rPr>
        <w:t xml:space="preserve"> youth</w:t>
      </w:r>
      <w:r w:rsidR="0068798E">
        <w:rPr>
          <w:snapToGrid w:val="0"/>
        </w:rPr>
        <w:t xml:space="preserve"> </w:t>
      </w:r>
      <w:r w:rsidRPr="00D63C6A">
        <w:rPr>
          <w:snapToGrid w:val="0"/>
        </w:rPr>
        <w:t>outcomes</w:t>
      </w:r>
      <w:r w:rsidR="0068798E">
        <w:rPr>
          <w:snapToGrid w:val="0"/>
        </w:rPr>
        <w:t xml:space="preserve"> </w:t>
      </w:r>
      <w:r w:rsidR="00DB5522">
        <w:rPr>
          <w:snapToGrid w:val="0"/>
        </w:rPr>
        <w:t>that can only be measured through surveys of youth. The outcome domains are</w:t>
      </w:r>
      <w:r w:rsidR="0068798E">
        <w:rPr>
          <w:snapToGrid w:val="0"/>
        </w:rPr>
        <w:t xml:space="preserve">: </w:t>
      </w:r>
    </w:p>
    <w:p w14:paraId="42CACAFA" w14:textId="39B7D635" w:rsidR="00394140" w:rsidRPr="005E1F3B" w:rsidRDefault="00394140" w:rsidP="00D31CE7">
      <w:pPr>
        <w:pStyle w:val="ListParagraph"/>
        <w:numPr>
          <w:ilvl w:val="0"/>
          <w:numId w:val="23"/>
        </w:numPr>
        <w:autoSpaceDE w:val="0"/>
        <w:autoSpaceDN w:val="0"/>
        <w:adjustRightInd w:val="0"/>
        <w:rPr>
          <w:snapToGrid w:val="0"/>
        </w:rPr>
      </w:pPr>
      <w:r>
        <w:rPr>
          <w:i/>
        </w:rPr>
        <w:t>S</w:t>
      </w:r>
      <w:r w:rsidR="00DB5522" w:rsidRPr="00394140">
        <w:rPr>
          <w:i/>
        </w:rPr>
        <w:t>table housing</w:t>
      </w:r>
      <w:r w:rsidR="00DB5522">
        <w:t xml:space="preserve"> (e.g., residential mobility, homelessness)</w:t>
      </w:r>
    </w:p>
    <w:p w14:paraId="345648CF" w14:textId="53906EBF" w:rsidR="00394140" w:rsidRPr="005E1F3B" w:rsidRDefault="00394140" w:rsidP="00D31CE7">
      <w:pPr>
        <w:pStyle w:val="ListParagraph"/>
        <w:numPr>
          <w:ilvl w:val="0"/>
          <w:numId w:val="23"/>
        </w:numPr>
        <w:autoSpaceDE w:val="0"/>
        <w:autoSpaceDN w:val="0"/>
        <w:adjustRightInd w:val="0"/>
        <w:rPr>
          <w:snapToGrid w:val="0"/>
        </w:rPr>
      </w:pPr>
      <w:r>
        <w:rPr>
          <w:i/>
        </w:rPr>
        <w:t>P</w:t>
      </w:r>
      <w:r w:rsidR="0068798E" w:rsidRPr="00394140">
        <w:rPr>
          <w:i/>
        </w:rPr>
        <w:t>ositive social connections</w:t>
      </w:r>
      <w:r w:rsidR="0068798E">
        <w:t xml:space="preserve"> (e.g., </w:t>
      </w:r>
      <w:r w:rsidR="00330824">
        <w:t>supportive relationships with adults, delinquent pee</w:t>
      </w:r>
      <w:r w:rsidR="00330824" w:rsidRPr="00330824">
        <w:t>rs</w:t>
      </w:r>
      <w:r w:rsidR="0068798E" w:rsidRPr="00330824">
        <w:t>)</w:t>
      </w:r>
    </w:p>
    <w:p w14:paraId="3A5E988F" w14:textId="46B9EFEA" w:rsidR="00394140" w:rsidRDefault="00394140" w:rsidP="00D31CE7">
      <w:pPr>
        <w:pStyle w:val="ListParagraph"/>
        <w:numPr>
          <w:ilvl w:val="0"/>
          <w:numId w:val="23"/>
        </w:numPr>
        <w:autoSpaceDE w:val="0"/>
        <w:autoSpaceDN w:val="0"/>
        <w:adjustRightInd w:val="0"/>
        <w:rPr>
          <w:snapToGrid w:val="0"/>
        </w:rPr>
      </w:pPr>
      <w:r>
        <w:rPr>
          <w:i/>
          <w:snapToGrid w:val="0"/>
        </w:rPr>
        <w:t>S</w:t>
      </w:r>
      <w:r w:rsidR="0068798E" w:rsidRPr="00394140">
        <w:rPr>
          <w:i/>
          <w:snapToGrid w:val="0"/>
        </w:rPr>
        <w:t>ocial and emotional well-being</w:t>
      </w:r>
      <w:r w:rsidR="0068798E" w:rsidRPr="00394140">
        <w:rPr>
          <w:snapToGrid w:val="0"/>
        </w:rPr>
        <w:t xml:space="preserve"> (e.g., depressive symptoms, traumatic stress, risky behavior, history of abuse)</w:t>
      </w:r>
    </w:p>
    <w:p w14:paraId="52382F17" w14:textId="36D23EBB" w:rsidR="00394140" w:rsidRDefault="00394140" w:rsidP="00D31CE7">
      <w:pPr>
        <w:pStyle w:val="ListParagraph"/>
        <w:numPr>
          <w:ilvl w:val="0"/>
          <w:numId w:val="23"/>
        </w:numPr>
        <w:autoSpaceDE w:val="0"/>
        <w:autoSpaceDN w:val="0"/>
        <w:adjustRightInd w:val="0"/>
        <w:rPr>
          <w:snapToGrid w:val="0"/>
        </w:rPr>
      </w:pPr>
      <w:r>
        <w:rPr>
          <w:i/>
        </w:rPr>
        <w:t>E</w:t>
      </w:r>
      <w:r w:rsidR="0068798E" w:rsidRPr="00394140">
        <w:rPr>
          <w:i/>
        </w:rPr>
        <w:t>mployment or education</w:t>
      </w:r>
      <w:r w:rsidR="00A57D53">
        <w:t xml:space="preserve"> (e.g., employment status and effort, educational status and effort)</w:t>
      </w:r>
      <w:r w:rsidR="0068798E">
        <w:t>,</w:t>
      </w:r>
      <w:r w:rsidR="0068798E" w:rsidRPr="00394140">
        <w:rPr>
          <w:snapToGrid w:val="0"/>
        </w:rPr>
        <w:t xml:space="preserve"> and</w:t>
      </w:r>
    </w:p>
    <w:p w14:paraId="168DB318" w14:textId="3ABD4C99" w:rsidR="00394140" w:rsidRDefault="00394140" w:rsidP="009A4E94">
      <w:pPr>
        <w:pStyle w:val="ListParagraph"/>
        <w:numPr>
          <w:ilvl w:val="0"/>
          <w:numId w:val="23"/>
        </w:numPr>
        <w:autoSpaceDE w:val="0"/>
        <w:autoSpaceDN w:val="0"/>
        <w:adjustRightInd w:val="0"/>
        <w:rPr>
          <w:snapToGrid w:val="0"/>
        </w:rPr>
      </w:pPr>
      <w:r>
        <w:rPr>
          <w:i/>
          <w:snapToGrid w:val="0"/>
        </w:rPr>
        <w:t>O</w:t>
      </w:r>
      <w:r w:rsidR="0068798E" w:rsidRPr="00394140">
        <w:rPr>
          <w:i/>
          <w:snapToGrid w:val="0"/>
        </w:rPr>
        <w:t>ther measures</w:t>
      </w:r>
      <w:r w:rsidR="0068798E" w:rsidRPr="00394140">
        <w:rPr>
          <w:snapToGrid w:val="0"/>
        </w:rPr>
        <w:t xml:space="preserve"> </w:t>
      </w:r>
      <w:r w:rsidR="0068798E" w:rsidRPr="00394140">
        <w:rPr>
          <w:i/>
          <w:snapToGrid w:val="0"/>
        </w:rPr>
        <w:t>related to self-sufficiency and well-being</w:t>
      </w:r>
      <w:r w:rsidR="0068798E" w:rsidRPr="00394140">
        <w:rPr>
          <w:snapToGrid w:val="0"/>
        </w:rPr>
        <w:t xml:space="preserve"> (</w:t>
      </w:r>
      <w:r w:rsidR="00A57D53" w:rsidRPr="00394140">
        <w:rPr>
          <w:snapToGrid w:val="0"/>
        </w:rPr>
        <w:t>e.g., child bearing, money management</w:t>
      </w:r>
      <w:r w:rsidR="0068798E" w:rsidRPr="00394140">
        <w:rPr>
          <w:snapToGrid w:val="0"/>
        </w:rPr>
        <w:t>)</w:t>
      </w:r>
      <w:r w:rsidR="00D63C6A" w:rsidRPr="00394140">
        <w:rPr>
          <w:snapToGrid w:val="0"/>
        </w:rPr>
        <w:t xml:space="preserve">. </w:t>
      </w:r>
    </w:p>
    <w:p w14:paraId="42DFE5A7" w14:textId="77777777" w:rsidR="00394140" w:rsidRDefault="00394140" w:rsidP="00394140">
      <w:pPr>
        <w:autoSpaceDE w:val="0"/>
        <w:autoSpaceDN w:val="0"/>
        <w:adjustRightInd w:val="0"/>
        <w:rPr>
          <w:snapToGrid w:val="0"/>
        </w:rPr>
      </w:pPr>
    </w:p>
    <w:p w14:paraId="3FF4643B" w14:textId="380E7B68" w:rsidR="00D63C6A" w:rsidRPr="00394140" w:rsidRDefault="00D63C6A" w:rsidP="00394140">
      <w:pPr>
        <w:autoSpaceDE w:val="0"/>
        <w:autoSpaceDN w:val="0"/>
        <w:adjustRightInd w:val="0"/>
        <w:rPr>
          <w:snapToGrid w:val="0"/>
        </w:rPr>
      </w:pPr>
      <w:r w:rsidRPr="00394140">
        <w:rPr>
          <w:snapToGrid w:val="0"/>
        </w:rPr>
        <w:t xml:space="preserve">The </w:t>
      </w:r>
      <w:r w:rsidR="00371247" w:rsidRPr="00394140">
        <w:rPr>
          <w:snapToGrid w:val="0"/>
        </w:rPr>
        <w:t>survey</w:t>
      </w:r>
      <w:r w:rsidR="0068798E" w:rsidRPr="00394140">
        <w:rPr>
          <w:snapToGrid w:val="0"/>
        </w:rPr>
        <w:t>s</w:t>
      </w:r>
      <w:r w:rsidR="00371247" w:rsidRPr="00394140">
        <w:rPr>
          <w:snapToGrid w:val="0"/>
        </w:rPr>
        <w:t xml:space="preserve"> also</w:t>
      </w:r>
      <w:r w:rsidRPr="00394140">
        <w:rPr>
          <w:snapToGrid w:val="0"/>
        </w:rPr>
        <w:t xml:space="preserve"> collect data from youth on their demographic characteristics</w:t>
      </w:r>
      <w:r w:rsidR="0068798E" w:rsidRPr="00394140">
        <w:rPr>
          <w:snapToGrid w:val="0"/>
        </w:rPr>
        <w:t xml:space="preserve">, </w:t>
      </w:r>
      <w:r w:rsidR="0068798E" w:rsidRPr="001814D2">
        <w:rPr>
          <w:snapToGrid w:val="0"/>
        </w:rPr>
        <w:t>the types and amounts of services they receive</w:t>
      </w:r>
      <w:r w:rsidR="0068798E" w:rsidRPr="00394140">
        <w:rPr>
          <w:snapToGrid w:val="0"/>
        </w:rPr>
        <w:t xml:space="preserve"> after enrolling in the TLP, and </w:t>
      </w:r>
      <w:r w:rsidRPr="00394140">
        <w:rPr>
          <w:snapToGrid w:val="0"/>
        </w:rPr>
        <w:t xml:space="preserve">contact information for the purposes of locating </w:t>
      </w:r>
      <w:r w:rsidR="00D4078E">
        <w:rPr>
          <w:snapToGrid w:val="0"/>
        </w:rPr>
        <w:t xml:space="preserve">and contacting youth </w:t>
      </w:r>
      <w:r w:rsidRPr="00394140">
        <w:rPr>
          <w:snapToGrid w:val="0"/>
        </w:rPr>
        <w:t>for follow-up</w:t>
      </w:r>
      <w:r w:rsidR="00D4078E">
        <w:rPr>
          <w:snapToGrid w:val="0"/>
        </w:rPr>
        <w:t xml:space="preserve"> data collections</w:t>
      </w:r>
      <w:r w:rsidRPr="00394140">
        <w:rPr>
          <w:snapToGrid w:val="0"/>
        </w:rPr>
        <w:t xml:space="preserve">. </w:t>
      </w:r>
    </w:p>
    <w:p w14:paraId="689C5B21" w14:textId="77777777" w:rsidR="00A44209" w:rsidRPr="00EB0D7F" w:rsidRDefault="00A44209" w:rsidP="00EB0D7F">
      <w:pPr>
        <w:pStyle w:val="Heading4"/>
        <w:rPr>
          <w:rFonts w:ascii="Times New Roman" w:hAnsi="Times New Roman"/>
          <w:i/>
          <w:iCs/>
          <w:sz w:val="24"/>
        </w:rPr>
      </w:pPr>
      <w:r w:rsidRPr="00EB0D7F">
        <w:rPr>
          <w:rFonts w:ascii="Times New Roman" w:hAnsi="Times New Roman"/>
          <w:i/>
          <w:iCs/>
          <w:sz w:val="24"/>
        </w:rPr>
        <w:t>Research Questions</w:t>
      </w:r>
    </w:p>
    <w:p w14:paraId="5160EBAF" w14:textId="75E3B5F0" w:rsidR="00C15860" w:rsidRPr="00A57D53" w:rsidRDefault="00C15860" w:rsidP="00C15860">
      <w:pPr>
        <w:spacing w:after="60"/>
      </w:pPr>
      <w:r>
        <w:t xml:space="preserve">The </w:t>
      </w:r>
      <w:r w:rsidR="009519FE">
        <w:t>survey data will be used to address the following research questions about the relationship</w:t>
      </w:r>
      <w:r w:rsidR="00ED23F7">
        <w:t>s</w:t>
      </w:r>
      <w:r w:rsidR="009519FE">
        <w:t xml:space="preserve"> between TLP participation and outcomes important to the long-term self-sufficiency and well-being of homeless youth</w:t>
      </w:r>
      <w:r w:rsidRPr="00A57D53">
        <w:t xml:space="preserve">:  </w:t>
      </w:r>
    </w:p>
    <w:p w14:paraId="0E3E8B98" w14:textId="23EDA27E" w:rsidR="00C15860" w:rsidRPr="00CC6417" w:rsidRDefault="00C15860" w:rsidP="00C15860">
      <w:pPr>
        <w:pStyle w:val="BodyText"/>
        <w:numPr>
          <w:ilvl w:val="0"/>
          <w:numId w:val="19"/>
        </w:numPr>
        <w:spacing w:after="0" w:line="264" w:lineRule="auto"/>
        <w:rPr>
          <w:i/>
        </w:rPr>
      </w:pPr>
      <w:r w:rsidRPr="00CC6417">
        <w:rPr>
          <w:i/>
        </w:rPr>
        <w:t xml:space="preserve">What is the </w:t>
      </w:r>
      <w:r w:rsidR="00ED23F7" w:rsidRPr="00ED23F7">
        <w:rPr>
          <w:i/>
        </w:rPr>
        <w:t xml:space="preserve">relationship </w:t>
      </w:r>
      <w:r w:rsidR="00AA7376">
        <w:rPr>
          <w:i/>
        </w:rPr>
        <w:t xml:space="preserve">between </w:t>
      </w:r>
      <w:r w:rsidRPr="00CC6417">
        <w:rPr>
          <w:i/>
        </w:rPr>
        <w:t xml:space="preserve">TLP </w:t>
      </w:r>
      <w:r w:rsidR="00AA7376">
        <w:rPr>
          <w:i/>
        </w:rPr>
        <w:t>participation and</w:t>
      </w:r>
      <w:r w:rsidRPr="00CC6417">
        <w:rPr>
          <w:i/>
        </w:rPr>
        <w:t xml:space="preserve"> housing stability? </w:t>
      </w:r>
    </w:p>
    <w:p w14:paraId="107DF2BB" w14:textId="6E7F6F8C" w:rsidR="00C15860" w:rsidRDefault="00ED23F7" w:rsidP="00C15860">
      <w:pPr>
        <w:pStyle w:val="BodyText"/>
        <w:numPr>
          <w:ilvl w:val="1"/>
          <w:numId w:val="19"/>
        </w:numPr>
        <w:spacing w:after="0" w:line="264" w:lineRule="auto"/>
      </w:pPr>
      <w:r>
        <w:t>For example, a</w:t>
      </w:r>
      <w:r w:rsidR="00C15860">
        <w:t xml:space="preserve">re youth who participate in the TLP more stably housed 6 months </w:t>
      </w:r>
      <w:r>
        <w:t xml:space="preserve">and/or 12 months </w:t>
      </w:r>
      <w:r w:rsidR="00C15860">
        <w:t>after program enrollment relative to baseline?</w:t>
      </w:r>
    </w:p>
    <w:p w14:paraId="004F8BCE" w14:textId="77777777" w:rsidR="00D63C6A" w:rsidRDefault="00D63C6A" w:rsidP="00D63C6A">
      <w:pPr>
        <w:pStyle w:val="BodyText"/>
        <w:spacing w:after="0" w:line="264" w:lineRule="auto"/>
        <w:ind w:left="1440"/>
      </w:pPr>
    </w:p>
    <w:p w14:paraId="06B30939" w14:textId="4C8B6867" w:rsidR="00C15860" w:rsidRPr="00CC6417" w:rsidRDefault="00C15860" w:rsidP="00C15860">
      <w:pPr>
        <w:pStyle w:val="BodyText"/>
        <w:numPr>
          <w:ilvl w:val="0"/>
          <w:numId w:val="19"/>
        </w:numPr>
        <w:spacing w:after="0" w:line="264" w:lineRule="auto"/>
        <w:rPr>
          <w:i/>
        </w:rPr>
      </w:pPr>
      <w:r w:rsidRPr="00CC6417">
        <w:rPr>
          <w:i/>
        </w:rPr>
        <w:t xml:space="preserve">What is the </w:t>
      </w:r>
      <w:r w:rsidR="00ED23F7" w:rsidRPr="00ED23F7">
        <w:rPr>
          <w:i/>
        </w:rPr>
        <w:t xml:space="preserve">relationship </w:t>
      </w:r>
      <w:r w:rsidR="00AA7376">
        <w:rPr>
          <w:i/>
        </w:rPr>
        <w:t xml:space="preserve">between </w:t>
      </w:r>
      <w:r w:rsidRPr="00CC6417">
        <w:rPr>
          <w:i/>
        </w:rPr>
        <w:t xml:space="preserve">TLP </w:t>
      </w:r>
      <w:r w:rsidR="00AA7376">
        <w:rPr>
          <w:i/>
        </w:rPr>
        <w:t>participation and</w:t>
      </w:r>
      <w:r w:rsidR="00AA7376" w:rsidRPr="00CC6417">
        <w:rPr>
          <w:i/>
        </w:rPr>
        <w:t xml:space="preserve"> </w:t>
      </w:r>
      <w:r w:rsidRPr="00CC6417">
        <w:rPr>
          <w:i/>
        </w:rPr>
        <w:t>positive social connections?</w:t>
      </w:r>
    </w:p>
    <w:p w14:paraId="1D7589B5" w14:textId="1B311335" w:rsidR="00C15860" w:rsidRDefault="00ED23F7" w:rsidP="00C15860">
      <w:pPr>
        <w:pStyle w:val="BodyText"/>
        <w:numPr>
          <w:ilvl w:val="1"/>
          <w:numId w:val="19"/>
        </w:numPr>
        <w:spacing w:after="0" w:line="264" w:lineRule="auto"/>
      </w:pPr>
      <w:r>
        <w:t>For example, d</w:t>
      </w:r>
      <w:r w:rsidR="00C15860">
        <w:t xml:space="preserve">o youth who participate in the TLP have more supportive relationships with adults 6 months </w:t>
      </w:r>
      <w:r>
        <w:t xml:space="preserve">and/or 12 months </w:t>
      </w:r>
      <w:r w:rsidR="00C15860">
        <w:t>after program enrolment relative to baseline?</w:t>
      </w:r>
    </w:p>
    <w:p w14:paraId="0018C777" w14:textId="77777777" w:rsidR="00D63C6A" w:rsidRDefault="00D63C6A" w:rsidP="00D63C6A">
      <w:pPr>
        <w:pStyle w:val="BodyText"/>
        <w:spacing w:after="0" w:line="264" w:lineRule="auto"/>
        <w:ind w:left="1440"/>
      </w:pPr>
    </w:p>
    <w:p w14:paraId="51A8BEF3" w14:textId="5AC44729" w:rsidR="00C15860" w:rsidRPr="00CC6417" w:rsidRDefault="00C15860" w:rsidP="00C15860">
      <w:pPr>
        <w:pStyle w:val="BodyText"/>
        <w:numPr>
          <w:ilvl w:val="0"/>
          <w:numId w:val="19"/>
        </w:numPr>
        <w:spacing w:after="0" w:line="264" w:lineRule="auto"/>
        <w:rPr>
          <w:i/>
        </w:rPr>
      </w:pPr>
      <w:r w:rsidRPr="00CC6417">
        <w:rPr>
          <w:i/>
        </w:rPr>
        <w:t xml:space="preserve">What is the </w:t>
      </w:r>
      <w:r w:rsidR="00ED23F7" w:rsidRPr="00ED23F7">
        <w:rPr>
          <w:i/>
        </w:rPr>
        <w:t xml:space="preserve">relationship </w:t>
      </w:r>
      <w:r w:rsidR="00AA7376">
        <w:rPr>
          <w:i/>
        </w:rPr>
        <w:t xml:space="preserve">between </w:t>
      </w:r>
      <w:r w:rsidRPr="00CC6417">
        <w:rPr>
          <w:i/>
        </w:rPr>
        <w:t xml:space="preserve">TLP </w:t>
      </w:r>
      <w:r w:rsidR="00AA7376">
        <w:rPr>
          <w:i/>
        </w:rPr>
        <w:t>participation and</w:t>
      </w:r>
      <w:r w:rsidRPr="00CC6417">
        <w:rPr>
          <w:i/>
        </w:rPr>
        <w:t xml:space="preserve"> social and emotional well-being?</w:t>
      </w:r>
    </w:p>
    <w:p w14:paraId="51B25C40" w14:textId="36EAD32D" w:rsidR="00C15860" w:rsidRDefault="00ED23F7" w:rsidP="00ED23F7">
      <w:pPr>
        <w:pStyle w:val="BodyText"/>
        <w:numPr>
          <w:ilvl w:val="1"/>
          <w:numId w:val="19"/>
        </w:numPr>
        <w:spacing w:after="0" w:line="264" w:lineRule="auto"/>
      </w:pPr>
      <w:r>
        <w:t>For example, d</w:t>
      </w:r>
      <w:r w:rsidR="00C15860">
        <w:t xml:space="preserve">o youth who participate in the TLP have improved social and emotional well-being (e.g., fewer symptoms of depression, higher levels of self-efficacy) 6 months </w:t>
      </w:r>
      <w:r>
        <w:t xml:space="preserve">and/or 12 months </w:t>
      </w:r>
      <w:r w:rsidR="00C15860">
        <w:t>after program enrollment relative to baseline?</w:t>
      </w:r>
    </w:p>
    <w:p w14:paraId="3E86266F" w14:textId="77777777" w:rsidR="00D63C6A" w:rsidRDefault="00D63C6A" w:rsidP="00D63C6A">
      <w:pPr>
        <w:pStyle w:val="BodyText"/>
        <w:spacing w:after="0" w:line="264" w:lineRule="auto"/>
        <w:ind w:left="1440"/>
      </w:pPr>
    </w:p>
    <w:p w14:paraId="3B7D375B" w14:textId="0BE185D3" w:rsidR="00C15860" w:rsidRPr="00F23E43" w:rsidRDefault="00C15860" w:rsidP="00ED23F7">
      <w:pPr>
        <w:pStyle w:val="BodyText"/>
        <w:numPr>
          <w:ilvl w:val="0"/>
          <w:numId w:val="19"/>
        </w:numPr>
        <w:spacing w:after="0" w:line="264" w:lineRule="auto"/>
        <w:rPr>
          <w:i/>
        </w:rPr>
      </w:pPr>
      <w:r w:rsidRPr="00F23E43">
        <w:rPr>
          <w:i/>
        </w:rPr>
        <w:t xml:space="preserve">What is the </w:t>
      </w:r>
      <w:r w:rsidR="00ED23F7" w:rsidRPr="00ED23F7">
        <w:rPr>
          <w:i/>
        </w:rPr>
        <w:t xml:space="preserve">relationship </w:t>
      </w:r>
      <w:r w:rsidR="00AA7376">
        <w:rPr>
          <w:i/>
        </w:rPr>
        <w:t xml:space="preserve">between </w:t>
      </w:r>
      <w:r w:rsidRPr="00F23E43">
        <w:rPr>
          <w:i/>
        </w:rPr>
        <w:t xml:space="preserve">TLP </w:t>
      </w:r>
      <w:r w:rsidR="00AA7376">
        <w:rPr>
          <w:i/>
        </w:rPr>
        <w:t>participation and</w:t>
      </w:r>
      <w:r w:rsidR="00AA7376" w:rsidRPr="00CC6417">
        <w:rPr>
          <w:i/>
        </w:rPr>
        <w:t xml:space="preserve"> </w:t>
      </w:r>
      <w:r>
        <w:rPr>
          <w:i/>
        </w:rPr>
        <w:t>employment or education</w:t>
      </w:r>
      <w:r w:rsidRPr="00F23E43">
        <w:rPr>
          <w:i/>
        </w:rPr>
        <w:t>?</w:t>
      </w:r>
    </w:p>
    <w:p w14:paraId="4DC17F64" w14:textId="65D7A5AC" w:rsidR="00C15860" w:rsidRDefault="00ED23F7" w:rsidP="00ED23F7">
      <w:pPr>
        <w:pStyle w:val="BodyText"/>
        <w:numPr>
          <w:ilvl w:val="1"/>
          <w:numId w:val="19"/>
        </w:numPr>
        <w:spacing w:after="0" w:line="264" w:lineRule="auto"/>
      </w:pPr>
      <w:r>
        <w:t>For example, d</w:t>
      </w:r>
      <w:r w:rsidR="00C15860">
        <w:t xml:space="preserve">o youth who participate in the TLP have higher levels of </w:t>
      </w:r>
      <w:r w:rsidR="00C15860" w:rsidRPr="00B11392">
        <w:t xml:space="preserve">employment or education </w:t>
      </w:r>
      <w:r w:rsidR="00C15860">
        <w:t xml:space="preserve">6 months </w:t>
      </w:r>
      <w:r>
        <w:t xml:space="preserve">and/or 12 months </w:t>
      </w:r>
      <w:r w:rsidR="00C15860">
        <w:t>after program enrollment relative to baseline?</w:t>
      </w:r>
    </w:p>
    <w:p w14:paraId="3E5BDB87" w14:textId="77777777" w:rsidR="00C15860" w:rsidRDefault="00C15860" w:rsidP="00C15860">
      <w:pPr>
        <w:pStyle w:val="BodyText"/>
        <w:spacing w:line="264" w:lineRule="auto"/>
      </w:pPr>
    </w:p>
    <w:p w14:paraId="6501975E" w14:textId="77777777" w:rsidR="00C15860" w:rsidRDefault="00C15860" w:rsidP="00ED23F7">
      <w:pPr>
        <w:pStyle w:val="BodyText"/>
        <w:spacing w:line="264" w:lineRule="auto"/>
      </w:pPr>
      <w:r>
        <w:t>In addition, the evaluation will address service receipt by answering the question:</w:t>
      </w:r>
    </w:p>
    <w:p w14:paraId="0918DC60" w14:textId="60D2D91D" w:rsidR="00C15860" w:rsidRDefault="00C15860" w:rsidP="00C15860">
      <w:pPr>
        <w:pStyle w:val="BodyText"/>
        <w:numPr>
          <w:ilvl w:val="0"/>
          <w:numId w:val="20"/>
        </w:numPr>
        <w:spacing w:after="0" w:line="264" w:lineRule="auto"/>
        <w:rPr>
          <w:i/>
        </w:rPr>
      </w:pPr>
      <w:r w:rsidRPr="00F23E43">
        <w:rPr>
          <w:i/>
        </w:rPr>
        <w:t xml:space="preserve">What types of services </w:t>
      </w:r>
      <w:r w:rsidR="00AA7376">
        <w:rPr>
          <w:i/>
        </w:rPr>
        <w:t xml:space="preserve">are </w:t>
      </w:r>
      <w:r w:rsidR="00ED23F7">
        <w:rPr>
          <w:i/>
        </w:rPr>
        <w:t>related to</w:t>
      </w:r>
      <w:r w:rsidR="00AA7376">
        <w:rPr>
          <w:i/>
        </w:rPr>
        <w:t xml:space="preserve"> </w:t>
      </w:r>
      <w:r w:rsidRPr="00F23E43">
        <w:rPr>
          <w:i/>
        </w:rPr>
        <w:t xml:space="preserve">TLP </w:t>
      </w:r>
      <w:r w:rsidR="00AA7376">
        <w:rPr>
          <w:i/>
        </w:rPr>
        <w:t>participation</w:t>
      </w:r>
      <w:r w:rsidRPr="00F23E43">
        <w:rPr>
          <w:i/>
        </w:rPr>
        <w:t>?</w:t>
      </w:r>
    </w:p>
    <w:p w14:paraId="19CAFF95" w14:textId="1DE57FF4" w:rsidR="00C15860" w:rsidRDefault="00C15860" w:rsidP="00C15860">
      <w:pPr>
        <w:pStyle w:val="BodyText"/>
        <w:numPr>
          <w:ilvl w:val="1"/>
          <w:numId w:val="20"/>
        </w:numPr>
        <w:spacing w:after="0" w:line="264" w:lineRule="auto"/>
      </w:pPr>
      <w:r w:rsidRPr="003E3EB8">
        <w:t xml:space="preserve">What types of services do youth who participate in the TLP receive in the 6 months </w:t>
      </w:r>
      <w:r w:rsidR="00ED23F7">
        <w:t xml:space="preserve">and/or 12 months </w:t>
      </w:r>
      <w:r>
        <w:t xml:space="preserve">after program enrollment? </w:t>
      </w:r>
    </w:p>
    <w:p w14:paraId="1F20FFDC" w14:textId="77777777" w:rsidR="00A44209" w:rsidRPr="00EB0D7F" w:rsidRDefault="00A44209" w:rsidP="00EB0D7F">
      <w:pPr>
        <w:pStyle w:val="Heading4"/>
        <w:rPr>
          <w:rFonts w:ascii="Times New Roman" w:hAnsi="Times New Roman"/>
          <w:i/>
          <w:iCs/>
          <w:sz w:val="24"/>
        </w:rPr>
      </w:pPr>
      <w:r w:rsidRPr="00EB0D7F">
        <w:rPr>
          <w:rFonts w:ascii="Times New Roman" w:hAnsi="Times New Roman"/>
          <w:i/>
          <w:iCs/>
          <w:sz w:val="24"/>
        </w:rPr>
        <w:t>Study Design</w:t>
      </w:r>
    </w:p>
    <w:p w14:paraId="50044F85" w14:textId="5CA9C674" w:rsidR="00C15860" w:rsidRDefault="00C15860" w:rsidP="00C15860">
      <w:pPr>
        <w:spacing w:after="60"/>
      </w:pPr>
      <w:r>
        <w:t>The Youth Outcomes Study will use a pre</w:t>
      </w:r>
      <w:r w:rsidR="0055637A">
        <w:t>test</w:t>
      </w:r>
      <w:r>
        <w:t>-post</w:t>
      </w:r>
      <w:r w:rsidR="0055637A">
        <w:t>test</w:t>
      </w:r>
      <w:r>
        <w:t xml:space="preserve"> design to measure the </w:t>
      </w:r>
      <w:r w:rsidR="00ED23F7">
        <w:t>relationship</w:t>
      </w:r>
      <w:r w:rsidR="001E4B89">
        <w:t xml:space="preserve"> between</w:t>
      </w:r>
      <w:r>
        <w:t xml:space="preserve"> TLP </w:t>
      </w:r>
      <w:r w:rsidR="001E4B89">
        <w:t xml:space="preserve">participation and </w:t>
      </w:r>
      <w:r>
        <w:t xml:space="preserve">youth outcomes. </w:t>
      </w:r>
      <w:r w:rsidRPr="009B6E18">
        <w:t xml:space="preserve">The </w:t>
      </w:r>
      <w:r w:rsidR="007D4B6F">
        <w:t>relationship</w:t>
      </w:r>
      <w:r w:rsidR="001E4B89">
        <w:t xml:space="preserve"> </w:t>
      </w:r>
      <w:r>
        <w:t xml:space="preserve">will be estimated as the change in outcomes after 6 months (the difference between outcomes measured at enrollment and </w:t>
      </w:r>
      <w:r w:rsidRPr="009B6E18">
        <w:t xml:space="preserve">6 months </w:t>
      </w:r>
      <w:r>
        <w:t>later) and after 12 month (the difference between outcomes measured at enrollment and 12</w:t>
      </w:r>
      <w:r w:rsidRPr="009B6E18">
        <w:t xml:space="preserve"> months </w:t>
      </w:r>
      <w:r>
        <w:t>later)</w:t>
      </w:r>
      <w:r w:rsidRPr="009B6E18">
        <w:t>.</w:t>
      </w:r>
      <w:r>
        <w:t xml:space="preserve"> </w:t>
      </w:r>
      <w:r w:rsidRPr="00097FB1">
        <w:t>In a pre</w:t>
      </w:r>
      <w:r w:rsidR="0055637A">
        <w:t>test</w:t>
      </w:r>
      <w:r w:rsidRPr="00097FB1">
        <w:t>-post</w:t>
      </w:r>
      <w:r w:rsidR="0055637A">
        <w:t>test</w:t>
      </w:r>
      <w:r w:rsidRPr="00097FB1">
        <w:t xml:space="preserve"> design, the pre-condition (prior to TLP</w:t>
      </w:r>
      <w:r w:rsidR="007D4B6F">
        <w:t xml:space="preserve"> participation</w:t>
      </w:r>
      <w:r w:rsidRPr="00097FB1">
        <w:t xml:space="preserve">) can be thought of as being like </w:t>
      </w:r>
      <w:r w:rsidR="007D4B6F">
        <w:t>a</w:t>
      </w:r>
      <w:r w:rsidR="007D4B6F" w:rsidRPr="00097FB1">
        <w:t xml:space="preserve"> </w:t>
      </w:r>
      <w:r w:rsidRPr="00097FB1">
        <w:t xml:space="preserve">control group and the post-condition </w:t>
      </w:r>
      <w:r w:rsidR="007D4B6F" w:rsidRPr="00097FB1">
        <w:t>(</w:t>
      </w:r>
      <w:r w:rsidR="007D4B6F">
        <w:t>6 or 12 months after</w:t>
      </w:r>
      <w:r w:rsidR="007D4B6F" w:rsidRPr="00097FB1">
        <w:t xml:space="preserve"> TLP</w:t>
      </w:r>
      <w:r w:rsidR="007D4B6F">
        <w:t xml:space="preserve"> participation</w:t>
      </w:r>
      <w:r w:rsidR="007D4B6F" w:rsidRPr="00097FB1">
        <w:t xml:space="preserve">) </w:t>
      </w:r>
      <w:r w:rsidRPr="00097FB1">
        <w:t xml:space="preserve">can be thought of as being like the treatment group. </w:t>
      </w:r>
    </w:p>
    <w:p w14:paraId="74664CC4" w14:textId="77777777" w:rsidR="007A49FC" w:rsidRDefault="007A49FC" w:rsidP="00C15860">
      <w:pPr>
        <w:spacing w:after="60"/>
      </w:pPr>
    </w:p>
    <w:p w14:paraId="54B78C4E" w14:textId="08C0D1A3" w:rsidR="00666C1A" w:rsidRDefault="007A49FC" w:rsidP="00666C1A">
      <w:pPr>
        <w:spacing w:after="60"/>
      </w:pPr>
      <w:r w:rsidRPr="002D5A1C">
        <w:rPr>
          <w:szCs w:val="22"/>
        </w:rPr>
        <w:t xml:space="preserve">The research team is in the process of identifying and </w:t>
      </w:r>
      <w:r w:rsidRPr="005B11D0">
        <w:rPr>
          <w:szCs w:val="22"/>
        </w:rPr>
        <w:t xml:space="preserve">recruiting </w:t>
      </w:r>
      <w:r w:rsidR="009A4E94" w:rsidRPr="005B11D0">
        <w:rPr>
          <w:szCs w:val="22"/>
        </w:rPr>
        <w:t>50</w:t>
      </w:r>
      <w:r w:rsidRPr="005B11D0">
        <w:rPr>
          <w:szCs w:val="22"/>
        </w:rPr>
        <w:t xml:space="preserve"> study sites</w:t>
      </w:r>
      <w:r w:rsidRPr="001E4B89">
        <w:rPr>
          <w:szCs w:val="22"/>
        </w:rPr>
        <w:t xml:space="preserve"> </w:t>
      </w:r>
      <w:r>
        <w:rPr>
          <w:szCs w:val="22"/>
        </w:rPr>
        <w:t xml:space="preserve">from among the organizations awarded </w:t>
      </w:r>
      <w:r w:rsidRPr="001E4B89">
        <w:t>TLP grant</w:t>
      </w:r>
      <w:r>
        <w:t xml:space="preserve">s in 2017 </w:t>
      </w:r>
      <w:r w:rsidRPr="001E4B89">
        <w:rPr>
          <w:szCs w:val="22"/>
        </w:rPr>
        <w:t xml:space="preserve">to participate in the Youth Outcomes Study. </w:t>
      </w:r>
      <w:r w:rsidRPr="001E4B89">
        <w:rPr>
          <w:snapToGrid w:val="0"/>
        </w:rPr>
        <w:t xml:space="preserve">Once study sites are recruited, data collection </w:t>
      </w:r>
      <w:r w:rsidRPr="001E4B89">
        <w:t xml:space="preserve">will involve 600 runaway and homeless youth who enroll in the TLP at one of the </w:t>
      </w:r>
      <w:r w:rsidR="009A4E94" w:rsidRPr="00F64BA7">
        <w:t>50</w:t>
      </w:r>
      <w:r w:rsidRPr="00F64BA7">
        <w:t xml:space="preserve"> study sites</w:t>
      </w:r>
      <w:r w:rsidRPr="001E4B89">
        <w:t xml:space="preserve"> and agree to take part in the study. </w:t>
      </w:r>
      <w:r w:rsidR="00C15860">
        <w:t>At the time of program enrollment</w:t>
      </w:r>
      <w:r w:rsidR="00666C1A">
        <w:t xml:space="preserve">, youth </w:t>
      </w:r>
      <w:r w:rsidR="00C15860">
        <w:t>will be invited to participate in the outcomes study</w:t>
      </w:r>
      <w:r w:rsidR="00666C1A">
        <w:t xml:space="preserve"> </w:t>
      </w:r>
      <w:r w:rsidR="00C15860">
        <w:t>and undergo informed consent</w:t>
      </w:r>
      <w:r w:rsidR="00262CBB">
        <w:t xml:space="preserve"> </w:t>
      </w:r>
      <w:r w:rsidR="00262CBB" w:rsidRPr="00EB0D7F">
        <w:t>(or assent with parental consent in the case of minors)</w:t>
      </w:r>
      <w:r w:rsidR="00376E23">
        <w:t>.</w:t>
      </w:r>
      <w:r w:rsidR="00376E23" w:rsidRPr="00376E23">
        <w:t xml:space="preserve"> </w:t>
      </w:r>
      <w:r w:rsidR="00376E23">
        <w:t>(</w:t>
      </w:r>
      <w:r w:rsidR="00376E23" w:rsidRPr="0055637A">
        <w:t xml:space="preserve">See Attachments A and B for </w:t>
      </w:r>
      <w:r w:rsidR="00262CBB">
        <w:t xml:space="preserve">youth and parent </w:t>
      </w:r>
      <w:r w:rsidR="00376E23" w:rsidRPr="0055637A">
        <w:t>study consent forms.) Youth who agree</w:t>
      </w:r>
      <w:r w:rsidR="00666C1A" w:rsidRPr="0055637A">
        <w:t xml:space="preserve"> to participat</w:t>
      </w:r>
      <w:r w:rsidR="005B1747">
        <w:t>e</w:t>
      </w:r>
      <w:r w:rsidR="00666C1A" w:rsidRPr="0055637A">
        <w:t xml:space="preserve"> will be asked to complete three surveys</w:t>
      </w:r>
      <w:r w:rsidR="00376E23" w:rsidRPr="0055637A">
        <w:t>: at baseline (</w:t>
      </w:r>
      <w:r w:rsidR="00666C1A" w:rsidRPr="0055637A">
        <w:t>upon program enrollment</w:t>
      </w:r>
      <w:r w:rsidR="00376E23" w:rsidRPr="0055637A">
        <w:t xml:space="preserve"> and study consent), </w:t>
      </w:r>
      <w:r w:rsidR="00666C1A" w:rsidRPr="0055637A">
        <w:t>6 months after program enrollment, and 12 months after program enrollment.</w:t>
      </w:r>
      <w:r w:rsidR="00C15860" w:rsidRPr="0055637A">
        <w:t xml:space="preserve"> </w:t>
      </w:r>
      <w:r w:rsidR="006D0298" w:rsidRPr="0055637A">
        <w:t>(See Attachments C and D</w:t>
      </w:r>
      <w:r w:rsidR="006D0298">
        <w:t xml:space="preserve"> for the survey instruments.)</w:t>
      </w:r>
    </w:p>
    <w:p w14:paraId="04964392" w14:textId="77777777" w:rsidR="00376E23" w:rsidRDefault="00376E23" w:rsidP="00666C1A">
      <w:pPr>
        <w:spacing w:after="60"/>
      </w:pPr>
    </w:p>
    <w:p w14:paraId="52F09821" w14:textId="3D0F53DE" w:rsidR="00D94C77" w:rsidRDefault="00666C1A" w:rsidP="00666C1A">
      <w:pPr>
        <w:spacing w:after="60"/>
      </w:pPr>
      <w:r>
        <w:t xml:space="preserve">The mode of data collection is consistent across all sites and all </w:t>
      </w:r>
      <w:r w:rsidR="00376E23">
        <w:t xml:space="preserve">data </w:t>
      </w:r>
      <w:r>
        <w:t xml:space="preserve">collection time points. </w:t>
      </w:r>
      <w:r w:rsidR="00376E23">
        <w:t>For privacy and data security reasons</w:t>
      </w:r>
      <w:r w:rsidR="00C15860">
        <w:t xml:space="preserve">, all surveys will be </w:t>
      </w:r>
      <w:r>
        <w:t xml:space="preserve">self-administered by youth </w:t>
      </w:r>
      <w:r w:rsidR="00376E23">
        <w:t xml:space="preserve">and </w:t>
      </w:r>
      <w:r w:rsidR="00C15860">
        <w:t xml:space="preserve">collected </w:t>
      </w:r>
      <w:r w:rsidR="00D63C6A">
        <w:t xml:space="preserve">via </w:t>
      </w:r>
      <w:r w:rsidR="00394140">
        <w:t xml:space="preserve">a </w:t>
      </w:r>
      <w:r w:rsidR="00C15860" w:rsidRPr="00CD59DB">
        <w:t xml:space="preserve">secure web-based </w:t>
      </w:r>
      <w:r>
        <w:t>platform</w:t>
      </w:r>
      <w:r w:rsidR="00376E23">
        <w:t xml:space="preserve"> accessible from any Internet-enabled computer (desktop, laptop, tablet, or other such device)</w:t>
      </w:r>
      <w:r w:rsidR="00C15860">
        <w:t xml:space="preserve">. The survey will be available in English and Spanish and will allow youth to select their preferred language. </w:t>
      </w:r>
    </w:p>
    <w:p w14:paraId="4E15D1E5" w14:textId="77777777" w:rsidR="00984CA2" w:rsidRPr="00EB0D7F" w:rsidRDefault="00984CA2" w:rsidP="00EB0D7F">
      <w:pPr>
        <w:pStyle w:val="Heading4"/>
        <w:rPr>
          <w:rFonts w:ascii="Times New Roman" w:hAnsi="Times New Roman"/>
          <w:i/>
          <w:iCs/>
          <w:sz w:val="24"/>
        </w:rPr>
      </w:pPr>
      <w:r w:rsidRPr="00EB0D7F">
        <w:rPr>
          <w:rFonts w:ascii="Times New Roman" w:hAnsi="Times New Roman"/>
          <w:i/>
          <w:iCs/>
          <w:sz w:val="24"/>
        </w:rPr>
        <w:t>Universe of Data Collection Efforts</w:t>
      </w:r>
    </w:p>
    <w:p w14:paraId="53CA4A8B" w14:textId="18794929" w:rsidR="00C15860" w:rsidRPr="005E0C1F" w:rsidRDefault="00C15860" w:rsidP="00EB0D7F">
      <w:pPr>
        <w:autoSpaceDE w:val="0"/>
        <w:autoSpaceDN w:val="0"/>
        <w:adjustRightInd w:val="0"/>
        <w:rPr>
          <w:b/>
        </w:rPr>
      </w:pPr>
      <w:r w:rsidRPr="0090069F">
        <w:rPr>
          <w:snapToGrid w:val="0"/>
        </w:rPr>
        <w:t xml:space="preserve">The proposed collection </w:t>
      </w:r>
      <w:r>
        <w:rPr>
          <w:snapToGrid w:val="0"/>
        </w:rPr>
        <w:t xml:space="preserve">for the </w:t>
      </w:r>
      <w:r w:rsidR="006B01DA">
        <w:rPr>
          <w:snapToGrid w:val="0"/>
        </w:rPr>
        <w:t xml:space="preserve">Youth Outcomes Study </w:t>
      </w:r>
      <w:r w:rsidRPr="0090069F">
        <w:rPr>
          <w:snapToGrid w:val="0"/>
        </w:rPr>
        <w:t xml:space="preserve">is </w:t>
      </w:r>
      <w:r>
        <w:rPr>
          <w:snapToGrid w:val="0"/>
        </w:rPr>
        <w:t>being carried out through a</w:t>
      </w:r>
      <w:r w:rsidRPr="00082EF6">
        <w:rPr>
          <w:snapToGrid w:val="0"/>
        </w:rPr>
        <w:t xml:space="preserve"> set of surveys administered to </w:t>
      </w:r>
      <w:r w:rsidR="006D0298">
        <w:rPr>
          <w:snapToGrid w:val="0"/>
        </w:rPr>
        <w:t xml:space="preserve">youth, ages 16-21 at baseline, who are </w:t>
      </w:r>
      <w:r>
        <w:rPr>
          <w:snapToGrid w:val="0"/>
        </w:rPr>
        <w:t xml:space="preserve">homeless </w:t>
      </w:r>
      <w:r w:rsidR="006D0298">
        <w:rPr>
          <w:snapToGrid w:val="0"/>
        </w:rPr>
        <w:t>and</w:t>
      </w:r>
      <w:r>
        <w:rPr>
          <w:snapToGrid w:val="0"/>
        </w:rPr>
        <w:t xml:space="preserve"> enroll in the TLP</w:t>
      </w:r>
      <w:r w:rsidR="0019244E">
        <w:rPr>
          <w:snapToGrid w:val="0"/>
        </w:rPr>
        <w:t xml:space="preserve"> at one of </w:t>
      </w:r>
      <w:r w:rsidR="009A4E94" w:rsidRPr="00F64BA7">
        <w:t>50</w:t>
      </w:r>
      <w:r w:rsidR="0019244E" w:rsidRPr="00F64BA7">
        <w:t xml:space="preserve"> </w:t>
      </w:r>
      <w:r w:rsidR="0019244E" w:rsidRPr="00F64BA7">
        <w:rPr>
          <w:snapToGrid w:val="0"/>
        </w:rPr>
        <w:t>study</w:t>
      </w:r>
      <w:r w:rsidR="0019244E" w:rsidRPr="00F64BA7">
        <w:t xml:space="preserve"> sites</w:t>
      </w:r>
      <w:r w:rsidR="0019244E">
        <w:rPr>
          <w:snapToGrid w:val="0"/>
        </w:rPr>
        <w:t xml:space="preserve"> across the U.S.</w:t>
      </w:r>
      <w:r>
        <w:rPr>
          <w:snapToGrid w:val="0"/>
        </w:rPr>
        <w:t xml:space="preserve"> The </w:t>
      </w:r>
      <w:r w:rsidR="0019244E">
        <w:rPr>
          <w:snapToGrid w:val="0"/>
        </w:rPr>
        <w:t xml:space="preserve">previously approved survey instruments are presented in </w:t>
      </w:r>
      <w:r w:rsidR="0019244E" w:rsidRPr="0019244E">
        <w:rPr>
          <w:snapToGrid w:val="0"/>
        </w:rPr>
        <w:t xml:space="preserve">Exhibit </w:t>
      </w:r>
      <w:r w:rsidR="0019244E">
        <w:rPr>
          <w:snapToGrid w:val="0"/>
        </w:rPr>
        <w:t xml:space="preserve">A.2.1. </w:t>
      </w:r>
    </w:p>
    <w:p w14:paraId="52041DDB" w14:textId="77777777" w:rsidR="00C15860" w:rsidRDefault="00C15860" w:rsidP="00C15860">
      <w:pPr>
        <w:autoSpaceDE w:val="0"/>
        <w:autoSpaceDN w:val="0"/>
        <w:adjustRightInd w:val="0"/>
        <w:rPr>
          <w:snapToGrid w:val="0"/>
        </w:rPr>
      </w:pPr>
    </w:p>
    <w:p w14:paraId="02FA4962" w14:textId="77777777" w:rsidR="00C15860" w:rsidRPr="00F83FFA" w:rsidRDefault="00C15860" w:rsidP="00C15860">
      <w:pPr>
        <w:rPr>
          <w:b/>
        </w:rPr>
      </w:pPr>
      <w:r w:rsidRPr="00F83FFA">
        <w:rPr>
          <w:b/>
        </w:rPr>
        <w:t>Exhibit A.2.1 Overview of Data Collection from Youth</w:t>
      </w:r>
    </w:p>
    <w:tbl>
      <w:tblPr>
        <w:tblW w:w="8912" w:type="dxa"/>
        <w:tblBorders>
          <w:top w:val="single" w:sz="12" w:space="0" w:color="000000"/>
          <w:bottom w:val="single" w:sz="12" w:space="0" w:color="000000"/>
        </w:tblBorders>
        <w:tblLayout w:type="fixed"/>
        <w:tblLook w:val="04A0" w:firstRow="1" w:lastRow="0" w:firstColumn="1" w:lastColumn="0" w:noHBand="0" w:noVBand="1"/>
      </w:tblPr>
      <w:tblGrid>
        <w:gridCol w:w="236"/>
        <w:gridCol w:w="2106"/>
        <w:gridCol w:w="1872"/>
        <w:gridCol w:w="3168"/>
        <w:gridCol w:w="1530"/>
      </w:tblGrid>
      <w:tr w:rsidR="00C15860" w14:paraId="550F1F72" w14:textId="77777777" w:rsidTr="004A7F26">
        <w:tc>
          <w:tcPr>
            <w:tcW w:w="236" w:type="dxa"/>
            <w:tcBorders>
              <w:bottom w:val="single" w:sz="6" w:space="0" w:color="000000"/>
              <w:right w:val="single" w:sz="6" w:space="0" w:color="000000"/>
            </w:tcBorders>
          </w:tcPr>
          <w:p w14:paraId="56DDDA84" w14:textId="77777777" w:rsidR="00C15860" w:rsidRPr="002F3B41" w:rsidRDefault="00C15860" w:rsidP="004A7F26">
            <w:pPr>
              <w:rPr>
                <w:b/>
                <w:i/>
                <w:iCs/>
                <w:sz w:val="20"/>
                <w:szCs w:val="20"/>
              </w:rPr>
            </w:pPr>
          </w:p>
        </w:tc>
        <w:tc>
          <w:tcPr>
            <w:tcW w:w="2106" w:type="dxa"/>
            <w:tcBorders>
              <w:bottom w:val="single" w:sz="6" w:space="0" w:color="000000"/>
              <w:right w:val="single" w:sz="6" w:space="0" w:color="000000"/>
            </w:tcBorders>
            <w:shd w:val="clear" w:color="auto" w:fill="auto"/>
            <w:vAlign w:val="center"/>
          </w:tcPr>
          <w:p w14:paraId="1814D05A" w14:textId="77777777" w:rsidR="00C15860" w:rsidRPr="002F3B41" w:rsidRDefault="00C15860" w:rsidP="004A7F26">
            <w:pPr>
              <w:rPr>
                <w:b/>
                <w:i/>
                <w:iCs/>
                <w:sz w:val="20"/>
                <w:szCs w:val="20"/>
              </w:rPr>
            </w:pPr>
            <w:r>
              <w:rPr>
                <w:b/>
                <w:i/>
                <w:iCs/>
                <w:sz w:val="20"/>
                <w:szCs w:val="20"/>
              </w:rPr>
              <w:t>Instrument</w:t>
            </w:r>
          </w:p>
        </w:tc>
        <w:tc>
          <w:tcPr>
            <w:tcW w:w="1872" w:type="dxa"/>
            <w:tcBorders>
              <w:bottom w:val="single" w:sz="6" w:space="0" w:color="000000"/>
            </w:tcBorders>
            <w:shd w:val="clear" w:color="auto" w:fill="auto"/>
            <w:vAlign w:val="center"/>
          </w:tcPr>
          <w:p w14:paraId="7189C15E" w14:textId="77777777" w:rsidR="00C15860" w:rsidRPr="002F3B41" w:rsidRDefault="00C15860" w:rsidP="004A7F26">
            <w:pPr>
              <w:rPr>
                <w:b/>
                <w:i/>
                <w:iCs/>
                <w:sz w:val="20"/>
                <w:szCs w:val="20"/>
              </w:rPr>
            </w:pPr>
            <w:r w:rsidRPr="002F3B41">
              <w:rPr>
                <w:b/>
                <w:i/>
                <w:iCs/>
                <w:sz w:val="20"/>
                <w:szCs w:val="20"/>
              </w:rPr>
              <w:t>Timing</w:t>
            </w:r>
          </w:p>
        </w:tc>
        <w:tc>
          <w:tcPr>
            <w:tcW w:w="3168" w:type="dxa"/>
            <w:tcBorders>
              <w:bottom w:val="single" w:sz="6" w:space="0" w:color="000000"/>
            </w:tcBorders>
            <w:shd w:val="clear" w:color="auto" w:fill="auto"/>
            <w:vAlign w:val="center"/>
          </w:tcPr>
          <w:p w14:paraId="4CCC2796" w14:textId="77777777" w:rsidR="00C15860" w:rsidRPr="002F3B41" w:rsidRDefault="00C15860" w:rsidP="004A7F26">
            <w:pPr>
              <w:rPr>
                <w:b/>
                <w:i/>
                <w:iCs/>
                <w:sz w:val="20"/>
                <w:szCs w:val="20"/>
              </w:rPr>
            </w:pPr>
            <w:r w:rsidRPr="002F3B41">
              <w:rPr>
                <w:b/>
                <w:i/>
                <w:iCs/>
                <w:sz w:val="20"/>
                <w:szCs w:val="20"/>
              </w:rPr>
              <w:t>Purpose</w:t>
            </w:r>
          </w:p>
        </w:tc>
        <w:tc>
          <w:tcPr>
            <w:tcW w:w="1530" w:type="dxa"/>
            <w:tcBorders>
              <w:bottom w:val="single" w:sz="6" w:space="0" w:color="000000"/>
            </w:tcBorders>
            <w:shd w:val="clear" w:color="auto" w:fill="auto"/>
            <w:vAlign w:val="center"/>
          </w:tcPr>
          <w:p w14:paraId="4F1789D2" w14:textId="77777777" w:rsidR="00C15860" w:rsidRPr="002F3B41" w:rsidRDefault="00C15860" w:rsidP="004A7F26">
            <w:pPr>
              <w:rPr>
                <w:b/>
                <w:i/>
                <w:iCs/>
                <w:sz w:val="20"/>
                <w:szCs w:val="20"/>
              </w:rPr>
            </w:pPr>
            <w:r w:rsidRPr="002F3B41">
              <w:rPr>
                <w:b/>
                <w:i/>
                <w:iCs/>
                <w:sz w:val="20"/>
                <w:szCs w:val="20"/>
              </w:rPr>
              <w:t>Estimated Length</w:t>
            </w:r>
          </w:p>
        </w:tc>
      </w:tr>
      <w:tr w:rsidR="00C15860" w14:paraId="5981D581" w14:textId="77777777" w:rsidTr="004A7F26">
        <w:tc>
          <w:tcPr>
            <w:tcW w:w="236" w:type="dxa"/>
            <w:tcBorders>
              <w:right w:val="single" w:sz="6" w:space="0" w:color="000000"/>
            </w:tcBorders>
          </w:tcPr>
          <w:p w14:paraId="4036304E" w14:textId="77777777" w:rsidR="00C15860" w:rsidRPr="002F3B41" w:rsidRDefault="00C15860" w:rsidP="004A7F26">
            <w:pPr>
              <w:rPr>
                <w:sz w:val="20"/>
                <w:szCs w:val="20"/>
              </w:rPr>
            </w:pPr>
            <w:r>
              <w:rPr>
                <w:sz w:val="20"/>
                <w:szCs w:val="20"/>
              </w:rPr>
              <w:t>1</w:t>
            </w:r>
          </w:p>
        </w:tc>
        <w:tc>
          <w:tcPr>
            <w:tcW w:w="2106" w:type="dxa"/>
            <w:tcBorders>
              <w:right w:val="single" w:sz="6" w:space="0" w:color="000000"/>
            </w:tcBorders>
            <w:shd w:val="clear" w:color="auto" w:fill="auto"/>
          </w:tcPr>
          <w:p w14:paraId="79E7FCA5" w14:textId="77777777" w:rsidR="00C15860" w:rsidRPr="002F3B41" w:rsidRDefault="00C15860" w:rsidP="004A7F26">
            <w:pPr>
              <w:rPr>
                <w:sz w:val="20"/>
                <w:szCs w:val="20"/>
              </w:rPr>
            </w:pPr>
            <w:r>
              <w:rPr>
                <w:sz w:val="20"/>
                <w:szCs w:val="20"/>
              </w:rPr>
              <w:t xml:space="preserve">Young Adult </w:t>
            </w:r>
            <w:r w:rsidRPr="002F3B41">
              <w:rPr>
                <w:sz w:val="20"/>
                <w:szCs w:val="20"/>
              </w:rPr>
              <w:t>Baseline</w:t>
            </w:r>
            <w:r>
              <w:rPr>
                <w:sz w:val="20"/>
                <w:szCs w:val="20"/>
              </w:rPr>
              <w:t xml:space="preserve"> Survey</w:t>
            </w:r>
          </w:p>
        </w:tc>
        <w:tc>
          <w:tcPr>
            <w:tcW w:w="1872" w:type="dxa"/>
            <w:shd w:val="clear" w:color="auto" w:fill="auto"/>
          </w:tcPr>
          <w:p w14:paraId="53D43DC0" w14:textId="77777777" w:rsidR="00C15860" w:rsidRPr="002F3B41" w:rsidRDefault="00C15860" w:rsidP="004A7F26">
            <w:pPr>
              <w:rPr>
                <w:sz w:val="20"/>
                <w:szCs w:val="20"/>
              </w:rPr>
            </w:pPr>
            <w:r>
              <w:rPr>
                <w:sz w:val="20"/>
                <w:szCs w:val="20"/>
              </w:rPr>
              <w:t>At the time of enrollment</w:t>
            </w:r>
          </w:p>
        </w:tc>
        <w:tc>
          <w:tcPr>
            <w:tcW w:w="3168" w:type="dxa"/>
            <w:shd w:val="clear" w:color="auto" w:fill="auto"/>
          </w:tcPr>
          <w:p w14:paraId="1051D9AD" w14:textId="77777777" w:rsidR="00C15860" w:rsidRPr="002F3B41" w:rsidRDefault="00C15860" w:rsidP="004A7F26">
            <w:pPr>
              <w:rPr>
                <w:sz w:val="20"/>
                <w:szCs w:val="20"/>
              </w:rPr>
            </w:pPr>
            <w:r w:rsidRPr="002F3B41">
              <w:rPr>
                <w:sz w:val="20"/>
                <w:szCs w:val="20"/>
              </w:rPr>
              <w:t>Measure background characteristics, initial status on outcomes</w:t>
            </w:r>
            <w:r>
              <w:rPr>
                <w:sz w:val="20"/>
                <w:szCs w:val="20"/>
              </w:rPr>
              <w:t>, gather contact information</w:t>
            </w:r>
          </w:p>
        </w:tc>
        <w:tc>
          <w:tcPr>
            <w:tcW w:w="1530" w:type="dxa"/>
            <w:shd w:val="clear" w:color="auto" w:fill="auto"/>
          </w:tcPr>
          <w:p w14:paraId="2F187D0B" w14:textId="77777777" w:rsidR="00C15860" w:rsidRPr="002F3B41" w:rsidRDefault="00C15860" w:rsidP="004A7F26">
            <w:pPr>
              <w:rPr>
                <w:sz w:val="20"/>
                <w:szCs w:val="20"/>
              </w:rPr>
            </w:pPr>
            <w:r>
              <w:rPr>
                <w:sz w:val="20"/>
                <w:szCs w:val="20"/>
              </w:rPr>
              <w:t>0.62 hours</w:t>
            </w:r>
          </w:p>
        </w:tc>
      </w:tr>
      <w:tr w:rsidR="00C15860" w14:paraId="6AF4FD4B" w14:textId="77777777" w:rsidTr="004A7F26">
        <w:tc>
          <w:tcPr>
            <w:tcW w:w="236" w:type="dxa"/>
            <w:tcBorders>
              <w:right w:val="single" w:sz="6" w:space="0" w:color="000000"/>
            </w:tcBorders>
          </w:tcPr>
          <w:p w14:paraId="64E88CC7" w14:textId="77777777" w:rsidR="00C15860" w:rsidRPr="002F3B41" w:rsidRDefault="00C15860" w:rsidP="004A7F26">
            <w:pPr>
              <w:rPr>
                <w:sz w:val="20"/>
                <w:szCs w:val="20"/>
              </w:rPr>
            </w:pPr>
            <w:r>
              <w:rPr>
                <w:sz w:val="20"/>
                <w:szCs w:val="20"/>
              </w:rPr>
              <w:t>2</w:t>
            </w:r>
          </w:p>
        </w:tc>
        <w:tc>
          <w:tcPr>
            <w:tcW w:w="2106" w:type="dxa"/>
            <w:tcBorders>
              <w:right w:val="single" w:sz="6" w:space="0" w:color="000000"/>
            </w:tcBorders>
            <w:shd w:val="clear" w:color="auto" w:fill="auto"/>
          </w:tcPr>
          <w:p w14:paraId="486DA31B" w14:textId="77777777" w:rsidR="00C15860" w:rsidRPr="002F3B41" w:rsidRDefault="00C15860" w:rsidP="004A7F26">
            <w:pPr>
              <w:rPr>
                <w:sz w:val="20"/>
                <w:szCs w:val="20"/>
              </w:rPr>
            </w:pPr>
            <w:r>
              <w:rPr>
                <w:sz w:val="20"/>
                <w:szCs w:val="20"/>
              </w:rPr>
              <w:t xml:space="preserve">Young Adult </w:t>
            </w:r>
            <w:r w:rsidRPr="002F3B41">
              <w:rPr>
                <w:sz w:val="20"/>
                <w:szCs w:val="20"/>
              </w:rPr>
              <w:t xml:space="preserve">6-Month </w:t>
            </w:r>
            <w:r>
              <w:rPr>
                <w:sz w:val="20"/>
                <w:szCs w:val="20"/>
              </w:rPr>
              <w:t>Outcomes Survey</w:t>
            </w:r>
          </w:p>
        </w:tc>
        <w:tc>
          <w:tcPr>
            <w:tcW w:w="1872" w:type="dxa"/>
            <w:shd w:val="clear" w:color="auto" w:fill="auto"/>
          </w:tcPr>
          <w:p w14:paraId="31172378" w14:textId="77777777" w:rsidR="00C15860" w:rsidRPr="002F3B41" w:rsidRDefault="00C15860" w:rsidP="004A7F26">
            <w:pPr>
              <w:rPr>
                <w:sz w:val="20"/>
                <w:szCs w:val="20"/>
              </w:rPr>
            </w:pPr>
            <w:r w:rsidRPr="002F3B41">
              <w:rPr>
                <w:sz w:val="20"/>
                <w:szCs w:val="20"/>
              </w:rPr>
              <w:t xml:space="preserve">6 months after </w:t>
            </w:r>
            <w:r>
              <w:rPr>
                <w:sz w:val="20"/>
                <w:szCs w:val="20"/>
              </w:rPr>
              <w:t>baseline</w:t>
            </w:r>
          </w:p>
        </w:tc>
        <w:tc>
          <w:tcPr>
            <w:tcW w:w="3168" w:type="dxa"/>
            <w:shd w:val="clear" w:color="auto" w:fill="auto"/>
          </w:tcPr>
          <w:p w14:paraId="5FB87235" w14:textId="77777777" w:rsidR="00C15860" w:rsidRPr="002F3B41" w:rsidRDefault="00C15860" w:rsidP="004A7F26">
            <w:pPr>
              <w:rPr>
                <w:sz w:val="20"/>
                <w:szCs w:val="20"/>
              </w:rPr>
            </w:pPr>
            <w:r w:rsidRPr="002F3B41">
              <w:rPr>
                <w:sz w:val="20"/>
                <w:szCs w:val="20"/>
              </w:rPr>
              <w:t>Measure full set of outcomes</w:t>
            </w:r>
          </w:p>
        </w:tc>
        <w:tc>
          <w:tcPr>
            <w:tcW w:w="1530" w:type="dxa"/>
            <w:shd w:val="clear" w:color="auto" w:fill="auto"/>
          </w:tcPr>
          <w:p w14:paraId="42023D43" w14:textId="77777777" w:rsidR="00C15860" w:rsidRPr="002F3B41" w:rsidRDefault="00C15860" w:rsidP="004A7F26">
            <w:pPr>
              <w:rPr>
                <w:sz w:val="20"/>
                <w:szCs w:val="20"/>
              </w:rPr>
            </w:pPr>
            <w:r>
              <w:rPr>
                <w:sz w:val="20"/>
                <w:szCs w:val="20"/>
              </w:rPr>
              <w:t>0.61 hours</w:t>
            </w:r>
          </w:p>
        </w:tc>
      </w:tr>
      <w:tr w:rsidR="00C15860" w14:paraId="596F3FBB" w14:textId="77777777" w:rsidTr="004A7F26">
        <w:tc>
          <w:tcPr>
            <w:tcW w:w="236" w:type="dxa"/>
            <w:tcBorders>
              <w:right w:val="single" w:sz="6" w:space="0" w:color="000000"/>
            </w:tcBorders>
          </w:tcPr>
          <w:p w14:paraId="53A60ACD" w14:textId="77777777" w:rsidR="00C15860" w:rsidRPr="002F3B41" w:rsidRDefault="00C15860" w:rsidP="004A7F26">
            <w:pPr>
              <w:rPr>
                <w:sz w:val="20"/>
                <w:szCs w:val="20"/>
              </w:rPr>
            </w:pPr>
            <w:r>
              <w:rPr>
                <w:sz w:val="20"/>
                <w:szCs w:val="20"/>
              </w:rPr>
              <w:t>3</w:t>
            </w:r>
          </w:p>
        </w:tc>
        <w:tc>
          <w:tcPr>
            <w:tcW w:w="2106" w:type="dxa"/>
            <w:tcBorders>
              <w:right w:val="single" w:sz="6" w:space="0" w:color="000000"/>
            </w:tcBorders>
            <w:shd w:val="clear" w:color="auto" w:fill="auto"/>
          </w:tcPr>
          <w:p w14:paraId="23F92B53" w14:textId="77777777" w:rsidR="00C15860" w:rsidRPr="002F3B41" w:rsidRDefault="00C15860" w:rsidP="004A7F26">
            <w:pPr>
              <w:rPr>
                <w:sz w:val="20"/>
                <w:szCs w:val="20"/>
              </w:rPr>
            </w:pPr>
            <w:r>
              <w:rPr>
                <w:sz w:val="20"/>
                <w:szCs w:val="20"/>
              </w:rPr>
              <w:t xml:space="preserve">Young Adult </w:t>
            </w:r>
            <w:r w:rsidRPr="002F3B41">
              <w:rPr>
                <w:sz w:val="20"/>
                <w:szCs w:val="20"/>
              </w:rPr>
              <w:t xml:space="preserve">12-Month Follow-up </w:t>
            </w:r>
            <w:r>
              <w:rPr>
                <w:sz w:val="20"/>
                <w:szCs w:val="20"/>
              </w:rPr>
              <w:t>Survey</w:t>
            </w:r>
          </w:p>
        </w:tc>
        <w:tc>
          <w:tcPr>
            <w:tcW w:w="1872" w:type="dxa"/>
            <w:shd w:val="clear" w:color="auto" w:fill="auto"/>
          </w:tcPr>
          <w:p w14:paraId="28FFC241" w14:textId="77777777" w:rsidR="00C15860" w:rsidRPr="002F3B41" w:rsidRDefault="00C15860" w:rsidP="004A7F26">
            <w:pPr>
              <w:rPr>
                <w:sz w:val="20"/>
                <w:szCs w:val="20"/>
              </w:rPr>
            </w:pPr>
            <w:r w:rsidRPr="002F3B41">
              <w:rPr>
                <w:sz w:val="20"/>
                <w:szCs w:val="20"/>
              </w:rPr>
              <w:t xml:space="preserve">12 months after </w:t>
            </w:r>
            <w:r>
              <w:rPr>
                <w:sz w:val="20"/>
                <w:szCs w:val="20"/>
              </w:rPr>
              <w:t>baseline</w:t>
            </w:r>
          </w:p>
        </w:tc>
        <w:tc>
          <w:tcPr>
            <w:tcW w:w="3168" w:type="dxa"/>
            <w:shd w:val="clear" w:color="auto" w:fill="auto"/>
          </w:tcPr>
          <w:p w14:paraId="76CC0CCE" w14:textId="77777777" w:rsidR="00C15860" w:rsidRPr="002F3B41" w:rsidRDefault="00C15860" w:rsidP="004A7F26">
            <w:pPr>
              <w:rPr>
                <w:sz w:val="20"/>
                <w:szCs w:val="20"/>
              </w:rPr>
            </w:pPr>
            <w:r w:rsidRPr="002F3B41">
              <w:rPr>
                <w:sz w:val="20"/>
                <w:szCs w:val="20"/>
              </w:rPr>
              <w:t>Measure full set of outcomes</w:t>
            </w:r>
          </w:p>
        </w:tc>
        <w:tc>
          <w:tcPr>
            <w:tcW w:w="1530" w:type="dxa"/>
            <w:shd w:val="clear" w:color="auto" w:fill="auto"/>
          </w:tcPr>
          <w:p w14:paraId="0D1428D6" w14:textId="77777777" w:rsidR="00C15860" w:rsidRPr="002F3B41" w:rsidRDefault="00C15860" w:rsidP="004A7F26">
            <w:pPr>
              <w:rPr>
                <w:sz w:val="20"/>
                <w:szCs w:val="20"/>
              </w:rPr>
            </w:pPr>
            <w:r>
              <w:rPr>
                <w:sz w:val="20"/>
                <w:szCs w:val="20"/>
              </w:rPr>
              <w:t>0.61 hours</w:t>
            </w:r>
          </w:p>
        </w:tc>
      </w:tr>
    </w:tbl>
    <w:p w14:paraId="1BECC64C" w14:textId="77777777" w:rsidR="00C15860" w:rsidRDefault="00C15860" w:rsidP="00C15860">
      <w:pPr>
        <w:pStyle w:val="BodyTextIndent"/>
      </w:pPr>
    </w:p>
    <w:p w14:paraId="52AFD6C3" w14:textId="54542BDB" w:rsidR="006252A6" w:rsidRDefault="00826EC5" w:rsidP="006252A6">
      <w:pPr>
        <w:autoSpaceDE w:val="0"/>
        <w:autoSpaceDN w:val="0"/>
        <w:adjustRightInd w:val="0"/>
        <w:rPr>
          <w:snapToGrid w:val="0"/>
        </w:rPr>
      </w:pPr>
      <w:r w:rsidRPr="006252A6">
        <w:rPr>
          <w:snapToGrid w:val="0"/>
        </w:rPr>
        <w:t xml:space="preserve">The first collection will occur at baseline, at the time of enrollment into the program and study (prior to delivery of the intervention). The </w:t>
      </w:r>
      <w:r w:rsidRPr="006252A6">
        <w:t>main purpose of the baseline survey is to measure participants’ initial status with respect to the outcome variables. The baseline survey queries participants’ experiences across varied aspects of their lives, including housing and homelessness, social connections</w:t>
      </w:r>
      <w:r w:rsidR="00E108D6" w:rsidRPr="006252A6">
        <w:t xml:space="preserve">, social and emotional </w:t>
      </w:r>
      <w:r w:rsidRPr="006252A6">
        <w:t xml:space="preserve">well-being, education or </w:t>
      </w:r>
      <w:r w:rsidR="00E108D6" w:rsidRPr="006252A6">
        <w:t>employment</w:t>
      </w:r>
      <w:r w:rsidRPr="006252A6">
        <w:t xml:space="preserve">, and other </w:t>
      </w:r>
      <w:r w:rsidR="00E108D6" w:rsidRPr="006252A6">
        <w:t>areas relevant to self-sufficiency</w:t>
      </w:r>
      <w:r w:rsidRPr="006252A6">
        <w:t xml:space="preserve"> (e.g., money management). To provide a basis for understanding changes in service receipt associated with participation in the TLP, the baseline survey also measures current or prior receipt of TLP or TLP-like services</w:t>
      </w:r>
      <w:r w:rsidR="00E108D6" w:rsidRPr="006252A6">
        <w:t xml:space="preserve"> (e.g., </w:t>
      </w:r>
      <w:r w:rsidR="00E108D6" w:rsidRPr="006252A6">
        <w:rPr>
          <w:snapToGrid w:val="0"/>
        </w:rPr>
        <w:t>housing, employment, education, substance use treatment, mental health care, physical health care, life skill building, etc.)</w:t>
      </w:r>
      <w:r w:rsidRPr="006252A6">
        <w:t>.</w:t>
      </w:r>
      <w:r w:rsidR="00E108D6" w:rsidRPr="006252A6">
        <w:t xml:space="preserve"> In order to obtain information necessary to describe the sample, the baseline survey asks about demographic characteristics (as race/ethnicity, primary language). </w:t>
      </w:r>
      <w:r w:rsidRPr="006252A6">
        <w:t xml:space="preserve">The </w:t>
      </w:r>
      <w:r w:rsidR="00E108D6" w:rsidRPr="006252A6">
        <w:t>same main outcome and service receipt measures are</w:t>
      </w:r>
      <w:r w:rsidRPr="006252A6">
        <w:t xml:space="preserve"> collected on the 6- and 12-month follow-up surveys</w:t>
      </w:r>
      <w:r w:rsidR="00E108D6" w:rsidRPr="006252A6">
        <w:t xml:space="preserve"> and</w:t>
      </w:r>
      <w:r w:rsidRPr="006252A6">
        <w:t xml:space="preserve"> are necessary to assess the program’s effects on youth outcomes</w:t>
      </w:r>
      <w:r w:rsidR="00E108D6" w:rsidRPr="006252A6">
        <w:t>.</w:t>
      </w:r>
      <w:r w:rsidRPr="006252A6">
        <w:rPr>
          <w:snapToGrid w:val="0"/>
        </w:rPr>
        <w:t xml:space="preserve"> </w:t>
      </w:r>
    </w:p>
    <w:p w14:paraId="217B7A1D" w14:textId="77777777" w:rsidR="006252A6" w:rsidRDefault="006252A6" w:rsidP="006252A6">
      <w:pPr>
        <w:autoSpaceDE w:val="0"/>
        <w:autoSpaceDN w:val="0"/>
        <w:adjustRightInd w:val="0"/>
        <w:rPr>
          <w:snapToGrid w:val="0"/>
        </w:rPr>
      </w:pPr>
    </w:p>
    <w:p w14:paraId="4B21CC9B" w14:textId="6FE3102F" w:rsidR="00C15860" w:rsidRPr="00DB2024" w:rsidRDefault="00C15860" w:rsidP="006252A6">
      <w:pPr>
        <w:autoSpaceDE w:val="0"/>
        <w:autoSpaceDN w:val="0"/>
        <w:adjustRightInd w:val="0"/>
        <w:rPr>
          <w:snapToGrid w:val="0"/>
        </w:rPr>
      </w:pPr>
      <w:r w:rsidRPr="00803AED">
        <w:t xml:space="preserve">A crosswalk showing the measures collected at </w:t>
      </w:r>
      <w:r>
        <w:t xml:space="preserve">the </w:t>
      </w:r>
      <w:r w:rsidRPr="00803AED">
        <w:t>baseline</w:t>
      </w:r>
      <w:r>
        <w:t>, 6</w:t>
      </w:r>
      <w:r w:rsidRPr="00803AED">
        <w:t>-month</w:t>
      </w:r>
      <w:r>
        <w:t>, and</w:t>
      </w:r>
      <w:r w:rsidRPr="00803AED">
        <w:t xml:space="preserve"> 12-month collections</w:t>
      </w:r>
      <w:r>
        <w:t xml:space="preserve">, their corresponding survey item numbers, and the sources of the measures </w:t>
      </w:r>
      <w:r w:rsidRPr="00803AED">
        <w:t xml:space="preserve">is presented in </w:t>
      </w:r>
      <w:r w:rsidRPr="0055637A">
        <w:t xml:space="preserve">Attachment </w:t>
      </w:r>
      <w:r w:rsidR="008C31D3" w:rsidRPr="0055637A">
        <w:t>E</w:t>
      </w:r>
      <w:r w:rsidRPr="0055637A">
        <w:t xml:space="preserve">. A listing of the items included in each instrument and their sources is presented in Attachment </w:t>
      </w:r>
      <w:r w:rsidR="008C31D3" w:rsidRPr="0055637A">
        <w:t>F</w:t>
      </w:r>
      <w:r w:rsidRPr="0055637A">
        <w:t>.</w:t>
      </w:r>
      <w:r>
        <w:t xml:space="preserve"> </w:t>
      </w:r>
    </w:p>
    <w:p w14:paraId="6AB337A3" w14:textId="77777777" w:rsidR="004554B1" w:rsidRDefault="004554B1" w:rsidP="00D90EF6"/>
    <w:p w14:paraId="786A668A" w14:textId="77777777" w:rsidR="00945CD6" w:rsidRPr="0072204D" w:rsidRDefault="00292B70" w:rsidP="005E28E1">
      <w:pPr>
        <w:pStyle w:val="Heading1"/>
      </w:pPr>
      <w:bookmarkStart w:id="5" w:name="_Toc515615503"/>
      <w:bookmarkStart w:id="6" w:name="_Toc519090777"/>
      <w:r>
        <w:t xml:space="preserve">A3. </w:t>
      </w:r>
      <w:r w:rsidR="00945CD6" w:rsidRPr="0072204D">
        <w:t>Improved Information Technology to Reduce Burden</w:t>
      </w:r>
      <w:bookmarkEnd w:id="5"/>
      <w:bookmarkEnd w:id="6"/>
    </w:p>
    <w:p w14:paraId="24ECC5C7" w14:textId="7B2663E5" w:rsidR="00BA4FC8" w:rsidRDefault="00017A25" w:rsidP="00BA4FC8">
      <w:pPr>
        <w:tabs>
          <w:tab w:val="left" w:pos="-720"/>
        </w:tabs>
        <w:suppressAutoHyphens/>
      </w:pPr>
      <w:r w:rsidRPr="007802FB">
        <w:t xml:space="preserve">ACF is not proposing </w:t>
      </w:r>
      <w:r w:rsidR="00D651AC">
        <w:t xml:space="preserve">any </w:t>
      </w:r>
      <w:r w:rsidRPr="007802FB">
        <w:t xml:space="preserve">changes to the previously approved data collection instruments </w:t>
      </w:r>
      <w:r w:rsidR="00B34A8C" w:rsidRPr="007802FB">
        <w:t xml:space="preserve">(listed in Section A1) </w:t>
      </w:r>
      <w:r w:rsidR="00D651AC">
        <w:t xml:space="preserve">or </w:t>
      </w:r>
      <w:r w:rsidR="00B34A8C" w:rsidRPr="007802FB">
        <w:t>to the previously approved data collection procedures</w:t>
      </w:r>
      <w:r w:rsidRPr="007802FB">
        <w:t xml:space="preserve"> as part of this </w:t>
      </w:r>
      <w:r w:rsidR="000E40A0">
        <w:t>approval</w:t>
      </w:r>
      <w:r w:rsidR="000E40A0" w:rsidRPr="007802FB">
        <w:t xml:space="preserve"> </w:t>
      </w:r>
      <w:r w:rsidRPr="007802FB">
        <w:t xml:space="preserve">request. The previously approved data collection procedures </w:t>
      </w:r>
      <w:r w:rsidR="00BA4FC8" w:rsidRPr="007802FB">
        <w:t xml:space="preserve">reflect sensitivity to issues of efficiency, accuracy, and respondent burden. </w:t>
      </w:r>
      <w:r w:rsidRPr="007802FB">
        <w:t>T</w:t>
      </w:r>
      <w:r w:rsidR="00BA4FC8" w:rsidRPr="007802FB">
        <w:t>he information being requested through surveys is limited to that for which the youth are the best or only information sources. For all youth surveys (baseline, 6-month follow-up, and 12-month follow-up) secure web-based technology will be used to reduce burden, improve accuracy of responses, and ensure data security. The survey will be hosted on a secure, encrypted, passcode protected digital platform, which will capture and store data in real time. Each response to a question (as it is entered) is sent immediately to a central and secure database and no information is stored on local computers. Research has demonstrated that surveys self-administered online are characterized by higher levels of self-disclosure, an increased willingness to answer sensitive questions</w:t>
      </w:r>
      <w:r w:rsidR="00F91968" w:rsidRPr="007802FB">
        <w:t>,</w:t>
      </w:r>
      <w:r w:rsidR="00BA4FC8" w:rsidRPr="007802FB">
        <w:t xml:space="preserve"> and a reduction in socially desirable responses.</w:t>
      </w:r>
      <w:r w:rsidR="002A01A4" w:rsidRPr="007802FB">
        <w:rPr>
          <w:rStyle w:val="FootnoteReference"/>
        </w:rPr>
        <w:footnoteReference w:id="2"/>
      </w:r>
      <w:r w:rsidR="00BA4FC8" w:rsidRPr="007802FB">
        <w:t xml:space="preserve"> The </w:t>
      </w:r>
      <w:r w:rsidR="005C7410" w:rsidRPr="007802FB">
        <w:t>baseline survey has been translated into Spanish and the follow-up surveys will be</w:t>
      </w:r>
      <w:r w:rsidR="00BA4FC8" w:rsidRPr="007802FB">
        <w:t xml:space="preserve"> translated into Spanish, so that respondents can choose the language in which they take it. </w:t>
      </w:r>
    </w:p>
    <w:p w14:paraId="2A6C30B2" w14:textId="77777777" w:rsidR="005046F0" w:rsidRDefault="005046F0" w:rsidP="005046F0">
      <w:pPr>
        <w:ind w:left="360"/>
      </w:pPr>
    </w:p>
    <w:p w14:paraId="1394E87F" w14:textId="77777777" w:rsidR="00945CD6" w:rsidRPr="0072204D" w:rsidRDefault="00292B70" w:rsidP="005E28E1">
      <w:pPr>
        <w:pStyle w:val="Heading1"/>
      </w:pPr>
      <w:bookmarkStart w:id="7" w:name="_Toc515615504"/>
      <w:bookmarkStart w:id="8" w:name="_Toc519090778"/>
      <w:r>
        <w:t xml:space="preserve">A4. </w:t>
      </w:r>
      <w:r w:rsidR="00945CD6" w:rsidRPr="0072204D">
        <w:t>Efforts to Identify Duplication</w:t>
      </w:r>
      <w:bookmarkEnd w:id="7"/>
      <w:bookmarkEnd w:id="8"/>
    </w:p>
    <w:p w14:paraId="52A7FCB8" w14:textId="77777777" w:rsidR="00436F5E" w:rsidRDefault="00BA4FC8" w:rsidP="00BA4FC8">
      <w:pPr>
        <w:pStyle w:val="BodyText"/>
      </w:pPr>
      <w:r w:rsidRPr="00085F99">
        <w:t xml:space="preserve">This study is a unique, one-time event studying a population that has not previously been surveyed nationally or as intensively and systematically as this research envisions. </w:t>
      </w:r>
      <w:r>
        <w:t xml:space="preserve">ACF </w:t>
      </w:r>
      <w:r w:rsidRPr="00085F99">
        <w:t>collects in-service information on non-identified youth through the Homeless Management Information System (</w:t>
      </w:r>
      <w:r>
        <w:t>HMIS</w:t>
      </w:r>
      <w:r w:rsidRPr="00085F99">
        <w:t xml:space="preserve">). Information from </w:t>
      </w:r>
      <w:r>
        <w:t>HMIS can</w:t>
      </w:r>
      <w:r w:rsidRPr="00085F99">
        <w:t xml:space="preserve"> provide background and context but not in sufficient detail or individual specificity to produce </w:t>
      </w:r>
      <w:r>
        <w:t xml:space="preserve">high </w:t>
      </w:r>
      <w:r w:rsidRPr="00085F99">
        <w:t xml:space="preserve">quality research. Moreover, </w:t>
      </w:r>
      <w:r>
        <w:t>HMIS</w:t>
      </w:r>
      <w:r w:rsidRPr="00085F99">
        <w:t xml:space="preserve"> reports on youth</w:t>
      </w:r>
      <w:r>
        <w:t>’s needs and</w:t>
      </w:r>
      <w:r w:rsidRPr="00085F99">
        <w:t xml:space="preserve"> services </w:t>
      </w:r>
      <w:r>
        <w:t xml:space="preserve">received </w:t>
      </w:r>
      <w:r w:rsidRPr="00085F99">
        <w:t xml:space="preserve">while </w:t>
      </w:r>
      <w:r>
        <w:t>participating</w:t>
      </w:r>
      <w:r w:rsidRPr="00085F99">
        <w:t xml:space="preserve"> in the TLP</w:t>
      </w:r>
      <w:r>
        <w:t>; however, youth’s ongoing</w:t>
      </w:r>
      <w:r w:rsidRPr="00085F99">
        <w:t xml:space="preserve"> </w:t>
      </w:r>
      <w:r>
        <w:t>housing</w:t>
      </w:r>
      <w:r w:rsidRPr="00085F99">
        <w:t xml:space="preserve"> status after </w:t>
      </w:r>
      <w:r>
        <w:t>exiting</w:t>
      </w:r>
      <w:r w:rsidRPr="00085F99">
        <w:t xml:space="preserve"> the program is not available</w:t>
      </w:r>
      <w:r>
        <w:t xml:space="preserve"> in HMIS</w:t>
      </w:r>
      <w:r w:rsidRPr="00085F99">
        <w:t>, only their immediate destination at exit.</w:t>
      </w:r>
      <w:r w:rsidRPr="0090069F">
        <w:t xml:space="preserve">  </w:t>
      </w:r>
    </w:p>
    <w:p w14:paraId="0C2E81B7" w14:textId="77777777" w:rsidR="00553400" w:rsidRDefault="00553400" w:rsidP="00BA4FC8">
      <w:pPr>
        <w:pStyle w:val="BodyText"/>
        <w:rPr>
          <w:b/>
        </w:rPr>
      </w:pPr>
    </w:p>
    <w:p w14:paraId="1196FB9C" w14:textId="77777777" w:rsidR="00945CD6" w:rsidRPr="0072204D" w:rsidRDefault="00292B70" w:rsidP="005E28E1">
      <w:pPr>
        <w:pStyle w:val="Heading1"/>
      </w:pPr>
      <w:bookmarkStart w:id="9" w:name="_Toc515615505"/>
      <w:bookmarkStart w:id="10" w:name="_Toc519090779"/>
      <w:r>
        <w:t xml:space="preserve">A5. </w:t>
      </w:r>
      <w:r w:rsidR="00945CD6" w:rsidRPr="0072204D">
        <w:t>Involvement of Small Organizations</w:t>
      </w:r>
      <w:bookmarkEnd w:id="9"/>
      <w:bookmarkEnd w:id="10"/>
    </w:p>
    <w:p w14:paraId="683F3E33" w14:textId="5BF8CA59" w:rsidR="00BA4FC8" w:rsidRDefault="00BA4FC8" w:rsidP="00BA4FC8">
      <w:pPr>
        <w:pStyle w:val="BodyText"/>
      </w:pPr>
      <w:r w:rsidRPr="009A3276">
        <w:t>Most TLP grantees are small entities</w:t>
      </w:r>
      <w:r>
        <w:t xml:space="preserve">, </w:t>
      </w:r>
      <w:r w:rsidRPr="00B17503">
        <w:t>operat</w:t>
      </w:r>
      <w:r>
        <w:t>ed</w:t>
      </w:r>
      <w:r w:rsidRPr="00B17503">
        <w:t xml:space="preserve"> by com</w:t>
      </w:r>
      <w:r>
        <w:t>munity-based organizations</w:t>
      </w:r>
      <w:r w:rsidRPr="009A3276">
        <w:t xml:space="preserve">. </w:t>
      </w:r>
      <w:r w:rsidRPr="00B17503">
        <w:t xml:space="preserve">The plan </w:t>
      </w:r>
      <w:r>
        <w:t xml:space="preserve">for collecting data from youth </w:t>
      </w:r>
      <w:r w:rsidRPr="00B17503">
        <w:t>is designed to minimize burden on such sites by</w:t>
      </w:r>
      <w:r>
        <w:t xml:space="preserve"> utilizing a web-based survey platform and </w:t>
      </w:r>
      <w:r w:rsidRPr="00B17503">
        <w:t xml:space="preserve">providing </w:t>
      </w:r>
      <w:r>
        <w:t xml:space="preserve">training and technical support </w:t>
      </w:r>
      <w:r w:rsidRPr="00B17503">
        <w:t xml:space="preserve">from </w:t>
      </w:r>
      <w:r>
        <w:t xml:space="preserve">the </w:t>
      </w:r>
      <w:r w:rsidR="006252A6">
        <w:t>research</w:t>
      </w:r>
      <w:r>
        <w:t xml:space="preserve"> team that will enable staff to help youth register and log onto the survey portal. </w:t>
      </w:r>
    </w:p>
    <w:p w14:paraId="5D422303" w14:textId="70E1F679" w:rsidR="00BA4FC8" w:rsidRDefault="00BA4FC8" w:rsidP="00BA4FC8">
      <w:pPr>
        <w:pStyle w:val="BodyText"/>
      </w:pPr>
      <w:r>
        <w:t>For the follow-up surveys, the contractor, Abt Associates</w:t>
      </w:r>
      <w:r w:rsidR="00861969">
        <w:t>,</w:t>
      </w:r>
      <w:r>
        <w:t xml:space="preserve"> </w:t>
      </w:r>
      <w:r w:rsidRPr="00B17503">
        <w:t>wil</w:t>
      </w:r>
      <w:r>
        <w:t>l</w:t>
      </w:r>
      <w:r w:rsidRPr="00B17503">
        <w:t xml:space="preserve"> provide </w:t>
      </w:r>
      <w:r>
        <w:t xml:space="preserve">training, support, ongoing monitoring, and other assistance to help grantee staff in their outreach efforts and bolster the follow up collection effort. In addition, the contractor will also provide support and technical assistance to youth </w:t>
      </w:r>
      <w:r w:rsidRPr="00B17503">
        <w:t xml:space="preserve">respondents </w:t>
      </w:r>
      <w:r>
        <w:t>who would like assistance or have difficulty accessing or completing the survey on their own. For example, the cont</w:t>
      </w:r>
      <w:r w:rsidR="00FF411B">
        <w:t>r</w:t>
      </w:r>
      <w:r>
        <w:t xml:space="preserve">actor staff will help youth troubleshoot connectivity issues, provide </w:t>
      </w:r>
      <w:r w:rsidRPr="00B17503">
        <w:t>passwords for we</w:t>
      </w:r>
      <w:r>
        <w:t xml:space="preserve">b completion, and as needed conduct phone-based survey </w:t>
      </w:r>
      <w:r w:rsidRPr="008E2748">
        <w:t>completions. Grantees</w:t>
      </w:r>
      <w:r w:rsidRPr="00183703">
        <w:t xml:space="preserve"> </w:t>
      </w:r>
      <w:r>
        <w:t>will</w:t>
      </w:r>
      <w:r w:rsidRPr="00183703">
        <w:t xml:space="preserve"> be asked to help contact youth who have not been heard from when their expected follow-up surveys are due.</w:t>
      </w:r>
    </w:p>
    <w:p w14:paraId="4D4606ED" w14:textId="77777777" w:rsidR="00BA4FC8" w:rsidRPr="00183703" w:rsidRDefault="00BA4FC8" w:rsidP="00BA4FC8">
      <w:pPr>
        <w:pStyle w:val="BodyText"/>
      </w:pPr>
      <w:r w:rsidRPr="00183703">
        <w:t xml:space="preserve">Findings from the survey will in no way impact the funding or management of the grantees, although </w:t>
      </w:r>
      <w:r>
        <w:t xml:space="preserve">improvements in </w:t>
      </w:r>
      <w:r w:rsidRPr="00183703">
        <w:t xml:space="preserve">program design may </w:t>
      </w:r>
      <w:r>
        <w:t xml:space="preserve">ultimately occur once </w:t>
      </w:r>
      <w:r w:rsidRPr="00183703">
        <w:t xml:space="preserve">the </w:t>
      </w:r>
      <w:r>
        <w:t>effects</w:t>
      </w:r>
      <w:r w:rsidRPr="00183703">
        <w:t xml:space="preserve"> of </w:t>
      </w:r>
      <w:r>
        <w:t xml:space="preserve">the program are </w:t>
      </w:r>
      <w:r w:rsidRPr="00183703">
        <w:t xml:space="preserve">determined. </w:t>
      </w:r>
    </w:p>
    <w:p w14:paraId="12848DF6" w14:textId="77777777" w:rsidR="008C78B4" w:rsidRDefault="008C78B4" w:rsidP="00292B70">
      <w:pPr>
        <w:rPr>
          <w:b/>
        </w:rPr>
      </w:pPr>
    </w:p>
    <w:p w14:paraId="0246E45F" w14:textId="77777777" w:rsidR="00945CD6" w:rsidRPr="0072204D" w:rsidRDefault="00292B70" w:rsidP="005E28E1">
      <w:pPr>
        <w:pStyle w:val="Heading1"/>
      </w:pPr>
      <w:bookmarkStart w:id="11" w:name="_Toc515615506"/>
      <w:bookmarkStart w:id="12" w:name="_Toc519090780"/>
      <w:r>
        <w:t xml:space="preserve">A6. </w:t>
      </w:r>
      <w:r w:rsidR="00945CD6" w:rsidRPr="0072204D">
        <w:t>Consequences of Less Frequent Data Collection</w:t>
      </w:r>
      <w:bookmarkEnd w:id="11"/>
      <w:bookmarkEnd w:id="12"/>
    </w:p>
    <w:p w14:paraId="74B3C75B" w14:textId="3D785E62" w:rsidR="00BA4FC8" w:rsidRDefault="00BA4FC8" w:rsidP="00BA4FC8">
      <w:r>
        <w:t>The</w:t>
      </w:r>
      <w:r w:rsidRPr="00B17503">
        <w:t xml:space="preserve"> data </w:t>
      </w:r>
      <w:r>
        <w:t xml:space="preserve">being collected </w:t>
      </w:r>
      <w:r w:rsidRPr="00B17503">
        <w:t>are essential to conducting a</w:t>
      </w:r>
      <w:r w:rsidR="00FC64B4">
        <w:t>n</w:t>
      </w:r>
      <w:r w:rsidRPr="00B17503">
        <w:t xml:space="preserve"> evaluation of </w:t>
      </w:r>
      <w:r>
        <w:t xml:space="preserve">the TLP as the reauthorization language </w:t>
      </w:r>
      <w:r w:rsidR="00FC64B4">
        <w:t>(</w:t>
      </w:r>
      <w:r w:rsidR="00FC64B4" w:rsidRPr="00FE0094">
        <w:rPr>
          <w:snapToGrid w:val="0"/>
        </w:rPr>
        <w:t>Public Law 108-96</w:t>
      </w:r>
      <w:r w:rsidR="00FC64B4">
        <w:rPr>
          <w:snapToGrid w:val="0"/>
        </w:rPr>
        <w:t xml:space="preserve">) </w:t>
      </w:r>
      <w:r>
        <w:t xml:space="preserve">requires. The </w:t>
      </w:r>
      <w:r w:rsidRPr="00B17503">
        <w:t>data</w:t>
      </w:r>
      <w:r>
        <w:t xml:space="preserve"> are necessary for determining whether short-term (6 month) or longer-term (12 month)</w:t>
      </w:r>
      <w:r w:rsidR="00FC64B4">
        <w:t xml:space="preserve"> changes in youth outcomes are associated with TLP</w:t>
      </w:r>
      <w:r>
        <w:t xml:space="preserve"> participa</w:t>
      </w:r>
      <w:r w:rsidR="00FC64B4">
        <w:t>tion</w:t>
      </w:r>
      <w:r>
        <w:t xml:space="preserve">. </w:t>
      </w:r>
      <w:r w:rsidR="00FC64B4">
        <w:t xml:space="preserve">Without this information, ACF cannot answer the primary research questions or understand the </w:t>
      </w:r>
      <w:r w:rsidR="003B0217">
        <w:t xml:space="preserve">extent to which TLP may (or may not) promote positive short- and longer-term outcomes for the runaway and homeless youth served. </w:t>
      </w:r>
    </w:p>
    <w:p w14:paraId="2FF3ECC4" w14:textId="77777777" w:rsidR="005046F0" w:rsidRDefault="005046F0" w:rsidP="005046F0">
      <w:pPr>
        <w:ind w:left="360"/>
      </w:pPr>
    </w:p>
    <w:p w14:paraId="3BCEEB9A" w14:textId="77777777" w:rsidR="00945CD6" w:rsidRPr="0072204D" w:rsidRDefault="00292B70" w:rsidP="005E28E1">
      <w:pPr>
        <w:pStyle w:val="Heading1"/>
      </w:pPr>
      <w:bookmarkStart w:id="13" w:name="_Toc515615507"/>
      <w:bookmarkStart w:id="14" w:name="_Toc519090781"/>
      <w:r>
        <w:t xml:space="preserve">A7. </w:t>
      </w:r>
      <w:r w:rsidR="00945CD6" w:rsidRPr="0072204D">
        <w:t>Special Circumstances</w:t>
      </w:r>
      <w:bookmarkEnd w:id="13"/>
      <w:bookmarkEnd w:id="14"/>
    </w:p>
    <w:p w14:paraId="0C3148F7" w14:textId="05AA4B94" w:rsidR="00D90EF6" w:rsidRPr="00CE6C44" w:rsidRDefault="00FC64B4" w:rsidP="00D90EF6">
      <w:pPr>
        <w:rPr>
          <w:szCs w:val="22"/>
        </w:rPr>
      </w:pPr>
      <w:r w:rsidRPr="00FC64B4">
        <w:rPr>
          <w:szCs w:val="22"/>
        </w:rPr>
        <w:t xml:space="preserve">There are no special circumstances for the proposed data collection effort. </w:t>
      </w:r>
      <w:r w:rsidR="00CE6C44" w:rsidRPr="00CE6C44">
        <w:rPr>
          <w:szCs w:val="22"/>
        </w:rPr>
        <w:t xml:space="preserve">  </w:t>
      </w:r>
    </w:p>
    <w:p w14:paraId="59C8F349" w14:textId="77777777" w:rsidR="00CE6C44" w:rsidRDefault="00CE6C44" w:rsidP="00D90EF6">
      <w:pPr>
        <w:rPr>
          <w:b/>
        </w:rPr>
      </w:pPr>
    </w:p>
    <w:p w14:paraId="0D2A2345" w14:textId="77777777" w:rsidR="00D90EF6" w:rsidRDefault="00292B70" w:rsidP="005E28E1">
      <w:pPr>
        <w:pStyle w:val="Heading1"/>
      </w:pPr>
      <w:bookmarkStart w:id="15" w:name="_Toc515615508"/>
      <w:bookmarkStart w:id="16" w:name="_Toc519090782"/>
      <w:r w:rsidRPr="000D53DF">
        <w:t xml:space="preserve">A8. </w:t>
      </w:r>
      <w:r w:rsidR="00945CD6" w:rsidRPr="000D53DF">
        <w:t>Federal Register Notice and Consultation</w:t>
      </w:r>
      <w:bookmarkEnd w:id="15"/>
      <w:bookmarkEnd w:id="16"/>
    </w:p>
    <w:p w14:paraId="2497C930" w14:textId="77777777" w:rsidR="00B91D97" w:rsidRPr="00EB0D7F" w:rsidRDefault="00B91D97" w:rsidP="00EB0D7F">
      <w:pPr>
        <w:pStyle w:val="Heading4"/>
        <w:rPr>
          <w:rFonts w:ascii="Times New Roman" w:hAnsi="Times New Roman"/>
          <w:i/>
          <w:iCs/>
          <w:sz w:val="24"/>
        </w:rPr>
      </w:pPr>
      <w:r w:rsidRPr="00EB0D7F">
        <w:rPr>
          <w:rFonts w:ascii="Times New Roman" w:hAnsi="Times New Roman"/>
          <w:i/>
          <w:iCs/>
          <w:sz w:val="24"/>
        </w:rPr>
        <w:t>Federal Register Notice and Comments</w:t>
      </w:r>
    </w:p>
    <w:p w14:paraId="6E0DF5F9" w14:textId="1D1DBBF1" w:rsidR="00CE6C44" w:rsidRDefault="008F10A2" w:rsidP="00CE6C44">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 xml:space="preserve">request an OMB review of this information collection activity. </w:t>
      </w:r>
      <w:r w:rsidR="003E1F37" w:rsidRPr="00F64BA7">
        <w:t xml:space="preserve">This notice was published on </w:t>
      </w:r>
      <w:r w:rsidR="002F158F" w:rsidRPr="00F64BA7">
        <w:t>May 16</w:t>
      </w:r>
      <w:r w:rsidR="006B422F" w:rsidRPr="00F64BA7">
        <w:t>, 2018</w:t>
      </w:r>
      <w:r w:rsidR="003E1F37" w:rsidRPr="00F64BA7">
        <w:t xml:space="preserve">, Volume </w:t>
      </w:r>
      <w:r w:rsidR="002F158F" w:rsidRPr="00F64BA7">
        <w:t>83</w:t>
      </w:r>
      <w:r w:rsidR="003E1F37" w:rsidRPr="00F64BA7">
        <w:t xml:space="preserve">, Number </w:t>
      </w:r>
      <w:r w:rsidR="009010E6" w:rsidRPr="00F64BA7">
        <w:t>95</w:t>
      </w:r>
      <w:r w:rsidR="003E1F37" w:rsidRPr="00F64BA7">
        <w:t xml:space="preserve">, page </w:t>
      </w:r>
      <w:r w:rsidR="009010E6" w:rsidRPr="00F64BA7">
        <w:t>22688</w:t>
      </w:r>
      <w:r w:rsidR="003E1F37" w:rsidRPr="00F64BA7">
        <w:t xml:space="preserve">, and provided a sixty-day period for public comment. </w:t>
      </w:r>
      <w:r w:rsidR="006B422F" w:rsidRPr="00F64BA7">
        <w:t xml:space="preserve">A copy of this notice is attached as Attachment G. </w:t>
      </w:r>
      <w:r w:rsidR="003E1F37" w:rsidRPr="00F64BA7">
        <w:t>During the notice and comment period, we did not receive any public comments.</w:t>
      </w:r>
    </w:p>
    <w:p w14:paraId="3210EDB0" w14:textId="77777777" w:rsidR="00B91D97" w:rsidRPr="00EB0D7F" w:rsidRDefault="00B91D97" w:rsidP="00D94C77">
      <w:pPr>
        <w:pStyle w:val="Heading4"/>
        <w:rPr>
          <w:rFonts w:ascii="Times New Roman" w:hAnsi="Times New Roman"/>
          <w:i/>
          <w:iCs/>
          <w:sz w:val="24"/>
        </w:rPr>
      </w:pPr>
      <w:r w:rsidRPr="00EB0D7F">
        <w:rPr>
          <w:rFonts w:ascii="Times New Roman" w:hAnsi="Times New Roman"/>
          <w:i/>
          <w:iCs/>
          <w:sz w:val="24"/>
        </w:rPr>
        <w:t>Consultation with Experts Outside of the Study</w:t>
      </w:r>
    </w:p>
    <w:p w14:paraId="4DFF062C" w14:textId="2526C1D4" w:rsidR="00CE6C44" w:rsidRDefault="00CE6C44" w:rsidP="00D94C77">
      <w:r w:rsidRPr="0071131F">
        <w:t>Most of the items in the survey are from previously approved data collection instruments.</w:t>
      </w:r>
      <w:r>
        <w:t xml:space="preserve"> </w:t>
      </w:r>
      <w:r w:rsidRPr="003D5CD4">
        <w:t xml:space="preserve">Researchers </w:t>
      </w:r>
      <w:r>
        <w:t xml:space="preserve">have and will continue to consult with </w:t>
      </w:r>
      <w:r w:rsidRPr="003D5CD4">
        <w:t xml:space="preserve">experts in their respective disciplines from ACF and Abt Associates in </w:t>
      </w:r>
      <w:r>
        <w:t xml:space="preserve">developing the survey instruments, study design, and protocols for data collection. </w:t>
      </w:r>
    </w:p>
    <w:p w14:paraId="552A569D" w14:textId="77777777" w:rsidR="00CE6C44" w:rsidRDefault="00CE6C44" w:rsidP="00292B70">
      <w:pPr>
        <w:rPr>
          <w:b/>
        </w:rPr>
      </w:pPr>
    </w:p>
    <w:p w14:paraId="5449A445" w14:textId="77777777" w:rsidR="00945CD6" w:rsidRPr="0072204D" w:rsidRDefault="00292B70" w:rsidP="005E28E1">
      <w:pPr>
        <w:pStyle w:val="Heading1"/>
      </w:pPr>
      <w:bookmarkStart w:id="17" w:name="_Toc515615509"/>
      <w:bookmarkStart w:id="18" w:name="_Toc519090783"/>
      <w:r>
        <w:t xml:space="preserve">A9. </w:t>
      </w:r>
      <w:r w:rsidR="00B66874">
        <w:t>Incentives for</w:t>
      </w:r>
      <w:r w:rsidR="00945CD6" w:rsidRPr="0072204D">
        <w:t xml:space="preserve"> Respondents</w:t>
      </w:r>
      <w:bookmarkEnd w:id="17"/>
      <w:bookmarkEnd w:id="18"/>
    </w:p>
    <w:p w14:paraId="61F72EFF" w14:textId="35831A02" w:rsidR="007D3718" w:rsidRDefault="00FF411B" w:rsidP="003E1F37">
      <w:r w:rsidRPr="00F014C3">
        <w:t xml:space="preserve">ACF is not requesting any change to the previously approved incentives provided to respondents. </w:t>
      </w:r>
      <w:r w:rsidR="007D3718">
        <w:t xml:space="preserve">As previously approved, each youth will receive an electronic gift card to Amazon.com upon submission of his/her survey. </w:t>
      </w:r>
      <w:r w:rsidR="007D3718" w:rsidRPr="00047CC6">
        <w:t>The amount of the incentive is $</w:t>
      </w:r>
      <w:r w:rsidR="007D3718">
        <w:t>30</w:t>
      </w:r>
      <w:r w:rsidR="007D3718" w:rsidRPr="00047CC6">
        <w:t xml:space="preserve"> each for the baseline</w:t>
      </w:r>
      <w:r w:rsidR="007D3718">
        <w:t xml:space="preserve"> survey and</w:t>
      </w:r>
      <w:r w:rsidR="007D3718" w:rsidRPr="00047CC6">
        <w:t xml:space="preserve"> </w:t>
      </w:r>
      <w:r w:rsidR="007D3718">
        <w:t>the 6</w:t>
      </w:r>
      <w:r w:rsidR="007D3718" w:rsidRPr="00047CC6">
        <w:t>-month</w:t>
      </w:r>
      <w:r w:rsidR="007D3718">
        <w:t xml:space="preserve"> survey</w:t>
      </w:r>
      <w:r w:rsidR="007D3718" w:rsidRPr="00047CC6">
        <w:t xml:space="preserve">. The 12-month </w:t>
      </w:r>
      <w:r w:rsidR="007D3718">
        <w:t>survey incentive is</w:t>
      </w:r>
      <w:r w:rsidR="007D3718" w:rsidRPr="00047CC6">
        <w:t xml:space="preserve"> $</w:t>
      </w:r>
      <w:r w:rsidR="007D3718">
        <w:t>4</w:t>
      </w:r>
      <w:r w:rsidR="007D3718" w:rsidRPr="00047CC6">
        <w:t xml:space="preserve">0, slightly more to emphasize its </w:t>
      </w:r>
      <w:r w:rsidR="007D3718" w:rsidRPr="003B110D">
        <w:t xml:space="preserve">importance to the study. </w:t>
      </w:r>
      <w:r w:rsidR="005B11D0">
        <w:t>T</w:t>
      </w:r>
      <w:r w:rsidR="00D76388">
        <w:t>he Youth Outcomes Study</w:t>
      </w:r>
      <w:r w:rsidR="005B11D0">
        <w:t xml:space="preserve"> is a longitudinal study that has the added complexity of recruiting, locating, and followi</w:t>
      </w:r>
      <w:r w:rsidR="00D76388">
        <w:t>ng up with a very hard-to-</w:t>
      </w:r>
      <w:r w:rsidR="005B11D0">
        <w:t xml:space="preserve">reach population </w:t>
      </w:r>
      <w:r w:rsidR="00D76388">
        <w:t xml:space="preserve">of </w:t>
      </w:r>
      <w:r w:rsidR="009458EB">
        <w:t xml:space="preserve">minority and underrepresented </w:t>
      </w:r>
      <w:r w:rsidR="00D76388">
        <w:t xml:space="preserve">youth that is particularly distrustful of others and that does not easily disclose information of a sensitive nature. </w:t>
      </w:r>
      <w:r w:rsidR="007D3718">
        <w:t xml:space="preserve">This </w:t>
      </w:r>
      <w:r>
        <w:t>incentive</w:t>
      </w:r>
      <w:r w:rsidR="007D3718">
        <w:t xml:space="preserve"> model is</w:t>
      </w:r>
      <w:r w:rsidR="007D3718" w:rsidRPr="00D77DA3">
        <w:t xml:space="preserve"> designed to increase the survey response rates, </w:t>
      </w:r>
      <w:r w:rsidR="00D76388">
        <w:t>with specific attention to</w:t>
      </w:r>
      <w:r w:rsidR="00217EED">
        <w:t xml:space="preserve"> </w:t>
      </w:r>
      <w:r w:rsidR="007D3718" w:rsidRPr="00D77DA3">
        <w:t xml:space="preserve">youth </w:t>
      </w:r>
      <w:r w:rsidR="00D76388">
        <w:t xml:space="preserve">that will be </w:t>
      </w:r>
      <w:r w:rsidR="007D3718" w:rsidRPr="00D77DA3">
        <w:t>dispersing widely into the general population as they gain independence</w:t>
      </w:r>
      <w:r w:rsidR="007D3718">
        <w:t>,</w:t>
      </w:r>
      <w:r w:rsidR="007D3718" w:rsidRPr="00D77DA3">
        <w:t xml:space="preserve"> which is the purpose of TLP. </w:t>
      </w:r>
      <w:r w:rsidR="007D3718">
        <w:t>W</w:t>
      </w:r>
      <w:r w:rsidR="007D3718" w:rsidRPr="00497A50">
        <w:t xml:space="preserve">e believe that these </w:t>
      </w:r>
      <w:r w:rsidR="007D3718">
        <w:t>gift card</w:t>
      </w:r>
      <w:r w:rsidR="007D3718" w:rsidRPr="00497A50">
        <w:t xml:space="preserve"> amounts are necessary to encourage participation in the study and completion of the follow-up surveys.</w:t>
      </w:r>
    </w:p>
    <w:p w14:paraId="62A813E1" w14:textId="77777777" w:rsidR="007D3718" w:rsidRDefault="007D3718" w:rsidP="003E1F37"/>
    <w:p w14:paraId="204EB4B1" w14:textId="73F14FF5" w:rsidR="00644195" w:rsidRDefault="00F014C3" w:rsidP="003E1F37">
      <w:r w:rsidRPr="00F014C3">
        <w:t xml:space="preserve">Gift cards are provided to study participants </w:t>
      </w:r>
      <w:r w:rsidR="007B15CA">
        <w:t>as an incentive to</w:t>
      </w:r>
      <w:r w:rsidRPr="00F014C3">
        <w:t xml:space="preserve"> participat</w:t>
      </w:r>
      <w:r w:rsidR="00FF411B">
        <w:t>e</w:t>
      </w:r>
      <w:r w:rsidRPr="00F014C3">
        <w:t xml:space="preserve"> in the study. These gift cards are important </w:t>
      </w:r>
      <w:r w:rsidR="007B15CA" w:rsidRPr="007B15CA">
        <w:t xml:space="preserve">for this </w:t>
      </w:r>
      <w:r w:rsidR="007B15CA">
        <w:t>evaluation</w:t>
      </w:r>
      <w:r w:rsidR="007B15CA" w:rsidRPr="007B15CA">
        <w:t xml:space="preserve"> </w:t>
      </w:r>
      <w:r w:rsidRPr="00F014C3">
        <w:t xml:space="preserve">because the </w:t>
      </w:r>
      <w:r>
        <w:t>study participants</w:t>
      </w:r>
      <w:r w:rsidR="00DA2F35">
        <w:t xml:space="preserve"> are </w:t>
      </w:r>
      <w:r>
        <w:t xml:space="preserve">unaccompanied </w:t>
      </w:r>
      <w:r w:rsidR="00DA2F35">
        <w:t xml:space="preserve">runaway and homeless </w:t>
      </w:r>
      <w:r>
        <w:t>y</w:t>
      </w:r>
      <w:r w:rsidR="003E1F37">
        <w:t>outh</w:t>
      </w:r>
      <w:r w:rsidR="007B15CA">
        <w:t xml:space="preserve"> who are </w:t>
      </w:r>
      <w:r>
        <w:t xml:space="preserve">overwhelmingly </w:t>
      </w:r>
      <w:r w:rsidR="003E1F37">
        <w:t>disconnected</w:t>
      </w:r>
      <w:r>
        <w:t>,</w:t>
      </w:r>
      <w:r w:rsidR="003E1F37">
        <w:t xml:space="preserve"> highly mobile</w:t>
      </w:r>
      <w:r>
        <w:t>,</w:t>
      </w:r>
      <w:r w:rsidR="003E1F37">
        <w:t xml:space="preserve"> and hard to reach</w:t>
      </w:r>
      <w:r w:rsidR="00DA2F35" w:rsidRPr="00047CC6">
        <w:t xml:space="preserve">, making them particularly difficult to </w:t>
      </w:r>
      <w:r w:rsidR="00F115E4">
        <w:t xml:space="preserve">track and </w:t>
      </w:r>
      <w:r w:rsidR="00DA2F35" w:rsidRPr="00047CC6">
        <w:t xml:space="preserve">survey over </w:t>
      </w:r>
      <w:r w:rsidR="00F115E4">
        <w:t>extended time periods</w:t>
      </w:r>
      <w:r w:rsidR="003E1F37">
        <w:t xml:space="preserve">. </w:t>
      </w:r>
      <w:r w:rsidR="00644195" w:rsidRPr="00F014C3">
        <w:t>In addition, the surveys include highly sensitive questions</w:t>
      </w:r>
      <w:r w:rsidR="00644195">
        <w:t>. The challenge for the study is increased by the desire to measure longer-</w:t>
      </w:r>
      <w:r w:rsidR="00CA6B28">
        <w:t>term</w:t>
      </w:r>
      <w:r w:rsidR="00F115E4">
        <w:t xml:space="preserve"> outcomes </w:t>
      </w:r>
      <w:r w:rsidR="00644195">
        <w:t>beyond program exit</w:t>
      </w:r>
      <w:r w:rsidR="00F115E4">
        <w:t xml:space="preserve"> (e.g., </w:t>
      </w:r>
      <w:r w:rsidR="000A1FF3">
        <w:t xml:space="preserve">at the </w:t>
      </w:r>
      <w:r w:rsidR="00F115E4">
        <w:t>12</w:t>
      </w:r>
      <w:r w:rsidR="000A1FF3">
        <w:t>-</w:t>
      </w:r>
      <w:r w:rsidR="00F115E4">
        <w:t>month</w:t>
      </w:r>
      <w:r w:rsidR="000A1FF3">
        <w:t xml:space="preserve"> collection</w:t>
      </w:r>
      <w:r w:rsidR="00F115E4">
        <w:t>)</w:t>
      </w:r>
      <w:r w:rsidR="00644195">
        <w:t>.</w:t>
      </w:r>
      <w:r w:rsidR="007B15CA">
        <w:t xml:space="preserve"> </w:t>
      </w:r>
      <w:r w:rsidR="007B15CA" w:rsidRPr="004F0EE0">
        <w:t xml:space="preserve">Research has shown that incentives are effective at increasing response rates for populations similar to participants in </w:t>
      </w:r>
      <w:r w:rsidR="007B15CA">
        <w:t>TLP</w:t>
      </w:r>
      <w:r w:rsidR="00D76388">
        <w:t xml:space="preserve"> (i.e., lower education levels, </w:t>
      </w:r>
      <w:r w:rsidR="009458EB">
        <w:t>minority, and underrepresented populations)</w:t>
      </w:r>
      <w:r w:rsidR="007B15CA" w:rsidRPr="004F0EE0">
        <w:t>.</w:t>
      </w:r>
      <w:r w:rsidR="007B15CA" w:rsidRPr="004F0EE0">
        <w:rPr>
          <w:vertAlign w:val="superscript"/>
        </w:rPr>
        <w:footnoteReference w:id="3"/>
      </w:r>
      <w:r w:rsidR="007B15CA" w:rsidRPr="004F0EE0">
        <w:rPr>
          <w:vertAlign w:val="superscript"/>
        </w:rPr>
        <w:t xml:space="preserve">, </w:t>
      </w:r>
      <w:r w:rsidR="007B15CA" w:rsidRPr="004F0EE0">
        <w:t>Research also suggests that providing an incentive for earlier surveys may contribute to higher response rates for subsequent surveys.</w:t>
      </w:r>
      <w:r w:rsidR="007B15CA" w:rsidRPr="004F0EE0">
        <w:rPr>
          <w:vertAlign w:val="superscript"/>
        </w:rPr>
        <w:footnoteReference w:id="4"/>
      </w:r>
      <w:r w:rsidR="007B15CA">
        <w:t xml:space="preserve"> </w:t>
      </w:r>
    </w:p>
    <w:p w14:paraId="0676AB1F" w14:textId="77777777" w:rsidR="00644195" w:rsidRDefault="00644195" w:rsidP="003E1F37"/>
    <w:p w14:paraId="11C91D2B" w14:textId="7FF0E304" w:rsidR="003E1F37" w:rsidRDefault="00CB7837" w:rsidP="003E1F37">
      <w:r>
        <w:t>Without the modest incentives OMB has approved, the evaluation risks having un</w:t>
      </w:r>
      <w:r w:rsidR="00383A7C">
        <w:t>acceptabl</w:t>
      </w:r>
      <w:r>
        <w:t>y</w:t>
      </w:r>
      <w:r w:rsidR="00383A7C" w:rsidRPr="00047CC6">
        <w:t xml:space="preserve"> </w:t>
      </w:r>
      <w:r>
        <w:t xml:space="preserve">low </w:t>
      </w:r>
      <w:r w:rsidR="00383A7C" w:rsidRPr="00047CC6">
        <w:t>response rate</w:t>
      </w:r>
      <w:r w:rsidR="003A4517">
        <w:t>s</w:t>
      </w:r>
      <w:r w:rsidR="00383A7C" w:rsidRPr="00047CC6">
        <w:t xml:space="preserve"> </w:t>
      </w:r>
      <w:r w:rsidR="00383A7C">
        <w:t>for the 6-</w:t>
      </w:r>
      <w:r w:rsidR="00383A7C" w:rsidRPr="00047CC6">
        <w:t xml:space="preserve"> and </w:t>
      </w:r>
      <w:r w:rsidR="00383A7C">
        <w:t>12-</w:t>
      </w:r>
      <w:r w:rsidR="00383A7C" w:rsidRPr="00047CC6">
        <w:t>month</w:t>
      </w:r>
      <w:r w:rsidR="00383A7C">
        <w:t xml:space="preserve"> follow-up survey</w:t>
      </w:r>
      <w:r w:rsidR="00383A7C" w:rsidRPr="00047CC6">
        <w:t>s</w:t>
      </w:r>
      <w:r w:rsidR="00F115E4">
        <w:t xml:space="preserve"> which</w:t>
      </w:r>
      <w:r w:rsidR="00DA2F35">
        <w:t xml:space="preserve"> </w:t>
      </w:r>
      <w:r>
        <w:t>w</w:t>
      </w:r>
      <w:r w:rsidR="003E1F37">
        <w:t>ould lead to insufficient statistical power (due to a small analytic sample size) and nonresponse bias (when survey re</w:t>
      </w:r>
      <w:r w:rsidR="003E1F37" w:rsidRPr="007F3FF7">
        <w:t>spondents differ in meaningful ways from non</w:t>
      </w:r>
      <w:r w:rsidR="00CE6C44">
        <w:t>-</w:t>
      </w:r>
      <w:r w:rsidR="003E1F37" w:rsidRPr="007F3FF7">
        <w:t>respondents</w:t>
      </w:r>
      <w:r w:rsidR="003A4517">
        <w:t>.</w:t>
      </w:r>
      <w:r w:rsidR="009566F2">
        <w:t xml:space="preserve"> </w:t>
      </w:r>
      <w:r w:rsidR="002F697E">
        <w:t xml:space="preserve">Response rates for undereducated, minority, and high-risk youth, which make up the majority of the homeless </w:t>
      </w:r>
      <w:r w:rsidR="003A4517">
        <w:t>yo</w:t>
      </w:r>
      <w:r w:rsidR="002F697E">
        <w:t>uth population served by TLPs, have been shown to increase with the use of the types of incentives we propose.</w:t>
      </w:r>
      <w:r w:rsidR="002F697E">
        <w:rPr>
          <w:rStyle w:val="FootnoteReference"/>
        </w:rPr>
        <w:footnoteReference w:id="5"/>
      </w:r>
      <w:r w:rsidR="002F697E">
        <w:t xml:space="preserve"> </w:t>
      </w:r>
    </w:p>
    <w:p w14:paraId="7BF01969" w14:textId="77777777" w:rsidR="00264DA2" w:rsidRDefault="00264DA2" w:rsidP="005E28E1">
      <w:pPr>
        <w:pStyle w:val="Heading1"/>
      </w:pPr>
      <w:bookmarkStart w:id="19" w:name="_Toc515615510"/>
      <w:bookmarkStart w:id="20" w:name="_Toc519090784"/>
    </w:p>
    <w:p w14:paraId="15E9A607" w14:textId="77777777" w:rsidR="00264DA2" w:rsidRDefault="00264DA2" w:rsidP="005E28E1">
      <w:pPr>
        <w:pStyle w:val="Heading1"/>
      </w:pPr>
    </w:p>
    <w:p w14:paraId="62E3DD87" w14:textId="10E75662" w:rsidR="004222F8" w:rsidRPr="0072204D" w:rsidRDefault="004222F8" w:rsidP="005E28E1">
      <w:pPr>
        <w:pStyle w:val="Heading1"/>
      </w:pPr>
      <w:r>
        <w:t>A10. Privacy</w:t>
      </w:r>
      <w:r w:rsidRPr="0072204D">
        <w:t xml:space="preserve"> of Respondents</w:t>
      </w:r>
      <w:bookmarkEnd w:id="19"/>
      <w:bookmarkEnd w:id="20"/>
    </w:p>
    <w:p w14:paraId="4711378D" w14:textId="77777777" w:rsidR="00375690" w:rsidRDefault="00436F5E" w:rsidP="003E1F37">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14:paraId="0EC0EA25" w14:textId="77777777" w:rsidR="00375690" w:rsidRDefault="00375690" w:rsidP="003E1F37">
      <w:pPr>
        <w:widowControl w:val="0"/>
        <w:autoSpaceDE w:val="0"/>
        <w:autoSpaceDN w:val="0"/>
        <w:adjustRightInd w:val="0"/>
      </w:pPr>
    </w:p>
    <w:p w14:paraId="7D75E284" w14:textId="3572DF89" w:rsidR="00375690" w:rsidRPr="0042572B" w:rsidRDefault="003E1F37" w:rsidP="00436F5E">
      <w:pPr>
        <w:widowControl w:val="0"/>
        <w:autoSpaceDE w:val="0"/>
        <w:autoSpaceDN w:val="0"/>
        <w:adjustRightInd w:val="0"/>
      </w:pPr>
      <w:r w:rsidRPr="00EB0D7F">
        <w:t>Data collection will only occur if informed consent (or assent with parental consent in the case of minors) is provided by youth themselves. Copies of the youth and parent consent forms for the outcomes study are provided as Attachments A and B.</w:t>
      </w:r>
      <w:r w:rsidRPr="00EB0D7F">
        <w:rPr>
          <w:i/>
        </w:rPr>
        <w:t xml:space="preserve"> </w:t>
      </w:r>
      <w:r w:rsidRPr="00EB0D7F">
        <w:t xml:space="preserve">In order to ensure the privacy and safety of the runaway and homeless youth participating in the study, the contractor </w:t>
      </w:r>
      <w:r w:rsidR="000C6DA4">
        <w:t xml:space="preserve">has </w:t>
      </w:r>
      <w:r w:rsidRPr="00EB0D7F">
        <w:t>obtain</w:t>
      </w:r>
      <w:r w:rsidR="000C6DA4">
        <w:t>ed</w:t>
      </w:r>
      <w:r w:rsidRPr="00EB0D7F">
        <w:t xml:space="preserve"> a waiver of parental permission from its Institutional Review Board (IRB). All identifying information that will be collected with each youth’s informed consent and all records will be protected with security systems to guarantee privacy and confidentiality.</w:t>
      </w:r>
      <w:r w:rsidRPr="0042572B">
        <w:t xml:space="preserve"> </w:t>
      </w:r>
      <w:r w:rsidR="00B423AA" w:rsidRPr="00EB0D7F">
        <w:t>All data will be securely protected under IRB-certified ethical research methods. Each survey will contain an assurance of this, which will also convey that answers will be kept private, that youths’ participation is voluntary, and that they may refuse to participate at any time.</w:t>
      </w:r>
    </w:p>
    <w:p w14:paraId="304EFA41" w14:textId="77777777" w:rsidR="00375690" w:rsidRPr="0042572B" w:rsidRDefault="00375690" w:rsidP="00436F5E">
      <w:pPr>
        <w:widowControl w:val="0"/>
        <w:autoSpaceDE w:val="0"/>
        <w:autoSpaceDN w:val="0"/>
        <w:adjustRightInd w:val="0"/>
      </w:pPr>
    </w:p>
    <w:p w14:paraId="1F7CC151" w14:textId="2E7FCE60" w:rsidR="004222F8" w:rsidRPr="0042572B" w:rsidRDefault="004222F8" w:rsidP="00436F5E">
      <w:pPr>
        <w:widowControl w:val="0"/>
        <w:autoSpaceDE w:val="0"/>
        <w:autoSpaceDN w:val="0"/>
        <w:adjustRightInd w:val="0"/>
      </w:pPr>
      <w:r w:rsidRPr="0042572B">
        <w:t xml:space="preserve">Due to the sensitive nature of this research (see A.11 for more information), the evaluation will obtain a Certificate of Confidentiality. The study team </w:t>
      </w:r>
      <w:r w:rsidR="006C59CD" w:rsidRPr="0042572B">
        <w:t>is applying</w:t>
      </w:r>
      <w:r w:rsidRPr="0042572B">
        <w:t xml:space="preserve"> for this Certificate and will provide it to OMB once it is received. The Certificate of Confidentiality helps to assure participants that their information will be kept private to the fullest extent permitted by law.</w:t>
      </w:r>
    </w:p>
    <w:p w14:paraId="10111014" w14:textId="77777777" w:rsidR="0006508F" w:rsidRPr="0042572B" w:rsidRDefault="0006508F" w:rsidP="00436F5E">
      <w:pPr>
        <w:widowControl w:val="0"/>
        <w:autoSpaceDE w:val="0"/>
        <w:autoSpaceDN w:val="0"/>
        <w:adjustRightInd w:val="0"/>
      </w:pPr>
    </w:p>
    <w:p w14:paraId="79A285F6" w14:textId="51F68326" w:rsidR="0006508F" w:rsidRDefault="0006508F" w:rsidP="00436F5E">
      <w:pPr>
        <w:widowControl w:val="0"/>
        <w:autoSpaceDE w:val="0"/>
        <w:autoSpaceDN w:val="0"/>
        <w:adjustRightInd w:val="0"/>
      </w:pPr>
      <w:r w:rsidRPr="00EB0D7F">
        <w:t>Information will not be maintained in a paper or electronic system from which data are actually or directly retrieved by an individuals’ personal identifier.</w:t>
      </w:r>
    </w:p>
    <w:p w14:paraId="4ACCD424" w14:textId="77777777" w:rsidR="00375690" w:rsidRDefault="00375690" w:rsidP="00436F5E">
      <w:pPr>
        <w:widowControl w:val="0"/>
        <w:autoSpaceDE w:val="0"/>
        <w:autoSpaceDN w:val="0"/>
        <w:adjustRightInd w:val="0"/>
      </w:pPr>
    </w:p>
    <w:p w14:paraId="1889436E" w14:textId="7531D6E2" w:rsidR="004222F8" w:rsidRPr="00436F5E" w:rsidRDefault="00375690" w:rsidP="00436F5E">
      <w:pPr>
        <w:widowControl w:val="0"/>
        <w:autoSpaceDE w:val="0"/>
        <w:autoSpaceDN w:val="0"/>
        <w:adjustRightInd w:val="0"/>
      </w:pPr>
      <w:r w:rsidRPr="00B423AA">
        <w:t xml:space="preserve">As specified in the contract, the Contractor shall </w:t>
      </w:r>
      <w:r w:rsidR="004222F8" w:rsidRPr="00B423AA">
        <w:t>protect respondent privacy to the extent permitted by law and will comply with all Federal and Departmental regula</w:t>
      </w:r>
      <w:r w:rsidR="0006508F" w:rsidRPr="00B423AA">
        <w:t xml:space="preserve">tions for private information. </w:t>
      </w:r>
      <w:r w:rsidR="004222F8" w:rsidRPr="00B423AA">
        <w:t xml:space="preserve">The Contractor has developed a </w:t>
      </w:r>
      <w:r w:rsidR="00B423AA" w:rsidRPr="00B423AA">
        <w:t>Data Security Plan</w:t>
      </w:r>
      <w:r w:rsidR="004222F8" w:rsidRPr="00B423AA">
        <w:t xml:space="preserve"> that assesses all protections of respondents’ personally identifiable information. </w:t>
      </w:r>
    </w:p>
    <w:p w14:paraId="64EC91F9" w14:textId="77777777" w:rsidR="004222F8" w:rsidRPr="00436F5E" w:rsidRDefault="004222F8" w:rsidP="008C78B4">
      <w:pPr>
        <w:widowControl w:val="0"/>
        <w:autoSpaceDE w:val="0"/>
        <w:autoSpaceDN w:val="0"/>
        <w:adjustRightInd w:val="0"/>
        <w:ind w:left="360"/>
      </w:pPr>
    </w:p>
    <w:p w14:paraId="515629E8" w14:textId="32B6EE0B" w:rsidR="000D0A95" w:rsidRDefault="00436F5E" w:rsidP="00436F5E">
      <w:pPr>
        <w:widowControl w:val="0"/>
        <w:autoSpaceDE w:val="0"/>
        <w:autoSpaceDN w:val="0"/>
        <w:adjustRightInd w:val="0"/>
        <w:rPr>
          <w:highlight w:val="green"/>
        </w:rPr>
      </w:pPr>
      <w:r w:rsidRPr="00B423AA" w:rsidDel="000D0A95">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w:t>
      </w:r>
    </w:p>
    <w:p w14:paraId="39A71A40" w14:textId="77777777" w:rsidR="00B423AA" w:rsidRDefault="00B423AA" w:rsidP="00436F5E">
      <w:pPr>
        <w:widowControl w:val="0"/>
        <w:autoSpaceDE w:val="0"/>
        <w:autoSpaceDN w:val="0"/>
        <w:adjustRightInd w:val="0"/>
        <w:rPr>
          <w:highlight w:val="green"/>
        </w:rPr>
      </w:pPr>
    </w:p>
    <w:p w14:paraId="62A8F471" w14:textId="1C0A7AE0" w:rsidR="00436F5E" w:rsidRPr="0042572B" w:rsidRDefault="00436F5E" w:rsidP="00436F5E">
      <w:pPr>
        <w:widowControl w:val="0"/>
        <w:autoSpaceDE w:val="0"/>
        <w:autoSpaceDN w:val="0"/>
        <w:adjustRightInd w:val="0"/>
      </w:pPr>
      <w:r w:rsidRPr="0042572B">
        <w:t xml:space="preserve">In addition, the Contractor </w:t>
      </w:r>
      <w:r w:rsidR="00553400">
        <w:t>shall</w:t>
      </w:r>
      <w:r w:rsidRPr="0042572B">
        <w:t xml:space="preserve"> </w:t>
      </w:r>
      <w:r w:rsidR="0042572B" w:rsidRPr="0042572B">
        <w:t xml:space="preserve">have </w:t>
      </w:r>
      <w:r w:rsidRPr="0042572B">
        <w:t>a plan for the protection of any paper records, field notes, or other documents that contain sensitive or personally identifiable information.  </w:t>
      </w:r>
    </w:p>
    <w:p w14:paraId="06B67DFA" w14:textId="29CA0BA7" w:rsidR="00436F5E" w:rsidRDefault="00436F5E" w:rsidP="00436F5E">
      <w:pPr>
        <w:widowControl w:val="0"/>
        <w:autoSpaceDE w:val="0"/>
        <w:autoSpaceDN w:val="0"/>
        <w:adjustRightInd w:val="0"/>
        <w:rPr>
          <w:highlight w:val="green"/>
        </w:rPr>
      </w:pPr>
    </w:p>
    <w:p w14:paraId="2FCAA389" w14:textId="77777777" w:rsidR="0042572B" w:rsidRPr="00436F5E" w:rsidRDefault="0042572B" w:rsidP="0042572B">
      <w:pPr>
        <w:widowControl w:val="0"/>
        <w:autoSpaceDE w:val="0"/>
        <w:autoSpaceDN w:val="0"/>
        <w:adjustRightInd w:val="0"/>
      </w:pPr>
      <w:r w:rsidRPr="002D579A">
        <w:t>The Contractor shall ensure that all of its employees, subcontractors (at all tiers), and employees of each subcontractor, who perform work under this contract/subcontract, are trained on data privacy issues and comply with the above requirements.</w:t>
      </w:r>
    </w:p>
    <w:p w14:paraId="2E8AD8FB" w14:textId="77777777" w:rsidR="0042572B" w:rsidRPr="006C59CD" w:rsidRDefault="0042572B" w:rsidP="00436F5E">
      <w:pPr>
        <w:widowControl w:val="0"/>
        <w:autoSpaceDE w:val="0"/>
        <w:autoSpaceDN w:val="0"/>
        <w:adjustRightInd w:val="0"/>
        <w:rPr>
          <w:highlight w:val="green"/>
        </w:rPr>
      </w:pPr>
    </w:p>
    <w:p w14:paraId="6E41CAC0" w14:textId="77777777" w:rsidR="00945CD6" w:rsidRPr="0072204D" w:rsidRDefault="00292B70" w:rsidP="005E28E1">
      <w:pPr>
        <w:pStyle w:val="Heading1"/>
      </w:pPr>
      <w:bookmarkStart w:id="21" w:name="_Toc515615511"/>
      <w:bookmarkStart w:id="22" w:name="_Toc519090785"/>
      <w:r>
        <w:t xml:space="preserve">A11. </w:t>
      </w:r>
      <w:r w:rsidR="00945CD6" w:rsidRPr="0072204D">
        <w:t>Sensitive Questions</w:t>
      </w:r>
      <w:bookmarkEnd w:id="21"/>
      <w:bookmarkEnd w:id="22"/>
    </w:p>
    <w:p w14:paraId="6D0C0DBA" w14:textId="77777777" w:rsidR="0006508F" w:rsidRDefault="0006508F" w:rsidP="0006508F">
      <w:r w:rsidRPr="00BF3359">
        <w:t xml:space="preserve">Some questions in the youth surveys ask for information of a sensitive nature—for example, substance use, sexual behavior, delinquent activity, </w:t>
      </w:r>
      <w:r w:rsidRPr="00FD39FD">
        <w:t>involvement with law enforcement, health and mental health</w:t>
      </w:r>
      <w:r w:rsidRPr="0030243B">
        <w:t xml:space="preserve"> symptoms</w:t>
      </w:r>
      <w:r>
        <w:t xml:space="preserve"> (e.g., depressive symptoms, PTSD symptoms)</w:t>
      </w:r>
      <w:r w:rsidRPr="0030243B">
        <w:t xml:space="preserve">, </w:t>
      </w:r>
      <w:r>
        <w:t xml:space="preserve">and </w:t>
      </w:r>
      <w:r w:rsidRPr="0030243B">
        <w:t xml:space="preserve">participation in </w:t>
      </w:r>
      <w:r>
        <w:t xml:space="preserve">certain categories of </w:t>
      </w:r>
      <w:r w:rsidRPr="0030243B">
        <w:t>social services</w:t>
      </w:r>
      <w:r>
        <w:t xml:space="preserve"> (e.g., addiction/substance use treatment, mental health services)</w:t>
      </w:r>
      <w:r w:rsidRPr="00BF3359">
        <w:t xml:space="preserve">. These </w:t>
      </w:r>
      <w:r>
        <w:t xml:space="preserve">topics </w:t>
      </w:r>
      <w:r w:rsidRPr="00BF3359">
        <w:t xml:space="preserve">are very personal but also essential to understanding a youth’s overall situation, and they are collected because the program under evaluation (TLP) is designed specifically to address and reduce risk and improve well-being related to these very factors. </w:t>
      </w:r>
    </w:p>
    <w:p w14:paraId="02777AA8" w14:textId="77777777" w:rsidR="0006508F" w:rsidRDefault="0006508F" w:rsidP="0006508F"/>
    <w:p w14:paraId="3CA929AA" w14:textId="59726D73" w:rsidR="00D90EF6" w:rsidRDefault="0006508F" w:rsidP="000C6DA4">
      <w:r w:rsidRPr="00BF3359">
        <w:t xml:space="preserve">The less sensitive measures such as housing circumstances and attachment to education and employment are valued outcomes of TLP, but risk reduction, healthy choices, and pro-social adaptation are important as well. Youth will be assured of privacy and told they do not have to answer a particular question if they </w:t>
      </w:r>
      <w:r>
        <w:t>do not wish to</w:t>
      </w:r>
      <w:r w:rsidRPr="00BF3359">
        <w:t>.</w:t>
      </w:r>
      <w:r w:rsidRPr="0090069F">
        <w:t xml:space="preserve">  </w:t>
      </w:r>
      <w:r w:rsidR="000C6DA4" w:rsidRPr="000C6DA4">
        <w:t xml:space="preserve"> </w:t>
      </w:r>
      <w:r w:rsidR="000C6DA4" w:rsidRPr="00EB0D7F">
        <w:t xml:space="preserve">Copies of the youth and parent consent forms for the </w:t>
      </w:r>
      <w:r w:rsidR="007F1FCB">
        <w:t xml:space="preserve">Youth </w:t>
      </w:r>
      <w:r w:rsidR="007F1FCB" w:rsidRPr="00EB0D7F">
        <w:t xml:space="preserve">Outcomes Study </w:t>
      </w:r>
      <w:r w:rsidR="000C6DA4" w:rsidRPr="00EB0D7F">
        <w:t>are provided as Attachments A and B.</w:t>
      </w:r>
    </w:p>
    <w:p w14:paraId="40B04629" w14:textId="77777777" w:rsidR="005046F0" w:rsidRDefault="005046F0" w:rsidP="005046F0">
      <w:pPr>
        <w:ind w:left="360"/>
      </w:pPr>
    </w:p>
    <w:p w14:paraId="458076D9" w14:textId="77777777" w:rsidR="00945CD6" w:rsidRPr="0072204D" w:rsidRDefault="00292B70" w:rsidP="005E28E1">
      <w:pPr>
        <w:pStyle w:val="Heading1"/>
      </w:pPr>
      <w:bookmarkStart w:id="23" w:name="_Toc515615512"/>
      <w:bookmarkStart w:id="24" w:name="_Toc519090786"/>
      <w:r>
        <w:t xml:space="preserve">A12. </w:t>
      </w:r>
      <w:r w:rsidR="00945CD6" w:rsidRPr="0072204D">
        <w:t>Estimation of Information Collection Burden</w:t>
      </w:r>
      <w:bookmarkEnd w:id="23"/>
      <w:bookmarkEnd w:id="24"/>
    </w:p>
    <w:p w14:paraId="6C5C4882" w14:textId="77777777" w:rsidR="00A35B0D" w:rsidRPr="00173000" w:rsidRDefault="00A35B0D" w:rsidP="00436F5E">
      <w:pPr>
        <w:pStyle w:val="NoSpacing"/>
        <w:spacing w:after="60"/>
        <w:rPr>
          <w:rFonts w:ascii="Times New Roman" w:hAnsi="Times New Roman"/>
          <w:b/>
          <w:szCs w:val="24"/>
        </w:rPr>
      </w:pPr>
      <w:r w:rsidRPr="00173000">
        <w:rPr>
          <w:rFonts w:ascii="Times New Roman" w:hAnsi="Times New Roman"/>
          <w:b/>
          <w:szCs w:val="24"/>
        </w:rPr>
        <w:t>Previously Approved Information Collections</w:t>
      </w:r>
    </w:p>
    <w:p w14:paraId="2B568FB9" w14:textId="77777777" w:rsidR="00A35B0D" w:rsidRPr="00A35B0D" w:rsidRDefault="00A35B0D" w:rsidP="00436F5E">
      <w:pPr>
        <w:pStyle w:val="NoSpacing"/>
        <w:spacing w:after="60"/>
        <w:rPr>
          <w:rFonts w:ascii="Times New Roman" w:hAnsi="Times New Roman"/>
          <w:i/>
          <w:szCs w:val="24"/>
        </w:rPr>
      </w:pPr>
      <w:r w:rsidRPr="00173000">
        <w:rPr>
          <w:rFonts w:ascii="Times New Roman" w:hAnsi="Times New Roman"/>
          <w:i/>
          <w:szCs w:val="24"/>
        </w:rPr>
        <w:t>Total Burden Previously Approved</w:t>
      </w:r>
    </w:p>
    <w:p w14:paraId="32D486A6" w14:textId="53E0149D" w:rsidR="0006508F" w:rsidRDefault="0006508F" w:rsidP="0006508F">
      <w:pPr>
        <w:spacing w:after="60"/>
        <w:rPr>
          <w:rFonts w:cs="Courier New"/>
        </w:rPr>
      </w:pPr>
      <w:r w:rsidRPr="00BE7126">
        <w:rPr>
          <w:snapToGrid w:val="0"/>
        </w:rPr>
        <w:t xml:space="preserve">A total burden of </w:t>
      </w:r>
      <w:r w:rsidR="00EB1CB6" w:rsidRPr="00EB1CB6">
        <w:rPr>
          <w:snapToGrid w:val="0"/>
        </w:rPr>
        <w:t>1,104</w:t>
      </w:r>
      <w:r w:rsidR="00EB1CB6">
        <w:rPr>
          <w:snapToGrid w:val="0"/>
        </w:rPr>
        <w:t xml:space="preserve"> </w:t>
      </w:r>
      <w:r w:rsidRPr="00BE7126">
        <w:rPr>
          <w:snapToGrid w:val="0"/>
        </w:rPr>
        <w:t xml:space="preserve">hours </w:t>
      </w:r>
      <w:r w:rsidR="00EB1CB6">
        <w:rPr>
          <w:snapToGrid w:val="0"/>
        </w:rPr>
        <w:t xml:space="preserve">for the Youth Outcomes Study component </w:t>
      </w:r>
      <w:r w:rsidR="00DE3B4D">
        <w:rPr>
          <w:snapToGrid w:val="0"/>
        </w:rPr>
        <w:t xml:space="preserve">and 140 hours for the Implementation Interview component </w:t>
      </w:r>
      <w:r w:rsidR="00EB1CB6">
        <w:rPr>
          <w:snapToGrid w:val="0"/>
        </w:rPr>
        <w:t xml:space="preserve">of the TLP Evaluation </w:t>
      </w:r>
      <w:r w:rsidRPr="00BE7126">
        <w:rPr>
          <w:snapToGrid w:val="0"/>
        </w:rPr>
        <w:t>was previously approved (OMB No. 0970-0383)</w:t>
      </w:r>
      <w:r>
        <w:rPr>
          <w:snapToGrid w:val="0"/>
        </w:rPr>
        <w:t>.</w:t>
      </w:r>
      <w:r>
        <w:rPr>
          <w:rFonts w:cs="Courier New"/>
        </w:rPr>
        <w:t xml:space="preserve">  </w:t>
      </w:r>
    </w:p>
    <w:p w14:paraId="1E3E4B00" w14:textId="77777777" w:rsidR="006C59CD" w:rsidRDefault="006C59CD" w:rsidP="0006508F">
      <w:pPr>
        <w:spacing w:after="60"/>
      </w:pPr>
    </w:p>
    <w:p w14:paraId="0F2B9F78" w14:textId="7B723923" w:rsidR="003B2A34" w:rsidRPr="00B41A54" w:rsidRDefault="003B2A34" w:rsidP="003B2A34">
      <w:pPr>
        <w:pStyle w:val="NoSpacing"/>
        <w:spacing w:after="60"/>
        <w:rPr>
          <w:rFonts w:ascii="Times New Roman" w:hAnsi="Times New Roman"/>
          <w:b/>
        </w:rPr>
      </w:pPr>
      <w:r w:rsidRPr="00B41A54">
        <w:rPr>
          <w:rFonts w:ascii="Times New Roman" w:hAnsi="Times New Roman"/>
          <w:b/>
        </w:rPr>
        <w:t>Exhibit A.12.1</w:t>
      </w:r>
      <w:r w:rsidRPr="00244DAA">
        <w:rPr>
          <w:rFonts w:ascii="Times New Roman" w:hAnsi="Times New Roman"/>
          <w:b/>
        </w:rPr>
        <w:t xml:space="preserve"> </w:t>
      </w:r>
      <w:r>
        <w:rPr>
          <w:rFonts w:ascii="Times New Roman" w:hAnsi="Times New Roman"/>
          <w:b/>
        </w:rPr>
        <w:t>Total b</w:t>
      </w:r>
      <w:r w:rsidRPr="00244DAA">
        <w:rPr>
          <w:rFonts w:ascii="Times New Roman" w:hAnsi="Times New Roman"/>
          <w:b/>
        </w:rPr>
        <w:t xml:space="preserve">urden table updated to reflect current status of data collection and </w:t>
      </w:r>
      <w:r>
        <w:rPr>
          <w:rFonts w:ascii="Times New Roman" w:hAnsi="Times New Roman"/>
          <w:b/>
        </w:rPr>
        <w:t xml:space="preserve">extension </w:t>
      </w:r>
      <w:r w:rsidR="000E40A0">
        <w:rPr>
          <w:rFonts w:ascii="Times New Roman" w:hAnsi="Times New Roman"/>
          <w:b/>
        </w:rPr>
        <w:t xml:space="preserve">approval </w:t>
      </w:r>
      <w:r>
        <w:rPr>
          <w:rFonts w:ascii="Times New Roman" w:hAnsi="Times New Roman"/>
          <w:b/>
        </w:rPr>
        <w:t xml:space="preserve">request </w:t>
      </w:r>
    </w:p>
    <w:tbl>
      <w:tblPr>
        <w:tblW w:w="9640" w:type="dxa"/>
        <w:tblInd w:w="-23" w:type="dxa"/>
        <w:tblCellMar>
          <w:left w:w="0" w:type="dxa"/>
          <w:right w:w="0" w:type="dxa"/>
        </w:tblCellMar>
        <w:tblLook w:val="04A0" w:firstRow="1" w:lastRow="0" w:firstColumn="1" w:lastColumn="0" w:noHBand="0" w:noVBand="1"/>
      </w:tblPr>
      <w:tblGrid>
        <w:gridCol w:w="4173"/>
        <w:gridCol w:w="1476"/>
        <w:gridCol w:w="1360"/>
        <w:gridCol w:w="1275"/>
        <w:gridCol w:w="1356"/>
      </w:tblGrid>
      <w:tr w:rsidR="003B2A34" w:rsidRPr="00ED576E" w14:paraId="2CEC35D7" w14:textId="649EFF03" w:rsidTr="00927978">
        <w:trPr>
          <w:trHeight w:val="1200"/>
        </w:trPr>
        <w:tc>
          <w:tcPr>
            <w:tcW w:w="417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7917ECF" w14:textId="6806FD5B" w:rsidR="003B2A34" w:rsidRPr="00ED576E" w:rsidRDefault="003B2A34" w:rsidP="00927978">
            <w:pPr>
              <w:rPr>
                <w:b/>
                <w:sz w:val="20"/>
                <w:szCs w:val="20"/>
              </w:rPr>
            </w:pPr>
            <w:r w:rsidRPr="00ED576E">
              <w:rPr>
                <w:b/>
                <w:sz w:val="20"/>
                <w:szCs w:val="20"/>
              </w:rPr>
              <w:t>Instrument</w:t>
            </w:r>
          </w:p>
        </w:tc>
        <w:tc>
          <w:tcPr>
            <w:tcW w:w="14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3BA983A" w14:textId="6F327FD2" w:rsidR="003B2A34" w:rsidRPr="00ED576E" w:rsidRDefault="003B2A34" w:rsidP="00927978">
            <w:pPr>
              <w:rPr>
                <w:b/>
                <w:sz w:val="20"/>
                <w:szCs w:val="20"/>
              </w:rPr>
            </w:pPr>
            <w:r w:rsidRPr="00ED576E">
              <w:rPr>
                <w:b/>
                <w:sz w:val="20"/>
                <w:szCs w:val="20"/>
              </w:rPr>
              <w:t>Number of Respondents</w:t>
            </w:r>
          </w:p>
        </w:tc>
        <w:tc>
          <w:tcPr>
            <w:tcW w:w="13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86EB86B" w14:textId="7F5E8D7A" w:rsidR="003B2A34" w:rsidRPr="00ED576E" w:rsidRDefault="003B2A34" w:rsidP="00927978">
            <w:pPr>
              <w:rPr>
                <w:b/>
                <w:sz w:val="20"/>
                <w:szCs w:val="20"/>
              </w:rPr>
            </w:pPr>
            <w:r w:rsidRPr="00ED576E">
              <w:rPr>
                <w:b/>
                <w:sz w:val="20"/>
                <w:szCs w:val="20"/>
              </w:rPr>
              <w:t>Number of Responses per Respondent</w:t>
            </w:r>
          </w:p>
        </w:tc>
        <w:tc>
          <w:tcPr>
            <w:tcW w:w="127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AA5C86B" w14:textId="69667AA1" w:rsidR="003B2A34" w:rsidRPr="00ED576E" w:rsidRDefault="003B2A34" w:rsidP="00927978">
            <w:pPr>
              <w:rPr>
                <w:b/>
                <w:sz w:val="20"/>
                <w:szCs w:val="20"/>
              </w:rPr>
            </w:pPr>
            <w:r w:rsidRPr="00ED576E">
              <w:rPr>
                <w:b/>
                <w:sz w:val="20"/>
                <w:szCs w:val="20"/>
              </w:rPr>
              <w:t>Average Burden Hours per Response</w:t>
            </w:r>
          </w:p>
        </w:tc>
        <w:tc>
          <w:tcPr>
            <w:tcW w:w="135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506B21F" w14:textId="1B7B4F54" w:rsidR="003B2A34" w:rsidRPr="00ED576E" w:rsidRDefault="003B2A34" w:rsidP="00927978">
            <w:pPr>
              <w:rPr>
                <w:b/>
                <w:sz w:val="20"/>
                <w:szCs w:val="20"/>
              </w:rPr>
            </w:pPr>
            <w:r w:rsidRPr="00ED576E">
              <w:rPr>
                <w:b/>
                <w:sz w:val="20"/>
                <w:szCs w:val="20"/>
              </w:rPr>
              <w:t>Total Burden Hours</w:t>
            </w:r>
          </w:p>
        </w:tc>
      </w:tr>
      <w:tr w:rsidR="003B2A34" w:rsidRPr="00ED576E" w14:paraId="58BD3786" w14:textId="5FA1C307" w:rsidTr="00927978">
        <w:trPr>
          <w:trHeight w:val="322"/>
        </w:trPr>
        <w:tc>
          <w:tcPr>
            <w:tcW w:w="9640" w:type="dxa"/>
            <w:gridSpan w:val="5"/>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CDA4621" w14:textId="42AA0A74" w:rsidR="003B2A34" w:rsidRPr="00ED576E" w:rsidRDefault="003B2A34" w:rsidP="00927978">
            <w:pPr>
              <w:jc w:val="center"/>
              <w:rPr>
                <w:sz w:val="20"/>
                <w:szCs w:val="20"/>
              </w:rPr>
            </w:pPr>
          </w:p>
          <w:p w14:paraId="5CC155B3" w14:textId="524A18E4" w:rsidR="003B2A34" w:rsidRPr="003B2A34" w:rsidRDefault="00DE3B4D" w:rsidP="00927978">
            <w:pPr>
              <w:jc w:val="center"/>
              <w:rPr>
                <w:b/>
                <w:sz w:val="20"/>
                <w:szCs w:val="20"/>
              </w:rPr>
            </w:pPr>
            <w:r>
              <w:rPr>
                <w:b/>
                <w:sz w:val="20"/>
                <w:szCs w:val="20"/>
              </w:rPr>
              <w:t>Implementation</w:t>
            </w:r>
            <w:r w:rsidR="003B2A34" w:rsidRPr="003B2A34">
              <w:rPr>
                <w:b/>
                <w:sz w:val="20"/>
                <w:szCs w:val="20"/>
              </w:rPr>
              <w:t xml:space="preserve"> Interviews</w:t>
            </w:r>
          </w:p>
          <w:p w14:paraId="00019BA8" w14:textId="49551209" w:rsidR="003B2A34" w:rsidRPr="00ED576E" w:rsidRDefault="003B2A34" w:rsidP="00927978">
            <w:pPr>
              <w:rPr>
                <w:sz w:val="20"/>
                <w:szCs w:val="20"/>
              </w:rPr>
            </w:pPr>
            <w:r w:rsidRPr="00ED576E">
              <w:rPr>
                <w:sz w:val="20"/>
                <w:szCs w:val="20"/>
              </w:rPr>
              <w:t> </w:t>
            </w:r>
          </w:p>
        </w:tc>
      </w:tr>
      <w:tr w:rsidR="003B2A34" w:rsidRPr="00ED576E" w14:paraId="12A4A6EE" w14:textId="3575F9BB" w:rsidTr="00927978">
        <w:trPr>
          <w:trHeight w:val="1000"/>
        </w:trPr>
        <w:tc>
          <w:tcPr>
            <w:tcW w:w="417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E07F20F" w14:textId="000E613A" w:rsidR="003B2A34" w:rsidRPr="00ED576E" w:rsidRDefault="003B2A34" w:rsidP="00927978">
            <w:pPr>
              <w:rPr>
                <w:sz w:val="20"/>
                <w:szCs w:val="20"/>
              </w:rPr>
            </w:pPr>
            <w:r w:rsidRPr="00ED576E">
              <w:rPr>
                <w:sz w:val="20"/>
                <w:szCs w:val="20"/>
              </w:rPr>
              <w:t>Program Overview Survey: Executive Director Interview Guide (1 Executive Director respondent per grantee)</w:t>
            </w:r>
          </w:p>
        </w:tc>
        <w:tc>
          <w:tcPr>
            <w:tcW w:w="147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1DE241B" w14:textId="42B48D2A" w:rsidR="003B2A34" w:rsidRPr="00ED576E" w:rsidRDefault="003B2A34" w:rsidP="00927978">
            <w:pPr>
              <w:jc w:val="center"/>
              <w:rPr>
                <w:sz w:val="20"/>
                <w:szCs w:val="20"/>
              </w:rPr>
            </w:pPr>
            <w:r w:rsidRPr="00ED576E">
              <w:rPr>
                <w:sz w:val="20"/>
                <w:szCs w:val="20"/>
              </w:rPr>
              <w:t>14</w:t>
            </w:r>
          </w:p>
        </w:tc>
        <w:tc>
          <w:tcPr>
            <w:tcW w:w="13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21C06FD" w14:textId="23986CB6" w:rsidR="003B2A34" w:rsidRPr="00ED576E" w:rsidRDefault="003B2A34" w:rsidP="00927978">
            <w:pPr>
              <w:jc w:val="center"/>
              <w:rPr>
                <w:sz w:val="20"/>
                <w:szCs w:val="20"/>
              </w:rPr>
            </w:pPr>
            <w:r w:rsidRPr="00ED576E">
              <w:rPr>
                <w:sz w:val="20"/>
                <w:szCs w:val="20"/>
              </w:rPr>
              <w:t>1</w:t>
            </w:r>
          </w:p>
        </w:tc>
        <w:tc>
          <w:tcPr>
            <w:tcW w:w="127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844CFF6" w14:textId="298F4B2D" w:rsidR="003B2A34" w:rsidRPr="00ED576E" w:rsidRDefault="003B2A34" w:rsidP="00927978">
            <w:pPr>
              <w:jc w:val="center"/>
              <w:rPr>
                <w:sz w:val="20"/>
                <w:szCs w:val="20"/>
              </w:rPr>
            </w:pPr>
            <w:r w:rsidRPr="00ED576E">
              <w:rPr>
                <w:sz w:val="20"/>
                <w:szCs w:val="20"/>
              </w:rPr>
              <w:t>1</w:t>
            </w:r>
          </w:p>
        </w:tc>
        <w:tc>
          <w:tcPr>
            <w:tcW w:w="13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2EABEC0" w14:textId="7943B4A4" w:rsidR="003B2A34" w:rsidRPr="00ED576E" w:rsidRDefault="003B2A34" w:rsidP="00927978">
            <w:pPr>
              <w:jc w:val="center"/>
              <w:rPr>
                <w:sz w:val="20"/>
                <w:szCs w:val="20"/>
              </w:rPr>
            </w:pPr>
            <w:r w:rsidRPr="00ED576E">
              <w:rPr>
                <w:sz w:val="20"/>
                <w:szCs w:val="20"/>
              </w:rPr>
              <w:t>14</w:t>
            </w:r>
          </w:p>
        </w:tc>
      </w:tr>
      <w:tr w:rsidR="003B2A34" w:rsidRPr="00ED576E" w14:paraId="7CD175A9" w14:textId="211481B4" w:rsidTr="00927978">
        <w:trPr>
          <w:trHeight w:val="1000"/>
        </w:trPr>
        <w:tc>
          <w:tcPr>
            <w:tcW w:w="417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1A4C530" w14:textId="09FA420B" w:rsidR="003B2A34" w:rsidRPr="00ED576E" w:rsidRDefault="003B2A34" w:rsidP="00927978">
            <w:pPr>
              <w:rPr>
                <w:sz w:val="20"/>
                <w:szCs w:val="20"/>
              </w:rPr>
            </w:pPr>
            <w:r w:rsidRPr="00ED576E">
              <w:rPr>
                <w:sz w:val="20"/>
                <w:szCs w:val="20"/>
              </w:rPr>
              <w:t>Program Overview Survey: Program Staff Interview Guide (4 Program Staff respondents per grantee)</w:t>
            </w:r>
          </w:p>
        </w:tc>
        <w:tc>
          <w:tcPr>
            <w:tcW w:w="147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92D9C47" w14:textId="60C461EE" w:rsidR="003B2A34" w:rsidRPr="00ED576E" w:rsidRDefault="003B2A34" w:rsidP="00927978">
            <w:pPr>
              <w:jc w:val="center"/>
              <w:rPr>
                <w:sz w:val="20"/>
                <w:szCs w:val="20"/>
              </w:rPr>
            </w:pPr>
            <w:r w:rsidRPr="00ED576E">
              <w:rPr>
                <w:sz w:val="20"/>
                <w:szCs w:val="20"/>
              </w:rPr>
              <w:t>56</w:t>
            </w:r>
          </w:p>
        </w:tc>
        <w:tc>
          <w:tcPr>
            <w:tcW w:w="13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5D12177" w14:textId="68EDE1AB" w:rsidR="003B2A34" w:rsidRPr="00ED576E" w:rsidRDefault="003B2A34" w:rsidP="00927978">
            <w:pPr>
              <w:jc w:val="center"/>
              <w:rPr>
                <w:sz w:val="20"/>
                <w:szCs w:val="20"/>
              </w:rPr>
            </w:pPr>
            <w:r w:rsidRPr="00ED576E">
              <w:rPr>
                <w:sz w:val="20"/>
                <w:szCs w:val="20"/>
              </w:rPr>
              <w:t>1</w:t>
            </w:r>
          </w:p>
        </w:tc>
        <w:tc>
          <w:tcPr>
            <w:tcW w:w="127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2FDAB9E" w14:textId="08F740C8" w:rsidR="003B2A34" w:rsidRPr="00ED576E" w:rsidRDefault="003B2A34" w:rsidP="00927978">
            <w:pPr>
              <w:jc w:val="center"/>
              <w:rPr>
                <w:sz w:val="20"/>
                <w:szCs w:val="20"/>
              </w:rPr>
            </w:pPr>
            <w:r w:rsidRPr="00ED576E">
              <w:rPr>
                <w:sz w:val="20"/>
                <w:szCs w:val="20"/>
              </w:rPr>
              <w:t>2</w:t>
            </w:r>
          </w:p>
        </w:tc>
        <w:tc>
          <w:tcPr>
            <w:tcW w:w="13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8ADC0FD" w14:textId="107CDC1A" w:rsidR="003B2A34" w:rsidRPr="00ED576E" w:rsidRDefault="003B2A34" w:rsidP="00927978">
            <w:pPr>
              <w:jc w:val="center"/>
              <w:rPr>
                <w:sz w:val="20"/>
                <w:szCs w:val="20"/>
              </w:rPr>
            </w:pPr>
            <w:r w:rsidRPr="00ED576E">
              <w:rPr>
                <w:sz w:val="20"/>
                <w:szCs w:val="20"/>
              </w:rPr>
              <w:t>112</w:t>
            </w:r>
          </w:p>
        </w:tc>
      </w:tr>
      <w:tr w:rsidR="003B2A34" w:rsidRPr="00ED576E" w14:paraId="341977B2" w14:textId="04F37CBB" w:rsidTr="00927978">
        <w:trPr>
          <w:trHeight w:val="1000"/>
        </w:trPr>
        <w:tc>
          <w:tcPr>
            <w:tcW w:w="417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A9BC6BD" w14:textId="2AC088F8" w:rsidR="003B2A34" w:rsidRPr="00ED576E" w:rsidRDefault="003B2A34" w:rsidP="00927978">
            <w:pPr>
              <w:rPr>
                <w:sz w:val="20"/>
                <w:szCs w:val="20"/>
              </w:rPr>
            </w:pPr>
            <w:r w:rsidRPr="00ED576E">
              <w:rPr>
                <w:sz w:val="20"/>
                <w:szCs w:val="20"/>
              </w:rPr>
              <w:t>Youth Development Survey Interview Guide (1 Executive Director and 1 Program Staff respondent per grantee)</w:t>
            </w:r>
          </w:p>
        </w:tc>
        <w:tc>
          <w:tcPr>
            <w:tcW w:w="147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523FB55" w14:textId="37535CDF" w:rsidR="003B2A34" w:rsidRPr="00ED576E" w:rsidRDefault="003B2A34" w:rsidP="00927978">
            <w:pPr>
              <w:jc w:val="center"/>
              <w:rPr>
                <w:sz w:val="20"/>
                <w:szCs w:val="20"/>
              </w:rPr>
            </w:pPr>
            <w:r w:rsidRPr="00ED576E">
              <w:rPr>
                <w:sz w:val="20"/>
                <w:szCs w:val="20"/>
              </w:rPr>
              <w:t>28</w:t>
            </w:r>
          </w:p>
        </w:tc>
        <w:tc>
          <w:tcPr>
            <w:tcW w:w="13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06DA7F9" w14:textId="141EBB7E" w:rsidR="003B2A34" w:rsidRPr="00ED576E" w:rsidRDefault="003B2A34" w:rsidP="00927978">
            <w:pPr>
              <w:jc w:val="center"/>
              <w:rPr>
                <w:sz w:val="20"/>
                <w:szCs w:val="20"/>
              </w:rPr>
            </w:pPr>
            <w:r w:rsidRPr="00ED576E">
              <w:rPr>
                <w:sz w:val="20"/>
                <w:szCs w:val="20"/>
              </w:rPr>
              <w:t>1</w:t>
            </w:r>
          </w:p>
        </w:tc>
        <w:tc>
          <w:tcPr>
            <w:tcW w:w="127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29D1C8DC" w14:textId="7A0B9A80" w:rsidR="003B2A34" w:rsidRPr="00ED576E" w:rsidRDefault="003B2A34" w:rsidP="00927978">
            <w:pPr>
              <w:jc w:val="center"/>
              <w:rPr>
                <w:sz w:val="20"/>
                <w:szCs w:val="20"/>
              </w:rPr>
            </w:pPr>
            <w:r w:rsidRPr="00ED576E">
              <w:rPr>
                <w:sz w:val="20"/>
                <w:szCs w:val="20"/>
              </w:rPr>
              <w:t>0.50</w:t>
            </w:r>
          </w:p>
        </w:tc>
        <w:tc>
          <w:tcPr>
            <w:tcW w:w="13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0136BBF" w14:textId="2A331684" w:rsidR="003B2A34" w:rsidRPr="00ED576E" w:rsidRDefault="003B2A34" w:rsidP="00927978">
            <w:pPr>
              <w:jc w:val="center"/>
              <w:rPr>
                <w:sz w:val="20"/>
                <w:szCs w:val="20"/>
              </w:rPr>
            </w:pPr>
            <w:r w:rsidRPr="00ED576E">
              <w:rPr>
                <w:sz w:val="20"/>
                <w:szCs w:val="20"/>
              </w:rPr>
              <w:t>14</w:t>
            </w:r>
          </w:p>
        </w:tc>
      </w:tr>
      <w:tr w:rsidR="003B2A34" w:rsidRPr="00ED576E" w14:paraId="54AC3E5C" w14:textId="749453AB" w:rsidTr="00927978">
        <w:trPr>
          <w:trHeight w:val="727"/>
        </w:trPr>
        <w:tc>
          <w:tcPr>
            <w:tcW w:w="9640" w:type="dxa"/>
            <w:gridSpan w:val="5"/>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011C480" w14:textId="2CD14D6F" w:rsidR="003B2A34" w:rsidRPr="00ED576E" w:rsidRDefault="003B2A34" w:rsidP="00927978">
            <w:pPr>
              <w:jc w:val="center"/>
              <w:rPr>
                <w:b/>
                <w:sz w:val="20"/>
                <w:szCs w:val="20"/>
              </w:rPr>
            </w:pPr>
            <w:r w:rsidRPr="00ED576E">
              <w:rPr>
                <w:b/>
                <w:sz w:val="20"/>
                <w:szCs w:val="20"/>
              </w:rPr>
              <w:t>Young Adult Surveys</w:t>
            </w:r>
          </w:p>
        </w:tc>
      </w:tr>
      <w:tr w:rsidR="003B2A34" w:rsidRPr="00ED576E" w14:paraId="0A0EE0EA" w14:textId="47EDE980" w:rsidTr="00927978">
        <w:trPr>
          <w:trHeight w:val="674"/>
        </w:trPr>
        <w:tc>
          <w:tcPr>
            <w:tcW w:w="417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EE143C8" w14:textId="795AB7BC" w:rsidR="003B2A34" w:rsidRPr="00ED576E" w:rsidRDefault="003B2A34" w:rsidP="00927978">
            <w:pPr>
              <w:rPr>
                <w:sz w:val="20"/>
                <w:szCs w:val="20"/>
              </w:rPr>
            </w:pPr>
            <w:r w:rsidRPr="00ED576E">
              <w:rPr>
                <w:sz w:val="20"/>
                <w:szCs w:val="20"/>
              </w:rPr>
              <w:t>Young Adult Baseline Survey</w:t>
            </w:r>
          </w:p>
        </w:tc>
        <w:tc>
          <w:tcPr>
            <w:tcW w:w="147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2F2533B" w14:textId="7FA9D1DE" w:rsidR="003B2A34" w:rsidRPr="00ED576E" w:rsidRDefault="003B2A34" w:rsidP="00927978">
            <w:pPr>
              <w:jc w:val="center"/>
              <w:rPr>
                <w:sz w:val="20"/>
                <w:szCs w:val="20"/>
              </w:rPr>
            </w:pPr>
            <w:r w:rsidRPr="00ED576E">
              <w:rPr>
                <w:sz w:val="20"/>
                <w:szCs w:val="20"/>
              </w:rPr>
              <w:t>600</w:t>
            </w:r>
          </w:p>
        </w:tc>
        <w:tc>
          <w:tcPr>
            <w:tcW w:w="13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56FD6C6" w14:textId="0E5D17CF" w:rsidR="003B2A34" w:rsidRPr="00ED576E" w:rsidRDefault="003B2A34" w:rsidP="00927978">
            <w:pPr>
              <w:jc w:val="center"/>
              <w:rPr>
                <w:sz w:val="20"/>
                <w:szCs w:val="20"/>
              </w:rPr>
            </w:pPr>
            <w:r w:rsidRPr="00ED576E">
              <w:rPr>
                <w:sz w:val="20"/>
                <w:szCs w:val="20"/>
              </w:rPr>
              <w:t>1</w:t>
            </w:r>
          </w:p>
        </w:tc>
        <w:tc>
          <w:tcPr>
            <w:tcW w:w="127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E8F49B1" w14:textId="24672BCE" w:rsidR="003B2A34" w:rsidRPr="00ED576E" w:rsidRDefault="003B2A34" w:rsidP="00927978">
            <w:pPr>
              <w:jc w:val="center"/>
              <w:rPr>
                <w:sz w:val="20"/>
                <w:szCs w:val="20"/>
              </w:rPr>
            </w:pPr>
            <w:r w:rsidRPr="00ED576E">
              <w:rPr>
                <w:sz w:val="20"/>
                <w:szCs w:val="20"/>
              </w:rPr>
              <w:t>0.62</w:t>
            </w:r>
          </w:p>
        </w:tc>
        <w:tc>
          <w:tcPr>
            <w:tcW w:w="13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A0AC405" w14:textId="25083BE1" w:rsidR="003B2A34" w:rsidRPr="00ED576E" w:rsidRDefault="003B2A34" w:rsidP="00927978">
            <w:pPr>
              <w:jc w:val="center"/>
              <w:rPr>
                <w:sz w:val="20"/>
                <w:szCs w:val="20"/>
              </w:rPr>
            </w:pPr>
            <w:r w:rsidRPr="00ED576E">
              <w:rPr>
                <w:sz w:val="20"/>
                <w:szCs w:val="20"/>
              </w:rPr>
              <w:t>372</w:t>
            </w:r>
          </w:p>
        </w:tc>
      </w:tr>
      <w:tr w:rsidR="003B2A34" w:rsidRPr="00ED576E" w14:paraId="7B4939BC" w14:textId="414A1A46" w:rsidTr="00927978">
        <w:trPr>
          <w:trHeight w:val="674"/>
        </w:trPr>
        <w:tc>
          <w:tcPr>
            <w:tcW w:w="417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629C2C29" w14:textId="41E6EDA6" w:rsidR="003B2A34" w:rsidRPr="00ED576E" w:rsidRDefault="003B2A34" w:rsidP="00927978">
            <w:pPr>
              <w:rPr>
                <w:sz w:val="20"/>
                <w:szCs w:val="20"/>
              </w:rPr>
            </w:pPr>
            <w:r w:rsidRPr="00ED576E">
              <w:rPr>
                <w:sz w:val="20"/>
                <w:szCs w:val="20"/>
              </w:rPr>
              <w:t>Young Adult 6-Month Follow Up Survey</w:t>
            </w:r>
          </w:p>
        </w:tc>
        <w:tc>
          <w:tcPr>
            <w:tcW w:w="147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C571303" w14:textId="679F7A09" w:rsidR="003B2A34" w:rsidRPr="00ED576E" w:rsidRDefault="003B2A34" w:rsidP="00927978">
            <w:pPr>
              <w:jc w:val="center"/>
              <w:rPr>
                <w:sz w:val="20"/>
                <w:szCs w:val="20"/>
              </w:rPr>
            </w:pPr>
            <w:r w:rsidRPr="00ED576E">
              <w:rPr>
                <w:sz w:val="20"/>
                <w:szCs w:val="20"/>
              </w:rPr>
              <w:t>600</w:t>
            </w:r>
          </w:p>
        </w:tc>
        <w:tc>
          <w:tcPr>
            <w:tcW w:w="13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3812611" w14:textId="7405E5EF" w:rsidR="003B2A34" w:rsidRPr="00ED576E" w:rsidRDefault="003B2A34" w:rsidP="00927978">
            <w:pPr>
              <w:jc w:val="center"/>
              <w:rPr>
                <w:sz w:val="20"/>
                <w:szCs w:val="20"/>
              </w:rPr>
            </w:pPr>
            <w:r w:rsidRPr="00ED576E">
              <w:rPr>
                <w:sz w:val="20"/>
                <w:szCs w:val="20"/>
              </w:rPr>
              <w:t>1</w:t>
            </w:r>
          </w:p>
        </w:tc>
        <w:tc>
          <w:tcPr>
            <w:tcW w:w="127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C9E3B10" w14:textId="2153082C" w:rsidR="003B2A34" w:rsidRPr="00ED576E" w:rsidRDefault="003B2A34" w:rsidP="00927978">
            <w:pPr>
              <w:jc w:val="center"/>
              <w:rPr>
                <w:sz w:val="20"/>
                <w:szCs w:val="20"/>
              </w:rPr>
            </w:pPr>
            <w:r w:rsidRPr="00ED576E">
              <w:rPr>
                <w:sz w:val="20"/>
                <w:szCs w:val="20"/>
              </w:rPr>
              <w:t>0.61</w:t>
            </w:r>
          </w:p>
        </w:tc>
        <w:tc>
          <w:tcPr>
            <w:tcW w:w="13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D4C82F7" w14:textId="096D4DB0" w:rsidR="003B2A34" w:rsidRPr="00ED576E" w:rsidRDefault="003B2A34" w:rsidP="00927978">
            <w:pPr>
              <w:jc w:val="center"/>
              <w:rPr>
                <w:sz w:val="20"/>
                <w:szCs w:val="20"/>
              </w:rPr>
            </w:pPr>
            <w:r w:rsidRPr="00ED576E">
              <w:rPr>
                <w:sz w:val="20"/>
                <w:szCs w:val="20"/>
              </w:rPr>
              <w:t>366</w:t>
            </w:r>
          </w:p>
        </w:tc>
      </w:tr>
      <w:tr w:rsidR="003B2A34" w:rsidRPr="00ED576E" w14:paraId="35B17A44" w14:textId="4840DA61" w:rsidTr="00927978">
        <w:trPr>
          <w:trHeight w:val="674"/>
        </w:trPr>
        <w:tc>
          <w:tcPr>
            <w:tcW w:w="417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C7B3CAD" w14:textId="628A1862" w:rsidR="003B2A34" w:rsidRPr="00ED576E" w:rsidRDefault="003B2A34" w:rsidP="00927978">
            <w:pPr>
              <w:rPr>
                <w:sz w:val="20"/>
                <w:szCs w:val="20"/>
              </w:rPr>
            </w:pPr>
            <w:r w:rsidRPr="00ED576E">
              <w:rPr>
                <w:sz w:val="20"/>
                <w:szCs w:val="20"/>
              </w:rPr>
              <w:t>Young Adult 12-Month Follow Up Survey</w:t>
            </w:r>
          </w:p>
        </w:tc>
        <w:tc>
          <w:tcPr>
            <w:tcW w:w="147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ED38713" w14:textId="69A8B3A2" w:rsidR="003B2A34" w:rsidRPr="00ED576E" w:rsidRDefault="003B2A34" w:rsidP="00927978">
            <w:pPr>
              <w:jc w:val="center"/>
              <w:rPr>
                <w:sz w:val="20"/>
                <w:szCs w:val="20"/>
              </w:rPr>
            </w:pPr>
            <w:r w:rsidRPr="00ED576E">
              <w:rPr>
                <w:sz w:val="20"/>
                <w:szCs w:val="20"/>
              </w:rPr>
              <w:t>600</w:t>
            </w:r>
          </w:p>
        </w:tc>
        <w:tc>
          <w:tcPr>
            <w:tcW w:w="136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3F1AFA7" w14:textId="131D40C8" w:rsidR="003B2A34" w:rsidRPr="00ED576E" w:rsidRDefault="003B2A34" w:rsidP="00927978">
            <w:pPr>
              <w:jc w:val="center"/>
              <w:rPr>
                <w:sz w:val="20"/>
                <w:szCs w:val="20"/>
              </w:rPr>
            </w:pPr>
            <w:r w:rsidRPr="00ED576E">
              <w:rPr>
                <w:sz w:val="20"/>
                <w:szCs w:val="20"/>
              </w:rPr>
              <w:t>1</w:t>
            </w:r>
          </w:p>
        </w:tc>
        <w:tc>
          <w:tcPr>
            <w:tcW w:w="127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9EC8C01" w14:textId="644AE8D5" w:rsidR="003B2A34" w:rsidRPr="00ED576E" w:rsidRDefault="003B2A34" w:rsidP="00927978">
            <w:pPr>
              <w:jc w:val="center"/>
              <w:rPr>
                <w:sz w:val="20"/>
                <w:szCs w:val="20"/>
              </w:rPr>
            </w:pPr>
            <w:r w:rsidRPr="00ED576E">
              <w:rPr>
                <w:sz w:val="20"/>
                <w:szCs w:val="20"/>
              </w:rPr>
              <w:t>0.61</w:t>
            </w:r>
          </w:p>
        </w:tc>
        <w:tc>
          <w:tcPr>
            <w:tcW w:w="13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02C4099D" w14:textId="28D32BB7" w:rsidR="003B2A34" w:rsidRPr="00ED576E" w:rsidRDefault="003B2A34" w:rsidP="00927978">
            <w:pPr>
              <w:jc w:val="center"/>
              <w:rPr>
                <w:sz w:val="20"/>
                <w:szCs w:val="20"/>
              </w:rPr>
            </w:pPr>
            <w:r w:rsidRPr="00ED576E">
              <w:rPr>
                <w:sz w:val="20"/>
                <w:szCs w:val="20"/>
              </w:rPr>
              <w:t>366</w:t>
            </w:r>
          </w:p>
        </w:tc>
      </w:tr>
      <w:tr w:rsidR="003B2A34" w:rsidRPr="00ED576E" w14:paraId="11C58E94" w14:textId="239C5FA8" w:rsidTr="00927978">
        <w:trPr>
          <w:trHeight w:val="674"/>
        </w:trPr>
        <w:tc>
          <w:tcPr>
            <w:tcW w:w="8284"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A8C13CA" w14:textId="2C2E6398" w:rsidR="003B2A34" w:rsidRPr="00ED576E" w:rsidRDefault="003B2A34" w:rsidP="00927978">
            <w:pPr>
              <w:jc w:val="right"/>
              <w:rPr>
                <w:sz w:val="20"/>
                <w:szCs w:val="20"/>
              </w:rPr>
            </w:pPr>
            <w:r w:rsidRPr="00ED576E">
              <w:rPr>
                <w:sz w:val="20"/>
                <w:szCs w:val="20"/>
              </w:rPr>
              <w:t>Total</w:t>
            </w:r>
          </w:p>
        </w:tc>
        <w:tc>
          <w:tcPr>
            <w:tcW w:w="135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4AE01655" w14:textId="09EB5158" w:rsidR="003B2A34" w:rsidRPr="00ED576E" w:rsidRDefault="003B2A34" w:rsidP="00927978">
            <w:pPr>
              <w:jc w:val="center"/>
              <w:rPr>
                <w:sz w:val="20"/>
                <w:szCs w:val="20"/>
              </w:rPr>
            </w:pPr>
            <w:r w:rsidRPr="00ED576E">
              <w:rPr>
                <w:sz w:val="20"/>
                <w:szCs w:val="20"/>
              </w:rPr>
              <w:t>1,244</w:t>
            </w:r>
          </w:p>
        </w:tc>
      </w:tr>
    </w:tbl>
    <w:p w14:paraId="08F787C4" w14:textId="77777777" w:rsidR="000C6DA4" w:rsidRDefault="000C6DA4" w:rsidP="00173000">
      <w:pPr>
        <w:pStyle w:val="NoSpacing"/>
        <w:spacing w:after="60"/>
        <w:rPr>
          <w:rFonts w:ascii="Times New Roman" w:hAnsi="Times New Roman"/>
          <w:b/>
          <w:szCs w:val="24"/>
        </w:rPr>
      </w:pPr>
    </w:p>
    <w:p w14:paraId="56CFF76C" w14:textId="0F213B95" w:rsidR="00173000" w:rsidRDefault="00173000" w:rsidP="00173000">
      <w:pPr>
        <w:pStyle w:val="NoSpacing"/>
        <w:spacing w:after="60"/>
        <w:rPr>
          <w:rFonts w:ascii="Times New Roman" w:hAnsi="Times New Roman"/>
          <w:b/>
          <w:szCs w:val="24"/>
        </w:rPr>
      </w:pPr>
      <w:r w:rsidRPr="00173000">
        <w:rPr>
          <w:rFonts w:ascii="Times New Roman" w:hAnsi="Times New Roman"/>
          <w:b/>
          <w:szCs w:val="24"/>
        </w:rPr>
        <w:t>Newly Requested Information Collections</w:t>
      </w:r>
    </w:p>
    <w:p w14:paraId="0353BB76" w14:textId="0192CC8E" w:rsidR="00173000" w:rsidRDefault="00DE3B4D" w:rsidP="00173000">
      <w:pPr>
        <w:spacing w:after="60"/>
        <w:rPr>
          <w:rFonts w:cs="Courier New"/>
        </w:rPr>
      </w:pPr>
      <w:r>
        <w:rPr>
          <w:rFonts w:cs="Courier New"/>
        </w:rPr>
        <w:t xml:space="preserve">All data collection for the implementation interviews is now complete. </w:t>
      </w:r>
      <w:r w:rsidR="008447CA">
        <w:t xml:space="preserve">To date, none of the approved burden hours for the </w:t>
      </w:r>
      <w:r w:rsidR="008447CA">
        <w:rPr>
          <w:snapToGrid w:val="0"/>
        </w:rPr>
        <w:t xml:space="preserve">Youth Outcomes Study </w:t>
      </w:r>
      <w:r w:rsidR="008447CA">
        <w:t xml:space="preserve">have been used. </w:t>
      </w:r>
      <w:r w:rsidR="00173000">
        <w:t>As shown in Exhibit A.12.</w:t>
      </w:r>
      <w:r>
        <w:t>2</w:t>
      </w:r>
      <w:r w:rsidR="00173000">
        <w:t>, future collections for the Youth Outcomes Study will involve a total of 1,800 respondents</w:t>
      </w:r>
      <w:r w:rsidR="00C853AC">
        <w:t>. Since we will collect data over a three year period, this has been annualized. The total burden over three years is expected to be</w:t>
      </w:r>
      <w:r w:rsidR="00173000">
        <w:t xml:space="preserve"> 1,104 hours of burden</w:t>
      </w:r>
      <w:r w:rsidR="00C853AC">
        <w:t>, or 368 hours annualized</w:t>
      </w:r>
      <w:r w:rsidR="00173000">
        <w:t>.</w:t>
      </w:r>
      <w:r w:rsidR="00173000" w:rsidRPr="00486A56">
        <w:t xml:space="preserve"> </w:t>
      </w:r>
      <w:r w:rsidR="00173000">
        <w:rPr>
          <w:rFonts w:cs="Courier New"/>
        </w:rPr>
        <w:t xml:space="preserve">These burden estimates are based on pretests of the survey instruments, as well as experience with similar data collection efforts for other studies.  </w:t>
      </w:r>
    </w:p>
    <w:p w14:paraId="07EBF036" w14:textId="77777777" w:rsidR="001F2A5A" w:rsidRDefault="001F2A5A" w:rsidP="00173000">
      <w:pPr>
        <w:pStyle w:val="NoSpacing"/>
        <w:spacing w:after="60"/>
        <w:rPr>
          <w:rFonts w:ascii="Times New Roman" w:hAnsi="Times New Roman"/>
          <w:szCs w:val="24"/>
        </w:rPr>
      </w:pPr>
    </w:p>
    <w:p w14:paraId="004FBACB" w14:textId="7E052C51" w:rsidR="00ED576E" w:rsidRPr="0029531D" w:rsidRDefault="00ED576E" w:rsidP="00ED576E">
      <w:pPr>
        <w:rPr>
          <w:b/>
        </w:rPr>
      </w:pPr>
      <w:r>
        <w:rPr>
          <w:b/>
        </w:rPr>
        <w:t>Exhibit A.12.2</w:t>
      </w:r>
      <w:r w:rsidRPr="0029531D">
        <w:rPr>
          <w:b/>
        </w:rPr>
        <w:t xml:space="preserve">. Simplified Burden Table: Current Burden Status </w:t>
      </w:r>
      <w:r w:rsidR="003B2A34" w:rsidRPr="0029531D">
        <w:rPr>
          <w:b/>
        </w:rPr>
        <w:t xml:space="preserve"> </w:t>
      </w:r>
    </w:p>
    <w:tbl>
      <w:tblPr>
        <w:tblW w:w="10458" w:type="dxa"/>
        <w:tblInd w:w="-23" w:type="dxa"/>
        <w:tblLayout w:type="fixed"/>
        <w:tblCellMar>
          <w:left w:w="0" w:type="dxa"/>
          <w:right w:w="0" w:type="dxa"/>
        </w:tblCellMar>
        <w:tblLook w:val="04A0" w:firstRow="1" w:lastRow="0" w:firstColumn="1" w:lastColumn="0" w:noHBand="0" w:noVBand="1"/>
      </w:tblPr>
      <w:tblGrid>
        <w:gridCol w:w="1998"/>
        <w:gridCol w:w="1260"/>
        <w:gridCol w:w="1260"/>
        <w:gridCol w:w="1260"/>
        <w:gridCol w:w="1350"/>
        <w:gridCol w:w="1260"/>
        <w:gridCol w:w="1080"/>
        <w:gridCol w:w="990"/>
      </w:tblGrid>
      <w:tr w:rsidR="00C853AC" w:rsidRPr="00ED576E" w14:paraId="429229C8" w14:textId="708F64E0" w:rsidTr="000C6DA4">
        <w:trPr>
          <w:trHeight w:val="1200"/>
        </w:trPr>
        <w:tc>
          <w:tcPr>
            <w:tcW w:w="19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0DBDBC9D" w14:textId="77777777" w:rsidR="00C853AC" w:rsidRPr="00ED576E" w:rsidRDefault="00C853AC" w:rsidP="00C853AC">
            <w:pPr>
              <w:spacing w:before="60" w:after="60"/>
              <w:rPr>
                <w:b/>
                <w:color w:val="000000"/>
                <w:sz w:val="20"/>
                <w:szCs w:val="20"/>
              </w:rPr>
            </w:pPr>
            <w:r w:rsidRPr="00ED576E">
              <w:rPr>
                <w:b/>
                <w:color w:val="000000"/>
                <w:sz w:val="20"/>
                <w:szCs w:val="20"/>
              </w:rPr>
              <w:t>Instrument</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F995B9" w14:textId="77BE0D2B" w:rsidR="00C853AC" w:rsidRPr="00ED576E" w:rsidRDefault="00C853AC" w:rsidP="00C853AC">
            <w:pPr>
              <w:spacing w:before="60" w:after="60"/>
              <w:jc w:val="center"/>
              <w:rPr>
                <w:b/>
                <w:color w:val="000000"/>
                <w:sz w:val="20"/>
                <w:szCs w:val="20"/>
              </w:rPr>
            </w:pPr>
            <w:r w:rsidRPr="00ED576E">
              <w:rPr>
                <w:b/>
                <w:color w:val="000000"/>
                <w:sz w:val="20"/>
                <w:szCs w:val="20"/>
              </w:rPr>
              <w:t>Total 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F23389" w14:textId="2215611C" w:rsidR="00C853AC" w:rsidRPr="00ED576E" w:rsidRDefault="00C853AC" w:rsidP="00C853AC">
            <w:pPr>
              <w:spacing w:before="60" w:after="60"/>
              <w:jc w:val="center"/>
              <w:rPr>
                <w:b/>
                <w:color w:val="000000"/>
                <w:sz w:val="20"/>
                <w:szCs w:val="20"/>
              </w:rPr>
            </w:pPr>
            <w:r>
              <w:rPr>
                <w:b/>
                <w:color w:val="000000"/>
                <w:sz w:val="20"/>
                <w:szCs w:val="20"/>
              </w:rPr>
              <w:t xml:space="preserve">Annual </w:t>
            </w:r>
            <w:r w:rsidRPr="00ED576E">
              <w:rPr>
                <w:b/>
                <w:color w:val="000000"/>
                <w:sz w:val="20"/>
                <w:szCs w:val="20"/>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7BF1B55F" w14:textId="00B02118" w:rsidR="00C853AC" w:rsidRPr="00ED576E" w:rsidRDefault="00C853AC" w:rsidP="00C853AC">
            <w:pPr>
              <w:spacing w:before="60" w:after="60"/>
              <w:jc w:val="center"/>
              <w:rPr>
                <w:b/>
                <w:color w:val="000000"/>
                <w:sz w:val="20"/>
                <w:szCs w:val="20"/>
              </w:rPr>
            </w:pPr>
            <w:r w:rsidRPr="00ED576E">
              <w:rPr>
                <w:b/>
                <w:color w:val="000000"/>
                <w:sz w:val="20"/>
                <w:szCs w:val="20"/>
              </w:rPr>
              <w:t>Number of Responses per Respondent</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vAlign w:val="center"/>
            <w:hideMark/>
          </w:tcPr>
          <w:p w14:paraId="02C807C2" w14:textId="77777777" w:rsidR="00C853AC" w:rsidRPr="00ED576E" w:rsidRDefault="00C853AC" w:rsidP="00C853AC">
            <w:pPr>
              <w:spacing w:before="60" w:after="60"/>
              <w:jc w:val="center"/>
              <w:rPr>
                <w:b/>
                <w:color w:val="000000"/>
                <w:sz w:val="20"/>
                <w:szCs w:val="20"/>
              </w:rPr>
            </w:pPr>
            <w:r w:rsidRPr="00ED576E">
              <w:rPr>
                <w:b/>
                <w:color w:val="000000"/>
                <w:sz w:val="20"/>
                <w:szCs w:val="20"/>
              </w:rPr>
              <w:t>Average Burden Hours per Response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DE55E6" w14:textId="77777777" w:rsidR="00C853AC" w:rsidRPr="00ED576E" w:rsidRDefault="00C853AC" w:rsidP="00C853AC">
            <w:pPr>
              <w:spacing w:before="60" w:after="60"/>
              <w:jc w:val="center"/>
              <w:rPr>
                <w:b/>
                <w:sz w:val="20"/>
                <w:szCs w:val="20"/>
              </w:rPr>
            </w:pPr>
            <w:r w:rsidRPr="00ED576E">
              <w:rPr>
                <w:b/>
                <w:sz w:val="20"/>
                <w:szCs w:val="20"/>
              </w:rPr>
              <w:t>Total/Annual Burden Hours</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758ADF" w14:textId="09806037" w:rsidR="00C853AC" w:rsidRPr="00ED576E" w:rsidRDefault="00C853AC" w:rsidP="00C853AC">
            <w:pPr>
              <w:spacing w:before="60" w:after="60"/>
              <w:jc w:val="center"/>
              <w:rPr>
                <w:b/>
                <w:sz w:val="20"/>
                <w:szCs w:val="20"/>
              </w:rPr>
            </w:pPr>
            <w:r w:rsidRPr="003B2A34">
              <w:rPr>
                <w:b/>
                <w:bCs/>
                <w:sz w:val="20"/>
                <w:szCs w:val="20"/>
              </w:rPr>
              <w:t>Average Hourly Wage</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1DDF82" w14:textId="1CF7DFD8" w:rsidR="00C853AC" w:rsidRPr="00ED576E" w:rsidRDefault="00C853AC" w:rsidP="00C853AC">
            <w:pPr>
              <w:spacing w:before="60" w:after="60"/>
              <w:jc w:val="center"/>
              <w:rPr>
                <w:b/>
                <w:sz w:val="20"/>
                <w:szCs w:val="20"/>
              </w:rPr>
            </w:pPr>
            <w:r w:rsidRPr="003B2A34">
              <w:rPr>
                <w:b/>
                <w:bCs/>
                <w:sz w:val="20"/>
                <w:szCs w:val="20"/>
              </w:rPr>
              <w:t>Total Annual Cost</w:t>
            </w:r>
          </w:p>
        </w:tc>
      </w:tr>
      <w:tr w:rsidR="00C853AC" w:rsidRPr="00ED576E" w14:paraId="2B213ED4" w14:textId="3D145B10" w:rsidTr="000C6DA4">
        <w:trPr>
          <w:trHeight w:val="662"/>
        </w:trPr>
        <w:tc>
          <w:tcPr>
            <w:tcW w:w="1998"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C59A43C" w14:textId="77777777" w:rsidR="00C853AC" w:rsidRPr="00ED576E" w:rsidRDefault="00C853AC" w:rsidP="00C853AC">
            <w:pPr>
              <w:spacing w:after="60"/>
              <w:rPr>
                <w:color w:val="000000"/>
                <w:sz w:val="20"/>
                <w:szCs w:val="20"/>
              </w:rPr>
            </w:pPr>
            <w:r w:rsidRPr="00ED576E">
              <w:rPr>
                <w:color w:val="000000"/>
                <w:sz w:val="20"/>
                <w:szCs w:val="20"/>
              </w:rPr>
              <w:t>Young Adult Baseline Survey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5FE960C" w14:textId="77777777" w:rsidR="00C853AC" w:rsidRPr="00ED576E" w:rsidRDefault="00C853AC" w:rsidP="00C853AC">
            <w:pPr>
              <w:spacing w:after="60"/>
              <w:jc w:val="center"/>
              <w:rPr>
                <w:color w:val="000000"/>
                <w:sz w:val="20"/>
                <w:szCs w:val="20"/>
              </w:rPr>
            </w:pPr>
            <w:r w:rsidRPr="00ED576E">
              <w:rPr>
                <w:color w:val="000000"/>
                <w:sz w:val="20"/>
                <w:szCs w:val="20"/>
              </w:rPr>
              <w:t>600</w:t>
            </w:r>
          </w:p>
        </w:tc>
        <w:tc>
          <w:tcPr>
            <w:tcW w:w="1260" w:type="dxa"/>
            <w:tcBorders>
              <w:top w:val="single" w:sz="4" w:space="0" w:color="auto"/>
              <w:left w:val="single" w:sz="4" w:space="0" w:color="auto"/>
              <w:bottom w:val="single" w:sz="4" w:space="0" w:color="auto"/>
              <w:right w:val="single" w:sz="4" w:space="0" w:color="auto"/>
            </w:tcBorders>
            <w:vAlign w:val="center"/>
          </w:tcPr>
          <w:p w14:paraId="43EA7058" w14:textId="29296989" w:rsidR="00C853AC" w:rsidRPr="00ED576E" w:rsidRDefault="00C853AC" w:rsidP="00C853AC">
            <w:pPr>
              <w:spacing w:after="60"/>
              <w:jc w:val="center"/>
              <w:rPr>
                <w:color w:val="000000"/>
                <w:sz w:val="20"/>
                <w:szCs w:val="20"/>
              </w:rPr>
            </w:pPr>
            <w:r>
              <w:rPr>
                <w:color w:val="000000"/>
                <w:sz w:val="20"/>
                <w:szCs w:val="20"/>
              </w:rPr>
              <w:t>200</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2CF14C3" w14:textId="09B01A37" w:rsidR="00C853AC" w:rsidRPr="00ED576E" w:rsidRDefault="00C853AC" w:rsidP="00C853AC">
            <w:pPr>
              <w:spacing w:after="60"/>
              <w:jc w:val="center"/>
              <w:rPr>
                <w:color w:val="000000"/>
                <w:sz w:val="20"/>
                <w:szCs w:val="20"/>
              </w:rPr>
            </w:pPr>
            <w:r w:rsidRPr="00ED576E">
              <w:rPr>
                <w:color w:val="000000"/>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D5C64D7" w14:textId="77777777" w:rsidR="00C853AC" w:rsidRPr="00ED576E" w:rsidRDefault="00C853AC" w:rsidP="00C853AC">
            <w:pPr>
              <w:spacing w:after="60"/>
              <w:jc w:val="center"/>
              <w:rPr>
                <w:color w:val="000000"/>
                <w:sz w:val="20"/>
                <w:szCs w:val="20"/>
              </w:rPr>
            </w:pPr>
            <w:r w:rsidRPr="00ED576E">
              <w:rPr>
                <w:color w:val="000000"/>
                <w:sz w:val="20"/>
                <w:szCs w:val="20"/>
              </w:rPr>
              <w:t>0.62</w:t>
            </w:r>
          </w:p>
        </w:tc>
        <w:tc>
          <w:tcPr>
            <w:tcW w:w="1260" w:type="dxa"/>
            <w:tcBorders>
              <w:top w:val="single" w:sz="4" w:space="0" w:color="auto"/>
              <w:left w:val="single" w:sz="4" w:space="0" w:color="auto"/>
              <w:bottom w:val="single" w:sz="4" w:space="0" w:color="auto"/>
              <w:right w:val="single" w:sz="8" w:space="0" w:color="auto"/>
            </w:tcBorders>
            <w:shd w:val="clear" w:color="auto" w:fill="auto"/>
            <w:vAlign w:val="center"/>
          </w:tcPr>
          <w:p w14:paraId="1C956A71" w14:textId="510C238E" w:rsidR="00C853AC" w:rsidRPr="00ED576E" w:rsidRDefault="00C853AC" w:rsidP="00C853AC">
            <w:pPr>
              <w:spacing w:after="60"/>
              <w:jc w:val="center"/>
              <w:rPr>
                <w:sz w:val="20"/>
                <w:szCs w:val="20"/>
              </w:rPr>
            </w:pPr>
            <w:r>
              <w:rPr>
                <w:sz w:val="20"/>
                <w:szCs w:val="20"/>
              </w:rPr>
              <w:t>124</w:t>
            </w:r>
          </w:p>
        </w:tc>
        <w:tc>
          <w:tcPr>
            <w:tcW w:w="1080" w:type="dxa"/>
            <w:tcBorders>
              <w:top w:val="single" w:sz="4" w:space="0" w:color="auto"/>
              <w:left w:val="single" w:sz="4" w:space="0" w:color="auto"/>
              <w:bottom w:val="single" w:sz="4" w:space="0" w:color="auto"/>
              <w:right w:val="single" w:sz="4" w:space="0" w:color="auto"/>
            </w:tcBorders>
            <w:vAlign w:val="center"/>
          </w:tcPr>
          <w:p w14:paraId="6803849A" w14:textId="62A012A2" w:rsidR="00C853AC" w:rsidRPr="00ED576E" w:rsidDel="00C853AC" w:rsidRDefault="00C853AC" w:rsidP="00C853AC">
            <w:pPr>
              <w:spacing w:after="60"/>
              <w:jc w:val="center"/>
              <w:rPr>
                <w:sz w:val="20"/>
                <w:szCs w:val="20"/>
              </w:rPr>
            </w:pPr>
            <w:r>
              <w:rPr>
                <w:sz w:val="20"/>
                <w:szCs w:val="20"/>
              </w:rPr>
              <w:t>$0</w:t>
            </w:r>
          </w:p>
        </w:tc>
        <w:tc>
          <w:tcPr>
            <w:tcW w:w="990" w:type="dxa"/>
            <w:tcBorders>
              <w:top w:val="single" w:sz="4" w:space="0" w:color="auto"/>
              <w:left w:val="single" w:sz="4" w:space="0" w:color="auto"/>
              <w:bottom w:val="single" w:sz="4" w:space="0" w:color="auto"/>
              <w:right w:val="single" w:sz="8" w:space="0" w:color="auto"/>
            </w:tcBorders>
            <w:vAlign w:val="center"/>
          </w:tcPr>
          <w:p w14:paraId="50F650AD" w14:textId="31F7B016" w:rsidR="00C853AC" w:rsidRPr="00ED576E" w:rsidDel="00C853AC" w:rsidRDefault="00C853AC" w:rsidP="00C853AC">
            <w:pPr>
              <w:spacing w:after="60"/>
              <w:jc w:val="center"/>
              <w:rPr>
                <w:sz w:val="20"/>
                <w:szCs w:val="20"/>
              </w:rPr>
            </w:pPr>
            <w:r>
              <w:rPr>
                <w:sz w:val="20"/>
                <w:szCs w:val="20"/>
              </w:rPr>
              <w:t>$0</w:t>
            </w:r>
          </w:p>
        </w:tc>
      </w:tr>
      <w:tr w:rsidR="00C853AC" w:rsidRPr="00ED576E" w14:paraId="1F53BFA5" w14:textId="1481CADA" w:rsidTr="000C6DA4">
        <w:trPr>
          <w:trHeight w:val="662"/>
        </w:trPr>
        <w:tc>
          <w:tcPr>
            <w:tcW w:w="1998"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5741353" w14:textId="77777777" w:rsidR="00C853AC" w:rsidRPr="00ED576E" w:rsidRDefault="00C853AC" w:rsidP="00C853AC">
            <w:pPr>
              <w:spacing w:after="60"/>
              <w:rPr>
                <w:color w:val="000000"/>
                <w:sz w:val="20"/>
                <w:szCs w:val="20"/>
              </w:rPr>
            </w:pPr>
            <w:r w:rsidRPr="00ED576E">
              <w:rPr>
                <w:color w:val="000000"/>
                <w:sz w:val="20"/>
                <w:szCs w:val="20"/>
              </w:rPr>
              <w:t>Young Adult 6-Month Follow Up Survey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116157E" w14:textId="77777777" w:rsidR="00C853AC" w:rsidRPr="00ED576E" w:rsidRDefault="00C853AC" w:rsidP="00C853AC">
            <w:pPr>
              <w:spacing w:after="60"/>
              <w:jc w:val="center"/>
              <w:rPr>
                <w:color w:val="000000"/>
                <w:sz w:val="20"/>
                <w:szCs w:val="20"/>
              </w:rPr>
            </w:pPr>
            <w:r w:rsidRPr="00ED576E">
              <w:rPr>
                <w:color w:val="000000"/>
                <w:sz w:val="20"/>
                <w:szCs w:val="20"/>
              </w:rPr>
              <w:t>600</w:t>
            </w:r>
          </w:p>
        </w:tc>
        <w:tc>
          <w:tcPr>
            <w:tcW w:w="1260" w:type="dxa"/>
            <w:tcBorders>
              <w:top w:val="single" w:sz="4" w:space="0" w:color="auto"/>
              <w:left w:val="single" w:sz="4" w:space="0" w:color="auto"/>
              <w:bottom w:val="single" w:sz="4" w:space="0" w:color="auto"/>
              <w:right w:val="single" w:sz="4" w:space="0" w:color="auto"/>
            </w:tcBorders>
            <w:vAlign w:val="center"/>
          </w:tcPr>
          <w:p w14:paraId="48E429EE" w14:textId="0FAD2A9D" w:rsidR="00C853AC" w:rsidRPr="00ED576E" w:rsidRDefault="00C853AC" w:rsidP="00C853AC">
            <w:pPr>
              <w:spacing w:after="60"/>
              <w:jc w:val="center"/>
              <w:rPr>
                <w:color w:val="000000"/>
                <w:sz w:val="20"/>
                <w:szCs w:val="20"/>
              </w:rPr>
            </w:pPr>
            <w:r>
              <w:rPr>
                <w:color w:val="000000"/>
                <w:sz w:val="20"/>
                <w:szCs w:val="20"/>
              </w:rPr>
              <w:t>200</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7436169" w14:textId="13E4BAEF" w:rsidR="00C853AC" w:rsidRPr="00ED576E" w:rsidRDefault="00C853AC" w:rsidP="00C853AC">
            <w:pPr>
              <w:spacing w:after="60"/>
              <w:jc w:val="center"/>
              <w:rPr>
                <w:color w:val="000000"/>
                <w:sz w:val="20"/>
                <w:szCs w:val="20"/>
              </w:rPr>
            </w:pPr>
            <w:r w:rsidRPr="00ED576E">
              <w:rPr>
                <w:color w:val="000000"/>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EFCBC6E" w14:textId="77777777" w:rsidR="00C853AC" w:rsidRPr="00ED576E" w:rsidRDefault="00C853AC" w:rsidP="00C853AC">
            <w:pPr>
              <w:spacing w:after="60"/>
              <w:jc w:val="center"/>
              <w:rPr>
                <w:color w:val="000000"/>
                <w:sz w:val="20"/>
                <w:szCs w:val="20"/>
              </w:rPr>
            </w:pPr>
            <w:r w:rsidRPr="00ED576E">
              <w:rPr>
                <w:color w:val="000000"/>
                <w:sz w:val="20"/>
                <w:szCs w:val="20"/>
              </w:rPr>
              <w:t>0.61</w:t>
            </w:r>
          </w:p>
        </w:tc>
        <w:tc>
          <w:tcPr>
            <w:tcW w:w="1260" w:type="dxa"/>
            <w:tcBorders>
              <w:top w:val="single" w:sz="4" w:space="0" w:color="auto"/>
              <w:left w:val="single" w:sz="4" w:space="0" w:color="auto"/>
              <w:bottom w:val="single" w:sz="4" w:space="0" w:color="auto"/>
              <w:right w:val="single" w:sz="8" w:space="0" w:color="auto"/>
            </w:tcBorders>
            <w:shd w:val="clear" w:color="auto" w:fill="auto"/>
            <w:vAlign w:val="center"/>
          </w:tcPr>
          <w:p w14:paraId="00D5A626" w14:textId="59BCEA68" w:rsidR="00C853AC" w:rsidRPr="00ED576E" w:rsidRDefault="00C853AC" w:rsidP="00C853AC">
            <w:pPr>
              <w:spacing w:after="60"/>
              <w:jc w:val="center"/>
              <w:rPr>
                <w:sz w:val="20"/>
                <w:szCs w:val="20"/>
              </w:rPr>
            </w:pPr>
            <w:r>
              <w:rPr>
                <w:sz w:val="20"/>
                <w:szCs w:val="20"/>
              </w:rPr>
              <w:t>122</w:t>
            </w:r>
          </w:p>
        </w:tc>
        <w:tc>
          <w:tcPr>
            <w:tcW w:w="1080" w:type="dxa"/>
            <w:tcBorders>
              <w:top w:val="single" w:sz="4" w:space="0" w:color="auto"/>
              <w:left w:val="single" w:sz="4" w:space="0" w:color="auto"/>
              <w:bottom w:val="single" w:sz="4" w:space="0" w:color="auto"/>
              <w:right w:val="single" w:sz="4" w:space="0" w:color="auto"/>
            </w:tcBorders>
            <w:vAlign w:val="center"/>
          </w:tcPr>
          <w:p w14:paraId="0DB63583" w14:textId="062B10AA" w:rsidR="00C853AC" w:rsidRPr="00ED576E" w:rsidDel="00C853AC" w:rsidRDefault="00C853AC" w:rsidP="00C853AC">
            <w:pPr>
              <w:spacing w:after="60"/>
              <w:jc w:val="center"/>
              <w:rPr>
                <w:sz w:val="20"/>
                <w:szCs w:val="20"/>
              </w:rPr>
            </w:pPr>
            <w:r>
              <w:rPr>
                <w:sz w:val="20"/>
                <w:szCs w:val="20"/>
              </w:rPr>
              <w:t>$0</w:t>
            </w:r>
          </w:p>
        </w:tc>
        <w:tc>
          <w:tcPr>
            <w:tcW w:w="990" w:type="dxa"/>
            <w:tcBorders>
              <w:top w:val="single" w:sz="4" w:space="0" w:color="auto"/>
              <w:left w:val="single" w:sz="4" w:space="0" w:color="auto"/>
              <w:bottom w:val="single" w:sz="4" w:space="0" w:color="auto"/>
              <w:right w:val="single" w:sz="8" w:space="0" w:color="auto"/>
            </w:tcBorders>
            <w:vAlign w:val="center"/>
          </w:tcPr>
          <w:p w14:paraId="524FC40B" w14:textId="3D2B06FA" w:rsidR="00C853AC" w:rsidRPr="00ED576E" w:rsidDel="00C853AC" w:rsidRDefault="00C853AC" w:rsidP="00C853AC">
            <w:pPr>
              <w:spacing w:after="60"/>
              <w:jc w:val="center"/>
              <w:rPr>
                <w:sz w:val="20"/>
                <w:szCs w:val="20"/>
              </w:rPr>
            </w:pPr>
            <w:r>
              <w:rPr>
                <w:sz w:val="20"/>
                <w:szCs w:val="20"/>
              </w:rPr>
              <w:t>$0</w:t>
            </w:r>
          </w:p>
        </w:tc>
      </w:tr>
      <w:tr w:rsidR="00C853AC" w:rsidRPr="00ED576E" w14:paraId="3ECF98E5" w14:textId="5920B256" w:rsidTr="000C6DA4">
        <w:trPr>
          <w:trHeight w:val="662"/>
        </w:trPr>
        <w:tc>
          <w:tcPr>
            <w:tcW w:w="1998" w:type="dxa"/>
            <w:tcBorders>
              <w:top w:val="single" w:sz="4" w:space="0" w:color="auto"/>
              <w:left w:val="single" w:sz="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AEBED7D" w14:textId="77777777" w:rsidR="00C853AC" w:rsidRPr="00ED576E" w:rsidRDefault="00C853AC" w:rsidP="00C853AC">
            <w:pPr>
              <w:spacing w:after="60"/>
              <w:rPr>
                <w:color w:val="000000"/>
                <w:sz w:val="20"/>
                <w:szCs w:val="20"/>
              </w:rPr>
            </w:pPr>
            <w:r w:rsidRPr="00ED576E">
              <w:rPr>
                <w:color w:val="000000"/>
                <w:sz w:val="20"/>
                <w:szCs w:val="20"/>
              </w:rPr>
              <w:t>Young Adult 12-Month Follow Up Survey</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802C3DD" w14:textId="77777777" w:rsidR="00C853AC" w:rsidRPr="00ED576E" w:rsidRDefault="00C853AC" w:rsidP="00C853AC">
            <w:pPr>
              <w:spacing w:after="60"/>
              <w:jc w:val="center"/>
              <w:rPr>
                <w:color w:val="000000"/>
                <w:sz w:val="20"/>
                <w:szCs w:val="20"/>
              </w:rPr>
            </w:pPr>
            <w:r w:rsidRPr="00ED576E">
              <w:rPr>
                <w:color w:val="000000"/>
                <w:sz w:val="20"/>
                <w:szCs w:val="20"/>
              </w:rPr>
              <w:t>600</w:t>
            </w:r>
          </w:p>
        </w:tc>
        <w:tc>
          <w:tcPr>
            <w:tcW w:w="1260" w:type="dxa"/>
            <w:tcBorders>
              <w:top w:val="single" w:sz="4" w:space="0" w:color="auto"/>
              <w:left w:val="single" w:sz="4" w:space="0" w:color="auto"/>
              <w:bottom w:val="single" w:sz="4" w:space="0" w:color="auto"/>
              <w:right w:val="single" w:sz="4" w:space="0" w:color="auto"/>
            </w:tcBorders>
            <w:vAlign w:val="center"/>
          </w:tcPr>
          <w:p w14:paraId="75E447AF" w14:textId="4A8DD236" w:rsidR="00C853AC" w:rsidRPr="00ED576E" w:rsidRDefault="00C853AC" w:rsidP="00C853AC">
            <w:pPr>
              <w:spacing w:after="60"/>
              <w:jc w:val="center"/>
              <w:rPr>
                <w:color w:val="000000"/>
                <w:sz w:val="20"/>
                <w:szCs w:val="20"/>
              </w:rPr>
            </w:pPr>
            <w:r>
              <w:rPr>
                <w:color w:val="000000"/>
                <w:sz w:val="20"/>
                <w:szCs w:val="20"/>
              </w:rPr>
              <w:t>200</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D20E9A7" w14:textId="742977C2" w:rsidR="00C853AC" w:rsidRPr="00ED576E" w:rsidRDefault="00C853AC" w:rsidP="00C853AC">
            <w:pPr>
              <w:spacing w:after="60"/>
              <w:jc w:val="center"/>
              <w:rPr>
                <w:color w:val="000000"/>
                <w:sz w:val="20"/>
                <w:szCs w:val="20"/>
              </w:rPr>
            </w:pPr>
            <w:r w:rsidRPr="00ED576E">
              <w:rPr>
                <w:color w:val="000000"/>
                <w:sz w:val="20"/>
                <w:szCs w:val="20"/>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2B06298" w14:textId="77777777" w:rsidR="00C853AC" w:rsidRPr="00ED576E" w:rsidRDefault="00C853AC" w:rsidP="00C853AC">
            <w:pPr>
              <w:spacing w:after="60"/>
              <w:jc w:val="center"/>
              <w:rPr>
                <w:color w:val="000000"/>
                <w:sz w:val="20"/>
                <w:szCs w:val="20"/>
              </w:rPr>
            </w:pPr>
            <w:r w:rsidRPr="00ED576E">
              <w:rPr>
                <w:color w:val="000000"/>
                <w:sz w:val="20"/>
                <w:szCs w:val="20"/>
              </w:rPr>
              <w:t>0.61</w:t>
            </w:r>
          </w:p>
        </w:tc>
        <w:tc>
          <w:tcPr>
            <w:tcW w:w="1260" w:type="dxa"/>
            <w:tcBorders>
              <w:top w:val="single" w:sz="4" w:space="0" w:color="auto"/>
              <w:left w:val="single" w:sz="4" w:space="0" w:color="auto"/>
              <w:bottom w:val="single" w:sz="4" w:space="0" w:color="auto"/>
              <w:right w:val="single" w:sz="8" w:space="0" w:color="auto"/>
            </w:tcBorders>
            <w:shd w:val="clear" w:color="auto" w:fill="auto"/>
            <w:vAlign w:val="center"/>
          </w:tcPr>
          <w:p w14:paraId="13C31A2B" w14:textId="3F79803B" w:rsidR="00C853AC" w:rsidRPr="00ED576E" w:rsidRDefault="00C853AC" w:rsidP="00C853AC">
            <w:pPr>
              <w:spacing w:after="60"/>
              <w:jc w:val="center"/>
              <w:rPr>
                <w:sz w:val="20"/>
                <w:szCs w:val="20"/>
              </w:rPr>
            </w:pPr>
            <w:r>
              <w:rPr>
                <w:sz w:val="20"/>
                <w:szCs w:val="20"/>
              </w:rPr>
              <w:t>122</w:t>
            </w:r>
          </w:p>
        </w:tc>
        <w:tc>
          <w:tcPr>
            <w:tcW w:w="1080" w:type="dxa"/>
            <w:tcBorders>
              <w:top w:val="single" w:sz="4" w:space="0" w:color="auto"/>
              <w:left w:val="single" w:sz="4" w:space="0" w:color="auto"/>
              <w:bottom w:val="single" w:sz="4" w:space="0" w:color="auto"/>
              <w:right w:val="single" w:sz="4" w:space="0" w:color="auto"/>
            </w:tcBorders>
            <w:vAlign w:val="center"/>
          </w:tcPr>
          <w:p w14:paraId="160A4272" w14:textId="36B767A8" w:rsidR="00C853AC" w:rsidRPr="00ED576E" w:rsidDel="00C853AC" w:rsidRDefault="00C853AC" w:rsidP="00C853AC">
            <w:pPr>
              <w:spacing w:after="60"/>
              <w:jc w:val="center"/>
              <w:rPr>
                <w:sz w:val="20"/>
                <w:szCs w:val="20"/>
              </w:rPr>
            </w:pPr>
            <w:r>
              <w:rPr>
                <w:sz w:val="20"/>
                <w:szCs w:val="20"/>
              </w:rPr>
              <w:t>$0</w:t>
            </w:r>
          </w:p>
        </w:tc>
        <w:tc>
          <w:tcPr>
            <w:tcW w:w="990" w:type="dxa"/>
            <w:tcBorders>
              <w:top w:val="single" w:sz="4" w:space="0" w:color="auto"/>
              <w:left w:val="single" w:sz="4" w:space="0" w:color="auto"/>
              <w:bottom w:val="single" w:sz="4" w:space="0" w:color="auto"/>
              <w:right w:val="single" w:sz="8" w:space="0" w:color="auto"/>
            </w:tcBorders>
            <w:vAlign w:val="center"/>
          </w:tcPr>
          <w:p w14:paraId="56666D00" w14:textId="351072C5" w:rsidR="00C853AC" w:rsidRPr="00ED576E" w:rsidDel="00C853AC" w:rsidRDefault="00C853AC" w:rsidP="00C853AC">
            <w:pPr>
              <w:spacing w:after="60"/>
              <w:jc w:val="center"/>
              <w:rPr>
                <w:sz w:val="20"/>
                <w:szCs w:val="20"/>
              </w:rPr>
            </w:pPr>
            <w:r>
              <w:rPr>
                <w:sz w:val="20"/>
                <w:szCs w:val="20"/>
              </w:rPr>
              <w:t>$0</w:t>
            </w:r>
          </w:p>
        </w:tc>
      </w:tr>
      <w:tr w:rsidR="002F697E" w:rsidRPr="00ED576E" w14:paraId="43093BF4" w14:textId="77777777" w:rsidTr="000A1FF3">
        <w:trPr>
          <w:trHeight w:val="638"/>
        </w:trPr>
        <w:tc>
          <w:tcPr>
            <w:tcW w:w="7128" w:type="dxa"/>
            <w:gridSpan w:val="5"/>
            <w:tcBorders>
              <w:top w:val="single" w:sz="4" w:space="0" w:color="auto"/>
              <w:left w:val="single" w:sz="8" w:space="0" w:color="auto"/>
              <w:bottom w:val="single" w:sz="4" w:space="0" w:color="auto"/>
              <w:right w:val="single" w:sz="4" w:space="0" w:color="auto"/>
            </w:tcBorders>
          </w:tcPr>
          <w:p w14:paraId="3D2968A7" w14:textId="519EE84E" w:rsidR="002F697E" w:rsidRPr="00ED576E" w:rsidRDefault="002F697E" w:rsidP="002F697E">
            <w:pPr>
              <w:spacing w:before="160"/>
              <w:ind w:right="288"/>
              <w:jc w:val="right"/>
              <w:rPr>
                <w:color w:val="000000"/>
                <w:sz w:val="20"/>
                <w:szCs w:val="20"/>
              </w:rPr>
            </w:pPr>
            <w:r w:rsidRPr="00ED576E">
              <w:rPr>
                <w:color w:val="000000"/>
                <w:sz w:val="20"/>
                <w:szCs w:val="20"/>
              </w:rPr>
              <w:t>Total</w:t>
            </w:r>
          </w:p>
        </w:tc>
        <w:tc>
          <w:tcPr>
            <w:tcW w:w="1260" w:type="dxa"/>
            <w:tcBorders>
              <w:top w:val="single" w:sz="4" w:space="0" w:color="auto"/>
              <w:left w:val="single" w:sz="4" w:space="0" w:color="auto"/>
              <w:bottom w:val="single" w:sz="4" w:space="0" w:color="auto"/>
              <w:right w:val="single" w:sz="4" w:space="0" w:color="auto"/>
            </w:tcBorders>
            <w:vAlign w:val="center"/>
          </w:tcPr>
          <w:p w14:paraId="1FBBAABA" w14:textId="33393937" w:rsidR="002F697E" w:rsidRPr="00ED576E" w:rsidRDefault="002F697E" w:rsidP="00C853AC">
            <w:pPr>
              <w:spacing w:after="60"/>
              <w:jc w:val="center"/>
              <w:rPr>
                <w:sz w:val="20"/>
                <w:szCs w:val="20"/>
              </w:rPr>
            </w:pPr>
            <w:r>
              <w:rPr>
                <w:sz w:val="20"/>
                <w:szCs w:val="20"/>
              </w:rPr>
              <w:t>368</w:t>
            </w:r>
          </w:p>
        </w:tc>
        <w:tc>
          <w:tcPr>
            <w:tcW w:w="1080" w:type="dxa"/>
            <w:tcBorders>
              <w:top w:val="single" w:sz="4" w:space="0" w:color="auto"/>
              <w:left w:val="single" w:sz="4" w:space="0" w:color="auto"/>
              <w:bottom w:val="single" w:sz="4" w:space="0" w:color="auto"/>
              <w:right w:val="single" w:sz="4" w:space="0" w:color="auto"/>
            </w:tcBorders>
          </w:tcPr>
          <w:p w14:paraId="02277798" w14:textId="77777777" w:rsidR="002F697E" w:rsidRPr="00ED576E" w:rsidRDefault="002F697E" w:rsidP="00C853AC">
            <w:pPr>
              <w:spacing w:after="60"/>
              <w:jc w:val="center"/>
              <w:rPr>
                <w:sz w:val="20"/>
                <w:szCs w:val="20"/>
              </w:rPr>
            </w:pPr>
          </w:p>
        </w:tc>
        <w:tc>
          <w:tcPr>
            <w:tcW w:w="990" w:type="dxa"/>
            <w:tcBorders>
              <w:top w:val="single" w:sz="4" w:space="0" w:color="auto"/>
              <w:left w:val="single" w:sz="4" w:space="0" w:color="auto"/>
              <w:bottom w:val="single" w:sz="4" w:space="0" w:color="auto"/>
              <w:right w:val="single" w:sz="8" w:space="0" w:color="auto"/>
            </w:tcBorders>
            <w:shd w:val="clear" w:color="auto" w:fill="auto"/>
            <w:vAlign w:val="center"/>
          </w:tcPr>
          <w:p w14:paraId="78A091E0" w14:textId="6D2B5FC2" w:rsidR="002F697E" w:rsidRPr="00ED576E" w:rsidRDefault="002F697E" w:rsidP="00C853AC">
            <w:pPr>
              <w:spacing w:after="60"/>
              <w:jc w:val="center"/>
              <w:rPr>
                <w:sz w:val="20"/>
                <w:szCs w:val="20"/>
              </w:rPr>
            </w:pPr>
            <w:r>
              <w:rPr>
                <w:sz w:val="20"/>
                <w:szCs w:val="20"/>
              </w:rPr>
              <w:t>$0</w:t>
            </w:r>
          </w:p>
        </w:tc>
      </w:tr>
    </w:tbl>
    <w:p w14:paraId="544DE9F7" w14:textId="77777777" w:rsidR="00ED576E" w:rsidRDefault="00ED576E" w:rsidP="00ED576E">
      <w:pPr>
        <w:pStyle w:val="CommentText"/>
        <w:rPr>
          <w:sz w:val="24"/>
          <w:szCs w:val="24"/>
        </w:rPr>
      </w:pPr>
    </w:p>
    <w:p w14:paraId="306A557A" w14:textId="77777777" w:rsidR="002338AC" w:rsidRPr="002F3EDE" w:rsidRDefault="002338AC" w:rsidP="00436F5E">
      <w:pPr>
        <w:spacing w:after="60"/>
        <w:rPr>
          <w:b/>
          <w:i/>
        </w:rPr>
      </w:pPr>
      <w:r w:rsidRPr="002F3EDE">
        <w:rPr>
          <w:b/>
          <w:i/>
        </w:rPr>
        <w:t>Total Annual Cost</w:t>
      </w:r>
    </w:p>
    <w:p w14:paraId="7A5DE6E8" w14:textId="04679367" w:rsidR="002338AC" w:rsidRDefault="00C853AC" w:rsidP="0006508F">
      <w:r>
        <w:t xml:space="preserve">There are no </w:t>
      </w:r>
      <w:r w:rsidR="0006508F">
        <w:t>annual cost</w:t>
      </w:r>
      <w:r>
        <w:t>s</w:t>
      </w:r>
      <w:r w:rsidR="0006508F">
        <w:t xml:space="preserve"> to respondents. </w:t>
      </w:r>
      <w:r w:rsidR="0006508F" w:rsidRPr="00047CC6">
        <w:t xml:space="preserve">The </w:t>
      </w:r>
      <w:r w:rsidR="0006508F" w:rsidRPr="006C79E2">
        <w:t>youth</w:t>
      </w:r>
      <w:r w:rsidR="0006508F" w:rsidRPr="00047CC6">
        <w:t xml:space="preserve"> surveys will be completed by unpaid youth</w:t>
      </w:r>
      <w:r>
        <w:t>.</w:t>
      </w:r>
    </w:p>
    <w:p w14:paraId="2C3FB46A" w14:textId="77777777" w:rsidR="007802FB" w:rsidRPr="00A35B0D" w:rsidRDefault="007802FB" w:rsidP="007802FB">
      <w:pPr>
        <w:pStyle w:val="NoSpacing"/>
        <w:spacing w:after="60"/>
        <w:rPr>
          <w:rFonts w:ascii="Times New Roman" w:hAnsi="Times New Roman"/>
          <w:szCs w:val="24"/>
        </w:rPr>
      </w:pPr>
    </w:p>
    <w:p w14:paraId="14DF5C5D" w14:textId="77777777" w:rsidR="00945CD6" w:rsidRPr="0072204D" w:rsidRDefault="00292B70" w:rsidP="00FF32CE">
      <w:pPr>
        <w:pStyle w:val="Heading1"/>
      </w:pPr>
      <w:bookmarkStart w:id="25" w:name="_Toc515615513"/>
      <w:bookmarkStart w:id="26" w:name="_Toc519090787"/>
      <w:r>
        <w:t xml:space="preserve">A13. </w:t>
      </w:r>
      <w:r w:rsidR="00945CD6" w:rsidRPr="0072204D">
        <w:t xml:space="preserve">Cost </w:t>
      </w:r>
      <w:r w:rsidR="00945CD6" w:rsidRPr="00FF32CE">
        <w:t>Burden</w:t>
      </w:r>
      <w:r w:rsidR="00945CD6" w:rsidRPr="0072204D">
        <w:t xml:space="preserve"> to Respondents or Record Keepers</w:t>
      </w:r>
      <w:bookmarkEnd w:id="25"/>
      <w:bookmarkEnd w:id="26"/>
    </w:p>
    <w:p w14:paraId="4BE3F999" w14:textId="77777777" w:rsidR="00FF32CE" w:rsidRDefault="00FF32CE" w:rsidP="00436F5E">
      <w:r w:rsidRPr="00FF32CE">
        <w:t xml:space="preserve">There are no additional costs to respondents. </w:t>
      </w:r>
    </w:p>
    <w:p w14:paraId="576681D2" w14:textId="77777777" w:rsidR="002338AC" w:rsidRDefault="002338AC" w:rsidP="00436F5E"/>
    <w:p w14:paraId="128F3054" w14:textId="77777777" w:rsidR="00945CD6" w:rsidRPr="0072204D" w:rsidRDefault="00292B70" w:rsidP="005E28E1">
      <w:pPr>
        <w:pStyle w:val="Heading1"/>
      </w:pPr>
      <w:bookmarkStart w:id="27" w:name="_Toc515615514"/>
      <w:bookmarkStart w:id="28" w:name="_Toc519090788"/>
      <w:r>
        <w:t xml:space="preserve">A14. </w:t>
      </w:r>
      <w:r w:rsidR="00945CD6" w:rsidRPr="0072204D">
        <w:t>Estimate of Cost to the Federal Government</w:t>
      </w:r>
      <w:bookmarkEnd w:id="27"/>
      <w:bookmarkEnd w:id="28"/>
    </w:p>
    <w:p w14:paraId="28C2F27E" w14:textId="0C9D4E02" w:rsidR="00B91D97" w:rsidRPr="003B2A34" w:rsidRDefault="00173000" w:rsidP="00436F5E">
      <w:r w:rsidRPr="003B2A34">
        <w:t xml:space="preserve">The </w:t>
      </w:r>
      <w:r w:rsidR="000C6DA4">
        <w:t>annual cost</w:t>
      </w:r>
      <w:r w:rsidRPr="003B2A34">
        <w:t xml:space="preserve"> of the research activities </w:t>
      </w:r>
      <w:r w:rsidR="00042DA9">
        <w:t xml:space="preserve">covered </w:t>
      </w:r>
      <w:r w:rsidRPr="003B2A34">
        <w:t xml:space="preserve">under </w:t>
      </w:r>
      <w:r w:rsidR="00042DA9">
        <w:t>this request</w:t>
      </w:r>
      <w:r w:rsidRPr="003B2A34">
        <w:t xml:space="preserve"> will be </w:t>
      </w:r>
      <w:r w:rsidR="00A54A23">
        <w:t>$2</w:t>
      </w:r>
      <w:r w:rsidR="00D12F75">
        <w:t>27</w:t>
      </w:r>
      <w:r w:rsidR="00A54A23">
        <w:t xml:space="preserve">,603.75.  The total cost of the research activities covered under this request will be </w:t>
      </w:r>
      <w:r w:rsidR="00B41A54" w:rsidRPr="003B2A34">
        <w:t>$</w:t>
      </w:r>
      <w:r w:rsidR="00B41A54" w:rsidRPr="005B2910">
        <w:t>682,811.25</w:t>
      </w:r>
      <w:r w:rsidR="00042DA9">
        <w:t xml:space="preserve">. This includes costs for </w:t>
      </w:r>
      <w:r w:rsidR="005B2910">
        <w:t>recruiting and training sites, and ongoing data collection, support, and monitoring</w:t>
      </w:r>
      <w:r w:rsidR="00042DA9">
        <w:t xml:space="preserve">.  </w:t>
      </w:r>
    </w:p>
    <w:p w14:paraId="7B45D633" w14:textId="77777777" w:rsidR="00FF32CE" w:rsidRPr="003B2A34" w:rsidRDefault="00FF32CE" w:rsidP="00436F5E"/>
    <w:p w14:paraId="4B8A74F0" w14:textId="77777777" w:rsidR="00945CD6" w:rsidRPr="003B2A34" w:rsidRDefault="00292B70" w:rsidP="00FF32CE">
      <w:pPr>
        <w:pStyle w:val="Heading1"/>
      </w:pPr>
      <w:bookmarkStart w:id="29" w:name="_Toc515615515"/>
      <w:bookmarkStart w:id="30" w:name="_Toc519090789"/>
      <w:r w:rsidRPr="003B2A34">
        <w:t xml:space="preserve">A15. </w:t>
      </w:r>
      <w:r w:rsidR="00945CD6" w:rsidRPr="003B2A34">
        <w:t>Change in Burden</w:t>
      </w:r>
      <w:bookmarkEnd w:id="29"/>
      <w:bookmarkEnd w:id="30"/>
    </w:p>
    <w:p w14:paraId="19B508E3" w14:textId="1AA7216C" w:rsidR="00520737" w:rsidRDefault="00EB1CB6" w:rsidP="00170775">
      <w:r w:rsidRPr="003B2A34">
        <w:t xml:space="preserve">The </w:t>
      </w:r>
      <w:r w:rsidR="000E40A0">
        <w:t>current</w:t>
      </w:r>
      <w:r w:rsidR="000E40A0" w:rsidRPr="003B2A34">
        <w:t xml:space="preserve"> </w:t>
      </w:r>
      <w:r w:rsidRPr="003B2A34">
        <w:t>request does not increase the overall burden previously approved, it just extends the time for data collection.</w:t>
      </w:r>
      <w:r w:rsidR="00170775">
        <w:t xml:space="preserve">  </w:t>
      </w:r>
    </w:p>
    <w:p w14:paraId="51229CF1" w14:textId="77777777" w:rsidR="002338AC" w:rsidRDefault="002338AC" w:rsidP="005046F0">
      <w:pPr>
        <w:ind w:left="360"/>
      </w:pPr>
    </w:p>
    <w:p w14:paraId="37EBB765" w14:textId="77777777" w:rsidR="00945CD6" w:rsidRPr="005A64C5" w:rsidRDefault="00292B70" w:rsidP="005E28E1">
      <w:pPr>
        <w:pStyle w:val="Heading1"/>
      </w:pPr>
      <w:bookmarkStart w:id="31" w:name="_Toc515615516"/>
      <w:bookmarkStart w:id="32" w:name="_Toc519090790"/>
      <w:r w:rsidRPr="005A64C5">
        <w:t xml:space="preserve">A16. </w:t>
      </w:r>
      <w:r w:rsidR="00945CD6" w:rsidRPr="005A64C5">
        <w:t>Plan and Time Schedule for Information Collection, Tabulation and Publication</w:t>
      </w:r>
      <w:bookmarkEnd w:id="31"/>
      <w:bookmarkEnd w:id="32"/>
    </w:p>
    <w:p w14:paraId="1236A07C" w14:textId="77777777" w:rsidR="00A56483" w:rsidRDefault="00170775" w:rsidP="00170775">
      <w:r w:rsidRPr="00701065">
        <w:t xml:space="preserve">When </w:t>
      </w:r>
      <w:r>
        <w:t>data collection</w:t>
      </w:r>
      <w:r w:rsidRPr="00701065">
        <w:t xml:space="preserve"> is completed, </w:t>
      </w:r>
      <w:r>
        <w:t>the Contractor will analyze the data and provide ACF with a written report detailing the findings</w:t>
      </w:r>
      <w:r w:rsidRPr="00701065">
        <w:t xml:space="preserve">. Detailed data tabulations will be part of the </w:t>
      </w:r>
      <w:r>
        <w:t>report</w:t>
      </w:r>
      <w:r w:rsidRPr="00701065">
        <w:t xml:space="preserve"> and available for study. No personal information will be included</w:t>
      </w:r>
      <w:r>
        <w:t xml:space="preserve"> in the report</w:t>
      </w:r>
      <w:r w:rsidRPr="00701065">
        <w:t>.</w:t>
      </w:r>
    </w:p>
    <w:p w14:paraId="082FA654" w14:textId="77777777" w:rsidR="00173000" w:rsidRPr="00BC6474" w:rsidRDefault="00173000" w:rsidP="00173000">
      <w:pPr>
        <w:tabs>
          <w:tab w:val="left" w:pos="7450"/>
        </w:tabs>
      </w:pPr>
      <w:r w:rsidRPr="00BC6474">
        <w:tab/>
      </w:r>
    </w:p>
    <w:p w14:paraId="7C5B9938" w14:textId="77777777" w:rsidR="00945CD6" w:rsidRPr="0072204D" w:rsidRDefault="00292B70" w:rsidP="005E28E1">
      <w:pPr>
        <w:pStyle w:val="Heading1"/>
      </w:pPr>
      <w:bookmarkStart w:id="33" w:name="_Toc515615517"/>
      <w:bookmarkStart w:id="34" w:name="_Toc519090791"/>
      <w:r>
        <w:t xml:space="preserve">A17. </w:t>
      </w:r>
      <w:r w:rsidR="00945CD6" w:rsidRPr="0072204D">
        <w:t>Reasons Not to Display OMB Expiration Date</w:t>
      </w:r>
      <w:bookmarkEnd w:id="33"/>
      <w:bookmarkEnd w:id="34"/>
    </w:p>
    <w:p w14:paraId="6111E863" w14:textId="77777777" w:rsidR="005046F0" w:rsidRDefault="00D90EF6" w:rsidP="00173000">
      <w:r w:rsidRPr="00170775">
        <w:t>All instruments will display the expiration date for OMB approval.</w:t>
      </w:r>
    </w:p>
    <w:p w14:paraId="070CFF4D" w14:textId="77777777" w:rsidR="002338AC" w:rsidRDefault="002338AC" w:rsidP="005046F0">
      <w:pPr>
        <w:ind w:left="360"/>
      </w:pPr>
    </w:p>
    <w:p w14:paraId="18AADE94" w14:textId="77777777" w:rsidR="00945CD6" w:rsidRPr="000B5EA8" w:rsidRDefault="00292B70" w:rsidP="005E28E1">
      <w:pPr>
        <w:pStyle w:val="Heading1"/>
      </w:pPr>
      <w:bookmarkStart w:id="35" w:name="_Toc515615518"/>
      <w:bookmarkStart w:id="36" w:name="_Toc519090792"/>
      <w:r w:rsidRPr="000B5EA8">
        <w:t>A18.</w:t>
      </w:r>
      <w:r w:rsidR="000B5EA8" w:rsidRPr="000B5EA8">
        <w:t xml:space="preserve"> Exceptions to Certification for Paperwork Reduction Act Submissions</w:t>
      </w:r>
      <w:bookmarkEnd w:id="35"/>
      <w:bookmarkEnd w:id="36"/>
    </w:p>
    <w:p w14:paraId="6E4EC95B" w14:textId="02BA5589" w:rsidR="0072204D" w:rsidRPr="0072204D" w:rsidRDefault="00D90EF6">
      <w:r w:rsidRPr="00170775">
        <w:rPr>
          <w:szCs w:val="22"/>
        </w:rPr>
        <w:t>No exceptions are necessary for this information collection.</w:t>
      </w:r>
      <w:r w:rsidR="000B5EA8">
        <w:tab/>
      </w:r>
    </w:p>
    <w:sectPr w:rsidR="0072204D" w:rsidRPr="0072204D" w:rsidSect="00327B2E">
      <w:headerReference w:type="default" r:id="rId13"/>
      <w:footerReference w:type="default" r:id="rId14"/>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D3D12" w14:textId="77777777" w:rsidR="00923501" w:rsidRDefault="00923501">
      <w:r>
        <w:separator/>
      </w:r>
    </w:p>
  </w:endnote>
  <w:endnote w:type="continuationSeparator" w:id="0">
    <w:p w14:paraId="7A3FC1AC" w14:textId="77777777" w:rsidR="00923501" w:rsidRDefault="00923501">
      <w:r>
        <w:continuationSeparator/>
      </w:r>
    </w:p>
  </w:endnote>
  <w:endnote w:type="continuationNotice" w:id="1">
    <w:p w14:paraId="4278135D" w14:textId="77777777" w:rsidR="00923501" w:rsidRDefault="00923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DF9FD" w14:textId="5C3ACA16" w:rsidR="000A1FF3" w:rsidRDefault="000A1FF3">
    <w:pPr>
      <w:pStyle w:val="Footer"/>
      <w:jc w:val="center"/>
    </w:pPr>
    <w:r>
      <w:fldChar w:fldCharType="begin"/>
    </w:r>
    <w:r>
      <w:instrText xml:space="preserve"> PAGE   \* MERGEFORMAT </w:instrText>
    </w:r>
    <w:r>
      <w:fldChar w:fldCharType="separate"/>
    </w:r>
    <w:r w:rsidR="00122250">
      <w:rPr>
        <w:noProof/>
      </w:rPr>
      <w:t>1</w:t>
    </w:r>
    <w:r>
      <w:fldChar w:fldCharType="end"/>
    </w:r>
  </w:p>
  <w:p w14:paraId="62AC1D53" w14:textId="77777777" w:rsidR="000A1FF3" w:rsidRDefault="000A1FF3"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4F34B" w14:textId="77777777" w:rsidR="00923501" w:rsidRDefault="00923501">
      <w:r>
        <w:separator/>
      </w:r>
    </w:p>
  </w:footnote>
  <w:footnote w:type="continuationSeparator" w:id="0">
    <w:p w14:paraId="20487DB8" w14:textId="77777777" w:rsidR="00923501" w:rsidRDefault="00923501">
      <w:r>
        <w:continuationSeparator/>
      </w:r>
    </w:p>
  </w:footnote>
  <w:footnote w:type="continuationNotice" w:id="1">
    <w:p w14:paraId="1396AB5C" w14:textId="77777777" w:rsidR="00923501" w:rsidRDefault="00923501"/>
  </w:footnote>
  <w:footnote w:id="2">
    <w:p w14:paraId="3FA870DB" w14:textId="48007D19" w:rsidR="000A1FF3" w:rsidRDefault="000A1FF3" w:rsidP="002A01A4">
      <w:pPr>
        <w:pStyle w:val="FootnoteText"/>
      </w:pPr>
      <w:r>
        <w:rPr>
          <w:rStyle w:val="FootnoteReference"/>
        </w:rPr>
        <w:footnoteRef/>
      </w:r>
      <w:r>
        <w:t xml:space="preserve"> </w:t>
      </w:r>
      <w:r w:rsidRPr="002A01A4">
        <w:t>Gnambs</w:t>
      </w:r>
      <w:r>
        <w:t xml:space="preserve">, T. </w:t>
      </w:r>
      <w:r w:rsidRPr="002A01A4">
        <w:t>&amp; Kaspar</w:t>
      </w:r>
      <w:r>
        <w:t xml:space="preserve">, K. (2015). Disclosure of sensitive behaviors across self-administered survey modes: a meta-analysis. </w:t>
      </w:r>
      <w:r w:rsidRPr="002A01A4">
        <w:rPr>
          <w:i/>
        </w:rPr>
        <w:t>Behavior Research Methods, 47</w:t>
      </w:r>
      <w:r>
        <w:t>, 1237-1259.</w:t>
      </w:r>
    </w:p>
  </w:footnote>
  <w:footnote w:id="3">
    <w:p w14:paraId="57D387B4" w14:textId="77777777" w:rsidR="000A1FF3" w:rsidRPr="00BD60B9" w:rsidRDefault="000A1FF3" w:rsidP="007B15CA">
      <w:pPr>
        <w:pStyle w:val="FootnoteText"/>
      </w:pPr>
      <w:r w:rsidRPr="00BD60B9">
        <w:rPr>
          <w:rStyle w:val="FootnoteReference"/>
        </w:rPr>
        <w:footnoteRef/>
      </w:r>
      <w:r w:rsidRPr="00BD60B9">
        <w:t xml:space="preserve"> Berlin, Martha, Leyla Mohadjer, Joseph Waksberg, Andrew Kolstad, Irwin Kirsch, D. Rock, and Kentaro Yamamoto. 1992. An experiment in monetary incentives. In </w:t>
      </w:r>
      <w:r w:rsidRPr="00BD60B9">
        <w:rPr>
          <w:i/>
          <w:iCs/>
        </w:rPr>
        <w:t>JSM proceedings</w:t>
      </w:r>
      <w:r w:rsidRPr="00BD60B9">
        <w:t>, 393–98. Alexandria, VA:  American Statistical Association.</w:t>
      </w:r>
    </w:p>
  </w:footnote>
  <w:footnote w:id="4">
    <w:p w14:paraId="2BF2A4F8" w14:textId="77777777" w:rsidR="000A1FF3" w:rsidRPr="00EF0A75" w:rsidRDefault="000A1FF3" w:rsidP="007B15CA">
      <w:pPr>
        <w:pStyle w:val="FootnoteText"/>
        <w:rPr>
          <w:sz w:val="16"/>
          <w:szCs w:val="16"/>
        </w:rPr>
      </w:pPr>
      <w:r w:rsidRPr="00BD60B9">
        <w:rPr>
          <w:rStyle w:val="FootnoteReference"/>
        </w:rPr>
        <w:footnoteRef/>
      </w:r>
      <w:r w:rsidRPr="00BD60B9">
        <w:t xml:space="preserve"> Singer, Eleanor, John Van Hoewyk, and Mary P. Maher. 1998. Does the payment of incentives create expectation effects? </w:t>
      </w:r>
      <w:r w:rsidRPr="00BD60B9">
        <w:rPr>
          <w:i/>
          <w:iCs/>
        </w:rPr>
        <w:t xml:space="preserve">Public Opinion Quarterly </w:t>
      </w:r>
      <w:r w:rsidRPr="00BD60B9">
        <w:t>62:152–64.</w:t>
      </w:r>
    </w:p>
  </w:footnote>
  <w:footnote w:id="5">
    <w:p w14:paraId="489B63AC" w14:textId="7A961DD2" w:rsidR="000A1FF3" w:rsidRDefault="000A1FF3">
      <w:pPr>
        <w:pStyle w:val="FootnoteText"/>
      </w:pPr>
      <w:r w:rsidRPr="00411E71">
        <w:rPr>
          <w:rStyle w:val="FootnoteReference"/>
        </w:rPr>
        <w:footnoteRef/>
      </w:r>
      <w:r w:rsidRPr="00411E71">
        <w:t xml:space="preserve"> </w:t>
      </w:r>
      <w:r w:rsidR="00386CC0" w:rsidRPr="00411E71">
        <w:t xml:space="preserve">Berlin, Martha, Leyla Mohadjer, Joseph Waksberg, Andrew Kolstad, Irwin Kirsch, D. Rock, and Kentaro Yamamoto. 1992. An experiment in monetary incentives. In </w:t>
      </w:r>
      <w:r w:rsidR="00386CC0" w:rsidRPr="00411E71">
        <w:rPr>
          <w:i/>
          <w:iCs/>
        </w:rPr>
        <w:t>JSM proceedings</w:t>
      </w:r>
      <w:r w:rsidR="00386CC0" w:rsidRPr="00411E71">
        <w:t>, 393–98. Alexandria, VA:  American Statistical Association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237DB" w14:textId="77777777" w:rsidR="000A1FF3" w:rsidRDefault="000A1FF3"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1702"/>
    <w:multiLevelType w:val="hybridMultilevel"/>
    <w:tmpl w:val="B5BEE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82AB5"/>
    <w:multiLevelType w:val="hybridMultilevel"/>
    <w:tmpl w:val="3E02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74DDC"/>
    <w:multiLevelType w:val="hybridMultilevel"/>
    <w:tmpl w:val="6BB0B006"/>
    <w:lvl w:ilvl="0" w:tplc="211CA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78411DE"/>
    <w:multiLevelType w:val="hybridMultilevel"/>
    <w:tmpl w:val="61DC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971B56"/>
    <w:multiLevelType w:val="hybridMultilevel"/>
    <w:tmpl w:val="23D87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AE452F"/>
    <w:multiLevelType w:val="hybridMultilevel"/>
    <w:tmpl w:val="A3D6F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EC15B6"/>
    <w:multiLevelType w:val="hybridMultilevel"/>
    <w:tmpl w:val="39FCF302"/>
    <w:lvl w:ilvl="0" w:tplc="2786B2F0">
      <w:start w:val="1"/>
      <w:numFmt w:val="decimal"/>
      <w:lvlText w:val="%1."/>
      <w:lvlJc w:val="left"/>
      <w:pPr>
        <w:ind w:left="720" w:hanging="360"/>
      </w:pPr>
    </w:lvl>
    <w:lvl w:ilvl="1" w:tplc="04090019">
      <w:start w:val="1"/>
      <w:numFmt w:val="lowerLetter"/>
      <w:lvlText w:val="%2."/>
      <w:lvlJc w:val="left"/>
      <w:pPr>
        <w:ind w:left="1440" w:hanging="360"/>
      </w:pPr>
    </w:lvl>
    <w:lvl w:ilvl="2" w:tplc="3B28C868">
      <w:start w:val="1"/>
      <w:numFmt w:val="decimal"/>
      <w:lvlText w:val="(%3)"/>
      <w:lvlJc w:val="left"/>
      <w:pPr>
        <w:ind w:left="3420" w:hanging="144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D1695F"/>
    <w:multiLevelType w:val="hybridMultilevel"/>
    <w:tmpl w:val="520CF6FE"/>
    <w:lvl w:ilvl="0" w:tplc="D50CA76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276437"/>
    <w:multiLevelType w:val="hybridMultilevel"/>
    <w:tmpl w:val="9E4089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
  </w:num>
  <w:num w:numId="3">
    <w:abstractNumId w:val="19"/>
  </w:num>
  <w:num w:numId="4">
    <w:abstractNumId w:val="10"/>
  </w:num>
  <w:num w:numId="5">
    <w:abstractNumId w:val="11"/>
  </w:num>
  <w:num w:numId="6">
    <w:abstractNumId w:val="21"/>
  </w:num>
  <w:num w:numId="7">
    <w:abstractNumId w:val="20"/>
  </w:num>
  <w:num w:numId="8">
    <w:abstractNumId w:val="13"/>
  </w:num>
  <w:num w:numId="9">
    <w:abstractNumId w:val="15"/>
  </w:num>
  <w:num w:numId="10">
    <w:abstractNumId w:val="3"/>
  </w:num>
  <w:num w:numId="11">
    <w:abstractNumId w:val="1"/>
  </w:num>
  <w:num w:numId="12">
    <w:abstractNumId w:val="6"/>
  </w:num>
  <w:num w:numId="13">
    <w:abstractNumId w:val="22"/>
  </w:num>
  <w:num w:numId="14">
    <w:abstractNumId w:val="8"/>
  </w:num>
  <w:num w:numId="15">
    <w:abstractNumId w:val="9"/>
  </w:num>
  <w:num w:numId="16">
    <w:abstractNumId w:val="14"/>
  </w:num>
  <w:num w:numId="17">
    <w:abstractNumId w:val="23"/>
  </w:num>
  <w:num w:numId="18">
    <w:abstractNumId w:val="0"/>
  </w:num>
  <w:num w:numId="19">
    <w:abstractNumId w:val="17"/>
  </w:num>
  <w:num w:numId="20">
    <w:abstractNumId w:val="18"/>
  </w:num>
  <w:num w:numId="21">
    <w:abstractNumId w:val="12"/>
  </w:num>
  <w:num w:numId="22">
    <w:abstractNumId w:val="16"/>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14947"/>
    <w:rsid w:val="00017A25"/>
    <w:rsid w:val="00042DA9"/>
    <w:rsid w:val="000431B8"/>
    <w:rsid w:val="00045D9C"/>
    <w:rsid w:val="0006508F"/>
    <w:rsid w:val="0008643E"/>
    <w:rsid w:val="00091C59"/>
    <w:rsid w:val="00096542"/>
    <w:rsid w:val="000A1FF3"/>
    <w:rsid w:val="000B5EA8"/>
    <w:rsid w:val="000C6DA4"/>
    <w:rsid w:val="000C769C"/>
    <w:rsid w:val="000D040F"/>
    <w:rsid w:val="000D0A95"/>
    <w:rsid w:val="000D53DF"/>
    <w:rsid w:val="000E40A0"/>
    <w:rsid w:val="000F7705"/>
    <w:rsid w:val="00100ABA"/>
    <w:rsid w:val="00122250"/>
    <w:rsid w:val="00124EBF"/>
    <w:rsid w:val="001431F4"/>
    <w:rsid w:val="001537A4"/>
    <w:rsid w:val="0016012E"/>
    <w:rsid w:val="00163475"/>
    <w:rsid w:val="00165502"/>
    <w:rsid w:val="00170775"/>
    <w:rsid w:val="00173000"/>
    <w:rsid w:val="001755BC"/>
    <w:rsid w:val="001814D2"/>
    <w:rsid w:val="00183C0F"/>
    <w:rsid w:val="0019244E"/>
    <w:rsid w:val="001A3792"/>
    <w:rsid w:val="001A5AF9"/>
    <w:rsid w:val="001A71B1"/>
    <w:rsid w:val="001C4D60"/>
    <w:rsid w:val="001D4183"/>
    <w:rsid w:val="001E4B89"/>
    <w:rsid w:val="001E5D46"/>
    <w:rsid w:val="001F2A5A"/>
    <w:rsid w:val="001F67FE"/>
    <w:rsid w:val="0020382F"/>
    <w:rsid w:val="00205DDF"/>
    <w:rsid w:val="00216D27"/>
    <w:rsid w:val="00217EED"/>
    <w:rsid w:val="002231FA"/>
    <w:rsid w:val="00231867"/>
    <w:rsid w:val="002338AC"/>
    <w:rsid w:val="00234E8D"/>
    <w:rsid w:val="00235A6D"/>
    <w:rsid w:val="002408DE"/>
    <w:rsid w:val="00244DAA"/>
    <w:rsid w:val="0025173C"/>
    <w:rsid w:val="00252E2B"/>
    <w:rsid w:val="00253148"/>
    <w:rsid w:val="002614E5"/>
    <w:rsid w:val="002626D7"/>
    <w:rsid w:val="00262CBB"/>
    <w:rsid w:val="00264DA2"/>
    <w:rsid w:val="00276010"/>
    <w:rsid w:val="00280189"/>
    <w:rsid w:val="0028339F"/>
    <w:rsid w:val="002927CE"/>
    <w:rsid w:val="00292B70"/>
    <w:rsid w:val="002A01A4"/>
    <w:rsid w:val="002A1F68"/>
    <w:rsid w:val="002A2783"/>
    <w:rsid w:val="002B4DBE"/>
    <w:rsid w:val="002C4F75"/>
    <w:rsid w:val="002D4BDD"/>
    <w:rsid w:val="002D579A"/>
    <w:rsid w:val="002F158F"/>
    <w:rsid w:val="002F697E"/>
    <w:rsid w:val="002F7CAE"/>
    <w:rsid w:val="00327B2E"/>
    <w:rsid w:val="003303D1"/>
    <w:rsid w:val="00330824"/>
    <w:rsid w:val="0033348F"/>
    <w:rsid w:val="0034097B"/>
    <w:rsid w:val="00352822"/>
    <w:rsid w:val="00371247"/>
    <w:rsid w:val="00374DAB"/>
    <w:rsid w:val="00375690"/>
    <w:rsid w:val="00376E23"/>
    <w:rsid w:val="003776F8"/>
    <w:rsid w:val="0038291A"/>
    <w:rsid w:val="00383A7C"/>
    <w:rsid w:val="00386CC0"/>
    <w:rsid w:val="00394140"/>
    <w:rsid w:val="00394A11"/>
    <w:rsid w:val="003A4517"/>
    <w:rsid w:val="003B0217"/>
    <w:rsid w:val="003B2A34"/>
    <w:rsid w:val="003B5979"/>
    <w:rsid w:val="003D5231"/>
    <w:rsid w:val="003D645A"/>
    <w:rsid w:val="003E1F37"/>
    <w:rsid w:val="00405375"/>
    <w:rsid w:val="00411E71"/>
    <w:rsid w:val="004222F8"/>
    <w:rsid w:val="00422C1B"/>
    <w:rsid w:val="0042572B"/>
    <w:rsid w:val="004320A9"/>
    <w:rsid w:val="00436F5E"/>
    <w:rsid w:val="004522FF"/>
    <w:rsid w:val="004554B1"/>
    <w:rsid w:val="00456E2F"/>
    <w:rsid w:val="0047632C"/>
    <w:rsid w:val="00482DDE"/>
    <w:rsid w:val="00497B35"/>
    <w:rsid w:val="004A0A8C"/>
    <w:rsid w:val="004A44DD"/>
    <w:rsid w:val="004A7F26"/>
    <w:rsid w:val="004B0490"/>
    <w:rsid w:val="004B2B2C"/>
    <w:rsid w:val="004B587E"/>
    <w:rsid w:val="004C14D0"/>
    <w:rsid w:val="004C2ADD"/>
    <w:rsid w:val="004C3251"/>
    <w:rsid w:val="004D6CA9"/>
    <w:rsid w:val="004E27DE"/>
    <w:rsid w:val="004E7C58"/>
    <w:rsid w:val="004F4E1D"/>
    <w:rsid w:val="005046F0"/>
    <w:rsid w:val="00520737"/>
    <w:rsid w:val="00520D74"/>
    <w:rsid w:val="0052448E"/>
    <w:rsid w:val="005353B7"/>
    <w:rsid w:val="00541024"/>
    <w:rsid w:val="00553400"/>
    <w:rsid w:val="00553A9B"/>
    <w:rsid w:val="005547A0"/>
    <w:rsid w:val="0055637A"/>
    <w:rsid w:val="005661DE"/>
    <w:rsid w:val="005707CF"/>
    <w:rsid w:val="0058510C"/>
    <w:rsid w:val="005A64C5"/>
    <w:rsid w:val="005B003A"/>
    <w:rsid w:val="005B11D0"/>
    <w:rsid w:val="005B1747"/>
    <w:rsid w:val="005B2910"/>
    <w:rsid w:val="005C7410"/>
    <w:rsid w:val="005D2955"/>
    <w:rsid w:val="005D4B80"/>
    <w:rsid w:val="005E1F3B"/>
    <w:rsid w:val="005E28E1"/>
    <w:rsid w:val="005F2061"/>
    <w:rsid w:val="005F4AD0"/>
    <w:rsid w:val="005F5A85"/>
    <w:rsid w:val="006010CA"/>
    <w:rsid w:val="00607351"/>
    <w:rsid w:val="00616518"/>
    <w:rsid w:val="00621BE8"/>
    <w:rsid w:val="006252A6"/>
    <w:rsid w:val="006365E6"/>
    <w:rsid w:val="00644195"/>
    <w:rsid w:val="00651DBA"/>
    <w:rsid w:val="00657424"/>
    <w:rsid w:val="00660F35"/>
    <w:rsid w:val="00666C1A"/>
    <w:rsid w:val="00681655"/>
    <w:rsid w:val="00687197"/>
    <w:rsid w:val="0068798E"/>
    <w:rsid w:val="006900BC"/>
    <w:rsid w:val="006B01DA"/>
    <w:rsid w:val="006B264B"/>
    <w:rsid w:val="006B422F"/>
    <w:rsid w:val="006B6845"/>
    <w:rsid w:val="006C0DE9"/>
    <w:rsid w:val="006C13F7"/>
    <w:rsid w:val="006C59CD"/>
    <w:rsid w:val="006C61BF"/>
    <w:rsid w:val="006D0298"/>
    <w:rsid w:val="006D44C3"/>
    <w:rsid w:val="006D6F9D"/>
    <w:rsid w:val="00701045"/>
    <w:rsid w:val="00707EAC"/>
    <w:rsid w:val="00711BC5"/>
    <w:rsid w:val="00714A78"/>
    <w:rsid w:val="0072204D"/>
    <w:rsid w:val="007250A3"/>
    <w:rsid w:val="00736F1D"/>
    <w:rsid w:val="007643F3"/>
    <w:rsid w:val="00772457"/>
    <w:rsid w:val="007802FB"/>
    <w:rsid w:val="00782C7D"/>
    <w:rsid w:val="00784137"/>
    <w:rsid w:val="00791582"/>
    <w:rsid w:val="007A2E0C"/>
    <w:rsid w:val="007A49FC"/>
    <w:rsid w:val="007B15CA"/>
    <w:rsid w:val="007B7F80"/>
    <w:rsid w:val="007D295D"/>
    <w:rsid w:val="007D3718"/>
    <w:rsid w:val="007D4B6F"/>
    <w:rsid w:val="007F1FCB"/>
    <w:rsid w:val="007F343D"/>
    <w:rsid w:val="00806712"/>
    <w:rsid w:val="00826EC5"/>
    <w:rsid w:val="0083389F"/>
    <w:rsid w:val="008447CA"/>
    <w:rsid w:val="008464D8"/>
    <w:rsid w:val="00861969"/>
    <w:rsid w:val="00862824"/>
    <w:rsid w:val="0087234E"/>
    <w:rsid w:val="00876033"/>
    <w:rsid w:val="008A4EB1"/>
    <w:rsid w:val="008B7F2C"/>
    <w:rsid w:val="008C31D3"/>
    <w:rsid w:val="008C6A6B"/>
    <w:rsid w:val="008C78B4"/>
    <w:rsid w:val="008D0FBF"/>
    <w:rsid w:val="008E0F82"/>
    <w:rsid w:val="008F10A2"/>
    <w:rsid w:val="008F1B41"/>
    <w:rsid w:val="009010E6"/>
    <w:rsid w:val="0091559F"/>
    <w:rsid w:val="00922F7C"/>
    <w:rsid w:val="00923501"/>
    <w:rsid w:val="009262DA"/>
    <w:rsid w:val="00926F70"/>
    <w:rsid w:val="00927978"/>
    <w:rsid w:val="00932D71"/>
    <w:rsid w:val="009458EB"/>
    <w:rsid w:val="00945CD6"/>
    <w:rsid w:val="00950442"/>
    <w:rsid w:val="009519FE"/>
    <w:rsid w:val="009566F2"/>
    <w:rsid w:val="009575A0"/>
    <w:rsid w:val="00957AE3"/>
    <w:rsid w:val="009648CE"/>
    <w:rsid w:val="00981C93"/>
    <w:rsid w:val="0098345B"/>
    <w:rsid w:val="00984CA2"/>
    <w:rsid w:val="009850B0"/>
    <w:rsid w:val="00995230"/>
    <w:rsid w:val="009A4E94"/>
    <w:rsid w:val="009B1638"/>
    <w:rsid w:val="009C2F7C"/>
    <w:rsid w:val="009D1674"/>
    <w:rsid w:val="009D47D2"/>
    <w:rsid w:val="009E116C"/>
    <w:rsid w:val="009E28C8"/>
    <w:rsid w:val="009F3A7A"/>
    <w:rsid w:val="00A35B0D"/>
    <w:rsid w:val="00A35E23"/>
    <w:rsid w:val="00A412C5"/>
    <w:rsid w:val="00A42EA1"/>
    <w:rsid w:val="00A44209"/>
    <w:rsid w:val="00A44537"/>
    <w:rsid w:val="00A51DC9"/>
    <w:rsid w:val="00A54A23"/>
    <w:rsid w:val="00A56483"/>
    <w:rsid w:val="00A57D53"/>
    <w:rsid w:val="00A677EE"/>
    <w:rsid w:val="00A7040C"/>
    <w:rsid w:val="00A70EB5"/>
    <w:rsid w:val="00A72A54"/>
    <w:rsid w:val="00A85736"/>
    <w:rsid w:val="00A96D42"/>
    <w:rsid w:val="00AA0D92"/>
    <w:rsid w:val="00AA29C0"/>
    <w:rsid w:val="00AA7376"/>
    <w:rsid w:val="00AD1E74"/>
    <w:rsid w:val="00AE0319"/>
    <w:rsid w:val="00AF6A25"/>
    <w:rsid w:val="00B0224B"/>
    <w:rsid w:val="00B02B64"/>
    <w:rsid w:val="00B14396"/>
    <w:rsid w:val="00B34A8C"/>
    <w:rsid w:val="00B41A54"/>
    <w:rsid w:val="00B423AA"/>
    <w:rsid w:val="00B6073C"/>
    <w:rsid w:val="00B66874"/>
    <w:rsid w:val="00B73ACF"/>
    <w:rsid w:val="00B84547"/>
    <w:rsid w:val="00B91D97"/>
    <w:rsid w:val="00BA2D96"/>
    <w:rsid w:val="00BA4FC8"/>
    <w:rsid w:val="00BA69B7"/>
    <w:rsid w:val="00BB13A6"/>
    <w:rsid w:val="00BB7C38"/>
    <w:rsid w:val="00BC2852"/>
    <w:rsid w:val="00BD3A0D"/>
    <w:rsid w:val="00BD4CFB"/>
    <w:rsid w:val="00BE7952"/>
    <w:rsid w:val="00BF501C"/>
    <w:rsid w:val="00C12B95"/>
    <w:rsid w:val="00C15860"/>
    <w:rsid w:val="00C1674B"/>
    <w:rsid w:val="00C35DD5"/>
    <w:rsid w:val="00C5498B"/>
    <w:rsid w:val="00C56EA9"/>
    <w:rsid w:val="00C63097"/>
    <w:rsid w:val="00C66397"/>
    <w:rsid w:val="00C853AC"/>
    <w:rsid w:val="00CA6B28"/>
    <w:rsid w:val="00CB5052"/>
    <w:rsid w:val="00CB7837"/>
    <w:rsid w:val="00CC4FA8"/>
    <w:rsid w:val="00CD222D"/>
    <w:rsid w:val="00CE0A6D"/>
    <w:rsid w:val="00CE0C3E"/>
    <w:rsid w:val="00CE6C44"/>
    <w:rsid w:val="00CE6EFF"/>
    <w:rsid w:val="00CF18C7"/>
    <w:rsid w:val="00D012A6"/>
    <w:rsid w:val="00D06D5F"/>
    <w:rsid w:val="00D12F75"/>
    <w:rsid w:val="00D31A81"/>
    <w:rsid w:val="00D31CE7"/>
    <w:rsid w:val="00D36DE6"/>
    <w:rsid w:val="00D4078E"/>
    <w:rsid w:val="00D519D9"/>
    <w:rsid w:val="00D51F4B"/>
    <w:rsid w:val="00D5591C"/>
    <w:rsid w:val="00D573C0"/>
    <w:rsid w:val="00D63C6A"/>
    <w:rsid w:val="00D651AC"/>
    <w:rsid w:val="00D76388"/>
    <w:rsid w:val="00D779C2"/>
    <w:rsid w:val="00D90EF6"/>
    <w:rsid w:val="00D94C77"/>
    <w:rsid w:val="00DA2F35"/>
    <w:rsid w:val="00DB5522"/>
    <w:rsid w:val="00DB6AF4"/>
    <w:rsid w:val="00DD43DF"/>
    <w:rsid w:val="00DD4E57"/>
    <w:rsid w:val="00DE3B4D"/>
    <w:rsid w:val="00E00860"/>
    <w:rsid w:val="00E05A0A"/>
    <w:rsid w:val="00E108D6"/>
    <w:rsid w:val="00E26AA3"/>
    <w:rsid w:val="00E31F38"/>
    <w:rsid w:val="00E33F48"/>
    <w:rsid w:val="00E34DB4"/>
    <w:rsid w:val="00E4133D"/>
    <w:rsid w:val="00E41D46"/>
    <w:rsid w:val="00E47497"/>
    <w:rsid w:val="00E61252"/>
    <w:rsid w:val="00E70B52"/>
    <w:rsid w:val="00E72E9A"/>
    <w:rsid w:val="00E74BC1"/>
    <w:rsid w:val="00E86DB9"/>
    <w:rsid w:val="00E934CC"/>
    <w:rsid w:val="00EA12DE"/>
    <w:rsid w:val="00EA445A"/>
    <w:rsid w:val="00EB0D7F"/>
    <w:rsid w:val="00EB1CB6"/>
    <w:rsid w:val="00EB5B54"/>
    <w:rsid w:val="00EC329F"/>
    <w:rsid w:val="00ED23F7"/>
    <w:rsid w:val="00ED576E"/>
    <w:rsid w:val="00EE5D53"/>
    <w:rsid w:val="00EE6B84"/>
    <w:rsid w:val="00EF3FF2"/>
    <w:rsid w:val="00F014C3"/>
    <w:rsid w:val="00F115E4"/>
    <w:rsid w:val="00F146B5"/>
    <w:rsid w:val="00F27CA2"/>
    <w:rsid w:val="00F36809"/>
    <w:rsid w:val="00F45627"/>
    <w:rsid w:val="00F5357C"/>
    <w:rsid w:val="00F64B89"/>
    <w:rsid w:val="00F64BA7"/>
    <w:rsid w:val="00F73374"/>
    <w:rsid w:val="00F91968"/>
    <w:rsid w:val="00F96736"/>
    <w:rsid w:val="00FA01D5"/>
    <w:rsid w:val="00FA05FE"/>
    <w:rsid w:val="00FC04C5"/>
    <w:rsid w:val="00FC23E4"/>
    <w:rsid w:val="00FC64B4"/>
    <w:rsid w:val="00FD1B70"/>
    <w:rsid w:val="00FD1F01"/>
    <w:rsid w:val="00FD7600"/>
    <w:rsid w:val="00FE7B81"/>
    <w:rsid w:val="00FF3048"/>
    <w:rsid w:val="00FF32CE"/>
    <w:rsid w:val="00FF411B"/>
    <w:rsid w:val="00FF5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8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E28E1"/>
    <w:pPr>
      <w:spacing w:after="120"/>
      <w:outlineLvl w:val="0"/>
    </w:pPr>
    <w:rPr>
      <w:b/>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5E28E1"/>
    <w:rPr>
      <w:b/>
      <w:sz w:val="24"/>
      <w:szCs w:val="24"/>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862824"/>
    <w:pPr>
      <w:tabs>
        <w:tab w:val="left" w:pos="432"/>
      </w:tabs>
      <w:spacing w:after="240"/>
      <w:ind w:firstLine="432"/>
      <w:jc w:val="both"/>
    </w:pPr>
    <w:rPr>
      <w:rFonts w:ascii="Garamond" w:hAnsi="Garamond"/>
    </w:rPr>
  </w:style>
  <w:style w:type="character" w:customStyle="1" w:styleId="NormalSSChar">
    <w:name w:val="NormalSS Char"/>
    <w:link w:val="NormalSS"/>
    <w:rsid w:val="00862824"/>
    <w:rPr>
      <w:rFonts w:ascii="Garamond" w:hAnsi="Garamond"/>
      <w:sz w:val="24"/>
      <w:szCs w:val="24"/>
    </w:rPr>
  </w:style>
  <w:style w:type="paragraph" w:styleId="BodyTextIndent">
    <w:name w:val="Body Text Indent"/>
    <w:basedOn w:val="Normal"/>
    <w:link w:val="BodyTextIndentChar"/>
    <w:rsid w:val="00096542"/>
    <w:pPr>
      <w:spacing w:after="120"/>
      <w:ind w:left="360"/>
    </w:pPr>
  </w:style>
  <w:style w:type="character" w:customStyle="1" w:styleId="BodyTextIndentChar">
    <w:name w:val="Body Text Indent Char"/>
    <w:link w:val="BodyTextIndent"/>
    <w:rsid w:val="00096542"/>
    <w:rPr>
      <w:sz w:val="24"/>
      <w:szCs w:val="24"/>
    </w:rPr>
  </w:style>
  <w:style w:type="paragraph" w:customStyle="1" w:styleId="Exhibit">
    <w:name w:val="Exhibit"/>
    <w:basedOn w:val="Normal"/>
    <w:rsid w:val="00BA4FC8"/>
    <w:pPr>
      <w:spacing w:line="264" w:lineRule="auto"/>
    </w:pPr>
    <w:rPr>
      <w:rFonts w:ascii="Arial" w:hAnsi="Arial"/>
      <w:sz w:val="18"/>
      <w:szCs w:val="20"/>
    </w:rPr>
  </w:style>
  <w:style w:type="paragraph" w:styleId="BodyText">
    <w:name w:val="Body Text"/>
    <w:basedOn w:val="Normal"/>
    <w:link w:val="BodyTextChar"/>
    <w:rsid w:val="00BA4FC8"/>
    <w:pPr>
      <w:spacing w:after="120"/>
    </w:pPr>
  </w:style>
  <w:style w:type="character" w:customStyle="1" w:styleId="BodyTextChar">
    <w:name w:val="Body Text Char"/>
    <w:link w:val="BodyText"/>
    <w:rsid w:val="00BA4FC8"/>
    <w:rPr>
      <w:sz w:val="24"/>
      <w:szCs w:val="24"/>
    </w:rPr>
  </w:style>
  <w:style w:type="paragraph" w:styleId="ListParagraph">
    <w:name w:val="List Paragraph"/>
    <w:basedOn w:val="Normal"/>
    <w:uiPriority w:val="34"/>
    <w:qFormat/>
    <w:rsid w:val="00C15860"/>
    <w:pPr>
      <w:ind w:left="720"/>
      <w:contextualSpacing/>
    </w:pPr>
  </w:style>
  <w:style w:type="paragraph" w:styleId="TOCHeading">
    <w:name w:val="TOC Heading"/>
    <w:basedOn w:val="Heading1"/>
    <w:next w:val="Normal"/>
    <w:uiPriority w:val="39"/>
    <w:unhideWhenUsed/>
    <w:qFormat/>
    <w:rsid w:val="005E28E1"/>
    <w:pPr>
      <w:keepLines/>
      <w:spacing w:before="480" w:after="0" w:line="276" w:lineRule="auto"/>
      <w:outlineLvl w:val="9"/>
    </w:pPr>
    <w:rPr>
      <w:rFonts w:ascii="Cambria" w:eastAsia="MS Gothic" w:hAnsi="Cambria"/>
      <w:color w:val="365F91"/>
      <w:sz w:val="28"/>
      <w:szCs w:val="28"/>
      <w:lang w:eastAsia="ja-JP"/>
    </w:rPr>
  </w:style>
  <w:style w:type="paragraph" w:styleId="TOC1">
    <w:name w:val="toc 1"/>
    <w:basedOn w:val="Normal"/>
    <w:next w:val="Normal"/>
    <w:autoRedefine/>
    <w:uiPriority w:val="39"/>
    <w:rsid w:val="00E934CC"/>
    <w:pPr>
      <w:tabs>
        <w:tab w:val="right" w:leader="dot" w:pos="9350"/>
      </w:tabs>
    </w:pPr>
  </w:style>
  <w:style w:type="paragraph" w:styleId="Revision">
    <w:name w:val="Revision"/>
    <w:hidden/>
    <w:uiPriority w:val="99"/>
    <w:semiHidden/>
    <w:rsid w:val="002A2783"/>
    <w:rPr>
      <w:sz w:val="24"/>
      <w:szCs w:val="24"/>
    </w:rPr>
  </w:style>
  <w:style w:type="paragraph" w:styleId="EndnoteText">
    <w:name w:val="endnote text"/>
    <w:basedOn w:val="Normal"/>
    <w:link w:val="EndnoteTextChar"/>
    <w:semiHidden/>
    <w:unhideWhenUsed/>
    <w:rsid w:val="00F91968"/>
    <w:rPr>
      <w:sz w:val="20"/>
      <w:szCs w:val="20"/>
    </w:rPr>
  </w:style>
  <w:style w:type="character" w:customStyle="1" w:styleId="EndnoteTextChar">
    <w:name w:val="Endnote Text Char"/>
    <w:basedOn w:val="DefaultParagraphFont"/>
    <w:link w:val="EndnoteText"/>
    <w:semiHidden/>
    <w:rsid w:val="00F91968"/>
  </w:style>
  <w:style w:type="character" w:styleId="EndnoteReference">
    <w:name w:val="endnote reference"/>
    <w:basedOn w:val="DefaultParagraphFont"/>
    <w:semiHidden/>
    <w:unhideWhenUsed/>
    <w:rsid w:val="00F91968"/>
    <w:rPr>
      <w:vertAlign w:val="superscript"/>
    </w:rPr>
  </w:style>
  <w:style w:type="paragraph" w:styleId="FootnoteText">
    <w:name w:val="footnote text"/>
    <w:aliases w:val="F1"/>
    <w:basedOn w:val="Normal"/>
    <w:link w:val="FootnoteTextChar"/>
    <w:uiPriority w:val="99"/>
    <w:unhideWhenUsed/>
    <w:rsid w:val="002A01A4"/>
    <w:rPr>
      <w:sz w:val="20"/>
      <w:szCs w:val="20"/>
    </w:rPr>
  </w:style>
  <w:style w:type="character" w:customStyle="1" w:styleId="FootnoteTextChar">
    <w:name w:val="Footnote Text Char"/>
    <w:aliases w:val="F1 Char"/>
    <w:basedOn w:val="DefaultParagraphFont"/>
    <w:link w:val="FootnoteText"/>
    <w:uiPriority w:val="99"/>
    <w:rsid w:val="002A01A4"/>
  </w:style>
  <w:style w:type="character" w:styleId="FootnoteReference">
    <w:name w:val="footnote reference"/>
    <w:aliases w:val="*Footnote Reference"/>
    <w:basedOn w:val="DefaultParagraphFont"/>
    <w:uiPriority w:val="99"/>
    <w:unhideWhenUsed/>
    <w:rsid w:val="002A01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E28E1"/>
    <w:pPr>
      <w:spacing w:after="120"/>
      <w:outlineLvl w:val="0"/>
    </w:pPr>
    <w:rPr>
      <w:b/>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5E28E1"/>
    <w:rPr>
      <w:b/>
      <w:sz w:val="24"/>
      <w:szCs w:val="24"/>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862824"/>
    <w:pPr>
      <w:tabs>
        <w:tab w:val="left" w:pos="432"/>
      </w:tabs>
      <w:spacing w:after="240"/>
      <w:ind w:firstLine="432"/>
      <w:jc w:val="both"/>
    </w:pPr>
    <w:rPr>
      <w:rFonts w:ascii="Garamond" w:hAnsi="Garamond"/>
    </w:rPr>
  </w:style>
  <w:style w:type="character" w:customStyle="1" w:styleId="NormalSSChar">
    <w:name w:val="NormalSS Char"/>
    <w:link w:val="NormalSS"/>
    <w:rsid w:val="00862824"/>
    <w:rPr>
      <w:rFonts w:ascii="Garamond" w:hAnsi="Garamond"/>
      <w:sz w:val="24"/>
      <w:szCs w:val="24"/>
    </w:rPr>
  </w:style>
  <w:style w:type="paragraph" w:styleId="BodyTextIndent">
    <w:name w:val="Body Text Indent"/>
    <w:basedOn w:val="Normal"/>
    <w:link w:val="BodyTextIndentChar"/>
    <w:rsid w:val="00096542"/>
    <w:pPr>
      <w:spacing w:after="120"/>
      <w:ind w:left="360"/>
    </w:pPr>
  </w:style>
  <w:style w:type="character" w:customStyle="1" w:styleId="BodyTextIndentChar">
    <w:name w:val="Body Text Indent Char"/>
    <w:link w:val="BodyTextIndent"/>
    <w:rsid w:val="00096542"/>
    <w:rPr>
      <w:sz w:val="24"/>
      <w:szCs w:val="24"/>
    </w:rPr>
  </w:style>
  <w:style w:type="paragraph" w:customStyle="1" w:styleId="Exhibit">
    <w:name w:val="Exhibit"/>
    <w:basedOn w:val="Normal"/>
    <w:rsid w:val="00BA4FC8"/>
    <w:pPr>
      <w:spacing w:line="264" w:lineRule="auto"/>
    </w:pPr>
    <w:rPr>
      <w:rFonts w:ascii="Arial" w:hAnsi="Arial"/>
      <w:sz w:val="18"/>
      <w:szCs w:val="20"/>
    </w:rPr>
  </w:style>
  <w:style w:type="paragraph" w:styleId="BodyText">
    <w:name w:val="Body Text"/>
    <w:basedOn w:val="Normal"/>
    <w:link w:val="BodyTextChar"/>
    <w:rsid w:val="00BA4FC8"/>
    <w:pPr>
      <w:spacing w:after="120"/>
    </w:pPr>
  </w:style>
  <w:style w:type="character" w:customStyle="1" w:styleId="BodyTextChar">
    <w:name w:val="Body Text Char"/>
    <w:link w:val="BodyText"/>
    <w:rsid w:val="00BA4FC8"/>
    <w:rPr>
      <w:sz w:val="24"/>
      <w:szCs w:val="24"/>
    </w:rPr>
  </w:style>
  <w:style w:type="paragraph" w:styleId="ListParagraph">
    <w:name w:val="List Paragraph"/>
    <w:basedOn w:val="Normal"/>
    <w:uiPriority w:val="34"/>
    <w:qFormat/>
    <w:rsid w:val="00C15860"/>
    <w:pPr>
      <w:ind w:left="720"/>
      <w:contextualSpacing/>
    </w:pPr>
  </w:style>
  <w:style w:type="paragraph" w:styleId="TOCHeading">
    <w:name w:val="TOC Heading"/>
    <w:basedOn w:val="Heading1"/>
    <w:next w:val="Normal"/>
    <w:uiPriority w:val="39"/>
    <w:unhideWhenUsed/>
    <w:qFormat/>
    <w:rsid w:val="005E28E1"/>
    <w:pPr>
      <w:keepLines/>
      <w:spacing w:before="480" w:after="0" w:line="276" w:lineRule="auto"/>
      <w:outlineLvl w:val="9"/>
    </w:pPr>
    <w:rPr>
      <w:rFonts w:ascii="Cambria" w:eastAsia="MS Gothic" w:hAnsi="Cambria"/>
      <w:color w:val="365F91"/>
      <w:sz w:val="28"/>
      <w:szCs w:val="28"/>
      <w:lang w:eastAsia="ja-JP"/>
    </w:rPr>
  </w:style>
  <w:style w:type="paragraph" w:styleId="TOC1">
    <w:name w:val="toc 1"/>
    <w:basedOn w:val="Normal"/>
    <w:next w:val="Normal"/>
    <w:autoRedefine/>
    <w:uiPriority w:val="39"/>
    <w:rsid w:val="00E934CC"/>
    <w:pPr>
      <w:tabs>
        <w:tab w:val="right" w:leader="dot" w:pos="9350"/>
      </w:tabs>
    </w:pPr>
  </w:style>
  <w:style w:type="paragraph" w:styleId="Revision">
    <w:name w:val="Revision"/>
    <w:hidden/>
    <w:uiPriority w:val="99"/>
    <w:semiHidden/>
    <w:rsid w:val="002A2783"/>
    <w:rPr>
      <w:sz w:val="24"/>
      <w:szCs w:val="24"/>
    </w:rPr>
  </w:style>
  <w:style w:type="paragraph" w:styleId="EndnoteText">
    <w:name w:val="endnote text"/>
    <w:basedOn w:val="Normal"/>
    <w:link w:val="EndnoteTextChar"/>
    <w:semiHidden/>
    <w:unhideWhenUsed/>
    <w:rsid w:val="00F91968"/>
    <w:rPr>
      <w:sz w:val="20"/>
      <w:szCs w:val="20"/>
    </w:rPr>
  </w:style>
  <w:style w:type="character" w:customStyle="1" w:styleId="EndnoteTextChar">
    <w:name w:val="Endnote Text Char"/>
    <w:basedOn w:val="DefaultParagraphFont"/>
    <w:link w:val="EndnoteText"/>
    <w:semiHidden/>
    <w:rsid w:val="00F91968"/>
  </w:style>
  <w:style w:type="character" w:styleId="EndnoteReference">
    <w:name w:val="endnote reference"/>
    <w:basedOn w:val="DefaultParagraphFont"/>
    <w:semiHidden/>
    <w:unhideWhenUsed/>
    <w:rsid w:val="00F91968"/>
    <w:rPr>
      <w:vertAlign w:val="superscript"/>
    </w:rPr>
  </w:style>
  <w:style w:type="paragraph" w:styleId="FootnoteText">
    <w:name w:val="footnote text"/>
    <w:aliases w:val="F1"/>
    <w:basedOn w:val="Normal"/>
    <w:link w:val="FootnoteTextChar"/>
    <w:uiPriority w:val="99"/>
    <w:unhideWhenUsed/>
    <w:rsid w:val="002A01A4"/>
    <w:rPr>
      <w:sz w:val="20"/>
      <w:szCs w:val="20"/>
    </w:rPr>
  </w:style>
  <w:style w:type="character" w:customStyle="1" w:styleId="FootnoteTextChar">
    <w:name w:val="Footnote Text Char"/>
    <w:aliases w:val="F1 Char"/>
    <w:basedOn w:val="DefaultParagraphFont"/>
    <w:link w:val="FootnoteText"/>
    <w:uiPriority w:val="99"/>
    <w:rsid w:val="002A01A4"/>
  </w:style>
  <w:style w:type="character" w:styleId="FootnoteReference">
    <w:name w:val="footnote reference"/>
    <w:aliases w:val="*Footnote Reference"/>
    <w:basedOn w:val="DefaultParagraphFont"/>
    <w:uiPriority w:val="99"/>
    <w:unhideWhenUsed/>
    <w:rsid w:val="002A01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802B4-4825-4BDC-B9A7-6356FDFCA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E9283-3D9A-43FA-9C6A-F197D42B5FCB}">
  <ds:schemaRefs>
    <ds:schemaRef ds:uri="http://schemas.microsoft.com/sharepoint/v3/contenttype/forms"/>
  </ds:schemaRefs>
</ds:datastoreItem>
</file>

<file path=customXml/itemProps3.xml><?xml version="1.0" encoding="utf-8"?>
<ds:datastoreItem xmlns:ds="http://schemas.openxmlformats.org/officeDocument/2006/customXml" ds:itemID="{20E4C879-8CCC-429C-98C6-DE1F1A6DE7C3}">
  <ds:schemaRefs>
    <ds:schemaRef ds:uri="http://schemas.microsoft.com/office/2006/metadata/longProperties"/>
  </ds:schemaRefs>
</ds:datastoreItem>
</file>

<file path=customXml/itemProps4.xml><?xml version="1.0" encoding="utf-8"?>
<ds:datastoreItem xmlns:ds="http://schemas.openxmlformats.org/officeDocument/2006/customXml" ds:itemID="{E2157FB7-FBB4-417C-95C6-F1FCB15B8E32}">
  <ds:schemaRefs>
    <ds:schemaRef ds:uri="http://schemas.microsoft.com/office/2006/metadata/properties"/>
    <ds:schemaRef ds:uri="http://schemas.microsoft.com/office/infopath/2007/PartnerControls"/>
    <ds:schemaRef ds:uri="eaa45b17-fd56-44b4-85b7-73d344da6853"/>
  </ds:schemaRefs>
</ds:datastoreItem>
</file>

<file path=customXml/itemProps5.xml><?xml version="1.0" encoding="utf-8"?>
<ds:datastoreItem xmlns:ds="http://schemas.openxmlformats.org/officeDocument/2006/customXml" ds:itemID="{0AB5B359-A4DE-478B-950C-0189D8BE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4450</Words>
  <Characters>25370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29761</CharactersWithSpaces>
  <SharedDoc>false</SharedDoc>
  <HLinks>
    <vt:vector size="108" baseType="variant">
      <vt:variant>
        <vt:i4>1638452</vt:i4>
      </vt:variant>
      <vt:variant>
        <vt:i4>104</vt:i4>
      </vt:variant>
      <vt:variant>
        <vt:i4>0</vt:i4>
      </vt:variant>
      <vt:variant>
        <vt:i4>5</vt:i4>
      </vt:variant>
      <vt:variant>
        <vt:lpwstr/>
      </vt:variant>
      <vt:variant>
        <vt:lpwstr>_Toc513533195</vt:lpwstr>
      </vt:variant>
      <vt:variant>
        <vt:i4>1638452</vt:i4>
      </vt:variant>
      <vt:variant>
        <vt:i4>98</vt:i4>
      </vt:variant>
      <vt:variant>
        <vt:i4>0</vt:i4>
      </vt:variant>
      <vt:variant>
        <vt:i4>5</vt:i4>
      </vt:variant>
      <vt:variant>
        <vt:lpwstr/>
      </vt:variant>
      <vt:variant>
        <vt:lpwstr>_Toc513533194</vt:lpwstr>
      </vt:variant>
      <vt:variant>
        <vt:i4>1638452</vt:i4>
      </vt:variant>
      <vt:variant>
        <vt:i4>92</vt:i4>
      </vt:variant>
      <vt:variant>
        <vt:i4>0</vt:i4>
      </vt:variant>
      <vt:variant>
        <vt:i4>5</vt:i4>
      </vt:variant>
      <vt:variant>
        <vt:lpwstr/>
      </vt:variant>
      <vt:variant>
        <vt:lpwstr>_Toc513533193</vt:lpwstr>
      </vt:variant>
      <vt:variant>
        <vt:i4>1638452</vt:i4>
      </vt:variant>
      <vt:variant>
        <vt:i4>86</vt:i4>
      </vt:variant>
      <vt:variant>
        <vt:i4>0</vt:i4>
      </vt:variant>
      <vt:variant>
        <vt:i4>5</vt:i4>
      </vt:variant>
      <vt:variant>
        <vt:lpwstr/>
      </vt:variant>
      <vt:variant>
        <vt:lpwstr>_Toc513533192</vt:lpwstr>
      </vt:variant>
      <vt:variant>
        <vt:i4>1638452</vt:i4>
      </vt:variant>
      <vt:variant>
        <vt:i4>80</vt:i4>
      </vt:variant>
      <vt:variant>
        <vt:i4>0</vt:i4>
      </vt:variant>
      <vt:variant>
        <vt:i4>5</vt:i4>
      </vt:variant>
      <vt:variant>
        <vt:lpwstr/>
      </vt:variant>
      <vt:variant>
        <vt:lpwstr>_Toc513533191</vt:lpwstr>
      </vt:variant>
      <vt:variant>
        <vt:i4>1638452</vt:i4>
      </vt:variant>
      <vt:variant>
        <vt:i4>74</vt:i4>
      </vt:variant>
      <vt:variant>
        <vt:i4>0</vt:i4>
      </vt:variant>
      <vt:variant>
        <vt:i4>5</vt:i4>
      </vt:variant>
      <vt:variant>
        <vt:lpwstr/>
      </vt:variant>
      <vt:variant>
        <vt:lpwstr>_Toc513533190</vt:lpwstr>
      </vt:variant>
      <vt:variant>
        <vt:i4>1572916</vt:i4>
      </vt:variant>
      <vt:variant>
        <vt:i4>68</vt:i4>
      </vt:variant>
      <vt:variant>
        <vt:i4>0</vt:i4>
      </vt:variant>
      <vt:variant>
        <vt:i4>5</vt:i4>
      </vt:variant>
      <vt:variant>
        <vt:lpwstr/>
      </vt:variant>
      <vt:variant>
        <vt:lpwstr>_Toc513533189</vt:lpwstr>
      </vt:variant>
      <vt:variant>
        <vt:i4>1572916</vt:i4>
      </vt:variant>
      <vt:variant>
        <vt:i4>62</vt:i4>
      </vt:variant>
      <vt:variant>
        <vt:i4>0</vt:i4>
      </vt:variant>
      <vt:variant>
        <vt:i4>5</vt:i4>
      </vt:variant>
      <vt:variant>
        <vt:lpwstr/>
      </vt:variant>
      <vt:variant>
        <vt:lpwstr>_Toc513533188</vt:lpwstr>
      </vt:variant>
      <vt:variant>
        <vt:i4>1572916</vt:i4>
      </vt:variant>
      <vt:variant>
        <vt:i4>56</vt:i4>
      </vt:variant>
      <vt:variant>
        <vt:i4>0</vt:i4>
      </vt:variant>
      <vt:variant>
        <vt:i4>5</vt:i4>
      </vt:variant>
      <vt:variant>
        <vt:lpwstr/>
      </vt:variant>
      <vt:variant>
        <vt:lpwstr>_Toc513533187</vt:lpwstr>
      </vt:variant>
      <vt:variant>
        <vt:i4>1572916</vt:i4>
      </vt:variant>
      <vt:variant>
        <vt:i4>50</vt:i4>
      </vt:variant>
      <vt:variant>
        <vt:i4>0</vt:i4>
      </vt:variant>
      <vt:variant>
        <vt:i4>5</vt:i4>
      </vt:variant>
      <vt:variant>
        <vt:lpwstr/>
      </vt:variant>
      <vt:variant>
        <vt:lpwstr>_Toc513533186</vt:lpwstr>
      </vt:variant>
      <vt:variant>
        <vt:i4>1572916</vt:i4>
      </vt:variant>
      <vt:variant>
        <vt:i4>44</vt:i4>
      </vt:variant>
      <vt:variant>
        <vt:i4>0</vt:i4>
      </vt:variant>
      <vt:variant>
        <vt:i4>5</vt:i4>
      </vt:variant>
      <vt:variant>
        <vt:lpwstr/>
      </vt:variant>
      <vt:variant>
        <vt:lpwstr>_Toc513533185</vt:lpwstr>
      </vt:variant>
      <vt:variant>
        <vt:i4>1572916</vt:i4>
      </vt:variant>
      <vt:variant>
        <vt:i4>38</vt:i4>
      </vt:variant>
      <vt:variant>
        <vt:i4>0</vt:i4>
      </vt:variant>
      <vt:variant>
        <vt:i4>5</vt:i4>
      </vt:variant>
      <vt:variant>
        <vt:lpwstr/>
      </vt:variant>
      <vt:variant>
        <vt:lpwstr>_Toc513533184</vt:lpwstr>
      </vt:variant>
      <vt:variant>
        <vt:i4>1572916</vt:i4>
      </vt:variant>
      <vt:variant>
        <vt:i4>32</vt:i4>
      </vt:variant>
      <vt:variant>
        <vt:i4>0</vt:i4>
      </vt:variant>
      <vt:variant>
        <vt:i4>5</vt:i4>
      </vt:variant>
      <vt:variant>
        <vt:lpwstr/>
      </vt:variant>
      <vt:variant>
        <vt:lpwstr>_Toc513533183</vt:lpwstr>
      </vt:variant>
      <vt:variant>
        <vt:i4>1572916</vt:i4>
      </vt:variant>
      <vt:variant>
        <vt:i4>26</vt:i4>
      </vt:variant>
      <vt:variant>
        <vt:i4>0</vt:i4>
      </vt:variant>
      <vt:variant>
        <vt:i4>5</vt:i4>
      </vt:variant>
      <vt:variant>
        <vt:lpwstr/>
      </vt:variant>
      <vt:variant>
        <vt:lpwstr>_Toc513533182</vt:lpwstr>
      </vt:variant>
      <vt:variant>
        <vt:i4>1572916</vt:i4>
      </vt:variant>
      <vt:variant>
        <vt:i4>20</vt:i4>
      </vt:variant>
      <vt:variant>
        <vt:i4>0</vt:i4>
      </vt:variant>
      <vt:variant>
        <vt:i4>5</vt:i4>
      </vt:variant>
      <vt:variant>
        <vt:lpwstr/>
      </vt:variant>
      <vt:variant>
        <vt:lpwstr>_Toc513533181</vt:lpwstr>
      </vt:variant>
      <vt:variant>
        <vt:i4>1572916</vt:i4>
      </vt:variant>
      <vt:variant>
        <vt:i4>14</vt:i4>
      </vt:variant>
      <vt:variant>
        <vt:i4>0</vt:i4>
      </vt:variant>
      <vt:variant>
        <vt:i4>5</vt:i4>
      </vt:variant>
      <vt:variant>
        <vt:lpwstr/>
      </vt:variant>
      <vt:variant>
        <vt:lpwstr>_Toc513533180</vt:lpwstr>
      </vt:variant>
      <vt:variant>
        <vt:i4>1507380</vt:i4>
      </vt:variant>
      <vt:variant>
        <vt:i4>8</vt:i4>
      </vt:variant>
      <vt:variant>
        <vt:i4>0</vt:i4>
      </vt:variant>
      <vt:variant>
        <vt:i4>5</vt:i4>
      </vt:variant>
      <vt:variant>
        <vt:lpwstr/>
      </vt:variant>
      <vt:variant>
        <vt:lpwstr>_Toc513533179</vt:lpwstr>
      </vt:variant>
      <vt:variant>
        <vt:i4>1507380</vt:i4>
      </vt:variant>
      <vt:variant>
        <vt:i4>2</vt:i4>
      </vt:variant>
      <vt:variant>
        <vt:i4>0</vt:i4>
      </vt:variant>
      <vt:variant>
        <vt:i4>5</vt:i4>
      </vt:variant>
      <vt:variant>
        <vt:lpwstr/>
      </vt:variant>
      <vt:variant>
        <vt:lpwstr>_Toc513533178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SYSTEM</cp:lastModifiedBy>
  <cp:revision>2</cp:revision>
  <cp:lastPrinted>2018-06-01T15:23:00Z</cp:lastPrinted>
  <dcterms:created xsi:type="dcterms:W3CDTF">2018-07-16T18:55:00Z</dcterms:created>
  <dcterms:modified xsi:type="dcterms:W3CDTF">2018-07-16T18:55:00Z</dcterms:modified>
</cp:coreProperties>
</file>