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6983D3" w14:textId="77777777" w:rsidR="00761EDD" w:rsidRDefault="00761EDD" w:rsidP="00761EDD">
      <w:pPr>
        <w:pStyle w:val="Heading1"/>
        <w:spacing w:before="0" w:after="0"/>
        <w:jc w:val="center"/>
      </w:pPr>
      <w:bookmarkStart w:id="0" w:name="_Toc79980788"/>
      <w:bookmarkStart w:id="1" w:name="_Toc417475988"/>
      <w:bookmarkStart w:id="2" w:name="_GoBack"/>
      <w:bookmarkEnd w:id="2"/>
      <w:r>
        <w:rPr>
          <w:caps w:val="0"/>
        </w:rPr>
        <w:t>Supporting Statement Part A</w:t>
      </w:r>
    </w:p>
    <w:p w14:paraId="7CAE65D2" w14:textId="49852AEA" w:rsidR="00997A45" w:rsidRPr="00997A45" w:rsidRDefault="00997A45" w:rsidP="00997A45">
      <w:pPr>
        <w:jc w:val="center"/>
        <w:rPr>
          <w:b/>
        </w:rPr>
      </w:pPr>
      <w:r w:rsidRPr="00997A45">
        <w:rPr>
          <w:b/>
        </w:rPr>
        <w:t>Consumer Assessment of Healthcare Providers and Systems Outpatient and Ambulatory Surgery Survey (OAS CAHPS)</w:t>
      </w:r>
    </w:p>
    <w:p w14:paraId="482780A0" w14:textId="491C3792" w:rsidR="00761EDD" w:rsidRDefault="00761EDD" w:rsidP="00761EDD">
      <w:pPr>
        <w:pStyle w:val="Heading1"/>
        <w:spacing w:before="0" w:after="0"/>
        <w:jc w:val="center"/>
        <w:rPr>
          <w:color w:val="000000"/>
        </w:rPr>
      </w:pPr>
      <w:r>
        <w:rPr>
          <w:caps w:val="0"/>
          <w:color w:val="000000"/>
        </w:rPr>
        <w:t>CMS-10500, OMB 0938-1314</w:t>
      </w:r>
    </w:p>
    <w:p w14:paraId="26D6A548" w14:textId="77777777" w:rsidR="00761EDD" w:rsidRDefault="00761EDD" w:rsidP="00932612">
      <w:pPr>
        <w:pStyle w:val="Heading1"/>
        <w:rPr>
          <w:color w:val="000000"/>
        </w:rPr>
      </w:pPr>
    </w:p>
    <w:p w14:paraId="1F3D8F70" w14:textId="0471DDE2" w:rsidR="00734791" w:rsidRDefault="00734791" w:rsidP="00932612">
      <w:pPr>
        <w:pStyle w:val="Heading1"/>
        <w:rPr>
          <w:color w:val="000000"/>
        </w:rPr>
      </w:pPr>
      <w:r>
        <w:rPr>
          <w:color w:val="000000"/>
        </w:rPr>
        <w:t>BACKGROUND</w:t>
      </w:r>
    </w:p>
    <w:p w14:paraId="39F80834" w14:textId="77777777" w:rsidR="00734791" w:rsidRPr="00075391" w:rsidRDefault="00734791" w:rsidP="00734791">
      <w:pPr>
        <w:pStyle w:val="BodyText"/>
      </w:pPr>
      <w:r w:rsidRPr="00075391">
        <w:t>Since 1995, the Agency for Healthcare Research and Quality (AHRQ) and its Consumer Assessment of Healthcare Providers and Systems (CAHPS</w:t>
      </w:r>
      <w:r w:rsidRPr="00075391">
        <w:rPr>
          <w:vertAlign w:val="superscript"/>
        </w:rPr>
        <w:t>®</w:t>
      </w:r>
      <w:r w:rsidRPr="00075391">
        <w:t>) Consortium, in conjunction with CMS, have developed standardized CAHPS Surveys and tools for a variety of patient populations, including commercially insured ambulatory patients, patients whose care is covered by Medicare and Medicaid, dialysis patients, home health patients, hospital inpatients, dental patients, and patients who receive behavioral health care and services. The purpose of the CAHPS family of surveys is to collect data about patients</w:t>
      </w:r>
      <w:r>
        <w:t>’</w:t>
      </w:r>
      <w:r w:rsidRPr="00075391">
        <w:t xml:space="preserve"> assessment and rating of the care they receive from their health care provider or health care system.</w:t>
      </w:r>
    </w:p>
    <w:p w14:paraId="17B48C2A" w14:textId="7B5F810A" w:rsidR="00734791" w:rsidRDefault="00734791" w:rsidP="00C27BA5">
      <w:pPr>
        <w:ind w:firstLine="720"/>
      </w:pPr>
      <w:r w:rsidRPr="00075391">
        <w:t>CMS began looking at Medicare beneficiaries</w:t>
      </w:r>
      <w:r>
        <w:t>’</w:t>
      </w:r>
      <w:r w:rsidRPr="00075391">
        <w:t xml:space="preserve"> experience of care with outpatient surgery via the </w:t>
      </w:r>
      <w:r w:rsidRPr="00075391">
        <w:rPr>
          <w:i/>
        </w:rPr>
        <w:t>Patient Satisfaction with Outpatient Survey: A National Survey of Medicare Beneficiaries</w:t>
      </w:r>
      <w:r w:rsidRPr="00075391">
        <w:t xml:space="preserve"> conducted by the U.S. Office of the Inspector General in 1989. However, until recent years, the focus has been on patients</w:t>
      </w:r>
      <w:r>
        <w:t>’</w:t>
      </w:r>
      <w:r w:rsidRPr="00075391">
        <w:t xml:space="preserve"> experience with other types of health care. In 2006, CMS began implementing the Hospital CAHPS (HCAHPS) Survey, which collects data about hospital inpatients</w:t>
      </w:r>
      <w:r>
        <w:t>’</w:t>
      </w:r>
      <w:r w:rsidRPr="00075391">
        <w:t xml:space="preserve"> rating of and experience with hospital inpatient care. CMS began publicly reporting HCAHPS Survey results on the Hospital Compare link on the Medicare.gov website in 2008. The HCAHPS Survey, however, includes data from samples of patients who receive inpatient hospital care. It does not include patients who received outpatient surgical care from hospital-based outpatient surgical departments (HOPDs), nor does it include patients who receive outpatient surgery from independently owned, freestanding ambulatory surgical centers (ASCs). In 2009, AHRQ reviewed and approved a Surgical Care CAHPS (S-CAHPS) Survey, the development of which was sponsored by the American College of Surgeons and the Surgical Quality Alliance. However, that survey, which is applicable to patients who receive surgery in inpatient and outpatient settings, focuses on care provided by a </w:t>
      </w:r>
      <w:r w:rsidRPr="00075391">
        <w:rPr>
          <w:i/>
          <w:iCs/>
        </w:rPr>
        <w:t>specific surgeon</w:t>
      </w:r>
      <w:r w:rsidRPr="00075391">
        <w:t>, not on the care received at the facility level.</w:t>
      </w:r>
    </w:p>
    <w:p w14:paraId="5869A50D" w14:textId="77777777" w:rsidR="00734791" w:rsidRPr="00075391" w:rsidRDefault="00734791" w:rsidP="00734791">
      <w:pPr>
        <w:pStyle w:val="BodyText"/>
      </w:pPr>
      <w:r w:rsidRPr="00075391">
        <w:t>In 2012, CMS partnered with a contractor (RTI International) to develop and test a standardized survey to measure the experiences of patients who receive outpatient surgical care from hospital</w:t>
      </w:r>
      <w:r>
        <w:t>-</w:t>
      </w:r>
      <w:r w:rsidRPr="00075391">
        <w:t>based outpatient surgical department</w:t>
      </w:r>
      <w:r>
        <w:t>s</w:t>
      </w:r>
      <w:r w:rsidRPr="00075391">
        <w:t xml:space="preserve"> and</w:t>
      </w:r>
      <w:r>
        <w:t xml:space="preserve"> independently owned </w:t>
      </w:r>
      <w:r w:rsidRPr="00075391">
        <w:t>ambulatory surg</w:t>
      </w:r>
      <w:r>
        <w:t>ery</w:t>
      </w:r>
      <w:r w:rsidRPr="00075391">
        <w:t xml:space="preserve"> center</w:t>
      </w:r>
      <w:r>
        <w:t>s</w:t>
      </w:r>
      <w:r w:rsidRPr="00075391">
        <w:t>. Prior to the pilot testing phase, significant background research was conducted, including the following steps:</w:t>
      </w:r>
    </w:p>
    <w:p w14:paraId="67EDB731" w14:textId="77777777" w:rsidR="00734791" w:rsidRPr="00075391" w:rsidRDefault="00734791" w:rsidP="00734791">
      <w:pPr>
        <w:pStyle w:val="ListBullet"/>
        <w:ind w:left="720"/>
      </w:pPr>
      <w:r w:rsidRPr="00075391">
        <w:rPr>
          <w:i/>
        </w:rPr>
        <w:t>Literature Review</w:t>
      </w:r>
      <w:r w:rsidRPr="00075391">
        <w:t>. An exhaustive literature review was performed, gathering information on outpatient surgery surveys and issues to inform the development of the survey or protocols for implementation.</w:t>
      </w:r>
      <w:r w:rsidRPr="00075391">
        <w:rPr>
          <w:rFonts w:eastAsia="Calibri"/>
        </w:rPr>
        <w:t xml:space="preserve"> The purpose of the literature review was to obtain information about the dimensions of domains of care that may be of interest to consumers when choosing an outpatient surgery center and issues that would </w:t>
      </w:r>
      <w:r>
        <w:rPr>
          <w:rFonts w:eastAsia="Calibri"/>
        </w:rPr>
        <w:t>affect</w:t>
      </w:r>
      <w:r w:rsidRPr="00075391">
        <w:rPr>
          <w:rFonts w:eastAsia="Calibri"/>
        </w:rPr>
        <w:t xml:space="preserve"> the development of the survey. In addition, the literature review was used to identify other issues that would affect the development of the survey, including sampling approaches, data collection, reporting, and quality improvement issues.</w:t>
      </w:r>
    </w:p>
    <w:p w14:paraId="2599B9FB" w14:textId="77777777" w:rsidR="00734791" w:rsidRPr="00075391" w:rsidRDefault="00734791" w:rsidP="00734791">
      <w:pPr>
        <w:pStyle w:val="ListBullet"/>
        <w:ind w:left="720"/>
      </w:pPr>
      <w:r w:rsidRPr="00075391">
        <w:rPr>
          <w:i/>
        </w:rPr>
        <w:t>TEP Input.</w:t>
      </w:r>
      <w:r w:rsidRPr="00075391">
        <w:t xml:space="preserve"> RTI convened a meeting with a Technical Expert Panel (TEP) comprising individuals from industry, professional associations affiliated with the outpatient surgery industry</w:t>
      </w:r>
      <w:r>
        <w:t>,</w:t>
      </w:r>
      <w:r w:rsidRPr="00075391">
        <w:t xml:space="preserve"> and academia in February 2013. The purpose of the meeting was to discuss the goal of the survey and to understand how to encourage facilities to participate in the field test. The TEP was also given the opportunity to provide feedback on the focus and content of the survey. The team also met and communicated with the CAHPS Consortium multiple times during in the various stages of the survey development process to solicit feedback.</w:t>
      </w:r>
    </w:p>
    <w:p w14:paraId="15808A3C" w14:textId="77777777" w:rsidR="00734791" w:rsidRPr="00075391" w:rsidRDefault="00734791" w:rsidP="00734791">
      <w:pPr>
        <w:pStyle w:val="ListBullet"/>
        <w:ind w:left="720"/>
      </w:pPr>
      <w:r w:rsidRPr="00075391">
        <w:rPr>
          <w:i/>
        </w:rPr>
        <w:t>Federal Register Notice.</w:t>
      </w:r>
      <w:r w:rsidRPr="00075391">
        <w:t xml:space="preserve"> On January 25, 2013, CMS published a Federal Register Notice</w:t>
      </w:r>
      <w:r w:rsidRPr="00075391">
        <w:rPr>
          <w:i/>
          <w:iCs/>
        </w:rPr>
        <w:t xml:space="preserve"> </w:t>
      </w:r>
      <w:r w:rsidRPr="00075391">
        <w:t>soliciting the submission of survey domains and topic area</w:t>
      </w:r>
      <w:r w:rsidRPr="00075391">
        <w:rPr>
          <w:rStyle w:val="BodyTextChar"/>
        </w:rPr>
        <w:t>s</w:t>
      </w:r>
      <w:r w:rsidRPr="00075391">
        <w:t xml:space="preserve"> in the public domain measuring outpatient surgery patients</w:t>
      </w:r>
      <w:r>
        <w:t>’</w:t>
      </w:r>
      <w:r w:rsidRPr="00075391">
        <w:t xml:space="preserve"> experience of care. The notice of request for measures closed on March 26, 2013.</w:t>
      </w:r>
    </w:p>
    <w:p w14:paraId="7F43CE2D" w14:textId="77777777" w:rsidR="00734791" w:rsidRPr="00075391" w:rsidRDefault="00734791" w:rsidP="00734791">
      <w:pPr>
        <w:pStyle w:val="ListBullet"/>
        <w:ind w:left="720"/>
      </w:pPr>
      <w:r w:rsidRPr="00075391">
        <w:rPr>
          <w:i/>
        </w:rPr>
        <w:t>Review of Submitted and Existing Instruments</w:t>
      </w:r>
      <w:r w:rsidRPr="00075391">
        <w:t xml:space="preserve">. RTI reviewed all of the responses for their relevance for inclusion in this survey. </w:t>
      </w:r>
      <w:r w:rsidRPr="00075391">
        <w:rPr>
          <w:bCs/>
        </w:rPr>
        <w:t>Submitted items were entered into a comprehensive database, allowing comparisons across domains and topic areas. O</w:t>
      </w:r>
      <w:r w:rsidRPr="00075391">
        <w:t>ther existing CAHPS Survey instruments that are publicly available were also reviewed for relevancy. Individual items from both the submitted and other existing CAHPS Surveys were examined by the team</w:t>
      </w:r>
      <w:r>
        <w:t>’</w:t>
      </w:r>
      <w:r w:rsidRPr="00075391">
        <w:t xml:space="preserve">s methodologists for possible inclusion in </w:t>
      </w:r>
      <w:r>
        <w:t>the OAS CAHPS</w:t>
      </w:r>
      <w:r w:rsidRPr="00075391">
        <w:t xml:space="preserve"> draft questionnaire.</w:t>
      </w:r>
    </w:p>
    <w:p w14:paraId="67497EE5" w14:textId="77777777" w:rsidR="00734791" w:rsidRPr="00075391" w:rsidRDefault="00734791" w:rsidP="00734791">
      <w:pPr>
        <w:pStyle w:val="ListBullet"/>
        <w:ind w:left="720"/>
        <w:rPr>
          <w:bCs/>
        </w:rPr>
      </w:pPr>
      <w:r w:rsidRPr="00075391">
        <w:rPr>
          <w:i/>
        </w:rPr>
        <w:t>Public Comment</w:t>
      </w:r>
      <w:r w:rsidRPr="00075391">
        <w:t xml:space="preserve">. In early October 2013, another Federal Register notice was published seeking public comment on the draft instrument and protocol. CMS received </w:t>
      </w:r>
      <w:r>
        <w:t>two</w:t>
      </w:r>
      <w:r w:rsidRPr="00075391">
        <w:t xml:space="preserve"> comments by the end of the 60</w:t>
      </w:r>
      <w:r>
        <w:t>-</w:t>
      </w:r>
      <w:r w:rsidRPr="00075391">
        <w:t>day window (in early December 2013). The 30-day notice was published in late December 2013 and did not produce any additional feedback. The additional feedback received through this process was also used to refine the survey instrument.</w:t>
      </w:r>
    </w:p>
    <w:p w14:paraId="0995FC6C" w14:textId="6E6D517D" w:rsidR="00734791" w:rsidRPr="00075391" w:rsidRDefault="00734791" w:rsidP="00AA48E8">
      <w:pPr>
        <w:pStyle w:val="ListBullet"/>
        <w:ind w:left="720"/>
      </w:pPr>
      <w:r w:rsidRPr="00075391">
        <w:rPr>
          <w:i/>
        </w:rPr>
        <w:t>Field Test</w:t>
      </w:r>
      <w:r w:rsidRPr="00075391">
        <w:t xml:space="preserve">. </w:t>
      </w:r>
      <w:r w:rsidR="004863EA" w:rsidRPr="00075391">
        <w:t xml:space="preserve">As part of </w:t>
      </w:r>
      <w:r w:rsidR="004863EA">
        <w:t>a previous</w:t>
      </w:r>
      <w:r w:rsidR="004863EA" w:rsidRPr="00075391">
        <w:t xml:space="preserve"> information collection request</w:t>
      </w:r>
      <w:r w:rsidR="004863EA">
        <w:t xml:space="preserve"> in 2014</w:t>
      </w:r>
      <w:r w:rsidR="004863EA" w:rsidRPr="00075391">
        <w:t>, CMS re</w:t>
      </w:r>
      <w:r w:rsidR="004863EA">
        <w:t>ceived OMB</w:t>
      </w:r>
      <w:r w:rsidR="004863EA" w:rsidRPr="00075391">
        <w:t xml:space="preserve"> approval to</w:t>
      </w:r>
      <w:r w:rsidRPr="00075391">
        <w:t xml:space="preserve"> conduct a </w:t>
      </w:r>
      <w:r>
        <w:t>6</w:t>
      </w:r>
      <w:r w:rsidRPr="00075391">
        <w:t xml:space="preserve">-week field test of </w:t>
      </w:r>
      <w:r>
        <w:t>OAS CAHPS</w:t>
      </w:r>
      <w:r w:rsidRPr="00075391">
        <w:t xml:space="preserve"> to test the reliability and validity of the survey items and implementation procedures. Survey participants included patients </w:t>
      </w:r>
      <w:r>
        <w:t>who</w:t>
      </w:r>
      <w:r w:rsidRPr="00075391">
        <w:t xml:space="preserve"> had a recent outpatient surgery (in May 2014) at one of the participating facilities. Patients </w:t>
      </w:r>
      <w:r>
        <w:t>who</w:t>
      </w:r>
      <w:r w:rsidRPr="00075391">
        <w:t xml:space="preserve"> had a recent diagnostic procedure, such as a colonoscopy were also eligible. The survey questionnaire that was tested contained questions about the check-in process, facility environment, patient</w:t>
      </w:r>
      <w:r>
        <w:t>’</w:t>
      </w:r>
      <w:r w:rsidRPr="00075391">
        <w:t>s experience communicating with administrative staff (receptionists) and clinical providers (doctors and nurses), attention to comfort, provision of pre-</w:t>
      </w:r>
      <w:r>
        <w:t xml:space="preserve"> </w:t>
      </w:r>
      <w:r w:rsidRPr="00075391">
        <w:t>and postsurgery care information, overall experience</w:t>
      </w:r>
      <w:r>
        <w:t>, and</w:t>
      </w:r>
      <w:r w:rsidRPr="00075391">
        <w:t xml:space="preserve"> patient characteristics. The field test included 4,179 sampled patients from a total of 36 facilities (18 HOPDs and 18 ASCs) located across the United States.</w:t>
      </w:r>
    </w:p>
    <w:p w14:paraId="5A017DEB" w14:textId="77777777" w:rsidR="00734791" w:rsidRPr="00075391" w:rsidRDefault="00734791" w:rsidP="007878B4">
      <w:pPr>
        <w:pStyle w:val="ListContinue"/>
        <w:ind w:left="720"/>
      </w:pPr>
      <w:r w:rsidRPr="00075391">
        <w:t>The field test was implemented as a mixed-mode design (i.e., an initial mailed questionnaire followed by a telephone follow-up of nonrespondents to the mail survey) allowing us to test procedures for both mail and telephone survey administration (via computer</w:t>
      </w:r>
      <w:r>
        <w:t>-</w:t>
      </w:r>
      <w:r w:rsidRPr="00075391">
        <w:t xml:space="preserve">assisted telephone interview [CATI]) in English and Spanish. The data collection period spanned </w:t>
      </w:r>
      <w:r>
        <w:t>6</w:t>
      </w:r>
      <w:r w:rsidRPr="00075391">
        <w:t xml:space="preserve"> weeks. The first phase (mail) lasted three weeks and the second phase (telephone follow-up to nonrespondents) lasted </w:t>
      </w:r>
      <w:r>
        <w:t>3</w:t>
      </w:r>
      <w:r w:rsidRPr="00075391">
        <w:t xml:space="preserve"> weeks.</w:t>
      </w:r>
    </w:p>
    <w:p w14:paraId="0648938A" w14:textId="77777777" w:rsidR="00734791" w:rsidRPr="00075391" w:rsidRDefault="00734791" w:rsidP="007878B4">
      <w:pPr>
        <w:pStyle w:val="ListContinue"/>
        <w:ind w:left="720"/>
      </w:pPr>
      <w:r w:rsidRPr="00075391">
        <w:t>Of the 4,179 sample patients, 1,863 responded to the survey resulting in an overall (adjusted) response rate of 45.61%. Of those respondents who completed the survey, 30.4% responded by mail and 13.8% responded by telephone.</w:t>
      </w:r>
    </w:p>
    <w:p w14:paraId="2950CF94" w14:textId="72DC241D" w:rsidR="00734791" w:rsidRPr="00075391" w:rsidRDefault="00734791" w:rsidP="008E530C">
      <w:pPr>
        <w:pStyle w:val="ListBullet"/>
        <w:ind w:left="720"/>
      </w:pPr>
      <w:r w:rsidRPr="00075391">
        <w:rPr>
          <w:i/>
        </w:rPr>
        <w:t>Field Test Analysis</w:t>
      </w:r>
      <w:r w:rsidRPr="00075391">
        <w:t xml:space="preserve">. The core of </w:t>
      </w:r>
      <w:r w:rsidR="008E530C">
        <w:t>the</w:t>
      </w:r>
      <w:r w:rsidRPr="00075391">
        <w:t xml:space="preserve"> field test analysis was a psychometric analysis (including tests of reliability and validity) of the survey items and proposed reporting composites. The goal of such an analysis was to assess the measurement properties of the proposed instrument and sub-domain composites created from item subsets, to </w:t>
      </w:r>
      <w:r>
        <w:t>en</w:t>
      </w:r>
      <w:r w:rsidRPr="00075391">
        <w:t xml:space="preserve">sure </w:t>
      </w:r>
      <w:r>
        <w:t xml:space="preserve">that </w:t>
      </w:r>
      <w:r w:rsidRPr="00075391">
        <w:t>the information reported from any future administrations of the survey was well-defined. Such careful definition will prevent data distortion or misinformation if they are publicly reported.</w:t>
      </w:r>
    </w:p>
    <w:p w14:paraId="1C382E52" w14:textId="0262688C" w:rsidR="00734791" w:rsidRPr="00075391" w:rsidRDefault="00734791" w:rsidP="00FE76EC">
      <w:pPr>
        <w:pStyle w:val="ListBullet"/>
        <w:ind w:left="720"/>
      </w:pPr>
      <w:r w:rsidRPr="00075391">
        <w:rPr>
          <w:i/>
        </w:rPr>
        <w:t>Final Survey</w:t>
      </w:r>
      <w:r w:rsidRPr="00075391">
        <w:t>. Based on the field test findings, the survey instrument was revised. Twelve questions were removed from the 49-item instrument</w:t>
      </w:r>
      <w:r w:rsidR="006B78A1">
        <w:t xml:space="preserve"> used for the field test</w:t>
      </w:r>
      <w:r w:rsidRPr="00075391">
        <w:t xml:space="preserve">. The final </w:t>
      </w:r>
      <w:r w:rsidR="00377423">
        <w:t>Outpatient and Ambulatory Surgery CAHPS</w:t>
      </w:r>
      <w:r w:rsidR="00FE76EC">
        <w:t xml:space="preserve"> (OAS CAHPS)</w:t>
      </w:r>
      <w:r w:rsidR="00377423">
        <w:t xml:space="preserve"> </w:t>
      </w:r>
      <w:r w:rsidR="00FE76EC">
        <w:t>S</w:t>
      </w:r>
      <w:r w:rsidRPr="00075391">
        <w:t>urvey has 37 items.</w:t>
      </w:r>
    </w:p>
    <w:p w14:paraId="2C3BEC86" w14:textId="3F7950C1" w:rsidR="00734791" w:rsidRDefault="00734791" w:rsidP="007878B4">
      <w:pPr>
        <w:pStyle w:val="ListBullet"/>
        <w:ind w:left="720"/>
      </w:pPr>
      <w:r w:rsidRPr="007878B4">
        <w:rPr>
          <w:i/>
          <w:iCs/>
        </w:rPr>
        <w:t xml:space="preserve">OAS CAHPS </w:t>
      </w:r>
      <w:r w:rsidR="003E3713">
        <w:rPr>
          <w:i/>
          <w:iCs/>
        </w:rPr>
        <w:t xml:space="preserve">2015 </w:t>
      </w:r>
      <w:r w:rsidRPr="007878B4">
        <w:rPr>
          <w:i/>
          <w:iCs/>
        </w:rPr>
        <w:t>Mode Experiment</w:t>
      </w:r>
      <w:r w:rsidRPr="00734791">
        <w:rPr>
          <w:i/>
          <w:iCs/>
        </w:rPr>
        <w:t>.</w:t>
      </w:r>
      <w:r w:rsidR="004863EA" w:rsidRPr="004863EA">
        <w:t xml:space="preserve"> </w:t>
      </w:r>
      <w:r w:rsidR="004863EA" w:rsidRPr="00075391">
        <w:t xml:space="preserve">As part of </w:t>
      </w:r>
      <w:r w:rsidR="004863EA">
        <w:t>a previous</w:t>
      </w:r>
      <w:r w:rsidR="004863EA" w:rsidRPr="00075391">
        <w:t xml:space="preserve"> information collection request</w:t>
      </w:r>
      <w:r w:rsidR="004863EA">
        <w:t xml:space="preserve"> in 2015</w:t>
      </w:r>
      <w:r w:rsidR="004863EA" w:rsidRPr="00075391">
        <w:t>, CMS re</w:t>
      </w:r>
      <w:r w:rsidR="004863EA">
        <w:t xml:space="preserve">ceived OMB </w:t>
      </w:r>
      <w:r w:rsidR="004863EA" w:rsidRPr="00075391">
        <w:t>approval to</w:t>
      </w:r>
      <w:r w:rsidRPr="00734791">
        <w:rPr>
          <w:i/>
          <w:iCs/>
        </w:rPr>
        <w:t xml:space="preserve"> </w:t>
      </w:r>
      <w:r w:rsidRPr="00075391">
        <w:t>conduct a randomized mode experiment with a sample of patients receiving outpatient surgeries or procedures</w:t>
      </w:r>
      <w:r>
        <w:t xml:space="preserve">. The mode experiment was designed to </w:t>
      </w:r>
      <w:r w:rsidRPr="008A7D67">
        <w:t xml:space="preserve">determine whether </w:t>
      </w:r>
      <w:r>
        <w:t xml:space="preserve">mode of administration, nonresponse, or patient-mix factors </w:t>
      </w:r>
      <w:r w:rsidRPr="008A7D67">
        <w:t xml:space="preserve">affect </w:t>
      </w:r>
      <w:r>
        <w:t xml:space="preserve">OAS </w:t>
      </w:r>
      <w:r w:rsidRPr="008A7D67">
        <w:t>CAHPS Survey scores</w:t>
      </w:r>
      <w:r>
        <w:t>.</w:t>
      </w:r>
      <w:r w:rsidRPr="00075391">
        <w:t xml:space="preserve"> </w:t>
      </w:r>
    </w:p>
    <w:p w14:paraId="11ED95B1" w14:textId="226868B2" w:rsidR="00734791" w:rsidRDefault="00734791" w:rsidP="00166084">
      <w:pPr>
        <w:pStyle w:val="ListContinue"/>
        <w:ind w:left="720"/>
      </w:pPr>
      <w:r w:rsidRPr="00075391">
        <w:t>CMS</w:t>
      </w:r>
      <w:r>
        <w:t xml:space="preserve">’ contractor, RTI, </w:t>
      </w:r>
      <w:r w:rsidRPr="00075391">
        <w:t>conduct</w:t>
      </w:r>
      <w:r>
        <w:t>ed</w:t>
      </w:r>
      <w:r w:rsidRPr="00075391">
        <w:t xml:space="preserve"> the </w:t>
      </w:r>
      <w:r>
        <w:t>OAS CAHPS</w:t>
      </w:r>
      <w:r w:rsidRPr="00075391">
        <w:t xml:space="preserve"> mode experiment as a one-time (cross-sectional) survey of patients </w:t>
      </w:r>
      <w:r>
        <w:t xml:space="preserve">who </w:t>
      </w:r>
      <w:r w:rsidRPr="00075391">
        <w:t>receiv</w:t>
      </w:r>
      <w:r>
        <w:t>ed</w:t>
      </w:r>
      <w:r w:rsidRPr="00075391">
        <w:t xml:space="preserve"> care from </w:t>
      </w:r>
      <w:r>
        <w:t xml:space="preserve">sampled </w:t>
      </w:r>
      <w:r w:rsidRPr="00075391">
        <w:t xml:space="preserve">HOPDs and ASCs. </w:t>
      </w:r>
      <w:r w:rsidR="00166084">
        <w:t>A total of</w:t>
      </w:r>
      <w:r w:rsidRPr="00075391">
        <w:t xml:space="preserve"> </w:t>
      </w:r>
      <w:r>
        <w:t>7</w:t>
      </w:r>
      <w:r w:rsidRPr="00075391">
        <w:t xml:space="preserve">0 </w:t>
      </w:r>
      <w:r>
        <w:t>facilities</w:t>
      </w:r>
      <w:r w:rsidRPr="00075391">
        <w:t xml:space="preserve"> (</w:t>
      </w:r>
      <w:r>
        <w:t>38</w:t>
      </w:r>
      <w:r w:rsidRPr="00075391">
        <w:t xml:space="preserve"> HOPDs and </w:t>
      </w:r>
      <w:r>
        <w:t>32</w:t>
      </w:r>
      <w:r w:rsidRPr="00075391">
        <w:t xml:space="preserve"> ASCs) participate</w:t>
      </w:r>
      <w:r w:rsidR="00166084">
        <w:t>d</w:t>
      </w:r>
      <w:r w:rsidRPr="00075391">
        <w:t xml:space="preserve"> in the mode experiment. </w:t>
      </w:r>
      <w:r>
        <w:t>From these facilities, RTI randomly selected</w:t>
      </w:r>
      <w:r w:rsidRPr="00075391">
        <w:t xml:space="preserve"> 13,</w:t>
      </w:r>
      <w:r>
        <w:t>576</w:t>
      </w:r>
      <w:r w:rsidRPr="00075391">
        <w:t xml:space="preserve"> patients </w:t>
      </w:r>
      <w:r>
        <w:t>and assigned one of</w:t>
      </w:r>
      <w:r w:rsidRPr="00075391">
        <w:t xml:space="preserve"> the three survey modes (mail-only, telephone-only, and mixed-mode). </w:t>
      </w:r>
      <w:r>
        <w:t>RTI</w:t>
      </w:r>
      <w:r w:rsidRPr="00075391">
        <w:t xml:space="preserve"> construct</w:t>
      </w:r>
      <w:r>
        <w:t>ed</w:t>
      </w:r>
      <w:r w:rsidRPr="00075391">
        <w:t xml:space="preserve"> the sample frame for the mode experiment using patient information provided by the participating HOPD</w:t>
      </w:r>
      <w:r>
        <w:t>s</w:t>
      </w:r>
      <w:r w:rsidRPr="00075391">
        <w:t>/ASC</w:t>
      </w:r>
      <w:r>
        <w:t>s</w:t>
      </w:r>
      <w:r w:rsidRPr="00075391">
        <w:t xml:space="preserve">. To ensure that the patients selected into the sample </w:t>
      </w:r>
      <w:r>
        <w:t>were</w:t>
      </w:r>
      <w:r w:rsidRPr="00075391">
        <w:t xml:space="preserve"> representative of the broad range of surgery procedures, </w:t>
      </w:r>
      <w:r>
        <w:t>RTI</w:t>
      </w:r>
      <w:r w:rsidRPr="00075391">
        <w:t xml:space="preserve"> sort</w:t>
      </w:r>
      <w:r>
        <w:t>ed</w:t>
      </w:r>
      <w:r w:rsidRPr="00075391">
        <w:t xml:space="preserve"> the patient sampling frame by gender, age group, and procedure type, prior to selecting the patient sample.</w:t>
      </w:r>
    </w:p>
    <w:p w14:paraId="629465F0" w14:textId="77777777" w:rsidR="00734791" w:rsidRPr="008A7D67" w:rsidRDefault="00734791" w:rsidP="007878B4">
      <w:pPr>
        <w:pStyle w:val="ListContinue"/>
        <w:ind w:left="720"/>
        <w:rPr>
          <w:rFonts w:asciiTheme="majorBidi" w:hAnsiTheme="majorBidi" w:cstheme="majorBidi"/>
        </w:rPr>
      </w:pPr>
      <w:r w:rsidRPr="008A7D67">
        <w:rPr>
          <w:rFonts w:asciiTheme="majorBidi" w:hAnsiTheme="majorBidi" w:cstheme="majorBidi"/>
        </w:rPr>
        <w:t>Data collection activities for the mode experiment we</w:t>
      </w:r>
      <w:r>
        <w:rPr>
          <w:rFonts w:asciiTheme="majorBidi" w:hAnsiTheme="majorBidi" w:cstheme="majorBidi"/>
        </w:rPr>
        <w:t>re conducted between September</w:t>
      </w:r>
      <w:r w:rsidRPr="008A7D67">
        <w:rPr>
          <w:rFonts w:asciiTheme="majorBidi" w:hAnsiTheme="majorBidi" w:cstheme="majorBidi"/>
        </w:rPr>
        <w:t xml:space="preserve"> and </w:t>
      </w:r>
      <w:r>
        <w:rPr>
          <w:rFonts w:asciiTheme="majorBidi" w:hAnsiTheme="majorBidi" w:cstheme="majorBidi"/>
        </w:rPr>
        <w:t>December</w:t>
      </w:r>
      <w:r w:rsidRPr="008A7D67">
        <w:rPr>
          <w:rFonts w:asciiTheme="majorBidi" w:hAnsiTheme="majorBidi" w:cstheme="majorBidi"/>
        </w:rPr>
        <w:t xml:space="preserve"> 201</w:t>
      </w:r>
      <w:r>
        <w:rPr>
          <w:rFonts w:asciiTheme="majorBidi" w:hAnsiTheme="majorBidi" w:cstheme="majorBidi"/>
        </w:rPr>
        <w:t xml:space="preserve">5.  </w:t>
      </w:r>
      <w:r w:rsidRPr="008A7D67">
        <w:rPr>
          <w:rFonts w:asciiTheme="majorBidi" w:hAnsiTheme="majorBidi" w:cstheme="majorBidi"/>
        </w:rPr>
        <w:t xml:space="preserve">Data collection for each sample month began approximately 21 days after the </w:t>
      </w:r>
      <w:r w:rsidRPr="007878B4">
        <w:t>sample</w:t>
      </w:r>
      <w:r w:rsidRPr="008A7D67">
        <w:rPr>
          <w:rFonts w:asciiTheme="majorBidi" w:hAnsiTheme="majorBidi" w:cstheme="majorBidi"/>
        </w:rPr>
        <w:t xml:space="preserve"> month closed and ended within a 6-week period after the s</w:t>
      </w:r>
      <w:r w:rsidRPr="00215424">
        <w:t>u</w:t>
      </w:r>
      <w:r w:rsidRPr="008A7D67">
        <w:rPr>
          <w:rFonts w:asciiTheme="majorBidi" w:hAnsiTheme="majorBidi" w:cstheme="majorBidi"/>
        </w:rPr>
        <w:t>rvey was initiated</w:t>
      </w:r>
      <w:r>
        <w:rPr>
          <w:rFonts w:asciiTheme="majorBidi" w:hAnsiTheme="majorBidi" w:cstheme="majorBidi"/>
        </w:rPr>
        <w:t xml:space="preserve">.  </w:t>
      </w:r>
      <w:r w:rsidRPr="008A7D67">
        <w:rPr>
          <w:rFonts w:asciiTheme="majorBidi" w:hAnsiTheme="majorBidi" w:cstheme="majorBidi"/>
        </w:rPr>
        <w:t xml:space="preserve">The overall response rate (for all three modes) was </w:t>
      </w:r>
      <w:r>
        <w:rPr>
          <w:rFonts w:asciiTheme="majorBidi" w:hAnsiTheme="majorBidi" w:cstheme="majorBidi"/>
        </w:rPr>
        <w:t>39</w:t>
      </w:r>
      <w:r w:rsidRPr="008A7D67">
        <w:rPr>
          <w:rFonts w:asciiTheme="majorBidi" w:hAnsiTheme="majorBidi" w:cstheme="majorBidi"/>
        </w:rPr>
        <w:t>%</w:t>
      </w:r>
      <w:r>
        <w:rPr>
          <w:rFonts w:asciiTheme="majorBidi" w:hAnsiTheme="majorBidi" w:cstheme="majorBidi"/>
        </w:rPr>
        <w:t xml:space="preserve">.  </w:t>
      </w:r>
      <w:r w:rsidRPr="008A7D67">
        <w:rPr>
          <w:rFonts w:asciiTheme="majorBidi" w:hAnsiTheme="majorBidi" w:cstheme="majorBidi"/>
        </w:rPr>
        <w:t>The response ra</w:t>
      </w:r>
      <w:r>
        <w:rPr>
          <w:rFonts w:asciiTheme="majorBidi" w:hAnsiTheme="majorBidi" w:cstheme="majorBidi"/>
        </w:rPr>
        <w:t xml:space="preserve">te for the mail-only mode was </w:t>
      </w:r>
      <w:r w:rsidRPr="008A7D67">
        <w:rPr>
          <w:rFonts w:asciiTheme="majorBidi" w:hAnsiTheme="majorBidi" w:cstheme="majorBidi"/>
        </w:rPr>
        <w:t>3</w:t>
      </w:r>
      <w:r>
        <w:rPr>
          <w:rFonts w:asciiTheme="majorBidi" w:hAnsiTheme="majorBidi" w:cstheme="majorBidi"/>
        </w:rPr>
        <w:t>7%, t</w:t>
      </w:r>
      <w:r w:rsidRPr="008A7D67">
        <w:rPr>
          <w:rFonts w:asciiTheme="majorBidi" w:hAnsiTheme="majorBidi" w:cstheme="majorBidi"/>
        </w:rPr>
        <w:t xml:space="preserve">he telephone-only response rate </w:t>
      </w:r>
      <w:r>
        <w:rPr>
          <w:rFonts w:asciiTheme="majorBidi" w:hAnsiTheme="majorBidi" w:cstheme="majorBidi"/>
        </w:rPr>
        <w:t>was</w:t>
      </w:r>
      <w:r w:rsidRPr="008A7D67">
        <w:rPr>
          <w:rFonts w:asciiTheme="majorBidi" w:hAnsiTheme="majorBidi" w:cstheme="majorBidi"/>
        </w:rPr>
        <w:t xml:space="preserve"> </w:t>
      </w:r>
      <w:r>
        <w:rPr>
          <w:rFonts w:asciiTheme="majorBidi" w:hAnsiTheme="majorBidi" w:cstheme="majorBidi"/>
        </w:rPr>
        <w:t>3</w:t>
      </w:r>
      <w:r w:rsidRPr="008A7D67">
        <w:rPr>
          <w:rFonts w:asciiTheme="majorBidi" w:hAnsiTheme="majorBidi" w:cstheme="majorBidi"/>
        </w:rPr>
        <w:t>4%</w:t>
      </w:r>
      <w:r>
        <w:rPr>
          <w:rFonts w:asciiTheme="majorBidi" w:hAnsiTheme="majorBidi" w:cstheme="majorBidi"/>
        </w:rPr>
        <w:t>,</w:t>
      </w:r>
      <w:r w:rsidRPr="008A7D67">
        <w:rPr>
          <w:rFonts w:asciiTheme="majorBidi" w:hAnsiTheme="majorBidi" w:cstheme="majorBidi"/>
        </w:rPr>
        <w:t xml:space="preserve"> and the mixed-mode response rate </w:t>
      </w:r>
      <w:r>
        <w:rPr>
          <w:rFonts w:asciiTheme="majorBidi" w:hAnsiTheme="majorBidi" w:cstheme="majorBidi"/>
        </w:rPr>
        <w:t>w</w:t>
      </w:r>
      <w:r w:rsidRPr="008A7D67">
        <w:rPr>
          <w:rFonts w:asciiTheme="majorBidi" w:hAnsiTheme="majorBidi" w:cstheme="majorBidi"/>
        </w:rPr>
        <w:t>a</w:t>
      </w:r>
      <w:r>
        <w:rPr>
          <w:rFonts w:asciiTheme="majorBidi" w:hAnsiTheme="majorBidi" w:cstheme="majorBidi"/>
        </w:rPr>
        <w:t>s 5</w:t>
      </w:r>
      <w:r w:rsidRPr="008A7D67">
        <w:rPr>
          <w:rFonts w:asciiTheme="majorBidi" w:hAnsiTheme="majorBidi" w:cstheme="majorBidi"/>
        </w:rPr>
        <w:t>0%.</w:t>
      </w:r>
    </w:p>
    <w:p w14:paraId="7217A2B1" w14:textId="365DFAC6" w:rsidR="00734791" w:rsidRPr="00A94374" w:rsidRDefault="00734791" w:rsidP="007878B4">
      <w:pPr>
        <w:pStyle w:val="ListContinue"/>
        <w:ind w:left="720"/>
      </w:pPr>
      <w:r>
        <w:t xml:space="preserve">The </w:t>
      </w:r>
      <w:r w:rsidR="003E3713">
        <w:t xml:space="preserve">2015 </w:t>
      </w:r>
      <w:r>
        <w:t>mode experiment findings produced estimates for patient-mix adjustments that were necessary to publically report comparative information. The following six patient-mix adjustors were found to be significant</w:t>
      </w:r>
      <w:r w:rsidRPr="00A94374">
        <w:t>:</w:t>
      </w:r>
    </w:p>
    <w:p w14:paraId="0FC95FD5" w14:textId="77777777" w:rsidR="00734791" w:rsidRPr="00943633" w:rsidRDefault="00734791" w:rsidP="004863EA">
      <w:pPr>
        <w:pStyle w:val="ListBullet2"/>
        <w:numPr>
          <w:ilvl w:val="0"/>
          <w:numId w:val="46"/>
        </w:numPr>
        <w:spacing w:after="60"/>
        <w:ind w:hanging="360"/>
      </w:pPr>
      <w:r w:rsidRPr="00943633">
        <w:t>Overall Health Status</w:t>
      </w:r>
    </w:p>
    <w:p w14:paraId="3B6E27D9" w14:textId="77777777" w:rsidR="00734791" w:rsidRPr="00943633" w:rsidRDefault="00734791" w:rsidP="004863EA">
      <w:pPr>
        <w:pStyle w:val="ListBullet2"/>
        <w:numPr>
          <w:ilvl w:val="0"/>
          <w:numId w:val="46"/>
        </w:numPr>
        <w:spacing w:after="60"/>
        <w:ind w:hanging="360"/>
      </w:pPr>
      <w:r w:rsidRPr="00943633">
        <w:t>Overall Mental Health Status</w:t>
      </w:r>
    </w:p>
    <w:p w14:paraId="0BFB95E3" w14:textId="77777777" w:rsidR="00734791" w:rsidRPr="00943633" w:rsidRDefault="00734791" w:rsidP="004863EA">
      <w:pPr>
        <w:pStyle w:val="ListBullet2"/>
        <w:numPr>
          <w:ilvl w:val="0"/>
          <w:numId w:val="46"/>
        </w:numPr>
        <w:spacing w:after="60"/>
        <w:ind w:hanging="360"/>
      </w:pPr>
      <w:r w:rsidRPr="00943633">
        <w:t>Age Group</w:t>
      </w:r>
    </w:p>
    <w:p w14:paraId="4DB1E813" w14:textId="77777777" w:rsidR="00734791" w:rsidRPr="00943633" w:rsidRDefault="00734791" w:rsidP="004863EA">
      <w:pPr>
        <w:pStyle w:val="ListBullet2"/>
        <w:numPr>
          <w:ilvl w:val="0"/>
          <w:numId w:val="46"/>
        </w:numPr>
        <w:spacing w:after="60"/>
        <w:ind w:hanging="360"/>
      </w:pPr>
      <w:r w:rsidRPr="00943633">
        <w:t>Education Attainment</w:t>
      </w:r>
    </w:p>
    <w:p w14:paraId="3D210D19" w14:textId="77777777" w:rsidR="00734791" w:rsidRPr="00943633" w:rsidRDefault="00734791" w:rsidP="004863EA">
      <w:pPr>
        <w:pStyle w:val="ListBullet2"/>
        <w:numPr>
          <w:ilvl w:val="0"/>
          <w:numId w:val="46"/>
        </w:numPr>
        <w:spacing w:after="60"/>
        <w:ind w:hanging="360"/>
      </w:pPr>
      <w:r w:rsidRPr="00943633">
        <w:t>Spoken English Proficiency (How Well Respondent Speaks English)</w:t>
      </w:r>
    </w:p>
    <w:p w14:paraId="38005D03" w14:textId="77777777" w:rsidR="00734791" w:rsidRPr="00943633" w:rsidRDefault="00734791" w:rsidP="004863EA">
      <w:pPr>
        <w:pStyle w:val="ListBullet2"/>
        <w:numPr>
          <w:ilvl w:val="0"/>
          <w:numId w:val="46"/>
        </w:numPr>
        <w:spacing w:after="60"/>
        <w:ind w:hanging="360"/>
      </w:pPr>
      <w:r w:rsidRPr="00943633">
        <w:t>Surgery Category</w:t>
      </w:r>
    </w:p>
    <w:p w14:paraId="00FD0945" w14:textId="2E954A4D" w:rsidR="00734791" w:rsidRPr="00075391" w:rsidRDefault="00FB3D01" w:rsidP="00FB3D01">
      <w:pPr>
        <w:pStyle w:val="ListContinue"/>
        <w:ind w:left="720"/>
        <w:rPr>
          <w:highlight w:val="yellow"/>
        </w:rPr>
      </w:pPr>
      <w:r>
        <w:t xml:space="preserve">The </w:t>
      </w:r>
      <w:r w:rsidR="003E3713">
        <w:t xml:space="preserve">2015 </w:t>
      </w:r>
      <w:r>
        <w:t>mode experiment results showed that n</w:t>
      </w:r>
      <w:r w:rsidR="00734791" w:rsidRPr="00A94374">
        <w:t xml:space="preserve">onresponse adjustments </w:t>
      </w:r>
      <w:r w:rsidR="00734791">
        <w:t>were</w:t>
      </w:r>
      <w:r w:rsidR="00734791" w:rsidRPr="00A94374">
        <w:t xml:space="preserve"> not needed because the nonresponse adjusted weights did not add any explanatory power beyond that provided by the six </w:t>
      </w:r>
      <w:r w:rsidR="00734791">
        <w:t>patient</w:t>
      </w:r>
      <w:r>
        <w:t>-</w:t>
      </w:r>
      <w:r w:rsidR="00734791">
        <w:t>mix</w:t>
      </w:r>
      <w:r w:rsidR="00734791" w:rsidRPr="00A94374">
        <w:t xml:space="preserve"> adjustors</w:t>
      </w:r>
      <w:r w:rsidR="00734791">
        <w:t xml:space="preserve">.  The survey mode </w:t>
      </w:r>
      <w:r w:rsidR="00734791" w:rsidRPr="00A94374">
        <w:t xml:space="preserve">did not have significant impact on survey estimates, therefore mode effect adjustment </w:t>
      </w:r>
      <w:r w:rsidR="00734791">
        <w:t>was</w:t>
      </w:r>
      <w:r w:rsidR="00734791" w:rsidRPr="00A94374">
        <w:t xml:space="preserve"> not needed for OAS CAHPS Survey</w:t>
      </w:r>
      <w:r w:rsidR="00734791">
        <w:t>.</w:t>
      </w:r>
    </w:p>
    <w:p w14:paraId="1F59EA8A" w14:textId="0C14641F" w:rsidR="00734791" w:rsidRDefault="00734791" w:rsidP="00FB3D01">
      <w:pPr>
        <w:pStyle w:val="ListContinue"/>
        <w:ind w:left="720"/>
      </w:pPr>
      <w:r w:rsidRPr="00075391">
        <w:t xml:space="preserve">Comparative results from the </w:t>
      </w:r>
      <w:r>
        <w:t>OAS CAHPS</w:t>
      </w:r>
      <w:r w:rsidRPr="00075391">
        <w:t xml:space="preserve"> mode experiment w</w:t>
      </w:r>
      <w:r>
        <w:t>ere</w:t>
      </w:r>
      <w:r w:rsidRPr="00075391">
        <w:t xml:space="preserve"> not publicly reported</w:t>
      </w:r>
      <w:r>
        <w:t>; the results were used to determine the need for adjustments for data collected during national implementation beginning in January 2016</w:t>
      </w:r>
      <w:r w:rsidRPr="00075391">
        <w:t>.</w:t>
      </w:r>
      <w:r w:rsidR="006B78A1">
        <w:t xml:space="preserve">  Participating facilities received their own individual survey results compared to the aggregate data from the mode experiment.</w:t>
      </w:r>
    </w:p>
    <w:p w14:paraId="50AC969C" w14:textId="77A54A20" w:rsidR="00FE76EC" w:rsidRDefault="00FE76EC" w:rsidP="00FB3D01">
      <w:pPr>
        <w:pStyle w:val="ListBullet"/>
        <w:numPr>
          <w:ilvl w:val="0"/>
          <w:numId w:val="3"/>
        </w:numPr>
        <w:ind w:left="720"/>
      </w:pPr>
      <w:r w:rsidRPr="00FB3D01">
        <w:rPr>
          <w:i/>
          <w:iCs/>
          <w:u w:val="single"/>
        </w:rPr>
        <w:t>Voluntary Participation for the OAS CAHPS Survey</w:t>
      </w:r>
      <w:r>
        <w:t xml:space="preserve">.  </w:t>
      </w:r>
      <w:r w:rsidRPr="00075391">
        <w:t xml:space="preserve">As part of </w:t>
      </w:r>
      <w:r>
        <w:t>a previous</w:t>
      </w:r>
      <w:r w:rsidRPr="00075391">
        <w:t xml:space="preserve"> information collection request</w:t>
      </w:r>
      <w:r>
        <w:t xml:space="preserve"> in 2015</w:t>
      </w:r>
      <w:r w:rsidRPr="00075391">
        <w:t>, CMS re</w:t>
      </w:r>
      <w:r>
        <w:t>ceived OMB approval for the National Implementation of the OAS CAHPS on a voluntary basis for HOPDs and ASCs that choose to participate.  Voluntary participation began in 2016.</w:t>
      </w:r>
    </w:p>
    <w:p w14:paraId="1FEC9DAF" w14:textId="281BAC78" w:rsidR="00DB6103" w:rsidRPr="00D75887" w:rsidRDefault="00CE198D" w:rsidP="00DB6103">
      <w:pPr>
        <w:pStyle w:val="ListBullet"/>
        <w:numPr>
          <w:ilvl w:val="0"/>
          <w:numId w:val="3"/>
        </w:numPr>
        <w:ind w:left="720"/>
      </w:pPr>
      <w:r w:rsidRPr="00D75887">
        <w:rPr>
          <w:i/>
          <w:u w:val="single"/>
        </w:rPr>
        <w:t>Non-substantive change Mode Experiment</w:t>
      </w:r>
      <w:r w:rsidRPr="00D75887">
        <w:t xml:space="preserve">.  </w:t>
      </w:r>
      <w:r w:rsidR="00DB6103" w:rsidRPr="00D75887">
        <w:t xml:space="preserve">CMS is seeking review and approval to conduct a mode experiment </w:t>
      </w:r>
      <w:r w:rsidR="003E3713" w:rsidRPr="00D75887">
        <w:t xml:space="preserve">in 2018 </w:t>
      </w:r>
      <w:r w:rsidR="00DB6103" w:rsidRPr="00D75887">
        <w:t>to determine the impact of adding Web as a data collection mode for the national implementation of OAS CAHPS.</w:t>
      </w:r>
    </w:p>
    <w:p w14:paraId="7BC68842" w14:textId="77777777" w:rsidR="007878B4" w:rsidRDefault="007878B4" w:rsidP="007878B4">
      <w:pPr>
        <w:rPr>
          <w:b/>
          <w:bCs/>
        </w:rPr>
      </w:pPr>
    </w:p>
    <w:p w14:paraId="578775E4" w14:textId="2BEA4D4E" w:rsidR="00734791" w:rsidRPr="00D75887" w:rsidRDefault="007878B4" w:rsidP="002955BA">
      <w:pPr>
        <w:ind w:firstLine="360"/>
      </w:pPr>
      <w:r w:rsidRPr="00FB3D01">
        <w:rPr>
          <w:b/>
          <w:bCs/>
          <w:u w:val="single"/>
        </w:rPr>
        <w:t>Synopsis of changes to requirements and burden</w:t>
      </w:r>
      <w:r w:rsidR="00CE198D">
        <w:rPr>
          <w:b/>
          <w:bCs/>
          <w:u w:val="single"/>
        </w:rPr>
        <w:t xml:space="preserve"> for National Implementation</w:t>
      </w:r>
      <w:r w:rsidRPr="00FB3D01">
        <w:rPr>
          <w:b/>
          <w:bCs/>
        </w:rPr>
        <w:t>.</w:t>
      </w:r>
      <w:r w:rsidRPr="00FB3D01">
        <w:t xml:space="preserve"> </w:t>
      </w:r>
      <w:r>
        <w:t xml:space="preserve">In response to </w:t>
      </w:r>
      <w:r w:rsidR="001236EE">
        <w:t>public comments</w:t>
      </w:r>
      <w:r w:rsidR="00FE76EC">
        <w:t xml:space="preserve"> to the CY 2017 OPPS/ASC Final Rule (81 FR 79777), CMS has decided to continued voluntary implementation of </w:t>
      </w:r>
      <w:r w:rsidR="00FB3D01">
        <w:t>the OAS CAHPS Survey throughout 2018.  CMS continues to believe that the voluntary national implementation of the survey will provide valuable information moving forward. During the continued voluntary reporting period, CMS plans to conduct analyses of the data and plan for any necessary modifications to the survey instrument or CMS systems that would reduce the burden to patients and facilities.  CMS continues to believe that the OAS CAHPS Survey measures address an area of care that is not adequately addressed in any current measure set and that the OAS CAHPS Survey will be useful to assess aspects of care where the patient is the best or only source of information.</w:t>
      </w:r>
      <w:r w:rsidR="00173D90">
        <w:t xml:space="preserve">  We have updated the burden estimates in section A.12 to reflect the change from required participation </w:t>
      </w:r>
      <w:r w:rsidR="00173D90" w:rsidRPr="00D75887">
        <w:t>linked to reimbursement to continued voluntary participation in 2018.</w:t>
      </w:r>
    </w:p>
    <w:p w14:paraId="6AFEB9FB" w14:textId="77777777" w:rsidR="00CE198D" w:rsidRPr="00D75887" w:rsidRDefault="00CE198D" w:rsidP="00CE198D">
      <w:pPr>
        <w:pStyle w:val="BodyText"/>
        <w:ind w:firstLine="0"/>
        <w:rPr>
          <w:b/>
          <w:i/>
          <w:u w:val="single"/>
        </w:rPr>
      </w:pPr>
    </w:p>
    <w:p w14:paraId="2888015E" w14:textId="0A9AE19A" w:rsidR="00CE198D" w:rsidRPr="00D75887" w:rsidRDefault="00CE198D" w:rsidP="002955BA">
      <w:pPr>
        <w:ind w:firstLine="360"/>
      </w:pPr>
      <w:r w:rsidRPr="00D75887">
        <w:rPr>
          <w:b/>
          <w:i/>
          <w:u w:val="single"/>
        </w:rPr>
        <w:t>Synopsis of changes to burden for Mode Experiment</w:t>
      </w:r>
      <w:r w:rsidRPr="00D75887">
        <w:rPr>
          <w:b/>
        </w:rPr>
        <w:t>.</w:t>
      </w:r>
      <w:r w:rsidRPr="00D75887">
        <w:t xml:space="preserve"> Also in response to public comments to the CY 2017 OPPS/ASC Final Rule (82 FR 59216), CMS is proposing to test collecting data using Web surveys to explore whether hospitals and ASCs receive reliable email addresses from patients, whether there is adequate access to the internet across all types of patients and whether adding this new mode would introduce bias in the survey process due to nonresponse or mode of administration. The test is designed to compare the instrument and protocols using five mode conditions: mail-only, telephone-only, Web-only</w:t>
      </w:r>
      <w:r w:rsidR="00150337" w:rsidRPr="00D75887">
        <w:t>,</w:t>
      </w:r>
      <w:r w:rsidRPr="00D75887">
        <w:t xml:space="preserve"> Web with mail follow-up</w:t>
      </w:r>
      <w:r w:rsidR="00150337" w:rsidRPr="00D75887">
        <w:t>,</w:t>
      </w:r>
      <w:r w:rsidRPr="00D75887">
        <w:t xml:space="preserve"> and Web with telephone follow-up. We have updated the burden estimates in section A.12 to reflect the burden for facilities that voluntarily participate in the mode experiment.</w:t>
      </w:r>
    </w:p>
    <w:p w14:paraId="717BE925" w14:textId="77777777" w:rsidR="007878B4" w:rsidRPr="00D75887" w:rsidRDefault="007878B4" w:rsidP="007878B4"/>
    <w:p w14:paraId="4E93EE79" w14:textId="77777777" w:rsidR="00D43F13" w:rsidRPr="00075391" w:rsidRDefault="00D43F13" w:rsidP="00932612">
      <w:pPr>
        <w:pStyle w:val="Heading1"/>
        <w:rPr>
          <w:color w:val="000000"/>
          <w:szCs w:val="20"/>
        </w:rPr>
      </w:pPr>
      <w:r w:rsidRPr="00075391">
        <w:rPr>
          <w:color w:val="000000"/>
        </w:rPr>
        <w:t>A.</w:t>
      </w:r>
      <w:r w:rsidR="00932612" w:rsidRPr="00075391">
        <w:rPr>
          <w:color w:val="000000"/>
        </w:rPr>
        <w:tab/>
      </w:r>
      <w:r w:rsidRPr="00075391">
        <w:rPr>
          <w:color w:val="000000"/>
        </w:rPr>
        <w:t>Justification</w:t>
      </w:r>
      <w:bookmarkEnd w:id="0"/>
      <w:bookmarkEnd w:id="1"/>
    </w:p>
    <w:p w14:paraId="1C306C41" w14:textId="77777777" w:rsidR="00B77154" w:rsidRDefault="009C1BBD" w:rsidP="00092D49">
      <w:pPr>
        <w:pStyle w:val="BodyText"/>
      </w:pPr>
      <w:bookmarkStart w:id="3" w:name="_Toc88033459"/>
      <w:r w:rsidRPr="00075391">
        <w:t xml:space="preserve">The Centers for Medicare &amp; Medicaid Services (CMS) is requesting clearance from the Office of Management and Budget (OMB) to implement nationally the </w:t>
      </w:r>
      <w:r w:rsidR="004E4DEA">
        <w:t>Consumer Assessment of Healthcare Providers and Systems Outpatient and Ambulatory Surgery Survey</w:t>
      </w:r>
      <w:r w:rsidRPr="00075391">
        <w:t xml:space="preserve"> (</w:t>
      </w:r>
      <w:r w:rsidR="004E4DEA">
        <w:t>OAS CAHPS</w:t>
      </w:r>
      <w:r w:rsidRPr="00075391">
        <w:t>) to measure patients</w:t>
      </w:r>
      <w:r w:rsidR="00BB511C">
        <w:t>’</w:t>
      </w:r>
      <w:r w:rsidRPr="00075391">
        <w:t xml:space="preserve"> experience of care with outpatient and ambulatory surgery centers under Contract Number HHSM-500-2014-00426G. Under this information collection request, CMS is also seeking review and approval for a mode experiment that will be conducted to determine the impact of using </w:t>
      </w:r>
      <w:r w:rsidR="00D93960">
        <w:t xml:space="preserve">three </w:t>
      </w:r>
      <w:r w:rsidRPr="00075391">
        <w:t xml:space="preserve">different data collection modes in the national implementation of </w:t>
      </w:r>
      <w:r w:rsidR="004E4DEA">
        <w:t>OAS CAHPS</w:t>
      </w:r>
      <w:r w:rsidRPr="00075391">
        <w:t>.</w:t>
      </w:r>
    </w:p>
    <w:p w14:paraId="08B5BA5B" w14:textId="77777777" w:rsidR="00495ADF" w:rsidRPr="00075391" w:rsidRDefault="00495ADF" w:rsidP="00495ADF">
      <w:pPr>
        <w:pStyle w:val="Heading2"/>
      </w:pPr>
      <w:bookmarkStart w:id="4" w:name="_Toc417475989"/>
      <w:r w:rsidRPr="00075391">
        <w:t>A.1</w:t>
      </w:r>
      <w:r w:rsidRPr="00075391">
        <w:tab/>
        <w:t>Circumstances Making the Collection of Information Necessary</w:t>
      </w:r>
      <w:bookmarkEnd w:id="3"/>
      <w:bookmarkEnd w:id="4"/>
    </w:p>
    <w:p w14:paraId="76AC08F0" w14:textId="116D41E5" w:rsidR="009C1BBD" w:rsidRPr="00075391" w:rsidRDefault="00EF7EB0" w:rsidP="00D26C79">
      <w:pPr>
        <w:pStyle w:val="BodyText"/>
      </w:pPr>
      <w:r>
        <w:t xml:space="preserve">While there is no </w:t>
      </w:r>
      <w:r w:rsidR="00ED522F">
        <w:t>requirement at the present to</w:t>
      </w:r>
      <w:r w:rsidR="00BB511C">
        <w:t xml:space="preserve"> </w:t>
      </w:r>
      <w:r>
        <w:t>implement</w:t>
      </w:r>
      <w:r w:rsidR="00ED522F">
        <w:t xml:space="preserve"> </w:t>
      </w:r>
      <w:r>
        <w:t>and report</w:t>
      </w:r>
      <w:r w:rsidR="00ED522F">
        <w:t xml:space="preserve"> </w:t>
      </w:r>
      <w:r w:rsidR="007878B4">
        <w:t>OAS CAHPS Survey</w:t>
      </w:r>
      <w:r>
        <w:t xml:space="preserve"> data, CMS </w:t>
      </w:r>
      <w:r w:rsidR="00ED522F">
        <w:t>establish</w:t>
      </w:r>
      <w:r w:rsidR="007878B4">
        <w:t>ed</w:t>
      </w:r>
      <w:r>
        <w:t xml:space="preserve"> a voluntary reporting program in which ASCs and HOPDs can choose to report their survey data to CMS and also choose whether or not to publicly report data.</w:t>
      </w:r>
    </w:p>
    <w:p w14:paraId="34CF6CDA" w14:textId="66808AB6" w:rsidR="00075391" w:rsidRPr="00075391" w:rsidRDefault="009C1BBD" w:rsidP="00C27BA5">
      <w:pPr>
        <w:pStyle w:val="BodyText"/>
      </w:pPr>
      <w:r w:rsidRPr="00075391">
        <w:t>In recent years, the number of ASCs has increased considerably. According to the Medicare Payment Advisory Commission</w:t>
      </w:r>
      <w:r w:rsidR="00BB511C">
        <w:t>’</w:t>
      </w:r>
      <w:r w:rsidRPr="00075391">
        <w:t>s 2014 Report to Congress on Medicare Payment Policy (MedPac, 2014), the number of Medicare-certified ASCs has grown by 12% from 2007 through 2012</w:t>
      </w:r>
      <w:r w:rsidR="002A7FD2">
        <w:t>,</w:t>
      </w:r>
      <w:r w:rsidRPr="00075391">
        <w:t xml:space="preserve"> increasing from 4,798 in 2007 to 5,357 by the end of 2012. That same report also shows that Medicare payments to ASCs have increased by 24% over that same time period, from $2.9 billion in 2007 to $3.6 billion in 2012. On the other hand, on average, Medicare spending on outpatient services grew from $29 billion in 2006 to $46 billion in 2011, which equates to 7.8% (MedPac, 2014). The Ambulatory Surgery Center Association (ASCA) also notes an increased volume of ASCs and HOPDs from approximately 5 million and 9.5 million (respectively) in 2005 to 6 million and 11 million (respectively) in 2010 (ASCA, 2011). Considering the growing number of ASCs and the increasing Medicare expenditures for outpatient surgical services from ASCs and HOPDs, the implementation of </w:t>
      </w:r>
      <w:r w:rsidR="004E4DEA">
        <w:t>OAS CAHPS</w:t>
      </w:r>
      <w:r w:rsidRPr="00075391">
        <w:t xml:space="preserve"> will provide CMS with </w:t>
      </w:r>
      <w:r w:rsidR="002A7FD2" w:rsidRPr="00075391">
        <w:t>much</w:t>
      </w:r>
      <w:r w:rsidR="002A7FD2">
        <w:t>-</w:t>
      </w:r>
      <w:r w:rsidRPr="00075391">
        <w:t>needed statistically valid data from the patient perspective</w:t>
      </w:r>
      <w:r w:rsidR="00ED522F">
        <w:t xml:space="preserve"> to</w:t>
      </w:r>
      <w:r w:rsidRPr="00075391">
        <w:t xml:space="preserve"> inform </w:t>
      </w:r>
      <w:r w:rsidR="00ED522F">
        <w:t>quality improvement and comparative consumer information about specific facilities.</w:t>
      </w:r>
    </w:p>
    <w:p w14:paraId="148FC8FB" w14:textId="78B2A991" w:rsidR="009C1BBD" w:rsidRPr="00D75887" w:rsidRDefault="009C1BBD" w:rsidP="00C27BA5">
      <w:pPr>
        <w:pStyle w:val="BodyText"/>
      </w:pPr>
      <w:r w:rsidRPr="00075391">
        <w:t xml:space="preserve">This OMB submission is in support of the national implementation of </w:t>
      </w:r>
      <w:r w:rsidR="004E4DEA">
        <w:t>OAS CAHPS</w:t>
      </w:r>
      <w:r w:rsidR="002A7FD2" w:rsidRPr="00075391">
        <w:t xml:space="preserve"> </w:t>
      </w:r>
      <w:r w:rsidRPr="00075391">
        <w:t>on a voluntary basis for HOPDs and ASCs. Starting in 201</w:t>
      </w:r>
      <w:r w:rsidR="001521D7">
        <w:t>6</w:t>
      </w:r>
      <w:r w:rsidRPr="00075391">
        <w:t xml:space="preserve">, HOPD and ASC facilities </w:t>
      </w:r>
      <w:r w:rsidR="00B276BE">
        <w:t>are</w:t>
      </w:r>
      <w:r w:rsidRPr="00075391">
        <w:t xml:space="preserve"> invited to </w:t>
      </w:r>
      <w:r w:rsidR="00652B9C" w:rsidRPr="00075391">
        <w:t>participate</w:t>
      </w:r>
      <w:r w:rsidR="00652B9C">
        <w:t xml:space="preserve"> </w:t>
      </w:r>
      <w:r w:rsidRPr="00075391">
        <w:t xml:space="preserve">in the national implementation of </w:t>
      </w:r>
      <w:r w:rsidR="004E4DEA">
        <w:t>OAS CAHPS</w:t>
      </w:r>
      <w:r w:rsidRPr="00075391">
        <w:t xml:space="preserve"> by contracting with a CMS-approved, independent third-party survey vendor to implement the survey on their behalf and to submit </w:t>
      </w:r>
      <w:r w:rsidR="00E5391D">
        <w:t xml:space="preserve">the </w:t>
      </w:r>
      <w:r w:rsidR="004E4DEA" w:rsidRPr="00D75887">
        <w:t>OAS CAHPS</w:t>
      </w:r>
      <w:r w:rsidRPr="00D75887">
        <w:t xml:space="preserve"> data to CMS.</w:t>
      </w:r>
    </w:p>
    <w:p w14:paraId="2FEA222B" w14:textId="7A019C3F" w:rsidR="00CE198D" w:rsidRPr="00D75887" w:rsidRDefault="00CE198D" w:rsidP="00CE198D">
      <w:pPr>
        <w:pStyle w:val="BodyText"/>
        <w:ind w:firstLine="0"/>
        <w:rPr>
          <w:b/>
          <w:i/>
          <w:u w:val="single"/>
        </w:rPr>
      </w:pPr>
      <w:r w:rsidRPr="00D75887">
        <w:rPr>
          <w:b/>
          <w:i/>
          <w:u w:val="single"/>
        </w:rPr>
        <w:t>Mode Experiment</w:t>
      </w:r>
    </w:p>
    <w:p w14:paraId="53AAF549" w14:textId="50EDD9F3" w:rsidR="00CE198D" w:rsidRPr="00D75887" w:rsidRDefault="00CE198D" w:rsidP="002955BA">
      <w:pPr>
        <w:pStyle w:val="BodyText"/>
      </w:pPr>
      <w:r w:rsidRPr="00D75887">
        <w:t>This OMB submission is also in support of a</w:t>
      </w:r>
      <w:r w:rsidR="002955BA" w:rsidRPr="00D75887">
        <w:t>n OAS CAHPS Survey</w:t>
      </w:r>
      <w:r w:rsidRPr="00D75887">
        <w:t xml:space="preserve"> mode experiment to </w:t>
      </w:r>
      <w:r w:rsidR="00914B20" w:rsidRPr="00D75887">
        <w:t xml:space="preserve">test </w:t>
      </w:r>
      <w:r w:rsidRPr="00D75887">
        <w:t>five mode conditions: mail-only, telephone-only, Web-only</w:t>
      </w:r>
      <w:r w:rsidR="00150337" w:rsidRPr="00D75887">
        <w:t>,</w:t>
      </w:r>
      <w:r w:rsidRPr="00D75887">
        <w:t xml:space="preserve"> Web with mail follow-up</w:t>
      </w:r>
      <w:r w:rsidR="00150337" w:rsidRPr="00D75887">
        <w:t>,</w:t>
      </w:r>
      <w:r w:rsidRPr="00D75887">
        <w:t xml:space="preserve"> and Web with telephone follow-up.</w:t>
      </w:r>
    </w:p>
    <w:p w14:paraId="79200859" w14:textId="00F5F06D" w:rsidR="00CE198D" w:rsidRPr="00075391" w:rsidRDefault="00CE198D" w:rsidP="00C27BA5">
      <w:pPr>
        <w:pStyle w:val="BodyText"/>
      </w:pPr>
    </w:p>
    <w:p w14:paraId="6B1DFA3B" w14:textId="140B61BA" w:rsidR="009C1BBD" w:rsidRPr="00D75887" w:rsidRDefault="009C1BBD" w:rsidP="00051123">
      <w:pPr>
        <w:pStyle w:val="Heading3"/>
        <w:rPr>
          <w:lang w:val="en-US"/>
        </w:rPr>
      </w:pPr>
      <w:bookmarkStart w:id="5" w:name="_Toc401649997"/>
      <w:bookmarkStart w:id="6" w:name="_Toc417475990"/>
      <w:r w:rsidRPr="00D75887">
        <w:rPr>
          <w:lang w:val="en-US"/>
        </w:rPr>
        <w:t>A.1.1</w:t>
      </w:r>
      <w:r w:rsidRPr="00D75887">
        <w:rPr>
          <w:lang w:val="en-US"/>
        </w:rPr>
        <w:tab/>
        <w:t>National Implementation: Major Features</w:t>
      </w:r>
      <w:bookmarkEnd w:id="5"/>
      <w:bookmarkEnd w:id="6"/>
    </w:p>
    <w:p w14:paraId="405CECAA" w14:textId="28647753" w:rsidR="0048226A" w:rsidRPr="00D75887" w:rsidRDefault="009C1BBD" w:rsidP="0048226A">
      <w:pPr>
        <w:pStyle w:val="BodyText"/>
      </w:pPr>
      <w:r w:rsidRPr="00D75887">
        <w:t>As discussed above, CMS</w:t>
      </w:r>
      <w:r w:rsidR="00BB511C" w:rsidRPr="00D75887">
        <w:t>’</w:t>
      </w:r>
      <w:r w:rsidRPr="00D75887">
        <w:t xml:space="preserve">s contractor conducted a field test of </w:t>
      </w:r>
      <w:r w:rsidR="004E4DEA" w:rsidRPr="00D75887">
        <w:t>OAS CAHPS</w:t>
      </w:r>
      <w:r w:rsidRPr="00D75887">
        <w:t xml:space="preserve"> in 2014 to test the reliability and validity of the survey items and implementation procedures. The field test was conducted in both English and Spanish. After reviewing field test results with the TEP, </w:t>
      </w:r>
      <w:r w:rsidR="004E4DEA" w:rsidRPr="00D75887">
        <w:t>OAS CAHPS</w:t>
      </w:r>
      <w:r w:rsidRPr="00D75887">
        <w:t xml:space="preserve"> was finalized as a 37-item survey instrument</w:t>
      </w:r>
      <w:r w:rsidR="00171C12" w:rsidRPr="00D75887">
        <w:t>.</w:t>
      </w:r>
      <w:r w:rsidRPr="00D75887">
        <w:t xml:space="preserve"> The final version</w:t>
      </w:r>
      <w:r w:rsidR="0048226A" w:rsidRPr="00D75887">
        <w:t>s</w:t>
      </w:r>
      <w:r w:rsidRPr="00D75887">
        <w:t xml:space="preserve"> of </w:t>
      </w:r>
      <w:r w:rsidR="0048226A" w:rsidRPr="00D75887">
        <w:t xml:space="preserve">the </w:t>
      </w:r>
      <w:r w:rsidR="004E4DEA" w:rsidRPr="00D75887">
        <w:t>OAS CAHPS</w:t>
      </w:r>
      <w:r w:rsidRPr="00D75887">
        <w:t xml:space="preserve"> </w:t>
      </w:r>
      <w:r w:rsidR="0048226A" w:rsidRPr="00D75887">
        <w:t xml:space="preserve">survey </w:t>
      </w:r>
      <w:r w:rsidRPr="00D75887">
        <w:t xml:space="preserve">can be found in </w:t>
      </w:r>
      <w:r w:rsidRPr="00D75887">
        <w:rPr>
          <w:b/>
          <w:bCs/>
          <w:i/>
          <w:iCs/>
        </w:rPr>
        <w:t>Attachment</w:t>
      </w:r>
      <w:r w:rsidR="0048226A" w:rsidRPr="00D75887">
        <w:rPr>
          <w:b/>
          <w:bCs/>
          <w:i/>
          <w:iCs/>
        </w:rPr>
        <w:t>s</w:t>
      </w:r>
      <w:r w:rsidRPr="00D75887">
        <w:rPr>
          <w:b/>
          <w:bCs/>
          <w:i/>
          <w:iCs/>
        </w:rPr>
        <w:t> A</w:t>
      </w:r>
      <w:r w:rsidR="0048226A" w:rsidRPr="00D75887">
        <w:rPr>
          <w:b/>
          <w:bCs/>
          <w:i/>
          <w:iCs/>
        </w:rPr>
        <w:t xml:space="preserve"> (Mail Questionnaire) and B (CATI Questionnaire)</w:t>
      </w:r>
      <w:r w:rsidRPr="00D75887">
        <w:t>.</w:t>
      </w:r>
      <w:r w:rsidR="0048226A" w:rsidRPr="00D75887">
        <w:t xml:space="preserve">  </w:t>
      </w:r>
      <w:r w:rsidR="0048226A" w:rsidRPr="00D75887">
        <w:rPr>
          <w:b/>
          <w:bCs/>
          <w:i/>
          <w:iCs/>
        </w:rPr>
        <w:t>Attachment D1</w:t>
      </w:r>
      <w:r w:rsidR="0048226A" w:rsidRPr="00D75887">
        <w:rPr>
          <w:bCs/>
          <w:iCs/>
        </w:rPr>
        <w:t xml:space="preserve"> shows the cover letter and reminder letter for the mail survey)</w:t>
      </w:r>
      <w:r w:rsidR="0048226A" w:rsidRPr="00D75887">
        <w:t>.</w:t>
      </w:r>
    </w:p>
    <w:p w14:paraId="78159A59" w14:textId="679E562D" w:rsidR="00075391" w:rsidRPr="00D75887" w:rsidRDefault="00075391" w:rsidP="00092D49">
      <w:pPr>
        <w:pStyle w:val="BodyText"/>
      </w:pPr>
    </w:p>
    <w:p w14:paraId="6FCF3E57" w14:textId="77777777" w:rsidR="00B77154" w:rsidRDefault="009C1BBD" w:rsidP="00092D49">
      <w:pPr>
        <w:pStyle w:val="BodyText"/>
      </w:pPr>
      <w:r w:rsidRPr="00075391">
        <w:t xml:space="preserve">The </w:t>
      </w:r>
      <w:r w:rsidR="004E4DEA">
        <w:t>OAS CAHPS</w:t>
      </w:r>
      <w:r w:rsidRPr="00075391">
        <w:t xml:space="preserve"> instrument contains questions about the patient</w:t>
      </w:r>
      <w:r w:rsidR="00BB511C">
        <w:t>’</w:t>
      </w:r>
      <w:r w:rsidRPr="00075391">
        <w:t>s experience with the check-in process, facility environment, communication with administrative staff (receptionists) and clinical providers (doctors and nurses), attention to comfort, pain control, provision of pre-and postsurgery care information, overall experience</w:t>
      </w:r>
      <w:r w:rsidR="002A7FD2">
        <w:t>, and</w:t>
      </w:r>
      <w:r w:rsidRPr="00075391">
        <w:t xml:space="preserve"> patient characteristics. The patient characteristic questions (within the </w:t>
      </w:r>
      <w:r w:rsidR="00BB511C">
        <w:t>“</w:t>
      </w:r>
      <w:r w:rsidRPr="00075391">
        <w:t>About You</w:t>
      </w:r>
      <w:r w:rsidR="00BB511C">
        <w:t>”</w:t>
      </w:r>
      <w:r w:rsidRPr="00075391">
        <w:t xml:space="preserve"> section) were designed to comply with the U.S. Office of Minority Health</w:t>
      </w:r>
      <w:r w:rsidR="00BB511C">
        <w:t>’</w:t>
      </w:r>
      <w:r w:rsidRPr="00075391">
        <w:t>s requirements on data collection standards for race, sex, ethnicity, primary language, and disability status. Patients will also be asked to provide overall ratings of the outpatient surgery facility.</w:t>
      </w:r>
    </w:p>
    <w:p w14:paraId="7C97931A" w14:textId="77777777" w:rsidR="009C1BBD" w:rsidRPr="00075391" w:rsidRDefault="00557316" w:rsidP="00092D49">
      <w:pPr>
        <w:pStyle w:val="BodyText"/>
      </w:pPr>
      <w:r>
        <w:t xml:space="preserve">For national </w:t>
      </w:r>
      <w:r w:rsidR="00171C12">
        <w:t>implementation</w:t>
      </w:r>
      <w:r>
        <w:t xml:space="preserve">, we will follow a similar model </w:t>
      </w:r>
      <w:r w:rsidR="003148C7">
        <w:t>to</w:t>
      </w:r>
      <w:r>
        <w:t xml:space="preserve"> other existing CAHPS Surveys in that we will require</w:t>
      </w:r>
      <w:r w:rsidR="00171C12">
        <w:t xml:space="preserve"> that facilities contract with a</w:t>
      </w:r>
      <w:r>
        <w:t xml:space="preserve"> third-party, </w:t>
      </w:r>
      <w:r w:rsidR="00D93960" w:rsidRPr="00075391">
        <w:t xml:space="preserve">CMS-approved survey vendor to </w:t>
      </w:r>
      <w:r>
        <w:t xml:space="preserve">administer </w:t>
      </w:r>
      <w:r w:rsidR="004E4DEA">
        <w:t>OAS CAHPS</w:t>
      </w:r>
      <w:r w:rsidR="00D93960" w:rsidRPr="00075391">
        <w:t xml:space="preserve">. </w:t>
      </w:r>
      <w:r w:rsidR="009C1BBD" w:rsidRPr="00075391">
        <w:t xml:space="preserve">Because data from the national implementation of </w:t>
      </w:r>
      <w:r w:rsidR="004E4DEA">
        <w:t>OAS CAHPS</w:t>
      </w:r>
      <w:r w:rsidR="009C1BBD" w:rsidRPr="00075391">
        <w:t xml:space="preserve"> will be used to produce comparative results, and because the national implementation of the survey will be conducted by multiple independent </w:t>
      </w:r>
      <w:r w:rsidR="003148C7">
        <w:t xml:space="preserve">CMS- approved </w:t>
      </w:r>
      <w:r w:rsidR="009C1BBD" w:rsidRPr="00075391">
        <w:t xml:space="preserve">survey vendors, it is important that all vendors administer the survey using the same survey administration protocols and specifications. Therefore, CMS-approved survey vendors conducting </w:t>
      </w:r>
      <w:r w:rsidR="004E4DEA">
        <w:t>OAS CAHPS</w:t>
      </w:r>
      <w:r w:rsidR="009C1BBD" w:rsidRPr="00075391">
        <w:t xml:space="preserve"> on behalf of the HOPDs and ASCs will be required to use survey administration specifications developed by CMS. The HOPDs and ASCs will be able to choose a vendor to administer the survey using one of three data collection modes: mail-only, telephone-only, and mixed mode (mail survey with telephone follow-up of nonrespondents).</w:t>
      </w:r>
    </w:p>
    <w:p w14:paraId="5DF34441" w14:textId="77777777" w:rsidR="009C1BBD" w:rsidRPr="00075391" w:rsidRDefault="009C1BBD" w:rsidP="00092D49">
      <w:pPr>
        <w:pStyle w:val="BodyText"/>
      </w:pPr>
      <w:r w:rsidRPr="001C08C8">
        <w:t xml:space="preserve">CMS will begin publicly reporting comparative results from </w:t>
      </w:r>
      <w:r w:rsidR="004E4DEA">
        <w:t>OAS CAHPS</w:t>
      </w:r>
      <w:r w:rsidRPr="001C08C8">
        <w:t xml:space="preserve"> after each facility has conducted data collection for 12 months.</w:t>
      </w:r>
      <w:r w:rsidR="00BB511C">
        <w:t xml:space="preserve"> </w:t>
      </w:r>
      <w:r w:rsidR="004E4DEA">
        <w:t>OAS CAHPS</w:t>
      </w:r>
      <w:r w:rsidR="006423F5" w:rsidRPr="001C08C8">
        <w:t xml:space="preserve"> </w:t>
      </w:r>
      <w:r w:rsidRPr="001C08C8">
        <w:t>measures will enable consumers to make more informed decisions when choosing an outpatient surgery facility, aid facilities in their quality improvement efforts, and will help CMS monitor the performance of outpatient surgery facilities.</w:t>
      </w:r>
    </w:p>
    <w:p w14:paraId="6D59A6F8" w14:textId="77777777" w:rsidR="009C1BBD" w:rsidRPr="00075391" w:rsidRDefault="009C1BBD" w:rsidP="009C1BBD">
      <w:pPr>
        <w:pStyle w:val="Heading2"/>
      </w:pPr>
      <w:bookmarkStart w:id="7" w:name="_Toc245121121"/>
      <w:bookmarkStart w:id="8" w:name="_Toc401649998"/>
      <w:bookmarkStart w:id="9" w:name="_Toc417475992"/>
      <w:bookmarkStart w:id="10" w:name="_Toc88033467"/>
      <w:r w:rsidRPr="00075391">
        <w:t>A.2</w:t>
      </w:r>
      <w:r w:rsidRPr="00075391">
        <w:tab/>
      </w:r>
      <w:bookmarkEnd w:id="7"/>
      <w:r w:rsidRPr="00075391">
        <w:t>Purpose and Use of Information</w:t>
      </w:r>
      <w:bookmarkEnd w:id="8"/>
      <w:bookmarkEnd w:id="9"/>
    </w:p>
    <w:p w14:paraId="23676B69" w14:textId="77777777" w:rsidR="00075391" w:rsidRPr="00075391" w:rsidRDefault="009C1BBD" w:rsidP="00092D49">
      <w:pPr>
        <w:pStyle w:val="BodyText"/>
      </w:pPr>
      <w:r w:rsidRPr="00075391">
        <w:t xml:space="preserve">The information collected in the national implementation of </w:t>
      </w:r>
      <w:r w:rsidR="004E4DEA">
        <w:t>OAS CAHPS</w:t>
      </w:r>
      <w:r w:rsidRPr="00075391">
        <w:t xml:space="preserve"> will be used for the following purposes:</w:t>
      </w:r>
    </w:p>
    <w:p w14:paraId="51906399" w14:textId="77777777" w:rsidR="009C1BBD" w:rsidRPr="00075391" w:rsidRDefault="009C1BBD" w:rsidP="004461C6">
      <w:pPr>
        <w:pStyle w:val="ListBullet"/>
      </w:pPr>
      <w:r w:rsidRPr="00075391">
        <w:t xml:space="preserve">To provide a source of information from which selected measures can be publicly reported to beneficiaries </w:t>
      </w:r>
      <w:r w:rsidR="00F61232">
        <w:t>to help them make informed decisions</w:t>
      </w:r>
      <w:r w:rsidRPr="00075391">
        <w:t xml:space="preserve"> for outpatient surgery facility selection;</w:t>
      </w:r>
    </w:p>
    <w:p w14:paraId="2B49D739" w14:textId="77777777" w:rsidR="009C1BBD" w:rsidRPr="00D75887" w:rsidRDefault="009C1BBD" w:rsidP="004461C6">
      <w:pPr>
        <w:pStyle w:val="ListBullet"/>
      </w:pPr>
      <w:r w:rsidRPr="00075391">
        <w:t xml:space="preserve">To aid facilities with their internal quality improvement efforts and external </w:t>
      </w:r>
      <w:r w:rsidRPr="00D75887">
        <w:t>benchmarking with other facilities; and</w:t>
      </w:r>
    </w:p>
    <w:p w14:paraId="4AD27C19" w14:textId="51CEA0AF" w:rsidR="009C1BBD" w:rsidRPr="00D75887" w:rsidRDefault="009C1BBD" w:rsidP="004461C6">
      <w:pPr>
        <w:pStyle w:val="ListBullet"/>
      </w:pPr>
      <w:r w:rsidRPr="00D75887">
        <w:t>To provide CMS with information for monitoring and public reporting purposes.</w:t>
      </w:r>
    </w:p>
    <w:p w14:paraId="7EF74338" w14:textId="3E4C67D7" w:rsidR="002955BA" w:rsidRPr="00D75887" w:rsidRDefault="002955BA" w:rsidP="002955BA">
      <w:pPr>
        <w:pStyle w:val="ListBullet"/>
        <w:numPr>
          <w:ilvl w:val="0"/>
          <w:numId w:val="0"/>
        </w:numPr>
        <w:ind w:firstLine="720"/>
      </w:pPr>
      <w:r w:rsidRPr="00D75887">
        <w:t>For the mode experiment, CMS plans to use information from this mode experiment to determine whether additional mode of administration (i.e. Web data collection) should be included in the current national implementation of OAS CAHPS protocols.</w:t>
      </w:r>
    </w:p>
    <w:p w14:paraId="07EFB57C" w14:textId="77777777" w:rsidR="009C1BBD" w:rsidRPr="00075391" w:rsidRDefault="009C1BBD" w:rsidP="009C1BBD">
      <w:pPr>
        <w:pStyle w:val="Heading2"/>
      </w:pPr>
      <w:bookmarkStart w:id="11" w:name="_Toc401649999"/>
      <w:bookmarkStart w:id="12" w:name="_Toc417475993"/>
      <w:bookmarkStart w:id="13" w:name="_Toc88033468"/>
      <w:bookmarkEnd w:id="10"/>
      <w:r w:rsidRPr="00075391">
        <w:t>A.3</w:t>
      </w:r>
      <w:r w:rsidRPr="00075391">
        <w:tab/>
        <w:t>Use of Improved Information Technology</w:t>
      </w:r>
      <w:bookmarkEnd w:id="11"/>
      <w:bookmarkEnd w:id="12"/>
    </w:p>
    <w:p w14:paraId="121206D4" w14:textId="740B6C54" w:rsidR="009C1BBD" w:rsidRPr="00075391" w:rsidRDefault="009C1BBD" w:rsidP="00071B03">
      <w:pPr>
        <w:pStyle w:val="BodyText"/>
      </w:pPr>
      <w:r w:rsidRPr="00075391">
        <w:t xml:space="preserve">The national implementation of </w:t>
      </w:r>
      <w:r w:rsidR="004E4DEA">
        <w:t>OAS CAHPS</w:t>
      </w:r>
      <w:r w:rsidRPr="00075391">
        <w:t xml:space="preserve"> is designed to allow third-party, CMS-approved survey vendors to administer </w:t>
      </w:r>
      <w:r w:rsidR="004E4DEA">
        <w:t>OAS CAHPS</w:t>
      </w:r>
      <w:r w:rsidRPr="00075391">
        <w:t xml:space="preserve"> using mail-only, telephone-only, or mixed-mode (mail with telephone follow-up). Experience from previous CAHPS surveys shows that mail, telephone, and mail with telephone follow-up data collection modes work well for respondents, vendors, and health care providers. </w:t>
      </w:r>
      <w:r w:rsidR="0090477E">
        <w:t xml:space="preserve">CMS is currently investigating the feasibility of implementing </w:t>
      </w:r>
      <w:r w:rsidR="00071B03">
        <w:t xml:space="preserve">the </w:t>
      </w:r>
      <w:r w:rsidR="0090477E">
        <w:t xml:space="preserve">OAS CAHPS </w:t>
      </w:r>
      <w:r w:rsidR="00071B03">
        <w:t xml:space="preserve">Survey </w:t>
      </w:r>
      <w:r w:rsidR="0090477E">
        <w:t>using a</w:t>
      </w:r>
      <w:r w:rsidRPr="00075391">
        <w:t xml:space="preserve"> web surveys</w:t>
      </w:r>
      <w:r w:rsidR="0090477E">
        <w:t xml:space="preserve"> mode.</w:t>
      </w:r>
      <w:r w:rsidRPr="00075391">
        <w:t xml:space="preserve"> </w:t>
      </w:r>
      <w:r w:rsidR="0090477E">
        <w:t xml:space="preserve"> If CMS determines that </w:t>
      </w:r>
      <w:r w:rsidRPr="00075391">
        <w:t>patient e</w:t>
      </w:r>
      <w:r w:rsidR="002A7FD2">
        <w:noBreakHyphen/>
      </w:r>
      <w:r w:rsidRPr="00075391">
        <w:t>mail address information is available through HOPDs and ASCs</w:t>
      </w:r>
      <w:r w:rsidR="0090477E">
        <w:t xml:space="preserve"> and response rates to a web survey are c</w:t>
      </w:r>
      <w:r w:rsidR="00071B03">
        <w:t>omparable to the traditional mod</w:t>
      </w:r>
      <w:r w:rsidR="0090477E">
        <w:t>es</w:t>
      </w:r>
      <w:r w:rsidR="00071B03">
        <w:t>, an additional mode option may be incorporated into the current survey protocols</w:t>
      </w:r>
      <w:r w:rsidRPr="00075391">
        <w:t>.</w:t>
      </w:r>
    </w:p>
    <w:p w14:paraId="7F6D680E" w14:textId="474CC16F" w:rsidR="009C1BBD" w:rsidRDefault="009C1BBD" w:rsidP="002955BA">
      <w:pPr>
        <w:pStyle w:val="BodyText"/>
      </w:pPr>
      <w:r w:rsidRPr="00075391">
        <w:t xml:space="preserve">The CMS-approved survey vendors who administer the survey during the national implementation will use an electronic data collection or CATI system if they administer a telephone-only or mixed-mode survey. </w:t>
      </w:r>
    </w:p>
    <w:p w14:paraId="13273662" w14:textId="2AD40377" w:rsidR="002955BA" w:rsidRPr="00D75887" w:rsidRDefault="002955BA" w:rsidP="002955BA">
      <w:pPr>
        <w:pStyle w:val="BodyText"/>
        <w:ind w:firstLine="0"/>
        <w:rPr>
          <w:b/>
          <w:i/>
          <w:u w:val="single"/>
        </w:rPr>
      </w:pPr>
      <w:r w:rsidRPr="00D75887">
        <w:rPr>
          <w:b/>
          <w:i/>
          <w:u w:val="single"/>
        </w:rPr>
        <w:t>Mode Experiment</w:t>
      </w:r>
    </w:p>
    <w:p w14:paraId="7403C362" w14:textId="02615626" w:rsidR="002955BA" w:rsidRPr="00D75887" w:rsidRDefault="002955BA" w:rsidP="002955BA">
      <w:pPr>
        <w:pStyle w:val="BodyText"/>
      </w:pPr>
      <w:r w:rsidRPr="00D75887">
        <w:t>CMS will investigate the feasibility of implementing the OAS CAHPS Survey using Web surveys.  If CMS determines that patient e</w:t>
      </w:r>
      <w:r w:rsidRPr="00D75887">
        <w:noBreakHyphen/>
        <w:t>mail address information is readily available from HOPDs and ASCs and response rates to a web survey are comparable to the traditional modes, an additional mode option may be incorporated into the current survey protocols.</w:t>
      </w:r>
    </w:p>
    <w:p w14:paraId="4F6B77AB" w14:textId="77777777" w:rsidR="002955BA" w:rsidRPr="00D75887" w:rsidRDefault="002955BA" w:rsidP="002955BA">
      <w:pPr>
        <w:pStyle w:val="BodyText"/>
      </w:pPr>
      <w:r w:rsidRPr="00D75887">
        <w:t>As with a Computer Assisted Telephone Interview (CATI) system, which was used to administer the telephone-only mode during the mode experiment, a Web administration offers numerous advantages, including the following:</w:t>
      </w:r>
    </w:p>
    <w:p w14:paraId="68DAB8B4" w14:textId="77777777" w:rsidR="002955BA" w:rsidRPr="00D75887" w:rsidRDefault="002955BA" w:rsidP="002955BA">
      <w:pPr>
        <w:pStyle w:val="ListBullet"/>
      </w:pPr>
      <w:r w:rsidRPr="00D75887">
        <w:t>costs less than in-person data collection;</w:t>
      </w:r>
    </w:p>
    <w:p w14:paraId="29ECCC93" w14:textId="77777777" w:rsidR="002955BA" w:rsidRPr="00D75887" w:rsidRDefault="002955BA" w:rsidP="002955BA">
      <w:pPr>
        <w:pStyle w:val="ListBullet"/>
      </w:pPr>
      <w:r w:rsidRPr="00D75887">
        <w:t>allows for a shorter data collection period;</w:t>
      </w:r>
    </w:p>
    <w:p w14:paraId="7C70EE8D" w14:textId="77777777" w:rsidR="002955BA" w:rsidRPr="00D75887" w:rsidRDefault="002955BA" w:rsidP="002955BA">
      <w:pPr>
        <w:pStyle w:val="ListBullet"/>
      </w:pPr>
      <w:r w:rsidRPr="00D75887">
        <w:t>reduces item nonresponse because the system controls the flow of the interview and complex routing;</w:t>
      </w:r>
    </w:p>
    <w:p w14:paraId="137C9E8C" w14:textId="77777777" w:rsidR="002955BA" w:rsidRPr="00D75887" w:rsidRDefault="002955BA" w:rsidP="002955BA">
      <w:pPr>
        <w:pStyle w:val="ListBullet"/>
      </w:pPr>
      <w:r w:rsidRPr="00D75887">
        <w:t>increases data quality by allowing consistency and data range checks on respondent answers;</w:t>
      </w:r>
    </w:p>
    <w:p w14:paraId="2EDB1623" w14:textId="77777777" w:rsidR="002955BA" w:rsidRPr="00D75887" w:rsidRDefault="002955BA" w:rsidP="002955BA">
      <w:pPr>
        <w:pStyle w:val="ListBullet"/>
      </w:pPr>
      <w:r w:rsidRPr="00D75887">
        <w:t>creates a centralization of process/quality control; and</w:t>
      </w:r>
    </w:p>
    <w:p w14:paraId="25ECF5D0" w14:textId="77777777" w:rsidR="002955BA" w:rsidRPr="00D75887" w:rsidRDefault="002955BA" w:rsidP="002955BA">
      <w:pPr>
        <w:pStyle w:val="ListBullet"/>
      </w:pPr>
      <w:r w:rsidRPr="00D75887">
        <w:t>reduces post-interview processing time and costs.</w:t>
      </w:r>
    </w:p>
    <w:p w14:paraId="072476A0" w14:textId="77777777" w:rsidR="002955BA" w:rsidRPr="00D75887" w:rsidRDefault="002955BA" w:rsidP="002955BA">
      <w:pPr>
        <w:pStyle w:val="ListBullet"/>
        <w:numPr>
          <w:ilvl w:val="0"/>
          <w:numId w:val="0"/>
        </w:numPr>
      </w:pPr>
    </w:p>
    <w:p w14:paraId="233DD12F" w14:textId="77777777" w:rsidR="009C1BBD" w:rsidRPr="00D75887" w:rsidRDefault="009C1BBD" w:rsidP="009C1BBD">
      <w:pPr>
        <w:pStyle w:val="Heading2"/>
      </w:pPr>
      <w:bookmarkStart w:id="14" w:name="_Toc162169921"/>
      <w:bookmarkStart w:id="15" w:name="_Toc245121123"/>
      <w:bookmarkStart w:id="16" w:name="_Toc401650000"/>
      <w:bookmarkStart w:id="17" w:name="_Toc417475994"/>
      <w:bookmarkStart w:id="18" w:name="_Toc88033470"/>
      <w:bookmarkEnd w:id="13"/>
      <w:r w:rsidRPr="00D75887">
        <w:t>A.4</w:t>
      </w:r>
      <w:r w:rsidRPr="00D75887">
        <w:tab/>
        <w:t>Efforts to Identify Duplication</w:t>
      </w:r>
      <w:bookmarkEnd w:id="14"/>
      <w:bookmarkEnd w:id="15"/>
      <w:bookmarkEnd w:id="16"/>
      <w:bookmarkEnd w:id="17"/>
    </w:p>
    <w:p w14:paraId="158EB871" w14:textId="77777777" w:rsidR="009C1BBD" w:rsidRPr="00075391" w:rsidRDefault="004E4DEA" w:rsidP="00092D49">
      <w:pPr>
        <w:pStyle w:val="BodyText"/>
        <w:rPr>
          <w:highlight w:val="cyan"/>
        </w:rPr>
      </w:pPr>
      <w:r>
        <w:t>OAS CAHPS</w:t>
      </w:r>
      <w:r w:rsidR="009C1BBD" w:rsidRPr="00075391">
        <w:t xml:space="preserve"> was designed to collect information that is fundamentally different from </w:t>
      </w:r>
      <w:r w:rsidR="00787938">
        <w:t>other CAHPS or patient experience of care surveys.</w:t>
      </w:r>
      <w:r w:rsidR="009C1BBD" w:rsidRPr="00075391">
        <w:t xml:space="preserve"> CMS is not aware of any existing </w:t>
      </w:r>
      <w:r w:rsidR="00611DB3">
        <w:t>validated</w:t>
      </w:r>
      <w:r w:rsidR="009C1BBD" w:rsidRPr="00075391">
        <w:t xml:space="preserve"> survey instrument where the unit of analysis is the hospital outpatient surgery department or ambulatory surgery facility, and the focus of the survey is on patient-reported experience of care. The information collected through this survey will therefore not duplicate any other effort and is not obtainable from any other source.</w:t>
      </w:r>
    </w:p>
    <w:p w14:paraId="1F467BA7" w14:textId="77777777" w:rsidR="00075391" w:rsidRPr="00075391" w:rsidRDefault="009C1BBD" w:rsidP="00092D49">
      <w:pPr>
        <w:pStyle w:val="BodyText"/>
      </w:pPr>
      <w:r w:rsidRPr="00075391">
        <w:t xml:space="preserve">Many HOPDs and ASCs are already carrying out their own patient experience of care surveys. These diverse surveys do not allow for comparisons across outpatient surgical facilities. Making comparative performance information available to the public can help consumers make more informed choices when selecting an outpatient surgery facility and can create incentives for facilities to improve care they provide. </w:t>
      </w:r>
      <w:r w:rsidR="004E4DEA">
        <w:t>OAS CAHPS</w:t>
      </w:r>
      <w:r w:rsidRPr="00075391">
        <w:t xml:space="preserve"> will provide a standardized tool for collecting such information, comparisons across all facilities to enable consumers to compare facilities.</w:t>
      </w:r>
    </w:p>
    <w:p w14:paraId="6E027CC6" w14:textId="6B16126B" w:rsidR="00075391" w:rsidRPr="00D75887" w:rsidRDefault="009C1BBD" w:rsidP="00092D49">
      <w:pPr>
        <w:pStyle w:val="BodyText"/>
      </w:pPr>
      <w:r w:rsidRPr="00075391">
        <w:t xml:space="preserve">The current version of </w:t>
      </w:r>
      <w:r w:rsidR="004E4DEA">
        <w:t>OAS CAHPS</w:t>
      </w:r>
      <w:r w:rsidRPr="00075391">
        <w:t xml:space="preserve"> consists of a core set of questions followed by </w:t>
      </w:r>
      <w:r w:rsidR="00E54530">
        <w:t xml:space="preserve">the mandated </w:t>
      </w:r>
      <w:r w:rsidR="00BB511C">
        <w:t>“</w:t>
      </w:r>
      <w:r w:rsidR="00E54530">
        <w:t>About You</w:t>
      </w:r>
      <w:r w:rsidR="00BB511C">
        <w:t>”</w:t>
      </w:r>
      <w:r w:rsidR="00E54530">
        <w:t xml:space="preserve"> questions. </w:t>
      </w:r>
      <w:r w:rsidRPr="00075391">
        <w:t xml:space="preserve">In addition, outpatient surgery facilities may </w:t>
      </w:r>
      <w:r w:rsidR="007A2334">
        <w:t>include</w:t>
      </w:r>
      <w:r w:rsidR="007A2334" w:rsidRPr="00075391">
        <w:t xml:space="preserve"> </w:t>
      </w:r>
      <w:r w:rsidRPr="00075391">
        <w:t xml:space="preserve">their </w:t>
      </w:r>
      <w:r w:rsidRPr="00D75887">
        <w:t xml:space="preserve">own </w:t>
      </w:r>
      <w:r w:rsidR="003A59FA" w:rsidRPr="00D75887">
        <w:t xml:space="preserve">facility- specific </w:t>
      </w:r>
      <w:r w:rsidRPr="00D75887">
        <w:t xml:space="preserve">questions to the existing </w:t>
      </w:r>
      <w:r w:rsidR="004E4DEA" w:rsidRPr="00D75887">
        <w:t>OAS CAHPS</w:t>
      </w:r>
      <w:r w:rsidRPr="00D75887">
        <w:t xml:space="preserve"> as long as the</w:t>
      </w:r>
      <w:r w:rsidR="003A59FA" w:rsidRPr="00D75887">
        <w:t>se</w:t>
      </w:r>
      <w:r w:rsidRPr="00D75887">
        <w:t xml:space="preserve"> appear after the core survey questions.</w:t>
      </w:r>
    </w:p>
    <w:p w14:paraId="0C9F4A8E" w14:textId="2295B955" w:rsidR="002955BA" w:rsidRPr="00D75887" w:rsidRDefault="002955BA" w:rsidP="002955BA">
      <w:pPr>
        <w:pStyle w:val="BodyText"/>
        <w:ind w:firstLine="0"/>
        <w:rPr>
          <w:b/>
          <w:i/>
          <w:u w:val="single"/>
        </w:rPr>
      </w:pPr>
      <w:r w:rsidRPr="00D75887">
        <w:rPr>
          <w:b/>
          <w:i/>
          <w:u w:val="single"/>
        </w:rPr>
        <w:t>Mode Experiment</w:t>
      </w:r>
    </w:p>
    <w:p w14:paraId="3CDD83A5" w14:textId="73E3B244" w:rsidR="002955BA" w:rsidRPr="00D75887" w:rsidRDefault="002955BA" w:rsidP="002955BA">
      <w:pPr>
        <w:pStyle w:val="BodyText"/>
      </w:pPr>
      <w:r w:rsidRPr="00D75887">
        <w:t>Given that the mode experiment will run concurrent</w:t>
      </w:r>
      <w:r w:rsidR="005F470C" w:rsidRPr="00D75887">
        <w:t xml:space="preserve">ly with </w:t>
      </w:r>
      <w:r w:rsidRPr="00D75887">
        <w:t xml:space="preserve">voluntary national implementation of the OAS CAHPS, CMS will work to ensure that patients selected for the mode experiment are not included in the national implementation sample or other surveys. </w:t>
      </w:r>
    </w:p>
    <w:p w14:paraId="48CD721B" w14:textId="77777777" w:rsidR="002955BA" w:rsidRPr="00075391" w:rsidRDefault="002955BA" w:rsidP="00092D49">
      <w:pPr>
        <w:pStyle w:val="BodyText"/>
      </w:pPr>
    </w:p>
    <w:p w14:paraId="7079A03A" w14:textId="77777777" w:rsidR="009C1BBD" w:rsidRPr="00075391" w:rsidRDefault="009C1BBD" w:rsidP="009C1BBD">
      <w:pPr>
        <w:pStyle w:val="Heading2"/>
      </w:pPr>
      <w:bookmarkStart w:id="19" w:name="_Toc162169922"/>
      <w:bookmarkStart w:id="20" w:name="_Toc245121124"/>
      <w:bookmarkStart w:id="21" w:name="_Toc401650001"/>
      <w:bookmarkStart w:id="22" w:name="_Toc417475995"/>
      <w:r w:rsidRPr="00075391">
        <w:t>A.5</w:t>
      </w:r>
      <w:r w:rsidRPr="00075391">
        <w:tab/>
        <w:t>Involvement of Small Entities</w:t>
      </w:r>
      <w:bookmarkEnd w:id="19"/>
      <w:bookmarkEnd w:id="20"/>
      <w:bookmarkEnd w:id="21"/>
      <w:bookmarkEnd w:id="22"/>
    </w:p>
    <w:p w14:paraId="0504CB48" w14:textId="77777777" w:rsidR="009C1BBD" w:rsidRPr="00075391" w:rsidRDefault="009C1BBD" w:rsidP="00092D49">
      <w:pPr>
        <w:pStyle w:val="BodyText"/>
      </w:pPr>
      <w:r w:rsidRPr="00075391">
        <w:t xml:space="preserve">Survey respondents are patients who have received care from a hospital-based outpatient surgery center or independently owned </w:t>
      </w:r>
      <w:r w:rsidR="002A7FD2">
        <w:t>ASC</w:t>
      </w:r>
      <w:r w:rsidRPr="00075391">
        <w:t>. The survey should not impact small businesses or other small entities.</w:t>
      </w:r>
    </w:p>
    <w:p w14:paraId="23F74686" w14:textId="77777777" w:rsidR="009C1BBD" w:rsidRPr="00075391" w:rsidRDefault="009C1BBD" w:rsidP="009C1BBD">
      <w:pPr>
        <w:pStyle w:val="Heading2"/>
      </w:pPr>
      <w:bookmarkStart w:id="23" w:name="_Toc162169923"/>
      <w:bookmarkStart w:id="24" w:name="_Toc245121125"/>
      <w:bookmarkStart w:id="25" w:name="_Toc401650002"/>
      <w:bookmarkStart w:id="26" w:name="_Toc417475996"/>
      <w:r w:rsidRPr="00075391">
        <w:t>A.6</w:t>
      </w:r>
      <w:bookmarkEnd w:id="23"/>
      <w:r w:rsidRPr="00075391">
        <w:tab/>
      </w:r>
      <w:bookmarkEnd w:id="24"/>
      <w:r w:rsidRPr="00075391">
        <w:t>Consequences if Information is Collected Less Frequently</w:t>
      </w:r>
      <w:bookmarkEnd w:id="25"/>
      <w:bookmarkEnd w:id="26"/>
    </w:p>
    <w:p w14:paraId="5DE35BA3" w14:textId="6A18BE93" w:rsidR="009C1BBD" w:rsidRPr="00075391" w:rsidRDefault="009C1BBD" w:rsidP="00092D49">
      <w:pPr>
        <w:pStyle w:val="BodyText"/>
      </w:pPr>
      <w:r w:rsidRPr="00075391">
        <w:t xml:space="preserve">The national implementation of </w:t>
      </w:r>
      <w:r w:rsidR="004E4DEA">
        <w:t>OAS CAHPS</w:t>
      </w:r>
      <w:r w:rsidRPr="00075391">
        <w:t xml:space="preserve"> on a regular basis will allow for the collection of data about patients</w:t>
      </w:r>
      <w:r w:rsidR="00BB511C">
        <w:t>’</w:t>
      </w:r>
      <w:r w:rsidRPr="00075391">
        <w:t xml:space="preserve"> experience with outpatient surgical care at different points in time during a calendar year. Regular implementation will also allow sampled patients to assess their experience at the facility soon after their surgery or procedure is performed. Participating facilities will be asked to provide a sample frame consisting of patients who received at least one surgery or procedure during the sample month to their survey vendor on a monthly basis. Vendors will, in turn, be required to initiate the data collection from patients within 3 weeks after the sample month closes. Respondent burden is increased and the recall factor becomes a problem if patients are asked to recall their care experiences after longer lapses of time. Monthly sampling </w:t>
      </w:r>
      <w:r w:rsidR="000C2D05">
        <w:t xml:space="preserve">and </w:t>
      </w:r>
      <w:r w:rsidR="00BA01F3">
        <w:t>administering the survey</w:t>
      </w:r>
      <w:r w:rsidRPr="00075391">
        <w:t xml:space="preserve"> within 3 weeks after the </w:t>
      </w:r>
      <w:r w:rsidR="007F505C">
        <w:t xml:space="preserve">close of the </w:t>
      </w:r>
      <w:r w:rsidRPr="00075391">
        <w:t xml:space="preserve">sample </w:t>
      </w:r>
      <w:r w:rsidR="007F505C">
        <w:t>month</w:t>
      </w:r>
      <w:r w:rsidRPr="00075391">
        <w:t xml:space="preserve"> will reduce the amount of time between outpatient care </w:t>
      </w:r>
      <w:r w:rsidR="00BA01F3">
        <w:t xml:space="preserve">event </w:t>
      </w:r>
      <w:r w:rsidRPr="00075391">
        <w:t xml:space="preserve">and survey. Respondent recall will be enhanced, thus improving the quality of survey data and results. For this reason, CMS does not believe that a less frequent data collection period will result in the most accurate and complete data for public reporting and quality monitoring purposes. </w:t>
      </w:r>
      <w:r w:rsidR="002A7FD2">
        <w:t>Although</w:t>
      </w:r>
      <w:r w:rsidR="002A7FD2" w:rsidRPr="00075391">
        <w:t xml:space="preserve"> </w:t>
      </w:r>
      <w:r w:rsidRPr="00075391">
        <w:t>data collection will be completed by vendors on a monthly basis, data will be submitted on a quarterly basis.</w:t>
      </w:r>
    </w:p>
    <w:p w14:paraId="763F5587" w14:textId="77777777" w:rsidR="009C1BBD" w:rsidRPr="00075391" w:rsidRDefault="009C1BBD" w:rsidP="009C1BBD">
      <w:pPr>
        <w:pStyle w:val="Heading2"/>
      </w:pPr>
      <w:bookmarkStart w:id="27" w:name="_Toc162169924"/>
      <w:bookmarkStart w:id="28" w:name="_Toc245121126"/>
      <w:bookmarkStart w:id="29" w:name="_Toc401650003"/>
      <w:bookmarkStart w:id="30" w:name="_Toc417475997"/>
      <w:r w:rsidRPr="00075391">
        <w:t>A.7</w:t>
      </w:r>
      <w:r w:rsidRPr="00075391">
        <w:tab/>
        <w:t>Special Circumstances</w:t>
      </w:r>
      <w:bookmarkEnd w:id="27"/>
      <w:bookmarkEnd w:id="28"/>
      <w:bookmarkEnd w:id="29"/>
      <w:bookmarkEnd w:id="30"/>
    </w:p>
    <w:p w14:paraId="76C109A9" w14:textId="77777777" w:rsidR="009C1BBD" w:rsidRPr="00075391" w:rsidRDefault="009C1BBD" w:rsidP="00092D49">
      <w:pPr>
        <w:pStyle w:val="BodyText"/>
      </w:pPr>
      <w:r w:rsidRPr="00075391">
        <w:t>There are no special circumstances with this information collection request.</w:t>
      </w:r>
    </w:p>
    <w:p w14:paraId="669C8EB4" w14:textId="77777777" w:rsidR="009C1BBD" w:rsidRPr="00075391" w:rsidRDefault="009C1BBD" w:rsidP="009C1BBD">
      <w:pPr>
        <w:pStyle w:val="Heading2"/>
      </w:pPr>
      <w:bookmarkStart w:id="31" w:name="_Toc162169925"/>
      <w:bookmarkStart w:id="32" w:name="_Toc245121127"/>
      <w:bookmarkStart w:id="33" w:name="_Toc401650004"/>
      <w:bookmarkStart w:id="34" w:name="_Toc417475998"/>
      <w:bookmarkStart w:id="35" w:name="_Toc88033474"/>
      <w:bookmarkEnd w:id="18"/>
      <w:r w:rsidRPr="00075391">
        <w:t>A.8</w:t>
      </w:r>
      <w:r w:rsidRPr="00075391">
        <w:tab/>
        <w:t xml:space="preserve">Federal Register Notice and Outside </w:t>
      </w:r>
      <w:bookmarkEnd w:id="31"/>
      <w:bookmarkEnd w:id="32"/>
      <w:r w:rsidRPr="00075391">
        <w:t>Consultations</w:t>
      </w:r>
      <w:bookmarkEnd w:id="33"/>
      <w:bookmarkEnd w:id="34"/>
    </w:p>
    <w:p w14:paraId="1F1B8867" w14:textId="77777777" w:rsidR="009C1BBD" w:rsidRPr="00075391" w:rsidRDefault="009C1BBD" w:rsidP="009C1BBD">
      <w:pPr>
        <w:pStyle w:val="Heading3"/>
        <w:rPr>
          <w:lang w:val="en-US"/>
        </w:rPr>
      </w:pPr>
      <w:bookmarkStart w:id="36" w:name="_Toc352232190"/>
      <w:bookmarkStart w:id="37" w:name="_Toc352240551"/>
      <w:bookmarkStart w:id="38" w:name="_Toc356227571"/>
      <w:bookmarkStart w:id="39" w:name="_Toc417475999"/>
      <w:r w:rsidRPr="00075391">
        <w:rPr>
          <w:lang w:val="en-US"/>
        </w:rPr>
        <w:t>A.8.1</w:t>
      </w:r>
      <w:r w:rsidRPr="00075391">
        <w:rPr>
          <w:lang w:val="en-US"/>
        </w:rPr>
        <w:tab/>
        <w:t>Federal Register Notice</w:t>
      </w:r>
      <w:bookmarkEnd w:id="36"/>
      <w:bookmarkEnd w:id="37"/>
      <w:bookmarkEnd w:id="38"/>
      <w:bookmarkEnd w:id="39"/>
    </w:p>
    <w:p w14:paraId="7E4C984D" w14:textId="6026AFC4" w:rsidR="00B00406" w:rsidRPr="002B0870" w:rsidRDefault="009C1BBD" w:rsidP="008B7283">
      <w:pPr>
        <w:pStyle w:val="BodyText"/>
        <w:rPr>
          <w:color w:val="000000" w:themeColor="text1"/>
        </w:rPr>
      </w:pPr>
      <w:r w:rsidRPr="00C27BA5">
        <w:rPr>
          <w:color w:val="000000" w:themeColor="text1"/>
        </w:rPr>
        <w:t xml:space="preserve">The 60-day notice published </w:t>
      </w:r>
      <w:r w:rsidR="004065AA">
        <w:rPr>
          <w:color w:val="000000" w:themeColor="text1"/>
        </w:rPr>
        <w:t xml:space="preserve">in the </w:t>
      </w:r>
      <w:r w:rsidR="004065AA" w:rsidRPr="00C27BA5">
        <w:rPr>
          <w:color w:val="000000" w:themeColor="text1"/>
        </w:rPr>
        <w:t xml:space="preserve">Federal Register </w:t>
      </w:r>
      <w:r w:rsidRPr="00C27BA5">
        <w:rPr>
          <w:color w:val="000000" w:themeColor="text1"/>
        </w:rPr>
        <w:t xml:space="preserve">on </w:t>
      </w:r>
      <w:r w:rsidR="007D6780">
        <w:rPr>
          <w:color w:val="000000" w:themeColor="text1"/>
        </w:rPr>
        <w:t>April 16</w:t>
      </w:r>
      <w:r w:rsidRPr="00C27BA5">
        <w:rPr>
          <w:color w:val="000000" w:themeColor="text1"/>
        </w:rPr>
        <w:t>,</w:t>
      </w:r>
      <w:r w:rsidR="00E16295" w:rsidRPr="00C27BA5">
        <w:rPr>
          <w:color w:val="000000" w:themeColor="text1"/>
        </w:rPr>
        <w:t xml:space="preserve"> 201</w:t>
      </w:r>
      <w:r w:rsidR="007D6780">
        <w:rPr>
          <w:color w:val="000000" w:themeColor="text1"/>
        </w:rPr>
        <w:t>8</w:t>
      </w:r>
      <w:r w:rsidR="004065AA">
        <w:rPr>
          <w:color w:val="000000" w:themeColor="text1"/>
        </w:rPr>
        <w:t xml:space="preserve"> (</w:t>
      </w:r>
      <w:r w:rsidR="007C677B" w:rsidRPr="00C27BA5">
        <w:rPr>
          <w:color w:val="000000" w:themeColor="text1"/>
        </w:rPr>
        <w:t>8</w:t>
      </w:r>
      <w:r w:rsidR="004065AA">
        <w:rPr>
          <w:color w:val="000000" w:themeColor="text1"/>
        </w:rPr>
        <w:t>3</w:t>
      </w:r>
      <w:r w:rsidR="007C677B" w:rsidRPr="00C27BA5">
        <w:rPr>
          <w:color w:val="000000" w:themeColor="text1"/>
        </w:rPr>
        <w:t xml:space="preserve"> FR </w:t>
      </w:r>
      <w:r w:rsidR="007D6780" w:rsidRPr="007D6780">
        <w:rPr>
          <w:color w:val="000000" w:themeColor="text1"/>
        </w:rPr>
        <w:t>16362</w:t>
      </w:r>
      <w:r w:rsidR="007C677B" w:rsidRPr="00C27BA5">
        <w:rPr>
          <w:color w:val="000000" w:themeColor="text1"/>
        </w:rPr>
        <w:t>)</w:t>
      </w:r>
      <w:r w:rsidR="008B7283" w:rsidRPr="00C27BA5">
        <w:rPr>
          <w:color w:val="000000" w:themeColor="text1"/>
        </w:rPr>
        <w:t>.</w:t>
      </w:r>
      <w:r w:rsidR="002234BC">
        <w:rPr>
          <w:color w:val="000000" w:themeColor="text1"/>
        </w:rPr>
        <w:t xml:space="preserve"> Comments were received.</w:t>
      </w:r>
    </w:p>
    <w:p w14:paraId="5B7BCDB6" w14:textId="77777777" w:rsidR="009C1BBD" w:rsidRPr="00075391" w:rsidRDefault="009C1BBD" w:rsidP="009C1BBD">
      <w:pPr>
        <w:pStyle w:val="Heading3"/>
        <w:rPr>
          <w:lang w:val="en-US"/>
        </w:rPr>
      </w:pPr>
      <w:bookmarkStart w:id="40" w:name="_Toc352232191"/>
      <w:bookmarkStart w:id="41" w:name="_Toc352240552"/>
      <w:bookmarkStart w:id="42" w:name="_Toc356227572"/>
      <w:bookmarkStart w:id="43" w:name="_Toc417476000"/>
      <w:bookmarkStart w:id="44" w:name="_Toc162169926"/>
      <w:bookmarkStart w:id="45" w:name="_Toc245121128"/>
      <w:bookmarkStart w:id="46" w:name="_Toc401650005"/>
      <w:r w:rsidRPr="00075391">
        <w:rPr>
          <w:lang w:val="en-US"/>
        </w:rPr>
        <w:t>A.8.2</w:t>
      </w:r>
      <w:r w:rsidRPr="00075391">
        <w:rPr>
          <w:lang w:val="en-US"/>
        </w:rPr>
        <w:tab/>
        <w:t>Outside Consultations</w:t>
      </w:r>
      <w:bookmarkEnd w:id="40"/>
      <w:bookmarkEnd w:id="41"/>
      <w:bookmarkEnd w:id="42"/>
      <w:bookmarkEnd w:id="43"/>
    </w:p>
    <w:p w14:paraId="378FB62E" w14:textId="589EB544" w:rsidR="009C1BBD" w:rsidRPr="00075391" w:rsidRDefault="000C2D05" w:rsidP="00092D49">
      <w:pPr>
        <w:pStyle w:val="BodyText"/>
      </w:pPr>
      <w:r>
        <w:t xml:space="preserve">For the </w:t>
      </w:r>
      <w:r w:rsidR="00787938">
        <w:t xml:space="preserve">survey </w:t>
      </w:r>
      <w:r>
        <w:t xml:space="preserve">development, </w:t>
      </w:r>
      <w:r w:rsidR="009C1BBD" w:rsidRPr="00075391">
        <w:t>CMS</w:t>
      </w:r>
      <w:r w:rsidR="00BB511C">
        <w:t>’</w:t>
      </w:r>
      <w:r w:rsidR="009C1BBD" w:rsidRPr="00075391">
        <w:t xml:space="preserve">s contractor </w:t>
      </w:r>
      <w:r>
        <w:t xml:space="preserve">convened </w:t>
      </w:r>
      <w:r w:rsidR="009C1BBD" w:rsidRPr="00075391">
        <w:t>a 10-member TEP and obtained guidance and input from the TEP on the sample design and survey administration specifications for both the national implementation and</w:t>
      </w:r>
      <w:r w:rsidR="00071B03">
        <w:t xml:space="preserve"> the 2015</w:t>
      </w:r>
      <w:r w:rsidR="009C1BBD" w:rsidRPr="00075391">
        <w:t xml:space="preserve"> mode experiment of </w:t>
      </w:r>
      <w:r w:rsidR="004E4DEA">
        <w:t>OAS CAHPS</w:t>
      </w:r>
      <w:r w:rsidR="009C1BBD" w:rsidRPr="00075391">
        <w:t>. The TEP members consulted represented the following organizations:</w:t>
      </w:r>
    </w:p>
    <w:p w14:paraId="1F4CCE3E" w14:textId="77777777" w:rsidR="009C1BBD" w:rsidRPr="00075391" w:rsidRDefault="009C1BBD" w:rsidP="00BB511C">
      <w:pPr>
        <w:pStyle w:val="ListBullet"/>
        <w:keepNext/>
      </w:pPr>
      <w:r w:rsidRPr="00075391">
        <w:t>Anesthesia Quality Institute</w:t>
      </w:r>
      <w:r w:rsidR="003E229E">
        <w:t>;</w:t>
      </w:r>
    </w:p>
    <w:p w14:paraId="6090D798" w14:textId="77777777" w:rsidR="009C1BBD" w:rsidRPr="00075391" w:rsidRDefault="009C1BBD" w:rsidP="004461C6">
      <w:pPr>
        <w:pStyle w:val="ListBullet"/>
      </w:pPr>
      <w:r w:rsidRPr="00075391">
        <w:t>ASC Quality Collaboration</w:t>
      </w:r>
      <w:r w:rsidR="003E229E">
        <w:t>;</w:t>
      </w:r>
    </w:p>
    <w:p w14:paraId="2FABCF77" w14:textId="77777777" w:rsidR="009C1BBD" w:rsidRPr="00075391" w:rsidRDefault="003E229E" w:rsidP="004461C6">
      <w:pPr>
        <w:pStyle w:val="ListBullet"/>
      </w:pPr>
      <w:r>
        <w:t>University of North Carolina at Chapel Hill;</w:t>
      </w:r>
    </w:p>
    <w:p w14:paraId="6D42DBA0" w14:textId="77777777" w:rsidR="009C1BBD" w:rsidRPr="00075391" w:rsidRDefault="003E229E" w:rsidP="004461C6">
      <w:pPr>
        <w:pStyle w:val="ListBullet"/>
      </w:pPr>
      <w:r>
        <w:t>Cleveland Clinic Health System;</w:t>
      </w:r>
    </w:p>
    <w:p w14:paraId="38F06955" w14:textId="77777777" w:rsidR="009C1BBD" w:rsidRPr="00075391" w:rsidRDefault="003E229E" w:rsidP="004461C6">
      <w:pPr>
        <w:pStyle w:val="ListBullet"/>
      </w:pPr>
      <w:r>
        <w:t>Carilion Clinic Orthopedics;</w:t>
      </w:r>
    </w:p>
    <w:p w14:paraId="7A05C468" w14:textId="77777777" w:rsidR="009C1BBD" w:rsidRPr="00075391" w:rsidRDefault="003E229E" w:rsidP="004461C6">
      <w:pPr>
        <w:pStyle w:val="ListBullet"/>
      </w:pPr>
      <w:r>
        <w:t>National Center for Health Statistics;</w:t>
      </w:r>
    </w:p>
    <w:p w14:paraId="4A4CC483" w14:textId="77777777" w:rsidR="009C1BBD" w:rsidRPr="00075391" w:rsidRDefault="003E229E" w:rsidP="004461C6">
      <w:pPr>
        <w:pStyle w:val="ListBullet"/>
      </w:pPr>
      <w:r>
        <w:t>HONOReform;</w:t>
      </w:r>
    </w:p>
    <w:p w14:paraId="7E1BC3CE" w14:textId="77777777" w:rsidR="009C1BBD" w:rsidRPr="00075391" w:rsidRDefault="009F07E2" w:rsidP="004461C6">
      <w:pPr>
        <w:pStyle w:val="ListBullet"/>
      </w:pPr>
      <w:r>
        <w:t>Ohio State Government</w:t>
      </w:r>
      <w:r w:rsidR="003E229E">
        <w:t>;</w:t>
      </w:r>
    </w:p>
    <w:p w14:paraId="0A33BD76" w14:textId="77777777" w:rsidR="00B77154" w:rsidRDefault="003E229E" w:rsidP="00BB511C">
      <w:pPr>
        <w:pStyle w:val="ListBullet"/>
        <w:keepNext/>
      </w:pPr>
      <w:r>
        <w:t>The Joint Commission; and</w:t>
      </w:r>
    </w:p>
    <w:p w14:paraId="7DF802A6" w14:textId="77777777" w:rsidR="009C1BBD" w:rsidRPr="00075391" w:rsidRDefault="003E229E" w:rsidP="004461C6">
      <w:pPr>
        <w:pStyle w:val="ListBullet"/>
      </w:pPr>
      <w:r>
        <w:t>Trinity Surgery Center.</w:t>
      </w:r>
    </w:p>
    <w:p w14:paraId="2E8A8FA5" w14:textId="77777777" w:rsidR="009C1BBD" w:rsidRPr="00075391" w:rsidRDefault="009C1BBD" w:rsidP="009C1BBD">
      <w:pPr>
        <w:pStyle w:val="Heading2"/>
      </w:pPr>
      <w:bookmarkStart w:id="47" w:name="_Toc417476001"/>
      <w:r w:rsidRPr="00075391">
        <w:t>A.9</w:t>
      </w:r>
      <w:r w:rsidRPr="00075391">
        <w:tab/>
        <w:t>Payments/Gifts to Respondents</w:t>
      </w:r>
      <w:bookmarkEnd w:id="44"/>
      <w:bookmarkEnd w:id="45"/>
      <w:bookmarkEnd w:id="46"/>
      <w:bookmarkEnd w:id="47"/>
    </w:p>
    <w:p w14:paraId="14B571CE" w14:textId="77777777" w:rsidR="009C1BBD" w:rsidRPr="00075391" w:rsidRDefault="009C1BBD" w:rsidP="00092D49">
      <w:pPr>
        <w:pStyle w:val="BodyText"/>
      </w:pPr>
      <w:r w:rsidRPr="00075391">
        <w:t>No payments or gifts will be provided to respondents.</w:t>
      </w:r>
    </w:p>
    <w:p w14:paraId="0FDB9C8B" w14:textId="77777777" w:rsidR="009C1BBD" w:rsidRPr="00075391" w:rsidRDefault="009C1BBD" w:rsidP="009C1BBD">
      <w:pPr>
        <w:pStyle w:val="Heading2"/>
      </w:pPr>
      <w:bookmarkStart w:id="48" w:name="_Toc162169927"/>
      <w:bookmarkStart w:id="49" w:name="_Toc245121129"/>
      <w:bookmarkStart w:id="50" w:name="_Toc401650006"/>
      <w:bookmarkStart w:id="51" w:name="_Toc417476002"/>
      <w:r w:rsidRPr="00075391">
        <w:t>A.10</w:t>
      </w:r>
      <w:r w:rsidRPr="00075391">
        <w:tab/>
        <w:t>Assurances of Confidentiality</w:t>
      </w:r>
      <w:bookmarkEnd w:id="48"/>
      <w:bookmarkEnd w:id="49"/>
      <w:bookmarkEnd w:id="50"/>
      <w:bookmarkEnd w:id="51"/>
    </w:p>
    <w:p w14:paraId="77113684" w14:textId="77777777" w:rsidR="009C1BBD" w:rsidRPr="00075391" w:rsidRDefault="009C1BBD" w:rsidP="00092D49">
      <w:pPr>
        <w:pStyle w:val="BodyText"/>
      </w:pPr>
      <w:r w:rsidRPr="00075391">
        <w:t>Individuals contacted as part of this data collection will be assured of the confidentiality of their replies under 42 U.S.C. 1306, 20 CFR 401 and 422, 5 U.S.C. 552 (Freedom of Information Act), 5 U.S.C. 552a (Privacy Act of 1974), and OMB Circular A-130. The participant will be told the purposes for which the information is collected and that, in accordance with this statute, any identifiable information about them will not be used or disclosed for any other purpose. However, in instances where respondent identity is needed, the information collection will fully comply with all aspects of the Privacy Act.</w:t>
      </w:r>
    </w:p>
    <w:p w14:paraId="6A6564BB" w14:textId="77777777" w:rsidR="009C1BBD" w:rsidRPr="00075391" w:rsidRDefault="009C1BBD" w:rsidP="009C1BBD">
      <w:pPr>
        <w:pStyle w:val="BodyText"/>
      </w:pPr>
      <w:r w:rsidRPr="00075391">
        <w:t>Concern for the confidentiality and protection of respondents</w:t>
      </w:r>
      <w:r w:rsidR="00BB511C">
        <w:t>’</w:t>
      </w:r>
      <w:r w:rsidRPr="00075391">
        <w:t xml:space="preserve"> rights is critically important on any patient experience of care survey. Some patients might not be willing to participate in the survey for fear of retribution from the facility, Medicare, Medicaid</w:t>
      </w:r>
      <w:r w:rsidR="00997C07">
        <w:t>, or other payer</w:t>
      </w:r>
      <w:r w:rsidRPr="00075391">
        <w:t>. There is also a concern that some patients might respond to the survey but might respond in a way that does not reflect their actual experiences with outpatient surgical care. Therefore, assurances of confidentiality are critically important with this patient population.</w:t>
      </w:r>
    </w:p>
    <w:p w14:paraId="4ED640A9" w14:textId="77777777" w:rsidR="009C1BBD" w:rsidRPr="00075391" w:rsidRDefault="004E4DEA" w:rsidP="00092D49">
      <w:pPr>
        <w:pStyle w:val="BodyText"/>
      </w:pPr>
      <w:r>
        <w:t>OAS CAHPS</w:t>
      </w:r>
      <w:r w:rsidR="009C1BBD" w:rsidRPr="00075391">
        <w:t xml:space="preserve"> patients will be more willing to participate if an outside organization administers the survey. In addition, the HOPDs and ASCs will be asked not to discuss </w:t>
      </w:r>
      <w:r>
        <w:t>OAS CAHPS</w:t>
      </w:r>
      <w:r w:rsidR="009C1BBD" w:rsidRPr="00075391">
        <w:t xml:space="preserve"> with their patients, and especially in any way that might influence the patients</w:t>
      </w:r>
      <w:r w:rsidR="00BB511C">
        <w:t>’</w:t>
      </w:r>
      <w:r w:rsidR="009C1BBD" w:rsidRPr="00075391">
        <w:t xml:space="preserve"> decision to participate in the survey or their responses to the survey. The cover letter included with the mail survey questionnaire sent to sample patients will encourage patients to call the survey vendor</w:t>
      </w:r>
      <w:r w:rsidR="00BB511C">
        <w:t>’</w:t>
      </w:r>
      <w:r w:rsidR="009C1BBD" w:rsidRPr="00075391">
        <w:t>s toll-free telephone number if they have any questions about the survey.</w:t>
      </w:r>
    </w:p>
    <w:p w14:paraId="4FA5430B" w14:textId="77777777" w:rsidR="009C1BBD" w:rsidRPr="00075391" w:rsidRDefault="009C1BBD" w:rsidP="00092D49">
      <w:pPr>
        <w:pStyle w:val="BodyText"/>
      </w:pPr>
      <w:bookmarkStart w:id="52" w:name="_Toc88033477"/>
      <w:bookmarkEnd w:id="35"/>
      <w:r w:rsidRPr="00075391">
        <w:t xml:space="preserve">For the national implementation, survey vendors approved to conduct </w:t>
      </w:r>
      <w:r w:rsidR="004E4DEA">
        <w:t>OAS CAHPS</w:t>
      </w:r>
      <w:r w:rsidRPr="00075391">
        <w:t xml:space="preserve"> for participating facilities will be required to have systems and methods in place to protect the identity of sampled patients and the confidential nature of the data that they provide. The survey vendors will submit only de-identified survey data to RTI for analysis.</w:t>
      </w:r>
    </w:p>
    <w:p w14:paraId="1209D53A" w14:textId="77777777" w:rsidR="009C1BBD" w:rsidRPr="00075391" w:rsidRDefault="004E4DEA" w:rsidP="00092D49">
      <w:pPr>
        <w:pStyle w:val="BodyText"/>
      </w:pPr>
      <w:r>
        <w:t>OAS CAHPS</w:t>
      </w:r>
      <w:r w:rsidR="009C1BBD" w:rsidRPr="00075391">
        <w:t xml:space="preserve"> vendors will be required to include the following assurances of confidentiality in communications with sample patients:</w:t>
      </w:r>
    </w:p>
    <w:p w14:paraId="1E45D429" w14:textId="77777777" w:rsidR="009C1BBD" w:rsidRPr="00075391" w:rsidRDefault="009C1BBD" w:rsidP="00BB511C">
      <w:pPr>
        <w:pStyle w:val="ListBullet"/>
        <w:keepNext/>
      </w:pPr>
      <w:r w:rsidRPr="00075391">
        <w:t>the purposes of the survey and how survey results will be used;</w:t>
      </w:r>
    </w:p>
    <w:p w14:paraId="77E8E44F" w14:textId="77777777" w:rsidR="009C1BBD" w:rsidRPr="00075391" w:rsidRDefault="009C1BBD" w:rsidP="004461C6">
      <w:pPr>
        <w:pStyle w:val="ListBullet"/>
      </w:pPr>
      <w:r w:rsidRPr="00075391">
        <w:t xml:space="preserve">participation in </w:t>
      </w:r>
      <w:r w:rsidR="004E4DEA">
        <w:t>OAS CAHPS</w:t>
      </w:r>
      <w:r w:rsidRPr="00075391">
        <w:t xml:space="preserve"> is voluntary;</w:t>
      </w:r>
    </w:p>
    <w:p w14:paraId="3C8BAC7A" w14:textId="77777777" w:rsidR="009C1BBD" w:rsidRPr="00075391" w:rsidRDefault="009C1BBD" w:rsidP="004461C6">
      <w:pPr>
        <w:pStyle w:val="ListBullet"/>
      </w:pPr>
      <w:r w:rsidRPr="00075391">
        <w:t>the information they provide is protected by the Federal Privacy Act of 1974 (and that all project staff have signed affidavits of confidentiality and are prohibited by law from using survey information for anything other than this research study);</w:t>
      </w:r>
    </w:p>
    <w:p w14:paraId="55648EDF" w14:textId="77777777" w:rsidR="009C1BBD" w:rsidRPr="00075391" w:rsidRDefault="009C1BBD" w:rsidP="004461C6">
      <w:pPr>
        <w:pStyle w:val="ListBullet"/>
      </w:pPr>
      <w:r w:rsidRPr="00075391">
        <w:t>their survey responses will never be linked to their name or other identifying information;</w:t>
      </w:r>
    </w:p>
    <w:p w14:paraId="0DC9F6F4" w14:textId="77777777" w:rsidR="009C1BBD" w:rsidRPr="00075391" w:rsidRDefault="009C1BBD" w:rsidP="004461C6">
      <w:pPr>
        <w:pStyle w:val="ListBullet"/>
      </w:pPr>
      <w:r w:rsidRPr="00075391">
        <w:t>all respondents</w:t>
      </w:r>
      <w:r w:rsidR="00BB511C">
        <w:t>’</w:t>
      </w:r>
      <w:r w:rsidRPr="00075391">
        <w:t xml:space="preserve"> survey responses will be reported in aggregate, no facility will see their individual answers;</w:t>
      </w:r>
    </w:p>
    <w:p w14:paraId="18139E5F" w14:textId="77777777" w:rsidR="009C1BBD" w:rsidRPr="00075391" w:rsidRDefault="009C1BBD" w:rsidP="00BB511C">
      <w:pPr>
        <w:pStyle w:val="ListBullet"/>
        <w:keepNext/>
      </w:pPr>
      <w:r w:rsidRPr="00075391">
        <w:rPr>
          <w:bCs/>
        </w:rPr>
        <w:t>they can skip or refuse to answer any question they do not feel comfortable with;</w:t>
      </w:r>
      <w:r w:rsidRPr="00075391">
        <w:t xml:space="preserve"> and</w:t>
      </w:r>
    </w:p>
    <w:p w14:paraId="43AF7109" w14:textId="77777777" w:rsidR="009C1BBD" w:rsidRPr="00075391" w:rsidRDefault="009C1BBD" w:rsidP="004461C6">
      <w:pPr>
        <w:pStyle w:val="ListBullet"/>
      </w:pPr>
      <w:r w:rsidRPr="00075391">
        <w:t>their participation in the study will not affect the outpatient care or Medicare benefits they currently receive or expect to receive in the future.</w:t>
      </w:r>
    </w:p>
    <w:p w14:paraId="4FD3A4F4" w14:textId="013AC6E7" w:rsidR="002955BA" w:rsidRPr="00D75887" w:rsidRDefault="002955BA" w:rsidP="002955BA">
      <w:pPr>
        <w:pStyle w:val="BodyText"/>
        <w:ind w:firstLine="0"/>
        <w:rPr>
          <w:b/>
          <w:i/>
          <w:u w:val="single"/>
        </w:rPr>
      </w:pPr>
      <w:bookmarkStart w:id="53" w:name="_Toc162169928"/>
      <w:bookmarkStart w:id="54" w:name="_Toc245121130"/>
      <w:bookmarkStart w:id="55" w:name="_Toc401650007"/>
      <w:bookmarkStart w:id="56" w:name="_Toc417476005"/>
      <w:r w:rsidRPr="00D75887">
        <w:rPr>
          <w:b/>
          <w:i/>
          <w:u w:val="single"/>
        </w:rPr>
        <w:t>Mode Experiment</w:t>
      </w:r>
    </w:p>
    <w:p w14:paraId="2D770767" w14:textId="77777777" w:rsidR="003D47A3" w:rsidRPr="00D75887" w:rsidRDefault="003D47A3" w:rsidP="003D47A3">
      <w:pPr>
        <w:pStyle w:val="BodyText"/>
      </w:pPr>
      <w:r w:rsidRPr="00D75887">
        <w:t>During the mode experiment, HOPDs and ASCs will provide RTI with an electronic file containing information about patients who received an outpatient surgery or procedure in a designated month. The information will include personally identifiable information (name, address, gender, date of birth, email address, and telephone number). The file will also include protected health information used for survey eligibility determination and patient-mix analysis, including CPT-4 codes (indicator of types of surgeries or procedures performed), date of surgery/procedure, and facility name. Social Security numbers will not be provided.</w:t>
      </w:r>
    </w:p>
    <w:p w14:paraId="4A63B563" w14:textId="77777777" w:rsidR="003D47A3" w:rsidRPr="00D75887" w:rsidRDefault="003D47A3" w:rsidP="003D47A3">
      <w:pPr>
        <w:pStyle w:val="BodyText"/>
      </w:pPr>
      <w:bookmarkStart w:id="57" w:name="_Hlk509411363"/>
      <w:r w:rsidRPr="00D75887">
        <w:t>RTI will include an assurance of confidentiality of the data to all participants. For those participating in the mail or Web survey, the cover letter will include an assurance of confidentiality. The introductory script for those interviewed by telephone will contain an assurance of confidentiality. Those patients included in the Web with mail follow-up data collection could receive the assurance of confidentiality twice—in the mail cover letter, and in the Web survey invitation should the mail interview be necessary. (</w:t>
      </w:r>
      <w:r w:rsidRPr="00D75887">
        <w:rPr>
          <w:b/>
          <w:bCs/>
          <w:i/>
          <w:iCs/>
        </w:rPr>
        <w:t xml:space="preserve">Attachments A, B, and C </w:t>
      </w:r>
      <w:r w:rsidRPr="00D75887">
        <w:t xml:space="preserve">show the mail, telephone and Web versions of the survey. </w:t>
      </w:r>
      <w:r w:rsidRPr="00D75887">
        <w:rPr>
          <w:b/>
          <w:bCs/>
          <w:i/>
          <w:iCs/>
        </w:rPr>
        <w:t xml:space="preserve"> Attachment D </w:t>
      </w:r>
      <w:r w:rsidRPr="00D75887">
        <w:t xml:space="preserve">shows the survey cover letters and e-mail communications.) The three survey versions (mail, telephone and Web) are the same except that the CATI version includes an introductory script that covers the information provided in the lead letter and email, and the CATI version does not include (Q36 and Q37) that collect information on whether the patient needed help to respond to questions. </w:t>
      </w:r>
    </w:p>
    <w:bookmarkEnd w:id="57"/>
    <w:p w14:paraId="6E326EEE" w14:textId="77777777" w:rsidR="003D47A3" w:rsidRPr="00D75887" w:rsidRDefault="003D47A3" w:rsidP="003D47A3">
      <w:pPr>
        <w:pStyle w:val="BodyText"/>
      </w:pPr>
      <w:r w:rsidRPr="00D75887">
        <w:t>RTI understands the privacy and confidentiality concerns regarding access to OAS CAHPS data. All RTI staff members who will have access to patient information will be required to sign and abide by the terms of a nondisclosure agreement, where they agree to protect the identity of patients included in the mode experiment and the data they provide. RTI has redundant security protocols to protect data and computer systems. Servers are maintained in climate-controlled environments, with restricted access. A firewall stands between the internal systems and the Internet, requiring authentication of all users requesting access. User identification and passwords are unique and changed on a regular basis. Full backups are conducted on a weekly basis, with incremental backups performed nightly. Copies of backup materials are stored offsite in a secure location in case of system failure.</w:t>
      </w:r>
    </w:p>
    <w:p w14:paraId="1FD683BE" w14:textId="77777777" w:rsidR="003D47A3" w:rsidRPr="00D75887" w:rsidRDefault="003D47A3" w:rsidP="003D47A3">
      <w:pPr>
        <w:pStyle w:val="BodyText"/>
      </w:pPr>
      <w:r w:rsidRPr="00D75887">
        <w:t>As data are collected and assembled into databases for analysis and interpretation, RTI incorporates a number of database security safeguards to protect data from accidental or intentional access and disclosure threats. RTI’s data collection and storage security measures include the following:</w:t>
      </w:r>
    </w:p>
    <w:p w14:paraId="0388DD6E" w14:textId="77777777" w:rsidR="003D47A3" w:rsidRPr="00D75887" w:rsidRDefault="003D47A3" w:rsidP="003D47A3">
      <w:pPr>
        <w:pStyle w:val="ListBullet"/>
      </w:pPr>
      <w:r w:rsidRPr="00D75887">
        <w:t>Maintenance of all servers in RTI’s environmentally controlled Computer Center, where computers are located in a center constructed of masonry with an automatically locking steel door that is locked at all times; fire protection is provided by a halon system with all servers having an Uninterruptible Power Supply.</w:t>
      </w:r>
    </w:p>
    <w:p w14:paraId="34A36A6D" w14:textId="77777777" w:rsidR="003D47A3" w:rsidRPr="00D75887" w:rsidRDefault="003D47A3" w:rsidP="003D47A3">
      <w:pPr>
        <w:pStyle w:val="ListBullet"/>
      </w:pPr>
      <w:r w:rsidRPr="00D75887">
        <w:t>User ID and password authentication to access all systems. Where appropriate, systems are configured to support the use of Digital Security Certificates for additional user authentication.</w:t>
      </w:r>
    </w:p>
    <w:p w14:paraId="7C36AA8A" w14:textId="77777777" w:rsidR="003D47A3" w:rsidRPr="00D75887" w:rsidRDefault="003D47A3" w:rsidP="003D47A3">
      <w:pPr>
        <w:pStyle w:val="ListBullet"/>
      </w:pPr>
      <w:r w:rsidRPr="00D75887">
        <w:t>Encrypted transmission of data.</w:t>
      </w:r>
    </w:p>
    <w:p w14:paraId="58397342" w14:textId="77777777" w:rsidR="003D47A3" w:rsidRPr="00D75887" w:rsidRDefault="003D47A3" w:rsidP="003D47A3">
      <w:pPr>
        <w:pStyle w:val="ListBullet"/>
      </w:pPr>
      <w:r w:rsidRPr="00D75887">
        <w:t>Use of Transport Layer Security, the successor technology to Secure Socket Layer for encryption of data across the Internet.</w:t>
      </w:r>
    </w:p>
    <w:p w14:paraId="2F078006" w14:textId="77777777" w:rsidR="003D47A3" w:rsidRPr="00D75887" w:rsidRDefault="003D47A3" w:rsidP="003D47A3">
      <w:pPr>
        <w:pStyle w:val="ListBullet"/>
      </w:pPr>
      <w:r w:rsidRPr="00D75887">
        <w:t>Connection to the Internet by an Internet firewall via a high-speed T2 (6.2 MBs) line. In the event of a failure, a T1 (1.544 MBs) backup will automatically provide uninterrupted Internet connectivity. Subscription to virus-protection services from McAfee VirusScan with automated update of virus signature files on all computers.</w:t>
      </w:r>
    </w:p>
    <w:p w14:paraId="4DC71FE0" w14:textId="77777777" w:rsidR="003D47A3" w:rsidRPr="00D75887" w:rsidRDefault="003D47A3" w:rsidP="003D47A3">
      <w:pPr>
        <w:pStyle w:val="ListBullet"/>
      </w:pPr>
      <w:r w:rsidRPr="00D75887">
        <w:t>Redundant servers with automatic switchover to ensure 24/7 availability.</w:t>
      </w:r>
    </w:p>
    <w:p w14:paraId="6B1EA8F7" w14:textId="77777777" w:rsidR="003D47A3" w:rsidRPr="00D75887" w:rsidRDefault="003D47A3" w:rsidP="003D47A3">
      <w:pPr>
        <w:pStyle w:val="ListBullet"/>
        <w:keepNext/>
      </w:pPr>
      <w:r w:rsidRPr="00D75887">
        <w:t>Daily incremental backups of all data files, with full backups created weekly.</w:t>
      </w:r>
    </w:p>
    <w:p w14:paraId="1900D40D" w14:textId="4D4E95E7" w:rsidR="002955BA" w:rsidRPr="00D75887" w:rsidRDefault="003D47A3" w:rsidP="003D47A3">
      <w:pPr>
        <w:pStyle w:val="ListBullet"/>
      </w:pPr>
      <w:r w:rsidRPr="00D75887">
        <w:t>Offsite storage of data backups.</w:t>
      </w:r>
    </w:p>
    <w:p w14:paraId="3C904DE5" w14:textId="1C76EA22" w:rsidR="009C1BBD" w:rsidRPr="00075391" w:rsidRDefault="009C1BBD" w:rsidP="009C1BBD">
      <w:pPr>
        <w:pStyle w:val="Heading2"/>
      </w:pPr>
      <w:r w:rsidRPr="00075391">
        <w:t>A.11</w:t>
      </w:r>
      <w:r w:rsidRPr="00075391">
        <w:tab/>
        <w:t>Questions</w:t>
      </w:r>
      <w:bookmarkEnd w:id="53"/>
      <w:bookmarkEnd w:id="54"/>
      <w:r w:rsidRPr="00075391">
        <w:t xml:space="preserve"> of a Sensitive Nature</w:t>
      </w:r>
      <w:bookmarkEnd w:id="55"/>
      <w:bookmarkEnd w:id="56"/>
    </w:p>
    <w:p w14:paraId="07092C0D" w14:textId="77777777" w:rsidR="009C1BBD" w:rsidRPr="00075391" w:rsidRDefault="009C1BBD" w:rsidP="00092D49">
      <w:pPr>
        <w:pStyle w:val="BodyText"/>
      </w:pPr>
      <w:r w:rsidRPr="00075391">
        <w:t>Information collected in this survey is not considered to be of a sensitive nature. Questions in the survey are confined to respondent interactions and experiences with their outpatient surgery facility.</w:t>
      </w:r>
    </w:p>
    <w:p w14:paraId="05EBAABE" w14:textId="734215D1" w:rsidR="009C1BBD" w:rsidRPr="00075391" w:rsidRDefault="009C1BBD" w:rsidP="009C1BBD">
      <w:pPr>
        <w:pStyle w:val="Heading2"/>
      </w:pPr>
      <w:bookmarkStart w:id="58" w:name="_Toc162169929"/>
      <w:bookmarkStart w:id="59" w:name="_Toc245121131"/>
      <w:bookmarkStart w:id="60" w:name="_Toc401650008"/>
      <w:bookmarkStart w:id="61" w:name="_Toc417476006"/>
      <w:r w:rsidRPr="00075391">
        <w:t>A.12</w:t>
      </w:r>
      <w:r w:rsidRPr="00075391">
        <w:tab/>
        <w:t>Estimates of Annualized Burden</w:t>
      </w:r>
      <w:bookmarkEnd w:id="58"/>
      <w:r w:rsidRPr="00075391">
        <w:t xml:space="preserve"> </w:t>
      </w:r>
      <w:r w:rsidR="00C451A8">
        <w:t>(Time</w:t>
      </w:r>
      <w:r w:rsidRPr="00075391">
        <w:t xml:space="preserve"> and Costs</w:t>
      </w:r>
      <w:bookmarkEnd w:id="59"/>
      <w:bookmarkEnd w:id="60"/>
      <w:bookmarkEnd w:id="61"/>
      <w:r w:rsidR="00C451A8">
        <w:t>)</w:t>
      </w:r>
    </w:p>
    <w:p w14:paraId="5B6EED89" w14:textId="77777777" w:rsidR="00FC1D2A" w:rsidRDefault="00FC1D2A" w:rsidP="00FC1D2A">
      <w:pPr>
        <w:pStyle w:val="BodyText"/>
      </w:pPr>
      <w:bookmarkStart w:id="62" w:name="_Toc401650009"/>
    </w:p>
    <w:p w14:paraId="499B9715" w14:textId="77777777" w:rsidR="00FC1D2A" w:rsidRDefault="00FC1D2A" w:rsidP="00FC1D2A">
      <w:pPr>
        <w:rPr>
          <w:i/>
        </w:rPr>
      </w:pPr>
      <w:r>
        <w:rPr>
          <w:i/>
        </w:rPr>
        <w:t>Wage Estimates</w:t>
      </w:r>
    </w:p>
    <w:p w14:paraId="70FFD332" w14:textId="77777777" w:rsidR="00FC1D2A" w:rsidRDefault="00FC1D2A" w:rsidP="00FC1D2A">
      <w:pPr>
        <w:pStyle w:val="Body2"/>
        <w:widowControl w:val="0"/>
      </w:pPr>
    </w:p>
    <w:p w14:paraId="21562BD0" w14:textId="77777777" w:rsidR="00FC1D2A" w:rsidRDefault="00FC1D2A" w:rsidP="00FC1D2A">
      <w:r>
        <w:rPr>
          <w:u w:val="single"/>
        </w:rPr>
        <w:t>Individuals</w:t>
      </w:r>
      <w:r>
        <w:t xml:space="preserve">  To derive average costs for individuals we used data from the U.S. Bureau of Labor Statistics’ May 2017 National Occupational Employment and Wage Estimates for our salary estimate (</w:t>
      </w:r>
      <w:hyperlink r:id="rId9" w:history="1">
        <w:r>
          <w:rPr>
            <w:rStyle w:val="Hyperlink"/>
          </w:rPr>
          <w:t>www.bls.gov/oes/current/oes_nat.htm</w:t>
        </w:r>
      </w:hyperlink>
      <w:r>
        <w:t>). We believe that the burden will be addressed under All Occupations (occupation code 00-0000) at $24.34/hr since the group of individual respondents varies widely from working and nonworking individuals and by respondent age, location, years of employment, and educational attainment, etc.</w:t>
      </w:r>
    </w:p>
    <w:p w14:paraId="01DB8DC7" w14:textId="77777777" w:rsidR="00FC1D2A" w:rsidRDefault="00FC1D2A" w:rsidP="00FC1D2A"/>
    <w:p w14:paraId="5EDABC25" w14:textId="77777777" w:rsidR="00FC1D2A" w:rsidRDefault="00FC1D2A" w:rsidP="00FC1D2A">
      <w:r>
        <w:t xml:space="preserve">Unlike our private sector adjustment to the respondent hourly wage (see below), we are not adjusting this figure for fringe benefits and overhead since the individuals’ activities would occur outside the scope of their employment. </w:t>
      </w:r>
    </w:p>
    <w:p w14:paraId="0870C1C5" w14:textId="77777777" w:rsidR="00FC1D2A" w:rsidRDefault="00FC1D2A" w:rsidP="00FC1D2A"/>
    <w:p w14:paraId="68C66361" w14:textId="33EF880F" w:rsidR="00FC1D2A" w:rsidRDefault="00FC1D2A" w:rsidP="00FC1D2A">
      <w:r>
        <w:rPr>
          <w:u w:val="single"/>
        </w:rPr>
        <w:t>Private Sector</w:t>
      </w:r>
      <w:r>
        <w:t xml:space="preserve">  To derive average costs for HHAs, we used data from the U.S. Bureau of Labor Statistics’ May 2017 National Occupational Employment and Wage Estimates for all salary estimates (</w:t>
      </w:r>
      <w:hyperlink r:id="rId10" w:history="1">
        <w:r>
          <w:rPr>
            <w:rStyle w:val="Hyperlink"/>
          </w:rPr>
          <w:t>www.bls.gov/oes/current/oes_nat.htm</w:t>
        </w:r>
      </w:hyperlink>
      <w:r>
        <w:t>). We believe that the burden will be address</w:t>
      </w:r>
      <w:r w:rsidR="003E3BFC">
        <w:t>ed by a database administrator</w:t>
      </w:r>
      <w:r w:rsidR="0072662E">
        <w:t xml:space="preserve"> (occupation code </w:t>
      </w:r>
      <w:r w:rsidR="0072662E" w:rsidRPr="0072662E">
        <w:t>15-1141</w:t>
      </w:r>
      <w:r>
        <w:t>) at $</w:t>
      </w:r>
      <w:r w:rsidR="0072662E">
        <w:t>4</w:t>
      </w:r>
      <w:r>
        <w:t>2.</w:t>
      </w:r>
      <w:r w:rsidR="0072662E">
        <w:t>81</w:t>
      </w:r>
      <w:r>
        <w:t>/hr. As indicated below we are adjusting our employee hourly wage estimate by a</w:t>
      </w:r>
      <w:r w:rsidR="0072662E">
        <w:t xml:space="preserve"> factor of 100 percent to $85.62</w:t>
      </w:r>
      <w:r>
        <w:t>/hr.</w:t>
      </w:r>
    </w:p>
    <w:p w14:paraId="1DDF5EA6" w14:textId="77777777" w:rsidR="00FC1D2A" w:rsidRDefault="00FC1D2A" w:rsidP="00FC1D2A"/>
    <w:p w14:paraId="1D3EDB0D" w14:textId="77777777" w:rsidR="00FC1D2A" w:rsidRDefault="00FC1D2A" w:rsidP="00FC1D2A">
      <w:r>
        <w:t>The 100 percent adjustments are rough estimates,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0F6645E9" w14:textId="77777777" w:rsidR="00FC1D2A" w:rsidRDefault="00FC1D2A" w:rsidP="00FC1D2A">
      <w:pPr>
        <w:pStyle w:val="BodyText"/>
      </w:pPr>
    </w:p>
    <w:p w14:paraId="6194BA5C" w14:textId="77777777" w:rsidR="00FC1D2A" w:rsidRDefault="00FC1D2A" w:rsidP="00FC1D2A">
      <w:pPr>
        <w:rPr>
          <w:i/>
        </w:rPr>
      </w:pPr>
      <w:r>
        <w:rPr>
          <w:i/>
        </w:rPr>
        <w:t>Information Collection Requirements and Burden Estimates</w:t>
      </w:r>
    </w:p>
    <w:p w14:paraId="188DA258" w14:textId="77777777" w:rsidR="009A239D" w:rsidRDefault="009A239D" w:rsidP="009A239D">
      <w:pPr>
        <w:pStyle w:val="BodyText"/>
        <w:spacing w:after="0"/>
        <w:ind w:firstLine="0"/>
      </w:pPr>
    </w:p>
    <w:p w14:paraId="3DCFDF32" w14:textId="692075C7" w:rsidR="00B77154" w:rsidRDefault="00FC1D2A" w:rsidP="00FC1D2A">
      <w:pPr>
        <w:pStyle w:val="BodyText"/>
        <w:spacing w:after="0"/>
      </w:pPr>
      <w:r w:rsidRPr="00FC1D2A">
        <w:rPr>
          <w:u w:val="single"/>
        </w:rPr>
        <w:t>Individuals</w:t>
      </w:r>
      <w:r w:rsidRPr="00FC1D2A">
        <w:t xml:space="preserve">  </w:t>
      </w:r>
      <w:r>
        <w:t xml:space="preserve">We continue to estimate that it takes </w:t>
      </w:r>
      <w:r w:rsidR="009C1BBD" w:rsidRPr="00075391">
        <w:t xml:space="preserve">approximately </w:t>
      </w:r>
      <w:r w:rsidR="00291115">
        <w:t>8</w:t>
      </w:r>
      <w:r w:rsidR="00291115" w:rsidRPr="00075391">
        <w:t xml:space="preserve"> </w:t>
      </w:r>
      <w:r w:rsidR="009C1BBD" w:rsidRPr="00075391">
        <w:t xml:space="preserve">minutes </w:t>
      </w:r>
      <w:r>
        <w:t xml:space="preserve">(0.13 hours) </w:t>
      </w:r>
      <w:r w:rsidR="009C1BBD" w:rsidRPr="00075391">
        <w:t xml:space="preserve">to complete the survey. Estimated annualized burden hours and costs to the respondent for the national implementation are shown in </w:t>
      </w:r>
      <w:r w:rsidR="00113B0B" w:rsidRPr="00075391">
        <w:rPr>
          <w:b/>
        </w:rPr>
        <w:t>Exhibits </w:t>
      </w:r>
      <w:r w:rsidR="00744F8D" w:rsidRPr="00075391">
        <w:rPr>
          <w:b/>
        </w:rPr>
        <w:t>A</w:t>
      </w:r>
      <w:r w:rsidR="00744F8D" w:rsidRPr="00075391">
        <w:rPr>
          <w:b/>
        </w:rPr>
        <w:noBreakHyphen/>
      </w:r>
      <w:r w:rsidR="003D47A3">
        <w:rPr>
          <w:b/>
        </w:rPr>
        <w:t>1</w:t>
      </w:r>
      <w:r w:rsidR="009C1BBD" w:rsidRPr="00075391">
        <w:rPr>
          <w:b/>
        </w:rPr>
        <w:t xml:space="preserve"> </w:t>
      </w:r>
      <w:r w:rsidR="009C1BBD" w:rsidRPr="00075391">
        <w:t>and</w:t>
      </w:r>
      <w:r w:rsidR="00744F8D" w:rsidRPr="00075391">
        <w:rPr>
          <w:b/>
        </w:rPr>
        <w:t xml:space="preserve"> A</w:t>
      </w:r>
      <w:r w:rsidR="00744F8D" w:rsidRPr="00075391">
        <w:rPr>
          <w:b/>
        </w:rPr>
        <w:noBreakHyphen/>
      </w:r>
      <w:r w:rsidR="003D47A3">
        <w:rPr>
          <w:b/>
        </w:rPr>
        <w:t>2</w:t>
      </w:r>
      <w:r w:rsidR="009C1BBD" w:rsidRPr="00075391">
        <w:t xml:space="preserve">. </w:t>
      </w:r>
      <w:r w:rsidR="009F07E2" w:rsidRPr="00D75733">
        <w:t>These estimates assume that 9,</w:t>
      </w:r>
      <w:r w:rsidR="001F127E" w:rsidRPr="00D75733">
        <w:t>363</w:t>
      </w:r>
      <w:r w:rsidR="009F07E2" w:rsidRPr="00D75733">
        <w:t xml:space="preserve"> HOPDs and ASCs (the universe of Medicare-certified </w:t>
      </w:r>
      <w:r w:rsidR="001F127E" w:rsidRPr="00D75733">
        <w:t>facilities</w:t>
      </w:r>
      <w:r w:rsidR="009F07E2" w:rsidRPr="00D75733">
        <w:t>)</w:t>
      </w:r>
      <w:r w:rsidR="001451DD">
        <w:t xml:space="preserve">. </w:t>
      </w:r>
      <w:r w:rsidR="009F07E2" w:rsidRPr="00D75733">
        <w:t xml:space="preserve">The estimated count of </w:t>
      </w:r>
      <w:r w:rsidR="009F07E2" w:rsidRPr="00D75887">
        <w:t>Medicare-certified ASCs</w:t>
      </w:r>
      <w:r w:rsidR="001F127E" w:rsidRPr="00D75887">
        <w:t xml:space="preserve"> is assumed</w:t>
      </w:r>
      <w:r w:rsidR="009F07E2" w:rsidRPr="00D75887">
        <w:t xml:space="preserve"> to be 5,357</w:t>
      </w:r>
      <w:r w:rsidR="001F127E" w:rsidRPr="00D75887">
        <w:t>.</w:t>
      </w:r>
      <w:r w:rsidR="009F07E2" w:rsidRPr="00D75887">
        <w:rPr>
          <w:rStyle w:val="FootnoteReference"/>
        </w:rPr>
        <w:footnoteReference w:id="1"/>
      </w:r>
      <w:r w:rsidR="00BB511C" w:rsidRPr="00D75887">
        <w:t xml:space="preserve"> </w:t>
      </w:r>
      <w:r w:rsidR="001F127E" w:rsidRPr="00D75887">
        <w:t>The estimated count of HOPDs is assumed to be 4</w:t>
      </w:r>
      <w:r w:rsidR="00DF04B9" w:rsidRPr="00D75887">
        <w:t>,</w:t>
      </w:r>
      <w:r w:rsidR="001F127E" w:rsidRPr="00D75887">
        <w:t>006.</w:t>
      </w:r>
      <w:r w:rsidR="001F127E" w:rsidRPr="00D75887">
        <w:rPr>
          <w:rStyle w:val="FootnoteReference"/>
        </w:rPr>
        <w:footnoteReference w:id="2"/>
      </w:r>
      <w:r w:rsidR="00E00E34" w:rsidRPr="00D75887">
        <w:t xml:space="preserve"> Due to the determination that participation will remain voluntary in 2018, the expectation is that </w:t>
      </w:r>
      <w:r w:rsidR="002B35BE" w:rsidRPr="00D75887">
        <w:t>28</w:t>
      </w:r>
      <w:r w:rsidR="00E00E34" w:rsidRPr="00D75887">
        <w:t xml:space="preserve">% of the eligible HOPDs and ASCs will choose to sponsor the OAS CAHPS Survey. Thus the total number of participating HOPDs and ASCs for 2018 estimated to be </w:t>
      </w:r>
      <w:r w:rsidR="002B35BE" w:rsidRPr="00D75887">
        <w:t>2</w:t>
      </w:r>
      <w:r w:rsidR="00E00E34" w:rsidRPr="00D75887">
        <w:t>,</w:t>
      </w:r>
      <w:r w:rsidR="002B35BE" w:rsidRPr="00D75887">
        <w:t>104 (1,124 HOPDs and 980 ASCs)</w:t>
      </w:r>
      <w:r w:rsidR="00E00E34" w:rsidRPr="00D75887">
        <w:t>.  Each participating facility will have 300 patients sampled that will complete the survey</w:t>
      </w:r>
      <w:r w:rsidR="002B35BE" w:rsidRPr="00D75887">
        <w:t>, thus the total number of expected respondents for voluntary national implementation is 631,200</w:t>
      </w:r>
      <w:r w:rsidR="00E00E34" w:rsidRPr="00D75887">
        <w:t xml:space="preserve">. </w:t>
      </w:r>
    </w:p>
    <w:p w14:paraId="5CC18D91" w14:textId="77777777" w:rsidR="00FC1D2A" w:rsidRPr="00D75887" w:rsidRDefault="00FC1D2A" w:rsidP="00FC1D2A">
      <w:pPr>
        <w:pStyle w:val="BodyText"/>
        <w:spacing w:after="0"/>
      </w:pPr>
    </w:p>
    <w:p w14:paraId="184F443A" w14:textId="77777777" w:rsidR="005F470C" w:rsidRPr="00FC1D2A" w:rsidRDefault="005F470C" w:rsidP="005F470C">
      <w:pPr>
        <w:pStyle w:val="BodyText"/>
        <w:ind w:firstLine="0"/>
        <w:rPr>
          <w:i/>
          <w:u w:val="single"/>
        </w:rPr>
      </w:pPr>
      <w:bookmarkStart w:id="63" w:name="_Hlk519507388"/>
      <w:r w:rsidRPr="00FC1D2A">
        <w:rPr>
          <w:i/>
          <w:u w:val="single"/>
        </w:rPr>
        <w:t>Mode Experiment</w:t>
      </w:r>
    </w:p>
    <w:p w14:paraId="2F1F37FF" w14:textId="3826E1A8" w:rsidR="003D47A3" w:rsidRPr="00D75887" w:rsidRDefault="003D47A3" w:rsidP="003D47A3">
      <w:pPr>
        <w:pStyle w:val="BodyText"/>
      </w:pPr>
      <w:r w:rsidRPr="00D75887">
        <w:t xml:space="preserve">Estimated annualized burden to the respondent for the mode experiment are shown in </w:t>
      </w:r>
      <w:r w:rsidRPr="00D75887">
        <w:rPr>
          <w:b/>
          <w:bCs/>
        </w:rPr>
        <w:t>Exhibits A</w:t>
      </w:r>
      <w:r w:rsidRPr="00D75887">
        <w:rPr>
          <w:b/>
          <w:bCs/>
        </w:rPr>
        <w:noBreakHyphen/>
        <w:t>1</w:t>
      </w:r>
      <w:r w:rsidRPr="00D75887">
        <w:t xml:space="preserve"> and </w:t>
      </w:r>
      <w:r w:rsidRPr="00D75887">
        <w:rPr>
          <w:b/>
        </w:rPr>
        <w:t>A</w:t>
      </w:r>
      <w:r w:rsidRPr="00D75887">
        <w:rPr>
          <w:b/>
        </w:rPr>
        <w:noBreakHyphen/>
      </w:r>
      <w:r w:rsidRPr="00D75887">
        <w:rPr>
          <w:b/>
          <w:bCs/>
        </w:rPr>
        <w:t>2</w:t>
      </w:r>
      <w:r w:rsidRPr="00D75887">
        <w:t>.</w:t>
      </w:r>
    </w:p>
    <w:bookmarkEnd w:id="63"/>
    <w:p w14:paraId="7CD26951" w14:textId="77777777" w:rsidR="003D47A3" w:rsidRPr="00D75887" w:rsidRDefault="003D47A3" w:rsidP="00B276BE">
      <w:pPr>
        <w:pStyle w:val="BodyText"/>
      </w:pPr>
    </w:p>
    <w:p w14:paraId="6AB2468C" w14:textId="50EB9727" w:rsidR="009C1BBD" w:rsidRPr="00D75887" w:rsidRDefault="009C1BBD" w:rsidP="00BB511C">
      <w:pPr>
        <w:pStyle w:val="Caption"/>
      </w:pPr>
      <w:bookmarkStart w:id="64" w:name="_Toc352232339"/>
      <w:bookmarkStart w:id="65" w:name="_Toc356227611"/>
      <w:bookmarkStart w:id="66" w:name="_Toc404335440"/>
      <w:bookmarkStart w:id="67" w:name="_Toc417574912"/>
      <w:r w:rsidRPr="00D75887">
        <w:t xml:space="preserve">Exhibit </w:t>
      </w:r>
      <w:r w:rsidR="00744F8D" w:rsidRPr="00D75887">
        <w:t>A-</w:t>
      </w:r>
      <w:r w:rsidR="003D47A3" w:rsidRPr="00D75887">
        <w:t>1</w:t>
      </w:r>
      <w:r w:rsidR="00744F8D" w:rsidRPr="00D75887">
        <w:t>.</w:t>
      </w:r>
      <w:r w:rsidRPr="00D75887">
        <w:tab/>
        <w:t xml:space="preserve">Estimated </w:t>
      </w:r>
      <w:r w:rsidR="00FC1D2A">
        <w:t>Time (</w:t>
      </w:r>
      <w:r w:rsidRPr="00D75887">
        <w:t>Annual</w:t>
      </w:r>
      <w:r w:rsidR="00FC1D2A">
        <w:t>)</w:t>
      </w:r>
      <w:bookmarkEnd w:id="64"/>
      <w:bookmarkEnd w:id="65"/>
      <w:bookmarkEnd w:id="66"/>
      <w:bookmarkEnd w:id="67"/>
    </w:p>
    <w:tbl>
      <w:tblPr>
        <w:tblW w:w="5000" w:type="pct"/>
        <w:tblInd w:w="86" w:type="dxa"/>
        <w:tblBorders>
          <w:top w:val="single" w:sz="12" w:space="0" w:color="auto"/>
          <w:bottom w:val="single" w:sz="12" w:space="0" w:color="auto"/>
          <w:insideH w:val="single" w:sz="4" w:space="0" w:color="auto"/>
        </w:tblBorders>
        <w:tblLayout w:type="fixed"/>
        <w:tblCellMar>
          <w:left w:w="72" w:type="dxa"/>
          <w:right w:w="72" w:type="dxa"/>
        </w:tblCellMar>
        <w:tblLook w:val="0000" w:firstRow="0" w:lastRow="0" w:firstColumn="0" w:lastColumn="0" w:noHBand="0" w:noVBand="0"/>
      </w:tblPr>
      <w:tblGrid>
        <w:gridCol w:w="3393"/>
        <w:gridCol w:w="1557"/>
        <w:gridCol w:w="1709"/>
        <w:gridCol w:w="1362"/>
        <w:gridCol w:w="1555"/>
      </w:tblGrid>
      <w:tr w:rsidR="00D75887" w:rsidRPr="0002763C" w14:paraId="5392D12D" w14:textId="77777777" w:rsidTr="003D47A3">
        <w:trPr>
          <w:cantSplit/>
          <w:trHeight w:val="20"/>
          <w:tblHeader/>
        </w:trPr>
        <w:tc>
          <w:tcPr>
            <w:tcW w:w="3317" w:type="dxa"/>
            <w:shd w:val="clear" w:color="auto" w:fill="auto"/>
            <w:tcMar>
              <w:top w:w="0" w:type="dxa"/>
              <w:left w:w="108" w:type="dxa"/>
              <w:bottom w:w="0" w:type="dxa"/>
              <w:right w:w="108" w:type="dxa"/>
            </w:tcMar>
            <w:vAlign w:val="bottom"/>
          </w:tcPr>
          <w:p w14:paraId="54494A57" w14:textId="77777777" w:rsidR="009C1BBD" w:rsidRPr="0002763C" w:rsidRDefault="009C1BBD" w:rsidP="002015BA">
            <w:pPr>
              <w:pStyle w:val="TableHeaders"/>
            </w:pPr>
            <w:r w:rsidRPr="0002763C">
              <w:t xml:space="preserve">Form </w:t>
            </w:r>
            <w:r w:rsidR="002015BA" w:rsidRPr="0002763C">
              <w:t>Name</w:t>
            </w:r>
          </w:p>
        </w:tc>
        <w:tc>
          <w:tcPr>
            <w:tcW w:w="1522" w:type="dxa"/>
            <w:shd w:val="clear" w:color="auto" w:fill="auto"/>
            <w:tcMar>
              <w:top w:w="0" w:type="dxa"/>
              <w:left w:w="108" w:type="dxa"/>
              <w:bottom w:w="0" w:type="dxa"/>
              <w:right w:w="108" w:type="dxa"/>
            </w:tcMar>
            <w:vAlign w:val="bottom"/>
          </w:tcPr>
          <w:p w14:paraId="1AB5D183" w14:textId="77777777" w:rsidR="009C1BBD" w:rsidRPr="0002763C" w:rsidRDefault="009C1BBD" w:rsidP="002015BA">
            <w:pPr>
              <w:pStyle w:val="TableHeaders"/>
            </w:pPr>
            <w:r w:rsidRPr="0002763C">
              <w:t xml:space="preserve">Number of </w:t>
            </w:r>
            <w:r w:rsidR="002015BA" w:rsidRPr="0002763C">
              <w:t>Respondents</w:t>
            </w:r>
          </w:p>
        </w:tc>
        <w:tc>
          <w:tcPr>
            <w:tcW w:w="1670" w:type="dxa"/>
            <w:shd w:val="clear" w:color="auto" w:fill="auto"/>
            <w:tcMar>
              <w:top w:w="0" w:type="dxa"/>
              <w:left w:w="108" w:type="dxa"/>
              <w:bottom w:w="0" w:type="dxa"/>
              <w:right w:w="108" w:type="dxa"/>
            </w:tcMar>
            <w:vAlign w:val="bottom"/>
          </w:tcPr>
          <w:p w14:paraId="4C334344" w14:textId="77777777" w:rsidR="009C1BBD" w:rsidRPr="0002763C" w:rsidRDefault="009C1BBD" w:rsidP="002015BA">
            <w:pPr>
              <w:pStyle w:val="TableHeaders"/>
            </w:pPr>
            <w:r w:rsidRPr="0002763C">
              <w:t xml:space="preserve">Number of </w:t>
            </w:r>
            <w:r w:rsidR="002015BA" w:rsidRPr="0002763C">
              <w:t xml:space="preserve">Responses </w:t>
            </w:r>
            <w:r w:rsidRPr="0002763C">
              <w:t xml:space="preserve">per </w:t>
            </w:r>
            <w:r w:rsidR="002015BA" w:rsidRPr="0002763C">
              <w:t>Respondent</w:t>
            </w:r>
          </w:p>
        </w:tc>
        <w:tc>
          <w:tcPr>
            <w:tcW w:w="1331" w:type="dxa"/>
            <w:vAlign w:val="bottom"/>
          </w:tcPr>
          <w:p w14:paraId="65A855C7" w14:textId="77777777" w:rsidR="009C1BBD" w:rsidRPr="0002763C" w:rsidRDefault="009C1BBD" w:rsidP="002015BA">
            <w:pPr>
              <w:pStyle w:val="TableHeaders"/>
            </w:pPr>
            <w:r w:rsidRPr="0002763C">
              <w:t xml:space="preserve">Hours per </w:t>
            </w:r>
            <w:r w:rsidR="002015BA" w:rsidRPr="0002763C">
              <w:t>Response</w:t>
            </w:r>
          </w:p>
        </w:tc>
        <w:tc>
          <w:tcPr>
            <w:tcW w:w="1520" w:type="dxa"/>
            <w:shd w:val="clear" w:color="auto" w:fill="auto"/>
            <w:tcMar>
              <w:top w:w="0" w:type="dxa"/>
              <w:left w:w="108" w:type="dxa"/>
              <w:bottom w:w="0" w:type="dxa"/>
              <w:right w:w="108" w:type="dxa"/>
            </w:tcMar>
            <w:vAlign w:val="bottom"/>
          </w:tcPr>
          <w:p w14:paraId="05EF977A" w14:textId="77777777" w:rsidR="009C1BBD" w:rsidRPr="0002763C" w:rsidRDefault="009C1BBD" w:rsidP="002015BA">
            <w:pPr>
              <w:pStyle w:val="TableHeaders"/>
            </w:pPr>
            <w:r w:rsidRPr="0002763C">
              <w:t xml:space="preserve">Total </w:t>
            </w:r>
            <w:r w:rsidR="002015BA" w:rsidRPr="0002763C">
              <w:t>Burden Hours</w:t>
            </w:r>
          </w:p>
        </w:tc>
      </w:tr>
      <w:tr w:rsidR="00D75887" w:rsidRPr="0002763C" w14:paraId="3C977695" w14:textId="77777777" w:rsidTr="005F470C">
        <w:trPr>
          <w:cantSplit/>
          <w:trHeight w:val="20"/>
        </w:trPr>
        <w:tc>
          <w:tcPr>
            <w:tcW w:w="3317" w:type="dxa"/>
            <w:shd w:val="clear" w:color="auto" w:fill="auto"/>
            <w:tcMar>
              <w:top w:w="0" w:type="dxa"/>
              <w:left w:w="108" w:type="dxa"/>
              <w:bottom w:w="0" w:type="dxa"/>
              <w:right w:w="108" w:type="dxa"/>
            </w:tcMar>
          </w:tcPr>
          <w:p w14:paraId="426F8B7B" w14:textId="673F6684" w:rsidR="009C1BBD" w:rsidRPr="0002763C" w:rsidRDefault="004E4DEA" w:rsidP="002015BA">
            <w:pPr>
              <w:pStyle w:val="TableText"/>
            </w:pPr>
            <w:r w:rsidRPr="0002763C">
              <w:t>OAS CAHPS</w:t>
            </w:r>
            <w:r w:rsidR="009C1BBD" w:rsidRPr="0002763C">
              <w:t xml:space="preserve"> </w:t>
            </w:r>
            <w:r w:rsidR="003D47A3" w:rsidRPr="0002763C">
              <w:t xml:space="preserve">National Implementation </w:t>
            </w:r>
            <w:r w:rsidR="009C1BBD" w:rsidRPr="0002763C">
              <w:t>(mail-only, telephone-only, and mixed-mode)</w:t>
            </w:r>
          </w:p>
        </w:tc>
        <w:tc>
          <w:tcPr>
            <w:tcW w:w="1522" w:type="dxa"/>
            <w:shd w:val="clear" w:color="auto" w:fill="auto"/>
            <w:tcMar>
              <w:top w:w="0" w:type="dxa"/>
              <w:left w:w="108" w:type="dxa"/>
              <w:bottom w:w="0" w:type="dxa"/>
              <w:right w:w="108" w:type="dxa"/>
            </w:tcMar>
            <w:vAlign w:val="bottom"/>
          </w:tcPr>
          <w:p w14:paraId="4C46C93F" w14:textId="0729E04F" w:rsidR="009C1BBD" w:rsidRPr="0002763C" w:rsidRDefault="00E00E34" w:rsidP="005F470C">
            <w:pPr>
              <w:pStyle w:val="TableText"/>
              <w:jc w:val="right"/>
            </w:pPr>
            <w:r w:rsidRPr="0002763C">
              <w:t xml:space="preserve"> </w:t>
            </w:r>
            <w:r w:rsidR="002B35BE" w:rsidRPr="0002763C">
              <w:t>631</w:t>
            </w:r>
            <w:r w:rsidRPr="0002763C">
              <w:t>,200</w:t>
            </w:r>
          </w:p>
        </w:tc>
        <w:tc>
          <w:tcPr>
            <w:tcW w:w="1670" w:type="dxa"/>
            <w:shd w:val="clear" w:color="auto" w:fill="auto"/>
            <w:tcMar>
              <w:top w:w="0" w:type="dxa"/>
              <w:left w:w="108" w:type="dxa"/>
              <w:bottom w:w="0" w:type="dxa"/>
              <w:right w:w="108" w:type="dxa"/>
            </w:tcMar>
            <w:vAlign w:val="bottom"/>
          </w:tcPr>
          <w:p w14:paraId="52A34E60" w14:textId="77777777" w:rsidR="009C1BBD" w:rsidRPr="0002763C" w:rsidRDefault="009C1BBD" w:rsidP="005F470C">
            <w:pPr>
              <w:pStyle w:val="TableText"/>
              <w:jc w:val="center"/>
            </w:pPr>
            <w:r w:rsidRPr="0002763C">
              <w:t>1</w:t>
            </w:r>
          </w:p>
        </w:tc>
        <w:tc>
          <w:tcPr>
            <w:tcW w:w="1331" w:type="dxa"/>
            <w:vAlign w:val="bottom"/>
          </w:tcPr>
          <w:p w14:paraId="5E02A692" w14:textId="46ABB928" w:rsidR="009C1BBD" w:rsidRPr="0002763C" w:rsidRDefault="00B40D4F" w:rsidP="005F470C">
            <w:pPr>
              <w:pStyle w:val="TableText"/>
              <w:jc w:val="center"/>
            </w:pPr>
            <w:r w:rsidRPr="0002763C">
              <w:t>0</w:t>
            </w:r>
            <w:r w:rsidR="009C1BBD" w:rsidRPr="0002763C">
              <w:t>.1</w:t>
            </w:r>
            <w:r w:rsidR="001521D7" w:rsidRPr="0002763C">
              <w:t>3</w:t>
            </w:r>
          </w:p>
        </w:tc>
        <w:tc>
          <w:tcPr>
            <w:tcW w:w="1520" w:type="dxa"/>
            <w:shd w:val="clear" w:color="auto" w:fill="auto"/>
            <w:tcMar>
              <w:top w:w="0" w:type="dxa"/>
              <w:left w:w="108" w:type="dxa"/>
              <w:bottom w:w="0" w:type="dxa"/>
              <w:right w:w="108" w:type="dxa"/>
            </w:tcMar>
            <w:vAlign w:val="bottom"/>
          </w:tcPr>
          <w:p w14:paraId="26BD05E2" w14:textId="6C8EE813" w:rsidR="009C1BBD" w:rsidRPr="0002763C" w:rsidRDefault="00E00E34" w:rsidP="005F470C">
            <w:pPr>
              <w:pStyle w:val="TableText"/>
              <w:jc w:val="right"/>
            </w:pPr>
            <w:r w:rsidRPr="0002763C">
              <w:t xml:space="preserve"> </w:t>
            </w:r>
            <w:r w:rsidR="002B35BE" w:rsidRPr="0002763C">
              <w:t>82</w:t>
            </w:r>
            <w:r w:rsidRPr="0002763C">
              <w:t>,</w:t>
            </w:r>
            <w:r w:rsidR="002B35BE" w:rsidRPr="0002763C">
              <w:t>056</w:t>
            </w:r>
          </w:p>
        </w:tc>
      </w:tr>
      <w:tr w:rsidR="00D75887" w:rsidRPr="0002763C" w14:paraId="211DD956" w14:textId="77777777" w:rsidTr="005F470C">
        <w:trPr>
          <w:cantSplit/>
          <w:trHeight w:val="20"/>
        </w:trPr>
        <w:tc>
          <w:tcPr>
            <w:tcW w:w="3317" w:type="dxa"/>
            <w:shd w:val="clear" w:color="auto" w:fill="auto"/>
            <w:tcMar>
              <w:top w:w="0" w:type="dxa"/>
              <w:left w:w="108" w:type="dxa"/>
              <w:bottom w:w="0" w:type="dxa"/>
              <w:right w:w="108" w:type="dxa"/>
            </w:tcMar>
          </w:tcPr>
          <w:p w14:paraId="30BF10AE" w14:textId="6966CA7F" w:rsidR="003D47A3" w:rsidRPr="0002763C" w:rsidRDefault="003D47A3" w:rsidP="003D47A3">
            <w:pPr>
              <w:pStyle w:val="TableText"/>
            </w:pPr>
            <w:r w:rsidRPr="0002763C">
              <w:t>OAS CAHPS Mode Experiment (mail-only, telephone-only, and mixed-mode)</w:t>
            </w:r>
          </w:p>
        </w:tc>
        <w:tc>
          <w:tcPr>
            <w:tcW w:w="1522" w:type="dxa"/>
            <w:shd w:val="clear" w:color="auto" w:fill="auto"/>
            <w:tcMar>
              <w:top w:w="0" w:type="dxa"/>
              <w:left w:w="108" w:type="dxa"/>
              <w:bottom w:w="0" w:type="dxa"/>
              <w:right w:w="108" w:type="dxa"/>
            </w:tcMar>
            <w:vAlign w:val="bottom"/>
          </w:tcPr>
          <w:p w14:paraId="2CEFBFE6" w14:textId="0D65595B" w:rsidR="003D47A3" w:rsidRPr="0002763C" w:rsidRDefault="003D47A3" w:rsidP="005F470C">
            <w:pPr>
              <w:pStyle w:val="TableText"/>
              <w:jc w:val="right"/>
            </w:pPr>
            <w:r w:rsidRPr="0002763C">
              <w:t xml:space="preserve"> 7,850</w:t>
            </w:r>
          </w:p>
        </w:tc>
        <w:tc>
          <w:tcPr>
            <w:tcW w:w="1670" w:type="dxa"/>
            <w:shd w:val="clear" w:color="auto" w:fill="auto"/>
            <w:tcMar>
              <w:top w:w="0" w:type="dxa"/>
              <w:left w:w="108" w:type="dxa"/>
              <w:bottom w:w="0" w:type="dxa"/>
              <w:right w:w="108" w:type="dxa"/>
            </w:tcMar>
            <w:vAlign w:val="bottom"/>
          </w:tcPr>
          <w:p w14:paraId="04A1A87C" w14:textId="6D5D767B" w:rsidR="003D47A3" w:rsidRPr="0002763C" w:rsidRDefault="003D47A3" w:rsidP="005F470C">
            <w:pPr>
              <w:pStyle w:val="TableText"/>
              <w:jc w:val="center"/>
            </w:pPr>
            <w:r w:rsidRPr="0002763C">
              <w:t>1</w:t>
            </w:r>
          </w:p>
        </w:tc>
        <w:tc>
          <w:tcPr>
            <w:tcW w:w="1331" w:type="dxa"/>
            <w:vAlign w:val="bottom"/>
          </w:tcPr>
          <w:p w14:paraId="48C94CED" w14:textId="44EB062D" w:rsidR="003D47A3" w:rsidRPr="0002763C" w:rsidRDefault="00B40D4F" w:rsidP="005F470C">
            <w:pPr>
              <w:pStyle w:val="TableText"/>
              <w:jc w:val="center"/>
            </w:pPr>
            <w:r w:rsidRPr="0002763C">
              <w:t>0</w:t>
            </w:r>
            <w:r w:rsidR="003D47A3" w:rsidRPr="0002763C">
              <w:t>.13</w:t>
            </w:r>
          </w:p>
        </w:tc>
        <w:tc>
          <w:tcPr>
            <w:tcW w:w="1520" w:type="dxa"/>
            <w:shd w:val="clear" w:color="auto" w:fill="auto"/>
            <w:tcMar>
              <w:top w:w="0" w:type="dxa"/>
              <w:left w:w="108" w:type="dxa"/>
              <w:bottom w:w="0" w:type="dxa"/>
              <w:right w:w="108" w:type="dxa"/>
            </w:tcMar>
            <w:vAlign w:val="bottom"/>
          </w:tcPr>
          <w:p w14:paraId="6D98FC8F" w14:textId="03802924" w:rsidR="003D47A3" w:rsidRPr="0002763C" w:rsidRDefault="003D47A3" w:rsidP="005F470C">
            <w:pPr>
              <w:pStyle w:val="TableText"/>
              <w:jc w:val="right"/>
            </w:pPr>
            <w:r w:rsidRPr="0002763C">
              <w:t xml:space="preserve"> 1,020.5</w:t>
            </w:r>
          </w:p>
        </w:tc>
      </w:tr>
      <w:tr w:rsidR="00D75887" w:rsidRPr="00D75887" w14:paraId="14C8930A" w14:textId="77777777" w:rsidTr="005F470C">
        <w:trPr>
          <w:cantSplit/>
          <w:trHeight w:val="20"/>
        </w:trPr>
        <w:tc>
          <w:tcPr>
            <w:tcW w:w="3317" w:type="dxa"/>
            <w:shd w:val="clear" w:color="auto" w:fill="auto"/>
            <w:tcMar>
              <w:top w:w="0" w:type="dxa"/>
              <w:left w:w="108" w:type="dxa"/>
              <w:bottom w:w="0" w:type="dxa"/>
              <w:right w:w="108" w:type="dxa"/>
            </w:tcMar>
          </w:tcPr>
          <w:p w14:paraId="0028A550" w14:textId="3338F2B4" w:rsidR="003D47A3" w:rsidRPr="0002763C" w:rsidRDefault="005F470C" w:rsidP="003D47A3">
            <w:pPr>
              <w:pStyle w:val="TableText"/>
            </w:pPr>
            <w:r w:rsidRPr="0002763C">
              <w:t>Total</w:t>
            </w:r>
          </w:p>
        </w:tc>
        <w:tc>
          <w:tcPr>
            <w:tcW w:w="1522" w:type="dxa"/>
            <w:shd w:val="clear" w:color="auto" w:fill="auto"/>
            <w:tcMar>
              <w:top w:w="0" w:type="dxa"/>
              <w:left w:w="108" w:type="dxa"/>
              <w:bottom w:w="0" w:type="dxa"/>
              <w:right w:w="108" w:type="dxa"/>
            </w:tcMar>
            <w:vAlign w:val="bottom"/>
          </w:tcPr>
          <w:p w14:paraId="325A9F71" w14:textId="29F272D3" w:rsidR="003D47A3" w:rsidRPr="0002763C" w:rsidRDefault="003D47A3" w:rsidP="005F470C">
            <w:pPr>
              <w:pStyle w:val="TableText"/>
              <w:jc w:val="right"/>
            </w:pPr>
            <w:r w:rsidRPr="0002763C">
              <w:t xml:space="preserve"> 639,050</w:t>
            </w:r>
          </w:p>
        </w:tc>
        <w:tc>
          <w:tcPr>
            <w:tcW w:w="1670" w:type="dxa"/>
            <w:shd w:val="clear" w:color="auto" w:fill="auto"/>
            <w:tcMar>
              <w:top w:w="0" w:type="dxa"/>
              <w:left w:w="108" w:type="dxa"/>
              <w:bottom w:w="0" w:type="dxa"/>
              <w:right w:w="108" w:type="dxa"/>
            </w:tcMar>
            <w:vAlign w:val="bottom"/>
          </w:tcPr>
          <w:p w14:paraId="59A3806D" w14:textId="76F44EC2" w:rsidR="003D47A3" w:rsidRPr="0002763C" w:rsidRDefault="003D47A3" w:rsidP="005F470C">
            <w:pPr>
              <w:pStyle w:val="TableText"/>
              <w:jc w:val="center"/>
            </w:pPr>
            <w:r w:rsidRPr="0002763C">
              <w:t>1</w:t>
            </w:r>
          </w:p>
        </w:tc>
        <w:tc>
          <w:tcPr>
            <w:tcW w:w="1331" w:type="dxa"/>
            <w:vAlign w:val="bottom"/>
          </w:tcPr>
          <w:p w14:paraId="7082BDAC" w14:textId="0758D39A" w:rsidR="003D47A3" w:rsidRPr="0002763C" w:rsidRDefault="00B40D4F" w:rsidP="005F470C">
            <w:pPr>
              <w:pStyle w:val="TableText"/>
              <w:jc w:val="center"/>
            </w:pPr>
            <w:r w:rsidRPr="0002763C">
              <w:t>0</w:t>
            </w:r>
            <w:r w:rsidR="003D47A3" w:rsidRPr="0002763C">
              <w:t>.13</w:t>
            </w:r>
          </w:p>
        </w:tc>
        <w:tc>
          <w:tcPr>
            <w:tcW w:w="1520" w:type="dxa"/>
            <w:shd w:val="clear" w:color="auto" w:fill="auto"/>
            <w:tcMar>
              <w:top w:w="0" w:type="dxa"/>
              <w:left w:w="108" w:type="dxa"/>
              <w:bottom w:w="0" w:type="dxa"/>
              <w:right w:w="108" w:type="dxa"/>
            </w:tcMar>
            <w:vAlign w:val="bottom"/>
          </w:tcPr>
          <w:p w14:paraId="62B354C9" w14:textId="0B39E6F8" w:rsidR="003D47A3" w:rsidRPr="00D75887" w:rsidRDefault="003D47A3" w:rsidP="005F470C">
            <w:pPr>
              <w:pStyle w:val="TableText"/>
              <w:jc w:val="right"/>
            </w:pPr>
            <w:r w:rsidRPr="0002763C">
              <w:t xml:space="preserve"> 83,076.5</w:t>
            </w:r>
          </w:p>
        </w:tc>
      </w:tr>
    </w:tbl>
    <w:p w14:paraId="19AD16E9" w14:textId="77777777" w:rsidR="009C1BBD" w:rsidRPr="00D75887" w:rsidRDefault="009C1BBD" w:rsidP="009C1BBD">
      <w:pPr>
        <w:pStyle w:val="Source"/>
      </w:pPr>
      <w:bookmarkStart w:id="68" w:name="_Toc352232340"/>
    </w:p>
    <w:p w14:paraId="2054A7E3" w14:textId="67EF79CC" w:rsidR="009C1BBD" w:rsidRPr="00D75887" w:rsidRDefault="009C1BBD" w:rsidP="00BB511C">
      <w:pPr>
        <w:pStyle w:val="Caption"/>
      </w:pPr>
      <w:bookmarkStart w:id="69" w:name="_Toc356227612"/>
      <w:bookmarkStart w:id="70" w:name="_Toc404335441"/>
      <w:bookmarkStart w:id="71" w:name="_Toc417574913"/>
      <w:r w:rsidRPr="00D75887">
        <w:t xml:space="preserve">Exhibit </w:t>
      </w:r>
      <w:r w:rsidR="00744F8D" w:rsidRPr="00D75887">
        <w:t>A-</w:t>
      </w:r>
      <w:r w:rsidR="003D47A3" w:rsidRPr="00D75887">
        <w:t>2</w:t>
      </w:r>
      <w:r w:rsidR="00744F8D" w:rsidRPr="00D75887">
        <w:t>.</w:t>
      </w:r>
      <w:r w:rsidRPr="00D75887">
        <w:tab/>
        <w:t xml:space="preserve">Estimated </w:t>
      </w:r>
      <w:bookmarkEnd w:id="68"/>
      <w:bookmarkEnd w:id="69"/>
      <w:bookmarkEnd w:id="70"/>
      <w:bookmarkEnd w:id="71"/>
      <w:r w:rsidR="00FC1D2A">
        <w:t>Cost (</w:t>
      </w:r>
      <w:r w:rsidR="00FC1D2A" w:rsidRPr="00D75887">
        <w:t>Annual</w:t>
      </w:r>
      <w:r w:rsidR="00FC1D2A">
        <w:t>)</w:t>
      </w:r>
    </w:p>
    <w:tbl>
      <w:tblPr>
        <w:tblW w:w="5000" w:type="pct"/>
        <w:tblInd w:w="86" w:type="dxa"/>
        <w:tblBorders>
          <w:top w:val="single" w:sz="12" w:space="0" w:color="auto"/>
          <w:bottom w:val="single" w:sz="12" w:space="0" w:color="auto"/>
          <w:insideH w:val="single" w:sz="4" w:space="0" w:color="auto"/>
        </w:tblBorders>
        <w:tblLayout w:type="fixed"/>
        <w:tblCellMar>
          <w:left w:w="58" w:type="dxa"/>
          <w:right w:w="58" w:type="dxa"/>
        </w:tblCellMar>
        <w:tblLook w:val="0000" w:firstRow="0" w:lastRow="0" w:firstColumn="0" w:lastColumn="0" w:noHBand="0" w:noVBand="0"/>
      </w:tblPr>
      <w:tblGrid>
        <w:gridCol w:w="3377"/>
        <w:gridCol w:w="1565"/>
        <w:gridCol w:w="1565"/>
        <w:gridCol w:w="1565"/>
        <w:gridCol w:w="1504"/>
      </w:tblGrid>
      <w:tr w:rsidR="00D75887" w:rsidRPr="00D75887" w14:paraId="5EC44F85" w14:textId="77777777" w:rsidTr="00057D10">
        <w:trPr>
          <w:cantSplit/>
          <w:tblHeader/>
        </w:trPr>
        <w:tc>
          <w:tcPr>
            <w:tcW w:w="3300" w:type="dxa"/>
            <w:shd w:val="clear" w:color="auto" w:fill="auto"/>
            <w:tcMar>
              <w:top w:w="0" w:type="dxa"/>
              <w:left w:w="108" w:type="dxa"/>
              <w:bottom w:w="0" w:type="dxa"/>
              <w:right w:w="108" w:type="dxa"/>
            </w:tcMar>
            <w:vAlign w:val="bottom"/>
          </w:tcPr>
          <w:p w14:paraId="6AB96EA1" w14:textId="77777777" w:rsidR="009C1BBD" w:rsidRPr="00D75887" w:rsidRDefault="009C1BBD" w:rsidP="002015BA">
            <w:pPr>
              <w:pStyle w:val="TableHeaders"/>
            </w:pPr>
            <w:r w:rsidRPr="00D75887">
              <w:t xml:space="preserve">Form </w:t>
            </w:r>
            <w:r w:rsidR="002015BA" w:rsidRPr="00D75887">
              <w:t>Name</w:t>
            </w:r>
          </w:p>
        </w:tc>
        <w:tc>
          <w:tcPr>
            <w:tcW w:w="1530" w:type="dxa"/>
            <w:shd w:val="clear" w:color="auto" w:fill="auto"/>
            <w:tcMar>
              <w:top w:w="0" w:type="dxa"/>
              <w:left w:w="108" w:type="dxa"/>
              <w:bottom w:w="0" w:type="dxa"/>
              <w:right w:w="108" w:type="dxa"/>
            </w:tcMar>
            <w:vAlign w:val="bottom"/>
          </w:tcPr>
          <w:p w14:paraId="66D5F50C" w14:textId="77777777" w:rsidR="009C1BBD" w:rsidRPr="00D75887" w:rsidRDefault="009C1BBD" w:rsidP="002015BA">
            <w:pPr>
              <w:pStyle w:val="TableHeaders"/>
            </w:pPr>
            <w:r w:rsidRPr="00D75887">
              <w:t xml:space="preserve">Number of </w:t>
            </w:r>
            <w:r w:rsidR="002015BA" w:rsidRPr="00D75887">
              <w:t>Respondents</w:t>
            </w:r>
          </w:p>
        </w:tc>
        <w:tc>
          <w:tcPr>
            <w:tcW w:w="1530" w:type="dxa"/>
            <w:shd w:val="clear" w:color="auto" w:fill="auto"/>
            <w:tcMar>
              <w:top w:w="0" w:type="dxa"/>
              <w:left w:w="108" w:type="dxa"/>
              <w:bottom w:w="0" w:type="dxa"/>
              <w:right w:w="108" w:type="dxa"/>
            </w:tcMar>
            <w:vAlign w:val="bottom"/>
          </w:tcPr>
          <w:p w14:paraId="3926B00A" w14:textId="77777777" w:rsidR="009C1BBD" w:rsidRPr="00D75887" w:rsidRDefault="009C1BBD" w:rsidP="002015BA">
            <w:pPr>
              <w:pStyle w:val="TableHeaders"/>
            </w:pPr>
            <w:r w:rsidRPr="00D75887">
              <w:t xml:space="preserve">Total </w:t>
            </w:r>
            <w:r w:rsidR="002015BA" w:rsidRPr="00D75887">
              <w:t>Burden Hours</w:t>
            </w:r>
          </w:p>
        </w:tc>
        <w:tc>
          <w:tcPr>
            <w:tcW w:w="1530" w:type="dxa"/>
            <w:shd w:val="clear" w:color="auto" w:fill="auto"/>
            <w:tcMar>
              <w:top w:w="0" w:type="dxa"/>
              <w:left w:w="108" w:type="dxa"/>
              <w:bottom w:w="0" w:type="dxa"/>
              <w:right w:w="108" w:type="dxa"/>
            </w:tcMar>
            <w:vAlign w:val="bottom"/>
          </w:tcPr>
          <w:p w14:paraId="1C3C51F1" w14:textId="1D572895" w:rsidR="009C1BBD" w:rsidRPr="00D75887" w:rsidRDefault="009C1BBD" w:rsidP="002015BA">
            <w:pPr>
              <w:pStyle w:val="TableHeaders"/>
            </w:pPr>
            <w:r w:rsidRPr="00D75887">
              <w:t xml:space="preserve">Average </w:t>
            </w:r>
            <w:r w:rsidR="002015BA" w:rsidRPr="00D75887">
              <w:t>Hourly Wage Rate</w:t>
            </w:r>
          </w:p>
        </w:tc>
        <w:tc>
          <w:tcPr>
            <w:tcW w:w="1470" w:type="dxa"/>
            <w:shd w:val="clear" w:color="auto" w:fill="auto"/>
            <w:tcMar>
              <w:top w:w="0" w:type="dxa"/>
              <w:left w:w="108" w:type="dxa"/>
              <w:bottom w:w="0" w:type="dxa"/>
              <w:right w:w="108" w:type="dxa"/>
            </w:tcMar>
            <w:vAlign w:val="bottom"/>
          </w:tcPr>
          <w:p w14:paraId="51204A04" w14:textId="77777777" w:rsidR="009C1BBD" w:rsidRPr="00D75887" w:rsidRDefault="009C1BBD" w:rsidP="002015BA">
            <w:pPr>
              <w:pStyle w:val="TableHeaders"/>
            </w:pPr>
            <w:r w:rsidRPr="00D75887">
              <w:t xml:space="preserve">Total </w:t>
            </w:r>
            <w:r w:rsidR="002015BA" w:rsidRPr="00D75887">
              <w:t>Cost Burden</w:t>
            </w:r>
          </w:p>
        </w:tc>
      </w:tr>
      <w:tr w:rsidR="00D75887" w:rsidRPr="00D75887" w14:paraId="010580AE" w14:textId="77777777" w:rsidTr="005F470C">
        <w:trPr>
          <w:cantSplit/>
        </w:trPr>
        <w:tc>
          <w:tcPr>
            <w:tcW w:w="3300" w:type="dxa"/>
            <w:shd w:val="clear" w:color="auto" w:fill="auto"/>
            <w:tcMar>
              <w:top w:w="0" w:type="dxa"/>
              <w:left w:w="108" w:type="dxa"/>
              <w:bottom w:w="0" w:type="dxa"/>
              <w:right w:w="108" w:type="dxa"/>
            </w:tcMar>
            <w:vAlign w:val="bottom"/>
          </w:tcPr>
          <w:p w14:paraId="2C2B99E1" w14:textId="2CDF0203" w:rsidR="009C1BBD" w:rsidRPr="00D75887" w:rsidRDefault="004E4DEA" w:rsidP="0089760A">
            <w:pPr>
              <w:pStyle w:val="TableText"/>
            </w:pPr>
            <w:r w:rsidRPr="00D75887">
              <w:t>OAS CAHPS</w:t>
            </w:r>
            <w:r w:rsidR="009C1BBD" w:rsidRPr="00D75887">
              <w:t xml:space="preserve"> </w:t>
            </w:r>
            <w:r w:rsidR="00057D10" w:rsidRPr="00D75887">
              <w:t xml:space="preserve">National Implementation </w:t>
            </w:r>
            <w:r w:rsidR="009C1BBD" w:rsidRPr="00D75887">
              <w:t>(mail-only, telephone-only, and mixed-mode)</w:t>
            </w:r>
          </w:p>
        </w:tc>
        <w:tc>
          <w:tcPr>
            <w:tcW w:w="1530" w:type="dxa"/>
            <w:shd w:val="clear" w:color="auto" w:fill="auto"/>
            <w:tcMar>
              <w:top w:w="0" w:type="dxa"/>
              <w:left w:w="108" w:type="dxa"/>
              <w:bottom w:w="0" w:type="dxa"/>
              <w:right w:w="108" w:type="dxa"/>
            </w:tcMar>
            <w:vAlign w:val="bottom"/>
          </w:tcPr>
          <w:p w14:paraId="1FBB0A2F" w14:textId="416A15A4" w:rsidR="009C1BBD" w:rsidRPr="00D75887" w:rsidRDefault="00A903DF" w:rsidP="005F470C">
            <w:pPr>
              <w:pStyle w:val="TableText"/>
              <w:jc w:val="right"/>
              <w:rPr>
                <w:highlight w:val="yellow"/>
              </w:rPr>
            </w:pPr>
            <w:r w:rsidRPr="00D75887">
              <w:t>631,200</w:t>
            </w:r>
            <w:r w:rsidR="00E00E34" w:rsidRPr="00D75887">
              <w:t xml:space="preserve"> </w:t>
            </w:r>
          </w:p>
        </w:tc>
        <w:tc>
          <w:tcPr>
            <w:tcW w:w="1530" w:type="dxa"/>
            <w:shd w:val="clear" w:color="auto" w:fill="auto"/>
            <w:tcMar>
              <w:top w:w="0" w:type="dxa"/>
              <w:left w:w="108" w:type="dxa"/>
              <w:bottom w:w="0" w:type="dxa"/>
              <w:right w:w="108" w:type="dxa"/>
            </w:tcMar>
            <w:vAlign w:val="bottom"/>
          </w:tcPr>
          <w:p w14:paraId="65825E73" w14:textId="1DCD0E6B" w:rsidR="009C1BBD" w:rsidRPr="00D75887" w:rsidRDefault="00A903DF" w:rsidP="005F470C">
            <w:pPr>
              <w:pStyle w:val="TableText"/>
              <w:jc w:val="right"/>
              <w:rPr>
                <w:highlight w:val="yellow"/>
              </w:rPr>
            </w:pPr>
            <w:r w:rsidRPr="00D75887">
              <w:t>82</w:t>
            </w:r>
            <w:r w:rsidR="00E00E34" w:rsidRPr="00D75887">
              <w:t>,</w:t>
            </w:r>
            <w:r w:rsidRPr="00D75887">
              <w:t>056</w:t>
            </w:r>
            <w:r w:rsidR="00E00E34" w:rsidRPr="00D75887">
              <w:t xml:space="preserve"> </w:t>
            </w:r>
          </w:p>
        </w:tc>
        <w:tc>
          <w:tcPr>
            <w:tcW w:w="1530" w:type="dxa"/>
            <w:shd w:val="clear" w:color="auto" w:fill="auto"/>
            <w:tcMar>
              <w:top w:w="0" w:type="dxa"/>
              <w:left w:w="108" w:type="dxa"/>
              <w:bottom w:w="0" w:type="dxa"/>
              <w:right w:w="108" w:type="dxa"/>
            </w:tcMar>
            <w:vAlign w:val="bottom"/>
          </w:tcPr>
          <w:p w14:paraId="556E5684" w14:textId="0B8A41D9" w:rsidR="009C1BBD" w:rsidRPr="00D75887" w:rsidRDefault="009C1BBD" w:rsidP="00AA5801">
            <w:pPr>
              <w:pStyle w:val="TableText"/>
              <w:jc w:val="center"/>
              <w:rPr>
                <w:highlight w:val="yellow"/>
              </w:rPr>
            </w:pPr>
            <w:r w:rsidRPr="00D75887">
              <w:t>$2</w:t>
            </w:r>
            <w:r w:rsidR="00AA5801">
              <w:t>4</w:t>
            </w:r>
            <w:r w:rsidRPr="00D75887">
              <w:t>.</w:t>
            </w:r>
            <w:r w:rsidR="00AA5801">
              <w:t>34/hr</w:t>
            </w:r>
          </w:p>
        </w:tc>
        <w:tc>
          <w:tcPr>
            <w:tcW w:w="1470" w:type="dxa"/>
            <w:shd w:val="clear" w:color="auto" w:fill="auto"/>
            <w:tcMar>
              <w:top w:w="0" w:type="dxa"/>
              <w:left w:w="108" w:type="dxa"/>
              <w:bottom w:w="0" w:type="dxa"/>
              <w:right w:w="108" w:type="dxa"/>
            </w:tcMar>
            <w:vAlign w:val="bottom"/>
          </w:tcPr>
          <w:p w14:paraId="04F9DFA5" w14:textId="074EF059" w:rsidR="009C1BBD" w:rsidRPr="00D75887" w:rsidRDefault="007A50EF" w:rsidP="007A50EF">
            <w:pPr>
              <w:pStyle w:val="TableText"/>
              <w:jc w:val="right"/>
              <w:rPr>
                <w:highlight w:val="yellow"/>
              </w:rPr>
            </w:pPr>
            <w:r>
              <w:t>$</w:t>
            </w:r>
            <w:r w:rsidR="00A903DF" w:rsidRPr="00D75887">
              <w:t>1,</w:t>
            </w:r>
            <w:r w:rsidR="007C5F55" w:rsidRPr="00D75887">
              <w:t>9</w:t>
            </w:r>
            <w:r>
              <w:t>97</w:t>
            </w:r>
            <w:r w:rsidR="00E00E34" w:rsidRPr="00D75887">
              <w:t>,</w:t>
            </w:r>
            <w:r>
              <w:t>243</w:t>
            </w:r>
          </w:p>
        </w:tc>
      </w:tr>
      <w:tr w:rsidR="00D75887" w:rsidRPr="00D75887" w14:paraId="45201145" w14:textId="77777777" w:rsidTr="005F470C">
        <w:trPr>
          <w:cantSplit/>
        </w:trPr>
        <w:tc>
          <w:tcPr>
            <w:tcW w:w="3300" w:type="dxa"/>
            <w:shd w:val="clear" w:color="auto" w:fill="auto"/>
            <w:tcMar>
              <w:top w:w="0" w:type="dxa"/>
              <w:left w:w="108" w:type="dxa"/>
              <w:bottom w:w="0" w:type="dxa"/>
              <w:right w:w="108" w:type="dxa"/>
            </w:tcMar>
          </w:tcPr>
          <w:p w14:paraId="10321363" w14:textId="1C0C6BEA" w:rsidR="00057D10" w:rsidRPr="00D75887" w:rsidRDefault="00057D10" w:rsidP="00057D10">
            <w:pPr>
              <w:pStyle w:val="TableText"/>
            </w:pPr>
            <w:r w:rsidRPr="00D75887">
              <w:t xml:space="preserve">OAS CAHPS Mode Experiment </w:t>
            </w:r>
            <w:r w:rsidRPr="00D75887">
              <w:rPr>
                <w:szCs w:val="22"/>
              </w:rPr>
              <w:t>(mail-only, telephone-only, Web-only</w:t>
            </w:r>
            <w:r w:rsidR="00500451" w:rsidRPr="00D75887">
              <w:rPr>
                <w:szCs w:val="22"/>
              </w:rPr>
              <w:t>,</w:t>
            </w:r>
            <w:r w:rsidRPr="00D75887">
              <w:rPr>
                <w:szCs w:val="22"/>
              </w:rPr>
              <w:t xml:space="preserve"> Web with mail</w:t>
            </w:r>
            <w:r w:rsidR="00500451" w:rsidRPr="00D75887">
              <w:rPr>
                <w:szCs w:val="22"/>
              </w:rPr>
              <w:t>,</w:t>
            </w:r>
            <w:r w:rsidRPr="00D75887">
              <w:rPr>
                <w:szCs w:val="22"/>
              </w:rPr>
              <w:t xml:space="preserve"> and Web with telephone )</w:t>
            </w:r>
          </w:p>
        </w:tc>
        <w:tc>
          <w:tcPr>
            <w:tcW w:w="1530" w:type="dxa"/>
            <w:shd w:val="clear" w:color="auto" w:fill="auto"/>
            <w:tcMar>
              <w:top w:w="0" w:type="dxa"/>
              <w:left w:w="108" w:type="dxa"/>
              <w:bottom w:w="0" w:type="dxa"/>
              <w:right w:w="108" w:type="dxa"/>
            </w:tcMar>
            <w:vAlign w:val="bottom"/>
          </w:tcPr>
          <w:p w14:paraId="6C1E85A5" w14:textId="56D33C3D" w:rsidR="00057D10" w:rsidRPr="00D75887" w:rsidRDefault="00057D10" w:rsidP="00D87414">
            <w:pPr>
              <w:pStyle w:val="TableText"/>
              <w:keepNext/>
              <w:jc w:val="right"/>
            </w:pPr>
            <w:r w:rsidRPr="00D75887">
              <w:t>7,850</w:t>
            </w:r>
          </w:p>
        </w:tc>
        <w:tc>
          <w:tcPr>
            <w:tcW w:w="1530" w:type="dxa"/>
            <w:shd w:val="clear" w:color="auto" w:fill="auto"/>
            <w:tcMar>
              <w:top w:w="0" w:type="dxa"/>
              <w:left w:w="108" w:type="dxa"/>
              <w:bottom w:w="0" w:type="dxa"/>
              <w:right w:w="108" w:type="dxa"/>
            </w:tcMar>
            <w:vAlign w:val="bottom"/>
          </w:tcPr>
          <w:p w14:paraId="69F9EC1F" w14:textId="2DAD6BE0" w:rsidR="00057D10" w:rsidRPr="00D75887" w:rsidRDefault="00057D10" w:rsidP="00D87414">
            <w:pPr>
              <w:pStyle w:val="TableText"/>
              <w:keepNext/>
              <w:jc w:val="right"/>
            </w:pPr>
            <w:r w:rsidRPr="00D75887">
              <w:t>1,020.5</w:t>
            </w:r>
          </w:p>
        </w:tc>
        <w:tc>
          <w:tcPr>
            <w:tcW w:w="1530" w:type="dxa"/>
            <w:shd w:val="clear" w:color="auto" w:fill="auto"/>
            <w:tcMar>
              <w:top w:w="0" w:type="dxa"/>
              <w:left w:w="108" w:type="dxa"/>
              <w:bottom w:w="0" w:type="dxa"/>
              <w:right w:w="108" w:type="dxa"/>
            </w:tcMar>
            <w:vAlign w:val="bottom"/>
          </w:tcPr>
          <w:p w14:paraId="33E451BB" w14:textId="31CC73FB" w:rsidR="00057D10" w:rsidRPr="00D75887" w:rsidRDefault="00057D10" w:rsidP="00AA5801">
            <w:pPr>
              <w:pStyle w:val="TableText"/>
              <w:jc w:val="center"/>
            </w:pPr>
            <w:r w:rsidRPr="00D75887">
              <w:t>$2</w:t>
            </w:r>
            <w:r w:rsidR="00AA5801">
              <w:t>4</w:t>
            </w:r>
            <w:r w:rsidRPr="00D75887">
              <w:t>.</w:t>
            </w:r>
            <w:r w:rsidR="00AA5801">
              <w:t>34/hr</w:t>
            </w:r>
          </w:p>
        </w:tc>
        <w:tc>
          <w:tcPr>
            <w:tcW w:w="1470" w:type="dxa"/>
            <w:shd w:val="clear" w:color="auto" w:fill="auto"/>
            <w:tcMar>
              <w:top w:w="0" w:type="dxa"/>
              <w:left w:w="108" w:type="dxa"/>
              <w:bottom w:w="0" w:type="dxa"/>
              <w:right w:w="108" w:type="dxa"/>
            </w:tcMar>
            <w:vAlign w:val="bottom"/>
          </w:tcPr>
          <w:p w14:paraId="59203F0F" w14:textId="08C2B14B" w:rsidR="00057D10" w:rsidRPr="00D75887" w:rsidRDefault="00057D10" w:rsidP="007A50EF">
            <w:pPr>
              <w:pStyle w:val="TableText"/>
              <w:keepNext/>
              <w:jc w:val="right"/>
            </w:pPr>
            <w:r w:rsidRPr="00D75887">
              <w:t>$24,</w:t>
            </w:r>
            <w:r w:rsidR="007A50EF">
              <w:t>839</w:t>
            </w:r>
          </w:p>
        </w:tc>
      </w:tr>
      <w:tr w:rsidR="00D75887" w:rsidRPr="00D75887" w14:paraId="72A976F9" w14:textId="77777777" w:rsidTr="005F470C">
        <w:trPr>
          <w:cantSplit/>
        </w:trPr>
        <w:tc>
          <w:tcPr>
            <w:tcW w:w="3300" w:type="dxa"/>
            <w:shd w:val="clear" w:color="auto" w:fill="auto"/>
            <w:tcMar>
              <w:top w:w="0" w:type="dxa"/>
              <w:left w:w="108" w:type="dxa"/>
              <w:bottom w:w="0" w:type="dxa"/>
              <w:right w:w="108" w:type="dxa"/>
            </w:tcMar>
          </w:tcPr>
          <w:p w14:paraId="155F46ED" w14:textId="7D6ACE8E" w:rsidR="00057D10" w:rsidRPr="00D75887" w:rsidRDefault="005F470C" w:rsidP="00057D10">
            <w:pPr>
              <w:pStyle w:val="TableText"/>
            </w:pPr>
            <w:r w:rsidRPr="00D75887">
              <w:t>Total</w:t>
            </w:r>
          </w:p>
        </w:tc>
        <w:tc>
          <w:tcPr>
            <w:tcW w:w="1530" w:type="dxa"/>
            <w:shd w:val="clear" w:color="auto" w:fill="auto"/>
            <w:tcMar>
              <w:top w:w="0" w:type="dxa"/>
              <w:left w:w="108" w:type="dxa"/>
              <w:bottom w:w="0" w:type="dxa"/>
              <w:right w:w="108" w:type="dxa"/>
            </w:tcMar>
            <w:vAlign w:val="bottom"/>
          </w:tcPr>
          <w:p w14:paraId="0330AF51" w14:textId="29624A90" w:rsidR="00057D10" w:rsidRPr="00D75887" w:rsidRDefault="00057D10" w:rsidP="005F470C">
            <w:pPr>
              <w:pStyle w:val="TableText"/>
              <w:keepNext/>
              <w:jc w:val="right"/>
            </w:pPr>
            <w:r w:rsidRPr="00D75887">
              <w:t>639,050</w:t>
            </w:r>
          </w:p>
        </w:tc>
        <w:tc>
          <w:tcPr>
            <w:tcW w:w="1530" w:type="dxa"/>
            <w:shd w:val="clear" w:color="auto" w:fill="auto"/>
            <w:tcMar>
              <w:top w:w="0" w:type="dxa"/>
              <w:left w:w="108" w:type="dxa"/>
              <w:bottom w:w="0" w:type="dxa"/>
              <w:right w:w="108" w:type="dxa"/>
            </w:tcMar>
            <w:vAlign w:val="bottom"/>
          </w:tcPr>
          <w:p w14:paraId="7DC27942" w14:textId="619EEFCC" w:rsidR="00057D10" w:rsidRPr="00D75887" w:rsidRDefault="00057D10" w:rsidP="005F470C">
            <w:pPr>
              <w:pStyle w:val="TableText"/>
              <w:keepNext/>
              <w:jc w:val="right"/>
            </w:pPr>
            <w:r w:rsidRPr="00D75887">
              <w:t>83,076.5</w:t>
            </w:r>
          </w:p>
        </w:tc>
        <w:tc>
          <w:tcPr>
            <w:tcW w:w="1530" w:type="dxa"/>
            <w:shd w:val="clear" w:color="auto" w:fill="auto"/>
            <w:tcMar>
              <w:top w:w="0" w:type="dxa"/>
              <w:left w:w="108" w:type="dxa"/>
              <w:bottom w:w="0" w:type="dxa"/>
              <w:right w:w="108" w:type="dxa"/>
            </w:tcMar>
            <w:vAlign w:val="bottom"/>
          </w:tcPr>
          <w:p w14:paraId="28B2DA15" w14:textId="4D4A2DD0" w:rsidR="00057D10" w:rsidRPr="00D75887" w:rsidRDefault="00057D10" w:rsidP="00AA5801">
            <w:pPr>
              <w:pStyle w:val="TableText"/>
              <w:jc w:val="center"/>
            </w:pPr>
            <w:r w:rsidRPr="00D75887">
              <w:t>$2</w:t>
            </w:r>
            <w:r w:rsidR="00AA5801">
              <w:t>4</w:t>
            </w:r>
            <w:r w:rsidRPr="00D75887">
              <w:t>.</w:t>
            </w:r>
            <w:r w:rsidR="00AA5801">
              <w:t>34/hr</w:t>
            </w:r>
          </w:p>
        </w:tc>
        <w:tc>
          <w:tcPr>
            <w:tcW w:w="1470" w:type="dxa"/>
            <w:shd w:val="clear" w:color="auto" w:fill="auto"/>
            <w:tcMar>
              <w:top w:w="0" w:type="dxa"/>
              <w:left w:w="108" w:type="dxa"/>
              <w:bottom w:w="0" w:type="dxa"/>
              <w:right w:w="108" w:type="dxa"/>
            </w:tcMar>
            <w:vAlign w:val="bottom"/>
          </w:tcPr>
          <w:p w14:paraId="706520D5" w14:textId="7A1DBBF3" w:rsidR="00057D10" w:rsidRPr="00D75887" w:rsidRDefault="00057D10" w:rsidP="007A50EF">
            <w:pPr>
              <w:pStyle w:val="TableText"/>
              <w:keepNext/>
              <w:jc w:val="right"/>
            </w:pPr>
            <w:r w:rsidRPr="00D75887">
              <w:t>$</w:t>
            </w:r>
            <w:r w:rsidR="007A50EF">
              <w:t>2</w:t>
            </w:r>
            <w:r w:rsidRPr="00D75887">
              <w:t>,</w:t>
            </w:r>
            <w:r w:rsidR="007A50EF">
              <w:t>022</w:t>
            </w:r>
            <w:r w:rsidRPr="00D75887">
              <w:t>,</w:t>
            </w:r>
            <w:r w:rsidR="007A50EF">
              <w:t>082</w:t>
            </w:r>
          </w:p>
        </w:tc>
      </w:tr>
    </w:tbl>
    <w:p w14:paraId="2F233879" w14:textId="77777777" w:rsidR="00FC1D2A" w:rsidRDefault="00FC1D2A" w:rsidP="00A903DF">
      <w:pPr>
        <w:pStyle w:val="BodyText"/>
      </w:pPr>
    </w:p>
    <w:p w14:paraId="179D922A" w14:textId="14496B58" w:rsidR="009C1BBD" w:rsidRPr="00075391" w:rsidRDefault="00FC1D2A" w:rsidP="00A903DF">
      <w:pPr>
        <w:pStyle w:val="BodyText"/>
      </w:pPr>
      <w:r w:rsidRPr="00FC1D2A">
        <w:rPr>
          <w:u w:val="single"/>
        </w:rPr>
        <w:t>Facilities</w:t>
      </w:r>
      <w:r w:rsidRPr="00075391">
        <w:t xml:space="preserve"> </w:t>
      </w:r>
      <w:r>
        <w:t xml:space="preserve"> </w:t>
      </w:r>
      <w:r w:rsidR="009C1BBD" w:rsidRPr="00075391">
        <w:t xml:space="preserve">The costs to ASC and HOPD facilities </w:t>
      </w:r>
      <w:r w:rsidR="00DF0D08">
        <w:t xml:space="preserve">for the national implementation </w:t>
      </w:r>
      <w:r w:rsidR="009C1BBD" w:rsidRPr="00075391">
        <w:t xml:space="preserve">will be determined by the selected data collection mode (mail, telephone, or mixed mode) and by the number of sample patients included in the facility sample. </w:t>
      </w:r>
    </w:p>
    <w:p w14:paraId="12FD0D28" w14:textId="627AC5DC" w:rsidR="00075391" w:rsidRPr="00075391" w:rsidRDefault="009C1BBD" w:rsidP="00092D49">
      <w:pPr>
        <w:pStyle w:val="BodyText"/>
      </w:pPr>
      <w:r w:rsidRPr="00075391">
        <w:t xml:space="preserve">At this time, there </w:t>
      </w:r>
      <w:r w:rsidR="00CE20F6">
        <w:t>is no</w:t>
      </w:r>
      <w:r w:rsidRPr="00075391">
        <w:t xml:space="preserve"> </w:t>
      </w:r>
      <w:r w:rsidR="00CE20F6">
        <w:t>mandate</w:t>
      </w:r>
      <w:r w:rsidR="00F81A64">
        <w:t>d</w:t>
      </w:r>
      <w:r w:rsidR="00CE20F6">
        <w:t xml:space="preserve"> </w:t>
      </w:r>
      <w:r w:rsidRPr="00075391">
        <w:t>HOPD</w:t>
      </w:r>
      <w:r w:rsidR="00F81A64">
        <w:t xml:space="preserve"> </w:t>
      </w:r>
      <w:r w:rsidRPr="00075391">
        <w:t xml:space="preserve">and ASC </w:t>
      </w:r>
      <w:r w:rsidR="00CE20F6" w:rsidRPr="00075391">
        <w:t>participat</w:t>
      </w:r>
      <w:r w:rsidR="00CE20F6">
        <w:t>ion</w:t>
      </w:r>
      <w:r w:rsidR="00CE20F6" w:rsidRPr="00075391">
        <w:t xml:space="preserve"> </w:t>
      </w:r>
      <w:r w:rsidRPr="00075391">
        <w:t xml:space="preserve">in </w:t>
      </w:r>
      <w:r w:rsidR="004E4DEA">
        <w:t>OAS CAHPS</w:t>
      </w:r>
      <w:r w:rsidRPr="00075391">
        <w:t xml:space="preserve">; therefore, this survey will be administered by facilities on a voluntary basis. The burden associated with this is the time and effort put forth by the HOPDs and ASCs to submit the </w:t>
      </w:r>
      <w:r w:rsidR="004E4DEA">
        <w:t>OAS CAHPS</w:t>
      </w:r>
      <w:r w:rsidRPr="00075391">
        <w:t xml:space="preserve"> patient files to their approved </w:t>
      </w:r>
      <w:r w:rsidR="004E4DEA">
        <w:t>OAS CAHPS</w:t>
      </w:r>
      <w:r w:rsidRPr="00075391">
        <w:t xml:space="preserve"> survey vendor. Each facility participating in </w:t>
      </w:r>
      <w:r w:rsidR="004E4DEA">
        <w:t>OAS CAHPS</w:t>
      </w:r>
      <w:r w:rsidRPr="00075391">
        <w:t xml:space="preserve"> must prepare and submit to its survey vendor a file containing patient data on patients served the preceding month that will be used by the survey vendor to select the sample and field the survey. Preparing this file (essentially the sampling frame) for most HOPDs and ASCs can vary by the required level of effort</w:t>
      </w:r>
      <w:r w:rsidR="00F81A64">
        <w:t xml:space="preserve">. </w:t>
      </w:r>
      <w:r w:rsidRPr="00075391">
        <w:t xml:space="preserve">The data elements needed on the sample </w:t>
      </w:r>
      <w:r w:rsidRPr="00DD3F19">
        <w:t>frame will be kept at a minimum to reduce the burden on all participating facilities. The burden associated with this survey administration is the time and effort put forth by the facility to prepare and submit the file containing patient data on patients. The survey instrument and procedures for completing the instrument are designed to minimize burden on all respondents. No sign</w:t>
      </w:r>
      <w:r w:rsidRPr="00075391">
        <w:t xml:space="preserve">ificant burden is anticipated for small facilities beyond providing their contracted vendor with </w:t>
      </w:r>
      <w:r w:rsidR="00CD516F">
        <w:t xml:space="preserve">sample </w:t>
      </w:r>
      <w:r w:rsidRPr="00075391">
        <w:t>file</w:t>
      </w:r>
      <w:r w:rsidR="00CD516F">
        <w:t>s</w:t>
      </w:r>
      <w:r w:rsidRPr="00075391">
        <w:t xml:space="preserve"> of patients served.</w:t>
      </w:r>
      <w:r w:rsidR="00787938" w:rsidRPr="00787938">
        <w:t xml:space="preserve"> </w:t>
      </w:r>
      <w:r w:rsidR="00787938" w:rsidRPr="00075391">
        <w:t>We have determined that the provision of the file</w:t>
      </w:r>
      <w:r w:rsidR="00787938">
        <w:t>s</w:t>
      </w:r>
      <w:r w:rsidR="00787938" w:rsidRPr="00075391">
        <w:t xml:space="preserve"> will take 34 hours for each HOPD/ASC</w:t>
      </w:r>
      <w:r w:rsidR="00787938">
        <w:t xml:space="preserve"> annually. </w:t>
      </w:r>
      <w:r w:rsidR="00D42DDA">
        <w:t>The</w:t>
      </w:r>
      <w:r w:rsidR="00787938">
        <w:t xml:space="preserve"> one-time start-up activities for facilities include contracting with an approved survey vendor and authorize the vendor on the </w:t>
      </w:r>
      <w:r w:rsidR="004E4DEA">
        <w:t>OAS CAHPS</w:t>
      </w:r>
      <w:r w:rsidR="00787938">
        <w:t xml:space="preserve"> website.</w:t>
      </w:r>
    </w:p>
    <w:p w14:paraId="5AC40AD4" w14:textId="5719828F" w:rsidR="00D42DDA" w:rsidRDefault="009C1BBD" w:rsidP="005222D1">
      <w:pPr>
        <w:pStyle w:val="BodyText"/>
      </w:pPr>
      <w:r w:rsidRPr="00D75887">
        <w:t>CMS believes that the 34 hours of labor</w:t>
      </w:r>
      <w:r w:rsidR="009C7F50" w:rsidRPr="00D75887">
        <w:t>, which</w:t>
      </w:r>
      <w:r w:rsidRPr="00D75887">
        <w:t xml:space="preserve"> the HOPD/ASC will need to </w:t>
      </w:r>
      <w:r w:rsidR="009C7F50" w:rsidRPr="00D75887">
        <w:t>provide patient records</w:t>
      </w:r>
      <w:r w:rsidRPr="00D75887">
        <w:t xml:space="preserve"> annually</w:t>
      </w:r>
      <w:r w:rsidR="009C7F50" w:rsidRPr="00D75887">
        <w:t>,</w:t>
      </w:r>
      <w:r w:rsidRPr="00D75887">
        <w:t xml:space="preserve"> can be conducted by a </w:t>
      </w:r>
      <w:r w:rsidR="00D42DDA">
        <w:t>d</w:t>
      </w:r>
      <w:r w:rsidRPr="00D75887">
        <w:t xml:space="preserve">atabase </w:t>
      </w:r>
      <w:r w:rsidR="00D42DDA">
        <w:t>a</w:t>
      </w:r>
      <w:r w:rsidRPr="00D75887">
        <w:t>dministrator</w:t>
      </w:r>
      <w:r w:rsidR="00D42DDA">
        <w:t xml:space="preserve"> at </w:t>
      </w:r>
      <w:r w:rsidRPr="00D75887">
        <w:t>$</w:t>
      </w:r>
      <w:r w:rsidR="00E6714C">
        <w:t>85.62</w:t>
      </w:r>
      <w:r w:rsidR="00D42DDA">
        <w:t>/hr</w:t>
      </w:r>
      <w:r w:rsidRPr="00D75887">
        <w:t xml:space="preserve">. </w:t>
      </w:r>
    </w:p>
    <w:p w14:paraId="10EE7E57" w14:textId="45413BF0" w:rsidR="006B4196" w:rsidRPr="00D75887" w:rsidRDefault="00E6714C" w:rsidP="005222D1">
      <w:pPr>
        <w:pStyle w:val="BodyText"/>
      </w:pPr>
      <w:r w:rsidRPr="00D75887">
        <w:t>Assuming 2,104 facilities voluntarily participate in the OAS CAHPS,</w:t>
      </w:r>
      <w:r>
        <w:t xml:space="preserve"> i</w:t>
      </w:r>
      <w:r w:rsidR="006D324F" w:rsidRPr="00D75887">
        <w:t xml:space="preserve">n </w:t>
      </w:r>
      <w:r w:rsidR="006D324F" w:rsidRPr="00D75887">
        <w:rPr>
          <w:b/>
        </w:rPr>
        <w:t>Exhibit A</w:t>
      </w:r>
      <w:r w:rsidR="006D324F" w:rsidRPr="00D75887">
        <w:rPr>
          <w:b/>
        </w:rPr>
        <w:noBreakHyphen/>
      </w:r>
      <w:r w:rsidR="00057D10" w:rsidRPr="00D75887">
        <w:rPr>
          <w:b/>
        </w:rPr>
        <w:t>3</w:t>
      </w:r>
      <w:r w:rsidR="006D324F" w:rsidRPr="00D75887">
        <w:rPr>
          <w:b/>
        </w:rPr>
        <w:t>a</w:t>
      </w:r>
      <w:r w:rsidR="006D324F" w:rsidRPr="00D75887">
        <w:t xml:space="preserve">, we have summarized the estimated </w:t>
      </w:r>
      <w:r>
        <w:t xml:space="preserve">time </w:t>
      </w:r>
      <w:r w:rsidR="006D324F" w:rsidRPr="00D75887">
        <w:t xml:space="preserve">for the facilities to prepare the patient records. </w:t>
      </w:r>
      <w:r w:rsidR="008B7283" w:rsidRPr="00D75887">
        <w:t xml:space="preserve">In </w:t>
      </w:r>
      <w:r w:rsidR="008B7283" w:rsidRPr="00D75887">
        <w:rPr>
          <w:b/>
        </w:rPr>
        <w:t>Exhibit A</w:t>
      </w:r>
      <w:r w:rsidR="008B7283" w:rsidRPr="00D75887">
        <w:rPr>
          <w:b/>
        </w:rPr>
        <w:noBreakHyphen/>
      </w:r>
      <w:r w:rsidR="00057D10" w:rsidRPr="00D75887">
        <w:rPr>
          <w:b/>
        </w:rPr>
        <w:t>3</w:t>
      </w:r>
      <w:r w:rsidR="006D324F" w:rsidRPr="00D75887">
        <w:rPr>
          <w:b/>
        </w:rPr>
        <w:t>b</w:t>
      </w:r>
      <w:r w:rsidR="008B7283" w:rsidRPr="00D75887">
        <w:t>, we have summarized the estimated cost to the facilities</w:t>
      </w:r>
      <w:r w:rsidR="006D324F" w:rsidRPr="00D75887">
        <w:t xml:space="preserve"> for preparing the patient records</w:t>
      </w:r>
      <w:r w:rsidR="008B7283" w:rsidRPr="00D75887">
        <w:t>.</w:t>
      </w:r>
    </w:p>
    <w:p w14:paraId="50B87F09" w14:textId="77777777" w:rsidR="005F470C" w:rsidRPr="00E6714C" w:rsidRDefault="005F470C" w:rsidP="005F470C">
      <w:pPr>
        <w:pStyle w:val="BodyText"/>
        <w:ind w:firstLine="0"/>
        <w:rPr>
          <w:i/>
          <w:u w:val="single"/>
        </w:rPr>
      </w:pPr>
      <w:r w:rsidRPr="00E6714C">
        <w:rPr>
          <w:i/>
          <w:u w:val="single"/>
        </w:rPr>
        <w:t>Mode Experiment</w:t>
      </w:r>
    </w:p>
    <w:p w14:paraId="6BA480FE" w14:textId="77777777" w:rsidR="005F470C" w:rsidRPr="00D75887" w:rsidRDefault="005F470C" w:rsidP="005F470C">
      <w:pPr>
        <w:pStyle w:val="BodyText"/>
      </w:pPr>
      <w:r w:rsidRPr="00D75887">
        <w:t xml:space="preserve">Each facility participating in the OAS CAHPS mode experiment must prepare and submit a file containing patient data on patients served the preceding month. RTI will use this file to select the sample and field the survey. Preparing this file (essentially the sampling frame) for most HOPDs and ASCs can vary by the required level of effort. The data elements needed on the sample frame will be kept at a minimum to reduce the burden on all participating facilities. The burden associated with this survey administration is the time and effort put forth by the facility to prepare and submit the file containing patient data on patients. The survey instrument and procedures for completing the instrument are designed to minimize burden on all respondents. We have determined that the provision of the files will take 8.5 hours for each HOPD/ASC. </w:t>
      </w:r>
    </w:p>
    <w:p w14:paraId="47C447A8" w14:textId="3B5365CC" w:rsidR="00E6714C" w:rsidRDefault="005F470C" w:rsidP="005F470C">
      <w:pPr>
        <w:pStyle w:val="BodyText"/>
      </w:pPr>
      <w:r w:rsidRPr="00D75887">
        <w:t xml:space="preserve">CMS believes that the 8.5 hours of labor, which the HOPD/ASC will need to provide patient records can be conducted by a </w:t>
      </w:r>
      <w:r w:rsidR="00E6714C">
        <w:t>d</w:t>
      </w:r>
      <w:r w:rsidRPr="00D75887">
        <w:t xml:space="preserve">atabase </w:t>
      </w:r>
      <w:r w:rsidR="00E6714C">
        <w:t>a</w:t>
      </w:r>
      <w:r w:rsidRPr="00D75887">
        <w:t>dministrator</w:t>
      </w:r>
      <w:r w:rsidR="00E6714C">
        <w:t xml:space="preserve"> at </w:t>
      </w:r>
      <w:r w:rsidR="00E6714C" w:rsidRPr="00D75887">
        <w:t>$</w:t>
      </w:r>
      <w:r w:rsidR="00E6714C">
        <w:t>85.62/hr</w:t>
      </w:r>
      <w:r w:rsidRPr="00D75887">
        <w:t xml:space="preserve">. </w:t>
      </w:r>
    </w:p>
    <w:p w14:paraId="20F58CA8" w14:textId="3FEEEBE6" w:rsidR="005F470C" w:rsidRPr="00D75887" w:rsidRDefault="00E6714C" w:rsidP="005F470C">
      <w:pPr>
        <w:pStyle w:val="BodyText"/>
      </w:pPr>
      <w:r w:rsidRPr="00D75887">
        <w:t>Assuming 70 facilities participate in the OAS CAHPS Mode Experiment,</w:t>
      </w:r>
      <w:r>
        <w:t xml:space="preserve"> i</w:t>
      </w:r>
      <w:r w:rsidR="005F470C" w:rsidRPr="00D75887">
        <w:t xml:space="preserve">n </w:t>
      </w:r>
      <w:r w:rsidR="005F470C" w:rsidRPr="00D75887">
        <w:rPr>
          <w:b/>
        </w:rPr>
        <w:t>Exhibit A</w:t>
      </w:r>
      <w:r w:rsidR="005F470C" w:rsidRPr="00D75887">
        <w:rPr>
          <w:b/>
        </w:rPr>
        <w:noBreakHyphen/>
        <w:t>3a</w:t>
      </w:r>
      <w:r w:rsidR="005F470C" w:rsidRPr="00D75887">
        <w:t xml:space="preserve">, we have summarized the estimated </w:t>
      </w:r>
      <w:r>
        <w:t xml:space="preserve">time </w:t>
      </w:r>
      <w:r w:rsidR="005F470C" w:rsidRPr="00D75887">
        <w:t xml:space="preserve">for facilities to prepare the patient records.  In </w:t>
      </w:r>
      <w:r w:rsidR="005F470C" w:rsidRPr="00D75887">
        <w:rPr>
          <w:b/>
          <w:bCs/>
        </w:rPr>
        <w:t>Exhibit A</w:t>
      </w:r>
      <w:r w:rsidR="005F470C" w:rsidRPr="00D75887">
        <w:rPr>
          <w:b/>
          <w:bCs/>
        </w:rPr>
        <w:noBreakHyphen/>
        <w:t>3b</w:t>
      </w:r>
      <w:r w:rsidR="005F470C" w:rsidRPr="00D75887">
        <w:t xml:space="preserve">, we have summarized the estimated cost </w:t>
      </w:r>
      <w:r>
        <w:t xml:space="preserve">to prepare those </w:t>
      </w:r>
      <w:r w:rsidR="005F470C" w:rsidRPr="00D75887">
        <w:t xml:space="preserve">records. </w:t>
      </w:r>
    </w:p>
    <w:p w14:paraId="786B8ACB" w14:textId="77777777" w:rsidR="005F470C" w:rsidRPr="00D75887" w:rsidRDefault="005F470C" w:rsidP="005222D1">
      <w:pPr>
        <w:pStyle w:val="BodyText"/>
      </w:pPr>
    </w:p>
    <w:p w14:paraId="28719C09" w14:textId="25192AB2" w:rsidR="00A903DF" w:rsidRPr="00D75887" w:rsidRDefault="00A903DF" w:rsidP="00A903DF">
      <w:pPr>
        <w:pStyle w:val="Caption"/>
      </w:pPr>
      <w:bookmarkStart w:id="72" w:name="_Toc417574914"/>
      <w:r w:rsidRPr="00D75887">
        <w:t>Exhibit A</w:t>
      </w:r>
      <w:r w:rsidRPr="00D75887">
        <w:noBreakHyphen/>
      </w:r>
      <w:r w:rsidR="00057D10" w:rsidRPr="00D75887">
        <w:t>3</w:t>
      </w:r>
      <w:r w:rsidRPr="00D75887">
        <w:t>a.</w:t>
      </w:r>
      <w:r w:rsidRPr="00D75887">
        <w:tab/>
        <w:t xml:space="preserve">Estimated </w:t>
      </w:r>
      <w:r w:rsidR="00E6714C">
        <w:t>Time for Fac</w:t>
      </w:r>
      <w:r w:rsidRPr="00D75887">
        <w:t xml:space="preserve">ilities </w:t>
      </w:r>
      <w:r w:rsidR="00E6714C">
        <w:t xml:space="preserve">to </w:t>
      </w:r>
      <w:r w:rsidRPr="00D75887">
        <w:t>Prepar</w:t>
      </w:r>
      <w:r w:rsidR="00E6714C">
        <w:t>e</w:t>
      </w:r>
      <w:r w:rsidRPr="00D75887">
        <w:t xml:space="preserve"> Patient Records</w:t>
      </w:r>
    </w:p>
    <w:tbl>
      <w:tblPr>
        <w:tblW w:w="5000" w:type="pct"/>
        <w:tblInd w:w="108" w:type="dxa"/>
        <w:tblBorders>
          <w:top w:val="single" w:sz="12" w:space="0" w:color="auto"/>
          <w:bottom w:val="single" w:sz="12" w:space="0" w:color="auto"/>
          <w:insideH w:val="single" w:sz="4" w:space="0" w:color="auto"/>
        </w:tblBorders>
        <w:tblLayout w:type="fixed"/>
        <w:tblCellMar>
          <w:left w:w="58" w:type="dxa"/>
          <w:right w:w="58" w:type="dxa"/>
        </w:tblCellMar>
        <w:tblLook w:val="0000" w:firstRow="0" w:lastRow="0" w:firstColumn="0" w:lastColumn="0" w:noHBand="0" w:noVBand="0"/>
      </w:tblPr>
      <w:tblGrid>
        <w:gridCol w:w="3592"/>
        <w:gridCol w:w="1496"/>
        <w:gridCol w:w="1496"/>
        <w:gridCol w:w="1496"/>
        <w:gridCol w:w="1496"/>
      </w:tblGrid>
      <w:tr w:rsidR="00D75887" w:rsidRPr="00D83427" w14:paraId="4950D8BB" w14:textId="77777777" w:rsidTr="00C27BA5">
        <w:trPr>
          <w:cantSplit/>
          <w:tblHeader/>
        </w:trPr>
        <w:tc>
          <w:tcPr>
            <w:tcW w:w="3512" w:type="dxa"/>
            <w:shd w:val="clear" w:color="auto" w:fill="auto"/>
            <w:tcMar>
              <w:top w:w="0" w:type="dxa"/>
              <w:left w:w="108" w:type="dxa"/>
              <w:bottom w:w="0" w:type="dxa"/>
              <w:right w:w="108" w:type="dxa"/>
            </w:tcMar>
            <w:vAlign w:val="bottom"/>
          </w:tcPr>
          <w:p w14:paraId="297BC33D" w14:textId="77777777" w:rsidR="00A903DF" w:rsidRPr="00D83427" w:rsidRDefault="00A903DF" w:rsidP="0060215F">
            <w:pPr>
              <w:pStyle w:val="TableHeaders"/>
            </w:pPr>
            <w:r w:rsidRPr="00D83427">
              <w:t>Form Name</w:t>
            </w:r>
          </w:p>
        </w:tc>
        <w:tc>
          <w:tcPr>
            <w:tcW w:w="1462" w:type="dxa"/>
            <w:shd w:val="clear" w:color="auto" w:fill="auto"/>
            <w:tcMar>
              <w:top w:w="0" w:type="dxa"/>
              <w:left w:w="108" w:type="dxa"/>
              <w:bottom w:w="0" w:type="dxa"/>
              <w:right w:w="108" w:type="dxa"/>
            </w:tcMar>
            <w:vAlign w:val="bottom"/>
          </w:tcPr>
          <w:p w14:paraId="0BFDB6F5" w14:textId="77777777" w:rsidR="00A903DF" w:rsidRPr="00D83427" w:rsidRDefault="00A903DF" w:rsidP="0060215F">
            <w:pPr>
              <w:pStyle w:val="TableHeaders"/>
            </w:pPr>
            <w:r w:rsidRPr="00D83427">
              <w:t>Number of Respondents</w:t>
            </w:r>
          </w:p>
        </w:tc>
        <w:tc>
          <w:tcPr>
            <w:tcW w:w="1462" w:type="dxa"/>
            <w:shd w:val="clear" w:color="auto" w:fill="auto"/>
            <w:tcMar>
              <w:top w:w="0" w:type="dxa"/>
              <w:left w:w="108" w:type="dxa"/>
              <w:bottom w:w="0" w:type="dxa"/>
              <w:right w:w="108" w:type="dxa"/>
            </w:tcMar>
            <w:vAlign w:val="bottom"/>
          </w:tcPr>
          <w:p w14:paraId="1F608689" w14:textId="77777777" w:rsidR="00A903DF" w:rsidRPr="00D83427" w:rsidRDefault="00A903DF" w:rsidP="00A903DF">
            <w:pPr>
              <w:pStyle w:val="TableHeaders"/>
            </w:pPr>
            <w:r w:rsidRPr="00D83427">
              <w:t>Number of Responses Per Respondent</w:t>
            </w:r>
          </w:p>
        </w:tc>
        <w:tc>
          <w:tcPr>
            <w:tcW w:w="1462" w:type="dxa"/>
            <w:shd w:val="clear" w:color="auto" w:fill="auto"/>
            <w:tcMar>
              <w:top w:w="0" w:type="dxa"/>
              <w:left w:w="108" w:type="dxa"/>
              <w:bottom w:w="0" w:type="dxa"/>
              <w:right w:w="108" w:type="dxa"/>
            </w:tcMar>
            <w:vAlign w:val="bottom"/>
          </w:tcPr>
          <w:p w14:paraId="5515EBB8" w14:textId="4FAD8E8D" w:rsidR="00A903DF" w:rsidRPr="00D83427" w:rsidRDefault="00A903DF" w:rsidP="006E73E4">
            <w:pPr>
              <w:pStyle w:val="TableHeaders"/>
            </w:pPr>
            <w:r w:rsidRPr="00D83427">
              <w:t>Av</w:t>
            </w:r>
            <w:r w:rsidR="006E73E4" w:rsidRPr="00D83427">
              <w:t>erage Hours per Response</w:t>
            </w:r>
          </w:p>
        </w:tc>
        <w:tc>
          <w:tcPr>
            <w:tcW w:w="1462" w:type="dxa"/>
            <w:shd w:val="clear" w:color="auto" w:fill="auto"/>
            <w:tcMar>
              <w:top w:w="0" w:type="dxa"/>
              <w:left w:w="108" w:type="dxa"/>
              <w:bottom w:w="0" w:type="dxa"/>
              <w:right w:w="108" w:type="dxa"/>
            </w:tcMar>
            <w:vAlign w:val="bottom"/>
          </w:tcPr>
          <w:p w14:paraId="4500C34A" w14:textId="563C900B" w:rsidR="00A903DF" w:rsidRPr="00D83427" w:rsidRDefault="00976655" w:rsidP="00976655">
            <w:pPr>
              <w:pStyle w:val="TableHeaders"/>
            </w:pPr>
            <w:r w:rsidRPr="00D83427">
              <w:t>Total</w:t>
            </w:r>
            <w:r w:rsidR="00A903DF" w:rsidRPr="00D83427">
              <w:t xml:space="preserve"> Burden</w:t>
            </w:r>
            <w:r w:rsidRPr="00D83427">
              <w:t xml:space="preserve"> Hours</w:t>
            </w:r>
          </w:p>
        </w:tc>
      </w:tr>
      <w:tr w:rsidR="00D75887" w:rsidRPr="00D83427" w14:paraId="1978AAD9" w14:textId="77777777" w:rsidTr="005F470C">
        <w:trPr>
          <w:cantSplit/>
        </w:trPr>
        <w:tc>
          <w:tcPr>
            <w:tcW w:w="3512" w:type="dxa"/>
            <w:shd w:val="clear" w:color="auto" w:fill="auto"/>
            <w:tcMar>
              <w:top w:w="0" w:type="dxa"/>
              <w:left w:w="108" w:type="dxa"/>
              <w:bottom w:w="0" w:type="dxa"/>
              <w:right w:w="108" w:type="dxa"/>
            </w:tcMar>
            <w:vAlign w:val="bottom"/>
          </w:tcPr>
          <w:p w14:paraId="5AE54C67" w14:textId="77777777" w:rsidR="00A903DF" w:rsidRPr="00D83427" w:rsidRDefault="00A903DF" w:rsidP="0060215F">
            <w:pPr>
              <w:pStyle w:val="TableText"/>
            </w:pPr>
            <w:r w:rsidRPr="00D83427">
              <w:t xml:space="preserve">HOPDs/ASCs Patient Records for National Implementation </w:t>
            </w:r>
          </w:p>
        </w:tc>
        <w:tc>
          <w:tcPr>
            <w:tcW w:w="1462" w:type="dxa"/>
            <w:shd w:val="clear" w:color="auto" w:fill="auto"/>
            <w:tcMar>
              <w:top w:w="0" w:type="dxa"/>
              <w:left w:w="108" w:type="dxa"/>
              <w:bottom w:w="0" w:type="dxa"/>
              <w:right w:w="108" w:type="dxa"/>
            </w:tcMar>
            <w:vAlign w:val="bottom"/>
          </w:tcPr>
          <w:p w14:paraId="29B0F31F" w14:textId="77777777" w:rsidR="00A903DF" w:rsidRPr="00D83427" w:rsidRDefault="006D324F" w:rsidP="005F470C">
            <w:pPr>
              <w:pStyle w:val="TableText"/>
              <w:jc w:val="right"/>
            </w:pPr>
            <w:r w:rsidRPr="00D83427">
              <w:t>2</w:t>
            </w:r>
            <w:r w:rsidR="00A903DF" w:rsidRPr="00D83427">
              <w:t>,</w:t>
            </w:r>
            <w:r w:rsidRPr="00D83427">
              <w:t>104</w:t>
            </w:r>
            <w:r w:rsidR="00A903DF" w:rsidRPr="00D83427">
              <w:t xml:space="preserve"> </w:t>
            </w:r>
          </w:p>
        </w:tc>
        <w:tc>
          <w:tcPr>
            <w:tcW w:w="1462" w:type="dxa"/>
            <w:shd w:val="clear" w:color="auto" w:fill="auto"/>
            <w:tcMar>
              <w:top w:w="0" w:type="dxa"/>
              <w:left w:w="108" w:type="dxa"/>
              <w:bottom w:w="0" w:type="dxa"/>
              <w:right w:w="108" w:type="dxa"/>
            </w:tcMar>
            <w:vAlign w:val="bottom"/>
          </w:tcPr>
          <w:p w14:paraId="046BAEBA" w14:textId="77777777" w:rsidR="00A903DF" w:rsidRPr="00D83427" w:rsidRDefault="00A903DF" w:rsidP="005F470C">
            <w:pPr>
              <w:pStyle w:val="TableText"/>
              <w:jc w:val="center"/>
            </w:pPr>
            <w:r w:rsidRPr="00D83427">
              <w:t>1</w:t>
            </w:r>
          </w:p>
        </w:tc>
        <w:tc>
          <w:tcPr>
            <w:tcW w:w="1462" w:type="dxa"/>
            <w:shd w:val="clear" w:color="auto" w:fill="auto"/>
            <w:tcMar>
              <w:top w:w="0" w:type="dxa"/>
              <w:left w:w="108" w:type="dxa"/>
              <w:bottom w:w="0" w:type="dxa"/>
              <w:right w:w="108" w:type="dxa"/>
            </w:tcMar>
            <w:vAlign w:val="bottom"/>
          </w:tcPr>
          <w:p w14:paraId="321ACD78" w14:textId="77777777" w:rsidR="00A903DF" w:rsidRPr="00D83427" w:rsidRDefault="006D324F" w:rsidP="005F470C">
            <w:pPr>
              <w:pStyle w:val="TableText"/>
              <w:jc w:val="center"/>
            </w:pPr>
            <w:r w:rsidRPr="00D83427">
              <w:t>34</w:t>
            </w:r>
          </w:p>
        </w:tc>
        <w:tc>
          <w:tcPr>
            <w:tcW w:w="1462" w:type="dxa"/>
            <w:shd w:val="clear" w:color="auto" w:fill="auto"/>
            <w:tcMar>
              <w:top w:w="0" w:type="dxa"/>
              <w:left w:w="108" w:type="dxa"/>
              <w:bottom w:w="0" w:type="dxa"/>
              <w:right w:w="108" w:type="dxa"/>
            </w:tcMar>
            <w:vAlign w:val="bottom"/>
          </w:tcPr>
          <w:p w14:paraId="49493B67" w14:textId="77777777" w:rsidR="00A903DF" w:rsidRPr="00D83427" w:rsidRDefault="00EB66DF" w:rsidP="005F470C">
            <w:pPr>
              <w:pStyle w:val="TableText"/>
              <w:jc w:val="right"/>
            </w:pPr>
            <w:r w:rsidRPr="00D83427">
              <w:t>71</w:t>
            </w:r>
            <w:r w:rsidR="00A903DF" w:rsidRPr="00D83427">
              <w:t>,</w:t>
            </w:r>
            <w:r w:rsidRPr="00D83427">
              <w:t>536</w:t>
            </w:r>
            <w:r w:rsidR="00A903DF" w:rsidRPr="00D83427">
              <w:t xml:space="preserve"> </w:t>
            </w:r>
          </w:p>
        </w:tc>
      </w:tr>
      <w:tr w:rsidR="00D75887" w:rsidRPr="00D75887" w14:paraId="51D5AED3" w14:textId="77777777" w:rsidTr="005F470C">
        <w:trPr>
          <w:cantSplit/>
        </w:trPr>
        <w:tc>
          <w:tcPr>
            <w:tcW w:w="3512" w:type="dxa"/>
            <w:shd w:val="clear" w:color="auto" w:fill="auto"/>
            <w:tcMar>
              <w:top w:w="0" w:type="dxa"/>
              <w:left w:w="108" w:type="dxa"/>
              <w:bottom w:w="0" w:type="dxa"/>
              <w:right w:w="108" w:type="dxa"/>
            </w:tcMar>
            <w:vAlign w:val="bottom"/>
          </w:tcPr>
          <w:p w14:paraId="4B6006F8" w14:textId="59193A96" w:rsidR="005F470C" w:rsidRPr="00D83427" w:rsidRDefault="005F470C" w:rsidP="005F470C">
            <w:pPr>
              <w:pStyle w:val="TableText"/>
            </w:pPr>
            <w:r w:rsidRPr="00D83427">
              <w:t>HOPDs/ASCs Patient Records for Mode Experiment</w:t>
            </w:r>
          </w:p>
        </w:tc>
        <w:tc>
          <w:tcPr>
            <w:tcW w:w="1462" w:type="dxa"/>
            <w:shd w:val="clear" w:color="auto" w:fill="auto"/>
            <w:tcMar>
              <w:top w:w="0" w:type="dxa"/>
              <w:left w:w="108" w:type="dxa"/>
              <w:bottom w:w="0" w:type="dxa"/>
              <w:right w:w="108" w:type="dxa"/>
            </w:tcMar>
          </w:tcPr>
          <w:p w14:paraId="3DF840C5" w14:textId="37E97B03" w:rsidR="005F470C" w:rsidRPr="00D83427" w:rsidRDefault="005F470C" w:rsidP="005F470C">
            <w:pPr>
              <w:pStyle w:val="TableText"/>
              <w:jc w:val="right"/>
            </w:pPr>
            <w:r w:rsidRPr="00D83427">
              <w:t>70</w:t>
            </w:r>
          </w:p>
        </w:tc>
        <w:tc>
          <w:tcPr>
            <w:tcW w:w="1462" w:type="dxa"/>
            <w:shd w:val="clear" w:color="auto" w:fill="auto"/>
            <w:tcMar>
              <w:top w:w="0" w:type="dxa"/>
              <w:left w:w="108" w:type="dxa"/>
              <w:bottom w:w="0" w:type="dxa"/>
              <w:right w:w="108" w:type="dxa"/>
            </w:tcMar>
          </w:tcPr>
          <w:p w14:paraId="77D995E3" w14:textId="1320F8DC" w:rsidR="005F470C" w:rsidRPr="00D83427" w:rsidRDefault="005F470C" w:rsidP="005F470C">
            <w:pPr>
              <w:pStyle w:val="TableText"/>
              <w:jc w:val="center"/>
            </w:pPr>
            <w:r w:rsidRPr="00D83427">
              <w:t>1</w:t>
            </w:r>
          </w:p>
        </w:tc>
        <w:tc>
          <w:tcPr>
            <w:tcW w:w="1462" w:type="dxa"/>
            <w:shd w:val="clear" w:color="auto" w:fill="auto"/>
            <w:tcMar>
              <w:top w:w="0" w:type="dxa"/>
              <w:left w:w="108" w:type="dxa"/>
              <w:bottom w:w="0" w:type="dxa"/>
              <w:right w:w="108" w:type="dxa"/>
            </w:tcMar>
          </w:tcPr>
          <w:p w14:paraId="71581AE0" w14:textId="72F7D06F" w:rsidR="005F470C" w:rsidRPr="00D83427" w:rsidRDefault="005F470C" w:rsidP="005F470C">
            <w:pPr>
              <w:pStyle w:val="TableText"/>
              <w:jc w:val="center"/>
            </w:pPr>
            <w:r w:rsidRPr="00D83427">
              <w:t>8.5</w:t>
            </w:r>
          </w:p>
        </w:tc>
        <w:tc>
          <w:tcPr>
            <w:tcW w:w="1462" w:type="dxa"/>
            <w:shd w:val="clear" w:color="auto" w:fill="auto"/>
            <w:tcMar>
              <w:top w:w="0" w:type="dxa"/>
              <w:left w:w="108" w:type="dxa"/>
              <w:bottom w:w="0" w:type="dxa"/>
              <w:right w:w="108" w:type="dxa"/>
            </w:tcMar>
          </w:tcPr>
          <w:p w14:paraId="5C0BF57D" w14:textId="28041B3A" w:rsidR="005F470C" w:rsidRPr="00D75887" w:rsidRDefault="005F470C" w:rsidP="005F470C">
            <w:pPr>
              <w:pStyle w:val="TableText"/>
              <w:jc w:val="right"/>
            </w:pPr>
            <w:r w:rsidRPr="00D83427">
              <w:t>595</w:t>
            </w:r>
            <w:r w:rsidRPr="00D75887">
              <w:t xml:space="preserve"> </w:t>
            </w:r>
          </w:p>
        </w:tc>
      </w:tr>
      <w:tr w:rsidR="005F470C" w:rsidRPr="00D75887" w14:paraId="011A4B0C" w14:textId="77777777" w:rsidTr="005F470C">
        <w:trPr>
          <w:cantSplit/>
        </w:trPr>
        <w:tc>
          <w:tcPr>
            <w:tcW w:w="3512" w:type="dxa"/>
            <w:shd w:val="clear" w:color="auto" w:fill="auto"/>
            <w:tcMar>
              <w:top w:w="0" w:type="dxa"/>
              <w:left w:w="108" w:type="dxa"/>
              <w:bottom w:w="0" w:type="dxa"/>
              <w:right w:w="108" w:type="dxa"/>
            </w:tcMar>
            <w:vAlign w:val="bottom"/>
          </w:tcPr>
          <w:p w14:paraId="453F04CC" w14:textId="77777777" w:rsidR="005F470C" w:rsidRPr="00D75887" w:rsidRDefault="005F470C" w:rsidP="005F470C">
            <w:pPr>
              <w:pStyle w:val="TableText"/>
              <w:rPr>
                <w:b/>
              </w:rPr>
            </w:pPr>
            <w:r w:rsidRPr="00D75887">
              <w:rPr>
                <w:b/>
              </w:rPr>
              <w:t>Total</w:t>
            </w:r>
          </w:p>
        </w:tc>
        <w:tc>
          <w:tcPr>
            <w:tcW w:w="1462" w:type="dxa"/>
            <w:shd w:val="clear" w:color="auto" w:fill="auto"/>
            <w:tcMar>
              <w:top w:w="0" w:type="dxa"/>
              <w:left w:w="108" w:type="dxa"/>
              <w:bottom w:w="0" w:type="dxa"/>
              <w:right w:w="108" w:type="dxa"/>
            </w:tcMar>
            <w:vAlign w:val="bottom"/>
          </w:tcPr>
          <w:p w14:paraId="1DA7E845" w14:textId="0A70406A" w:rsidR="005F470C" w:rsidRPr="00D75887" w:rsidRDefault="005F470C" w:rsidP="005F470C">
            <w:pPr>
              <w:pStyle w:val="TableText"/>
              <w:jc w:val="right"/>
            </w:pPr>
            <w:r w:rsidRPr="00D75887">
              <w:t xml:space="preserve">2,174 </w:t>
            </w:r>
          </w:p>
        </w:tc>
        <w:tc>
          <w:tcPr>
            <w:tcW w:w="1462" w:type="dxa"/>
            <w:shd w:val="clear" w:color="auto" w:fill="auto"/>
            <w:tcMar>
              <w:top w:w="0" w:type="dxa"/>
              <w:left w:w="108" w:type="dxa"/>
              <w:bottom w:w="0" w:type="dxa"/>
              <w:right w:w="108" w:type="dxa"/>
            </w:tcMar>
            <w:vAlign w:val="bottom"/>
          </w:tcPr>
          <w:p w14:paraId="4D865098" w14:textId="50127517" w:rsidR="005F470C" w:rsidRPr="00D75887" w:rsidRDefault="005F470C" w:rsidP="005F470C">
            <w:pPr>
              <w:pStyle w:val="TableText"/>
              <w:jc w:val="center"/>
            </w:pPr>
          </w:p>
        </w:tc>
        <w:tc>
          <w:tcPr>
            <w:tcW w:w="1462" w:type="dxa"/>
            <w:shd w:val="clear" w:color="auto" w:fill="auto"/>
            <w:tcMar>
              <w:top w:w="0" w:type="dxa"/>
              <w:left w:w="108" w:type="dxa"/>
              <w:bottom w:w="0" w:type="dxa"/>
              <w:right w:w="108" w:type="dxa"/>
            </w:tcMar>
            <w:vAlign w:val="bottom"/>
          </w:tcPr>
          <w:p w14:paraId="34CEB388" w14:textId="3A22D175" w:rsidR="005F470C" w:rsidRPr="00D75887" w:rsidRDefault="005D3319" w:rsidP="005F470C">
            <w:pPr>
              <w:pStyle w:val="TableText"/>
              <w:jc w:val="center"/>
            </w:pPr>
            <w:r>
              <w:t>V</w:t>
            </w:r>
            <w:r w:rsidR="00E6714C">
              <w:t>aries</w:t>
            </w:r>
          </w:p>
        </w:tc>
        <w:tc>
          <w:tcPr>
            <w:tcW w:w="1462" w:type="dxa"/>
            <w:shd w:val="clear" w:color="auto" w:fill="auto"/>
            <w:tcMar>
              <w:top w:w="0" w:type="dxa"/>
              <w:left w:w="108" w:type="dxa"/>
              <w:bottom w:w="0" w:type="dxa"/>
              <w:right w:w="108" w:type="dxa"/>
            </w:tcMar>
            <w:vAlign w:val="bottom"/>
          </w:tcPr>
          <w:p w14:paraId="78CA39DA" w14:textId="1CE638E8" w:rsidR="005F470C" w:rsidRPr="00D75887" w:rsidRDefault="005F470C" w:rsidP="005F470C">
            <w:pPr>
              <w:pStyle w:val="TableText"/>
              <w:jc w:val="right"/>
            </w:pPr>
            <w:r w:rsidRPr="00D75887">
              <w:t>7</w:t>
            </w:r>
            <w:r w:rsidR="00B87D00" w:rsidRPr="00D75887">
              <w:t>2</w:t>
            </w:r>
            <w:r w:rsidRPr="00D75887">
              <w:t>,</w:t>
            </w:r>
            <w:r w:rsidR="00B87D00" w:rsidRPr="00D75887">
              <w:t>131</w:t>
            </w:r>
            <w:r w:rsidRPr="00D75887">
              <w:t xml:space="preserve"> </w:t>
            </w:r>
          </w:p>
        </w:tc>
      </w:tr>
    </w:tbl>
    <w:p w14:paraId="68BDBFBB" w14:textId="77777777" w:rsidR="00A903DF" w:rsidRPr="00D75887" w:rsidRDefault="00A903DF" w:rsidP="00A903DF">
      <w:pPr>
        <w:pStyle w:val="Source"/>
      </w:pPr>
    </w:p>
    <w:p w14:paraId="527167DD" w14:textId="33836A06" w:rsidR="008B7283" w:rsidRPr="00D75887" w:rsidRDefault="008B7283" w:rsidP="008B7283">
      <w:pPr>
        <w:pStyle w:val="Caption"/>
      </w:pPr>
      <w:r w:rsidRPr="00D75887">
        <w:t>Exhibit A</w:t>
      </w:r>
      <w:r w:rsidRPr="00D75887">
        <w:noBreakHyphen/>
      </w:r>
      <w:r w:rsidR="00057D10" w:rsidRPr="00D75887">
        <w:t>3</w:t>
      </w:r>
      <w:r w:rsidR="00A903DF" w:rsidRPr="00D75887">
        <w:t>b</w:t>
      </w:r>
      <w:r w:rsidRPr="00D75887">
        <w:t>.</w:t>
      </w:r>
      <w:r w:rsidRPr="00D75887">
        <w:tab/>
        <w:t xml:space="preserve">Estimated Cost </w:t>
      </w:r>
      <w:r w:rsidR="00E6714C">
        <w:t xml:space="preserve">for </w:t>
      </w:r>
      <w:r w:rsidRPr="00D75887">
        <w:t xml:space="preserve">Facilities </w:t>
      </w:r>
      <w:r w:rsidR="00E6714C">
        <w:t>to P</w:t>
      </w:r>
      <w:r w:rsidRPr="00D75887">
        <w:t>repar</w:t>
      </w:r>
      <w:r w:rsidR="00E6714C">
        <w:t>e</w:t>
      </w:r>
      <w:r w:rsidRPr="00D75887">
        <w:t xml:space="preserve"> Patient Record</w:t>
      </w:r>
      <w:bookmarkEnd w:id="72"/>
      <w:r w:rsidR="004974D0" w:rsidRPr="00D75887">
        <w:t>s</w:t>
      </w:r>
    </w:p>
    <w:tbl>
      <w:tblPr>
        <w:tblW w:w="5000" w:type="pct"/>
        <w:tblInd w:w="108" w:type="dxa"/>
        <w:tblBorders>
          <w:top w:val="single" w:sz="12" w:space="0" w:color="auto"/>
          <w:bottom w:val="single" w:sz="12" w:space="0" w:color="auto"/>
          <w:insideH w:val="single" w:sz="4" w:space="0" w:color="auto"/>
        </w:tblBorders>
        <w:tblLayout w:type="fixed"/>
        <w:tblCellMar>
          <w:left w:w="58" w:type="dxa"/>
          <w:right w:w="58" w:type="dxa"/>
        </w:tblCellMar>
        <w:tblLook w:val="0000" w:firstRow="0" w:lastRow="0" w:firstColumn="0" w:lastColumn="0" w:noHBand="0" w:noVBand="0"/>
      </w:tblPr>
      <w:tblGrid>
        <w:gridCol w:w="3592"/>
        <w:gridCol w:w="1496"/>
        <w:gridCol w:w="1496"/>
        <w:gridCol w:w="1496"/>
        <w:gridCol w:w="1496"/>
      </w:tblGrid>
      <w:tr w:rsidR="00D75887" w:rsidRPr="00D75887" w14:paraId="7A3EF6B8" w14:textId="77777777" w:rsidTr="00C27BA5">
        <w:trPr>
          <w:cantSplit/>
          <w:tblHeader/>
        </w:trPr>
        <w:tc>
          <w:tcPr>
            <w:tcW w:w="3512" w:type="dxa"/>
            <w:shd w:val="clear" w:color="auto" w:fill="auto"/>
            <w:tcMar>
              <w:top w:w="0" w:type="dxa"/>
              <w:left w:w="108" w:type="dxa"/>
              <w:bottom w:w="0" w:type="dxa"/>
              <w:right w:w="108" w:type="dxa"/>
            </w:tcMar>
            <w:vAlign w:val="bottom"/>
          </w:tcPr>
          <w:p w14:paraId="63AA630C" w14:textId="77777777" w:rsidR="008B7283" w:rsidRPr="00D75887" w:rsidRDefault="008B7283" w:rsidP="00761A9C">
            <w:pPr>
              <w:pStyle w:val="TableHeaders"/>
            </w:pPr>
            <w:r w:rsidRPr="00D75887">
              <w:t>Form Name</w:t>
            </w:r>
          </w:p>
        </w:tc>
        <w:tc>
          <w:tcPr>
            <w:tcW w:w="1462" w:type="dxa"/>
            <w:shd w:val="clear" w:color="auto" w:fill="auto"/>
            <w:tcMar>
              <w:top w:w="0" w:type="dxa"/>
              <w:left w:w="108" w:type="dxa"/>
              <w:bottom w:w="0" w:type="dxa"/>
              <w:right w:w="108" w:type="dxa"/>
            </w:tcMar>
            <w:vAlign w:val="bottom"/>
          </w:tcPr>
          <w:p w14:paraId="1AA6B46E" w14:textId="77777777" w:rsidR="008B7283" w:rsidRPr="00D75887" w:rsidRDefault="008B7283" w:rsidP="00761A9C">
            <w:pPr>
              <w:pStyle w:val="TableHeaders"/>
            </w:pPr>
            <w:r w:rsidRPr="00D75887">
              <w:t>Number of Respondents</w:t>
            </w:r>
          </w:p>
        </w:tc>
        <w:tc>
          <w:tcPr>
            <w:tcW w:w="1462" w:type="dxa"/>
            <w:shd w:val="clear" w:color="auto" w:fill="auto"/>
            <w:tcMar>
              <w:top w:w="0" w:type="dxa"/>
              <w:left w:w="108" w:type="dxa"/>
              <w:bottom w:w="0" w:type="dxa"/>
              <w:right w:w="108" w:type="dxa"/>
            </w:tcMar>
            <w:vAlign w:val="bottom"/>
          </w:tcPr>
          <w:p w14:paraId="0864971D" w14:textId="77777777" w:rsidR="008B7283" w:rsidRPr="00D75887" w:rsidRDefault="008B7283" w:rsidP="00761A9C">
            <w:pPr>
              <w:pStyle w:val="TableHeaders"/>
            </w:pPr>
            <w:r w:rsidRPr="00D75887">
              <w:t>Total Burden Hours</w:t>
            </w:r>
          </w:p>
        </w:tc>
        <w:tc>
          <w:tcPr>
            <w:tcW w:w="1462" w:type="dxa"/>
            <w:shd w:val="clear" w:color="auto" w:fill="auto"/>
            <w:tcMar>
              <w:top w:w="0" w:type="dxa"/>
              <w:left w:w="108" w:type="dxa"/>
              <w:bottom w:w="0" w:type="dxa"/>
              <w:right w:w="108" w:type="dxa"/>
            </w:tcMar>
            <w:vAlign w:val="bottom"/>
          </w:tcPr>
          <w:p w14:paraId="1605DB06" w14:textId="77777777" w:rsidR="008B7283" w:rsidRPr="00D75887" w:rsidRDefault="008B7283" w:rsidP="00761A9C">
            <w:pPr>
              <w:pStyle w:val="TableHeaders"/>
            </w:pPr>
            <w:r w:rsidRPr="00D75887">
              <w:t>Average Cost to Contract</w:t>
            </w:r>
          </w:p>
        </w:tc>
        <w:tc>
          <w:tcPr>
            <w:tcW w:w="1462" w:type="dxa"/>
            <w:shd w:val="clear" w:color="auto" w:fill="auto"/>
            <w:tcMar>
              <w:top w:w="0" w:type="dxa"/>
              <w:left w:w="108" w:type="dxa"/>
              <w:bottom w:w="0" w:type="dxa"/>
              <w:right w:w="108" w:type="dxa"/>
            </w:tcMar>
            <w:vAlign w:val="bottom"/>
          </w:tcPr>
          <w:p w14:paraId="79B04473" w14:textId="77777777" w:rsidR="008B7283" w:rsidRPr="00D75887" w:rsidRDefault="008B7283" w:rsidP="00761A9C">
            <w:pPr>
              <w:pStyle w:val="TableHeaders"/>
            </w:pPr>
            <w:r w:rsidRPr="00D75887">
              <w:t>Total Cost Burden</w:t>
            </w:r>
          </w:p>
        </w:tc>
      </w:tr>
      <w:tr w:rsidR="00D75887" w:rsidRPr="00D75887" w14:paraId="75353B18" w14:textId="77777777" w:rsidTr="005F470C">
        <w:trPr>
          <w:cantSplit/>
        </w:trPr>
        <w:tc>
          <w:tcPr>
            <w:tcW w:w="3512" w:type="dxa"/>
            <w:shd w:val="clear" w:color="auto" w:fill="auto"/>
            <w:tcMar>
              <w:top w:w="0" w:type="dxa"/>
              <w:left w:w="108" w:type="dxa"/>
              <w:bottom w:w="0" w:type="dxa"/>
              <w:right w:w="108" w:type="dxa"/>
            </w:tcMar>
            <w:vAlign w:val="bottom"/>
          </w:tcPr>
          <w:p w14:paraId="43DE9E5A" w14:textId="77777777" w:rsidR="00AC75C8" w:rsidRPr="00D75887" w:rsidRDefault="00AC75C8" w:rsidP="00AC75C8">
            <w:pPr>
              <w:pStyle w:val="TableText"/>
            </w:pPr>
            <w:r w:rsidRPr="00D75887">
              <w:t xml:space="preserve">HOPDs/ASCs Patient Records for National Implementation </w:t>
            </w:r>
          </w:p>
        </w:tc>
        <w:tc>
          <w:tcPr>
            <w:tcW w:w="1462" w:type="dxa"/>
            <w:shd w:val="clear" w:color="auto" w:fill="auto"/>
            <w:tcMar>
              <w:top w:w="0" w:type="dxa"/>
              <w:left w:w="108" w:type="dxa"/>
              <w:bottom w:w="0" w:type="dxa"/>
              <w:right w:w="108" w:type="dxa"/>
            </w:tcMar>
            <w:vAlign w:val="bottom"/>
          </w:tcPr>
          <w:p w14:paraId="4E6DC749" w14:textId="1B2D2C9D" w:rsidR="00AC75C8" w:rsidRPr="00D75887" w:rsidRDefault="006D324F" w:rsidP="005F470C">
            <w:pPr>
              <w:pStyle w:val="TableText"/>
              <w:jc w:val="right"/>
            </w:pPr>
            <w:r w:rsidRPr="00D75887">
              <w:t>2</w:t>
            </w:r>
            <w:r w:rsidR="00DF04B9" w:rsidRPr="00D75887">
              <w:t>,</w:t>
            </w:r>
            <w:r w:rsidRPr="00D75887">
              <w:t>104</w:t>
            </w:r>
            <w:r w:rsidR="00E00E34" w:rsidRPr="00D75887">
              <w:t xml:space="preserve"> </w:t>
            </w:r>
          </w:p>
        </w:tc>
        <w:tc>
          <w:tcPr>
            <w:tcW w:w="1462" w:type="dxa"/>
            <w:shd w:val="clear" w:color="auto" w:fill="auto"/>
            <w:tcMar>
              <w:top w:w="0" w:type="dxa"/>
              <w:left w:w="108" w:type="dxa"/>
              <w:bottom w:w="0" w:type="dxa"/>
              <w:right w:w="108" w:type="dxa"/>
            </w:tcMar>
            <w:vAlign w:val="bottom"/>
          </w:tcPr>
          <w:p w14:paraId="648322EB" w14:textId="2F155023" w:rsidR="00AC75C8" w:rsidRPr="00D75887" w:rsidRDefault="006D324F" w:rsidP="005F470C">
            <w:pPr>
              <w:pStyle w:val="TableText"/>
              <w:jc w:val="center"/>
            </w:pPr>
            <w:r w:rsidRPr="00D75887">
              <w:t>71,536</w:t>
            </w:r>
          </w:p>
        </w:tc>
        <w:tc>
          <w:tcPr>
            <w:tcW w:w="1462" w:type="dxa"/>
            <w:shd w:val="clear" w:color="auto" w:fill="auto"/>
            <w:tcMar>
              <w:top w:w="0" w:type="dxa"/>
              <w:left w:w="108" w:type="dxa"/>
              <w:bottom w:w="0" w:type="dxa"/>
              <w:right w:w="108" w:type="dxa"/>
            </w:tcMar>
            <w:vAlign w:val="bottom"/>
          </w:tcPr>
          <w:p w14:paraId="15DF84B0" w14:textId="44208ECA" w:rsidR="00AC75C8" w:rsidRPr="00D75887" w:rsidRDefault="00AC75C8" w:rsidP="005F470C">
            <w:pPr>
              <w:pStyle w:val="TableText"/>
              <w:jc w:val="center"/>
            </w:pPr>
            <w:r w:rsidRPr="00D75887">
              <w:t>$</w:t>
            </w:r>
            <w:r w:rsidR="001A15B5">
              <w:t>85.62/hr</w:t>
            </w:r>
          </w:p>
        </w:tc>
        <w:tc>
          <w:tcPr>
            <w:tcW w:w="1462" w:type="dxa"/>
            <w:shd w:val="clear" w:color="auto" w:fill="auto"/>
            <w:tcMar>
              <w:top w:w="0" w:type="dxa"/>
              <w:left w:w="108" w:type="dxa"/>
              <w:bottom w:w="0" w:type="dxa"/>
              <w:right w:w="108" w:type="dxa"/>
            </w:tcMar>
            <w:vAlign w:val="bottom"/>
          </w:tcPr>
          <w:p w14:paraId="3AF21C52" w14:textId="4AC4F38F" w:rsidR="00AC75C8" w:rsidRPr="00D75887" w:rsidRDefault="00AC75C8" w:rsidP="001A15B5">
            <w:pPr>
              <w:pStyle w:val="TableText"/>
              <w:jc w:val="right"/>
            </w:pPr>
            <w:r w:rsidRPr="00D75887">
              <w:t>$</w:t>
            </w:r>
            <w:r w:rsidR="001A15B5">
              <w:t>6,124,912</w:t>
            </w:r>
          </w:p>
        </w:tc>
      </w:tr>
      <w:tr w:rsidR="00D75887" w:rsidRPr="00D75887" w14:paraId="487E7AAA" w14:textId="77777777" w:rsidTr="005F470C">
        <w:trPr>
          <w:cantSplit/>
        </w:trPr>
        <w:tc>
          <w:tcPr>
            <w:tcW w:w="3512" w:type="dxa"/>
            <w:shd w:val="clear" w:color="auto" w:fill="auto"/>
            <w:tcMar>
              <w:top w:w="0" w:type="dxa"/>
              <w:left w:w="108" w:type="dxa"/>
              <w:bottom w:w="0" w:type="dxa"/>
              <w:right w:w="108" w:type="dxa"/>
            </w:tcMar>
            <w:vAlign w:val="bottom"/>
          </w:tcPr>
          <w:p w14:paraId="7598E728" w14:textId="45D29CB3" w:rsidR="005F470C" w:rsidRPr="00D75887" w:rsidRDefault="005F470C" w:rsidP="005F470C">
            <w:pPr>
              <w:pStyle w:val="TableText"/>
            </w:pPr>
            <w:r w:rsidRPr="00D75887">
              <w:t xml:space="preserve">HOPDs/ASCs Patient Records for Mode Experiment </w:t>
            </w:r>
          </w:p>
        </w:tc>
        <w:tc>
          <w:tcPr>
            <w:tcW w:w="1462" w:type="dxa"/>
            <w:shd w:val="clear" w:color="auto" w:fill="auto"/>
            <w:tcMar>
              <w:top w:w="0" w:type="dxa"/>
              <w:left w:w="108" w:type="dxa"/>
              <w:bottom w:w="0" w:type="dxa"/>
              <w:right w:w="108" w:type="dxa"/>
            </w:tcMar>
          </w:tcPr>
          <w:p w14:paraId="05E8CF70" w14:textId="3BD2659B" w:rsidR="005F470C" w:rsidRPr="00D75887" w:rsidRDefault="005F470C" w:rsidP="005F470C">
            <w:pPr>
              <w:pStyle w:val="TableText"/>
              <w:jc w:val="right"/>
            </w:pPr>
            <w:r w:rsidRPr="00D75887">
              <w:t>70</w:t>
            </w:r>
          </w:p>
        </w:tc>
        <w:tc>
          <w:tcPr>
            <w:tcW w:w="1462" w:type="dxa"/>
            <w:shd w:val="clear" w:color="auto" w:fill="auto"/>
            <w:tcMar>
              <w:top w:w="0" w:type="dxa"/>
              <w:left w:w="108" w:type="dxa"/>
              <w:bottom w:w="0" w:type="dxa"/>
              <w:right w:w="108" w:type="dxa"/>
            </w:tcMar>
          </w:tcPr>
          <w:p w14:paraId="4F6AB05D" w14:textId="1190B857" w:rsidR="005F470C" w:rsidRPr="00D75887" w:rsidRDefault="005F470C" w:rsidP="005F470C">
            <w:pPr>
              <w:pStyle w:val="TableText"/>
              <w:jc w:val="center"/>
            </w:pPr>
            <w:r w:rsidRPr="00D75887">
              <w:t>595</w:t>
            </w:r>
          </w:p>
        </w:tc>
        <w:tc>
          <w:tcPr>
            <w:tcW w:w="1462" w:type="dxa"/>
            <w:shd w:val="clear" w:color="auto" w:fill="auto"/>
            <w:tcMar>
              <w:top w:w="0" w:type="dxa"/>
              <w:left w:w="108" w:type="dxa"/>
              <w:bottom w:w="0" w:type="dxa"/>
              <w:right w:w="108" w:type="dxa"/>
            </w:tcMar>
          </w:tcPr>
          <w:p w14:paraId="4AFCADDC" w14:textId="5165DC10" w:rsidR="005F470C" w:rsidRPr="00D75887" w:rsidRDefault="001A15B5" w:rsidP="005F470C">
            <w:pPr>
              <w:pStyle w:val="TableText"/>
              <w:jc w:val="center"/>
            </w:pPr>
            <w:r>
              <w:t>$85.62/hr</w:t>
            </w:r>
          </w:p>
        </w:tc>
        <w:tc>
          <w:tcPr>
            <w:tcW w:w="1462" w:type="dxa"/>
            <w:shd w:val="clear" w:color="auto" w:fill="auto"/>
            <w:tcMar>
              <w:top w:w="0" w:type="dxa"/>
              <w:left w:w="108" w:type="dxa"/>
              <w:bottom w:w="0" w:type="dxa"/>
              <w:right w:w="108" w:type="dxa"/>
            </w:tcMar>
          </w:tcPr>
          <w:p w14:paraId="5AA6B51A" w14:textId="2A5B4774" w:rsidR="005F470C" w:rsidRPr="00D75887" w:rsidRDefault="001A15B5" w:rsidP="005F470C">
            <w:pPr>
              <w:pStyle w:val="TableText"/>
              <w:jc w:val="right"/>
            </w:pPr>
            <w:r>
              <w:t>$50,944</w:t>
            </w:r>
          </w:p>
        </w:tc>
      </w:tr>
      <w:tr w:rsidR="00AC75C8" w:rsidRPr="00D75887" w14:paraId="5D2CD484" w14:textId="77777777" w:rsidTr="005F470C">
        <w:trPr>
          <w:cantSplit/>
        </w:trPr>
        <w:tc>
          <w:tcPr>
            <w:tcW w:w="3512" w:type="dxa"/>
            <w:shd w:val="clear" w:color="auto" w:fill="auto"/>
            <w:tcMar>
              <w:top w:w="0" w:type="dxa"/>
              <w:left w:w="108" w:type="dxa"/>
              <w:bottom w:w="0" w:type="dxa"/>
              <w:right w:w="108" w:type="dxa"/>
            </w:tcMar>
            <w:vAlign w:val="bottom"/>
          </w:tcPr>
          <w:p w14:paraId="16290899" w14:textId="77777777" w:rsidR="00AC75C8" w:rsidRPr="00D75887" w:rsidRDefault="00AC75C8" w:rsidP="00AC75C8">
            <w:pPr>
              <w:pStyle w:val="TableText"/>
              <w:rPr>
                <w:b/>
              </w:rPr>
            </w:pPr>
            <w:r w:rsidRPr="00D75887">
              <w:rPr>
                <w:b/>
              </w:rPr>
              <w:t>Total</w:t>
            </w:r>
          </w:p>
        </w:tc>
        <w:tc>
          <w:tcPr>
            <w:tcW w:w="1462" w:type="dxa"/>
            <w:shd w:val="clear" w:color="auto" w:fill="auto"/>
            <w:tcMar>
              <w:top w:w="0" w:type="dxa"/>
              <w:left w:w="108" w:type="dxa"/>
              <w:bottom w:w="0" w:type="dxa"/>
              <w:right w:w="108" w:type="dxa"/>
            </w:tcMar>
            <w:vAlign w:val="bottom"/>
          </w:tcPr>
          <w:p w14:paraId="3F3B993E" w14:textId="6EFE7098" w:rsidR="00AC75C8" w:rsidRPr="00D75887" w:rsidRDefault="006D324F" w:rsidP="005F470C">
            <w:pPr>
              <w:pStyle w:val="TableText"/>
              <w:jc w:val="right"/>
            </w:pPr>
            <w:r w:rsidRPr="00D75887">
              <w:t>2</w:t>
            </w:r>
            <w:r w:rsidR="006A781F" w:rsidRPr="00D75887">
              <w:t>,</w:t>
            </w:r>
            <w:r w:rsidR="00D16336" w:rsidRPr="00D75887">
              <w:t>1</w:t>
            </w:r>
            <w:r w:rsidR="00B87D00" w:rsidRPr="00D75887">
              <w:t>7</w:t>
            </w:r>
            <w:r w:rsidR="006B4196" w:rsidRPr="00D75887">
              <w:t xml:space="preserve">4 </w:t>
            </w:r>
          </w:p>
        </w:tc>
        <w:tc>
          <w:tcPr>
            <w:tcW w:w="1462" w:type="dxa"/>
            <w:shd w:val="clear" w:color="auto" w:fill="auto"/>
            <w:tcMar>
              <w:top w:w="0" w:type="dxa"/>
              <w:left w:w="108" w:type="dxa"/>
              <w:bottom w:w="0" w:type="dxa"/>
              <w:right w:w="108" w:type="dxa"/>
            </w:tcMar>
            <w:vAlign w:val="bottom"/>
          </w:tcPr>
          <w:p w14:paraId="6C72BA2F" w14:textId="7C309D69" w:rsidR="00AC75C8" w:rsidRPr="00D75887" w:rsidRDefault="006D324F" w:rsidP="005F470C">
            <w:pPr>
              <w:pStyle w:val="TableText"/>
              <w:jc w:val="center"/>
            </w:pPr>
            <w:r w:rsidRPr="00D75887">
              <w:t>7</w:t>
            </w:r>
            <w:r w:rsidR="00B87D00" w:rsidRPr="00D75887">
              <w:t>2</w:t>
            </w:r>
            <w:r w:rsidR="006B4196" w:rsidRPr="00D75887">
              <w:t>,</w:t>
            </w:r>
            <w:r w:rsidR="00B87D00" w:rsidRPr="00D75887">
              <w:t>131</w:t>
            </w:r>
          </w:p>
        </w:tc>
        <w:tc>
          <w:tcPr>
            <w:tcW w:w="1462" w:type="dxa"/>
            <w:shd w:val="clear" w:color="auto" w:fill="auto"/>
            <w:tcMar>
              <w:top w:w="0" w:type="dxa"/>
              <w:left w:w="108" w:type="dxa"/>
              <w:bottom w:w="0" w:type="dxa"/>
              <w:right w:w="108" w:type="dxa"/>
            </w:tcMar>
            <w:vAlign w:val="bottom"/>
          </w:tcPr>
          <w:p w14:paraId="085D950A" w14:textId="218C5946" w:rsidR="00AC75C8" w:rsidRPr="00D75887" w:rsidRDefault="00AC75C8" w:rsidP="005F470C">
            <w:pPr>
              <w:pStyle w:val="TableText"/>
              <w:jc w:val="center"/>
            </w:pPr>
            <w:r w:rsidRPr="00D75887">
              <w:t>$</w:t>
            </w:r>
            <w:r w:rsidR="001A15B5">
              <w:t>85.62/hr</w:t>
            </w:r>
          </w:p>
        </w:tc>
        <w:tc>
          <w:tcPr>
            <w:tcW w:w="1462" w:type="dxa"/>
            <w:shd w:val="clear" w:color="auto" w:fill="auto"/>
            <w:tcMar>
              <w:top w:w="0" w:type="dxa"/>
              <w:left w:w="108" w:type="dxa"/>
              <w:bottom w:w="0" w:type="dxa"/>
              <w:right w:w="108" w:type="dxa"/>
            </w:tcMar>
            <w:vAlign w:val="bottom"/>
          </w:tcPr>
          <w:p w14:paraId="092B4CC5" w14:textId="5A7D3819" w:rsidR="00AC75C8" w:rsidRPr="00D75887" w:rsidRDefault="00AC75C8" w:rsidP="005F470C">
            <w:pPr>
              <w:pStyle w:val="TableText"/>
              <w:jc w:val="right"/>
            </w:pPr>
            <w:r w:rsidRPr="00D75887">
              <w:t>$</w:t>
            </w:r>
            <w:r w:rsidR="00325DAC" w:rsidRPr="00325DAC">
              <w:t>6,175,856</w:t>
            </w:r>
          </w:p>
        </w:tc>
      </w:tr>
    </w:tbl>
    <w:p w14:paraId="3D990C47" w14:textId="77777777" w:rsidR="008B7283" w:rsidRDefault="008B7283" w:rsidP="00092D49">
      <w:pPr>
        <w:pStyle w:val="BodyText"/>
      </w:pPr>
    </w:p>
    <w:p w14:paraId="51D330E9" w14:textId="77777777" w:rsidR="0075065F" w:rsidRPr="0033543C" w:rsidRDefault="0075065F" w:rsidP="0075065F">
      <w:pPr>
        <w:rPr>
          <w:i/>
        </w:rPr>
      </w:pPr>
      <w:r w:rsidRPr="0033543C">
        <w:rPr>
          <w:i/>
        </w:rPr>
        <w:t>Burden Summary</w:t>
      </w:r>
    </w:p>
    <w:p w14:paraId="3D585FA4" w14:textId="77777777" w:rsidR="003111D3" w:rsidRPr="005C3700" w:rsidRDefault="003111D3" w:rsidP="0075065F"/>
    <w:tbl>
      <w:tblPr>
        <w:tblW w:w="10443" w:type="dxa"/>
        <w:tblInd w:w="109" w:type="dxa"/>
        <w:tblLayout w:type="fixed"/>
        <w:tblCellMar>
          <w:left w:w="0" w:type="dxa"/>
          <w:right w:w="0" w:type="dxa"/>
        </w:tblCellMar>
        <w:tblLook w:val="01E0" w:firstRow="1" w:lastRow="1" w:firstColumn="1" w:lastColumn="1" w:noHBand="0" w:noVBand="0"/>
      </w:tblPr>
      <w:tblGrid>
        <w:gridCol w:w="2866"/>
        <w:gridCol w:w="1575"/>
        <w:gridCol w:w="1080"/>
        <w:gridCol w:w="1320"/>
        <w:gridCol w:w="1081"/>
        <w:gridCol w:w="1081"/>
        <w:gridCol w:w="1440"/>
      </w:tblGrid>
      <w:tr w:rsidR="0075065F" w:rsidRPr="001630D5" w14:paraId="3F9D64C1" w14:textId="77777777" w:rsidTr="0002542D">
        <w:trPr>
          <w:cantSplit/>
        </w:trPr>
        <w:tc>
          <w:tcPr>
            <w:tcW w:w="2866" w:type="dxa"/>
            <w:tcBorders>
              <w:top w:val="single" w:sz="4" w:space="0" w:color="000000"/>
              <w:left w:val="single" w:sz="4" w:space="0" w:color="000000"/>
              <w:bottom w:val="single" w:sz="4" w:space="0" w:color="000000"/>
              <w:right w:val="single" w:sz="4" w:space="0" w:color="000000"/>
            </w:tcBorders>
          </w:tcPr>
          <w:p w14:paraId="0AFAB46C" w14:textId="52CBC2B8" w:rsidR="0075065F" w:rsidRPr="001630D5" w:rsidRDefault="0075065F" w:rsidP="00D03315">
            <w:pPr>
              <w:jc w:val="center"/>
              <w:rPr>
                <w:rFonts w:eastAsia="Arial"/>
                <w:b/>
              </w:rPr>
            </w:pPr>
            <w:r>
              <w:rPr>
                <w:rFonts w:eastAsia="Arial"/>
                <w:b/>
                <w:bCs/>
                <w:spacing w:val="-1"/>
                <w:w w:val="98"/>
              </w:rPr>
              <w:t>Respondent</w:t>
            </w:r>
            <w:r w:rsidR="00D03315">
              <w:rPr>
                <w:rFonts w:eastAsia="Arial"/>
                <w:b/>
                <w:bCs/>
                <w:spacing w:val="-1"/>
                <w:w w:val="98"/>
              </w:rPr>
              <w:t xml:space="preserve"> Type</w:t>
            </w:r>
          </w:p>
        </w:tc>
        <w:tc>
          <w:tcPr>
            <w:tcW w:w="1575" w:type="dxa"/>
            <w:tcBorders>
              <w:top w:val="single" w:sz="4" w:space="0" w:color="000000"/>
              <w:left w:val="single" w:sz="4" w:space="0" w:color="000000"/>
              <w:bottom w:val="single" w:sz="4" w:space="0" w:color="000000"/>
              <w:right w:val="single" w:sz="4" w:space="0" w:color="000000"/>
            </w:tcBorders>
          </w:tcPr>
          <w:p w14:paraId="4EE8486F" w14:textId="77777777" w:rsidR="0075065F" w:rsidRPr="001630D5" w:rsidRDefault="0075065F" w:rsidP="0002542D">
            <w:pPr>
              <w:jc w:val="center"/>
              <w:rPr>
                <w:rFonts w:eastAsia="Arial"/>
                <w:b/>
              </w:rPr>
            </w:pPr>
            <w:r w:rsidRPr="001630D5">
              <w:rPr>
                <w:rFonts w:eastAsia="Arial"/>
                <w:b/>
                <w:bCs/>
                <w:spacing w:val="1"/>
                <w:w w:val="98"/>
              </w:rPr>
              <w:t>Respondents</w:t>
            </w:r>
          </w:p>
        </w:tc>
        <w:tc>
          <w:tcPr>
            <w:tcW w:w="1080" w:type="dxa"/>
            <w:tcBorders>
              <w:top w:val="single" w:sz="4" w:space="0" w:color="000000"/>
              <w:left w:val="single" w:sz="4" w:space="0" w:color="000000"/>
              <w:bottom w:val="single" w:sz="4" w:space="0" w:color="000000"/>
              <w:right w:val="single" w:sz="4" w:space="0" w:color="000000"/>
            </w:tcBorders>
          </w:tcPr>
          <w:p w14:paraId="402FA2D1" w14:textId="77777777" w:rsidR="0075065F" w:rsidRPr="001630D5" w:rsidRDefault="0075065F" w:rsidP="0002542D">
            <w:pPr>
              <w:jc w:val="center"/>
              <w:rPr>
                <w:rFonts w:eastAsia="Arial"/>
                <w:b/>
              </w:rPr>
            </w:pPr>
            <w:r w:rsidRPr="001630D5">
              <w:rPr>
                <w:rFonts w:eastAsia="Arial"/>
                <w:b/>
                <w:bCs/>
                <w:spacing w:val="1"/>
                <w:w w:val="98"/>
              </w:rPr>
              <w:t>Total Res</w:t>
            </w:r>
            <w:r w:rsidRPr="001630D5">
              <w:rPr>
                <w:rFonts w:eastAsia="Arial"/>
                <w:b/>
                <w:bCs/>
                <w:spacing w:val="-1"/>
                <w:w w:val="98"/>
              </w:rPr>
              <w:t>pon</w:t>
            </w:r>
            <w:r w:rsidRPr="001630D5">
              <w:rPr>
                <w:rFonts w:eastAsia="Arial"/>
                <w:b/>
                <w:bCs/>
                <w:spacing w:val="1"/>
                <w:w w:val="98"/>
              </w:rPr>
              <w:t>se</w:t>
            </w:r>
            <w:r w:rsidRPr="001630D5">
              <w:rPr>
                <w:rFonts w:eastAsia="Arial"/>
                <w:b/>
                <w:bCs/>
                <w:w w:val="98"/>
              </w:rPr>
              <w:t xml:space="preserve">s </w:t>
            </w:r>
            <w:r>
              <w:rPr>
                <w:rFonts w:eastAsia="Arial"/>
                <w:b/>
                <w:bCs/>
                <w:w w:val="98"/>
              </w:rPr>
              <w:t>(</w:t>
            </w:r>
            <w:r w:rsidRPr="001630D5">
              <w:rPr>
                <w:rFonts w:eastAsia="Arial"/>
                <w:b/>
                <w:bCs/>
                <w:w w:val="98"/>
              </w:rPr>
              <w:t>per year</w:t>
            </w:r>
            <w:r>
              <w:rPr>
                <w:rFonts w:eastAsia="Arial"/>
                <w:b/>
                <w:bCs/>
                <w:w w:val="98"/>
              </w:rPr>
              <w:t>)</w:t>
            </w:r>
          </w:p>
        </w:tc>
        <w:tc>
          <w:tcPr>
            <w:tcW w:w="1320" w:type="dxa"/>
            <w:tcBorders>
              <w:top w:val="single" w:sz="4" w:space="0" w:color="000000"/>
              <w:left w:val="single" w:sz="4" w:space="0" w:color="000000"/>
              <w:bottom w:val="single" w:sz="4" w:space="0" w:color="000000"/>
              <w:right w:val="single" w:sz="4" w:space="0" w:color="000000"/>
            </w:tcBorders>
          </w:tcPr>
          <w:p w14:paraId="7E85F341" w14:textId="77777777" w:rsidR="0075065F" w:rsidRPr="001630D5" w:rsidRDefault="0075065F" w:rsidP="0002542D">
            <w:pPr>
              <w:jc w:val="center"/>
              <w:rPr>
                <w:rFonts w:eastAsia="Arial"/>
                <w:b/>
              </w:rPr>
            </w:pPr>
            <w:r w:rsidRPr="001630D5">
              <w:rPr>
                <w:rFonts w:eastAsia="Arial"/>
                <w:b/>
                <w:bCs/>
                <w:spacing w:val="1"/>
                <w:w w:val="98"/>
              </w:rPr>
              <w:t>Time per Response (hr)</w:t>
            </w:r>
          </w:p>
        </w:tc>
        <w:tc>
          <w:tcPr>
            <w:tcW w:w="1081" w:type="dxa"/>
            <w:tcBorders>
              <w:top w:val="single" w:sz="4" w:space="0" w:color="000000"/>
              <w:left w:val="single" w:sz="4" w:space="0" w:color="000000"/>
              <w:bottom w:val="single" w:sz="4" w:space="0" w:color="000000"/>
              <w:right w:val="single" w:sz="4" w:space="0" w:color="000000"/>
            </w:tcBorders>
          </w:tcPr>
          <w:p w14:paraId="73D201D1" w14:textId="77777777" w:rsidR="0075065F" w:rsidRPr="001630D5" w:rsidRDefault="0075065F" w:rsidP="0002542D">
            <w:pPr>
              <w:jc w:val="center"/>
              <w:rPr>
                <w:rFonts w:eastAsia="Arial"/>
                <w:b/>
                <w:bCs/>
                <w:spacing w:val="1"/>
                <w:w w:val="98"/>
              </w:rPr>
            </w:pPr>
            <w:r w:rsidRPr="001630D5">
              <w:rPr>
                <w:rFonts w:eastAsia="Arial"/>
                <w:b/>
                <w:bCs/>
                <w:spacing w:val="1"/>
                <w:w w:val="98"/>
              </w:rPr>
              <w:t>Total Time</w:t>
            </w:r>
          </w:p>
          <w:p w14:paraId="5A9C9CD8" w14:textId="77777777" w:rsidR="0075065F" w:rsidRPr="001630D5" w:rsidRDefault="0075065F" w:rsidP="0002542D">
            <w:pPr>
              <w:jc w:val="center"/>
              <w:rPr>
                <w:rFonts w:eastAsia="Arial"/>
                <w:b/>
                <w:bCs/>
                <w:spacing w:val="1"/>
                <w:w w:val="98"/>
              </w:rPr>
            </w:pPr>
            <w:r w:rsidRPr="001630D5">
              <w:rPr>
                <w:rFonts w:eastAsia="Arial"/>
                <w:b/>
                <w:bCs/>
                <w:spacing w:val="1"/>
                <w:w w:val="98"/>
              </w:rPr>
              <w:t>(hr)</w:t>
            </w:r>
          </w:p>
        </w:tc>
        <w:tc>
          <w:tcPr>
            <w:tcW w:w="1081" w:type="dxa"/>
            <w:tcBorders>
              <w:top w:val="single" w:sz="4" w:space="0" w:color="000000"/>
              <w:left w:val="single" w:sz="4" w:space="0" w:color="000000"/>
              <w:bottom w:val="single" w:sz="4" w:space="0" w:color="000000"/>
              <w:right w:val="single" w:sz="4" w:space="0" w:color="000000"/>
            </w:tcBorders>
          </w:tcPr>
          <w:p w14:paraId="4539F64A" w14:textId="77777777" w:rsidR="0075065F" w:rsidRPr="001630D5" w:rsidRDefault="0075065F" w:rsidP="0002542D">
            <w:pPr>
              <w:jc w:val="center"/>
              <w:rPr>
                <w:rFonts w:eastAsia="Arial"/>
                <w:b/>
                <w:bCs/>
                <w:w w:val="98"/>
              </w:rPr>
            </w:pPr>
            <w:r w:rsidRPr="001630D5">
              <w:rPr>
                <w:rFonts w:eastAsia="Arial"/>
                <w:b/>
                <w:bCs/>
                <w:spacing w:val="1"/>
                <w:w w:val="98"/>
              </w:rPr>
              <w:t>Labor Ra</w:t>
            </w:r>
            <w:r w:rsidRPr="001630D5">
              <w:rPr>
                <w:rFonts w:eastAsia="Arial"/>
                <w:b/>
                <w:bCs/>
                <w:w w:val="98"/>
              </w:rPr>
              <w:t>te</w:t>
            </w:r>
          </w:p>
          <w:p w14:paraId="5BAA5D55" w14:textId="77777777" w:rsidR="0075065F" w:rsidRPr="001630D5" w:rsidRDefault="0075065F" w:rsidP="0002542D">
            <w:pPr>
              <w:jc w:val="center"/>
              <w:rPr>
                <w:rFonts w:eastAsia="Arial"/>
                <w:b/>
              </w:rPr>
            </w:pPr>
            <w:r w:rsidRPr="001630D5">
              <w:rPr>
                <w:rFonts w:eastAsia="Arial"/>
                <w:b/>
                <w:bCs/>
                <w:w w:val="99"/>
              </w:rPr>
              <w:t>(</w:t>
            </w:r>
            <w:r w:rsidRPr="001630D5">
              <w:rPr>
                <w:rFonts w:eastAsia="Arial"/>
                <w:b/>
                <w:bCs/>
                <w:spacing w:val="1"/>
                <w:w w:val="99"/>
              </w:rPr>
              <w:t>$</w:t>
            </w:r>
            <w:r w:rsidRPr="001630D5">
              <w:rPr>
                <w:rFonts w:eastAsia="Arial"/>
                <w:b/>
                <w:bCs/>
                <w:spacing w:val="-1"/>
                <w:w w:val="99"/>
              </w:rPr>
              <w:t>/h</w:t>
            </w:r>
            <w:r w:rsidRPr="001630D5">
              <w:rPr>
                <w:rFonts w:eastAsia="Arial"/>
                <w:b/>
                <w:bCs/>
                <w:spacing w:val="1"/>
                <w:w w:val="99"/>
              </w:rPr>
              <w:t>r</w:t>
            </w:r>
            <w:r w:rsidRPr="001630D5">
              <w:rPr>
                <w:rFonts w:eastAsia="Arial"/>
                <w:b/>
                <w:bCs/>
                <w:w w:val="99"/>
              </w:rPr>
              <w:t>)</w:t>
            </w:r>
          </w:p>
        </w:tc>
        <w:tc>
          <w:tcPr>
            <w:tcW w:w="1440" w:type="dxa"/>
            <w:tcBorders>
              <w:top w:val="single" w:sz="4" w:space="0" w:color="000000"/>
              <w:left w:val="single" w:sz="4" w:space="0" w:color="000000"/>
              <w:bottom w:val="single" w:sz="4" w:space="0" w:color="000000"/>
              <w:right w:val="single" w:sz="4" w:space="0" w:color="000000"/>
            </w:tcBorders>
          </w:tcPr>
          <w:p w14:paraId="31CB67A9" w14:textId="77777777" w:rsidR="0075065F" w:rsidRPr="001630D5" w:rsidRDefault="0075065F" w:rsidP="0002542D">
            <w:pPr>
              <w:jc w:val="center"/>
              <w:rPr>
                <w:rFonts w:eastAsia="Arial"/>
                <w:b/>
              </w:rPr>
            </w:pPr>
            <w:r w:rsidRPr="001630D5">
              <w:rPr>
                <w:rFonts w:eastAsia="Arial"/>
                <w:b/>
                <w:bCs/>
                <w:spacing w:val="-1"/>
              </w:rPr>
              <w:t>To</w:t>
            </w:r>
            <w:r w:rsidRPr="001630D5">
              <w:rPr>
                <w:rFonts w:eastAsia="Arial"/>
                <w:b/>
                <w:bCs/>
              </w:rPr>
              <w:t>t</w:t>
            </w:r>
            <w:r w:rsidRPr="001630D5">
              <w:rPr>
                <w:rFonts w:eastAsia="Arial"/>
                <w:b/>
                <w:bCs/>
                <w:spacing w:val="1"/>
              </w:rPr>
              <w:t>a</w:t>
            </w:r>
            <w:r w:rsidRPr="001630D5">
              <w:rPr>
                <w:rFonts w:eastAsia="Arial"/>
                <w:b/>
                <w:bCs/>
              </w:rPr>
              <w:t>l</w:t>
            </w:r>
            <w:r w:rsidRPr="001630D5">
              <w:rPr>
                <w:rFonts w:eastAsia="Arial"/>
                <w:b/>
                <w:bCs/>
                <w:spacing w:val="-10"/>
              </w:rPr>
              <w:t xml:space="preserve"> </w:t>
            </w:r>
            <w:r w:rsidRPr="001630D5">
              <w:rPr>
                <w:rFonts w:eastAsia="Arial"/>
                <w:b/>
                <w:bCs/>
                <w:spacing w:val="1"/>
                <w:w w:val="98"/>
              </w:rPr>
              <w:t>C</w:t>
            </w:r>
            <w:r w:rsidRPr="001630D5">
              <w:rPr>
                <w:rFonts w:eastAsia="Arial"/>
                <w:b/>
                <w:bCs/>
                <w:spacing w:val="-1"/>
                <w:w w:val="98"/>
              </w:rPr>
              <w:t>o</w:t>
            </w:r>
            <w:r w:rsidRPr="001630D5">
              <w:rPr>
                <w:rFonts w:eastAsia="Arial"/>
                <w:b/>
                <w:bCs/>
                <w:spacing w:val="1"/>
                <w:w w:val="98"/>
              </w:rPr>
              <w:t>s</w:t>
            </w:r>
            <w:r w:rsidRPr="001630D5">
              <w:rPr>
                <w:rFonts w:eastAsia="Arial"/>
                <w:b/>
                <w:bCs/>
                <w:w w:val="98"/>
              </w:rPr>
              <w:t>t</w:t>
            </w:r>
          </w:p>
          <w:p w14:paraId="635499CE" w14:textId="77777777" w:rsidR="0075065F" w:rsidRPr="001630D5" w:rsidRDefault="0075065F" w:rsidP="0002542D">
            <w:pPr>
              <w:jc w:val="center"/>
              <w:rPr>
                <w:rFonts w:eastAsia="Arial"/>
                <w:b/>
              </w:rPr>
            </w:pPr>
            <w:r w:rsidRPr="001630D5">
              <w:rPr>
                <w:rFonts w:eastAsia="Arial"/>
                <w:b/>
                <w:bCs/>
                <w:w w:val="99"/>
              </w:rPr>
              <w:t>(</w:t>
            </w:r>
            <w:r w:rsidRPr="001630D5">
              <w:rPr>
                <w:rFonts w:eastAsia="Arial"/>
                <w:b/>
                <w:bCs/>
                <w:spacing w:val="1"/>
                <w:w w:val="99"/>
              </w:rPr>
              <w:t>$</w:t>
            </w:r>
            <w:r w:rsidRPr="001630D5">
              <w:rPr>
                <w:rFonts w:eastAsia="Arial"/>
                <w:b/>
                <w:bCs/>
                <w:w w:val="99"/>
              </w:rPr>
              <w:t>)</w:t>
            </w:r>
          </w:p>
        </w:tc>
      </w:tr>
      <w:tr w:rsidR="0075065F" w:rsidRPr="001630D5" w14:paraId="6D6C0FF4" w14:textId="77777777" w:rsidTr="0002542D">
        <w:trPr>
          <w:cantSplit/>
        </w:trPr>
        <w:tc>
          <w:tcPr>
            <w:tcW w:w="2866" w:type="dxa"/>
            <w:tcBorders>
              <w:top w:val="single" w:sz="4" w:space="0" w:color="000000"/>
              <w:left w:val="single" w:sz="4" w:space="0" w:color="000000"/>
              <w:bottom w:val="single" w:sz="4" w:space="0" w:color="000000"/>
              <w:right w:val="single" w:sz="4" w:space="0" w:color="000000"/>
            </w:tcBorders>
          </w:tcPr>
          <w:p w14:paraId="142F0FB1" w14:textId="77777777" w:rsidR="0075065F" w:rsidRPr="001630D5" w:rsidRDefault="0075065F" w:rsidP="0002542D">
            <w:pPr>
              <w:rPr>
                <w:rFonts w:eastAsia="Arial"/>
              </w:rPr>
            </w:pPr>
            <w:r>
              <w:rPr>
                <w:rFonts w:eastAsia="Arial"/>
              </w:rPr>
              <w:t>Patients</w:t>
            </w:r>
          </w:p>
        </w:tc>
        <w:tc>
          <w:tcPr>
            <w:tcW w:w="1575" w:type="dxa"/>
            <w:tcBorders>
              <w:top w:val="single" w:sz="4" w:space="0" w:color="000000"/>
              <w:left w:val="single" w:sz="4" w:space="0" w:color="000000"/>
              <w:bottom w:val="single" w:sz="4" w:space="0" w:color="000000"/>
              <w:right w:val="single" w:sz="4" w:space="0" w:color="000000"/>
            </w:tcBorders>
          </w:tcPr>
          <w:p w14:paraId="6C79A907" w14:textId="77C3475C" w:rsidR="0075065F" w:rsidRPr="001630D5" w:rsidRDefault="00672C7D" w:rsidP="0002542D">
            <w:pPr>
              <w:jc w:val="right"/>
              <w:rPr>
                <w:rFonts w:eastAsia="Arial"/>
              </w:rPr>
            </w:pPr>
            <w:r w:rsidRPr="00672C7D">
              <w:rPr>
                <w:rFonts w:eastAsia="Arial"/>
              </w:rPr>
              <w:t>639,050</w:t>
            </w:r>
          </w:p>
        </w:tc>
        <w:tc>
          <w:tcPr>
            <w:tcW w:w="1080" w:type="dxa"/>
            <w:tcBorders>
              <w:top w:val="single" w:sz="4" w:space="0" w:color="000000"/>
              <w:left w:val="single" w:sz="4" w:space="0" w:color="000000"/>
              <w:bottom w:val="single" w:sz="4" w:space="0" w:color="000000"/>
              <w:right w:val="single" w:sz="4" w:space="0" w:color="000000"/>
            </w:tcBorders>
          </w:tcPr>
          <w:p w14:paraId="1256666F" w14:textId="0A6A4F24" w:rsidR="0075065F" w:rsidRPr="001630D5" w:rsidRDefault="00672C7D" w:rsidP="0002542D">
            <w:pPr>
              <w:jc w:val="right"/>
              <w:rPr>
                <w:rFonts w:eastAsia="Arial"/>
              </w:rPr>
            </w:pPr>
            <w:r w:rsidRPr="00672C7D">
              <w:rPr>
                <w:rFonts w:eastAsia="Arial"/>
              </w:rPr>
              <w:t>639,050</w:t>
            </w:r>
          </w:p>
        </w:tc>
        <w:tc>
          <w:tcPr>
            <w:tcW w:w="1320" w:type="dxa"/>
            <w:tcBorders>
              <w:top w:val="single" w:sz="4" w:space="0" w:color="000000"/>
              <w:left w:val="single" w:sz="4" w:space="0" w:color="000000"/>
              <w:bottom w:val="single" w:sz="4" w:space="0" w:color="000000"/>
              <w:right w:val="single" w:sz="4" w:space="0" w:color="000000"/>
            </w:tcBorders>
          </w:tcPr>
          <w:p w14:paraId="17A47197" w14:textId="3D268034" w:rsidR="0075065F" w:rsidRPr="001630D5" w:rsidRDefault="0075065F" w:rsidP="00672C7D">
            <w:pPr>
              <w:jc w:val="right"/>
              <w:rPr>
                <w:rFonts w:eastAsia="Arial"/>
              </w:rPr>
            </w:pPr>
            <w:r w:rsidRPr="001630D5">
              <w:rPr>
                <w:rFonts w:eastAsia="Arial"/>
              </w:rPr>
              <w:t>0.</w:t>
            </w:r>
            <w:r>
              <w:rPr>
                <w:rFonts w:eastAsia="Arial"/>
              </w:rPr>
              <w:t>13</w:t>
            </w:r>
          </w:p>
        </w:tc>
        <w:tc>
          <w:tcPr>
            <w:tcW w:w="1081" w:type="dxa"/>
            <w:tcBorders>
              <w:top w:val="single" w:sz="4" w:space="0" w:color="000000"/>
              <w:left w:val="single" w:sz="4" w:space="0" w:color="000000"/>
              <w:bottom w:val="single" w:sz="4" w:space="0" w:color="000000"/>
              <w:right w:val="single" w:sz="4" w:space="0" w:color="000000"/>
            </w:tcBorders>
          </w:tcPr>
          <w:p w14:paraId="1AA6695A" w14:textId="782587F1" w:rsidR="0075065F" w:rsidRPr="001630D5" w:rsidRDefault="00672C7D" w:rsidP="0002542D">
            <w:pPr>
              <w:jc w:val="right"/>
              <w:rPr>
                <w:rFonts w:eastAsia="Arial"/>
              </w:rPr>
            </w:pPr>
            <w:r w:rsidRPr="00672C7D">
              <w:rPr>
                <w:rFonts w:eastAsia="Arial"/>
              </w:rPr>
              <w:t>83,076.5</w:t>
            </w:r>
          </w:p>
        </w:tc>
        <w:tc>
          <w:tcPr>
            <w:tcW w:w="1081" w:type="dxa"/>
            <w:tcBorders>
              <w:top w:val="single" w:sz="4" w:space="0" w:color="000000"/>
              <w:left w:val="single" w:sz="4" w:space="0" w:color="000000"/>
              <w:bottom w:val="single" w:sz="4" w:space="0" w:color="000000"/>
              <w:right w:val="single" w:sz="4" w:space="0" w:color="000000"/>
            </w:tcBorders>
          </w:tcPr>
          <w:p w14:paraId="7D245DB6" w14:textId="77777777" w:rsidR="0075065F" w:rsidRPr="001630D5" w:rsidRDefault="0075065F" w:rsidP="0002542D">
            <w:pPr>
              <w:jc w:val="right"/>
              <w:rPr>
                <w:rFonts w:eastAsia="Arial"/>
              </w:rPr>
            </w:pPr>
            <w:r>
              <w:rPr>
                <w:rFonts w:eastAsia="Arial"/>
              </w:rPr>
              <w:t>24.34</w:t>
            </w:r>
          </w:p>
        </w:tc>
        <w:tc>
          <w:tcPr>
            <w:tcW w:w="1440" w:type="dxa"/>
            <w:tcBorders>
              <w:top w:val="single" w:sz="4" w:space="0" w:color="000000"/>
              <w:left w:val="single" w:sz="4" w:space="0" w:color="000000"/>
              <w:bottom w:val="single" w:sz="4" w:space="0" w:color="000000"/>
              <w:right w:val="single" w:sz="4" w:space="0" w:color="000000"/>
            </w:tcBorders>
          </w:tcPr>
          <w:p w14:paraId="772BFBE9" w14:textId="3206C3C1" w:rsidR="0075065F" w:rsidRPr="001630D5" w:rsidRDefault="00672C7D" w:rsidP="0002542D">
            <w:pPr>
              <w:jc w:val="right"/>
              <w:rPr>
                <w:rFonts w:eastAsia="Arial"/>
              </w:rPr>
            </w:pPr>
            <w:r w:rsidRPr="00672C7D">
              <w:rPr>
                <w:rFonts w:eastAsia="Arial"/>
              </w:rPr>
              <w:t>2,022,082</w:t>
            </w:r>
          </w:p>
        </w:tc>
      </w:tr>
      <w:tr w:rsidR="0075065F" w:rsidRPr="001630D5" w14:paraId="6E87ED87" w14:textId="77777777" w:rsidTr="0002542D">
        <w:trPr>
          <w:cantSplit/>
        </w:trPr>
        <w:tc>
          <w:tcPr>
            <w:tcW w:w="2866" w:type="dxa"/>
            <w:tcBorders>
              <w:top w:val="single" w:sz="4" w:space="0" w:color="000000"/>
              <w:left w:val="single" w:sz="4" w:space="0" w:color="000000"/>
              <w:bottom w:val="single" w:sz="4" w:space="0" w:color="000000"/>
              <w:right w:val="single" w:sz="4" w:space="0" w:color="000000"/>
            </w:tcBorders>
          </w:tcPr>
          <w:p w14:paraId="65ACFCA6" w14:textId="77777777" w:rsidR="0075065F" w:rsidRPr="001630D5" w:rsidRDefault="0075065F" w:rsidP="0002542D">
            <w:pPr>
              <w:rPr>
                <w:rFonts w:eastAsia="Arial"/>
              </w:rPr>
            </w:pPr>
            <w:r>
              <w:rPr>
                <w:rFonts w:eastAsia="Arial"/>
              </w:rPr>
              <w:t>Hospitals</w:t>
            </w:r>
          </w:p>
        </w:tc>
        <w:tc>
          <w:tcPr>
            <w:tcW w:w="1575" w:type="dxa"/>
            <w:tcBorders>
              <w:top w:val="single" w:sz="4" w:space="0" w:color="000000"/>
              <w:left w:val="single" w:sz="4" w:space="0" w:color="000000"/>
              <w:bottom w:val="single" w:sz="4" w:space="0" w:color="000000"/>
              <w:right w:val="single" w:sz="4" w:space="0" w:color="000000"/>
            </w:tcBorders>
          </w:tcPr>
          <w:p w14:paraId="386553A2" w14:textId="10435D51" w:rsidR="0075065F" w:rsidRPr="001630D5" w:rsidRDefault="00672C7D" w:rsidP="0002542D">
            <w:pPr>
              <w:jc w:val="right"/>
              <w:rPr>
                <w:rFonts w:eastAsia="Arial"/>
              </w:rPr>
            </w:pPr>
            <w:r w:rsidRPr="00672C7D">
              <w:rPr>
                <w:rFonts w:eastAsia="Arial"/>
              </w:rPr>
              <w:t>2,174</w:t>
            </w:r>
          </w:p>
        </w:tc>
        <w:tc>
          <w:tcPr>
            <w:tcW w:w="1080" w:type="dxa"/>
            <w:tcBorders>
              <w:top w:val="single" w:sz="4" w:space="0" w:color="000000"/>
              <w:left w:val="single" w:sz="4" w:space="0" w:color="000000"/>
              <w:bottom w:val="single" w:sz="4" w:space="0" w:color="000000"/>
              <w:right w:val="single" w:sz="4" w:space="0" w:color="000000"/>
            </w:tcBorders>
          </w:tcPr>
          <w:p w14:paraId="224633D6" w14:textId="3F5C97BE" w:rsidR="0075065F" w:rsidRPr="001630D5" w:rsidRDefault="00672C7D" w:rsidP="0002542D">
            <w:pPr>
              <w:jc w:val="right"/>
              <w:rPr>
                <w:rFonts w:eastAsia="Arial"/>
              </w:rPr>
            </w:pPr>
            <w:r w:rsidRPr="00672C7D">
              <w:rPr>
                <w:rFonts w:eastAsia="Arial"/>
              </w:rPr>
              <w:t>2,174</w:t>
            </w:r>
          </w:p>
        </w:tc>
        <w:tc>
          <w:tcPr>
            <w:tcW w:w="1320" w:type="dxa"/>
            <w:tcBorders>
              <w:top w:val="single" w:sz="4" w:space="0" w:color="000000"/>
              <w:left w:val="single" w:sz="4" w:space="0" w:color="000000"/>
              <w:bottom w:val="single" w:sz="4" w:space="0" w:color="000000"/>
              <w:right w:val="single" w:sz="4" w:space="0" w:color="000000"/>
            </w:tcBorders>
          </w:tcPr>
          <w:p w14:paraId="7A3F653E" w14:textId="5068976D" w:rsidR="0075065F" w:rsidRPr="001630D5" w:rsidRDefault="00672C7D" w:rsidP="0002542D">
            <w:pPr>
              <w:jc w:val="right"/>
              <w:rPr>
                <w:rFonts w:eastAsia="Arial"/>
              </w:rPr>
            </w:pPr>
            <w:r>
              <w:rPr>
                <w:rFonts w:eastAsia="Arial"/>
              </w:rPr>
              <w:t>varies</w:t>
            </w:r>
          </w:p>
        </w:tc>
        <w:tc>
          <w:tcPr>
            <w:tcW w:w="1081" w:type="dxa"/>
            <w:tcBorders>
              <w:top w:val="single" w:sz="4" w:space="0" w:color="000000"/>
              <w:left w:val="single" w:sz="4" w:space="0" w:color="000000"/>
              <w:bottom w:val="single" w:sz="4" w:space="0" w:color="000000"/>
              <w:right w:val="single" w:sz="4" w:space="0" w:color="000000"/>
            </w:tcBorders>
          </w:tcPr>
          <w:p w14:paraId="6D1BE6D1" w14:textId="1A964D47" w:rsidR="0075065F" w:rsidRPr="001630D5" w:rsidRDefault="00672C7D" w:rsidP="0002542D">
            <w:pPr>
              <w:jc w:val="right"/>
              <w:rPr>
                <w:rFonts w:eastAsia="Arial"/>
                <w:spacing w:val="1"/>
              </w:rPr>
            </w:pPr>
            <w:r w:rsidRPr="00672C7D">
              <w:rPr>
                <w:rFonts w:eastAsia="Arial"/>
                <w:spacing w:val="1"/>
              </w:rPr>
              <w:t>72,131</w:t>
            </w:r>
          </w:p>
        </w:tc>
        <w:tc>
          <w:tcPr>
            <w:tcW w:w="1081" w:type="dxa"/>
            <w:tcBorders>
              <w:top w:val="single" w:sz="4" w:space="0" w:color="000000"/>
              <w:left w:val="single" w:sz="4" w:space="0" w:color="000000"/>
              <w:bottom w:val="single" w:sz="4" w:space="0" w:color="000000"/>
              <w:right w:val="single" w:sz="4" w:space="0" w:color="000000"/>
            </w:tcBorders>
          </w:tcPr>
          <w:p w14:paraId="6272E453" w14:textId="2C8204D2" w:rsidR="0075065F" w:rsidRPr="001630D5" w:rsidRDefault="00672C7D" w:rsidP="0002542D">
            <w:pPr>
              <w:jc w:val="right"/>
              <w:rPr>
                <w:rFonts w:eastAsia="Arial"/>
              </w:rPr>
            </w:pPr>
            <w:r>
              <w:rPr>
                <w:rFonts w:eastAsia="Arial"/>
              </w:rPr>
              <w:t>85.62</w:t>
            </w:r>
          </w:p>
        </w:tc>
        <w:tc>
          <w:tcPr>
            <w:tcW w:w="1440" w:type="dxa"/>
            <w:tcBorders>
              <w:top w:val="single" w:sz="4" w:space="0" w:color="000000"/>
              <w:left w:val="single" w:sz="4" w:space="0" w:color="000000"/>
              <w:bottom w:val="single" w:sz="4" w:space="0" w:color="000000"/>
              <w:right w:val="single" w:sz="4" w:space="0" w:color="000000"/>
            </w:tcBorders>
          </w:tcPr>
          <w:p w14:paraId="6CAE1C7E" w14:textId="7D64F880" w:rsidR="0075065F" w:rsidRPr="001630D5" w:rsidRDefault="00672C7D" w:rsidP="0002542D">
            <w:pPr>
              <w:jc w:val="right"/>
              <w:rPr>
                <w:rFonts w:eastAsia="Arial"/>
              </w:rPr>
            </w:pPr>
            <w:r w:rsidRPr="00672C7D">
              <w:rPr>
                <w:rFonts w:eastAsia="Arial"/>
              </w:rPr>
              <w:t>6,175,856</w:t>
            </w:r>
          </w:p>
        </w:tc>
      </w:tr>
      <w:tr w:rsidR="0075065F" w:rsidRPr="001630D5" w14:paraId="7E30F690" w14:textId="77777777" w:rsidTr="0002542D">
        <w:trPr>
          <w:cantSplit/>
          <w:trHeight w:val="305"/>
        </w:trPr>
        <w:tc>
          <w:tcPr>
            <w:tcW w:w="28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FB059A3" w14:textId="77777777" w:rsidR="0075065F" w:rsidRPr="001630D5" w:rsidRDefault="0075065F" w:rsidP="0002542D">
            <w:pPr>
              <w:rPr>
                <w:rFonts w:eastAsia="Arial"/>
                <w:b/>
              </w:rPr>
            </w:pPr>
            <w:r w:rsidRPr="001630D5">
              <w:rPr>
                <w:b/>
              </w:rPr>
              <w:t>TOTAL</w:t>
            </w:r>
          </w:p>
        </w:tc>
        <w:tc>
          <w:tcPr>
            <w:tcW w:w="15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B6BBD52" w14:textId="139515BE" w:rsidR="0075065F" w:rsidRPr="001630D5" w:rsidRDefault="00D57F4D" w:rsidP="0002542D">
            <w:pPr>
              <w:jc w:val="right"/>
              <w:rPr>
                <w:rFonts w:eastAsia="Arial"/>
                <w:b/>
              </w:rPr>
            </w:pPr>
            <w:r>
              <w:rPr>
                <w:rFonts w:eastAsia="Arial"/>
                <w:b/>
              </w:rPr>
              <w:t>641</w:t>
            </w:r>
            <w:r w:rsidR="0075065F">
              <w:rPr>
                <w:rFonts w:eastAsia="Arial"/>
                <w:b/>
              </w:rPr>
              <w:t>,</w:t>
            </w:r>
            <w:r>
              <w:rPr>
                <w:rFonts w:eastAsia="Arial"/>
                <w:b/>
              </w:rPr>
              <w:t>224</w:t>
            </w:r>
          </w:p>
          <w:p w14:paraId="4F4ADD69" w14:textId="77777777" w:rsidR="0075065F" w:rsidRPr="001630D5" w:rsidRDefault="0075065F" w:rsidP="0002542D">
            <w:pPr>
              <w:jc w:val="right"/>
              <w:rPr>
                <w:rFonts w:eastAsia="Arial"/>
                <w:b/>
              </w:rPr>
            </w:pPr>
          </w:p>
        </w:tc>
        <w:tc>
          <w:tcPr>
            <w:tcW w:w="10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61CF132" w14:textId="34291D54" w:rsidR="0075065F" w:rsidRPr="001630D5" w:rsidRDefault="00D57F4D" w:rsidP="00D57F4D">
            <w:pPr>
              <w:jc w:val="right"/>
              <w:rPr>
                <w:rFonts w:eastAsia="Arial"/>
                <w:b/>
                <w:spacing w:val="1"/>
                <w:w w:val="99"/>
              </w:rPr>
            </w:pPr>
            <w:r>
              <w:rPr>
                <w:rFonts w:eastAsia="Arial"/>
                <w:b/>
                <w:spacing w:val="1"/>
                <w:w w:val="99"/>
              </w:rPr>
              <w:t>641</w:t>
            </w:r>
            <w:r w:rsidR="0075065F">
              <w:rPr>
                <w:rFonts w:eastAsia="Arial"/>
                <w:b/>
                <w:spacing w:val="1"/>
                <w:w w:val="99"/>
              </w:rPr>
              <w:t>,</w:t>
            </w:r>
            <w:r>
              <w:rPr>
                <w:rFonts w:eastAsia="Arial"/>
                <w:b/>
                <w:spacing w:val="1"/>
                <w:w w:val="99"/>
              </w:rPr>
              <w:t>224</w:t>
            </w:r>
          </w:p>
        </w:tc>
        <w:tc>
          <w:tcPr>
            <w:tcW w:w="13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F5DBBCB" w14:textId="77777777" w:rsidR="0075065F" w:rsidRPr="001630D5" w:rsidRDefault="0075065F" w:rsidP="0002542D">
            <w:pPr>
              <w:jc w:val="right"/>
              <w:rPr>
                <w:rFonts w:eastAsia="Arial"/>
                <w:b/>
              </w:rPr>
            </w:pPr>
            <w:r>
              <w:rPr>
                <w:rFonts w:eastAsia="Arial"/>
                <w:b/>
              </w:rPr>
              <w:t>varies</w:t>
            </w:r>
          </w:p>
        </w:tc>
        <w:tc>
          <w:tcPr>
            <w:tcW w:w="10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9FA302A" w14:textId="4089E5CB" w:rsidR="0075065F" w:rsidRPr="001630D5" w:rsidRDefault="00D57F4D" w:rsidP="00D57F4D">
            <w:pPr>
              <w:jc w:val="right"/>
              <w:rPr>
                <w:rFonts w:eastAsia="Arial"/>
                <w:b/>
                <w:spacing w:val="1"/>
              </w:rPr>
            </w:pPr>
            <w:r>
              <w:rPr>
                <w:rFonts w:eastAsia="Arial"/>
                <w:b/>
                <w:spacing w:val="1"/>
              </w:rPr>
              <w:t>155,208</w:t>
            </w:r>
          </w:p>
        </w:tc>
        <w:tc>
          <w:tcPr>
            <w:tcW w:w="10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E1697CB" w14:textId="77777777" w:rsidR="0075065F" w:rsidRPr="001630D5" w:rsidRDefault="0075065F" w:rsidP="0002542D">
            <w:pPr>
              <w:jc w:val="right"/>
              <w:rPr>
                <w:rFonts w:eastAsia="Arial"/>
                <w:b/>
              </w:rPr>
            </w:pPr>
            <w:r w:rsidRPr="001630D5">
              <w:rPr>
                <w:rFonts w:eastAsia="Arial"/>
                <w:b/>
                <w:spacing w:val="1"/>
              </w:rPr>
              <w:t>varies</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3CA2D1A" w14:textId="4F0B3E21" w:rsidR="0075065F" w:rsidRPr="001630D5" w:rsidRDefault="00D57F4D" w:rsidP="00D57F4D">
            <w:pPr>
              <w:jc w:val="right"/>
              <w:rPr>
                <w:rFonts w:eastAsia="Arial"/>
                <w:b/>
                <w:spacing w:val="1"/>
              </w:rPr>
            </w:pPr>
            <w:r>
              <w:rPr>
                <w:rFonts w:eastAsia="Arial"/>
                <w:b/>
                <w:spacing w:val="1"/>
              </w:rPr>
              <w:t>8</w:t>
            </w:r>
            <w:r w:rsidR="0075065F">
              <w:rPr>
                <w:rFonts w:eastAsia="Arial"/>
                <w:b/>
                <w:spacing w:val="1"/>
              </w:rPr>
              <w:t>,</w:t>
            </w:r>
            <w:r>
              <w:rPr>
                <w:rFonts w:eastAsia="Arial"/>
                <w:b/>
                <w:spacing w:val="1"/>
              </w:rPr>
              <w:t>197</w:t>
            </w:r>
            <w:r w:rsidR="0075065F">
              <w:rPr>
                <w:rFonts w:eastAsia="Arial"/>
                <w:b/>
                <w:spacing w:val="1"/>
              </w:rPr>
              <w:t>,</w:t>
            </w:r>
            <w:r>
              <w:rPr>
                <w:rFonts w:eastAsia="Arial"/>
                <w:b/>
                <w:spacing w:val="1"/>
              </w:rPr>
              <w:t>938</w:t>
            </w:r>
          </w:p>
        </w:tc>
      </w:tr>
    </w:tbl>
    <w:p w14:paraId="48D140DA" w14:textId="77777777" w:rsidR="00784C7E" w:rsidRPr="0097278F" w:rsidRDefault="00784C7E" w:rsidP="0075065F"/>
    <w:p w14:paraId="5CFF6064" w14:textId="77777777" w:rsidR="0075065F" w:rsidRPr="0033543C" w:rsidRDefault="0075065F" w:rsidP="0075065F">
      <w:pPr>
        <w:rPr>
          <w:i/>
        </w:rPr>
      </w:pPr>
      <w:r w:rsidRPr="00006CA0">
        <w:rPr>
          <w:i/>
        </w:rPr>
        <w:t>Information Collection Instruments and Instruction/Guidance Documents</w:t>
      </w:r>
    </w:p>
    <w:p w14:paraId="4C21C1C8" w14:textId="77777777" w:rsidR="0075065F" w:rsidRPr="0033543C" w:rsidRDefault="0075065F" w:rsidP="0075065F">
      <w:pPr>
        <w:pStyle w:val="BodyText"/>
      </w:pPr>
    </w:p>
    <w:p w14:paraId="31CF1053" w14:textId="4FE49F64" w:rsidR="00006CA0" w:rsidRPr="004E2C85" w:rsidRDefault="00006CA0" w:rsidP="00006CA0">
      <w:pPr>
        <w:pStyle w:val="BodyText"/>
        <w:ind w:right="115"/>
      </w:pPr>
      <w:r w:rsidRPr="004E2C85">
        <w:t xml:space="preserve">Attachment A </w:t>
      </w:r>
      <w:r w:rsidR="00D12D19" w:rsidRPr="004E2C85">
        <w:t>–</w:t>
      </w:r>
      <w:r w:rsidRPr="004E2C85">
        <w:t xml:space="preserve"> </w:t>
      </w:r>
      <w:r w:rsidR="00D12D19" w:rsidRPr="004E2C85">
        <w:t xml:space="preserve">OAS </w:t>
      </w:r>
      <w:r w:rsidRPr="004E2C85">
        <w:t xml:space="preserve">CAHPS </w:t>
      </w:r>
      <w:r w:rsidR="00D12D19" w:rsidRPr="004E2C85">
        <w:t xml:space="preserve">(Mail </w:t>
      </w:r>
      <w:r w:rsidRPr="004E2C85">
        <w:t>Survey)</w:t>
      </w:r>
    </w:p>
    <w:p w14:paraId="6FB20815" w14:textId="624BB8F4" w:rsidR="00006CA0" w:rsidRPr="004E2C85" w:rsidRDefault="00006CA0" w:rsidP="00006CA0">
      <w:pPr>
        <w:pStyle w:val="BodyText"/>
        <w:ind w:right="115"/>
      </w:pPr>
      <w:r w:rsidRPr="004E2C85">
        <w:t xml:space="preserve">Attachment B -- </w:t>
      </w:r>
      <w:r w:rsidR="00D12D19" w:rsidRPr="004E2C85">
        <w:t xml:space="preserve">OAS CAHPS </w:t>
      </w:r>
      <w:r w:rsidRPr="004E2C85">
        <w:t>(Telephone Script)</w:t>
      </w:r>
    </w:p>
    <w:p w14:paraId="1BECF5DB" w14:textId="25CEB4CC" w:rsidR="00006CA0" w:rsidRPr="004E2C85" w:rsidRDefault="00006CA0" w:rsidP="00006CA0">
      <w:pPr>
        <w:pStyle w:val="BodyText"/>
        <w:ind w:right="115"/>
      </w:pPr>
      <w:r w:rsidRPr="004E2C85">
        <w:t xml:space="preserve">Attachment C -- </w:t>
      </w:r>
      <w:r w:rsidR="005C680F" w:rsidRPr="004E2C85">
        <w:t xml:space="preserve">OAS CAHPS </w:t>
      </w:r>
      <w:r w:rsidRPr="004E2C85">
        <w:t>(</w:t>
      </w:r>
      <w:r w:rsidR="000500EF" w:rsidRPr="004E2C85">
        <w:t>Web</w:t>
      </w:r>
      <w:r w:rsidRPr="004E2C85">
        <w:t xml:space="preserve"> S</w:t>
      </w:r>
      <w:r w:rsidR="000500EF" w:rsidRPr="004E2C85">
        <w:t>urvey Screenshots</w:t>
      </w:r>
      <w:r w:rsidRPr="004E2C85">
        <w:t>)</w:t>
      </w:r>
    </w:p>
    <w:p w14:paraId="606A28B2" w14:textId="37C9E47F" w:rsidR="004E2C85" w:rsidRPr="004E2C85" w:rsidRDefault="004E2C85" w:rsidP="004E2C85">
      <w:pPr>
        <w:pStyle w:val="BodyText"/>
        <w:ind w:right="115"/>
      </w:pPr>
      <w:r w:rsidRPr="004E2C85">
        <w:t>Attachment D1 – Cover Letters</w:t>
      </w:r>
    </w:p>
    <w:p w14:paraId="27F6AA24" w14:textId="5B5E7C87" w:rsidR="004E2C85" w:rsidRPr="004E2C85" w:rsidRDefault="004E2C85" w:rsidP="004E2C85">
      <w:pPr>
        <w:pStyle w:val="BodyText"/>
        <w:ind w:right="115"/>
      </w:pPr>
      <w:r w:rsidRPr="004E2C85">
        <w:t>Attachment D2 – Letter Invitation for Web Survey</w:t>
      </w:r>
    </w:p>
    <w:p w14:paraId="43328E7D" w14:textId="04407E24" w:rsidR="004E2C85" w:rsidRPr="004E2C85" w:rsidRDefault="004E2C85" w:rsidP="004E2C85">
      <w:pPr>
        <w:pStyle w:val="BodyText"/>
        <w:ind w:right="115"/>
      </w:pPr>
      <w:r w:rsidRPr="004E2C85">
        <w:t>Attachment D3 – E-mail Invitation for Web Survey (1</w:t>
      </w:r>
      <w:r w:rsidRPr="004E2C85">
        <w:rPr>
          <w:vertAlign w:val="superscript"/>
        </w:rPr>
        <w:t>st</w:t>
      </w:r>
      <w:r w:rsidRPr="004E2C85">
        <w:t xml:space="preserve"> Contact)</w:t>
      </w:r>
    </w:p>
    <w:p w14:paraId="100AAAA0" w14:textId="28244CA1" w:rsidR="004E2C85" w:rsidRPr="004E2C85" w:rsidRDefault="004E2C85" w:rsidP="004E2C85">
      <w:pPr>
        <w:pStyle w:val="BodyText"/>
        <w:ind w:right="115"/>
      </w:pPr>
      <w:r w:rsidRPr="004E2C85">
        <w:t>Attachment D4 – E-mail Invitation for Web Survey (Reminder)</w:t>
      </w:r>
    </w:p>
    <w:p w14:paraId="514C67A4" w14:textId="77777777" w:rsidR="00D42DDA" w:rsidRPr="00D75887" w:rsidRDefault="00D42DDA" w:rsidP="00092D49">
      <w:pPr>
        <w:pStyle w:val="BodyText"/>
      </w:pPr>
    </w:p>
    <w:p w14:paraId="3378CB66" w14:textId="77777777" w:rsidR="009C1BBD" w:rsidRPr="00D75887" w:rsidRDefault="009C1BBD" w:rsidP="009C1BBD">
      <w:pPr>
        <w:pStyle w:val="Heading2"/>
      </w:pPr>
      <w:bookmarkStart w:id="73" w:name="_Toc417476009"/>
      <w:r w:rsidRPr="00D75887">
        <w:t>A.13</w:t>
      </w:r>
      <w:r w:rsidRPr="00D75887">
        <w:tab/>
        <w:t>Estimates of Annualized Respondent Capital and Maintenance Costs</w:t>
      </w:r>
      <w:bookmarkEnd w:id="62"/>
      <w:bookmarkEnd w:id="73"/>
    </w:p>
    <w:p w14:paraId="3C1FC619" w14:textId="77777777" w:rsidR="009C1BBD" w:rsidRPr="00D75887" w:rsidRDefault="009C1BBD" w:rsidP="00092D49">
      <w:pPr>
        <w:pStyle w:val="BodyText"/>
      </w:pPr>
      <w:r w:rsidRPr="00D75887">
        <w:t>The only cost is that for the time of the respondent. There is no anticipated recordkeeping burden because respondents are not required to keep a copy of the survey.</w:t>
      </w:r>
    </w:p>
    <w:p w14:paraId="29FF6FD8" w14:textId="16A87828" w:rsidR="00075391" w:rsidRPr="00D75887" w:rsidRDefault="009C1BBD" w:rsidP="00765D06">
      <w:pPr>
        <w:pStyle w:val="BodyText"/>
      </w:pPr>
      <w:r w:rsidRPr="00D75887">
        <w:t xml:space="preserve">Capital and maintenance costs include the purchase of equipment, computers or computer software or services, or storage facilities for records, as a result of complying with this data collection. </w:t>
      </w:r>
      <w:r w:rsidR="00B87D00" w:rsidRPr="00D75887">
        <w:t>For national implementation, w</w:t>
      </w:r>
      <w:r w:rsidRPr="00D75887">
        <w:t xml:space="preserve">e have determined that there is an annual-time cost to the HOPDs/ASCs to secure the services of approved </w:t>
      </w:r>
      <w:r w:rsidR="004E4DEA" w:rsidRPr="00D75887">
        <w:t>OAS CAHPS</w:t>
      </w:r>
      <w:r w:rsidRPr="00D75887">
        <w:t xml:space="preserve"> survey vendors to conduct </w:t>
      </w:r>
      <w:r w:rsidR="004E4DEA" w:rsidRPr="00D75887">
        <w:t>OAS CAHPS</w:t>
      </w:r>
      <w:r w:rsidRPr="00D75887">
        <w:t xml:space="preserve"> on their behalf. In </w:t>
      </w:r>
      <w:r w:rsidRPr="00D75887">
        <w:rPr>
          <w:b/>
        </w:rPr>
        <w:t>Exhibit</w:t>
      </w:r>
      <w:r w:rsidR="002015BA" w:rsidRPr="00D75887">
        <w:rPr>
          <w:b/>
        </w:rPr>
        <w:t> A</w:t>
      </w:r>
      <w:r w:rsidR="00744F8D" w:rsidRPr="00D75887">
        <w:rPr>
          <w:b/>
        </w:rPr>
        <w:noBreakHyphen/>
      </w:r>
      <w:r w:rsidR="00057D10" w:rsidRPr="00D75887">
        <w:rPr>
          <w:b/>
        </w:rPr>
        <w:t>4</w:t>
      </w:r>
      <w:r w:rsidRPr="00D75887">
        <w:t>, we have summarized the estimated cost burden to the facilities</w:t>
      </w:r>
      <w:r w:rsidR="007C53BF" w:rsidRPr="00D75887">
        <w:t xml:space="preserve"> for securing the services of a survey vendor</w:t>
      </w:r>
      <w:r w:rsidRPr="00D75887">
        <w:t xml:space="preserve">. </w:t>
      </w:r>
      <w:r w:rsidR="006D324F" w:rsidRPr="00D75887">
        <w:t>Assuming</w:t>
      </w:r>
      <w:r w:rsidRPr="00D75887">
        <w:t xml:space="preserve"> </w:t>
      </w:r>
      <w:r w:rsidR="00C8323C" w:rsidRPr="00D75887">
        <w:t>2</w:t>
      </w:r>
      <w:r w:rsidR="00DF04B9" w:rsidRPr="00D75887">
        <w:t>,</w:t>
      </w:r>
      <w:r w:rsidR="00C8323C" w:rsidRPr="00D75887">
        <w:t>104</w:t>
      </w:r>
      <w:r w:rsidRPr="00D75887">
        <w:t xml:space="preserve"> </w:t>
      </w:r>
      <w:r w:rsidR="00C60AB4" w:rsidRPr="00D75887">
        <w:t>facilities</w:t>
      </w:r>
      <w:r w:rsidR="009455BD" w:rsidRPr="00D75887">
        <w:t xml:space="preserve"> </w:t>
      </w:r>
      <w:r w:rsidR="006D324F" w:rsidRPr="00D75887">
        <w:t xml:space="preserve">voluntarily </w:t>
      </w:r>
      <w:r w:rsidRPr="00D75887">
        <w:t xml:space="preserve">participate in the </w:t>
      </w:r>
      <w:r w:rsidR="004E4DEA" w:rsidRPr="00D75887">
        <w:t>OAS CAHPS</w:t>
      </w:r>
      <w:r w:rsidRPr="00D75887">
        <w:t>, at the estimated cost of $</w:t>
      </w:r>
      <w:r w:rsidR="002B0870" w:rsidRPr="00D75887">
        <w:t>4,000</w:t>
      </w:r>
      <w:r w:rsidRPr="00D75887">
        <w:t xml:space="preserve"> for contract costs, then the total cost is estimated to be $</w:t>
      </w:r>
      <w:r w:rsidR="00765D06" w:rsidRPr="00D75887">
        <w:t>8</w:t>
      </w:r>
      <w:r w:rsidR="00DF04B9" w:rsidRPr="00D75887">
        <w:t>,</w:t>
      </w:r>
      <w:r w:rsidR="00765D06" w:rsidRPr="00D75887">
        <w:t>416</w:t>
      </w:r>
      <w:r w:rsidR="00DF04B9" w:rsidRPr="00D75887">
        <w:t>,0</w:t>
      </w:r>
      <w:r w:rsidR="00765D06" w:rsidRPr="00D75887">
        <w:t>00</w:t>
      </w:r>
      <w:r w:rsidRPr="00D75887">
        <w:t>.</w:t>
      </w:r>
    </w:p>
    <w:p w14:paraId="4772853D" w14:textId="45CF3744" w:rsidR="009C1BBD" w:rsidRPr="00D75887" w:rsidRDefault="009C1BBD" w:rsidP="008B7283">
      <w:pPr>
        <w:pStyle w:val="Caption"/>
      </w:pPr>
      <w:bookmarkStart w:id="74" w:name="_Toc404335442"/>
      <w:bookmarkStart w:id="75" w:name="_Toc417574915"/>
      <w:r w:rsidRPr="00D75887">
        <w:t xml:space="preserve">Exhibit </w:t>
      </w:r>
      <w:r w:rsidR="002015BA" w:rsidRPr="00D75887">
        <w:t>A</w:t>
      </w:r>
      <w:r w:rsidR="00744F8D" w:rsidRPr="00D75887">
        <w:noBreakHyphen/>
      </w:r>
      <w:r w:rsidR="00057D10" w:rsidRPr="00D75887">
        <w:t>4</w:t>
      </w:r>
      <w:r w:rsidR="00744F8D" w:rsidRPr="00D75887">
        <w:t>.</w:t>
      </w:r>
      <w:r w:rsidRPr="00D75887">
        <w:tab/>
        <w:t>Estimated Cost Burden to Facilities</w:t>
      </w:r>
      <w:bookmarkEnd w:id="74"/>
      <w:r w:rsidR="008B7283" w:rsidRPr="00D75887">
        <w:t xml:space="preserve"> for Survey Vendors</w:t>
      </w:r>
      <w:bookmarkEnd w:id="75"/>
      <w:r w:rsidR="007C53BF" w:rsidRPr="00D75887">
        <w:t xml:space="preserve"> for National Implementation</w:t>
      </w:r>
    </w:p>
    <w:tbl>
      <w:tblPr>
        <w:tblW w:w="5000" w:type="pct"/>
        <w:tblInd w:w="108" w:type="dxa"/>
        <w:tblBorders>
          <w:top w:val="single" w:sz="12" w:space="0" w:color="auto"/>
          <w:bottom w:val="single" w:sz="12" w:space="0" w:color="auto"/>
          <w:insideH w:val="single" w:sz="4" w:space="0" w:color="auto"/>
        </w:tblBorders>
        <w:tblLayout w:type="fixed"/>
        <w:tblCellMar>
          <w:left w:w="58" w:type="dxa"/>
          <w:right w:w="58" w:type="dxa"/>
        </w:tblCellMar>
        <w:tblLook w:val="0000" w:firstRow="0" w:lastRow="0" w:firstColumn="0" w:lastColumn="0" w:noHBand="0" w:noVBand="0"/>
      </w:tblPr>
      <w:tblGrid>
        <w:gridCol w:w="3600"/>
        <w:gridCol w:w="1494"/>
        <w:gridCol w:w="1494"/>
        <w:gridCol w:w="1494"/>
        <w:gridCol w:w="1494"/>
      </w:tblGrid>
      <w:tr w:rsidR="00D75887" w:rsidRPr="00D75887" w14:paraId="19AD0687" w14:textId="77777777" w:rsidTr="002015BA">
        <w:trPr>
          <w:cantSplit/>
          <w:tblHeader/>
        </w:trPr>
        <w:tc>
          <w:tcPr>
            <w:tcW w:w="3600" w:type="dxa"/>
            <w:shd w:val="clear" w:color="auto" w:fill="auto"/>
            <w:tcMar>
              <w:top w:w="0" w:type="dxa"/>
              <w:left w:w="108" w:type="dxa"/>
              <w:bottom w:w="0" w:type="dxa"/>
              <w:right w:w="108" w:type="dxa"/>
            </w:tcMar>
            <w:vAlign w:val="bottom"/>
          </w:tcPr>
          <w:p w14:paraId="0F6E51DA" w14:textId="77777777" w:rsidR="009C1BBD" w:rsidRPr="00D75887" w:rsidRDefault="009C1BBD" w:rsidP="002015BA">
            <w:pPr>
              <w:pStyle w:val="TableHeaders"/>
            </w:pPr>
            <w:r w:rsidRPr="00D75887">
              <w:t xml:space="preserve">Form </w:t>
            </w:r>
            <w:r w:rsidR="002015BA" w:rsidRPr="00D75887">
              <w:t>Name</w:t>
            </w:r>
          </w:p>
        </w:tc>
        <w:tc>
          <w:tcPr>
            <w:tcW w:w="1494" w:type="dxa"/>
            <w:shd w:val="clear" w:color="auto" w:fill="auto"/>
            <w:tcMar>
              <w:top w:w="0" w:type="dxa"/>
              <w:left w:w="108" w:type="dxa"/>
              <w:bottom w:w="0" w:type="dxa"/>
              <w:right w:w="108" w:type="dxa"/>
            </w:tcMar>
            <w:vAlign w:val="bottom"/>
          </w:tcPr>
          <w:p w14:paraId="1646BFC3" w14:textId="77777777" w:rsidR="009C1BBD" w:rsidRPr="00D75887" w:rsidRDefault="009C1BBD" w:rsidP="002015BA">
            <w:pPr>
              <w:pStyle w:val="TableHeaders"/>
            </w:pPr>
            <w:r w:rsidRPr="00D75887">
              <w:t xml:space="preserve">Number of </w:t>
            </w:r>
            <w:r w:rsidR="002015BA" w:rsidRPr="00D75887">
              <w:t>Respondents</w:t>
            </w:r>
          </w:p>
        </w:tc>
        <w:tc>
          <w:tcPr>
            <w:tcW w:w="1494" w:type="dxa"/>
            <w:shd w:val="clear" w:color="auto" w:fill="auto"/>
            <w:tcMar>
              <w:top w:w="0" w:type="dxa"/>
              <w:left w:w="108" w:type="dxa"/>
              <w:bottom w:w="0" w:type="dxa"/>
              <w:right w:w="108" w:type="dxa"/>
            </w:tcMar>
            <w:vAlign w:val="bottom"/>
          </w:tcPr>
          <w:p w14:paraId="33374BB8" w14:textId="77777777" w:rsidR="009C1BBD" w:rsidRPr="00D75887" w:rsidRDefault="009C1BBD" w:rsidP="002015BA">
            <w:pPr>
              <w:pStyle w:val="TableHeaders"/>
            </w:pPr>
            <w:r w:rsidRPr="00D75887">
              <w:t xml:space="preserve">Total </w:t>
            </w:r>
            <w:r w:rsidR="002015BA" w:rsidRPr="00D75887">
              <w:t>Burden Hou</w:t>
            </w:r>
            <w:r w:rsidRPr="00D75887">
              <w:t>rs</w:t>
            </w:r>
          </w:p>
        </w:tc>
        <w:tc>
          <w:tcPr>
            <w:tcW w:w="1494" w:type="dxa"/>
            <w:shd w:val="clear" w:color="auto" w:fill="auto"/>
            <w:tcMar>
              <w:top w:w="0" w:type="dxa"/>
              <w:left w:w="108" w:type="dxa"/>
              <w:bottom w:w="0" w:type="dxa"/>
              <w:right w:w="108" w:type="dxa"/>
            </w:tcMar>
            <w:vAlign w:val="bottom"/>
          </w:tcPr>
          <w:p w14:paraId="6B60AE4E" w14:textId="77777777" w:rsidR="009C1BBD" w:rsidRPr="00D75887" w:rsidRDefault="009C1BBD" w:rsidP="002015BA">
            <w:pPr>
              <w:pStyle w:val="TableHeaders"/>
            </w:pPr>
            <w:r w:rsidRPr="00D75887">
              <w:t>Average Cost to Contract</w:t>
            </w:r>
          </w:p>
        </w:tc>
        <w:tc>
          <w:tcPr>
            <w:tcW w:w="1494" w:type="dxa"/>
            <w:shd w:val="clear" w:color="auto" w:fill="auto"/>
            <w:tcMar>
              <w:top w:w="0" w:type="dxa"/>
              <w:left w:w="108" w:type="dxa"/>
              <w:bottom w:w="0" w:type="dxa"/>
              <w:right w:w="108" w:type="dxa"/>
            </w:tcMar>
            <w:vAlign w:val="bottom"/>
          </w:tcPr>
          <w:p w14:paraId="770BC5B7" w14:textId="77777777" w:rsidR="009C1BBD" w:rsidRPr="00D75887" w:rsidRDefault="009C1BBD" w:rsidP="002015BA">
            <w:pPr>
              <w:pStyle w:val="TableHeaders"/>
            </w:pPr>
            <w:r w:rsidRPr="00D75887">
              <w:t xml:space="preserve">Total </w:t>
            </w:r>
            <w:r w:rsidR="002015BA" w:rsidRPr="00D75887">
              <w:t>Cost Bu</w:t>
            </w:r>
            <w:r w:rsidRPr="00D75887">
              <w:t>rden</w:t>
            </w:r>
          </w:p>
        </w:tc>
      </w:tr>
      <w:tr w:rsidR="00D75887" w:rsidRPr="00D75887" w14:paraId="7FB7D377" w14:textId="77777777" w:rsidTr="002015BA">
        <w:trPr>
          <w:cantSplit/>
        </w:trPr>
        <w:tc>
          <w:tcPr>
            <w:tcW w:w="3600" w:type="dxa"/>
            <w:shd w:val="clear" w:color="auto" w:fill="auto"/>
            <w:tcMar>
              <w:top w:w="0" w:type="dxa"/>
              <w:left w:w="108" w:type="dxa"/>
              <w:bottom w:w="0" w:type="dxa"/>
              <w:right w:w="108" w:type="dxa"/>
            </w:tcMar>
            <w:vAlign w:val="bottom"/>
          </w:tcPr>
          <w:p w14:paraId="1DE02510" w14:textId="77777777" w:rsidR="009C1BBD" w:rsidRPr="00D75887" w:rsidRDefault="009C1BBD" w:rsidP="0089760A">
            <w:pPr>
              <w:pStyle w:val="TableText"/>
            </w:pPr>
            <w:r w:rsidRPr="00D75887">
              <w:t xml:space="preserve">HOPDs/ASCs contracting with approved </w:t>
            </w:r>
            <w:r w:rsidR="004E4DEA" w:rsidRPr="00D75887">
              <w:t>OAS CAHPS</w:t>
            </w:r>
            <w:r w:rsidRPr="00D75887">
              <w:t xml:space="preserve"> Survey Vendors </w:t>
            </w:r>
          </w:p>
        </w:tc>
        <w:tc>
          <w:tcPr>
            <w:tcW w:w="1494" w:type="dxa"/>
            <w:shd w:val="clear" w:color="auto" w:fill="auto"/>
            <w:tcMar>
              <w:top w:w="0" w:type="dxa"/>
              <w:left w:w="108" w:type="dxa"/>
              <w:bottom w:w="0" w:type="dxa"/>
              <w:right w:w="108" w:type="dxa"/>
            </w:tcMar>
          </w:tcPr>
          <w:p w14:paraId="3AFA9D3F" w14:textId="77D418ED" w:rsidR="009C1BBD" w:rsidRPr="00D75887" w:rsidRDefault="00C8323C" w:rsidP="00C8323C">
            <w:pPr>
              <w:pStyle w:val="TableText"/>
              <w:jc w:val="center"/>
            </w:pPr>
            <w:r w:rsidRPr="00D75887">
              <w:t>2</w:t>
            </w:r>
            <w:r w:rsidR="00DF04B9" w:rsidRPr="00D75887">
              <w:t>,</w:t>
            </w:r>
            <w:r w:rsidRPr="00D75887">
              <w:t>104</w:t>
            </w:r>
            <w:r w:rsidR="003F33B6" w:rsidRPr="00D75887">
              <w:t xml:space="preserve"> </w:t>
            </w:r>
          </w:p>
        </w:tc>
        <w:tc>
          <w:tcPr>
            <w:tcW w:w="1494" w:type="dxa"/>
            <w:shd w:val="clear" w:color="auto" w:fill="auto"/>
            <w:tcMar>
              <w:top w:w="0" w:type="dxa"/>
              <w:left w:w="108" w:type="dxa"/>
              <w:bottom w:w="0" w:type="dxa"/>
              <w:right w:w="108" w:type="dxa"/>
            </w:tcMar>
          </w:tcPr>
          <w:p w14:paraId="3B6F49D6" w14:textId="77777777" w:rsidR="009C1BBD" w:rsidRPr="00D75887" w:rsidRDefault="007C53BF" w:rsidP="0089760A">
            <w:pPr>
              <w:pStyle w:val="TableText"/>
              <w:jc w:val="center"/>
            </w:pPr>
            <w:r w:rsidRPr="00D75887">
              <w:t>NA</w:t>
            </w:r>
          </w:p>
        </w:tc>
        <w:tc>
          <w:tcPr>
            <w:tcW w:w="1494" w:type="dxa"/>
            <w:shd w:val="clear" w:color="auto" w:fill="auto"/>
            <w:tcMar>
              <w:top w:w="0" w:type="dxa"/>
              <w:left w:w="108" w:type="dxa"/>
              <w:bottom w:w="0" w:type="dxa"/>
              <w:right w:w="108" w:type="dxa"/>
            </w:tcMar>
          </w:tcPr>
          <w:p w14:paraId="37706950" w14:textId="450BE94C" w:rsidR="009C1BBD" w:rsidRPr="00D75887" w:rsidRDefault="009C1BBD" w:rsidP="007C53BF">
            <w:pPr>
              <w:pStyle w:val="TableText"/>
              <w:jc w:val="center"/>
            </w:pPr>
            <w:r w:rsidRPr="00D75887">
              <w:t>$</w:t>
            </w:r>
            <w:r w:rsidR="00945645" w:rsidRPr="00D75887">
              <w:t>4</w:t>
            </w:r>
            <w:r w:rsidR="00D26C79" w:rsidRPr="00D75887">
              <w:t>,</w:t>
            </w:r>
            <w:r w:rsidR="007C53BF" w:rsidRPr="00D75887">
              <w:t>000</w:t>
            </w:r>
          </w:p>
        </w:tc>
        <w:tc>
          <w:tcPr>
            <w:tcW w:w="1494" w:type="dxa"/>
            <w:shd w:val="clear" w:color="auto" w:fill="auto"/>
            <w:tcMar>
              <w:top w:w="0" w:type="dxa"/>
              <w:left w:w="108" w:type="dxa"/>
              <w:bottom w:w="0" w:type="dxa"/>
              <w:right w:w="108" w:type="dxa"/>
            </w:tcMar>
          </w:tcPr>
          <w:p w14:paraId="6E850258" w14:textId="1CB3357C" w:rsidR="009C1BBD" w:rsidRPr="00D75887" w:rsidRDefault="009C1BBD" w:rsidP="00C8323C">
            <w:pPr>
              <w:pStyle w:val="TableText"/>
              <w:jc w:val="center"/>
            </w:pPr>
            <w:r w:rsidRPr="00D75887">
              <w:t>$</w:t>
            </w:r>
            <w:r w:rsidR="00C8323C" w:rsidRPr="00D75887">
              <w:t>8,41</w:t>
            </w:r>
            <w:r w:rsidR="003F33B6" w:rsidRPr="00D75887">
              <w:t xml:space="preserve">6,000 </w:t>
            </w:r>
          </w:p>
        </w:tc>
      </w:tr>
      <w:tr w:rsidR="009C1BBD" w:rsidRPr="00D75887" w14:paraId="0186E30C" w14:textId="77777777" w:rsidTr="002015BA">
        <w:trPr>
          <w:cantSplit/>
        </w:trPr>
        <w:tc>
          <w:tcPr>
            <w:tcW w:w="3600" w:type="dxa"/>
            <w:shd w:val="clear" w:color="auto" w:fill="auto"/>
            <w:tcMar>
              <w:top w:w="0" w:type="dxa"/>
              <w:left w:w="108" w:type="dxa"/>
              <w:bottom w:w="0" w:type="dxa"/>
              <w:right w:w="108" w:type="dxa"/>
            </w:tcMar>
            <w:vAlign w:val="bottom"/>
          </w:tcPr>
          <w:p w14:paraId="4A3872D7" w14:textId="77777777" w:rsidR="009C1BBD" w:rsidRPr="00D75887" w:rsidRDefault="009C1BBD" w:rsidP="0089760A">
            <w:pPr>
              <w:pStyle w:val="TableText"/>
              <w:rPr>
                <w:b/>
              </w:rPr>
            </w:pPr>
            <w:r w:rsidRPr="00D75887">
              <w:rPr>
                <w:b/>
              </w:rPr>
              <w:t>Total</w:t>
            </w:r>
          </w:p>
        </w:tc>
        <w:tc>
          <w:tcPr>
            <w:tcW w:w="1494" w:type="dxa"/>
            <w:shd w:val="clear" w:color="auto" w:fill="auto"/>
            <w:tcMar>
              <w:top w:w="0" w:type="dxa"/>
              <w:left w:w="108" w:type="dxa"/>
              <w:bottom w:w="0" w:type="dxa"/>
              <w:right w:w="108" w:type="dxa"/>
            </w:tcMar>
          </w:tcPr>
          <w:p w14:paraId="729A909F" w14:textId="221794EA" w:rsidR="009C1BBD" w:rsidRPr="00D75887" w:rsidRDefault="00C8323C" w:rsidP="00C8323C">
            <w:pPr>
              <w:pStyle w:val="TableText"/>
              <w:jc w:val="center"/>
            </w:pPr>
            <w:r w:rsidRPr="00D75887">
              <w:t>2,104</w:t>
            </w:r>
          </w:p>
        </w:tc>
        <w:tc>
          <w:tcPr>
            <w:tcW w:w="1494" w:type="dxa"/>
            <w:shd w:val="clear" w:color="auto" w:fill="auto"/>
            <w:tcMar>
              <w:top w:w="0" w:type="dxa"/>
              <w:left w:w="108" w:type="dxa"/>
              <w:bottom w:w="0" w:type="dxa"/>
              <w:right w:w="108" w:type="dxa"/>
            </w:tcMar>
          </w:tcPr>
          <w:p w14:paraId="2EAB20E5" w14:textId="77777777" w:rsidR="009C1BBD" w:rsidRPr="00D75887" w:rsidRDefault="007C53BF" w:rsidP="007C53BF">
            <w:pPr>
              <w:pStyle w:val="TableText"/>
              <w:jc w:val="center"/>
            </w:pPr>
            <w:r w:rsidRPr="00D75887">
              <w:t>NA</w:t>
            </w:r>
          </w:p>
        </w:tc>
        <w:tc>
          <w:tcPr>
            <w:tcW w:w="1494" w:type="dxa"/>
            <w:shd w:val="clear" w:color="auto" w:fill="auto"/>
            <w:tcMar>
              <w:top w:w="0" w:type="dxa"/>
              <w:left w:w="108" w:type="dxa"/>
              <w:bottom w:w="0" w:type="dxa"/>
              <w:right w:w="108" w:type="dxa"/>
            </w:tcMar>
          </w:tcPr>
          <w:p w14:paraId="7619B1DA" w14:textId="7501DA47" w:rsidR="009C1BBD" w:rsidRPr="00D75887" w:rsidRDefault="009C1BBD" w:rsidP="002B0870">
            <w:pPr>
              <w:pStyle w:val="TableText"/>
              <w:jc w:val="center"/>
            </w:pPr>
            <w:r w:rsidRPr="00D75887">
              <w:t>$</w:t>
            </w:r>
            <w:r w:rsidR="00945645" w:rsidRPr="00D75887">
              <w:t>4</w:t>
            </w:r>
            <w:r w:rsidR="00D26C79" w:rsidRPr="00D75887">
              <w:t>,</w:t>
            </w:r>
            <w:r w:rsidR="002B0870" w:rsidRPr="00D75887">
              <w:t>000</w:t>
            </w:r>
          </w:p>
        </w:tc>
        <w:tc>
          <w:tcPr>
            <w:tcW w:w="1494" w:type="dxa"/>
            <w:shd w:val="clear" w:color="auto" w:fill="auto"/>
            <w:tcMar>
              <w:top w:w="0" w:type="dxa"/>
              <w:left w:w="108" w:type="dxa"/>
              <w:bottom w:w="0" w:type="dxa"/>
              <w:right w:w="108" w:type="dxa"/>
            </w:tcMar>
          </w:tcPr>
          <w:p w14:paraId="52C8EF08" w14:textId="2036D1BB" w:rsidR="009C1BBD" w:rsidRPr="00D75887" w:rsidRDefault="009C1BBD" w:rsidP="00C8323C">
            <w:pPr>
              <w:pStyle w:val="TableText"/>
              <w:jc w:val="center"/>
            </w:pPr>
            <w:r w:rsidRPr="00D75887">
              <w:t>$</w:t>
            </w:r>
            <w:r w:rsidR="00C8323C" w:rsidRPr="00D75887">
              <w:t>8,41</w:t>
            </w:r>
            <w:r w:rsidR="003F33B6" w:rsidRPr="00D75887">
              <w:t xml:space="preserve">6,000 </w:t>
            </w:r>
          </w:p>
        </w:tc>
      </w:tr>
    </w:tbl>
    <w:p w14:paraId="2EC0EE5F" w14:textId="77777777" w:rsidR="002015BA" w:rsidRPr="00D75887" w:rsidRDefault="002015BA" w:rsidP="002015BA">
      <w:pPr>
        <w:pStyle w:val="Source"/>
      </w:pPr>
      <w:bookmarkStart w:id="76" w:name="_Toc162169931"/>
      <w:bookmarkStart w:id="77" w:name="_Toc245121133"/>
      <w:bookmarkStart w:id="78" w:name="_Toc401650010"/>
    </w:p>
    <w:p w14:paraId="3A857008" w14:textId="77777777" w:rsidR="009C1BBD" w:rsidRPr="00D75887" w:rsidRDefault="009C1BBD" w:rsidP="009C1BBD">
      <w:pPr>
        <w:pStyle w:val="Heading2"/>
      </w:pPr>
      <w:bookmarkStart w:id="79" w:name="_Toc417476010"/>
      <w:r w:rsidRPr="00D75887">
        <w:t>A.14</w:t>
      </w:r>
      <w:r w:rsidRPr="00D75887">
        <w:tab/>
        <w:t>Estimates of Annualized Costs to the Government</w:t>
      </w:r>
      <w:bookmarkEnd w:id="76"/>
      <w:bookmarkEnd w:id="77"/>
      <w:bookmarkEnd w:id="78"/>
      <w:bookmarkEnd w:id="79"/>
    </w:p>
    <w:p w14:paraId="412FB2AF" w14:textId="77456574" w:rsidR="00305152" w:rsidRDefault="00305152" w:rsidP="0060215F">
      <w:pPr>
        <w:pStyle w:val="BodyText"/>
      </w:pPr>
      <w:r>
        <w:t>The annual cost to the government for the OAS CAHPS contractor to coordinate national implementation going forward has been updated to $1,737,341 from $1,339,243. This change reflects an updated contract year that includes additional reporting and analysis of the voluntary data in advance of public reporting. This revision is independent of the change in burden to the respondents and patients.</w:t>
      </w:r>
    </w:p>
    <w:p w14:paraId="5DE6B89E" w14:textId="77777777" w:rsidR="00305152" w:rsidRDefault="00305152" w:rsidP="0060215F">
      <w:pPr>
        <w:pStyle w:val="BodyText"/>
      </w:pPr>
    </w:p>
    <w:p w14:paraId="2C27A6C1" w14:textId="1D8E1804" w:rsidR="00B77154" w:rsidRDefault="009C1BBD" w:rsidP="0060215F">
      <w:pPr>
        <w:pStyle w:val="BodyText"/>
      </w:pPr>
      <w:r w:rsidRPr="00D75887">
        <w:t xml:space="preserve">The total cost for </w:t>
      </w:r>
      <w:r w:rsidR="00DD3F19" w:rsidRPr="00D75887">
        <w:t xml:space="preserve">the contractor to </w:t>
      </w:r>
      <w:r w:rsidR="0060215F" w:rsidRPr="00D75887">
        <w:t>oversee</w:t>
      </w:r>
      <w:r w:rsidR="00DD3F19" w:rsidRPr="00D75887">
        <w:t xml:space="preserve"> </w:t>
      </w:r>
      <w:r w:rsidRPr="00D75887">
        <w:t xml:space="preserve">the </w:t>
      </w:r>
      <w:r w:rsidR="00DD3F19" w:rsidRPr="00D75887">
        <w:t>survey administration</w:t>
      </w:r>
      <w:r w:rsidRPr="00D75887">
        <w:t xml:space="preserve"> </w:t>
      </w:r>
      <w:r w:rsidR="00DD3F19" w:rsidRPr="00D75887">
        <w:t xml:space="preserve">procedures </w:t>
      </w:r>
      <w:r w:rsidRPr="00D75887">
        <w:t>is $</w:t>
      </w:r>
      <w:r w:rsidR="0060215F" w:rsidRPr="00D75887">
        <w:t>1,737,341</w:t>
      </w:r>
      <w:r w:rsidRPr="00D75887">
        <w:t xml:space="preserve"> </w:t>
      </w:r>
      <w:r w:rsidR="00DD3F19" w:rsidRPr="00D75887">
        <w:t xml:space="preserve">over a period of </w:t>
      </w:r>
      <w:r w:rsidR="0060215F" w:rsidRPr="00D75887">
        <w:t>12</w:t>
      </w:r>
      <w:r w:rsidR="00D92595" w:rsidRPr="00D75887">
        <w:t xml:space="preserve"> months</w:t>
      </w:r>
      <w:r w:rsidR="002915F7" w:rsidRPr="00D75887">
        <w:t>.</w:t>
      </w:r>
      <w:r w:rsidR="00D92595" w:rsidRPr="00D75887">
        <w:t xml:space="preserve"> </w:t>
      </w:r>
      <w:r w:rsidRPr="00D75887">
        <w:t>The</w:t>
      </w:r>
      <w:r w:rsidR="00DD3F19" w:rsidRPr="00D75887">
        <w:t>se costs include</w:t>
      </w:r>
      <w:r w:rsidRPr="00D75887">
        <w:t xml:space="preserve"> </w:t>
      </w:r>
      <w:r w:rsidR="00DD3F19" w:rsidRPr="00D75887">
        <w:t xml:space="preserve">implementing </w:t>
      </w:r>
      <w:r w:rsidRPr="00D75887">
        <w:t>the survey admin</w:t>
      </w:r>
      <w:r w:rsidR="00DD3F19" w:rsidRPr="00D75887">
        <w:t>istration</w:t>
      </w:r>
      <w:r w:rsidRPr="00D75887">
        <w:t xml:space="preserve"> procedures; technical assistance for vendors and vendor oversight; </w:t>
      </w:r>
      <w:r w:rsidR="00DD3F19" w:rsidRPr="00D75887">
        <w:t xml:space="preserve">and </w:t>
      </w:r>
      <w:r w:rsidRPr="00D75887">
        <w:t>vendor training program including vendor approval process</w:t>
      </w:r>
      <w:r w:rsidR="00DD3F19" w:rsidRPr="00D75887">
        <w:t xml:space="preserve">. Other activities include </w:t>
      </w:r>
      <w:r w:rsidR="0060215F" w:rsidRPr="00D75887">
        <w:t xml:space="preserve">maintaining </w:t>
      </w:r>
      <w:r w:rsidRPr="00D75887">
        <w:t>a data submission infrastructure, survey management tool, and project website;</w:t>
      </w:r>
      <w:r w:rsidR="00DD3F19" w:rsidRPr="00D75887">
        <w:t xml:space="preserve"> preparing public reporting formats.</w:t>
      </w:r>
    </w:p>
    <w:p w14:paraId="25F16FCA" w14:textId="60C358BA" w:rsidR="00305152" w:rsidRPr="00D75887" w:rsidRDefault="00305152" w:rsidP="0060215F">
      <w:pPr>
        <w:pStyle w:val="BodyText"/>
      </w:pPr>
    </w:p>
    <w:p w14:paraId="083512FB" w14:textId="77777777" w:rsidR="009C1BBD" w:rsidRPr="00D75887" w:rsidRDefault="009C1BBD" w:rsidP="009C1BBD">
      <w:pPr>
        <w:pStyle w:val="Heading2"/>
      </w:pPr>
      <w:bookmarkStart w:id="80" w:name="_Toc162169932"/>
      <w:bookmarkStart w:id="81" w:name="_Toc245121134"/>
      <w:bookmarkStart w:id="82" w:name="_Toc401650011"/>
      <w:bookmarkStart w:id="83" w:name="_Toc417476011"/>
      <w:r w:rsidRPr="00D75887">
        <w:t>A.15</w:t>
      </w:r>
      <w:r w:rsidRPr="00D75887">
        <w:tab/>
        <w:t>Changes in Hour Burden</w:t>
      </w:r>
      <w:bookmarkEnd w:id="80"/>
      <w:bookmarkEnd w:id="81"/>
      <w:bookmarkEnd w:id="82"/>
      <w:bookmarkEnd w:id="83"/>
    </w:p>
    <w:p w14:paraId="6F6FEDE9" w14:textId="77777777" w:rsidR="00F73BD4" w:rsidRDefault="00976655" w:rsidP="00A07BDA">
      <w:pPr>
        <w:pStyle w:val="BodyText"/>
      </w:pPr>
      <w:bookmarkStart w:id="84" w:name="_Toc162169933"/>
      <w:bookmarkStart w:id="85" w:name="_Toc245121135"/>
      <w:bookmarkStart w:id="86" w:name="_Toc401650012"/>
      <w:r>
        <w:t>At this time, t</w:t>
      </w:r>
      <w:r w:rsidR="00051123">
        <w:t>here are no changes planned for the response time for the survey</w:t>
      </w:r>
      <w:r>
        <w:t xml:space="preserve"> itself</w:t>
      </w:r>
      <w:r w:rsidR="00051123">
        <w:t xml:space="preserve">, </w:t>
      </w:r>
      <w:r w:rsidR="006E73E4">
        <w:t>however,</w:t>
      </w:r>
      <w:r w:rsidR="00051123">
        <w:t xml:space="preserve"> due to the delay in implementing required participation linked to reimbursement, we estimate that the number of hospitals and ambulatory surgery centers that choose to voluntarily participate in 2018 will be reduced. </w:t>
      </w:r>
    </w:p>
    <w:p w14:paraId="1FD8E98E" w14:textId="77777777" w:rsidR="00740ED4" w:rsidRDefault="00740ED4" w:rsidP="00A07BDA">
      <w:pPr>
        <w:pStyle w:val="BodyText"/>
      </w:pPr>
    </w:p>
    <w:p w14:paraId="1EF35822" w14:textId="5341662B" w:rsidR="002617DC" w:rsidRDefault="00042F41" w:rsidP="006E73E4">
      <w:pPr>
        <w:pStyle w:val="BodyText"/>
      </w:pPr>
      <w:r>
        <w:t xml:space="preserve">For the Mode Experiment, we project an increase of 3,140 responses and 409 hours (3,140 responses x 0.13 hr/response). For the National Implementation, we project a decrease of -2,177,700 responses and -283,101 hours (-2,177,700 responses x 0.13 hr/response). For Patient Records, we project a decrease of </w:t>
      </w:r>
      <w:r w:rsidR="002617DC">
        <w:t>-7</w:t>
      </w:r>
      <w:r>
        <w:t>,</w:t>
      </w:r>
      <w:r w:rsidR="002617DC">
        <w:t>289</w:t>
      </w:r>
      <w:r>
        <w:t xml:space="preserve"> responses and </w:t>
      </w:r>
      <w:r w:rsidR="002617DC">
        <w:t xml:space="preserve">-249,611 hours (see section 12). </w:t>
      </w:r>
      <w:r w:rsidR="00976655" w:rsidRPr="00D75887">
        <w:t xml:space="preserve">Overall </w:t>
      </w:r>
      <w:r w:rsidR="002617DC">
        <w:t xml:space="preserve">we project a decrease of </w:t>
      </w:r>
      <w:r w:rsidR="002617DC" w:rsidRPr="002617DC">
        <w:t>-2,181,849</w:t>
      </w:r>
      <w:r w:rsidR="002617DC">
        <w:t xml:space="preserve"> responses (3,140 -2,177,700 -7,289) and </w:t>
      </w:r>
      <w:r w:rsidR="002617DC" w:rsidRPr="002617DC">
        <w:t>-532,303</w:t>
      </w:r>
      <w:r w:rsidR="002617DC">
        <w:t xml:space="preserve"> hours (409 -283,101 -249,611).</w:t>
      </w:r>
    </w:p>
    <w:p w14:paraId="64B5CD46" w14:textId="77777777" w:rsidR="00D87414" w:rsidRPr="00D75887" w:rsidRDefault="00D87414" w:rsidP="006E73E4">
      <w:pPr>
        <w:pStyle w:val="BodyText"/>
      </w:pPr>
    </w:p>
    <w:p w14:paraId="04B4FAE1" w14:textId="6E531167" w:rsidR="009C1BBD" w:rsidRPr="00075391" w:rsidRDefault="009C1BBD" w:rsidP="00B8238B">
      <w:pPr>
        <w:pStyle w:val="Heading2"/>
      </w:pPr>
      <w:bookmarkStart w:id="87" w:name="_Toc417476012"/>
      <w:r w:rsidRPr="00075391">
        <w:t>A.16</w:t>
      </w:r>
      <w:r w:rsidRPr="00075391">
        <w:tab/>
      </w:r>
      <w:bookmarkEnd w:id="84"/>
      <w:bookmarkEnd w:id="85"/>
      <w:r w:rsidR="00B8238B">
        <w:t>Tabulation and</w:t>
      </w:r>
      <w:r w:rsidRPr="00075391">
        <w:t xml:space="preserve"> Publication</w:t>
      </w:r>
      <w:r w:rsidR="00B8238B">
        <w:t xml:space="preserve"> of Results</w:t>
      </w:r>
      <w:bookmarkEnd w:id="86"/>
      <w:bookmarkEnd w:id="87"/>
    </w:p>
    <w:p w14:paraId="3105D51B" w14:textId="0122C1F2" w:rsidR="00075391" w:rsidRPr="00075391" w:rsidRDefault="007C5F55" w:rsidP="00C27BA5">
      <w:pPr>
        <w:pStyle w:val="BodyText"/>
      </w:pPr>
      <w:r>
        <w:t xml:space="preserve">OAS CAHPS is part of the CMS goal to share as much data as possible with the public about our Medicare-approved HOPDs and ASCs, by providing valid quality data to the public.  </w:t>
      </w:r>
      <w:r w:rsidR="009C1BBD" w:rsidRPr="00075391">
        <w:t xml:space="preserve">Data collection for the </w:t>
      </w:r>
      <w:r w:rsidR="00D92595">
        <w:t xml:space="preserve">voluntary </w:t>
      </w:r>
      <w:r w:rsidR="009C1BBD" w:rsidRPr="00075391">
        <w:t xml:space="preserve">national implementation of </w:t>
      </w:r>
      <w:r w:rsidR="004E4DEA">
        <w:t>OAS CAHPS</w:t>
      </w:r>
      <w:r w:rsidR="009C1BBD" w:rsidRPr="00075391">
        <w:t xml:space="preserve"> beg</w:t>
      </w:r>
      <w:r w:rsidR="00B41820">
        <w:t>a</w:t>
      </w:r>
      <w:r w:rsidR="009C1BBD" w:rsidRPr="00075391">
        <w:t xml:space="preserve">n </w:t>
      </w:r>
      <w:r w:rsidR="00B41820">
        <w:t>January 1,</w:t>
      </w:r>
      <w:r w:rsidR="009C1BBD" w:rsidRPr="00075391">
        <w:t xml:space="preserve"> </w:t>
      </w:r>
      <w:r w:rsidR="00493F42" w:rsidRPr="00075391">
        <w:t>201</w:t>
      </w:r>
      <w:r w:rsidR="00493F42">
        <w:t>6</w:t>
      </w:r>
      <w:r w:rsidR="00493F42" w:rsidRPr="00075391">
        <w:t xml:space="preserve"> </w:t>
      </w:r>
      <w:r w:rsidR="00B41820">
        <w:t>for</w:t>
      </w:r>
      <w:r w:rsidR="009C1BBD" w:rsidRPr="00075391">
        <w:t xml:space="preserve"> the HOPDs and ASCs that </w:t>
      </w:r>
      <w:r w:rsidR="00B41820">
        <w:t>chose</w:t>
      </w:r>
      <w:r w:rsidR="009C1BBD" w:rsidRPr="00075391">
        <w:t xml:space="preserve"> to participate in the survey. Sampling and data collection </w:t>
      </w:r>
      <w:r w:rsidR="00B41820">
        <w:t>are</w:t>
      </w:r>
      <w:r w:rsidR="009C1BBD" w:rsidRPr="00075391">
        <w:t xml:space="preserve"> conducted on a monthly basis by survey vendors working under contract with the participating HOPDs and ASCs. Patients who meet survey eligibility criteria (are 18 years or older, received an outpatient surgery or diagnostic procedure in the designated sampled month at a participating </w:t>
      </w:r>
      <w:r>
        <w:t xml:space="preserve">HOPD or </w:t>
      </w:r>
      <w:r w:rsidR="009C1BBD" w:rsidRPr="00075391">
        <w:t>ASC</w:t>
      </w:r>
      <w:r w:rsidR="00493F42">
        <w:t xml:space="preserve">, and </w:t>
      </w:r>
      <w:r>
        <w:t xml:space="preserve">are </w:t>
      </w:r>
      <w:r w:rsidR="00493F42">
        <w:t xml:space="preserve">discharged to </w:t>
      </w:r>
      <w:r>
        <w:t>home</w:t>
      </w:r>
      <w:r w:rsidR="009C1BBD" w:rsidRPr="00075391">
        <w:t xml:space="preserve">) </w:t>
      </w:r>
      <w:r w:rsidR="00B41820">
        <w:t>are</w:t>
      </w:r>
      <w:r w:rsidR="009C1BBD" w:rsidRPr="00075391">
        <w:t xml:space="preserve"> eligible for inclusion in </w:t>
      </w:r>
      <w:r w:rsidR="004E4DEA">
        <w:t>OAS CAHPS</w:t>
      </w:r>
      <w:r w:rsidR="009C1BBD" w:rsidRPr="00075391">
        <w:t>.</w:t>
      </w:r>
    </w:p>
    <w:p w14:paraId="6D5D579A" w14:textId="5A4179C5" w:rsidR="007C5F55" w:rsidRDefault="009C1BBD" w:rsidP="00D26C79">
      <w:pPr>
        <w:pStyle w:val="BodyText"/>
        <w:rPr>
          <w:sz w:val="22"/>
          <w:szCs w:val="22"/>
        </w:rPr>
      </w:pPr>
      <w:r w:rsidRPr="001C08C8">
        <w:t>CMS publish</w:t>
      </w:r>
      <w:r w:rsidR="00C27BA5">
        <w:t>e</w:t>
      </w:r>
      <w:r w:rsidR="00B41820">
        <w:t>s</w:t>
      </w:r>
      <w:r w:rsidRPr="001C08C8">
        <w:t xml:space="preserve"> results from the national implementation of </w:t>
      </w:r>
      <w:r w:rsidR="004E4DEA">
        <w:t>OAS CAHPS</w:t>
      </w:r>
      <w:r w:rsidRPr="001C08C8">
        <w:t xml:space="preserve"> after each participating outpatient surgery facility has submitted data for 12 consecutive sample months. </w:t>
      </w:r>
      <w:r w:rsidRPr="00075391">
        <w:t>Survey vendors submit data to CMS</w:t>
      </w:r>
      <w:r w:rsidR="00BB511C">
        <w:t>’</w:t>
      </w:r>
      <w:r w:rsidRPr="00075391">
        <w:t xml:space="preserve"> </w:t>
      </w:r>
      <w:r w:rsidR="004E4DEA">
        <w:t>OAS CAHPS</w:t>
      </w:r>
      <w:r w:rsidRPr="00075391">
        <w:t xml:space="preserve"> Data Center (maintained and operated by CMS</w:t>
      </w:r>
      <w:r w:rsidR="00BB511C">
        <w:t>’</w:t>
      </w:r>
      <w:r w:rsidRPr="00075391">
        <w:t xml:space="preserve"> </w:t>
      </w:r>
      <w:r w:rsidR="004E4DEA">
        <w:t>OAS CAHPS</w:t>
      </w:r>
      <w:r w:rsidRPr="00075391">
        <w:t xml:space="preserve"> contractor) by an established data submission deadline for each calendar year quarter. </w:t>
      </w:r>
      <w:r w:rsidRPr="001C08C8">
        <w:t xml:space="preserve">The </w:t>
      </w:r>
      <w:r w:rsidR="004E4DEA">
        <w:t>OAS CAHPS</w:t>
      </w:r>
      <w:r w:rsidRPr="001C08C8">
        <w:t xml:space="preserve"> results that </w:t>
      </w:r>
      <w:r w:rsidR="00B41820">
        <w:t>are</w:t>
      </w:r>
      <w:r w:rsidRPr="001C08C8">
        <w:t xml:space="preserve"> publicly reported reflect one year</w:t>
      </w:r>
      <w:r w:rsidR="00BB511C">
        <w:t>’</w:t>
      </w:r>
      <w:r w:rsidRPr="001C08C8">
        <w:t>s worth of data. In each quarterly data submission, we adjust the survey results patient mix.</w:t>
      </w:r>
      <w:r w:rsidR="007C5F55" w:rsidRPr="007C5F55">
        <w:t xml:space="preserve"> </w:t>
      </w:r>
      <w:r w:rsidR="007C5F55">
        <w:t xml:space="preserve">Prior to public reporting each quarter, we provide preview reports to all participating HOPDs and ASCs so that they see their own survey data that will be publicly reported on </w:t>
      </w:r>
      <w:hyperlink r:id="rId11" w:history="1">
        <w:r w:rsidR="007C5F55">
          <w:rPr>
            <w:rStyle w:val="Hyperlink"/>
          </w:rPr>
          <w:t>www.data.medicare.gov</w:t>
        </w:r>
      </w:hyperlink>
      <w:r w:rsidR="007C5F55">
        <w:t xml:space="preserve"> and they may send comments to us if something looks incorrect in the data.  </w:t>
      </w:r>
      <w:r w:rsidRPr="001C08C8">
        <w:t xml:space="preserve"> The </w:t>
      </w:r>
      <w:r w:rsidR="00B41820" w:rsidRPr="001C08C8">
        <w:t>results</w:t>
      </w:r>
      <w:r w:rsidR="00B41820">
        <w:t xml:space="preserve"> are </w:t>
      </w:r>
      <w:r w:rsidRPr="001C08C8">
        <w:t>posted on</w:t>
      </w:r>
      <w:r w:rsidRPr="00BA01F3">
        <w:t xml:space="preserve"> </w:t>
      </w:r>
      <w:hyperlink r:id="rId12" w:history="1">
        <w:r w:rsidR="00B41820" w:rsidRPr="00B41820">
          <w:rPr>
            <w:rStyle w:val="Hyperlink"/>
          </w:rPr>
          <w:t>http://www.data.Medicare.gov/</w:t>
        </w:r>
      </w:hyperlink>
      <w:r w:rsidRPr="00BA01F3">
        <w:t>.</w:t>
      </w:r>
      <w:r w:rsidR="007C5F55" w:rsidRPr="007C5F55">
        <w:t xml:space="preserve"> </w:t>
      </w:r>
      <w:r w:rsidR="007C5F55">
        <w:t xml:space="preserve">The public reports show corresponding State and National averages so people can assess how the HOPDs’ and ASCs’ data compare with the State and National averaged OAS CAHPS data. In the future, we plan to post summary data on the CMS Compare site. </w:t>
      </w:r>
    </w:p>
    <w:p w14:paraId="3949BACE" w14:textId="77777777" w:rsidR="00460F5C" w:rsidRPr="00DE0BEC" w:rsidRDefault="00460F5C" w:rsidP="00460F5C">
      <w:pPr>
        <w:pStyle w:val="Heading3"/>
        <w:rPr>
          <w:lang w:val="en-US"/>
        </w:rPr>
      </w:pPr>
      <w:bookmarkStart w:id="88" w:name="_Toc162169934"/>
      <w:bookmarkStart w:id="89" w:name="_Toc245121136"/>
      <w:bookmarkStart w:id="90" w:name="_Toc401650013"/>
      <w:r w:rsidRPr="00DE0BEC">
        <w:rPr>
          <w:lang w:val="en-US"/>
        </w:rPr>
        <w:t>Mode Experiment</w:t>
      </w:r>
    </w:p>
    <w:p w14:paraId="5C9053AA" w14:textId="77777777" w:rsidR="00460F5C" w:rsidRPr="00DE0BEC" w:rsidRDefault="00460F5C" w:rsidP="00460F5C">
      <w:pPr>
        <w:pStyle w:val="BodyText"/>
      </w:pPr>
      <w:r w:rsidRPr="00DE0BEC">
        <w:t>In order for patients to make objective and meaningful comparisons between outpatient surgery facilities, methods and adjustments must be put into place to account for significant sources of bias outside the control of the facilities. Known sources of bias include data collection mode and variability in patient-mix and response propensity across patients within outpatient surgery facilities. As part of this information collection request, CMS is requesting approval to conduct a randomized mode experiment with a sample of patients receiving outpatient surgeries or procedures to determine whether adding a Web data collection will impact patients’ responses to the survey based on data collection mode. In addition, data from the mode experiment will be used to determine which, if any, patient characteristics affect the ratings and reported experience of the healthcare encounter. If needed, during the national implementation of OAS CAHPS, CMS will develop models to statistically adjust survey results before comparative results are publicly reported. Comparative results from the OAS CAHPS mode experiment will not be publicly reported.</w:t>
      </w:r>
    </w:p>
    <w:p w14:paraId="27E69101" w14:textId="77777777" w:rsidR="00460F5C" w:rsidRPr="00DE0BEC" w:rsidRDefault="00460F5C" w:rsidP="00460F5C">
      <w:pPr>
        <w:pStyle w:val="BodyText"/>
      </w:pPr>
      <w:r w:rsidRPr="00DE0BEC">
        <w:t>CMS is working with RTI to recruit approximately 70 outpatient surgery centers (35 HOPDs and 35 ASCs) to participate in the mode experiment to test a new Web mode of survey administration. The mode experiment will involve up to 23,312 patients across the five survey modes (mail-only, telephone-only, Web-only Web with mail follow-up and Web with telephone follow-up). To ensure that the patients selected into the sample are representative of the broad range of surgery procedures, we will sort the patient sampling frame by gender, age group, and procedure type, prior to selecting the patient sample.</w:t>
      </w:r>
    </w:p>
    <w:p w14:paraId="53558A96" w14:textId="446CF467" w:rsidR="00460F5C" w:rsidRPr="00DE0BEC" w:rsidRDefault="00460F5C" w:rsidP="00460F5C">
      <w:pPr>
        <w:pStyle w:val="BodyText"/>
      </w:pPr>
      <w:r w:rsidRPr="00DE0BEC">
        <w:t>The mode experiment will be a one-time (cross-sectional) survey of a sample of patients 18 years old and older who received outpatient surgery or a procedure from a HOPD or ASC facility during the sample month. Data collection for the mode experiment will take place in the fall of 2018 or as soon as possible after OMB clearance is received. Data collection for mail mode, telephone mode, Web mode, Web with mail mode, and Web with telephone mode conditions will be implemented concurrently for each sample month. Each monthly sample will be fielded over a 6-week data collection period. Data collection for the mode experiment will extend through 2019.</w:t>
      </w:r>
    </w:p>
    <w:p w14:paraId="13B27150" w14:textId="77777777" w:rsidR="00460F5C" w:rsidRPr="00DE0BEC" w:rsidRDefault="00460F5C" w:rsidP="00460F5C">
      <w:pPr>
        <w:pStyle w:val="BodyText"/>
        <w:keepNext/>
      </w:pPr>
      <w:r w:rsidRPr="00DE0BEC">
        <w:t>Data collection for each mode will consist of the following:</w:t>
      </w:r>
    </w:p>
    <w:p w14:paraId="3FB1D537" w14:textId="77777777" w:rsidR="00460F5C" w:rsidRPr="00DE0BEC" w:rsidRDefault="00460F5C" w:rsidP="00460F5C">
      <w:pPr>
        <w:pStyle w:val="ListBullet"/>
      </w:pPr>
      <w:r w:rsidRPr="00DE0BEC">
        <w:rPr>
          <w:i/>
        </w:rPr>
        <w:t>Mail-only Mode</w:t>
      </w:r>
      <w:r w:rsidRPr="00DE0BEC">
        <w:t>: All OAS CAHPS patients included in the mail-only sample will be sent a first package consisting of a cover letter, the questionnaire, and a pre-addressed, postage-paid return envelope. A second mailing containing a questionnaire and cover letter will be mailed to all sample patients who do not respond to the first mailing.</w:t>
      </w:r>
    </w:p>
    <w:p w14:paraId="244D7FF1" w14:textId="77777777" w:rsidR="00460F5C" w:rsidRPr="00DE0BEC" w:rsidRDefault="00460F5C" w:rsidP="00460F5C">
      <w:pPr>
        <w:pStyle w:val="ListBullet"/>
      </w:pPr>
      <w:r w:rsidRPr="00DE0BEC">
        <w:rPr>
          <w:i/>
        </w:rPr>
        <w:t>Telephone-only Mode</w:t>
      </w:r>
      <w:r w:rsidRPr="00DE0BEC">
        <w:t>: In this mode, all sample patients will be contacted via telephone by professional telephone interviewers who will be trained on OAS CAHPS administration procedures, including procedures for working with patients. Telephone interviewers will be trained on the appropriate response to common questions and concerns that patients may have about survey participation. A maximum of 5 telephone contact attempts per patient will be implemented to complete the survey.</w:t>
      </w:r>
    </w:p>
    <w:p w14:paraId="4C31F5AD" w14:textId="77777777" w:rsidR="00460F5C" w:rsidRPr="00DE0BEC" w:rsidRDefault="00460F5C" w:rsidP="00460F5C">
      <w:pPr>
        <w:pStyle w:val="ListBullet"/>
      </w:pPr>
      <w:r w:rsidRPr="00DE0BEC">
        <w:rPr>
          <w:i/>
        </w:rPr>
        <w:t>Web-only Mode</w:t>
      </w:r>
      <w:r w:rsidRPr="00DE0BEC">
        <w:t>: All sampled patients included in the Web mode data collection sample will receive e-mail invitations when e-mail addresses are available, and all will receive mail invitations to the Web survey. Three additional reminders/invitations will be sent over the course of data collection.</w:t>
      </w:r>
    </w:p>
    <w:p w14:paraId="33AABF5F" w14:textId="77777777" w:rsidR="00460F5C" w:rsidRPr="00DE0BEC" w:rsidRDefault="00460F5C" w:rsidP="00460F5C">
      <w:pPr>
        <w:pStyle w:val="ListBullet"/>
      </w:pPr>
      <w:r w:rsidRPr="00DE0BEC">
        <w:rPr>
          <w:i/>
        </w:rPr>
        <w:t>Web with Mail Follow-up Mode</w:t>
      </w:r>
      <w:r w:rsidRPr="00DE0BEC">
        <w:t xml:space="preserve">: All sampled patients included in this mixed-mode data collection sample will start as the Web mode, with e-mail and mail invitations to the Web survey. A second round of invitations will be sent two weeks later. Nonrespondents to these invitations will be mailed a paper questionnaire with a cover letter, followed by a final e-mail reminder. </w:t>
      </w:r>
    </w:p>
    <w:p w14:paraId="387C6AF7" w14:textId="77777777" w:rsidR="00460F5C" w:rsidRPr="00DE0BEC" w:rsidRDefault="00460F5C" w:rsidP="00460F5C">
      <w:pPr>
        <w:pStyle w:val="ListBullet"/>
      </w:pPr>
      <w:r w:rsidRPr="00DE0BEC">
        <w:rPr>
          <w:i/>
        </w:rPr>
        <w:t>Web with Telephone Follow</w:t>
      </w:r>
      <w:r w:rsidRPr="00DE0BEC">
        <w:t xml:space="preserve">-up Mode: All sampled patients included in this mixed-mode data collection sample will start as the Web mode, with e-mail and mail invitations to the Web survey. Nonrespondents to these invitations will be contacted via telephone. Nonrespondents to the telephone contact will receive a final e-mail reminder. </w:t>
      </w:r>
    </w:p>
    <w:p w14:paraId="18205C33" w14:textId="77777777" w:rsidR="00460F5C" w:rsidRPr="00DE0BEC" w:rsidRDefault="00460F5C" w:rsidP="00460F5C">
      <w:pPr>
        <w:pStyle w:val="ListBullet"/>
        <w:numPr>
          <w:ilvl w:val="0"/>
          <w:numId w:val="0"/>
        </w:numPr>
        <w:ind w:left="1440"/>
      </w:pPr>
    </w:p>
    <w:p w14:paraId="2C7DDB88" w14:textId="5F8EEFDE" w:rsidR="00460F5C" w:rsidRPr="00DE0BEC" w:rsidRDefault="00460F5C" w:rsidP="00460F5C">
      <w:pPr>
        <w:pStyle w:val="BodyText"/>
      </w:pPr>
      <w:r w:rsidRPr="00DE0BEC">
        <w:t xml:space="preserve">The protocol for each mode and the number of weeks for each data collection activity are shown in </w:t>
      </w:r>
      <w:r w:rsidRPr="00DE0BEC">
        <w:rPr>
          <w:b/>
          <w:bCs/>
        </w:rPr>
        <w:t>Exhibit A</w:t>
      </w:r>
      <w:r w:rsidRPr="00DE0BEC">
        <w:rPr>
          <w:b/>
          <w:bCs/>
        </w:rPr>
        <w:noBreakHyphen/>
        <w:t>5</w:t>
      </w:r>
      <w:r w:rsidRPr="00DE0BEC">
        <w:t>.</w:t>
      </w:r>
    </w:p>
    <w:p w14:paraId="735BC36D" w14:textId="346DFE26" w:rsidR="00460F5C" w:rsidRPr="00DE0BEC" w:rsidRDefault="00460F5C" w:rsidP="00460F5C">
      <w:pPr>
        <w:pStyle w:val="Caption"/>
      </w:pPr>
      <w:bookmarkStart w:id="91" w:name="_Toc352232342"/>
      <w:bookmarkStart w:id="92" w:name="_Toc356227616"/>
      <w:bookmarkStart w:id="93" w:name="_Toc404335443"/>
      <w:bookmarkStart w:id="94" w:name="_Toc417574916"/>
      <w:r w:rsidRPr="00DE0BEC">
        <w:t>Exhibit A-5.</w:t>
      </w:r>
      <w:r w:rsidRPr="00DE0BEC">
        <w:tab/>
        <w:t>Mode Experiment Data Collection Schedule</w:t>
      </w:r>
      <w:bookmarkEnd w:id="91"/>
      <w:bookmarkEnd w:id="92"/>
      <w:bookmarkEnd w:id="93"/>
      <w:bookmarkEnd w:id="94"/>
      <w:r w:rsidRPr="00DE0BEC">
        <w:t xml:space="preserve"> by Mode Condition</w:t>
      </w:r>
    </w:p>
    <w:tbl>
      <w:tblPr>
        <w:tblW w:w="9360" w:type="dxa"/>
        <w:tblLayout w:type="fixed"/>
        <w:tblLook w:val="04A0" w:firstRow="1" w:lastRow="0" w:firstColumn="1" w:lastColumn="0" w:noHBand="0" w:noVBand="1"/>
      </w:tblPr>
      <w:tblGrid>
        <w:gridCol w:w="630"/>
        <w:gridCol w:w="1890"/>
        <w:gridCol w:w="1440"/>
        <w:gridCol w:w="1800"/>
        <w:gridCol w:w="1800"/>
        <w:gridCol w:w="1800"/>
      </w:tblGrid>
      <w:tr w:rsidR="00DE0BEC" w:rsidRPr="00DE0BEC" w14:paraId="7435007A" w14:textId="77777777" w:rsidTr="0002542D">
        <w:trPr>
          <w:trHeight w:val="320"/>
        </w:trPr>
        <w:tc>
          <w:tcPr>
            <w:tcW w:w="630" w:type="dxa"/>
            <w:tcBorders>
              <w:top w:val="single" w:sz="4" w:space="0" w:color="auto"/>
              <w:left w:val="nil"/>
              <w:bottom w:val="single" w:sz="4" w:space="0" w:color="auto"/>
              <w:right w:val="nil"/>
            </w:tcBorders>
            <w:shd w:val="clear" w:color="auto" w:fill="auto"/>
            <w:noWrap/>
            <w:vAlign w:val="bottom"/>
            <w:hideMark/>
          </w:tcPr>
          <w:p w14:paraId="22651054" w14:textId="77777777" w:rsidR="00460F5C" w:rsidRPr="00DE0BEC" w:rsidRDefault="00460F5C" w:rsidP="0002542D">
            <w:pPr>
              <w:rPr>
                <w:b/>
                <w:bCs/>
              </w:rPr>
            </w:pPr>
            <w:r w:rsidRPr="00DE0BEC">
              <w:rPr>
                <w:b/>
                <w:bCs/>
              </w:rPr>
              <w:t> </w:t>
            </w:r>
          </w:p>
        </w:tc>
        <w:tc>
          <w:tcPr>
            <w:tcW w:w="1890" w:type="dxa"/>
            <w:tcBorders>
              <w:top w:val="single" w:sz="4" w:space="0" w:color="auto"/>
              <w:left w:val="nil"/>
              <w:bottom w:val="single" w:sz="4" w:space="0" w:color="auto"/>
              <w:right w:val="nil"/>
            </w:tcBorders>
            <w:shd w:val="clear" w:color="auto" w:fill="auto"/>
            <w:noWrap/>
            <w:vAlign w:val="bottom"/>
            <w:hideMark/>
          </w:tcPr>
          <w:p w14:paraId="1A30375E" w14:textId="77777777" w:rsidR="00460F5C" w:rsidRPr="00DE0BEC" w:rsidRDefault="00460F5C" w:rsidP="0002542D">
            <w:pPr>
              <w:rPr>
                <w:b/>
                <w:bCs/>
              </w:rPr>
            </w:pPr>
            <w:r w:rsidRPr="00DE0BEC">
              <w:rPr>
                <w:b/>
                <w:bCs/>
              </w:rPr>
              <w:t>Mail-only</w:t>
            </w:r>
          </w:p>
        </w:tc>
        <w:tc>
          <w:tcPr>
            <w:tcW w:w="1440" w:type="dxa"/>
            <w:tcBorders>
              <w:top w:val="single" w:sz="4" w:space="0" w:color="auto"/>
              <w:left w:val="nil"/>
              <w:bottom w:val="single" w:sz="4" w:space="0" w:color="auto"/>
              <w:right w:val="nil"/>
            </w:tcBorders>
            <w:shd w:val="clear" w:color="auto" w:fill="auto"/>
            <w:noWrap/>
            <w:vAlign w:val="bottom"/>
            <w:hideMark/>
          </w:tcPr>
          <w:p w14:paraId="46C8C440" w14:textId="77777777" w:rsidR="00460F5C" w:rsidRPr="00DE0BEC" w:rsidRDefault="00460F5C" w:rsidP="0002542D">
            <w:pPr>
              <w:rPr>
                <w:b/>
                <w:bCs/>
              </w:rPr>
            </w:pPr>
            <w:r w:rsidRPr="00DE0BEC">
              <w:rPr>
                <w:b/>
                <w:bCs/>
              </w:rPr>
              <w:t>Telephone- only</w:t>
            </w:r>
          </w:p>
        </w:tc>
        <w:tc>
          <w:tcPr>
            <w:tcW w:w="1800" w:type="dxa"/>
            <w:tcBorders>
              <w:top w:val="single" w:sz="4" w:space="0" w:color="auto"/>
              <w:left w:val="nil"/>
              <w:bottom w:val="single" w:sz="4" w:space="0" w:color="auto"/>
              <w:right w:val="nil"/>
            </w:tcBorders>
            <w:shd w:val="clear" w:color="auto" w:fill="auto"/>
            <w:noWrap/>
            <w:vAlign w:val="bottom"/>
            <w:hideMark/>
          </w:tcPr>
          <w:p w14:paraId="1F1DA072" w14:textId="77777777" w:rsidR="00460F5C" w:rsidRPr="00DE0BEC" w:rsidRDefault="00460F5C" w:rsidP="0002542D">
            <w:pPr>
              <w:rPr>
                <w:b/>
                <w:bCs/>
              </w:rPr>
            </w:pPr>
            <w:r w:rsidRPr="00DE0BEC">
              <w:rPr>
                <w:b/>
                <w:bCs/>
              </w:rPr>
              <w:t>Web-only</w:t>
            </w:r>
          </w:p>
        </w:tc>
        <w:tc>
          <w:tcPr>
            <w:tcW w:w="1800" w:type="dxa"/>
            <w:tcBorders>
              <w:top w:val="single" w:sz="4" w:space="0" w:color="auto"/>
              <w:left w:val="nil"/>
              <w:bottom w:val="single" w:sz="4" w:space="0" w:color="auto"/>
              <w:right w:val="nil"/>
            </w:tcBorders>
            <w:vAlign w:val="bottom"/>
          </w:tcPr>
          <w:p w14:paraId="4EA0FD0C" w14:textId="77777777" w:rsidR="00460F5C" w:rsidRPr="00DE0BEC" w:rsidRDefault="00460F5C" w:rsidP="0002542D">
            <w:pPr>
              <w:rPr>
                <w:b/>
                <w:bCs/>
              </w:rPr>
            </w:pPr>
            <w:r w:rsidRPr="00DE0BEC">
              <w:rPr>
                <w:b/>
                <w:bCs/>
              </w:rPr>
              <w:t>Web with Mail Follow-up</w:t>
            </w:r>
          </w:p>
        </w:tc>
        <w:tc>
          <w:tcPr>
            <w:tcW w:w="1800" w:type="dxa"/>
            <w:tcBorders>
              <w:top w:val="single" w:sz="4" w:space="0" w:color="auto"/>
              <w:left w:val="nil"/>
              <w:bottom w:val="single" w:sz="4" w:space="0" w:color="auto"/>
              <w:right w:val="nil"/>
            </w:tcBorders>
            <w:shd w:val="clear" w:color="auto" w:fill="auto"/>
            <w:noWrap/>
            <w:vAlign w:val="bottom"/>
          </w:tcPr>
          <w:p w14:paraId="111881B7" w14:textId="77777777" w:rsidR="00460F5C" w:rsidRPr="00DE0BEC" w:rsidRDefault="00460F5C" w:rsidP="0002542D">
            <w:pPr>
              <w:rPr>
                <w:b/>
                <w:bCs/>
              </w:rPr>
            </w:pPr>
            <w:r w:rsidRPr="00DE0BEC">
              <w:rPr>
                <w:b/>
                <w:bCs/>
              </w:rPr>
              <w:t>Web with Telephone Follow-up</w:t>
            </w:r>
          </w:p>
        </w:tc>
      </w:tr>
      <w:tr w:rsidR="00DE0BEC" w:rsidRPr="00DE0BEC" w14:paraId="041F8ACD" w14:textId="77777777" w:rsidTr="0002542D">
        <w:trPr>
          <w:trHeight w:val="640"/>
        </w:trPr>
        <w:tc>
          <w:tcPr>
            <w:tcW w:w="630" w:type="dxa"/>
            <w:tcBorders>
              <w:top w:val="nil"/>
              <w:left w:val="nil"/>
              <w:bottom w:val="single" w:sz="4" w:space="0" w:color="auto"/>
              <w:right w:val="nil"/>
            </w:tcBorders>
            <w:shd w:val="clear" w:color="auto" w:fill="auto"/>
            <w:noWrap/>
            <w:hideMark/>
          </w:tcPr>
          <w:p w14:paraId="30602E99" w14:textId="77777777" w:rsidR="00460F5C" w:rsidRPr="00DE0BEC" w:rsidRDefault="00460F5C" w:rsidP="0002542D">
            <w:r w:rsidRPr="00DE0BEC">
              <w:t>Day 1</w:t>
            </w:r>
          </w:p>
        </w:tc>
        <w:tc>
          <w:tcPr>
            <w:tcW w:w="1890" w:type="dxa"/>
            <w:tcBorders>
              <w:bottom w:val="single" w:sz="4" w:space="0" w:color="auto"/>
            </w:tcBorders>
            <w:hideMark/>
          </w:tcPr>
          <w:p w14:paraId="74E87B2C" w14:textId="77777777" w:rsidR="00460F5C" w:rsidRPr="00DE0BEC" w:rsidRDefault="00460F5C" w:rsidP="0002542D">
            <w:r w:rsidRPr="00DE0BEC">
              <w:t>Mail initial questionnaire with cover letter to sample members</w:t>
            </w:r>
          </w:p>
        </w:tc>
        <w:tc>
          <w:tcPr>
            <w:tcW w:w="1440" w:type="dxa"/>
            <w:tcBorders>
              <w:top w:val="nil"/>
              <w:left w:val="nil"/>
              <w:bottom w:val="single" w:sz="4" w:space="0" w:color="auto"/>
              <w:right w:val="nil"/>
            </w:tcBorders>
            <w:shd w:val="clear" w:color="auto" w:fill="auto"/>
            <w:hideMark/>
          </w:tcPr>
          <w:p w14:paraId="15CA2DCA" w14:textId="77777777" w:rsidR="00460F5C" w:rsidRPr="00DE0BEC" w:rsidRDefault="00460F5C" w:rsidP="0002542D">
            <w:pPr>
              <w:rPr>
                <w:highlight w:val="yellow"/>
              </w:rPr>
            </w:pPr>
            <w:r w:rsidRPr="00DE0BEC">
              <w:t>Telephone interviewing for the entire data collection period</w:t>
            </w:r>
          </w:p>
        </w:tc>
        <w:tc>
          <w:tcPr>
            <w:tcW w:w="1800" w:type="dxa"/>
            <w:tcBorders>
              <w:top w:val="nil"/>
              <w:left w:val="nil"/>
              <w:bottom w:val="single" w:sz="4" w:space="0" w:color="auto"/>
              <w:right w:val="nil"/>
            </w:tcBorders>
            <w:shd w:val="clear" w:color="auto" w:fill="auto"/>
            <w:hideMark/>
          </w:tcPr>
          <w:p w14:paraId="084B59F4" w14:textId="77777777" w:rsidR="00460F5C" w:rsidRPr="00DE0BEC" w:rsidRDefault="00460F5C" w:rsidP="0002542D">
            <w:r w:rsidRPr="00DE0BEC">
              <w:t>E-mail invitation if address is available, mail Web survey invitation</w:t>
            </w:r>
          </w:p>
        </w:tc>
        <w:tc>
          <w:tcPr>
            <w:tcW w:w="1800" w:type="dxa"/>
            <w:tcBorders>
              <w:top w:val="nil"/>
              <w:left w:val="nil"/>
              <w:bottom w:val="single" w:sz="4" w:space="0" w:color="auto"/>
              <w:right w:val="nil"/>
            </w:tcBorders>
          </w:tcPr>
          <w:p w14:paraId="4DC6A8A0" w14:textId="77777777" w:rsidR="00460F5C" w:rsidRPr="00DE0BEC" w:rsidRDefault="00460F5C" w:rsidP="0002542D">
            <w:r w:rsidRPr="00DE0BEC">
              <w:t>E-mail invitation if address is available, mail Web survey invitation</w:t>
            </w:r>
          </w:p>
        </w:tc>
        <w:tc>
          <w:tcPr>
            <w:tcW w:w="1800" w:type="dxa"/>
            <w:tcBorders>
              <w:top w:val="nil"/>
              <w:left w:val="nil"/>
              <w:bottom w:val="single" w:sz="4" w:space="0" w:color="auto"/>
              <w:right w:val="nil"/>
            </w:tcBorders>
            <w:shd w:val="clear" w:color="auto" w:fill="auto"/>
          </w:tcPr>
          <w:p w14:paraId="593FEACC" w14:textId="77777777" w:rsidR="00460F5C" w:rsidRPr="00DE0BEC" w:rsidRDefault="00460F5C" w:rsidP="0002542D">
            <w:r w:rsidRPr="00DE0BEC">
              <w:t>E-mail invitation if address is available, mail Web survey invitation</w:t>
            </w:r>
          </w:p>
        </w:tc>
      </w:tr>
      <w:tr w:rsidR="00DE0BEC" w:rsidRPr="00DE0BEC" w14:paraId="2A853EBC" w14:textId="77777777" w:rsidTr="0002542D">
        <w:trPr>
          <w:trHeight w:val="640"/>
        </w:trPr>
        <w:tc>
          <w:tcPr>
            <w:tcW w:w="630" w:type="dxa"/>
            <w:tcBorders>
              <w:top w:val="single" w:sz="4" w:space="0" w:color="auto"/>
              <w:left w:val="nil"/>
              <w:bottom w:val="single" w:sz="4" w:space="0" w:color="auto"/>
              <w:right w:val="nil"/>
            </w:tcBorders>
            <w:shd w:val="clear" w:color="auto" w:fill="auto"/>
            <w:noWrap/>
            <w:hideMark/>
          </w:tcPr>
          <w:p w14:paraId="491C8329" w14:textId="77777777" w:rsidR="00460F5C" w:rsidRPr="00DE0BEC" w:rsidRDefault="00460F5C" w:rsidP="0002542D">
            <w:r w:rsidRPr="00DE0BEC">
              <w:t>Day 14</w:t>
            </w:r>
          </w:p>
        </w:tc>
        <w:tc>
          <w:tcPr>
            <w:tcW w:w="1890" w:type="dxa"/>
            <w:tcBorders>
              <w:top w:val="single" w:sz="4" w:space="0" w:color="auto"/>
              <w:bottom w:val="single" w:sz="4" w:space="0" w:color="auto"/>
            </w:tcBorders>
            <w:hideMark/>
          </w:tcPr>
          <w:p w14:paraId="65E08792" w14:textId="77777777" w:rsidR="00460F5C" w:rsidRPr="00DE0BEC" w:rsidRDefault="00460F5C" w:rsidP="0002542D"/>
        </w:tc>
        <w:tc>
          <w:tcPr>
            <w:tcW w:w="1440" w:type="dxa"/>
            <w:tcBorders>
              <w:top w:val="single" w:sz="4" w:space="0" w:color="auto"/>
              <w:left w:val="nil"/>
              <w:bottom w:val="single" w:sz="4" w:space="0" w:color="auto"/>
              <w:right w:val="nil"/>
            </w:tcBorders>
            <w:shd w:val="clear" w:color="auto" w:fill="auto"/>
            <w:hideMark/>
          </w:tcPr>
          <w:p w14:paraId="71BDD769" w14:textId="77777777" w:rsidR="00460F5C" w:rsidRPr="00DE0BEC" w:rsidRDefault="00460F5C" w:rsidP="0002542D">
            <w:pPr>
              <w:rPr>
                <w:sz w:val="20"/>
                <w:szCs w:val="20"/>
              </w:rPr>
            </w:pPr>
          </w:p>
        </w:tc>
        <w:tc>
          <w:tcPr>
            <w:tcW w:w="1800" w:type="dxa"/>
            <w:tcBorders>
              <w:top w:val="single" w:sz="4" w:space="0" w:color="auto"/>
              <w:left w:val="nil"/>
              <w:bottom w:val="single" w:sz="4" w:space="0" w:color="auto"/>
              <w:right w:val="nil"/>
            </w:tcBorders>
            <w:shd w:val="clear" w:color="auto" w:fill="auto"/>
            <w:hideMark/>
          </w:tcPr>
          <w:p w14:paraId="1AFDBC27" w14:textId="77777777" w:rsidR="00460F5C" w:rsidRPr="00DE0BEC" w:rsidRDefault="00460F5C" w:rsidP="0002542D">
            <w:r w:rsidRPr="00DE0BEC">
              <w:t>Second e-mail invitation, second mailing of a Web survey invitation</w:t>
            </w:r>
            <w:r w:rsidRPr="00DE0BEC" w:rsidDel="00B23A56">
              <w:t xml:space="preserve"> </w:t>
            </w:r>
          </w:p>
        </w:tc>
        <w:tc>
          <w:tcPr>
            <w:tcW w:w="1800" w:type="dxa"/>
            <w:tcBorders>
              <w:top w:val="single" w:sz="4" w:space="0" w:color="auto"/>
              <w:left w:val="nil"/>
              <w:bottom w:val="single" w:sz="4" w:space="0" w:color="auto"/>
              <w:right w:val="nil"/>
            </w:tcBorders>
          </w:tcPr>
          <w:p w14:paraId="1327D1F4" w14:textId="77777777" w:rsidR="00460F5C" w:rsidRPr="00DE0BEC" w:rsidRDefault="00460F5C" w:rsidP="0002542D">
            <w:r w:rsidRPr="00DE0BEC">
              <w:t>Second e-mail invitation, second mailing of a Web survey invitation</w:t>
            </w:r>
            <w:r w:rsidRPr="00DE0BEC" w:rsidDel="00B60CC3">
              <w:t xml:space="preserve"> </w:t>
            </w:r>
          </w:p>
        </w:tc>
        <w:tc>
          <w:tcPr>
            <w:tcW w:w="1800" w:type="dxa"/>
            <w:tcBorders>
              <w:top w:val="single" w:sz="4" w:space="0" w:color="auto"/>
              <w:left w:val="nil"/>
              <w:bottom w:val="single" w:sz="4" w:space="0" w:color="auto"/>
              <w:right w:val="nil"/>
            </w:tcBorders>
            <w:shd w:val="clear" w:color="auto" w:fill="auto"/>
          </w:tcPr>
          <w:p w14:paraId="79AE3070" w14:textId="77777777" w:rsidR="00460F5C" w:rsidRPr="00DE0BEC" w:rsidRDefault="00460F5C" w:rsidP="0002542D">
            <w:r w:rsidRPr="00DE0BEC">
              <w:t>Second e-mail invitation, second mailing of a Web survey invitation</w:t>
            </w:r>
            <w:r w:rsidRPr="00DE0BEC" w:rsidDel="00B60CC3">
              <w:t xml:space="preserve"> </w:t>
            </w:r>
          </w:p>
        </w:tc>
      </w:tr>
      <w:tr w:rsidR="00DE0BEC" w:rsidRPr="00DE0BEC" w14:paraId="4347A444" w14:textId="77777777" w:rsidTr="0002542D">
        <w:trPr>
          <w:trHeight w:val="960"/>
        </w:trPr>
        <w:tc>
          <w:tcPr>
            <w:tcW w:w="630" w:type="dxa"/>
            <w:tcBorders>
              <w:top w:val="single" w:sz="4" w:space="0" w:color="auto"/>
              <w:left w:val="nil"/>
              <w:bottom w:val="single" w:sz="4" w:space="0" w:color="auto"/>
              <w:right w:val="nil"/>
            </w:tcBorders>
            <w:shd w:val="clear" w:color="auto" w:fill="auto"/>
            <w:noWrap/>
            <w:hideMark/>
          </w:tcPr>
          <w:p w14:paraId="54C48A7D" w14:textId="77777777" w:rsidR="00460F5C" w:rsidRPr="00DE0BEC" w:rsidRDefault="00460F5C" w:rsidP="0002542D">
            <w:r w:rsidRPr="00DE0BEC">
              <w:t>Day 21</w:t>
            </w:r>
          </w:p>
        </w:tc>
        <w:tc>
          <w:tcPr>
            <w:tcW w:w="1890" w:type="dxa"/>
            <w:tcBorders>
              <w:top w:val="single" w:sz="4" w:space="0" w:color="auto"/>
              <w:left w:val="nil"/>
              <w:bottom w:val="single" w:sz="4" w:space="0" w:color="auto"/>
              <w:right w:val="nil"/>
            </w:tcBorders>
            <w:shd w:val="clear" w:color="auto" w:fill="auto"/>
            <w:hideMark/>
          </w:tcPr>
          <w:p w14:paraId="1301AF3C" w14:textId="77777777" w:rsidR="00460F5C" w:rsidRPr="00DE0BEC" w:rsidRDefault="00460F5C" w:rsidP="0002542D">
            <w:r w:rsidRPr="00DE0BEC">
              <w:t>Mail second questionnaire and letter to all sample members who do not respond to first mailing</w:t>
            </w:r>
          </w:p>
        </w:tc>
        <w:tc>
          <w:tcPr>
            <w:tcW w:w="1440" w:type="dxa"/>
            <w:tcBorders>
              <w:top w:val="single" w:sz="4" w:space="0" w:color="auto"/>
              <w:left w:val="nil"/>
              <w:bottom w:val="single" w:sz="4" w:space="0" w:color="auto"/>
              <w:right w:val="nil"/>
            </w:tcBorders>
            <w:shd w:val="clear" w:color="auto" w:fill="auto"/>
            <w:hideMark/>
          </w:tcPr>
          <w:p w14:paraId="42AC51C3" w14:textId="77777777" w:rsidR="00460F5C" w:rsidRPr="00DE0BEC" w:rsidRDefault="00460F5C" w:rsidP="0002542D">
            <w:pPr>
              <w:rPr>
                <w:sz w:val="20"/>
                <w:szCs w:val="20"/>
              </w:rPr>
            </w:pPr>
          </w:p>
        </w:tc>
        <w:tc>
          <w:tcPr>
            <w:tcW w:w="1800" w:type="dxa"/>
            <w:tcBorders>
              <w:top w:val="single" w:sz="4" w:space="0" w:color="auto"/>
              <w:left w:val="nil"/>
              <w:bottom w:val="single" w:sz="4" w:space="0" w:color="auto"/>
              <w:right w:val="nil"/>
            </w:tcBorders>
            <w:shd w:val="clear" w:color="auto" w:fill="auto"/>
            <w:hideMark/>
          </w:tcPr>
          <w:p w14:paraId="67C96BD2" w14:textId="77777777" w:rsidR="00460F5C" w:rsidRPr="00DE0BEC" w:rsidRDefault="00460F5C" w:rsidP="0002542D">
            <w:r w:rsidRPr="00DE0BEC">
              <w:t>Third mailing of a Web survey invitation and e-mail invitation</w:t>
            </w:r>
            <w:r w:rsidRPr="00DE0BEC" w:rsidDel="00FC006E">
              <w:t xml:space="preserve"> </w:t>
            </w:r>
          </w:p>
        </w:tc>
        <w:tc>
          <w:tcPr>
            <w:tcW w:w="1800" w:type="dxa"/>
            <w:tcBorders>
              <w:top w:val="single" w:sz="4" w:space="0" w:color="auto"/>
              <w:left w:val="nil"/>
              <w:bottom w:val="single" w:sz="4" w:space="0" w:color="auto"/>
              <w:right w:val="nil"/>
            </w:tcBorders>
          </w:tcPr>
          <w:p w14:paraId="353A4A28" w14:textId="77777777" w:rsidR="00460F5C" w:rsidRPr="00DE0BEC" w:rsidRDefault="00460F5C" w:rsidP="0002542D">
            <w:r w:rsidRPr="00DE0BEC">
              <w:t>Mail questionnaire with cover letter to all sample members who do not respond to Web mode</w:t>
            </w:r>
            <w:r w:rsidRPr="00DE0BEC" w:rsidDel="00B60CC3">
              <w:t xml:space="preserve"> </w:t>
            </w:r>
          </w:p>
        </w:tc>
        <w:tc>
          <w:tcPr>
            <w:tcW w:w="1800" w:type="dxa"/>
            <w:tcBorders>
              <w:top w:val="single" w:sz="4" w:space="0" w:color="auto"/>
              <w:left w:val="nil"/>
              <w:bottom w:val="single" w:sz="4" w:space="0" w:color="auto"/>
              <w:right w:val="nil"/>
            </w:tcBorders>
            <w:shd w:val="clear" w:color="auto" w:fill="auto"/>
          </w:tcPr>
          <w:p w14:paraId="183BA578" w14:textId="77777777" w:rsidR="00460F5C" w:rsidRPr="00DE0BEC" w:rsidRDefault="00460F5C" w:rsidP="0002542D">
            <w:r w:rsidRPr="00DE0BEC">
              <w:t>Begin telephone follow-up to all sample members who do not respond to the Web mode</w:t>
            </w:r>
            <w:r w:rsidRPr="00DE0BEC" w:rsidDel="00B60CC3">
              <w:t xml:space="preserve"> </w:t>
            </w:r>
          </w:p>
        </w:tc>
      </w:tr>
      <w:tr w:rsidR="00DE0BEC" w:rsidRPr="00DE0BEC" w14:paraId="4FA3B0A7" w14:textId="77777777" w:rsidTr="0002542D">
        <w:trPr>
          <w:trHeight w:val="674"/>
        </w:trPr>
        <w:tc>
          <w:tcPr>
            <w:tcW w:w="630" w:type="dxa"/>
            <w:tcBorders>
              <w:top w:val="single" w:sz="4" w:space="0" w:color="auto"/>
              <w:left w:val="nil"/>
              <w:bottom w:val="single" w:sz="4" w:space="0" w:color="auto"/>
              <w:right w:val="nil"/>
            </w:tcBorders>
            <w:shd w:val="clear" w:color="auto" w:fill="auto"/>
            <w:noWrap/>
            <w:hideMark/>
          </w:tcPr>
          <w:p w14:paraId="2E759CF8" w14:textId="77777777" w:rsidR="00460F5C" w:rsidRPr="00DE0BEC" w:rsidRDefault="00460F5C" w:rsidP="0002542D">
            <w:r w:rsidRPr="00DE0BEC">
              <w:t>Day 28</w:t>
            </w:r>
          </w:p>
        </w:tc>
        <w:tc>
          <w:tcPr>
            <w:tcW w:w="1890" w:type="dxa"/>
            <w:tcBorders>
              <w:top w:val="single" w:sz="4" w:space="0" w:color="auto"/>
              <w:left w:val="nil"/>
              <w:bottom w:val="single" w:sz="4" w:space="0" w:color="auto"/>
              <w:right w:val="nil"/>
            </w:tcBorders>
            <w:shd w:val="clear" w:color="auto" w:fill="auto"/>
            <w:hideMark/>
          </w:tcPr>
          <w:p w14:paraId="7113AEE2" w14:textId="77777777" w:rsidR="00460F5C" w:rsidRPr="00DE0BEC" w:rsidRDefault="00460F5C" w:rsidP="0002542D"/>
        </w:tc>
        <w:tc>
          <w:tcPr>
            <w:tcW w:w="1440" w:type="dxa"/>
            <w:tcBorders>
              <w:top w:val="single" w:sz="4" w:space="0" w:color="auto"/>
              <w:left w:val="nil"/>
              <w:bottom w:val="single" w:sz="4" w:space="0" w:color="auto"/>
              <w:right w:val="nil"/>
            </w:tcBorders>
            <w:shd w:val="clear" w:color="auto" w:fill="auto"/>
            <w:hideMark/>
          </w:tcPr>
          <w:p w14:paraId="1B28F74F" w14:textId="77777777" w:rsidR="00460F5C" w:rsidRPr="00DE0BEC" w:rsidRDefault="00460F5C" w:rsidP="0002542D">
            <w:pPr>
              <w:rPr>
                <w:sz w:val="20"/>
                <w:szCs w:val="20"/>
              </w:rPr>
            </w:pPr>
          </w:p>
        </w:tc>
        <w:tc>
          <w:tcPr>
            <w:tcW w:w="1800" w:type="dxa"/>
            <w:tcBorders>
              <w:top w:val="single" w:sz="4" w:space="0" w:color="auto"/>
              <w:left w:val="nil"/>
              <w:bottom w:val="single" w:sz="4" w:space="0" w:color="auto"/>
              <w:right w:val="nil"/>
            </w:tcBorders>
            <w:shd w:val="clear" w:color="auto" w:fill="auto"/>
            <w:hideMark/>
          </w:tcPr>
          <w:p w14:paraId="0DA4580F" w14:textId="77777777" w:rsidR="00460F5C" w:rsidRPr="00DE0BEC" w:rsidRDefault="00460F5C" w:rsidP="0002542D">
            <w:r w:rsidRPr="00DE0BEC">
              <w:t>Fourth mailing of a Web survey invitation</w:t>
            </w:r>
            <w:r w:rsidRPr="00DE0BEC" w:rsidDel="00FC006E">
              <w:t xml:space="preserve"> </w:t>
            </w:r>
          </w:p>
        </w:tc>
        <w:tc>
          <w:tcPr>
            <w:tcW w:w="1800" w:type="dxa"/>
            <w:tcBorders>
              <w:top w:val="single" w:sz="4" w:space="0" w:color="auto"/>
              <w:left w:val="nil"/>
              <w:bottom w:val="single" w:sz="4" w:space="0" w:color="auto"/>
              <w:right w:val="nil"/>
            </w:tcBorders>
          </w:tcPr>
          <w:p w14:paraId="74D3006D" w14:textId="77777777" w:rsidR="00460F5C" w:rsidRPr="00DE0BEC" w:rsidRDefault="00460F5C" w:rsidP="0002542D"/>
        </w:tc>
        <w:tc>
          <w:tcPr>
            <w:tcW w:w="1800" w:type="dxa"/>
            <w:tcBorders>
              <w:top w:val="single" w:sz="4" w:space="0" w:color="auto"/>
              <w:left w:val="nil"/>
              <w:bottom w:val="single" w:sz="4" w:space="0" w:color="auto"/>
              <w:right w:val="nil"/>
            </w:tcBorders>
            <w:shd w:val="clear" w:color="auto" w:fill="auto"/>
            <w:hideMark/>
          </w:tcPr>
          <w:p w14:paraId="5DC452A7" w14:textId="77777777" w:rsidR="00460F5C" w:rsidRPr="00DE0BEC" w:rsidRDefault="00460F5C" w:rsidP="0002542D"/>
        </w:tc>
      </w:tr>
      <w:tr w:rsidR="00DE0BEC" w:rsidRPr="00DE0BEC" w14:paraId="704715A7" w14:textId="77777777" w:rsidTr="0002542D">
        <w:trPr>
          <w:trHeight w:val="620"/>
        </w:trPr>
        <w:tc>
          <w:tcPr>
            <w:tcW w:w="630" w:type="dxa"/>
            <w:tcBorders>
              <w:top w:val="single" w:sz="4" w:space="0" w:color="auto"/>
              <w:left w:val="nil"/>
              <w:bottom w:val="single" w:sz="4" w:space="0" w:color="auto"/>
              <w:right w:val="nil"/>
            </w:tcBorders>
            <w:shd w:val="clear" w:color="auto" w:fill="auto"/>
            <w:noWrap/>
            <w:hideMark/>
          </w:tcPr>
          <w:p w14:paraId="55BCC44B" w14:textId="77777777" w:rsidR="00460F5C" w:rsidRPr="00DE0BEC" w:rsidRDefault="00460F5C" w:rsidP="0002542D">
            <w:r w:rsidRPr="00DE0BEC">
              <w:t>Day 35</w:t>
            </w:r>
          </w:p>
        </w:tc>
        <w:tc>
          <w:tcPr>
            <w:tcW w:w="1890" w:type="dxa"/>
            <w:tcBorders>
              <w:top w:val="single" w:sz="4" w:space="0" w:color="auto"/>
              <w:left w:val="nil"/>
              <w:bottom w:val="single" w:sz="4" w:space="0" w:color="auto"/>
              <w:right w:val="nil"/>
            </w:tcBorders>
            <w:shd w:val="clear" w:color="auto" w:fill="auto"/>
            <w:hideMark/>
          </w:tcPr>
          <w:p w14:paraId="45C351FA" w14:textId="77777777" w:rsidR="00460F5C" w:rsidRPr="00DE0BEC" w:rsidRDefault="00460F5C" w:rsidP="0002542D"/>
        </w:tc>
        <w:tc>
          <w:tcPr>
            <w:tcW w:w="1440" w:type="dxa"/>
            <w:tcBorders>
              <w:top w:val="single" w:sz="4" w:space="0" w:color="auto"/>
              <w:left w:val="nil"/>
              <w:bottom w:val="single" w:sz="4" w:space="0" w:color="auto"/>
              <w:right w:val="nil"/>
            </w:tcBorders>
            <w:shd w:val="clear" w:color="auto" w:fill="auto"/>
            <w:hideMark/>
          </w:tcPr>
          <w:p w14:paraId="712CD0C3" w14:textId="77777777" w:rsidR="00460F5C" w:rsidRPr="00DE0BEC" w:rsidRDefault="00460F5C" w:rsidP="0002542D">
            <w:pPr>
              <w:rPr>
                <w:sz w:val="20"/>
                <w:szCs w:val="20"/>
              </w:rPr>
            </w:pPr>
          </w:p>
        </w:tc>
        <w:tc>
          <w:tcPr>
            <w:tcW w:w="1800" w:type="dxa"/>
            <w:tcBorders>
              <w:top w:val="single" w:sz="4" w:space="0" w:color="auto"/>
              <w:left w:val="nil"/>
              <w:bottom w:val="single" w:sz="4" w:space="0" w:color="auto"/>
              <w:right w:val="nil"/>
            </w:tcBorders>
            <w:shd w:val="clear" w:color="auto" w:fill="auto"/>
            <w:hideMark/>
          </w:tcPr>
          <w:p w14:paraId="5F51CD16" w14:textId="77777777" w:rsidR="00460F5C" w:rsidRPr="00DE0BEC" w:rsidRDefault="00460F5C" w:rsidP="0002542D">
            <w:r w:rsidRPr="00DE0BEC">
              <w:t>E-mail reminder with invitation</w:t>
            </w:r>
          </w:p>
        </w:tc>
        <w:tc>
          <w:tcPr>
            <w:tcW w:w="1800" w:type="dxa"/>
            <w:tcBorders>
              <w:top w:val="single" w:sz="4" w:space="0" w:color="auto"/>
              <w:left w:val="nil"/>
              <w:bottom w:val="single" w:sz="4" w:space="0" w:color="auto"/>
              <w:right w:val="nil"/>
            </w:tcBorders>
          </w:tcPr>
          <w:p w14:paraId="6035B5C2" w14:textId="77777777" w:rsidR="00460F5C" w:rsidRPr="00DE0BEC" w:rsidRDefault="00460F5C" w:rsidP="0002542D">
            <w:r w:rsidRPr="00DE0BEC">
              <w:t>E-mail reminder with invitation</w:t>
            </w:r>
          </w:p>
        </w:tc>
        <w:tc>
          <w:tcPr>
            <w:tcW w:w="1800" w:type="dxa"/>
            <w:tcBorders>
              <w:top w:val="single" w:sz="4" w:space="0" w:color="auto"/>
              <w:left w:val="nil"/>
              <w:bottom w:val="single" w:sz="4" w:space="0" w:color="auto"/>
              <w:right w:val="nil"/>
            </w:tcBorders>
            <w:shd w:val="clear" w:color="auto" w:fill="auto"/>
          </w:tcPr>
          <w:p w14:paraId="078ABB7B" w14:textId="77777777" w:rsidR="00460F5C" w:rsidRPr="00DE0BEC" w:rsidRDefault="00460F5C" w:rsidP="0002542D">
            <w:r w:rsidRPr="00DE0BEC">
              <w:t>E-mail reminder with invitation</w:t>
            </w:r>
          </w:p>
        </w:tc>
      </w:tr>
      <w:tr w:rsidR="00460F5C" w:rsidRPr="00DE0BEC" w14:paraId="52AA2156" w14:textId="77777777" w:rsidTr="0002542D">
        <w:trPr>
          <w:trHeight w:val="640"/>
        </w:trPr>
        <w:tc>
          <w:tcPr>
            <w:tcW w:w="630" w:type="dxa"/>
            <w:tcBorders>
              <w:top w:val="single" w:sz="4" w:space="0" w:color="auto"/>
              <w:left w:val="nil"/>
              <w:bottom w:val="single" w:sz="4" w:space="0" w:color="auto"/>
              <w:right w:val="nil"/>
            </w:tcBorders>
            <w:shd w:val="clear" w:color="auto" w:fill="auto"/>
            <w:noWrap/>
            <w:hideMark/>
          </w:tcPr>
          <w:p w14:paraId="72169BCE" w14:textId="77777777" w:rsidR="00460F5C" w:rsidRPr="00DE0BEC" w:rsidRDefault="00460F5C" w:rsidP="0002542D">
            <w:r w:rsidRPr="00DE0BEC">
              <w:t>Day 42</w:t>
            </w:r>
          </w:p>
        </w:tc>
        <w:tc>
          <w:tcPr>
            <w:tcW w:w="1890" w:type="dxa"/>
            <w:tcBorders>
              <w:top w:val="single" w:sz="4" w:space="0" w:color="auto"/>
              <w:left w:val="nil"/>
              <w:bottom w:val="single" w:sz="4" w:space="0" w:color="auto"/>
              <w:right w:val="nil"/>
            </w:tcBorders>
            <w:shd w:val="clear" w:color="auto" w:fill="auto"/>
            <w:hideMark/>
          </w:tcPr>
          <w:p w14:paraId="68641CA7" w14:textId="77777777" w:rsidR="00460F5C" w:rsidRPr="00DE0BEC" w:rsidRDefault="00460F5C" w:rsidP="0002542D">
            <w:r w:rsidRPr="00DE0BEC">
              <w:t> End</w:t>
            </w:r>
          </w:p>
        </w:tc>
        <w:tc>
          <w:tcPr>
            <w:tcW w:w="1440" w:type="dxa"/>
            <w:tcBorders>
              <w:top w:val="single" w:sz="4" w:space="0" w:color="auto"/>
              <w:left w:val="nil"/>
              <w:bottom w:val="single" w:sz="4" w:space="0" w:color="auto"/>
              <w:right w:val="nil"/>
            </w:tcBorders>
            <w:shd w:val="clear" w:color="auto" w:fill="auto"/>
            <w:hideMark/>
          </w:tcPr>
          <w:p w14:paraId="63AC2562" w14:textId="77777777" w:rsidR="00460F5C" w:rsidRPr="00DE0BEC" w:rsidRDefault="00460F5C" w:rsidP="0002542D">
            <w:r w:rsidRPr="00DE0BEC">
              <w:t>End</w:t>
            </w:r>
          </w:p>
        </w:tc>
        <w:tc>
          <w:tcPr>
            <w:tcW w:w="1800" w:type="dxa"/>
            <w:tcBorders>
              <w:top w:val="single" w:sz="4" w:space="0" w:color="auto"/>
              <w:left w:val="nil"/>
              <w:bottom w:val="single" w:sz="4" w:space="0" w:color="auto"/>
              <w:right w:val="nil"/>
            </w:tcBorders>
            <w:shd w:val="clear" w:color="auto" w:fill="auto"/>
            <w:hideMark/>
          </w:tcPr>
          <w:p w14:paraId="5E22FDF6" w14:textId="77777777" w:rsidR="00460F5C" w:rsidRPr="00DE0BEC" w:rsidRDefault="00460F5C" w:rsidP="0002542D">
            <w:r w:rsidRPr="00DE0BEC">
              <w:t>End</w:t>
            </w:r>
          </w:p>
        </w:tc>
        <w:tc>
          <w:tcPr>
            <w:tcW w:w="1800" w:type="dxa"/>
            <w:tcBorders>
              <w:top w:val="single" w:sz="4" w:space="0" w:color="auto"/>
              <w:left w:val="nil"/>
              <w:bottom w:val="single" w:sz="4" w:space="0" w:color="auto"/>
              <w:right w:val="nil"/>
            </w:tcBorders>
          </w:tcPr>
          <w:p w14:paraId="7F75ACA4" w14:textId="77777777" w:rsidR="00460F5C" w:rsidRPr="00DE0BEC" w:rsidRDefault="00460F5C" w:rsidP="0002542D">
            <w:r w:rsidRPr="00DE0BEC">
              <w:t>End</w:t>
            </w:r>
          </w:p>
        </w:tc>
        <w:tc>
          <w:tcPr>
            <w:tcW w:w="1800" w:type="dxa"/>
            <w:tcBorders>
              <w:top w:val="single" w:sz="4" w:space="0" w:color="auto"/>
              <w:left w:val="nil"/>
              <w:bottom w:val="single" w:sz="4" w:space="0" w:color="auto"/>
              <w:right w:val="nil"/>
            </w:tcBorders>
            <w:shd w:val="clear" w:color="auto" w:fill="auto"/>
          </w:tcPr>
          <w:p w14:paraId="606D0D75" w14:textId="77777777" w:rsidR="00460F5C" w:rsidRPr="00DE0BEC" w:rsidRDefault="00460F5C" w:rsidP="0002542D">
            <w:r w:rsidRPr="00DE0BEC">
              <w:t>End</w:t>
            </w:r>
          </w:p>
        </w:tc>
      </w:tr>
    </w:tbl>
    <w:p w14:paraId="63CDC64B" w14:textId="77777777" w:rsidR="00460F5C" w:rsidRPr="00DE0BEC" w:rsidRDefault="00460F5C" w:rsidP="00460F5C">
      <w:pPr>
        <w:pStyle w:val="Source"/>
      </w:pPr>
    </w:p>
    <w:p w14:paraId="683D1438" w14:textId="7C7F176E" w:rsidR="00460F5C" w:rsidRPr="00DE0BEC" w:rsidRDefault="00460F5C" w:rsidP="00460F5C">
      <w:pPr>
        <w:pStyle w:val="Heading4"/>
      </w:pPr>
      <w:r w:rsidRPr="00DE0BEC">
        <w:t>Mode Experiment Analysis</w:t>
      </w:r>
    </w:p>
    <w:p w14:paraId="0A3D948B" w14:textId="77777777" w:rsidR="00460F5C" w:rsidRPr="00DE0BEC" w:rsidRDefault="00460F5C" w:rsidP="00460F5C">
      <w:pPr>
        <w:pStyle w:val="BodyText"/>
      </w:pPr>
      <w:r w:rsidRPr="00DE0BEC">
        <w:t>Data from the mode experiment will be analyzed to assess the impact of nonresponse and to determine whether patients rate their outpatient surgical care differently by data collection mode. Mode experiment data will also be analyzed to determine which, if any, patient characteristics affect patients’ ratings of and reported experience with their outpatient care. CMS will use data from the mode experiment to develop models that will be used to statistically adjust survey results from the national implementation to account for factors that are beyond the control of the outpatient surgery facilities. Results from the mode experiment will not be publicly reported. CMS’ OAS CAHPS contractor will prepare a technical report describing the mode experiment results and recommendations for adjusting survey results for nonresponse, mode, and patient-mix.</w:t>
      </w:r>
    </w:p>
    <w:p w14:paraId="7778570F" w14:textId="77777777" w:rsidR="00460F5C" w:rsidRPr="00DE0BEC" w:rsidRDefault="00460F5C" w:rsidP="00460F5C">
      <w:pPr>
        <w:pStyle w:val="BodyText"/>
      </w:pPr>
      <w:r w:rsidRPr="00DE0BEC">
        <w:t>Based on data collected for the mode experiment, RTI will conduct analysis to predict responses and ratings as a function of the mode used to administer the survey and, additionally, will estimate the potential effects of patient characteristics outside the control of the ASCs and HOPDs.</w:t>
      </w:r>
    </w:p>
    <w:p w14:paraId="5EB0CDFD" w14:textId="77777777" w:rsidR="00460F5C" w:rsidRPr="00DE0BEC" w:rsidRDefault="00460F5C" w:rsidP="00460F5C">
      <w:pPr>
        <w:pStyle w:val="BodyText"/>
      </w:pPr>
      <w:r w:rsidRPr="00DE0BEC">
        <w:t>The regression models and variable formulations will be empirically driven. Each regression model in the mode experiment analysis will estimate a dependent variable, which will be either one of the responses or a composite of responses. The responses to the survey items of greatest interest usually have ordinal responses. Answer structures are typically yes/no, yes definitely/yes somewhat/no, or a global rating (0, 2…10). There is no constant linear or ratio relationship inherent in these responses. Two is not necessarily twice as good as 1, and 4 is not twice as good as 2. Such responses may be rigorously modeled using logit methods concerning the probability of selection. However, if the data approximate normality and are not strongly clustered at the extreme ends of the distributions, linear regression with numeric values 1–4 or 0–10 can be used successfully.</w:t>
      </w:r>
    </w:p>
    <w:p w14:paraId="3FDB4059" w14:textId="77777777" w:rsidR="00460F5C" w:rsidRPr="00DE0BEC" w:rsidRDefault="00460F5C" w:rsidP="00460F5C">
      <w:pPr>
        <w:pStyle w:val="BodyText"/>
        <w:keepNext/>
      </w:pPr>
      <w:r w:rsidRPr="00DE0BEC">
        <w:t>Generally, the linear forms of the estimation models will be:</w:t>
      </w:r>
    </w:p>
    <w:p w14:paraId="59405D37" w14:textId="77777777" w:rsidR="00460F5C" w:rsidRPr="00DE0BEC" w:rsidRDefault="00460F5C" w:rsidP="00460F5C">
      <w:pPr>
        <w:pStyle w:val="equation"/>
      </w:pPr>
      <w:r w:rsidRPr="00DE0BEC">
        <w:t>Dependent variable =</w:t>
      </w:r>
      <w:r w:rsidRPr="00DE0BEC">
        <w:tab/>
        <w:t>sum of (coefficients*patient characteristic indicators) + sum of (coefficients*mode indicators) + sum of (coefficients*hospital/ASC indicators).</w:t>
      </w:r>
    </w:p>
    <w:p w14:paraId="1544DA61" w14:textId="77777777" w:rsidR="00460F5C" w:rsidRPr="00DE0BEC" w:rsidRDefault="00460F5C" w:rsidP="00460F5C">
      <w:pPr>
        <w:pStyle w:val="BodyText"/>
      </w:pPr>
      <w:r w:rsidRPr="00DE0BEC">
        <w:t>When there are categorical patient characteristics, such as age groups, one group is omitted from the set of categories included in the model. That group is a reference category to which the effect of related categories is scaled. The facility variables will capture the facility–specific effects in order to isolate the effects of mode and other characteristics.</w:t>
      </w:r>
    </w:p>
    <w:p w14:paraId="0D7A7516" w14:textId="77777777" w:rsidR="00460F5C" w:rsidRPr="00DE0BEC" w:rsidRDefault="00460F5C" w:rsidP="00460F5C">
      <w:pPr>
        <w:pStyle w:val="BodyText"/>
      </w:pPr>
      <w:r w:rsidRPr="00DE0BEC">
        <w:t>Each item under consideration for reporting will be tested for inclusion in the appropriate adjustment formula. The outcome of the process will be to determine the mode coefficients to be used as adjusters in the implementation phase and the patient characteristic variables that will be used as adjusters in that phase. The actual coefficients on patient characteristics used in the implementation adjustments will be re-estimated as part of that analysis.</w:t>
      </w:r>
    </w:p>
    <w:p w14:paraId="2DEA8929" w14:textId="65071CB4" w:rsidR="00460F5C" w:rsidRPr="00DE0BEC" w:rsidRDefault="00460F5C" w:rsidP="00460F5C">
      <w:pPr>
        <w:pStyle w:val="Heading4"/>
      </w:pPr>
      <w:r w:rsidRPr="00DE0BEC">
        <w:t>Data Elements for the Mode Analysis</w:t>
      </w:r>
    </w:p>
    <w:p w14:paraId="199CBE44" w14:textId="0D1B4C96" w:rsidR="00460F5C" w:rsidRPr="00DE0BEC" w:rsidRDefault="00460F5C" w:rsidP="00460F5C">
      <w:pPr>
        <w:pStyle w:val="BodyText"/>
      </w:pPr>
      <w:r w:rsidRPr="00DE0BEC">
        <w:t>We anticipate requesting data for analysis variables from three sources for the mode experiment analysis: the Facilities (ASCs and HOPDs), the survey itself, and the RTI data collection systems. Exhibit A-6 contains a list of potential variables for analysis.</w:t>
      </w:r>
    </w:p>
    <w:p w14:paraId="2D3BFE69" w14:textId="5B7EA54E" w:rsidR="00460F5C" w:rsidRPr="00DE0BEC" w:rsidRDefault="00460F5C" w:rsidP="00460F5C">
      <w:pPr>
        <w:pStyle w:val="Caption"/>
      </w:pPr>
      <w:bookmarkStart w:id="95" w:name="_Toc417574917"/>
      <w:r w:rsidRPr="00DE0BEC">
        <w:rPr>
          <w:sz w:val="23"/>
          <w:szCs w:val="23"/>
        </w:rPr>
        <w:t>E</w:t>
      </w:r>
      <w:r w:rsidRPr="00DE0BEC">
        <w:t>xhibit A-6</w:t>
      </w:r>
      <w:r w:rsidRPr="00DE0BEC">
        <w:rPr>
          <w:sz w:val="23"/>
          <w:szCs w:val="23"/>
        </w:rPr>
        <w:t>.</w:t>
      </w:r>
      <w:r w:rsidRPr="00DE0BEC">
        <w:rPr>
          <w:sz w:val="23"/>
          <w:szCs w:val="23"/>
        </w:rPr>
        <w:tab/>
        <w:t>L</w:t>
      </w:r>
      <w:r w:rsidRPr="00DE0BEC">
        <w:t xml:space="preserve">ist of </w:t>
      </w:r>
      <w:r w:rsidRPr="00DE0BEC">
        <w:rPr>
          <w:sz w:val="23"/>
          <w:szCs w:val="23"/>
        </w:rPr>
        <w:t>P</w:t>
      </w:r>
      <w:r w:rsidRPr="00DE0BEC">
        <w:t xml:space="preserve">otential </w:t>
      </w:r>
      <w:r w:rsidRPr="00DE0BEC">
        <w:rPr>
          <w:sz w:val="23"/>
          <w:szCs w:val="23"/>
        </w:rPr>
        <w:t>V</w:t>
      </w:r>
      <w:r w:rsidRPr="00DE0BEC">
        <w:t xml:space="preserve">ariables for </w:t>
      </w:r>
      <w:r w:rsidRPr="00DE0BEC">
        <w:rPr>
          <w:sz w:val="23"/>
          <w:szCs w:val="23"/>
        </w:rPr>
        <w:t>D</w:t>
      </w:r>
      <w:r w:rsidRPr="00DE0BEC">
        <w:t xml:space="preserve">ata </w:t>
      </w:r>
      <w:r w:rsidRPr="00DE0BEC">
        <w:rPr>
          <w:sz w:val="23"/>
          <w:szCs w:val="23"/>
        </w:rPr>
        <w:t>A</w:t>
      </w:r>
      <w:r w:rsidRPr="00DE0BEC">
        <w:t>nalysis</w:t>
      </w:r>
      <w:bookmarkEnd w:id="95"/>
    </w:p>
    <w:tbl>
      <w:tblPr>
        <w:tblW w:w="5000" w:type="pct"/>
        <w:tblInd w:w="86" w:type="dxa"/>
        <w:tblBorders>
          <w:top w:val="single" w:sz="12" w:space="0" w:color="auto"/>
          <w:bottom w:val="single" w:sz="12" w:space="0" w:color="auto"/>
        </w:tblBorders>
        <w:tblLayout w:type="fixed"/>
        <w:tblCellMar>
          <w:left w:w="115" w:type="dxa"/>
          <w:right w:w="115" w:type="dxa"/>
        </w:tblCellMar>
        <w:tblLook w:val="04A0" w:firstRow="1" w:lastRow="0" w:firstColumn="1" w:lastColumn="0" w:noHBand="0" w:noVBand="1"/>
      </w:tblPr>
      <w:tblGrid>
        <w:gridCol w:w="5959"/>
        <w:gridCol w:w="1084"/>
        <w:gridCol w:w="1443"/>
        <w:gridCol w:w="1104"/>
      </w:tblGrid>
      <w:tr w:rsidR="00DE0BEC" w:rsidRPr="00DE0BEC" w14:paraId="61329B39" w14:textId="77777777" w:rsidTr="0002542D">
        <w:trPr>
          <w:cantSplit/>
          <w:tblHeader/>
        </w:trPr>
        <w:tc>
          <w:tcPr>
            <w:tcW w:w="5816" w:type="dxa"/>
            <w:tcBorders>
              <w:top w:val="single" w:sz="12" w:space="0" w:color="auto"/>
              <w:bottom w:val="single" w:sz="6" w:space="0" w:color="auto"/>
            </w:tcBorders>
            <w:vAlign w:val="bottom"/>
          </w:tcPr>
          <w:p w14:paraId="719BD576" w14:textId="77777777" w:rsidR="00460F5C" w:rsidRPr="00DE0BEC" w:rsidRDefault="00460F5C" w:rsidP="0002542D">
            <w:pPr>
              <w:pStyle w:val="TableHeaders"/>
            </w:pPr>
            <w:r w:rsidRPr="00DE0BEC">
              <w:t>Data Variables</w:t>
            </w:r>
          </w:p>
        </w:tc>
        <w:tc>
          <w:tcPr>
            <w:tcW w:w="1058" w:type="dxa"/>
            <w:tcBorders>
              <w:top w:val="single" w:sz="12" w:space="0" w:color="auto"/>
              <w:bottom w:val="single" w:sz="6" w:space="0" w:color="auto"/>
            </w:tcBorders>
            <w:vAlign w:val="bottom"/>
          </w:tcPr>
          <w:p w14:paraId="02590F79" w14:textId="77777777" w:rsidR="00460F5C" w:rsidRPr="00DE0BEC" w:rsidRDefault="00460F5C" w:rsidP="0002542D">
            <w:pPr>
              <w:pStyle w:val="TableHeaders"/>
            </w:pPr>
            <w:r w:rsidRPr="00DE0BEC">
              <w:t>From ASC or HOPD</w:t>
            </w:r>
          </w:p>
        </w:tc>
        <w:tc>
          <w:tcPr>
            <w:tcW w:w="1408" w:type="dxa"/>
            <w:tcBorders>
              <w:top w:val="single" w:sz="12" w:space="0" w:color="auto"/>
              <w:bottom w:val="single" w:sz="6" w:space="0" w:color="auto"/>
            </w:tcBorders>
            <w:vAlign w:val="bottom"/>
          </w:tcPr>
          <w:p w14:paraId="2DB35552" w14:textId="77777777" w:rsidR="00460F5C" w:rsidRPr="00DE0BEC" w:rsidRDefault="00460F5C" w:rsidP="0002542D">
            <w:pPr>
              <w:pStyle w:val="TableHeaders"/>
            </w:pPr>
            <w:r w:rsidRPr="00DE0BEC">
              <w:t>From Survey Respondent</w:t>
            </w:r>
          </w:p>
        </w:tc>
        <w:tc>
          <w:tcPr>
            <w:tcW w:w="1078" w:type="dxa"/>
            <w:tcBorders>
              <w:top w:val="single" w:sz="12" w:space="0" w:color="auto"/>
              <w:bottom w:val="single" w:sz="6" w:space="0" w:color="auto"/>
            </w:tcBorders>
            <w:vAlign w:val="bottom"/>
          </w:tcPr>
          <w:p w14:paraId="53DD05C1" w14:textId="77777777" w:rsidR="00460F5C" w:rsidRPr="00DE0BEC" w:rsidRDefault="00460F5C" w:rsidP="0002542D">
            <w:pPr>
              <w:pStyle w:val="TableHeaders"/>
            </w:pPr>
            <w:r w:rsidRPr="00DE0BEC">
              <w:t>From Survey System</w:t>
            </w:r>
          </w:p>
        </w:tc>
      </w:tr>
      <w:tr w:rsidR="00DE0BEC" w:rsidRPr="00DE0BEC" w14:paraId="09397E38" w14:textId="77777777" w:rsidTr="0002542D">
        <w:trPr>
          <w:cantSplit/>
        </w:trPr>
        <w:tc>
          <w:tcPr>
            <w:tcW w:w="5816" w:type="dxa"/>
            <w:tcBorders>
              <w:top w:val="single" w:sz="6" w:space="0" w:color="auto"/>
            </w:tcBorders>
          </w:tcPr>
          <w:p w14:paraId="6D79B8F0" w14:textId="77777777" w:rsidR="00460F5C" w:rsidRPr="00DE0BEC" w:rsidRDefault="00460F5C" w:rsidP="0002542D">
            <w:pPr>
              <w:pStyle w:val="TableText"/>
            </w:pPr>
            <w:r w:rsidRPr="00DE0BEC">
              <w:t xml:space="preserve">Date of birth </w:t>
            </w:r>
          </w:p>
        </w:tc>
        <w:tc>
          <w:tcPr>
            <w:tcW w:w="1058" w:type="dxa"/>
            <w:tcBorders>
              <w:top w:val="single" w:sz="6" w:space="0" w:color="auto"/>
            </w:tcBorders>
          </w:tcPr>
          <w:p w14:paraId="71B8CA38" w14:textId="77777777" w:rsidR="00460F5C" w:rsidRPr="00DE0BEC" w:rsidRDefault="00460F5C" w:rsidP="0002542D">
            <w:pPr>
              <w:pStyle w:val="TableText"/>
              <w:jc w:val="center"/>
            </w:pPr>
            <w:r w:rsidRPr="00DE0BEC">
              <w:t>X</w:t>
            </w:r>
          </w:p>
        </w:tc>
        <w:tc>
          <w:tcPr>
            <w:tcW w:w="1408" w:type="dxa"/>
            <w:tcBorders>
              <w:top w:val="single" w:sz="6" w:space="0" w:color="auto"/>
            </w:tcBorders>
          </w:tcPr>
          <w:p w14:paraId="5932AA12" w14:textId="77777777" w:rsidR="00460F5C" w:rsidRPr="00DE0BEC" w:rsidRDefault="00460F5C" w:rsidP="0002542D">
            <w:pPr>
              <w:pStyle w:val="TableText"/>
              <w:jc w:val="center"/>
            </w:pPr>
          </w:p>
        </w:tc>
        <w:tc>
          <w:tcPr>
            <w:tcW w:w="1078" w:type="dxa"/>
            <w:tcBorders>
              <w:top w:val="single" w:sz="6" w:space="0" w:color="auto"/>
            </w:tcBorders>
          </w:tcPr>
          <w:p w14:paraId="07B36BC1" w14:textId="77777777" w:rsidR="00460F5C" w:rsidRPr="00DE0BEC" w:rsidRDefault="00460F5C" w:rsidP="0002542D">
            <w:pPr>
              <w:pStyle w:val="TableText"/>
              <w:jc w:val="center"/>
            </w:pPr>
          </w:p>
        </w:tc>
      </w:tr>
      <w:tr w:rsidR="00DE0BEC" w:rsidRPr="00DE0BEC" w14:paraId="182FBC45" w14:textId="77777777" w:rsidTr="0002542D">
        <w:trPr>
          <w:cantSplit/>
        </w:trPr>
        <w:tc>
          <w:tcPr>
            <w:tcW w:w="5816" w:type="dxa"/>
          </w:tcPr>
          <w:p w14:paraId="7DABD92C" w14:textId="77777777" w:rsidR="00460F5C" w:rsidRPr="00DE0BEC" w:rsidRDefault="00460F5C" w:rsidP="0002542D">
            <w:pPr>
              <w:pStyle w:val="TableText"/>
            </w:pPr>
            <w:r w:rsidRPr="00DE0BEC">
              <w:t xml:space="preserve">Gender </w:t>
            </w:r>
          </w:p>
        </w:tc>
        <w:tc>
          <w:tcPr>
            <w:tcW w:w="1058" w:type="dxa"/>
          </w:tcPr>
          <w:p w14:paraId="44B75AFB" w14:textId="77777777" w:rsidR="00460F5C" w:rsidRPr="00DE0BEC" w:rsidRDefault="00460F5C" w:rsidP="0002542D">
            <w:pPr>
              <w:pStyle w:val="TableText"/>
              <w:jc w:val="center"/>
            </w:pPr>
            <w:r w:rsidRPr="00DE0BEC">
              <w:t>X</w:t>
            </w:r>
          </w:p>
        </w:tc>
        <w:tc>
          <w:tcPr>
            <w:tcW w:w="1408" w:type="dxa"/>
          </w:tcPr>
          <w:p w14:paraId="492A1B89" w14:textId="77777777" w:rsidR="00460F5C" w:rsidRPr="00DE0BEC" w:rsidRDefault="00460F5C" w:rsidP="0002542D">
            <w:pPr>
              <w:pStyle w:val="TableText"/>
              <w:jc w:val="center"/>
            </w:pPr>
          </w:p>
        </w:tc>
        <w:tc>
          <w:tcPr>
            <w:tcW w:w="1078" w:type="dxa"/>
          </w:tcPr>
          <w:p w14:paraId="6F6F3421" w14:textId="77777777" w:rsidR="00460F5C" w:rsidRPr="00DE0BEC" w:rsidRDefault="00460F5C" w:rsidP="0002542D">
            <w:pPr>
              <w:pStyle w:val="TableText"/>
              <w:jc w:val="center"/>
            </w:pPr>
          </w:p>
        </w:tc>
      </w:tr>
      <w:tr w:rsidR="00DE0BEC" w:rsidRPr="00DE0BEC" w14:paraId="15A9A643" w14:textId="77777777" w:rsidTr="0002542D">
        <w:trPr>
          <w:cantSplit/>
        </w:trPr>
        <w:tc>
          <w:tcPr>
            <w:tcW w:w="5816" w:type="dxa"/>
          </w:tcPr>
          <w:p w14:paraId="7A56544B" w14:textId="77777777" w:rsidR="00460F5C" w:rsidRPr="00DE0BEC" w:rsidRDefault="00460F5C" w:rsidP="0002542D">
            <w:pPr>
              <w:pStyle w:val="TableText"/>
            </w:pPr>
            <w:r w:rsidRPr="00DE0BEC">
              <w:t xml:space="preserve">Medical Record Number </w:t>
            </w:r>
          </w:p>
        </w:tc>
        <w:tc>
          <w:tcPr>
            <w:tcW w:w="1058" w:type="dxa"/>
          </w:tcPr>
          <w:p w14:paraId="5CECA80C" w14:textId="77777777" w:rsidR="00460F5C" w:rsidRPr="00DE0BEC" w:rsidRDefault="00460F5C" w:rsidP="0002542D">
            <w:pPr>
              <w:pStyle w:val="TableText"/>
              <w:jc w:val="center"/>
            </w:pPr>
            <w:r w:rsidRPr="00DE0BEC">
              <w:t>X</w:t>
            </w:r>
          </w:p>
        </w:tc>
        <w:tc>
          <w:tcPr>
            <w:tcW w:w="1408" w:type="dxa"/>
          </w:tcPr>
          <w:p w14:paraId="7DF7B64A" w14:textId="77777777" w:rsidR="00460F5C" w:rsidRPr="00DE0BEC" w:rsidRDefault="00460F5C" w:rsidP="0002542D">
            <w:pPr>
              <w:pStyle w:val="TableText"/>
              <w:jc w:val="center"/>
            </w:pPr>
          </w:p>
        </w:tc>
        <w:tc>
          <w:tcPr>
            <w:tcW w:w="1078" w:type="dxa"/>
          </w:tcPr>
          <w:p w14:paraId="23191E3C" w14:textId="77777777" w:rsidR="00460F5C" w:rsidRPr="00DE0BEC" w:rsidRDefault="00460F5C" w:rsidP="0002542D">
            <w:pPr>
              <w:pStyle w:val="TableText"/>
              <w:jc w:val="center"/>
            </w:pPr>
          </w:p>
        </w:tc>
      </w:tr>
      <w:tr w:rsidR="00DE0BEC" w:rsidRPr="00DE0BEC" w14:paraId="1DECAE1A" w14:textId="77777777" w:rsidTr="0002542D">
        <w:trPr>
          <w:cantSplit/>
        </w:trPr>
        <w:tc>
          <w:tcPr>
            <w:tcW w:w="5816" w:type="dxa"/>
          </w:tcPr>
          <w:p w14:paraId="285C103D" w14:textId="77777777" w:rsidR="00460F5C" w:rsidRPr="00DE0BEC" w:rsidRDefault="00460F5C" w:rsidP="0002542D">
            <w:pPr>
              <w:pStyle w:val="TableText"/>
            </w:pPr>
            <w:r w:rsidRPr="00DE0BEC">
              <w:t>Facility type (ASC or HOPD, single-specialty or multi-specialty)</w:t>
            </w:r>
          </w:p>
        </w:tc>
        <w:tc>
          <w:tcPr>
            <w:tcW w:w="1058" w:type="dxa"/>
          </w:tcPr>
          <w:p w14:paraId="6EE7BAF7" w14:textId="77777777" w:rsidR="00460F5C" w:rsidRPr="00DE0BEC" w:rsidRDefault="00460F5C" w:rsidP="0002542D">
            <w:pPr>
              <w:pStyle w:val="TableText"/>
              <w:jc w:val="center"/>
            </w:pPr>
            <w:r w:rsidRPr="00DE0BEC">
              <w:t>X</w:t>
            </w:r>
          </w:p>
        </w:tc>
        <w:tc>
          <w:tcPr>
            <w:tcW w:w="1408" w:type="dxa"/>
          </w:tcPr>
          <w:p w14:paraId="4AFC8885" w14:textId="77777777" w:rsidR="00460F5C" w:rsidRPr="00DE0BEC" w:rsidRDefault="00460F5C" w:rsidP="0002542D">
            <w:pPr>
              <w:pStyle w:val="TableText"/>
              <w:jc w:val="center"/>
            </w:pPr>
          </w:p>
        </w:tc>
        <w:tc>
          <w:tcPr>
            <w:tcW w:w="1078" w:type="dxa"/>
          </w:tcPr>
          <w:p w14:paraId="550E3AA5" w14:textId="77777777" w:rsidR="00460F5C" w:rsidRPr="00DE0BEC" w:rsidRDefault="00460F5C" w:rsidP="0002542D">
            <w:pPr>
              <w:pStyle w:val="TableText"/>
              <w:jc w:val="center"/>
            </w:pPr>
          </w:p>
        </w:tc>
      </w:tr>
      <w:tr w:rsidR="00DE0BEC" w:rsidRPr="00DE0BEC" w14:paraId="357A31A6" w14:textId="77777777" w:rsidTr="0002542D">
        <w:trPr>
          <w:cantSplit/>
        </w:trPr>
        <w:tc>
          <w:tcPr>
            <w:tcW w:w="5816" w:type="dxa"/>
          </w:tcPr>
          <w:p w14:paraId="1BDFCCFA" w14:textId="77777777" w:rsidR="00460F5C" w:rsidRPr="00DE0BEC" w:rsidRDefault="00460F5C" w:rsidP="0002542D">
            <w:pPr>
              <w:pStyle w:val="TableText"/>
            </w:pPr>
            <w:r w:rsidRPr="00DE0BEC">
              <w:t>Size of facility (patient volume)</w:t>
            </w:r>
          </w:p>
        </w:tc>
        <w:tc>
          <w:tcPr>
            <w:tcW w:w="1058" w:type="dxa"/>
          </w:tcPr>
          <w:p w14:paraId="73C748C4" w14:textId="77777777" w:rsidR="00460F5C" w:rsidRPr="00DE0BEC" w:rsidRDefault="00460F5C" w:rsidP="0002542D">
            <w:pPr>
              <w:pStyle w:val="TableText"/>
              <w:jc w:val="center"/>
            </w:pPr>
            <w:r w:rsidRPr="00DE0BEC">
              <w:t>X</w:t>
            </w:r>
          </w:p>
        </w:tc>
        <w:tc>
          <w:tcPr>
            <w:tcW w:w="1408" w:type="dxa"/>
          </w:tcPr>
          <w:p w14:paraId="3F3F7F04" w14:textId="77777777" w:rsidR="00460F5C" w:rsidRPr="00DE0BEC" w:rsidRDefault="00460F5C" w:rsidP="0002542D">
            <w:pPr>
              <w:pStyle w:val="TableText"/>
              <w:jc w:val="center"/>
            </w:pPr>
          </w:p>
        </w:tc>
        <w:tc>
          <w:tcPr>
            <w:tcW w:w="1078" w:type="dxa"/>
          </w:tcPr>
          <w:p w14:paraId="01F88104" w14:textId="77777777" w:rsidR="00460F5C" w:rsidRPr="00DE0BEC" w:rsidRDefault="00460F5C" w:rsidP="0002542D">
            <w:pPr>
              <w:pStyle w:val="TableText"/>
              <w:jc w:val="center"/>
            </w:pPr>
          </w:p>
        </w:tc>
      </w:tr>
      <w:tr w:rsidR="00DE0BEC" w:rsidRPr="00DE0BEC" w14:paraId="19ACA7F5" w14:textId="77777777" w:rsidTr="0002542D">
        <w:trPr>
          <w:cantSplit/>
        </w:trPr>
        <w:tc>
          <w:tcPr>
            <w:tcW w:w="5816" w:type="dxa"/>
          </w:tcPr>
          <w:p w14:paraId="2BCF73D1" w14:textId="77777777" w:rsidR="00460F5C" w:rsidRPr="00DE0BEC" w:rsidRDefault="00460F5C" w:rsidP="0002542D">
            <w:pPr>
              <w:pStyle w:val="TableText"/>
            </w:pPr>
            <w:r w:rsidRPr="00DE0BEC">
              <w:t xml:space="preserve">Ownership type </w:t>
            </w:r>
          </w:p>
        </w:tc>
        <w:tc>
          <w:tcPr>
            <w:tcW w:w="1058" w:type="dxa"/>
          </w:tcPr>
          <w:p w14:paraId="509AE07B" w14:textId="77777777" w:rsidR="00460F5C" w:rsidRPr="00DE0BEC" w:rsidRDefault="00460F5C" w:rsidP="0002542D">
            <w:pPr>
              <w:pStyle w:val="TableText"/>
              <w:jc w:val="center"/>
            </w:pPr>
            <w:r w:rsidRPr="00DE0BEC">
              <w:t>X</w:t>
            </w:r>
          </w:p>
        </w:tc>
        <w:tc>
          <w:tcPr>
            <w:tcW w:w="1408" w:type="dxa"/>
          </w:tcPr>
          <w:p w14:paraId="60A2BA6E" w14:textId="77777777" w:rsidR="00460F5C" w:rsidRPr="00DE0BEC" w:rsidRDefault="00460F5C" w:rsidP="0002542D">
            <w:pPr>
              <w:pStyle w:val="TableText"/>
              <w:jc w:val="center"/>
            </w:pPr>
          </w:p>
        </w:tc>
        <w:tc>
          <w:tcPr>
            <w:tcW w:w="1078" w:type="dxa"/>
          </w:tcPr>
          <w:p w14:paraId="5DD6EF71" w14:textId="77777777" w:rsidR="00460F5C" w:rsidRPr="00DE0BEC" w:rsidRDefault="00460F5C" w:rsidP="0002542D">
            <w:pPr>
              <w:pStyle w:val="TableText"/>
              <w:jc w:val="center"/>
            </w:pPr>
          </w:p>
        </w:tc>
      </w:tr>
      <w:tr w:rsidR="00DE0BEC" w:rsidRPr="00DE0BEC" w14:paraId="45EBCB05" w14:textId="77777777" w:rsidTr="0002542D">
        <w:trPr>
          <w:cantSplit/>
        </w:trPr>
        <w:tc>
          <w:tcPr>
            <w:tcW w:w="5816" w:type="dxa"/>
          </w:tcPr>
          <w:p w14:paraId="0FB416AF" w14:textId="77777777" w:rsidR="00460F5C" w:rsidRPr="00DE0BEC" w:rsidRDefault="00460F5C" w:rsidP="0002542D">
            <w:pPr>
              <w:pStyle w:val="TableText"/>
            </w:pPr>
            <w:r w:rsidRPr="00DE0BEC">
              <w:t>Urban/Rural</w:t>
            </w:r>
          </w:p>
        </w:tc>
        <w:tc>
          <w:tcPr>
            <w:tcW w:w="1058" w:type="dxa"/>
          </w:tcPr>
          <w:p w14:paraId="0AD6DF4A" w14:textId="77777777" w:rsidR="00460F5C" w:rsidRPr="00DE0BEC" w:rsidRDefault="00460F5C" w:rsidP="0002542D">
            <w:pPr>
              <w:pStyle w:val="TableText"/>
              <w:jc w:val="center"/>
            </w:pPr>
            <w:r w:rsidRPr="00DE0BEC">
              <w:t>X</w:t>
            </w:r>
          </w:p>
        </w:tc>
        <w:tc>
          <w:tcPr>
            <w:tcW w:w="1408" w:type="dxa"/>
          </w:tcPr>
          <w:p w14:paraId="7040D7B2" w14:textId="77777777" w:rsidR="00460F5C" w:rsidRPr="00DE0BEC" w:rsidRDefault="00460F5C" w:rsidP="0002542D">
            <w:pPr>
              <w:pStyle w:val="TableText"/>
              <w:jc w:val="center"/>
            </w:pPr>
          </w:p>
        </w:tc>
        <w:tc>
          <w:tcPr>
            <w:tcW w:w="1078" w:type="dxa"/>
          </w:tcPr>
          <w:p w14:paraId="029FC240" w14:textId="77777777" w:rsidR="00460F5C" w:rsidRPr="00DE0BEC" w:rsidRDefault="00460F5C" w:rsidP="0002542D">
            <w:pPr>
              <w:pStyle w:val="TableText"/>
              <w:jc w:val="center"/>
            </w:pPr>
          </w:p>
        </w:tc>
      </w:tr>
      <w:tr w:rsidR="00DE0BEC" w:rsidRPr="00DE0BEC" w14:paraId="670A47E3" w14:textId="77777777" w:rsidTr="0002542D">
        <w:trPr>
          <w:cantSplit/>
        </w:trPr>
        <w:tc>
          <w:tcPr>
            <w:tcW w:w="5816" w:type="dxa"/>
          </w:tcPr>
          <w:p w14:paraId="01D85A63" w14:textId="77777777" w:rsidR="00460F5C" w:rsidRPr="00DE0BEC" w:rsidRDefault="00460F5C" w:rsidP="0002542D">
            <w:pPr>
              <w:pStyle w:val="TableText"/>
            </w:pPr>
            <w:r w:rsidRPr="00DE0BEC">
              <w:t>Type of surgery or procedure</w:t>
            </w:r>
          </w:p>
        </w:tc>
        <w:tc>
          <w:tcPr>
            <w:tcW w:w="1058" w:type="dxa"/>
          </w:tcPr>
          <w:p w14:paraId="64102ABB" w14:textId="77777777" w:rsidR="00460F5C" w:rsidRPr="00DE0BEC" w:rsidRDefault="00460F5C" w:rsidP="0002542D">
            <w:pPr>
              <w:pStyle w:val="TableText"/>
              <w:jc w:val="center"/>
            </w:pPr>
            <w:r w:rsidRPr="00DE0BEC">
              <w:t>X</w:t>
            </w:r>
          </w:p>
        </w:tc>
        <w:tc>
          <w:tcPr>
            <w:tcW w:w="1408" w:type="dxa"/>
          </w:tcPr>
          <w:p w14:paraId="5B442C90" w14:textId="77777777" w:rsidR="00460F5C" w:rsidRPr="00DE0BEC" w:rsidRDefault="00460F5C" w:rsidP="0002542D">
            <w:pPr>
              <w:pStyle w:val="TableText"/>
              <w:jc w:val="center"/>
            </w:pPr>
          </w:p>
        </w:tc>
        <w:tc>
          <w:tcPr>
            <w:tcW w:w="1078" w:type="dxa"/>
          </w:tcPr>
          <w:p w14:paraId="616E7EFB" w14:textId="77777777" w:rsidR="00460F5C" w:rsidRPr="00DE0BEC" w:rsidRDefault="00460F5C" w:rsidP="0002542D">
            <w:pPr>
              <w:pStyle w:val="TableText"/>
              <w:jc w:val="center"/>
            </w:pPr>
          </w:p>
        </w:tc>
      </w:tr>
      <w:tr w:rsidR="00DE0BEC" w:rsidRPr="00DE0BEC" w14:paraId="48A6C0FE" w14:textId="77777777" w:rsidTr="0002542D">
        <w:trPr>
          <w:cantSplit/>
        </w:trPr>
        <w:tc>
          <w:tcPr>
            <w:tcW w:w="5816" w:type="dxa"/>
          </w:tcPr>
          <w:p w14:paraId="1074AE1A" w14:textId="77777777" w:rsidR="00460F5C" w:rsidRPr="00DE0BEC" w:rsidRDefault="00460F5C" w:rsidP="0002542D">
            <w:pPr>
              <w:pStyle w:val="TableText"/>
            </w:pPr>
            <w:r w:rsidRPr="00DE0BEC">
              <w:t xml:space="preserve">Overall health status </w:t>
            </w:r>
          </w:p>
        </w:tc>
        <w:tc>
          <w:tcPr>
            <w:tcW w:w="1058" w:type="dxa"/>
          </w:tcPr>
          <w:p w14:paraId="6747DEBB" w14:textId="77777777" w:rsidR="00460F5C" w:rsidRPr="00DE0BEC" w:rsidRDefault="00460F5C" w:rsidP="0002542D">
            <w:pPr>
              <w:pStyle w:val="TableText"/>
              <w:jc w:val="center"/>
            </w:pPr>
          </w:p>
        </w:tc>
        <w:tc>
          <w:tcPr>
            <w:tcW w:w="1408" w:type="dxa"/>
          </w:tcPr>
          <w:p w14:paraId="4B388A1E" w14:textId="77777777" w:rsidR="00460F5C" w:rsidRPr="00DE0BEC" w:rsidRDefault="00460F5C" w:rsidP="0002542D">
            <w:pPr>
              <w:pStyle w:val="TableText"/>
              <w:jc w:val="center"/>
            </w:pPr>
            <w:r w:rsidRPr="00DE0BEC">
              <w:t>X</w:t>
            </w:r>
          </w:p>
        </w:tc>
        <w:tc>
          <w:tcPr>
            <w:tcW w:w="1078" w:type="dxa"/>
          </w:tcPr>
          <w:p w14:paraId="5317871A" w14:textId="77777777" w:rsidR="00460F5C" w:rsidRPr="00DE0BEC" w:rsidRDefault="00460F5C" w:rsidP="0002542D">
            <w:pPr>
              <w:pStyle w:val="TableText"/>
              <w:jc w:val="center"/>
            </w:pPr>
          </w:p>
        </w:tc>
      </w:tr>
      <w:tr w:rsidR="00DE0BEC" w:rsidRPr="00DE0BEC" w14:paraId="11686E31" w14:textId="77777777" w:rsidTr="0002542D">
        <w:trPr>
          <w:cantSplit/>
        </w:trPr>
        <w:tc>
          <w:tcPr>
            <w:tcW w:w="5816" w:type="dxa"/>
          </w:tcPr>
          <w:p w14:paraId="4046B43A" w14:textId="77777777" w:rsidR="00460F5C" w:rsidRPr="00DE0BEC" w:rsidRDefault="00460F5C" w:rsidP="0002542D">
            <w:pPr>
              <w:pStyle w:val="TableText"/>
            </w:pPr>
            <w:r w:rsidRPr="00DE0BEC">
              <w:t xml:space="preserve">Mental health status </w:t>
            </w:r>
          </w:p>
        </w:tc>
        <w:tc>
          <w:tcPr>
            <w:tcW w:w="1058" w:type="dxa"/>
          </w:tcPr>
          <w:p w14:paraId="737CFABF" w14:textId="77777777" w:rsidR="00460F5C" w:rsidRPr="00DE0BEC" w:rsidRDefault="00460F5C" w:rsidP="0002542D">
            <w:pPr>
              <w:pStyle w:val="TableText"/>
              <w:jc w:val="center"/>
            </w:pPr>
          </w:p>
        </w:tc>
        <w:tc>
          <w:tcPr>
            <w:tcW w:w="1408" w:type="dxa"/>
          </w:tcPr>
          <w:p w14:paraId="1CAC5DE3" w14:textId="77777777" w:rsidR="00460F5C" w:rsidRPr="00DE0BEC" w:rsidRDefault="00460F5C" w:rsidP="0002542D">
            <w:pPr>
              <w:pStyle w:val="TableText"/>
              <w:jc w:val="center"/>
            </w:pPr>
            <w:r w:rsidRPr="00DE0BEC">
              <w:t>X</w:t>
            </w:r>
          </w:p>
        </w:tc>
        <w:tc>
          <w:tcPr>
            <w:tcW w:w="1078" w:type="dxa"/>
          </w:tcPr>
          <w:p w14:paraId="1B9A818B" w14:textId="77777777" w:rsidR="00460F5C" w:rsidRPr="00DE0BEC" w:rsidRDefault="00460F5C" w:rsidP="0002542D">
            <w:pPr>
              <w:pStyle w:val="TableText"/>
              <w:jc w:val="center"/>
            </w:pPr>
          </w:p>
        </w:tc>
      </w:tr>
      <w:tr w:rsidR="00DE0BEC" w:rsidRPr="00DE0BEC" w14:paraId="48887104" w14:textId="77777777" w:rsidTr="0002542D">
        <w:trPr>
          <w:cantSplit/>
        </w:trPr>
        <w:tc>
          <w:tcPr>
            <w:tcW w:w="5816" w:type="dxa"/>
          </w:tcPr>
          <w:p w14:paraId="6E580638" w14:textId="77777777" w:rsidR="00460F5C" w:rsidRPr="00DE0BEC" w:rsidRDefault="00460F5C" w:rsidP="0002542D">
            <w:pPr>
              <w:pStyle w:val="TableText"/>
            </w:pPr>
            <w:r w:rsidRPr="00DE0BEC">
              <w:t>Language</w:t>
            </w:r>
          </w:p>
        </w:tc>
        <w:tc>
          <w:tcPr>
            <w:tcW w:w="1058" w:type="dxa"/>
          </w:tcPr>
          <w:p w14:paraId="41F389EE" w14:textId="77777777" w:rsidR="00460F5C" w:rsidRPr="00DE0BEC" w:rsidRDefault="00460F5C" w:rsidP="0002542D">
            <w:pPr>
              <w:pStyle w:val="TableText"/>
              <w:jc w:val="center"/>
            </w:pPr>
          </w:p>
        </w:tc>
        <w:tc>
          <w:tcPr>
            <w:tcW w:w="1408" w:type="dxa"/>
          </w:tcPr>
          <w:p w14:paraId="36FF4568" w14:textId="77777777" w:rsidR="00460F5C" w:rsidRPr="00DE0BEC" w:rsidRDefault="00460F5C" w:rsidP="0002542D">
            <w:pPr>
              <w:pStyle w:val="TableText"/>
              <w:jc w:val="center"/>
            </w:pPr>
            <w:r w:rsidRPr="00DE0BEC">
              <w:t>X</w:t>
            </w:r>
          </w:p>
        </w:tc>
        <w:tc>
          <w:tcPr>
            <w:tcW w:w="1078" w:type="dxa"/>
          </w:tcPr>
          <w:p w14:paraId="7A16675E" w14:textId="77777777" w:rsidR="00460F5C" w:rsidRPr="00DE0BEC" w:rsidRDefault="00460F5C" w:rsidP="0002542D">
            <w:pPr>
              <w:pStyle w:val="TableText"/>
              <w:jc w:val="center"/>
            </w:pPr>
          </w:p>
        </w:tc>
      </w:tr>
      <w:tr w:rsidR="00DE0BEC" w:rsidRPr="00DE0BEC" w14:paraId="67748AF5" w14:textId="77777777" w:rsidTr="0002542D">
        <w:trPr>
          <w:cantSplit/>
        </w:trPr>
        <w:tc>
          <w:tcPr>
            <w:tcW w:w="5816" w:type="dxa"/>
          </w:tcPr>
          <w:p w14:paraId="356487A3" w14:textId="77777777" w:rsidR="00460F5C" w:rsidRPr="00DE0BEC" w:rsidRDefault="00460F5C" w:rsidP="0002542D">
            <w:pPr>
              <w:pStyle w:val="TableText"/>
            </w:pPr>
            <w:r w:rsidRPr="00DE0BEC">
              <w:t xml:space="preserve">Education level </w:t>
            </w:r>
          </w:p>
        </w:tc>
        <w:tc>
          <w:tcPr>
            <w:tcW w:w="1058" w:type="dxa"/>
          </w:tcPr>
          <w:p w14:paraId="6CB4423E" w14:textId="77777777" w:rsidR="00460F5C" w:rsidRPr="00DE0BEC" w:rsidRDefault="00460F5C" w:rsidP="0002542D">
            <w:pPr>
              <w:pStyle w:val="TableText"/>
              <w:jc w:val="center"/>
            </w:pPr>
          </w:p>
        </w:tc>
        <w:tc>
          <w:tcPr>
            <w:tcW w:w="1408" w:type="dxa"/>
          </w:tcPr>
          <w:p w14:paraId="5A5E300B" w14:textId="77777777" w:rsidR="00460F5C" w:rsidRPr="00DE0BEC" w:rsidRDefault="00460F5C" w:rsidP="0002542D">
            <w:pPr>
              <w:pStyle w:val="TableText"/>
              <w:jc w:val="center"/>
            </w:pPr>
            <w:r w:rsidRPr="00DE0BEC">
              <w:t>X</w:t>
            </w:r>
          </w:p>
        </w:tc>
        <w:tc>
          <w:tcPr>
            <w:tcW w:w="1078" w:type="dxa"/>
          </w:tcPr>
          <w:p w14:paraId="6A660902" w14:textId="77777777" w:rsidR="00460F5C" w:rsidRPr="00DE0BEC" w:rsidRDefault="00460F5C" w:rsidP="0002542D">
            <w:pPr>
              <w:pStyle w:val="TableText"/>
              <w:jc w:val="center"/>
            </w:pPr>
          </w:p>
        </w:tc>
      </w:tr>
      <w:tr w:rsidR="00DE0BEC" w:rsidRPr="00DE0BEC" w14:paraId="100F880B" w14:textId="77777777" w:rsidTr="0002542D">
        <w:trPr>
          <w:cantSplit/>
        </w:trPr>
        <w:tc>
          <w:tcPr>
            <w:tcW w:w="5816" w:type="dxa"/>
          </w:tcPr>
          <w:p w14:paraId="7D03D528" w14:textId="77777777" w:rsidR="00460F5C" w:rsidRPr="00DE0BEC" w:rsidRDefault="00460F5C" w:rsidP="0002542D">
            <w:pPr>
              <w:pStyle w:val="TableText"/>
            </w:pPr>
            <w:r w:rsidRPr="00DE0BEC">
              <w:t xml:space="preserve">Did someone help respondent with survey </w:t>
            </w:r>
          </w:p>
        </w:tc>
        <w:tc>
          <w:tcPr>
            <w:tcW w:w="1058" w:type="dxa"/>
          </w:tcPr>
          <w:p w14:paraId="17155EEA" w14:textId="77777777" w:rsidR="00460F5C" w:rsidRPr="00DE0BEC" w:rsidRDefault="00460F5C" w:rsidP="0002542D">
            <w:pPr>
              <w:pStyle w:val="TableText"/>
              <w:jc w:val="center"/>
            </w:pPr>
          </w:p>
        </w:tc>
        <w:tc>
          <w:tcPr>
            <w:tcW w:w="1408" w:type="dxa"/>
          </w:tcPr>
          <w:p w14:paraId="29E6E265" w14:textId="77777777" w:rsidR="00460F5C" w:rsidRPr="00DE0BEC" w:rsidRDefault="00460F5C" w:rsidP="0002542D">
            <w:pPr>
              <w:pStyle w:val="TableText"/>
              <w:jc w:val="center"/>
            </w:pPr>
            <w:r w:rsidRPr="00DE0BEC">
              <w:t>X</w:t>
            </w:r>
          </w:p>
        </w:tc>
        <w:tc>
          <w:tcPr>
            <w:tcW w:w="1078" w:type="dxa"/>
          </w:tcPr>
          <w:p w14:paraId="1987F6B0" w14:textId="77777777" w:rsidR="00460F5C" w:rsidRPr="00DE0BEC" w:rsidRDefault="00460F5C" w:rsidP="0002542D">
            <w:pPr>
              <w:pStyle w:val="TableText"/>
              <w:jc w:val="center"/>
            </w:pPr>
          </w:p>
        </w:tc>
      </w:tr>
      <w:tr w:rsidR="00DE0BEC" w:rsidRPr="00DE0BEC" w14:paraId="7BA0B9E1" w14:textId="77777777" w:rsidTr="0002542D">
        <w:trPr>
          <w:cantSplit/>
        </w:trPr>
        <w:tc>
          <w:tcPr>
            <w:tcW w:w="5816" w:type="dxa"/>
          </w:tcPr>
          <w:p w14:paraId="3EE2DA20" w14:textId="77777777" w:rsidR="00460F5C" w:rsidRPr="00DE0BEC" w:rsidRDefault="00460F5C" w:rsidP="0002542D">
            <w:pPr>
              <w:pStyle w:val="TableText"/>
            </w:pPr>
            <w:r w:rsidRPr="00DE0BEC">
              <w:t xml:space="preserve">Mode of survey administration </w:t>
            </w:r>
          </w:p>
        </w:tc>
        <w:tc>
          <w:tcPr>
            <w:tcW w:w="1058" w:type="dxa"/>
          </w:tcPr>
          <w:p w14:paraId="1FD6C615" w14:textId="77777777" w:rsidR="00460F5C" w:rsidRPr="00DE0BEC" w:rsidRDefault="00460F5C" w:rsidP="0002542D">
            <w:pPr>
              <w:pStyle w:val="TableText"/>
              <w:jc w:val="center"/>
            </w:pPr>
          </w:p>
        </w:tc>
        <w:tc>
          <w:tcPr>
            <w:tcW w:w="1408" w:type="dxa"/>
          </w:tcPr>
          <w:p w14:paraId="0D79DFE9" w14:textId="77777777" w:rsidR="00460F5C" w:rsidRPr="00DE0BEC" w:rsidRDefault="00460F5C" w:rsidP="0002542D">
            <w:pPr>
              <w:pStyle w:val="TableText"/>
              <w:jc w:val="center"/>
            </w:pPr>
          </w:p>
        </w:tc>
        <w:tc>
          <w:tcPr>
            <w:tcW w:w="1078" w:type="dxa"/>
          </w:tcPr>
          <w:p w14:paraId="178F9DAD" w14:textId="77777777" w:rsidR="00460F5C" w:rsidRPr="00DE0BEC" w:rsidRDefault="00460F5C" w:rsidP="0002542D">
            <w:pPr>
              <w:pStyle w:val="TableText"/>
              <w:jc w:val="center"/>
            </w:pPr>
            <w:r w:rsidRPr="00DE0BEC">
              <w:t>X</w:t>
            </w:r>
          </w:p>
        </w:tc>
      </w:tr>
      <w:tr w:rsidR="00DE0BEC" w:rsidRPr="00DE0BEC" w14:paraId="7A6FBD5E" w14:textId="77777777" w:rsidTr="0002542D">
        <w:trPr>
          <w:cantSplit/>
        </w:trPr>
        <w:tc>
          <w:tcPr>
            <w:tcW w:w="5816" w:type="dxa"/>
          </w:tcPr>
          <w:p w14:paraId="6007EA3E" w14:textId="77777777" w:rsidR="00460F5C" w:rsidRPr="00DE0BEC" w:rsidRDefault="00460F5C" w:rsidP="0002542D">
            <w:pPr>
              <w:pStyle w:val="TableText"/>
            </w:pPr>
            <w:r w:rsidRPr="00DE0BEC">
              <w:t>Interview completion date</w:t>
            </w:r>
          </w:p>
        </w:tc>
        <w:tc>
          <w:tcPr>
            <w:tcW w:w="1058" w:type="dxa"/>
          </w:tcPr>
          <w:p w14:paraId="2AB22FF4" w14:textId="77777777" w:rsidR="00460F5C" w:rsidRPr="00DE0BEC" w:rsidRDefault="00460F5C" w:rsidP="0002542D">
            <w:pPr>
              <w:pStyle w:val="TableText"/>
              <w:jc w:val="center"/>
            </w:pPr>
          </w:p>
        </w:tc>
        <w:tc>
          <w:tcPr>
            <w:tcW w:w="1408" w:type="dxa"/>
          </w:tcPr>
          <w:p w14:paraId="10E67EE8" w14:textId="77777777" w:rsidR="00460F5C" w:rsidRPr="00DE0BEC" w:rsidRDefault="00460F5C" w:rsidP="0002542D">
            <w:pPr>
              <w:pStyle w:val="TableText"/>
              <w:jc w:val="center"/>
            </w:pPr>
          </w:p>
        </w:tc>
        <w:tc>
          <w:tcPr>
            <w:tcW w:w="1078" w:type="dxa"/>
          </w:tcPr>
          <w:p w14:paraId="759F46E5" w14:textId="77777777" w:rsidR="00460F5C" w:rsidRPr="00DE0BEC" w:rsidRDefault="00460F5C" w:rsidP="0002542D">
            <w:pPr>
              <w:pStyle w:val="TableText"/>
              <w:jc w:val="center"/>
            </w:pPr>
            <w:r w:rsidRPr="00DE0BEC">
              <w:t>X</w:t>
            </w:r>
          </w:p>
        </w:tc>
      </w:tr>
      <w:tr w:rsidR="00460F5C" w:rsidRPr="00DE0BEC" w14:paraId="6387933C" w14:textId="77777777" w:rsidTr="0002542D">
        <w:trPr>
          <w:cantSplit/>
        </w:trPr>
        <w:tc>
          <w:tcPr>
            <w:tcW w:w="5816" w:type="dxa"/>
          </w:tcPr>
          <w:p w14:paraId="2BC0BADB" w14:textId="77777777" w:rsidR="00460F5C" w:rsidRPr="00DE0BEC" w:rsidRDefault="00460F5C" w:rsidP="0002542D">
            <w:pPr>
              <w:pStyle w:val="TableText"/>
            </w:pPr>
            <w:r w:rsidRPr="00DE0BEC">
              <w:t>Facility identifier</w:t>
            </w:r>
          </w:p>
        </w:tc>
        <w:tc>
          <w:tcPr>
            <w:tcW w:w="1058" w:type="dxa"/>
          </w:tcPr>
          <w:p w14:paraId="1BCD3934" w14:textId="77777777" w:rsidR="00460F5C" w:rsidRPr="00DE0BEC" w:rsidRDefault="00460F5C" w:rsidP="0002542D">
            <w:pPr>
              <w:pStyle w:val="TableText"/>
              <w:jc w:val="center"/>
            </w:pPr>
          </w:p>
        </w:tc>
        <w:tc>
          <w:tcPr>
            <w:tcW w:w="1408" w:type="dxa"/>
          </w:tcPr>
          <w:p w14:paraId="2B184AF8" w14:textId="77777777" w:rsidR="00460F5C" w:rsidRPr="00DE0BEC" w:rsidRDefault="00460F5C" w:rsidP="0002542D">
            <w:pPr>
              <w:pStyle w:val="TableText"/>
              <w:jc w:val="center"/>
            </w:pPr>
          </w:p>
        </w:tc>
        <w:tc>
          <w:tcPr>
            <w:tcW w:w="1078" w:type="dxa"/>
          </w:tcPr>
          <w:p w14:paraId="5E00E615" w14:textId="77777777" w:rsidR="00460F5C" w:rsidRPr="00DE0BEC" w:rsidRDefault="00460F5C" w:rsidP="0002542D">
            <w:pPr>
              <w:pStyle w:val="TableText"/>
              <w:jc w:val="center"/>
            </w:pPr>
            <w:r w:rsidRPr="00DE0BEC">
              <w:t>X</w:t>
            </w:r>
          </w:p>
        </w:tc>
      </w:tr>
    </w:tbl>
    <w:p w14:paraId="63285C4E" w14:textId="77777777" w:rsidR="00460F5C" w:rsidRPr="00DE0BEC" w:rsidRDefault="00460F5C" w:rsidP="00460F5C">
      <w:pPr>
        <w:pStyle w:val="Source"/>
        <w:spacing w:after="120"/>
        <w:ind w:left="187" w:hanging="187"/>
      </w:pPr>
    </w:p>
    <w:p w14:paraId="1E6A11AD" w14:textId="77777777" w:rsidR="00460F5C" w:rsidRPr="00DE0BEC" w:rsidRDefault="00460F5C" w:rsidP="00460F5C">
      <w:pPr>
        <w:pStyle w:val="BodyText"/>
        <w:rPr>
          <w:sz w:val="23"/>
          <w:szCs w:val="23"/>
        </w:rPr>
      </w:pPr>
      <w:r w:rsidRPr="00DE0BEC">
        <w:t>The dependent variables to be analyzed include all survey items (or will be derived from survey items). The independent variables may come from the survey as self-reported characteristics or may have another source (such as enrollment or other administrative data). Because the survey will be fielded to patients associated with all payers, there is no single source of data that can be used for the mode analysis. ASCs and HOPDs will need to provide data from the patient record to their survey vendor (during the national implementation) or to RTI (for agencies participating in the mode experiment). We recognize the importance of minimizing facility burden, and the mode experiment will be used to reduce the amount of auxiliary data collected in the national implementation.</w:t>
      </w:r>
    </w:p>
    <w:p w14:paraId="7727E914" w14:textId="0980749E" w:rsidR="00B8238B" w:rsidRPr="00DE0BEC" w:rsidRDefault="00B8238B" w:rsidP="00B8238B">
      <w:pPr>
        <w:ind w:left="144"/>
      </w:pPr>
    </w:p>
    <w:p w14:paraId="731A5B8D" w14:textId="77777777" w:rsidR="009C1BBD" w:rsidRPr="00DE0BEC" w:rsidRDefault="009C1BBD" w:rsidP="009C1BBD">
      <w:pPr>
        <w:pStyle w:val="Heading2"/>
      </w:pPr>
      <w:bookmarkStart w:id="96" w:name="_Toc417476015"/>
      <w:r w:rsidRPr="00DE0BEC">
        <w:t>A.17</w:t>
      </w:r>
      <w:r w:rsidRPr="00DE0BEC">
        <w:tab/>
        <w:t>Exemption for Display of Expiration Date</w:t>
      </w:r>
      <w:bookmarkEnd w:id="88"/>
      <w:bookmarkEnd w:id="89"/>
      <w:bookmarkEnd w:id="90"/>
      <w:bookmarkEnd w:id="96"/>
    </w:p>
    <w:p w14:paraId="55371F74" w14:textId="77777777" w:rsidR="009C1BBD" w:rsidRPr="00075391" w:rsidRDefault="009C1BBD" w:rsidP="00092D49">
      <w:pPr>
        <w:pStyle w:val="BodyText"/>
      </w:pPr>
      <w:r w:rsidRPr="00075391">
        <w:t>CMS does not seek this exemption.</w:t>
      </w:r>
    </w:p>
    <w:p w14:paraId="3EBE84AD" w14:textId="77777777" w:rsidR="009C1BBD" w:rsidRPr="00075391" w:rsidRDefault="009C1BBD" w:rsidP="009C1BBD">
      <w:pPr>
        <w:pStyle w:val="Heading2"/>
      </w:pPr>
      <w:bookmarkStart w:id="97" w:name="_Toc162169935"/>
      <w:bookmarkStart w:id="98" w:name="_Toc245121137"/>
      <w:bookmarkStart w:id="99" w:name="_Toc401650014"/>
      <w:bookmarkStart w:id="100" w:name="_Toc417476016"/>
      <w:r w:rsidRPr="00075391">
        <w:t>A.18</w:t>
      </w:r>
      <w:r w:rsidRPr="00075391">
        <w:tab/>
        <w:t>Exceptions to Certification Statement</w:t>
      </w:r>
      <w:bookmarkEnd w:id="97"/>
      <w:bookmarkEnd w:id="98"/>
      <w:bookmarkEnd w:id="99"/>
      <w:bookmarkEnd w:id="100"/>
    </w:p>
    <w:p w14:paraId="2DF4AB07" w14:textId="77777777" w:rsidR="00495ADF" w:rsidRPr="00075391" w:rsidRDefault="009C1BBD" w:rsidP="00754D13">
      <w:pPr>
        <w:pStyle w:val="BodyText"/>
      </w:pPr>
      <w:r w:rsidRPr="00075391">
        <w:t>There are no exceptions taken to item 19 of OMB Form 83-1.</w:t>
      </w:r>
      <w:bookmarkEnd w:id="52"/>
    </w:p>
    <w:p w14:paraId="1E51FEA4" w14:textId="77777777" w:rsidR="00FC2332" w:rsidRPr="00075391" w:rsidRDefault="00FC2332" w:rsidP="00C42A71">
      <w:pPr>
        <w:pStyle w:val="Heading1"/>
      </w:pPr>
    </w:p>
    <w:sectPr w:rsidR="00FC2332" w:rsidRPr="00075391" w:rsidSect="00C42A71">
      <w:footerReference w:type="default" r:id="rId13"/>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FF3883" w14:textId="77777777" w:rsidR="0002542D" w:rsidRDefault="0002542D">
      <w:r>
        <w:separator/>
      </w:r>
    </w:p>
    <w:p w14:paraId="7C27B647" w14:textId="77777777" w:rsidR="0002542D" w:rsidRDefault="0002542D"/>
  </w:endnote>
  <w:endnote w:type="continuationSeparator" w:id="0">
    <w:p w14:paraId="0C44DCDA" w14:textId="77777777" w:rsidR="0002542D" w:rsidRDefault="0002542D">
      <w:r>
        <w:continuationSeparator/>
      </w:r>
    </w:p>
    <w:p w14:paraId="48D94DBE" w14:textId="77777777" w:rsidR="0002542D" w:rsidRDefault="000254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old">
    <w:altName w:val="Arial"/>
    <w:panose1 w:val="020B0704020202020204"/>
    <w:charset w:val="00"/>
    <w:family w:val="auto"/>
    <w:pitch w:val="variable"/>
    <w:sig w:usb0="E0002AFF" w:usb1="C0007843" w:usb2="00000009" w:usb3="00000000" w:csb0="000001FF" w:csb1="00000000"/>
  </w:font>
  <w:font w:name="Optima">
    <w:altName w:val="Times New Roman"/>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DDC95A" w14:textId="77777777" w:rsidR="0002542D" w:rsidRPr="003F042D" w:rsidRDefault="0002542D" w:rsidP="003F042D">
    <w:pPr>
      <w:pStyle w:val="Footer"/>
      <w:jc w:val="center"/>
      <w:rPr>
        <w:sz w:val="24"/>
      </w:rPr>
    </w:pPr>
    <w:r w:rsidRPr="003F042D">
      <w:rPr>
        <w:sz w:val="24"/>
      </w:rPr>
      <w:fldChar w:fldCharType="begin"/>
    </w:r>
    <w:r w:rsidRPr="003F042D">
      <w:rPr>
        <w:sz w:val="24"/>
      </w:rPr>
      <w:instrText xml:space="preserve"> PAGE   \* MERGEFORMAT </w:instrText>
    </w:r>
    <w:r w:rsidRPr="003F042D">
      <w:rPr>
        <w:sz w:val="24"/>
      </w:rPr>
      <w:fldChar w:fldCharType="separate"/>
    </w:r>
    <w:r w:rsidR="00D83427">
      <w:rPr>
        <w:noProof/>
        <w:sz w:val="24"/>
      </w:rPr>
      <w:t>14</w:t>
    </w:r>
    <w:r w:rsidRPr="003F042D">
      <w:rP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F595F8" w14:textId="77777777" w:rsidR="0002542D" w:rsidRDefault="0002542D">
      <w:r>
        <w:separator/>
      </w:r>
    </w:p>
    <w:p w14:paraId="188732F2" w14:textId="77777777" w:rsidR="0002542D" w:rsidRDefault="0002542D"/>
  </w:footnote>
  <w:footnote w:type="continuationSeparator" w:id="0">
    <w:p w14:paraId="24FB18D3" w14:textId="77777777" w:rsidR="0002542D" w:rsidRDefault="0002542D">
      <w:r>
        <w:continuationSeparator/>
      </w:r>
    </w:p>
    <w:p w14:paraId="4FF415F7" w14:textId="77777777" w:rsidR="0002542D" w:rsidRDefault="0002542D"/>
  </w:footnote>
  <w:footnote w:id="1">
    <w:p w14:paraId="5F2CDF90" w14:textId="77777777" w:rsidR="0002542D" w:rsidRPr="00D75733" w:rsidRDefault="0002542D">
      <w:pPr>
        <w:pStyle w:val="FootnoteText"/>
        <w:rPr>
          <w:rFonts w:asciiTheme="majorBidi" w:hAnsiTheme="majorBidi" w:cstheme="majorBidi"/>
          <w:szCs w:val="20"/>
        </w:rPr>
      </w:pPr>
      <w:r w:rsidRPr="00D75733">
        <w:rPr>
          <w:rStyle w:val="FootnoteReference"/>
          <w:rFonts w:asciiTheme="majorBidi" w:hAnsiTheme="majorBidi" w:cstheme="majorBidi"/>
          <w:szCs w:val="20"/>
        </w:rPr>
        <w:footnoteRef/>
      </w:r>
      <w:r w:rsidRPr="00D75733">
        <w:rPr>
          <w:rFonts w:asciiTheme="majorBidi" w:hAnsiTheme="majorBidi" w:cstheme="majorBidi"/>
          <w:szCs w:val="20"/>
        </w:rPr>
        <w:t xml:space="preserve"> Medicare Payment Advisory Commission</w:t>
      </w:r>
      <w:r>
        <w:rPr>
          <w:rFonts w:asciiTheme="majorBidi" w:hAnsiTheme="majorBidi" w:cstheme="majorBidi"/>
          <w:szCs w:val="20"/>
        </w:rPr>
        <w:t>’</w:t>
      </w:r>
      <w:r w:rsidRPr="00D75733">
        <w:rPr>
          <w:rFonts w:asciiTheme="majorBidi" w:hAnsiTheme="majorBidi" w:cstheme="majorBidi"/>
          <w:szCs w:val="20"/>
        </w:rPr>
        <w:t>s 2014 Report to Congress on Medicare Payment Policy (MedPac, 2014)</w:t>
      </w:r>
    </w:p>
  </w:footnote>
  <w:footnote w:id="2">
    <w:p w14:paraId="57898EE6" w14:textId="77777777" w:rsidR="0002542D" w:rsidRPr="00B77154" w:rsidRDefault="0002542D" w:rsidP="00B77154">
      <w:pPr>
        <w:pStyle w:val="FootnoteText"/>
      </w:pPr>
      <w:r w:rsidRPr="00D75733">
        <w:rPr>
          <w:rStyle w:val="FootnoteReference"/>
          <w:rFonts w:asciiTheme="majorBidi" w:hAnsiTheme="majorBidi" w:cstheme="majorBidi"/>
          <w:szCs w:val="20"/>
        </w:rPr>
        <w:footnoteRef/>
      </w:r>
      <w:r w:rsidRPr="00D75733">
        <w:t xml:space="preserve"> Federal Register Volume 79, Number </w:t>
      </w:r>
      <w:r>
        <w:t xml:space="preserve">217 (Monday, November 10, 2014) </w:t>
      </w:r>
      <w:hyperlink r:id="rId1" w:history="1">
        <w:r w:rsidRPr="002D1367">
          <w:rPr>
            <w:rStyle w:val="Hyperlink"/>
            <w:rFonts w:asciiTheme="majorBidi" w:hAnsiTheme="majorBidi" w:cstheme="majorBidi"/>
          </w:rPr>
          <w:t>http://www.gpo.gov/fdsys/pkg/FR-2014-11-10/html/2014-26146.htm</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1B5A8CC8"/>
    <w:lvl w:ilvl="0">
      <w:start w:val="1"/>
      <w:numFmt w:val="bullet"/>
      <w:lvlText w:val=""/>
      <w:lvlJc w:val="left"/>
      <w:pPr>
        <w:tabs>
          <w:tab w:val="num" w:pos="720"/>
        </w:tabs>
        <w:ind w:left="720" w:hanging="360"/>
      </w:pPr>
      <w:rPr>
        <w:rFonts w:ascii="Symbol" w:hAnsi="Symbol" w:hint="default"/>
      </w:rPr>
    </w:lvl>
  </w:abstractNum>
  <w:abstractNum w:abstractNumId="1">
    <w:nsid w:val="FFFFFF88"/>
    <w:multiLevelType w:val="singleLevel"/>
    <w:tmpl w:val="3844D8DC"/>
    <w:lvl w:ilvl="0">
      <w:start w:val="1"/>
      <w:numFmt w:val="decimal"/>
      <w:pStyle w:val="ListNumber"/>
      <w:lvlText w:val="%1."/>
      <w:lvlJc w:val="left"/>
      <w:pPr>
        <w:tabs>
          <w:tab w:val="num" w:pos="360"/>
        </w:tabs>
        <w:ind w:left="360" w:hanging="360"/>
      </w:pPr>
    </w:lvl>
  </w:abstractNum>
  <w:abstractNum w:abstractNumId="2">
    <w:nsid w:val="013F7DC9"/>
    <w:multiLevelType w:val="hybridMultilevel"/>
    <w:tmpl w:val="99DAD688"/>
    <w:lvl w:ilvl="0" w:tplc="FC3AF236">
      <w:start w:val="1"/>
      <w:numFmt w:val="decimal"/>
      <w:pStyle w:val="List4"/>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89C44D4"/>
    <w:multiLevelType w:val="hybridMultilevel"/>
    <w:tmpl w:val="6706BC2E"/>
    <w:lvl w:ilvl="0" w:tplc="FFFFFFFF">
      <w:start w:val="1"/>
      <w:numFmt w:val="bullet"/>
      <w:pStyle w:val="NumberBullets"/>
      <w:lvlText w:val="o"/>
      <w:lvlJc w:val="left"/>
      <w:pPr>
        <w:tabs>
          <w:tab w:val="num" w:pos="720"/>
        </w:tabs>
        <w:ind w:left="720" w:hanging="360"/>
      </w:pPr>
      <w:rPr>
        <w:rFonts w:ascii="Courier New" w:hAnsi="Courier New"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nsid w:val="1D0E5F97"/>
    <w:multiLevelType w:val="multilevel"/>
    <w:tmpl w:val="BDC6CA4E"/>
    <w:lvl w:ilvl="0">
      <w:start w:val="1"/>
      <w:numFmt w:val="decimal"/>
      <w:pStyle w:val="ListNumber2"/>
      <w:lvlText w:val="%1."/>
      <w:lvlJc w:val="left"/>
      <w:pPr>
        <w:tabs>
          <w:tab w:val="num" w:pos="1800"/>
        </w:tabs>
        <w:ind w:left="1800" w:hanging="1440"/>
      </w:pPr>
      <w:rPr>
        <w:rFonts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nsid w:val="444C5BE8"/>
    <w:multiLevelType w:val="hybridMultilevel"/>
    <w:tmpl w:val="D9D2E0E0"/>
    <w:lvl w:ilvl="0" w:tplc="7BF87E9E">
      <w:start w:val="1"/>
      <w:numFmt w:val="decimal"/>
      <w:pStyle w:val="ListNumber3"/>
      <w:lvlText w:val="%1"/>
      <w:lvlJc w:val="center"/>
      <w:pPr>
        <w:ind w:left="1296" w:hanging="360"/>
      </w:pPr>
      <w:rPr>
        <w:rFonts w:hint="default"/>
        <w:vertAlign w:val="superscrip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
    <w:nsid w:val="5B6215B0"/>
    <w:multiLevelType w:val="hybridMultilevel"/>
    <w:tmpl w:val="DCA65C38"/>
    <w:lvl w:ilvl="0" w:tplc="37541222">
      <w:numFmt w:val="bullet"/>
      <w:pStyle w:val="ListBullet2"/>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0F43E68"/>
    <w:multiLevelType w:val="hybridMultilevel"/>
    <w:tmpl w:val="E2AA3702"/>
    <w:lvl w:ilvl="0" w:tplc="FFFFFFFF">
      <w:start w:val="1"/>
      <w:numFmt w:val="bullet"/>
      <w:pStyle w:val="BalloonText"/>
      <w:lvlText w:val=""/>
      <w:lvlJc w:val="left"/>
      <w:pPr>
        <w:tabs>
          <w:tab w:val="num" w:pos="720"/>
        </w:tabs>
        <w:ind w:left="720" w:hanging="360"/>
      </w:pPr>
      <w:rPr>
        <w:rFonts w:ascii="Wingdings" w:hAnsi="Wingdings"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nsid w:val="632D7F93"/>
    <w:multiLevelType w:val="hybridMultilevel"/>
    <w:tmpl w:val="1034085A"/>
    <w:lvl w:ilvl="0" w:tplc="8620E996">
      <w:start w:val="1"/>
      <w:numFmt w:val="bullet"/>
      <w:lvlText w:val="•"/>
      <w:lvlJc w:val="left"/>
      <w:pPr>
        <w:ind w:left="1440" w:hanging="360"/>
      </w:pPr>
      <w:rPr>
        <w:rFonts w:ascii="Arial" w:hAnsi="Arial" w:hint="default"/>
      </w:rPr>
    </w:lvl>
    <w:lvl w:ilvl="1" w:tplc="DE2E0BFC">
      <w:start w:val="1"/>
      <w:numFmt w:val="bullet"/>
      <w:pStyle w:val="ListBullet"/>
      <w:lvlText w:val="•"/>
      <w:lvlJc w:val="left"/>
      <w:pPr>
        <w:ind w:left="1440" w:hanging="360"/>
      </w:pPr>
      <w:rPr>
        <w:rFonts w:ascii="Arial" w:hAnsi="Arial"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8615BC"/>
    <w:multiLevelType w:val="hybridMultilevel"/>
    <w:tmpl w:val="F1700636"/>
    <w:lvl w:ilvl="0" w:tplc="0409000F">
      <w:start w:val="1"/>
      <w:numFmt w:val="decimal"/>
      <w:lvlText w:val="%1."/>
      <w:lvlJc w:val="left"/>
      <w:pPr>
        <w:ind w:left="1440" w:hanging="72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7"/>
  </w:num>
  <w:num w:numId="3">
    <w:abstractNumId w:val="8"/>
  </w:num>
  <w:num w:numId="4">
    <w:abstractNumId w:val="6"/>
  </w:num>
  <w:num w:numId="5">
    <w:abstractNumId w:val="4"/>
  </w:num>
  <w:num w:numId="6">
    <w:abstractNumId w:val="5"/>
  </w:num>
  <w:num w:numId="7">
    <w:abstractNumId w:val="5"/>
    <w:lvlOverride w:ilvl="0">
      <w:startOverride w:val="1"/>
    </w:lvlOverride>
  </w:num>
  <w:num w:numId="8">
    <w:abstractNumId w:val="5"/>
    <w:lvlOverride w:ilvl="0">
      <w:startOverride w:val="1"/>
    </w:lvlOverride>
  </w:num>
  <w:num w:numId="9">
    <w:abstractNumId w:val="5"/>
    <w:lvlOverride w:ilvl="0">
      <w:startOverride w:val="1"/>
    </w:lvlOverride>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5"/>
    <w:lvlOverride w:ilvl="0">
      <w:startOverride w:val="1"/>
    </w:lvlOverride>
  </w:num>
  <w:num w:numId="15">
    <w:abstractNumId w:val="5"/>
    <w:lvlOverride w:ilvl="0">
      <w:startOverride w:val="1"/>
    </w:lvlOverride>
  </w:num>
  <w:num w:numId="16">
    <w:abstractNumId w:val="5"/>
    <w:lvlOverride w:ilvl="0">
      <w:startOverride w:val="1"/>
    </w:lvlOverride>
  </w:num>
  <w:num w:numId="17">
    <w:abstractNumId w:val="5"/>
    <w:lvlOverride w:ilvl="0">
      <w:startOverride w:val="1"/>
    </w:lvlOverride>
  </w:num>
  <w:num w:numId="18">
    <w:abstractNumId w:val="5"/>
    <w:lvlOverride w:ilvl="0">
      <w:startOverride w:val="1"/>
    </w:lvlOverride>
  </w:num>
  <w:num w:numId="19">
    <w:abstractNumId w:val="5"/>
    <w:lvlOverride w:ilvl="0">
      <w:startOverride w:val="1"/>
    </w:lvlOverride>
  </w:num>
  <w:num w:numId="20">
    <w:abstractNumId w:val="5"/>
    <w:lvlOverride w:ilvl="0">
      <w:startOverride w:val="1"/>
    </w:lvlOverride>
  </w:num>
  <w:num w:numId="21">
    <w:abstractNumId w:val="5"/>
    <w:lvlOverride w:ilvl="0">
      <w:startOverride w:val="1"/>
    </w:lvlOverride>
  </w:num>
  <w:num w:numId="22">
    <w:abstractNumId w:val="5"/>
    <w:lvlOverride w:ilvl="0">
      <w:startOverride w:val="1"/>
    </w:lvlOverride>
  </w:num>
  <w:num w:numId="23">
    <w:abstractNumId w:val="5"/>
    <w:lvlOverride w:ilvl="0">
      <w:startOverride w:val="1"/>
    </w:lvlOverride>
  </w:num>
  <w:num w:numId="24">
    <w:abstractNumId w:val="5"/>
    <w:lvlOverride w:ilvl="0">
      <w:startOverride w:val="1"/>
    </w:lvlOverride>
  </w:num>
  <w:num w:numId="25">
    <w:abstractNumId w:val="5"/>
    <w:lvlOverride w:ilvl="0">
      <w:startOverride w:val="1"/>
    </w:lvlOverride>
  </w:num>
  <w:num w:numId="26">
    <w:abstractNumId w:val="5"/>
    <w:lvlOverride w:ilvl="0">
      <w:startOverride w:val="1"/>
    </w:lvlOverride>
  </w:num>
  <w:num w:numId="27">
    <w:abstractNumId w:val="5"/>
    <w:lvlOverride w:ilvl="0">
      <w:startOverride w:val="1"/>
    </w:lvlOverride>
  </w:num>
  <w:num w:numId="28">
    <w:abstractNumId w:val="5"/>
    <w:lvlOverride w:ilvl="0">
      <w:startOverride w:val="1"/>
    </w:lvlOverride>
  </w:num>
  <w:num w:numId="29">
    <w:abstractNumId w:val="5"/>
    <w:lvlOverride w:ilvl="0">
      <w:startOverride w:val="1"/>
    </w:lvlOverride>
  </w:num>
  <w:num w:numId="30">
    <w:abstractNumId w:val="5"/>
    <w:lvlOverride w:ilvl="0">
      <w:startOverride w:val="1"/>
    </w:lvlOverride>
  </w:num>
  <w:num w:numId="31">
    <w:abstractNumId w:val="5"/>
    <w:lvlOverride w:ilvl="0">
      <w:startOverride w:val="1"/>
    </w:lvlOverride>
  </w:num>
  <w:num w:numId="32">
    <w:abstractNumId w:val="5"/>
    <w:lvlOverride w:ilvl="0">
      <w:startOverride w:val="1"/>
    </w:lvlOverride>
  </w:num>
  <w:num w:numId="33">
    <w:abstractNumId w:val="5"/>
    <w:lvlOverride w:ilvl="0">
      <w:startOverride w:val="1"/>
    </w:lvlOverride>
  </w:num>
  <w:num w:numId="34">
    <w:abstractNumId w:val="5"/>
    <w:lvlOverride w:ilvl="0">
      <w:startOverride w:val="1"/>
    </w:lvlOverride>
  </w:num>
  <w:num w:numId="35">
    <w:abstractNumId w:val="5"/>
    <w:lvlOverride w:ilvl="0">
      <w:startOverride w:val="1"/>
    </w:lvlOverride>
  </w:num>
  <w:num w:numId="36">
    <w:abstractNumId w:val="5"/>
    <w:lvlOverride w:ilvl="0">
      <w:startOverride w:val="1"/>
    </w:lvlOverride>
  </w:num>
  <w:num w:numId="37">
    <w:abstractNumId w:val="5"/>
    <w:lvlOverride w:ilvl="0">
      <w:startOverride w:val="1"/>
    </w:lvlOverride>
  </w:num>
  <w:num w:numId="38">
    <w:abstractNumId w:val="5"/>
    <w:lvlOverride w:ilvl="0">
      <w:startOverride w:val="1"/>
    </w:lvlOverride>
  </w:num>
  <w:num w:numId="39">
    <w:abstractNumId w:val="5"/>
    <w:lvlOverride w:ilvl="0">
      <w:startOverride w:val="1"/>
    </w:lvlOverride>
  </w:num>
  <w:num w:numId="40">
    <w:abstractNumId w:val="5"/>
    <w:lvlOverride w:ilvl="0">
      <w:startOverride w:val="1"/>
    </w:lvlOverride>
  </w:num>
  <w:num w:numId="41">
    <w:abstractNumId w:val="5"/>
    <w:lvlOverride w:ilvl="0">
      <w:startOverride w:val="1"/>
    </w:lvlOverride>
  </w:num>
  <w:num w:numId="42">
    <w:abstractNumId w:val="5"/>
    <w:lvlOverride w:ilvl="0">
      <w:startOverride w:val="1"/>
    </w:lvlOverride>
  </w:num>
  <w:num w:numId="43">
    <w:abstractNumId w:val="2"/>
    <w:lvlOverride w:ilvl="0">
      <w:startOverride w:val="1"/>
    </w:lvlOverride>
  </w:num>
  <w:num w:numId="44">
    <w:abstractNumId w:val="2"/>
  </w:num>
  <w:num w:numId="45">
    <w:abstractNumId w:val="1"/>
  </w:num>
  <w:num w:numId="46">
    <w:abstractNumId w:val="9"/>
  </w:num>
  <w:num w:numId="47">
    <w:abstractNumId w:val="0"/>
  </w:num>
  <w:num w:numId="48">
    <w:abstractNumId w:val="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embedSystemFonts/>
  <w:activeWritingStyle w:appName="MSWord" w:lang="en-US" w:vendorID="64" w:dllVersion="6" w:nlCheck="1" w:checkStyle="1"/>
  <w:activeWritingStyle w:appName="MSWord" w:lang="en-CA" w:vendorID="64" w:dllVersion="6" w:nlCheck="1" w:checkStyle="1"/>
  <w:activeWritingStyle w:appName="MSWord" w:lang="es-ES" w:vendorID="64" w:dllVersion="6" w:nlCheck="1" w:checkStyle="1"/>
  <w:activeWritingStyle w:appName="MSWord" w:lang="en-US" w:vendorID="64" w:dllVersion="0" w:nlCheck="1" w:checkStyle="0"/>
  <w:activeWritingStyle w:appName="MSWord" w:lang="en-US" w:vendorID="64" w:dllVersion="131078" w:nlCheck="1" w:checkStyle="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NotTrackFormatting/>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64F"/>
    <w:rsid w:val="00006CA0"/>
    <w:rsid w:val="00006FC9"/>
    <w:rsid w:val="00010285"/>
    <w:rsid w:val="00016E5D"/>
    <w:rsid w:val="0001715E"/>
    <w:rsid w:val="00021B81"/>
    <w:rsid w:val="0002542D"/>
    <w:rsid w:val="00025DAF"/>
    <w:rsid w:val="0002763C"/>
    <w:rsid w:val="0003548E"/>
    <w:rsid w:val="00042F41"/>
    <w:rsid w:val="00044578"/>
    <w:rsid w:val="000500EF"/>
    <w:rsid w:val="00051123"/>
    <w:rsid w:val="00053D33"/>
    <w:rsid w:val="00055BD4"/>
    <w:rsid w:val="00056850"/>
    <w:rsid w:val="00057D10"/>
    <w:rsid w:val="0006128E"/>
    <w:rsid w:val="000676A6"/>
    <w:rsid w:val="00071B03"/>
    <w:rsid w:val="00072C63"/>
    <w:rsid w:val="00074625"/>
    <w:rsid w:val="00075391"/>
    <w:rsid w:val="00076442"/>
    <w:rsid w:val="00080858"/>
    <w:rsid w:val="000869CE"/>
    <w:rsid w:val="00092D49"/>
    <w:rsid w:val="00095B10"/>
    <w:rsid w:val="000965F4"/>
    <w:rsid w:val="000A1BC4"/>
    <w:rsid w:val="000A3D71"/>
    <w:rsid w:val="000A609C"/>
    <w:rsid w:val="000B19FD"/>
    <w:rsid w:val="000B2ABB"/>
    <w:rsid w:val="000B5B19"/>
    <w:rsid w:val="000C0BF4"/>
    <w:rsid w:val="000C2CE8"/>
    <w:rsid w:val="000C2D05"/>
    <w:rsid w:val="000C542E"/>
    <w:rsid w:val="000E395A"/>
    <w:rsid w:val="000E6546"/>
    <w:rsid w:val="000F3D28"/>
    <w:rsid w:val="00112C2B"/>
    <w:rsid w:val="0011387B"/>
    <w:rsid w:val="00113B0B"/>
    <w:rsid w:val="0011486A"/>
    <w:rsid w:val="0011702B"/>
    <w:rsid w:val="001236EE"/>
    <w:rsid w:val="00127F34"/>
    <w:rsid w:val="001302E1"/>
    <w:rsid w:val="0014059C"/>
    <w:rsid w:val="001451DD"/>
    <w:rsid w:val="00150337"/>
    <w:rsid w:val="00151395"/>
    <w:rsid w:val="001521D7"/>
    <w:rsid w:val="00152DFC"/>
    <w:rsid w:val="00154FC0"/>
    <w:rsid w:val="00155573"/>
    <w:rsid w:val="00155975"/>
    <w:rsid w:val="00162AED"/>
    <w:rsid w:val="00162E9D"/>
    <w:rsid w:val="00166084"/>
    <w:rsid w:val="0017124A"/>
    <w:rsid w:val="00171303"/>
    <w:rsid w:val="00171C12"/>
    <w:rsid w:val="00173D90"/>
    <w:rsid w:val="00175EE3"/>
    <w:rsid w:val="0018009F"/>
    <w:rsid w:val="00180162"/>
    <w:rsid w:val="00182ED7"/>
    <w:rsid w:val="001832DE"/>
    <w:rsid w:val="0018563E"/>
    <w:rsid w:val="00190193"/>
    <w:rsid w:val="00190475"/>
    <w:rsid w:val="00194633"/>
    <w:rsid w:val="00194A21"/>
    <w:rsid w:val="00196926"/>
    <w:rsid w:val="001A15B5"/>
    <w:rsid w:val="001A1A89"/>
    <w:rsid w:val="001A31DE"/>
    <w:rsid w:val="001A4EA5"/>
    <w:rsid w:val="001A7263"/>
    <w:rsid w:val="001B0AFC"/>
    <w:rsid w:val="001B2F93"/>
    <w:rsid w:val="001B6122"/>
    <w:rsid w:val="001B78C1"/>
    <w:rsid w:val="001C08C8"/>
    <w:rsid w:val="001C4E6E"/>
    <w:rsid w:val="001C6E2B"/>
    <w:rsid w:val="001D33C9"/>
    <w:rsid w:val="001D3F98"/>
    <w:rsid w:val="001D5EC8"/>
    <w:rsid w:val="001E2C0E"/>
    <w:rsid w:val="001E3365"/>
    <w:rsid w:val="001E63EF"/>
    <w:rsid w:val="001E736B"/>
    <w:rsid w:val="001F127E"/>
    <w:rsid w:val="001F589E"/>
    <w:rsid w:val="002015BA"/>
    <w:rsid w:val="002037BC"/>
    <w:rsid w:val="00207E8F"/>
    <w:rsid w:val="00213567"/>
    <w:rsid w:val="002179E0"/>
    <w:rsid w:val="00221D72"/>
    <w:rsid w:val="00223327"/>
    <w:rsid w:val="002234BC"/>
    <w:rsid w:val="00223CDD"/>
    <w:rsid w:val="002319E0"/>
    <w:rsid w:val="00236BC0"/>
    <w:rsid w:val="00237321"/>
    <w:rsid w:val="0024016D"/>
    <w:rsid w:val="00242D2C"/>
    <w:rsid w:val="00246CCD"/>
    <w:rsid w:val="0025209F"/>
    <w:rsid w:val="002617DC"/>
    <w:rsid w:val="002677ED"/>
    <w:rsid w:val="00274C42"/>
    <w:rsid w:val="002754E7"/>
    <w:rsid w:val="002772A2"/>
    <w:rsid w:val="00291115"/>
    <w:rsid w:val="002915F7"/>
    <w:rsid w:val="0029307A"/>
    <w:rsid w:val="002955BA"/>
    <w:rsid w:val="002972D0"/>
    <w:rsid w:val="002A064F"/>
    <w:rsid w:val="002A1235"/>
    <w:rsid w:val="002A38E7"/>
    <w:rsid w:val="002A7FD2"/>
    <w:rsid w:val="002B0870"/>
    <w:rsid w:val="002B35BE"/>
    <w:rsid w:val="002B41CE"/>
    <w:rsid w:val="002C3412"/>
    <w:rsid w:val="002C60A4"/>
    <w:rsid w:val="002C78C3"/>
    <w:rsid w:val="002E39B8"/>
    <w:rsid w:val="002E7934"/>
    <w:rsid w:val="002F13DB"/>
    <w:rsid w:val="002F3B3B"/>
    <w:rsid w:val="002F48EC"/>
    <w:rsid w:val="002F59FF"/>
    <w:rsid w:val="002F6523"/>
    <w:rsid w:val="00302FC2"/>
    <w:rsid w:val="0030321C"/>
    <w:rsid w:val="00304F96"/>
    <w:rsid w:val="00305152"/>
    <w:rsid w:val="00305805"/>
    <w:rsid w:val="003111D3"/>
    <w:rsid w:val="003148C7"/>
    <w:rsid w:val="003226FF"/>
    <w:rsid w:val="00325DAC"/>
    <w:rsid w:val="003270D3"/>
    <w:rsid w:val="00327FF0"/>
    <w:rsid w:val="00331E3B"/>
    <w:rsid w:val="00334B7A"/>
    <w:rsid w:val="003378A5"/>
    <w:rsid w:val="00342069"/>
    <w:rsid w:val="00343192"/>
    <w:rsid w:val="00347889"/>
    <w:rsid w:val="00347E9A"/>
    <w:rsid w:val="00347EBC"/>
    <w:rsid w:val="003506F4"/>
    <w:rsid w:val="00353D07"/>
    <w:rsid w:val="003540A9"/>
    <w:rsid w:val="00354255"/>
    <w:rsid w:val="00354793"/>
    <w:rsid w:val="00354AD2"/>
    <w:rsid w:val="00357746"/>
    <w:rsid w:val="00357AF0"/>
    <w:rsid w:val="0037320E"/>
    <w:rsid w:val="00377423"/>
    <w:rsid w:val="003A59FA"/>
    <w:rsid w:val="003B17AE"/>
    <w:rsid w:val="003B4C9B"/>
    <w:rsid w:val="003D47A3"/>
    <w:rsid w:val="003D5F0F"/>
    <w:rsid w:val="003D6EC3"/>
    <w:rsid w:val="003E0A59"/>
    <w:rsid w:val="003E229E"/>
    <w:rsid w:val="003E3713"/>
    <w:rsid w:val="003E3BFC"/>
    <w:rsid w:val="003E5576"/>
    <w:rsid w:val="003F02AD"/>
    <w:rsid w:val="003F042D"/>
    <w:rsid w:val="003F0B58"/>
    <w:rsid w:val="003F33B6"/>
    <w:rsid w:val="00400488"/>
    <w:rsid w:val="00402BAD"/>
    <w:rsid w:val="004059D1"/>
    <w:rsid w:val="004065AA"/>
    <w:rsid w:val="004117B8"/>
    <w:rsid w:val="0041691A"/>
    <w:rsid w:val="00417F3B"/>
    <w:rsid w:val="00423334"/>
    <w:rsid w:val="00427554"/>
    <w:rsid w:val="004304D4"/>
    <w:rsid w:val="00430D16"/>
    <w:rsid w:val="004316FE"/>
    <w:rsid w:val="00434BC5"/>
    <w:rsid w:val="00434DFE"/>
    <w:rsid w:val="00437F24"/>
    <w:rsid w:val="004461C6"/>
    <w:rsid w:val="004512E3"/>
    <w:rsid w:val="00451757"/>
    <w:rsid w:val="00453377"/>
    <w:rsid w:val="0045406A"/>
    <w:rsid w:val="00460F5C"/>
    <w:rsid w:val="00461E21"/>
    <w:rsid w:val="00463AEE"/>
    <w:rsid w:val="00463DD1"/>
    <w:rsid w:val="00465CFC"/>
    <w:rsid w:val="00466CA9"/>
    <w:rsid w:val="0047358D"/>
    <w:rsid w:val="00475CDB"/>
    <w:rsid w:val="00475E78"/>
    <w:rsid w:val="0047674A"/>
    <w:rsid w:val="0048226A"/>
    <w:rsid w:val="004863EA"/>
    <w:rsid w:val="004920B6"/>
    <w:rsid w:val="00492F67"/>
    <w:rsid w:val="00493F42"/>
    <w:rsid w:val="00495ADF"/>
    <w:rsid w:val="004974D0"/>
    <w:rsid w:val="004A2778"/>
    <w:rsid w:val="004B10BA"/>
    <w:rsid w:val="004B3E35"/>
    <w:rsid w:val="004C0743"/>
    <w:rsid w:val="004C0E0E"/>
    <w:rsid w:val="004C439D"/>
    <w:rsid w:val="004C56A3"/>
    <w:rsid w:val="004D0161"/>
    <w:rsid w:val="004D3C37"/>
    <w:rsid w:val="004D4DF4"/>
    <w:rsid w:val="004E0E8D"/>
    <w:rsid w:val="004E168B"/>
    <w:rsid w:val="004E2C85"/>
    <w:rsid w:val="004E330F"/>
    <w:rsid w:val="004E4DEA"/>
    <w:rsid w:val="004F167F"/>
    <w:rsid w:val="004F1B0A"/>
    <w:rsid w:val="00500451"/>
    <w:rsid w:val="0050115D"/>
    <w:rsid w:val="0050498E"/>
    <w:rsid w:val="00504DCF"/>
    <w:rsid w:val="00505D17"/>
    <w:rsid w:val="00511375"/>
    <w:rsid w:val="00512F04"/>
    <w:rsid w:val="0051363B"/>
    <w:rsid w:val="00513E02"/>
    <w:rsid w:val="0051577F"/>
    <w:rsid w:val="00516D68"/>
    <w:rsid w:val="00517264"/>
    <w:rsid w:val="00520C60"/>
    <w:rsid w:val="005217EF"/>
    <w:rsid w:val="005222D1"/>
    <w:rsid w:val="00531587"/>
    <w:rsid w:val="00534DAB"/>
    <w:rsid w:val="00535743"/>
    <w:rsid w:val="005375D0"/>
    <w:rsid w:val="00541CA2"/>
    <w:rsid w:val="005453DD"/>
    <w:rsid w:val="00546209"/>
    <w:rsid w:val="00547165"/>
    <w:rsid w:val="00551F4D"/>
    <w:rsid w:val="005553B4"/>
    <w:rsid w:val="00557316"/>
    <w:rsid w:val="00557329"/>
    <w:rsid w:val="0055752E"/>
    <w:rsid w:val="005749DD"/>
    <w:rsid w:val="0057522C"/>
    <w:rsid w:val="0057707D"/>
    <w:rsid w:val="0058360B"/>
    <w:rsid w:val="005909A3"/>
    <w:rsid w:val="00590C43"/>
    <w:rsid w:val="00595CA6"/>
    <w:rsid w:val="005A7426"/>
    <w:rsid w:val="005A7F97"/>
    <w:rsid w:val="005B21C5"/>
    <w:rsid w:val="005B26D5"/>
    <w:rsid w:val="005B28FA"/>
    <w:rsid w:val="005B4154"/>
    <w:rsid w:val="005C255F"/>
    <w:rsid w:val="005C680F"/>
    <w:rsid w:val="005D3319"/>
    <w:rsid w:val="005E1462"/>
    <w:rsid w:val="005E217C"/>
    <w:rsid w:val="005E62F2"/>
    <w:rsid w:val="005F3E92"/>
    <w:rsid w:val="005F470C"/>
    <w:rsid w:val="005F5302"/>
    <w:rsid w:val="005F705C"/>
    <w:rsid w:val="0060215F"/>
    <w:rsid w:val="006040A6"/>
    <w:rsid w:val="006048A8"/>
    <w:rsid w:val="00605B8B"/>
    <w:rsid w:val="00611DB3"/>
    <w:rsid w:val="00613A18"/>
    <w:rsid w:val="0061735D"/>
    <w:rsid w:val="00622A6F"/>
    <w:rsid w:val="00626811"/>
    <w:rsid w:val="006269EB"/>
    <w:rsid w:val="00626DBA"/>
    <w:rsid w:val="00632AAE"/>
    <w:rsid w:val="00635CB0"/>
    <w:rsid w:val="006423F5"/>
    <w:rsid w:val="00643F1E"/>
    <w:rsid w:val="006477B7"/>
    <w:rsid w:val="00652B9C"/>
    <w:rsid w:val="00657935"/>
    <w:rsid w:val="0065799B"/>
    <w:rsid w:val="00662BD9"/>
    <w:rsid w:val="00663D09"/>
    <w:rsid w:val="006713F3"/>
    <w:rsid w:val="00672C7D"/>
    <w:rsid w:val="006763FF"/>
    <w:rsid w:val="006A10BF"/>
    <w:rsid w:val="006A2387"/>
    <w:rsid w:val="006A513B"/>
    <w:rsid w:val="006A604F"/>
    <w:rsid w:val="006A781F"/>
    <w:rsid w:val="006B14CF"/>
    <w:rsid w:val="006B32AA"/>
    <w:rsid w:val="006B3CB0"/>
    <w:rsid w:val="006B4196"/>
    <w:rsid w:val="006B4955"/>
    <w:rsid w:val="006B70D5"/>
    <w:rsid w:val="006B78A1"/>
    <w:rsid w:val="006D324F"/>
    <w:rsid w:val="006D3678"/>
    <w:rsid w:val="006D4600"/>
    <w:rsid w:val="006D56A3"/>
    <w:rsid w:val="006E2440"/>
    <w:rsid w:val="006E5049"/>
    <w:rsid w:val="006E73E4"/>
    <w:rsid w:val="007017F2"/>
    <w:rsid w:val="00704B9A"/>
    <w:rsid w:val="00706653"/>
    <w:rsid w:val="00707527"/>
    <w:rsid w:val="00707F96"/>
    <w:rsid w:val="00712259"/>
    <w:rsid w:val="0071443E"/>
    <w:rsid w:val="00717571"/>
    <w:rsid w:val="00720E5F"/>
    <w:rsid w:val="00722078"/>
    <w:rsid w:val="00722F1C"/>
    <w:rsid w:val="00726255"/>
    <w:rsid w:val="0072662E"/>
    <w:rsid w:val="00727DE0"/>
    <w:rsid w:val="00734791"/>
    <w:rsid w:val="00734C16"/>
    <w:rsid w:val="00736695"/>
    <w:rsid w:val="00737857"/>
    <w:rsid w:val="00740ED4"/>
    <w:rsid w:val="00744F8D"/>
    <w:rsid w:val="00747F72"/>
    <w:rsid w:val="0075065F"/>
    <w:rsid w:val="0075331E"/>
    <w:rsid w:val="00754D13"/>
    <w:rsid w:val="00755297"/>
    <w:rsid w:val="00761A9C"/>
    <w:rsid w:val="00761EDD"/>
    <w:rsid w:val="0076448A"/>
    <w:rsid w:val="00764529"/>
    <w:rsid w:val="00765D06"/>
    <w:rsid w:val="00773689"/>
    <w:rsid w:val="00775802"/>
    <w:rsid w:val="00782650"/>
    <w:rsid w:val="007826F7"/>
    <w:rsid w:val="007838EC"/>
    <w:rsid w:val="00784C7E"/>
    <w:rsid w:val="00786C85"/>
    <w:rsid w:val="007878B4"/>
    <w:rsid w:val="00787938"/>
    <w:rsid w:val="00787D03"/>
    <w:rsid w:val="007931B4"/>
    <w:rsid w:val="007A2334"/>
    <w:rsid w:val="007A3AE0"/>
    <w:rsid w:val="007A50EF"/>
    <w:rsid w:val="007B18BA"/>
    <w:rsid w:val="007B5258"/>
    <w:rsid w:val="007C3C05"/>
    <w:rsid w:val="007C47F1"/>
    <w:rsid w:val="007C4A4E"/>
    <w:rsid w:val="007C53BF"/>
    <w:rsid w:val="007C5DCF"/>
    <w:rsid w:val="007C5F55"/>
    <w:rsid w:val="007C677B"/>
    <w:rsid w:val="007C7074"/>
    <w:rsid w:val="007D3125"/>
    <w:rsid w:val="007D6780"/>
    <w:rsid w:val="007E15BB"/>
    <w:rsid w:val="007E16F1"/>
    <w:rsid w:val="007E3087"/>
    <w:rsid w:val="007E4A5C"/>
    <w:rsid w:val="007E6753"/>
    <w:rsid w:val="007F1C7F"/>
    <w:rsid w:val="007F293F"/>
    <w:rsid w:val="007F41C1"/>
    <w:rsid w:val="007F505C"/>
    <w:rsid w:val="007F50C9"/>
    <w:rsid w:val="007F576C"/>
    <w:rsid w:val="007F7D99"/>
    <w:rsid w:val="00800012"/>
    <w:rsid w:val="00804E98"/>
    <w:rsid w:val="00804EBE"/>
    <w:rsid w:val="00805B9C"/>
    <w:rsid w:val="00807E0E"/>
    <w:rsid w:val="00810192"/>
    <w:rsid w:val="0081656F"/>
    <w:rsid w:val="00821031"/>
    <w:rsid w:val="008213C4"/>
    <w:rsid w:val="00823513"/>
    <w:rsid w:val="008241F7"/>
    <w:rsid w:val="00826E4A"/>
    <w:rsid w:val="00832BA3"/>
    <w:rsid w:val="008357CC"/>
    <w:rsid w:val="00837808"/>
    <w:rsid w:val="0084026E"/>
    <w:rsid w:val="008423C2"/>
    <w:rsid w:val="00844218"/>
    <w:rsid w:val="00847929"/>
    <w:rsid w:val="00856CF5"/>
    <w:rsid w:val="0085784D"/>
    <w:rsid w:val="0086043F"/>
    <w:rsid w:val="00870307"/>
    <w:rsid w:val="0087417D"/>
    <w:rsid w:val="008807B7"/>
    <w:rsid w:val="008808FA"/>
    <w:rsid w:val="008815DF"/>
    <w:rsid w:val="00886293"/>
    <w:rsid w:val="0089760A"/>
    <w:rsid w:val="008A0231"/>
    <w:rsid w:val="008A08DD"/>
    <w:rsid w:val="008A0A0F"/>
    <w:rsid w:val="008A3CF6"/>
    <w:rsid w:val="008A4C91"/>
    <w:rsid w:val="008B3BC8"/>
    <w:rsid w:val="008B61A1"/>
    <w:rsid w:val="008B7283"/>
    <w:rsid w:val="008B79CD"/>
    <w:rsid w:val="008C3ADA"/>
    <w:rsid w:val="008C3FC1"/>
    <w:rsid w:val="008D0635"/>
    <w:rsid w:val="008D1165"/>
    <w:rsid w:val="008D4138"/>
    <w:rsid w:val="008D43BE"/>
    <w:rsid w:val="008D4A8E"/>
    <w:rsid w:val="008E0EF2"/>
    <w:rsid w:val="008E316F"/>
    <w:rsid w:val="008E4C60"/>
    <w:rsid w:val="008E530C"/>
    <w:rsid w:val="008E7D6E"/>
    <w:rsid w:val="008F3459"/>
    <w:rsid w:val="008F5037"/>
    <w:rsid w:val="008F55FE"/>
    <w:rsid w:val="00900586"/>
    <w:rsid w:val="0090477E"/>
    <w:rsid w:val="00906F6F"/>
    <w:rsid w:val="00914B20"/>
    <w:rsid w:val="00916420"/>
    <w:rsid w:val="009164CC"/>
    <w:rsid w:val="0092164B"/>
    <w:rsid w:val="00924407"/>
    <w:rsid w:val="00926D45"/>
    <w:rsid w:val="00932612"/>
    <w:rsid w:val="00932B36"/>
    <w:rsid w:val="00933DE8"/>
    <w:rsid w:val="00934AC2"/>
    <w:rsid w:val="00937302"/>
    <w:rsid w:val="00944BB4"/>
    <w:rsid w:val="009455BD"/>
    <w:rsid w:val="00945645"/>
    <w:rsid w:val="00946D72"/>
    <w:rsid w:val="00947647"/>
    <w:rsid w:val="00947A84"/>
    <w:rsid w:val="0095474A"/>
    <w:rsid w:val="0096033B"/>
    <w:rsid w:val="00970DCE"/>
    <w:rsid w:val="009752B7"/>
    <w:rsid w:val="00975B68"/>
    <w:rsid w:val="00976655"/>
    <w:rsid w:val="00981374"/>
    <w:rsid w:val="0098419D"/>
    <w:rsid w:val="009875AE"/>
    <w:rsid w:val="00996A1E"/>
    <w:rsid w:val="00997A45"/>
    <w:rsid w:val="00997B58"/>
    <w:rsid w:val="00997C07"/>
    <w:rsid w:val="009A230F"/>
    <w:rsid w:val="009A239D"/>
    <w:rsid w:val="009A3A63"/>
    <w:rsid w:val="009A41A4"/>
    <w:rsid w:val="009A5D09"/>
    <w:rsid w:val="009A703B"/>
    <w:rsid w:val="009A7DB5"/>
    <w:rsid w:val="009B66BB"/>
    <w:rsid w:val="009C0E53"/>
    <w:rsid w:val="009C1BBD"/>
    <w:rsid w:val="009C6EA2"/>
    <w:rsid w:val="009C7F50"/>
    <w:rsid w:val="009D0E6A"/>
    <w:rsid w:val="009E0FB3"/>
    <w:rsid w:val="009E32EA"/>
    <w:rsid w:val="009E4DC5"/>
    <w:rsid w:val="009F07E2"/>
    <w:rsid w:val="009F1792"/>
    <w:rsid w:val="009F448A"/>
    <w:rsid w:val="009F6C56"/>
    <w:rsid w:val="00A00226"/>
    <w:rsid w:val="00A00CAE"/>
    <w:rsid w:val="00A07BDA"/>
    <w:rsid w:val="00A14087"/>
    <w:rsid w:val="00A1441B"/>
    <w:rsid w:val="00A15F7A"/>
    <w:rsid w:val="00A234D4"/>
    <w:rsid w:val="00A24170"/>
    <w:rsid w:val="00A301BB"/>
    <w:rsid w:val="00A32B08"/>
    <w:rsid w:val="00A3675F"/>
    <w:rsid w:val="00A40208"/>
    <w:rsid w:val="00A45B43"/>
    <w:rsid w:val="00A51000"/>
    <w:rsid w:val="00A531F7"/>
    <w:rsid w:val="00A53954"/>
    <w:rsid w:val="00A5663E"/>
    <w:rsid w:val="00A61241"/>
    <w:rsid w:val="00A65419"/>
    <w:rsid w:val="00A731A0"/>
    <w:rsid w:val="00A861AA"/>
    <w:rsid w:val="00A86AB6"/>
    <w:rsid w:val="00A903DF"/>
    <w:rsid w:val="00A935D1"/>
    <w:rsid w:val="00A95E62"/>
    <w:rsid w:val="00A978E7"/>
    <w:rsid w:val="00AA295A"/>
    <w:rsid w:val="00AA48E8"/>
    <w:rsid w:val="00AA573E"/>
    <w:rsid w:val="00AA5801"/>
    <w:rsid w:val="00AB26EE"/>
    <w:rsid w:val="00AB6D73"/>
    <w:rsid w:val="00AC6ACE"/>
    <w:rsid w:val="00AC75C8"/>
    <w:rsid w:val="00AE364B"/>
    <w:rsid w:val="00AE5483"/>
    <w:rsid w:val="00AE6202"/>
    <w:rsid w:val="00AF376C"/>
    <w:rsid w:val="00B00406"/>
    <w:rsid w:val="00B0762D"/>
    <w:rsid w:val="00B14DA8"/>
    <w:rsid w:val="00B20569"/>
    <w:rsid w:val="00B22CF5"/>
    <w:rsid w:val="00B231F5"/>
    <w:rsid w:val="00B234E3"/>
    <w:rsid w:val="00B26EC9"/>
    <w:rsid w:val="00B276BE"/>
    <w:rsid w:val="00B37A70"/>
    <w:rsid w:val="00B40D4F"/>
    <w:rsid w:val="00B4108D"/>
    <w:rsid w:val="00B41820"/>
    <w:rsid w:val="00B432D0"/>
    <w:rsid w:val="00B4410E"/>
    <w:rsid w:val="00B450D6"/>
    <w:rsid w:val="00B53E72"/>
    <w:rsid w:val="00B71A43"/>
    <w:rsid w:val="00B76002"/>
    <w:rsid w:val="00B77154"/>
    <w:rsid w:val="00B77A91"/>
    <w:rsid w:val="00B80442"/>
    <w:rsid w:val="00B8238B"/>
    <w:rsid w:val="00B854D4"/>
    <w:rsid w:val="00B87D00"/>
    <w:rsid w:val="00B91CE2"/>
    <w:rsid w:val="00BA01F3"/>
    <w:rsid w:val="00BA52EC"/>
    <w:rsid w:val="00BA66A6"/>
    <w:rsid w:val="00BB511C"/>
    <w:rsid w:val="00BB7CFA"/>
    <w:rsid w:val="00BC27F0"/>
    <w:rsid w:val="00BC378F"/>
    <w:rsid w:val="00BD60B3"/>
    <w:rsid w:val="00BE2D02"/>
    <w:rsid w:val="00BE4187"/>
    <w:rsid w:val="00BE4639"/>
    <w:rsid w:val="00C056FE"/>
    <w:rsid w:val="00C06342"/>
    <w:rsid w:val="00C07A01"/>
    <w:rsid w:val="00C149ED"/>
    <w:rsid w:val="00C156AA"/>
    <w:rsid w:val="00C162E9"/>
    <w:rsid w:val="00C207AD"/>
    <w:rsid w:val="00C20C8E"/>
    <w:rsid w:val="00C27BA5"/>
    <w:rsid w:val="00C32C39"/>
    <w:rsid w:val="00C40D2F"/>
    <w:rsid w:val="00C42A71"/>
    <w:rsid w:val="00C451A8"/>
    <w:rsid w:val="00C5283E"/>
    <w:rsid w:val="00C54030"/>
    <w:rsid w:val="00C56316"/>
    <w:rsid w:val="00C57DB3"/>
    <w:rsid w:val="00C57DF3"/>
    <w:rsid w:val="00C606F0"/>
    <w:rsid w:val="00C60AB4"/>
    <w:rsid w:val="00C61B6A"/>
    <w:rsid w:val="00C62587"/>
    <w:rsid w:val="00C62900"/>
    <w:rsid w:val="00C65FD6"/>
    <w:rsid w:val="00C74528"/>
    <w:rsid w:val="00C764DD"/>
    <w:rsid w:val="00C81A36"/>
    <w:rsid w:val="00C830B3"/>
    <w:rsid w:val="00C8323C"/>
    <w:rsid w:val="00C844D6"/>
    <w:rsid w:val="00C91BC9"/>
    <w:rsid w:val="00C93F07"/>
    <w:rsid w:val="00CA1153"/>
    <w:rsid w:val="00CA4F62"/>
    <w:rsid w:val="00CA6A7F"/>
    <w:rsid w:val="00CA77BF"/>
    <w:rsid w:val="00CB0350"/>
    <w:rsid w:val="00CB6FA9"/>
    <w:rsid w:val="00CC0A85"/>
    <w:rsid w:val="00CC2139"/>
    <w:rsid w:val="00CD0CA0"/>
    <w:rsid w:val="00CD2A28"/>
    <w:rsid w:val="00CD3575"/>
    <w:rsid w:val="00CD516F"/>
    <w:rsid w:val="00CD5B39"/>
    <w:rsid w:val="00CD6A6D"/>
    <w:rsid w:val="00CE198D"/>
    <w:rsid w:val="00CE20F6"/>
    <w:rsid w:val="00CE3FFD"/>
    <w:rsid w:val="00CF22F5"/>
    <w:rsid w:val="00D03315"/>
    <w:rsid w:val="00D03C09"/>
    <w:rsid w:val="00D0718C"/>
    <w:rsid w:val="00D12D19"/>
    <w:rsid w:val="00D162DD"/>
    <w:rsid w:val="00D16336"/>
    <w:rsid w:val="00D16B67"/>
    <w:rsid w:val="00D26C79"/>
    <w:rsid w:val="00D34D18"/>
    <w:rsid w:val="00D358C3"/>
    <w:rsid w:val="00D428B5"/>
    <w:rsid w:val="00D42DDA"/>
    <w:rsid w:val="00D43F13"/>
    <w:rsid w:val="00D4534A"/>
    <w:rsid w:val="00D46A91"/>
    <w:rsid w:val="00D46D1A"/>
    <w:rsid w:val="00D47208"/>
    <w:rsid w:val="00D557BC"/>
    <w:rsid w:val="00D57F4D"/>
    <w:rsid w:val="00D6798C"/>
    <w:rsid w:val="00D70C31"/>
    <w:rsid w:val="00D70D55"/>
    <w:rsid w:val="00D75733"/>
    <w:rsid w:val="00D75887"/>
    <w:rsid w:val="00D7688C"/>
    <w:rsid w:val="00D820DC"/>
    <w:rsid w:val="00D829DC"/>
    <w:rsid w:val="00D83427"/>
    <w:rsid w:val="00D87414"/>
    <w:rsid w:val="00D901E3"/>
    <w:rsid w:val="00D915D4"/>
    <w:rsid w:val="00D924E3"/>
    <w:rsid w:val="00D92595"/>
    <w:rsid w:val="00D93960"/>
    <w:rsid w:val="00D946CC"/>
    <w:rsid w:val="00D96218"/>
    <w:rsid w:val="00DA0C0D"/>
    <w:rsid w:val="00DA0D45"/>
    <w:rsid w:val="00DB2DB2"/>
    <w:rsid w:val="00DB356E"/>
    <w:rsid w:val="00DB5E1A"/>
    <w:rsid w:val="00DB6103"/>
    <w:rsid w:val="00DC304E"/>
    <w:rsid w:val="00DC69D5"/>
    <w:rsid w:val="00DD1BA1"/>
    <w:rsid w:val="00DD243F"/>
    <w:rsid w:val="00DD248A"/>
    <w:rsid w:val="00DD2D38"/>
    <w:rsid w:val="00DD3188"/>
    <w:rsid w:val="00DD3F19"/>
    <w:rsid w:val="00DD549C"/>
    <w:rsid w:val="00DD5791"/>
    <w:rsid w:val="00DE0BEC"/>
    <w:rsid w:val="00DE2328"/>
    <w:rsid w:val="00DE445B"/>
    <w:rsid w:val="00DE5245"/>
    <w:rsid w:val="00DF04B9"/>
    <w:rsid w:val="00DF0D08"/>
    <w:rsid w:val="00DF4417"/>
    <w:rsid w:val="00DF693C"/>
    <w:rsid w:val="00DF6E59"/>
    <w:rsid w:val="00E00E34"/>
    <w:rsid w:val="00E04100"/>
    <w:rsid w:val="00E07659"/>
    <w:rsid w:val="00E1300D"/>
    <w:rsid w:val="00E143CC"/>
    <w:rsid w:val="00E16295"/>
    <w:rsid w:val="00E20FAE"/>
    <w:rsid w:val="00E5341B"/>
    <w:rsid w:val="00E5391D"/>
    <w:rsid w:val="00E54530"/>
    <w:rsid w:val="00E55ABA"/>
    <w:rsid w:val="00E61AB5"/>
    <w:rsid w:val="00E62A23"/>
    <w:rsid w:val="00E64FDC"/>
    <w:rsid w:val="00E65D46"/>
    <w:rsid w:val="00E666E3"/>
    <w:rsid w:val="00E66F29"/>
    <w:rsid w:val="00E6714C"/>
    <w:rsid w:val="00E67EB8"/>
    <w:rsid w:val="00E717B2"/>
    <w:rsid w:val="00E719CF"/>
    <w:rsid w:val="00E81C80"/>
    <w:rsid w:val="00E8217C"/>
    <w:rsid w:val="00E82257"/>
    <w:rsid w:val="00E87A1C"/>
    <w:rsid w:val="00E90293"/>
    <w:rsid w:val="00E920F9"/>
    <w:rsid w:val="00E92C74"/>
    <w:rsid w:val="00E93544"/>
    <w:rsid w:val="00E96025"/>
    <w:rsid w:val="00E97BAB"/>
    <w:rsid w:val="00EA6BB6"/>
    <w:rsid w:val="00EB4CBA"/>
    <w:rsid w:val="00EB66DF"/>
    <w:rsid w:val="00EC126E"/>
    <w:rsid w:val="00EC13CD"/>
    <w:rsid w:val="00EC150B"/>
    <w:rsid w:val="00EC2E8F"/>
    <w:rsid w:val="00EC4C91"/>
    <w:rsid w:val="00ED16CD"/>
    <w:rsid w:val="00ED522F"/>
    <w:rsid w:val="00ED69DB"/>
    <w:rsid w:val="00ED6BFD"/>
    <w:rsid w:val="00EE3E63"/>
    <w:rsid w:val="00EE42E3"/>
    <w:rsid w:val="00EE7763"/>
    <w:rsid w:val="00EF2984"/>
    <w:rsid w:val="00EF3F85"/>
    <w:rsid w:val="00EF7EB0"/>
    <w:rsid w:val="00F177AE"/>
    <w:rsid w:val="00F17889"/>
    <w:rsid w:val="00F17979"/>
    <w:rsid w:val="00F20A34"/>
    <w:rsid w:val="00F22932"/>
    <w:rsid w:val="00F262DA"/>
    <w:rsid w:val="00F26C05"/>
    <w:rsid w:val="00F30967"/>
    <w:rsid w:val="00F34137"/>
    <w:rsid w:val="00F35847"/>
    <w:rsid w:val="00F35E39"/>
    <w:rsid w:val="00F41479"/>
    <w:rsid w:val="00F430D3"/>
    <w:rsid w:val="00F47939"/>
    <w:rsid w:val="00F512D4"/>
    <w:rsid w:val="00F552E6"/>
    <w:rsid w:val="00F553C3"/>
    <w:rsid w:val="00F563BE"/>
    <w:rsid w:val="00F61232"/>
    <w:rsid w:val="00F66166"/>
    <w:rsid w:val="00F6655A"/>
    <w:rsid w:val="00F723D9"/>
    <w:rsid w:val="00F72F56"/>
    <w:rsid w:val="00F73BD4"/>
    <w:rsid w:val="00F815AA"/>
    <w:rsid w:val="00F81A64"/>
    <w:rsid w:val="00F82D5A"/>
    <w:rsid w:val="00F84D13"/>
    <w:rsid w:val="00F86544"/>
    <w:rsid w:val="00F87497"/>
    <w:rsid w:val="00F97687"/>
    <w:rsid w:val="00FA525B"/>
    <w:rsid w:val="00FA7085"/>
    <w:rsid w:val="00FB2E0C"/>
    <w:rsid w:val="00FB3D01"/>
    <w:rsid w:val="00FC1D2A"/>
    <w:rsid w:val="00FC2332"/>
    <w:rsid w:val="00FC28BA"/>
    <w:rsid w:val="00FD4747"/>
    <w:rsid w:val="00FD7883"/>
    <w:rsid w:val="00FE3000"/>
    <w:rsid w:val="00FE3C52"/>
    <w:rsid w:val="00FE65AB"/>
    <w:rsid w:val="00FE75FE"/>
    <w:rsid w:val="00FE76EC"/>
    <w:rsid w:val="00FF3368"/>
    <w:rsid w:val="00FF423C"/>
    <w:rsid w:val="00FF44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C04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qFormat="1"/>
    <w:lsdException w:name="table of figures" w:uiPriority="99"/>
    <w:lsdException w:name="annotation reference" w:uiPriority="99"/>
    <w:lsdException w:name="List Number" w:semiHidden="0" w:unhideWhenUsed="0"/>
    <w:lsdException w:name="List 4" w:semiHidden="0" w:uiPriority="99" w:unhideWhenUsed="0"/>
    <w:lsdException w:name="List 5" w:semiHidden="0" w:unhideWhenUsed="0"/>
    <w:lsdException w:name="List Number 2" w:uiPriority="99"/>
    <w:lsdException w:name="List Number 3" w:uiPriority="99"/>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858"/>
    <w:rPr>
      <w:sz w:val="24"/>
      <w:szCs w:val="24"/>
    </w:rPr>
  </w:style>
  <w:style w:type="paragraph" w:styleId="Heading1">
    <w:name w:val="heading 1"/>
    <w:basedOn w:val="Normal"/>
    <w:next w:val="Normal"/>
    <w:link w:val="Heading1Char"/>
    <w:qFormat/>
    <w:rsid w:val="000869C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0869CE"/>
    <w:pPr>
      <w:keepNext/>
      <w:spacing w:before="240" w:after="240"/>
      <w:ind w:left="720" w:hanging="720"/>
      <w:outlineLvl w:val="1"/>
    </w:pPr>
    <w:rPr>
      <w:rFonts w:cs="Arial"/>
      <w:b/>
      <w:bCs/>
      <w:iCs/>
      <w:szCs w:val="28"/>
    </w:rPr>
  </w:style>
  <w:style w:type="paragraph" w:styleId="Heading3">
    <w:name w:val="heading 3"/>
    <w:basedOn w:val="Normal"/>
    <w:next w:val="Normal"/>
    <w:link w:val="Heading3Char"/>
    <w:qFormat/>
    <w:rsid w:val="000869CE"/>
    <w:pPr>
      <w:keepNext/>
      <w:spacing w:before="240" w:after="120"/>
      <w:ind w:left="720" w:hanging="720"/>
      <w:outlineLvl w:val="2"/>
    </w:pPr>
    <w:rPr>
      <w:rFonts w:cs="Arial"/>
      <w:b/>
      <w:bCs/>
      <w:i/>
      <w:iCs/>
      <w:szCs w:val="22"/>
      <w:lang w:val="en-CA"/>
    </w:rPr>
  </w:style>
  <w:style w:type="paragraph" w:styleId="Heading4">
    <w:name w:val="heading 4"/>
    <w:basedOn w:val="Normal"/>
    <w:next w:val="Normal"/>
    <w:qFormat/>
    <w:rsid w:val="00080858"/>
    <w:pPr>
      <w:keepNext/>
      <w:spacing w:before="240" w:after="120"/>
      <w:ind w:left="900" w:hanging="900"/>
      <w:outlineLvl w:val="3"/>
    </w:pPr>
    <w:rPr>
      <w:rFonts w:cs="Arial"/>
      <w:bCs/>
      <w:i/>
      <w:szCs w:val="22"/>
    </w:rPr>
  </w:style>
  <w:style w:type="paragraph" w:styleId="Heading5">
    <w:name w:val="heading 5"/>
    <w:basedOn w:val="Normal"/>
    <w:next w:val="Normal"/>
    <w:semiHidden/>
    <w:qFormat/>
    <w:rsid w:val="000869CE"/>
    <w:pPr>
      <w:keepNext/>
      <w:widowControl w:val="0"/>
      <w:outlineLvl w:val="4"/>
    </w:pPr>
    <w:rPr>
      <w:rFonts w:ascii="Arial" w:hAnsi="Arial" w:cs="Arial"/>
      <w:b/>
      <w:bCs/>
      <w:sz w:val="20"/>
      <w:szCs w:val="20"/>
      <w:u w:val="single"/>
    </w:rPr>
  </w:style>
  <w:style w:type="paragraph" w:styleId="Heading6">
    <w:name w:val="heading 6"/>
    <w:basedOn w:val="Normal"/>
    <w:next w:val="Normal"/>
    <w:semiHidden/>
    <w:qFormat/>
    <w:rsid w:val="000869CE"/>
    <w:pPr>
      <w:keepNext/>
      <w:jc w:val="center"/>
      <w:outlineLvl w:val="5"/>
    </w:pPr>
    <w:rPr>
      <w:rFonts w:ascii="Arial" w:hAnsi="Arial" w:cs="Arial"/>
      <w:b/>
      <w:bCs/>
    </w:rPr>
  </w:style>
  <w:style w:type="paragraph" w:styleId="Heading7">
    <w:name w:val="heading 7"/>
    <w:basedOn w:val="Normal"/>
    <w:next w:val="Normal"/>
    <w:semiHidden/>
    <w:qFormat/>
    <w:rsid w:val="000869CE"/>
    <w:pPr>
      <w:keepNext/>
      <w:jc w:val="center"/>
      <w:outlineLvl w:val="6"/>
    </w:pPr>
    <w:rPr>
      <w:rFonts w:ascii="Arial" w:hAnsi="Arial" w:cs="Arial"/>
      <w:b/>
      <w:bCs/>
      <w:sz w:val="16"/>
      <w:szCs w:val="16"/>
    </w:rPr>
  </w:style>
  <w:style w:type="paragraph" w:styleId="Heading8">
    <w:name w:val="heading 8"/>
    <w:basedOn w:val="Normal"/>
    <w:next w:val="Normal"/>
    <w:semiHidden/>
    <w:qFormat/>
    <w:rsid w:val="000869CE"/>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semiHidden/>
    <w:qFormat/>
    <w:rsid w:val="000869CE"/>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9C1BBD"/>
    <w:rPr>
      <w:rFonts w:cs="Arial"/>
      <w:b/>
      <w:bCs/>
      <w:i/>
      <w:iCs/>
      <w:sz w:val="24"/>
      <w:szCs w:val="22"/>
      <w:lang w:val="en-CA"/>
    </w:rPr>
  </w:style>
  <w:style w:type="paragraph" w:styleId="ListContinue">
    <w:name w:val="List Continue"/>
    <w:basedOn w:val="Normal"/>
    <w:unhideWhenUsed/>
    <w:rsid w:val="004461C6"/>
    <w:pPr>
      <w:spacing w:after="120"/>
      <w:ind w:left="1080"/>
    </w:pPr>
  </w:style>
  <w:style w:type="numbering" w:customStyle="1" w:styleId="NoList1">
    <w:name w:val="No List1"/>
    <w:next w:val="NoList"/>
    <w:semiHidden/>
    <w:rsid w:val="000869CE"/>
  </w:style>
  <w:style w:type="table" w:styleId="TableGrid">
    <w:name w:val="Table Grid"/>
    <w:basedOn w:val="TableNormal"/>
    <w:rsid w:val="000869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PgHead">
    <w:name w:val="TitlePgHead"/>
    <w:basedOn w:val="Normal"/>
    <w:qFormat/>
    <w:rsid w:val="00BB511C"/>
    <w:pPr>
      <w:pageBreakBefore/>
      <w:spacing w:before="2400" w:after="720"/>
      <w:jc w:val="center"/>
    </w:pPr>
    <w:rPr>
      <w:b/>
      <w:color w:val="000000"/>
      <w:sz w:val="28"/>
      <w:szCs w:val="28"/>
    </w:rPr>
  </w:style>
  <w:style w:type="paragraph" w:styleId="BodyText">
    <w:name w:val="Body Text"/>
    <w:basedOn w:val="Normal"/>
    <w:link w:val="BodyTextChar"/>
    <w:rsid w:val="00CC0A85"/>
    <w:pPr>
      <w:spacing w:after="120"/>
      <w:ind w:firstLine="720"/>
    </w:pPr>
  </w:style>
  <w:style w:type="character" w:customStyle="1" w:styleId="BodyTextChar">
    <w:name w:val="Body Text Char"/>
    <w:basedOn w:val="DefaultParagraphFont"/>
    <w:link w:val="BodyText"/>
    <w:rsid w:val="00CC0A85"/>
    <w:rPr>
      <w:sz w:val="24"/>
      <w:szCs w:val="24"/>
    </w:rPr>
  </w:style>
  <w:style w:type="paragraph" w:styleId="ListBullet">
    <w:name w:val="List Bullet"/>
    <w:basedOn w:val="Normal"/>
    <w:rsid w:val="00CC0A85"/>
    <w:pPr>
      <w:numPr>
        <w:ilvl w:val="1"/>
        <w:numId w:val="3"/>
      </w:numPr>
      <w:spacing w:after="120"/>
    </w:pPr>
  </w:style>
  <w:style w:type="paragraph" w:styleId="Date">
    <w:name w:val="Date"/>
    <w:basedOn w:val="Normal"/>
    <w:next w:val="Normal"/>
    <w:link w:val="DateChar"/>
    <w:rsid w:val="004461C6"/>
    <w:pPr>
      <w:spacing w:after="720"/>
      <w:jc w:val="right"/>
    </w:pPr>
    <w:rPr>
      <w:rFonts w:ascii="Arial" w:hAnsi="Arial" w:cs="Arial"/>
      <w:b/>
      <w:sz w:val="28"/>
    </w:rPr>
  </w:style>
  <w:style w:type="character" w:customStyle="1" w:styleId="DateChar">
    <w:name w:val="Date Char"/>
    <w:basedOn w:val="DefaultParagraphFont"/>
    <w:link w:val="Date"/>
    <w:rsid w:val="004461C6"/>
    <w:rPr>
      <w:rFonts w:ascii="Arial" w:hAnsi="Arial" w:cs="Arial"/>
      <w:b/>
      <w:sz w:val="28"/>
      <w:szCs w:val="24"/>
    </w:rPr>
  </w:style>
  <w:style w:type="paragraph" w:styleId="FootnoteText">
    <w:name w:val="footnote text"/>
    <w:basedOn w:val="Normal"/>
    <w:link w:val="FootnoteTextChar"/>
    <w:rsid w:val="00080858"/>
    <w:pPr>
      <w:widowControl w:val="0"/>
      <w:ind w:left="216" w:hanging="216"/>
    </w:pPr>
    <w:rPr>
      <w:rFonts w:cs="Courier New"/>
      <w:sz w:val="20"/>
    </w:rPr>
  </w:style>
  <w:style w:type="character" w:styleId="FootnoteReference">
    <w:name w:val="footnote reference"/>
    <w:rsid w:val="00080858"/>
    <w:rPr>
      <w:rFonts w:ascii="Times New Roman" w:hAnsi="Times New Roman" w:cs="Courier New"/>
      <w:strike w:val="0"/>
      <w:dstrike w:val="0"/>
      <w:sz w:val="24"/>
      <w:szCs w:val="24"/>
      <w:vertAlign w:val="superscript"/>
    </w:rPr>
  </w:style>
  <w:style w:type="character" w:customStyle="1" w:styleId="Heading2Char">
    <w:name w:val="Heading 2 Char"/>
    <w:basedOn w:val="DefaultParagraphFont"/>
    <w:link w:val="Heading2"/>
    <w:rsid w:val="009C1BBD"/>
    <w:rPr>
      <w:rFonts w:cs="Arial"/>
      <w:b/>
      <w:bCs/>
      <w:iCs/>
      <w:sz w:val="24"/>
      <w:szCs w:val="28"/>
    </w:rPr>
  </w:style>
  <w:style w:type="paragraph" w:styleId="ListBullet2">
    <w:name w:val="List Bullet 2"/>
    <w:basedOn w:val="Normal"/>
    <w:rsid w:val="009C1BBD"/>
    <w:pPr>
      <w:numPr>
        <w:numId w:val="4"/>
      </w:numPr>
      <w:spacing w:after="120"/>
      <w:ind w:hanging="360"/>
    </w:pPr>
  </w:style>
  <w:style w:type="paragraph" w:customStyle="1" w:styleId="Default">
    <w:name w:val="Default"/>
    <w:rsid w:val="009C1BBD"/>
    <w:pPr>
      <w:autoSpaceDE w:val="0"/>
      <w:autoSpaceDN w:val="0"/>
      <w:adjustRightInd w:val="0"/>
    </w:pPr>
    <w:rPr>
      <w:color w:val="000000"/>
      <w:sz w:val="24"/>
      <w:szCs w:val="24"/>
      <w:lang w:eastAsia="zh-CN"/>
    </w:rPr>
  </w:style>
  <w:style w:type="paragraph" w:customStyle="1" w:styleId="heading10">
    <w:name w:val="heading1"/>
    <w:basedOn w:val="Normal"/>
    <w:next w:val="Normal"/>
    <w:semiHidden/>
    <w:rsid w:val="000869CE"/>
    <w:pPr>
      <w:spacing w:before="120" w:after="120"/>
    </w:pPr>
    <w:rPr>
      <w:b/>
      <w:bCs/>
      <w:sz w:val="22"/>
      <w:szCs w:val="22"/>
    </w:rPr>
  </w:style>
  <w:style w:type="paragraph" w:customStyle="1" w:styleId="Source">
    <w:name w:val="Source"/>
    <w:basedOn w:val="Normal"/>
    <w:qFormat/>
    <w:rsid w:val="009C1BBD"/>
    <w:pPr>
      <w:spacing w:before="120" w:after="360"/>
      <w:ind w:left="180" w:hanging="180"/>
    </w:pPr>
    <w:rPr>
      <w:sz w:val="20"/>
      <w:szCs w:val="22"/>
    </w:rPr>
  </w:style>
  <w:style w:type="paragraph" w:customStyle="1" w:styleId="heading20">
    <w:name w:val="heading2"/>
    <w:basedOn w:val="Heading3"/>
    <w:next w:val="Normal"/>
    <w:semiHidden/>
    <w:rsid w:val="000869CE"/>
    <w:pPr>
      <w:spacing w:before="120"/>
    </w:pPr>
    <w:rPr>
      <w:rFonts w:cs="Times New Roman"/>
    </w:rPr>
  </w:style>
  <w:style w:type="paragraph" w:styleId="Caption">
    <w:name w:val="caption"/>
    <w:basedOn w:val="Normal"/>
    <w:next w:val="Normal"/>
    <w:qFormat/>
    <w:rsid w:val="00BB511C"/>
    <w:pPr>
      <w:keepNext/>
      <w:keepLines/>
      <w:spacing w:before="240" w:after="120"/>
      <w:ind w:left="1440" w:hanging="1440"/>
    </w:pPr>
    <w:rPr>
      <w:rFonts w:cs="Arial"/>
      <w:b/>
      <w:bCs/>
      <w:szCs w:val="22"/>
    </w:rPr>
  </w:style>
  <w:style w:type="paragraph" w:styleId="BalloonText">
    <w:name w:val="Balloon Text"/>
    <w:basedOn w:val="Normal"/>
    <w:semiHidden/>
    <w:rsid w:val="000869CE"/>
    <w:pPr>
      <w:numPr>
        <w:numId w:val="2"/>
      </w:numPr>
      <w:tabs>
        <w:tab w:val="clear" w:pos="720"/>
        <w:tab w:val="num" w:pos="360"/>
      </w:tabs>
      <w:ind w:left="0" w:firstLine="0"/>
    </w:pPr>
    <w:rPr>
      <w:rFonts w:ascii="Tahoma" w:hAnsi="Tahoma" w:cs="Tahoma"/>
      <w:sz w:val="16"/>
      <w:szCs w:val="16"/>
    </w:rPr>
  </w:style>
  <w:style w:type="paragraph" w:customStyle="1" w:styleId="TableHeaders">
    <w:name w:val="Table Headers"/>
    <w:basedOn w:val="Normal"/>
    <w:qFormat/>
    <w:rsid w:val="002015BA"/>
    <w:pPr>
      <w:keepNext/>
      <w:spacing w:before="80" w:after="80" w:line="240" w:lineRule="exact"/>
      <w:jc w:val="center"/>
    </w:pPr>
    <w:rPr>
      <w:b/>
      <w:snapToGrid w:val="0"/>
      <w:sz w:val="22"/>
      <w:szCs w:val="22"/>
    </w:rPr>
  </w:style>
  <w:style w:type="paragraph" w:customStyle="1" w:styleId="TableText">
    <w:name w:val="Table Text"/>
    <w:qFormat/>
    <w:rsid w:val="009C1BBD"/>
    <w:pPr>
      <w:spacing w:before="40" w:after="40"/>
    </w:pPr>
    <w:rPr>
      <w:sz w:val="22"/>
    </w:rPr>
  </w:style>
  <w:style w:type="character" w:customStyle="1" w:styleId="FootnoteTextChar">
    <w:name w:val="Footnote Text Char"/>
    <w:basedOn w:val="DefaultParagraphFont"/>
    <w:link w:val="FootnoteText"/>
    <w:rsid w:val="00080858"/>
    <w:rPr>
      <w:rFonts w:cs="Courier New"/>
      <w:szCs w:val="24"/>
    </w:rPr>
  </w:style>
  <w:style w:type="paragraph" w:styleId="Header">
    <w:name w:val="header"/>
    <w:basedOn w:val="Normal"/>
    <w:link w:val="HeaderChar"/>
    <w:rsid w:val="000869CE"/>
    <w:pPr>
      <w:tabs>
        <w:tab w:val="center" w:pos="4320"/>
        <w:tab w:val="right" w:pos="8640"/>
      </w:tabs>
    </w:pPr>
    <w:rPr>
      <w:sz w:val="20"/>
      <w:szCs w:val="20"/>
    </w:rPr>
  </w:style>
  <w:style w:type="paragraph" w:styleId="Footer">
    <w:name w:val="footer"/>
    <w:basedOn w:val="Normal"/>
    <w:link w:val="FooterChar"/>
    <w:rsid w:val="000869CE"/>
    <w:pPr>
      <w:tabs>
        <w:tab w:val="center" w:pos="4320"/>
        <w:tab w:val="right" w:pos="8640"/>
      </w:tabs>
    </w:pPr>
    <w:rPr>
      <w:sz w:val="20"/>
      <w:szCs w:val="20"/>
    </w:rPr>
  </w:style>
  <w:style w:type="character" w:styleId="PageNumber">
    <w:name w:val="page number"/>
    <w:rsid w:val="000869CE"/>
    <w:rPr>
      <w:rFonts w:ascii="Times New Roman" w:hAnsi="Times New Roman"/>
      <w:sz w:val="24"/>
    </w:rPr>
  </w:style>
  <w:style w:type="paragraph" w:styleId="Subtitle">
    <w:name w:val="Subtitle"/>
    <w:basedOn w:val="Normal"/>
    <w:next w:val="Normal"/>
    <w:link w:val="SubtitleChar"/>
    <w:qFormat/>
    <w:rsid w:val="004461C6"/>
    <w:pPr>
      <w:numPr>
        <w:ilvl w:val="1"/>
      </w:numPr>
      <w:spacing w:after="1440"/>
      <w:jc w:val="right"/>
    </w:pPr>
    <w:rPr>
      <w:rFonts w:ascii="Arial Black" w:eastAsiaTheme="majorEastAsia" w:hAnsi="Arial Black" w:cstheme="majorBidi"/>
      <w:iCs/>
      <w:spacing w:val="15"/>
      <w:sz w:val="40"/>
      <w:szCs w:val="40"/>
    </w:rPr>
  </w:style>
  <w:style w:type="character" w:customStyle="1" w:styleId="SubtitleChar">
    <w:name w:val="Subtitle Char"/>
    <w:basedOn w:val="DefaultParagraphFont"/>
    <w:link w:val="Subtitle"/>
    <w:rsid w:val="004461C6"/>
    <w:rPr>
      <w:rFonts w:ascii="Arial Black" w:eastAsiaTheme="majorEastAsia" w:hAnsi="Arial Black" w:cstheme="majorBidi"/>
      <w:iCs/>
      <w:spacing w:val="15"/>
      <w:sz w:val="40"/>
      <w:szCs w:val="40"/>
    </w:rPr>
  </w:style>
  <w:style w:type="paragraph" w:styleId="Bibliography">
    <w:name w:val="Bibliography"/>
    <w:basedOn w:val="Normal"/>
    <w:next w:val="Normal"/>
    <w:uiPriority w:val="37"/>
    <w:semiHidden/>
    <w:unhideWhenUsed/>
    <w:rsid w:val="0089760A"/>
  </w:style>
  <w:style w:type="paragraph" w:customStyle="1" w:styleId="Address2">
    <w:name w:val="Address2"/>
    <w:basedOn w:val="Address1"/>
    <w:qFormat/>
    <w:rsid w:val="004461C6"/>
    <w:pPr>
      <w:spacing w:after="720"/>
      <w:contextualSpacing/>
    </w:pPr>
  </w:style>
  <w:style w:type="paragraph" w:styleId="EndnoteText">
    <w:name w:val="endnote text"/>
    <w:basedOn w:val="Normal"/>
    <w:semiHidden/>
    <w:rsid w:val="000869CE"/>
    <w:rPr>
      <w:sz w:val="20"/>
      <w:szCs w:val="20"/>
    </w:rPr>
  </w:style>
  <w:style w:type="character" w:styleId="EndnoteReference">
    <w:name w:val="endnote reference"/>
    <w:semiHidden/>
    <w:rsid w:val="000869CE"/>
    <w:rPr>
      <w:vertAlign w:val="superscript"/>
    </w:rPr>
  </w:style>
  <w:style w:type="paragraph" w:styleId="Title">
    <w:name w:val="Title"/>
    <w:basedOn w:val="Normal"/>
    <w:qFormat/>
    <w:rsid w:val="000869CE"/>
    <w:pPr>
      <w:spacing w:after="1200"/>
      <w:ind w:left="-274"/>
      <w:jc w:val="right"/>
    </w:pPr>
    <w:rPr>
      <w:rFonts w:ascii="Arial Black" w:hAnsi="Arial Black"/>
      <w:bCs/>
      <w:sz w:val="48"/>
    </w:rPr>
  </w:style>
  <w:style w:type="character" w:customStyle="1" w:styleId="FooterChar">
    <w:name w:val="Footer Char"/>
    <w:basedOn w:val="DefaultParagraphFont"/>
    <w:link w:val="Footer"/>
    <w:rsid w:val="00FE3000"/>
  </w:style>
  <w:style w:type="character" w:customStyle="1" w:styleId="HeaderChar">
    <w:name w:val="Header Char"/>
    <w:basedOn w:val="DefaultParagraphFont"/>
    <w:link w:val="Header"/>
    <w:rsid w:val="00FE3000"/>
  </w:style>
  <w:style w:type="character" w:styleId="Hyperlink">
    <w:name w:val="Hyperlink"/>
    <w:uiPriority w:val="99"/>
    <w:rsid w:val="000869CE"/>
    <w:rPr>
      <w:color w:val="0000FF"/>
      <w:u w:val="single"/>
    </w:rPr>
  </w:style>
  <w:style w:type="paragraph" w:customStyle="1" w:styleId="AppHeading1">
    <w:name w:val="App Heading 1"/>
    <w:rsid w:val="00080858"/>
    <w:pPr>
      <w:spacing w:after="360"/>
      <w:jc w:val="center"/>
      <w:outlineLvl w:val="0"/>
    </w:pPr>
    <w:rPr>
      <w:rFonts w:eastAsia="MS Mincho"/>
      <w:b/>
      <w:caps/>
      <w:kern w:val="28"/>
      <w:sz w:val="24"/>
      <w:szCs w:val="28"/>
    </w:rPr>
  </w:style>
  <w:style w:type="paragraph" w:styleId="BodyText2">
    <w:name w:val="Body Text 2"/>
    <w:basedOn w:val="Normal"/>
    <w:link w:val="BodyText2Char"/>
    <w:rsid w:val="003F042D"/>
    <w:pPr>
      <w:spacing w:after="120"/>
    </w:pPr>
    <w:rPr>
      <w:szCs w:val="20"/>
    </w:rPr>
  </w:style>
  <w:style w:type="paragraph" w:customStyle="1" w:styleId="TitlePgText">
    <w:name w:val="TitlePg_Text"/>
    <w:basedOn w:val="Normal"/>
    <w:qFormat/>
    <w:rsid w:val="00BB511C"/>
    <w:pPr>
      <w:spacing w:after="720"/>
      <w:jc w:val="center"/>
    </w:pPr>
    <w:rPr>
      <w:color w:val="000000"/>
    </w:rPr>
  </w:style>
  <w:style w:type="paragraph" w:styleId="TableofFigures">
    <w:name w:val="table of figures"/>
    <w:basedOn w:val="Normal"/>
    <w:next w:val="Normal"/>
    <w:uiPriority w:val="99"/>
    <w:unhideWhenUsed/>
    <w:rsid w:val="001B0AFC"/>
    <w:pPr>
      <w:tabs>
        <w:tab w:val="left" w:pos="720"/>
        <w:tab w:val="right" w:leader="dot" w:pos="9350"/>
      </w:tabs>
      <w:spacing w:after="60"/>
      <w:ind w:left="1080" w:right="720" w:hanging="720"/>
    </w:pPr>
    <w:rPr>
      <w:noProof/>
    </w:rPr>
  </w:style>
  <w:style w:type="character" w:customStyle="1" w:styleId="BodyText2Char">
    <w:name w:val="Body Text 2 Char"/>
    <w:basedOn w:val="DefaultParagraphFont"/>
    <w:link w:val="BodyText2"/>
    <w:rsid w:val="003F042D"/>
    <w:rPr>
      <w:sz w:val="24"/>
    </w:rPr>
  </w:style>
  <w:style w:type="paragraph" w:styleId="HTMLPreformatted">
    <w:name w:val="HTML Preformatted"/>
    <w:basedOn w:val="Normal"/>
    <w:link w:val="HTMLPreformattedChar"/>
    <w:semiHidden/>
    <w:rsid w:val="00086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rsid w:val="000869CE"/>
    <w:pPr>
      <w:tabs>
        <w:tab w:val="right" w:leader="dot" w:pos="9350"/>
      </w:tabs>
      <w:spacing w:before="240" w:after="120"/>
      <w:ind w:left="720" w:hanging="360"/>
    </w:pPr>
    <w:rPr>
      <w:noProof/>
    </w:rPr>
  </w:style>
  <w:style w:type="paragraph" w:styleId="TOC2">
    <w:name w:val="toc 2"/>
    <w:basedOn w:val="Normal"/>
    <w:next w:val="Normal"/>
    <w:autoRedefine/>
    <w:uiPriority w:val="39"/>
    <w:rsid w:val="000869CE"/>
    <w:pPr>
      <w:tabs>
        <w:tab w:val="right" w:leader="dot" w:pos="9350"/>
      </w:tabs>
      <w:spacing w:before="120" w:after="120"/>
      <w:ind w:left="1350" w:hanging="630"/>
    </w:pPr>
    <w:rPr>
      <w:noProof/>
    </w:rPr>
  </w:style>
  <w:style w:type="character" w:customStyle="1" w:styleId="TomMitchell">
    <w:name w:val="Tom Mitchell"/>
    <w:semiHidden/>
    <w:rsid w:val="000869CE"/>
    <w:rPr>
      <w:rFonts w:ascii="Arial" w:hAnsi="Arial" w:cs="Arial"/>
      <w:color w:val="000080"/>
      <w:sz w:val="20"/>
      <w:szCs w:val="20"/>
    </w:rPr>
  </w:style>
  <w:style w:type="paragraph" w:styleId="ListNumber2">
    <w:name w:val="List Number 2"/>
    <w:basedOn w:val="Normal"/>
    <w:uiPriority w:val="99"/>
    <w:rsid w:val="003F042D"/>
    <w:pPr>
      <w:keepNext/>
      <w:keepLines/>
      <w:numPr>
        <w:numId w:val="5"/>
      </w:numPr>
      <w:tabs>
        <w:tab w:val="clear" w:pos="1800"/>
        <w:tab w:val="left" w:pos="540"/>
      </w:tabs>
      <w:spacing w:before="240" w:after="120"/>
      <w:ind w:left="547" w:hanging="547"/>
    </w:pPr>
    <w:rPr>
      <w:szCs w:val="20"/>
    </w:rPr>
  </w:style>
  <w:style w:type="paragraph" w:customStyle="1" w:styleId="QuexHeading1">
    <w:name w:val="Quex Heading 1"/>
    <w:basedOn w:val="Heading1"/>
    <w:qFormat/>
    <w:rsid w:val="003F042D"/>
    <w:pPr>
      <w:pBdr>
        <w:top w:val="single" w:sz="4" w:space="1" w:color="auto"/>
        <w:left w:val="single" w:sz="4" w:space="4" w:color="auto"/>
        <w:bottom w:val="single" w:sz="4" w:space="1" w:color="auto"/>
        <w:right w:val="single" w:sz="4" w:space="4" w:color="auto"/>
      </w:pBdr>
      <w:shd w:val="clear" w:color="auto" w:fill="DDDDDD"/>
      <w:spacing w:before="360"/>
      <w:jc w:val="center"/>
    </w:pPr>
    <w:rPr>
      <w:rFonts w:ascii="Arial Bold" w:hAnsi="Arial Bold"/>
      <w:caps w:val="0"/>
      <w:smallCaps/>
      <w:kern w:val="32"/>
      <w:sz w:val="28"/>
      <w:szCs w:val="32"/>
    </w:rPr>
  </w:style>
  <w:style w:type="paragraph" w:customStyle="1" w:styleId="Author">
    <w:name w:val="Author"/>
    <w:basedOn w:val="Normal"/>
    <w:rsid w:val="0011702B"/>
    <w:pPr>
      <w:jc w:val="right"/>
    </w:pPr>
    <w:rPr>
      <w:rFonts w:ascii="Arial Black" w:hAnsi="Arial Black"/>
      <w:szCs w:val="20"/>
    </w:rPr>
  </w:style>
  <w:style w:type="paragraph" w:customStyle="1" w:styleId="Address1">
    <w:name w:val="Address1"/>
    <w:basedOn w:val="Normal"/>
    <w:rsid w:val="004461C6"/>
    <w:pPr>
      <w:spacing w:after="240"/>
      <w:jc w:val="right"/>
    </w:pPr>
    <w:rPr>
      <w:rFonts w:ascii="Arial" w:hAnsi="Arial"/>
      <w:szCs w:val="20"/>
    </w:rPr>
  </w:style>
  <w:style w:type="paragraph" w:styleId="DocumentMap">
    <w:name w:val="Document Map"/>
    <w:basedOn w:val="Normal"/>
    <w:semiHidden/>
    <w:rsid w:val="000869CE"/>
    <w:pPr>
      <w:shd w:val="clear" w:color="auto" w:fill="000080"/>
    </w:pPr>
    <w:rPr>
      <w:rFonts w:ascii="Tahoma" w:hAnsi="Tahoma" w:cs="Tahoma"/>
    </w:rPr>
  </w:style>
  <w:style w:type="paragraph" w:styleId="ListNumber3">
    <w:name w:val="List Number 3"/>
    <w:basedOn w:val="Normal"/>
    <w:uiPriority w:val="99"/>
    <w:rsid w:val="003F042D"/>
    <w:pPr>
      <w:numPr>
        <w:numId w:val="6"/>
      </w:numPr>
      <w:spacing w:after="60"/>
      <w:ind w:left="1152" w:hanging="576"/>
    </w:pPr>
    <w:rPr>
      <w:szCs w:val="20"/>
    </w:rPr>
  </w:style>
  <w:style w:type="paragraph" w:styleId="TOC3">
    <w:name w:val="toc 3"/>
    <w:basedOn w:val="Normal"/>
    <w:next w:val="Normal"/>
    <w:uiPriority w:val="39"/>
    <w:rsid w:val="000869CE"/>
    <w:pPr>
      <w:tabs>
        <w:tab w:val="right" w:leader="dot" w:pos="9360"/>
      </w:tabs>
      <w:spacing w:before="80" w:after="40"/>
      <w:ind w:left="2340" w:right="720" w:hanging="900"/>
    </w:pPr>
    <w:rPr>
      <w:noProof/>
      <w:szCs w:val="20"/>
    </w:rPr>
  </w:style>
  <w:style w:type="paragraph" w:customStyle="1" w:styleId="Question">
    <w:name w:val="Question"/>
    <w:basedOn w:val="Normal"/>
    <w:semiHidden/>
    <w:rsid w:val="000869CE"/>
    <w:pPr>
      <w:keepNext/>
      <w:keepLines/>
      <w:spacing w:before="160" w:after="60"/>
      <w:ind w:left="900" w:hanging="547"/>
    </w:pPr>
    <w:rPr>
      <w:rFonts w:ascii="Optima" w:hAnsi="Optima"/>
      <w:sz w:val="22"/>
      <w:szCs w:val="20"/>
    </w:rPr>
  </w:style>
  <w:style w:type="character" w:customStyle="1" w:styleId="Heading7Char">
    <w:name w:val="Heading 7 Char"/>
    <w:semiHidden/>
    <w:rsid w:val="000869CE"/>
    <w:rPr>
      <w:b/>
      <w:noProof w:val="0"/>
      <w:snapToGrid w:val="0"/>
      <w:sz w:val="24"/>
      <w:u w:val="single"/>
      <w:lang w:val="en-US" w:eastAsia="en-US" w:bidi="ar-SA"/>
    </w:rPr>
  </w:style>
  <w:style w:type="paragraph" w:styleId="NoSpacing">
    <w:name w:val="No Spacing"/>
    <w:link w:val="NoSpacingChar"/>
    <w:uiPriority w:val="1"/>
    <w:qFormat/>
    <w:rsid w:val="003F042D"/>
    <w:rPr>
      <w:rFonts w:asciiTheme="minorHAnsi" w:eastAsiaTheme="minorEastAsia" w:hAnsiTheme="minorHAnsi" w:cstheme="minorBidi"/>
      <w:sz w:val="22"/>
      <w:szCs w:val="22"/>
      <w:lang w:eastAsia="ja-JP"/>
    </w:rPr>
  </w:style>
  <w:style w:type="paragraph" w:styleId="Index2">
    <w:name w:val="index 2"/>
    <w:basedOn w:val="Normal"/>
    <w:next w:val="Normal"/>
    <w:semiHidden/>
    <w:rsid w:val="000869CE"/>
    <w:pPr>
      <w:ind w:left="360"/>
    </w:pPr>
    <w:rPr>
      <w:szCs w:val="20"/>
    </w:rPr>
  </w:style>
  <w:style w:type="paragraph" w:styleId="Index1">
    <w:name w:val="index 1"/>
    <w:basedOn w:val="Normal"/>
    <w:next w:val="Normal"/>
    <w:semiHidden/>
    <w:rsid w:val="000869CE"/>
    <w:rPr>
      <w:szCs w:val="20"/>
    </w:rPr>
  </w:style>
  <w:style w:type="character" w:styleId="LineNumber">
    <w:name w:val="line number"/>
    <w:basedOn w:val="DefaultParagraphFont"/>
    <w:semiHidden/>
    <w:rsid w:val="000869CE"/>
  </w:style>
  <w:style w:type="paragraph" w:customStyle="1" w:styleId="equation">
    <w:name w:val="equation"/>
    <w:rsid w:val="00080858"/>
    <w:pPr>
      <w:tabs>
        <w:tab w:val="right" w:pos="9360"/>
      </w:tabs>
      <w:spacing w:after="240"/>
      <w:ind w:left="2880" w:hanging="2160"/>
    </w:pPr>
    <w:rPr>
      <w:sz w:val="24"/>
    </w:rPr>
  </w:style>
  <w:style w:type="character" w:customStyle="1" w:styleId="NoSpacingChar">
    <w:name w:val="No Spacing Char"/>
    <w:basedOn w:val="DefaultParagraphFont"/>
    <w:link w:val="NoSpacing"/>
    <w:uiPriority w:val="1"/>
    <w:rsid w:val="003F042D"/>
    <w:rPr>
      <w:rFonts w:asciiTheme="minorHAnsi" w:eastAsiaTheme="minorEastAsia" w:hAnsiTheme="minorHAnsi" w:cstheme="minorBidi"/>
      <w:sz w:val="22"/>
      <w:szCs w:val="22"/>
      <w:lang w:eastAsia="ja-JP"/>
    </w:rPr>
  </w:style>
  <w:style w:type="paragraph" w:customStyle="1" w:styleId="TOC0">
    <w:name w:val="TOC 0"/>
    <w:basedOn w:val="Normal"/>
    <w:rsid w:val="000869CE"/>
    <w:pPr>
      <w:spacing w:after="240"/>
      <w:jc w:val="center"/>
    </w:pPr>
    <w:rPr>
      <w:b/>
      <w:caps/>
      <w:sz w:val="28"/>
      <w:szCs w:val="20"/>
    </w:rPr>
  </w:style>
  <w:style w:type="paragraph" w:customStyle="1" w:styleId="toc-tabfig">
    <w:name w:val="toc-tab/fig"/>
    <w:basedOn w:val="Normal"/>
    <w:semiHidden/>
    <w:rsid w:val="000869CE"/>
    <w:pPr>
      <w:tabs>
        <w:tab w:val="right" w:leader="dot" w:pos="9360"/>
      </w:tabs>
      <w:spacing w:before="240" w:after="80"/>
      <w:ind w:left="900" w:hanging="540"/>
    </w:pPr>
    <w:rPr>
      <w:szCs w:val="20"/>
    </w:rPr>
  </w:style>
  <w:style w:type="paragraph" w:customStyle="1" w:styleId="TOCHeader">
    <w:name w:val="TOC Header"/>
    <w:basedOn w:val="Normal"/>
    <w:rsid w:val="00080858"/>
    <w:pPr>
      <w:keepNext/>
      <w:tabs>
        <w:tab w:val="right" w:pos="9360"/>
      </w:tabs>
      <w:spacing w:after="240"/>
    </w:pPr>
    <w:rPr>
      <w:b/>
      <w:szCs w:val="20"/>
    </w:rPr>
  </w:style>
  <w:style w:type="paragraph" w:styleId="TOC5">
    <w:name w:val="toc 5"/>
    <w:basedOn w:val="Normal"/>
    <w:next w:val="Normal"/>
    <w:rsid w:val="000869CE"/>
    <w:pPr>
      <w:tabs>
        <w:tab w:val="right" w:leader="dot" w:pos="9360"/>
      </w:tabs>
      <w:spacing w:before="40" w:after="40"/>
      <w:ind w:left="1080" w:right="720" w:hanging="1080"/>
    </w:pPr>
    <w:rPr>
      <w:noProof/>
      <w:szCs w:val="20"/>
    </w:rPr>
  </w:style>
  <w:style w:type="paragraph" w:customStyle="1" w:styleId="NumberBullets">
    <w:name w:val="Number Bullets"/>
    <w:basedOn w:val="Normal"/>
    <w:semiHidden/>
    <w:rsid w:val="000869CE"/>
    <w:pPr>
      <w:numPr>
        <w:numId w:val="1"/>
      </w:numPr>
      <w:tabs>
        <w:tab w:val="left" w:pos="720"/>
      </w:tabs>
    </w:pPr>
    <w:rPr>
      <w:szCs w:val="20"/>
    </w:rPr>
  </w:style>
  <w:style w:type="paragraph" w:styleId="List3">
    <w:name w:val="List 3"/>
    <w:basedOn w:val="Normal"/>
    <w:semiHidden/>
    <w:rsid w:val="000869CE"/>
    <w:pPr>
      <w:ind w:left="1915" w:hanging="360"/>
    </w:pPr>
    <w:rPr>
      <w:rFonts w:ascii="Arial" w:hAnsi="Arial"/>
      <w:spacing w:val="-5"/>
      <w:sz w:val="20"/>
      <w:szCs w:val="20"/>
    </w:rPr>
  </w:style>
  <w:style w:type="paragraph" w:styleId="BodyTextIndent">
    <w:name w:val="Body Text Indent"/>
    <w:basedOn w:val="Normal"/>
    <w:link w:val="BodyTextIndentChar"/>
    <w:rsid w:val="00FC2332"/>
    <w:pPr>
      <w:spacing w:after="120"/>
      <w:ind w:left="360"/>
    </w:pPr>
  </w:style>
  <w:style w:type="character" w:styleId="FollowedHyperlink">
    <w:name w:val="FollowedHyperlink"/>
    <w:basedOn w:val="DefaultParagraphFont"/>
    <w:rsid w:val="00F815AA"/>
    <w:rPr>
      <w:color w:val="800080" w:themeColor="followedHyperlink"/>
      <w:u w:val="single"/>
    </w:rPr>
  </w:style>
  <w:style w:type="character" w:customStyle="1" w:styleId="BodyTextIndentChar">
    <w:name w:val="Body Text Indent Char"/>
    <w:basedOn w:val="DefaultParagraphFont"/>
    <w:link w:val="BodyTextIndent"/>
    <w:rsid w:val="00FC2332"/>
    <w:rPr>
      <w:sz w:val="24"/>
      <w:szCs w:val="24"/>
    </w:rPr>
  </w:style>
  <w:style w:type="paragraph" w:styleId="List4">
    <w:name w:val="List 4"/>
    <w:basedOn w:val="Normal"/>
    <w:uiPriority w:val="99"/>
    <w:unhideWhenUsed/>
    <w:rsid w:val="00FC2332"/>
    <w:pPr>
      <w:keepNext/>
      <w:numPr>
        <w:numId w:val="43"/>
      </w:numPr>
      <w:spacing w:after="240" w:line="320" w:lineRule="atLeast"/>
      <w:contextualSpacing/>
    </w:pPr>
    <w:rPr>
      <w:szCs w:val="20"/>
    </w:rPr>
  </w:style>
  <w:style w:type="character" w:customStyle="1" w:styleId="HTMLPreformattedChar">
    <w:name w:val="HTML Preformatted Char"/>
    <w:basedOn w:val="DefaultParagraphFont"/>
    <w:link w:val="HTMLPreformatted"/>
    <w:semiHidden/>
    <w:rsid w:val="001F127E"/>
    <w:rPr>
      <w:rFonts w:ascii="Courier New" w:hAnsi="Courier New" w:cs="Courier New"/>
    </w:rPr>
  </w:style>
  <w:style w:type="paragraph" w:customStyle="1" w:styleId="Bibliography1">
    <w:name w:val="Bibliography1"/>
    <w:rsid w:val="00092D49"/>
    <w:pPr>
      <w:keepLines/>
      <w:spacing w:after="240"/>
      <w:ind w:left="720" w:hanging="720"/>
    </w:pPr>
    <w:rPr>
      <w:sz w:val="24"/>
      <w:szCs w:val="24"/>
    </w:rPr>
  </w:style>
  <w:style w:type="character" w:styleId="CommentReference">
    <w:name w:val="annotation reference"/>
    <w:basedOn w:val="DefaultParagraphFont"/>
    <w:uiPriority w:val="99"/>
    <w:semiHidden/>
    <w:unhideWhenUsed/>
    <w:rsid w:val="0050498E"/>
    <w:rPr>
      <w:sz w:val="16"/>
      <w:szCs w:val="16"/>
    </w:rPr>
  </w:style>
  <w:style w:type="paragraph" w:styleId="CommentText">
    <w:name w:val="annotation text"/>
    <w:basedOn w:val="Normal"/>
    <w:link w:val="CommentTextChar"/>
    <w:uiPriority w:val="99"/>
    <w:semiHidden/>
    <w:unhideWhenUsed/>
    <w:rsid w:val="0050498E"/>
    <w:rPr>
      <w:sz w:val="20"/>
      <w:szCs w:val="20"/>
    </w:rPr>
  </w:style>
  <w:style w:type="character" w:customStyle="1" w:styleId="CommentTextChar">
    <w:name w:val="Comment Text Char"/>
    <w:basedOn w:val="DefaultParagraphFont"/>
    <w:link w:val="CommentText"/>
    <w:uiPriority w:val="99"/>
    <w:semiHidden/>
    <w:rsid w:val="0050498E"/>
  </w:style>
  <w:style w:type="paragraph" w:styleId="CommentSubject">
    <w:name w:val="annotation subject"/>
    <w:basedOn w:val="CommentText"/>
    <w:next w:val="CommentText"/>
    <w:link w:val="CommentSubjectChar"/>
    <w:semiHidden/>
    <w:unhideWhenUsed/>
    <w:rsid w:val="0050498E"/>
    <w:rPr>
      <w:b/>
      <w:bCs/>
    </w:rPr>
  </w:style>
  <w:style w:type="character" w:customStyle="1" w:styleId="CommentSubjectChar">
    <w:name w:val="Comment Subject Char"/>
    <w:basedOn w:val="CommentTextChar"/>
    <w:link w:val="CommentSubject"/>
    <w:semiHidden/>
    <w:rsid w:val="0050498E"/>
    <w:rPr>
      <w:b/>
      <w:bCs/>
    </w:rPr>
  </w:style>
  <w:style w:type="paragraph" w:styleId="TOC4">
    <w:name w:val="toc 4"/>
    <w:basedOn w:val="Normal"/>
    <w:next w:val="Normal"/>
    <w:rsid w:val="000869CE"/>
    <w:pPr>
      <w:tabs>
        <w:tab w:val="right" w:leader="dot" w:pos="9360"/>
      </w:tabs>
      <w:spacing w:before="60"/>
      <w:ind w:left="3240" w:hanging="720"/>
    </w:pPr>
    <w:rPr>
      <w:szCs w:val="20"/>
    </w:rPr>
  </w:style>
  <w:style w:type="paragraph" w:styleId="Revision">
    <w:name w:val="Revision"/>
    <w:hidden/>
    <w:uiPriority w:val="99"/>
    <w:semiHidden/>
    <w:rsid w:val="002B35BE"/>
    <w:rPr>
      <w:sz w:val="24"/>
      <w:szCs w:val="24"/>
    </w:rPr>
  </w:style>
  <w:style w:type="paragraph" w:styleId="ListNumber">
    <w:name w:val="List Number"/>
    <w:basedOn w:val="Normal"/>
    <w:rsid w:val="000B19FD"/>
    <w:pPr>
      <w:numPr>
        <w:numId w:val="45"/>
      </w:numPr>
      <w:contextualSpacing/>
    </w:pPr>
  </w:style>
  <w:style w:type="paragraph" w:styleId="ListParagraph">
    <w:name w:val="List Paragraph"/>
    <w:basedOn w:val="Normal"/>
    <w:uiPriority w:val="34"/>
    <w:qFormat/>
    <w:rsid w:val="00CE198D"/>
    <w:pPr>
      <w:ind w:left="720"/>
      <w:contextualSpacing/>
    </w:pPr>
  </w:style>
  <w:style w:type="character" w:customStyle="1" w:styleId="Heading1Char">
    <w:name w:val="Heading 1 Char"/>
    <w:basedOn w:val="DefaultParagraphFont"/>
    <w:link w:val="Heading1"/>
    <w:rsid w:val="00761EDD"/>
    <w:rPr>
      <w:rFonts w:ascii="Times New Roman Bold" w:hAnsi="Times New Roman Bold"/>
      <w:b/>
      <w:bCs/>
      <w:caps/>
      <w:sz w:val="24"/>
      <w:szCs w:val="24"/>
    </w:rPr>
  </w:style>
  <w:style w:type="paragraph" w:customStyle="1" w:styleId="Body2">
    <w:name w:val="Body2"/>
    <w:basedOn w:val="Normal"/>
    <w:qFormat/>
    <w:rsid w:val="00FC1D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qFormat="1"/>
    <w:lsdException w:name="table of figures" w:uiPriority="99"/>
    <w:lsdException w:name="annotation reference" w:uiPriority="99"/>
    <w:lsdException w:name="List Number" w:semiHidden="0" w:unhideWhenUsed="0"/>
    <w:lsdException w:name="List 4" w:semiHidden="0" w:uiPriority="99" w:unhideWhenUsed="0"/>
    <w:lsdException w:name="List 5" w:semiHidden="0" w:unhideWhenUsed="0"/>
    <w:lsdException w:name="List Number 2" w:uiPriority="99"/>
    <w:lsdException w:name="List Number 3" w:uiPriority="99"/>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858"/>
    <w:rPr>
      <w:sz w:val="24"/>
      <w:szCs w:val="24"/>
    </w:rPr>
  </w:style>
  <w:style w:type="paragraph" w:styleId="Heading1">
    <w:name w:val="heading 1"/>
    <w:basedOn w:val="Normal"/>
    <w:next w:val="Normal"/>
    <w:link w:val="Heading1Char"/>
    <w:qFormat/>
    <w:rsid w:val="000869C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0869CE"/>
    <w:pPr>
      <w:keepNext/>
      <w:spacing w:before="240" w:after="240"/>
      <w:ind w:left="720" w:hanging="720"/>
      <w:outlineLvl w:val="1"/>
    </w:pPr>
    <w:rPr>
      <w:rFonts w:cs="Arial"/>
      <w:b/>
      <w:bCs/>
      <w:iCs/>
      <w:szCs w:val="28"/>
    </w:rPr>
  </w:style>
  <w:style w:type="paragraph" w:styleId="Heading3">
    <w:name w:val="heading 3"/>
    <w:basedOn w:val="Normal"/>
    <w:next w:val="Normal"/>
    <w:link w:val="Heading3Char"/>
    <w:qFormat/>
    <w:rsid w:val="000869CE"/>
    <w:pPr>
      <w:keepNext/>
      <w:spacing w:before="240" w:after="120"/>
      <w:ind w:left="720" w:hanging="720"/>
      <w:outlineLvl w:val="2"/>
    </w:pPr>
    <w:rPr>
      <w:rFonts w:cs="Arial"/>
      <w:b/>
      <w:bCs/>
      <w:i/>
      <w:iCs/>
      <w:szCs w:val="22"/>
      <w:lang w:val="en-CA"/>
    </w:rPr>
  </w:style>
  <w:style w:type="paragraph" w:styleId="Heading4">
    <w:name w:val="heading 4"/>
    <w:basedOn w:val="Normal"/>
    <w:next w:val="Normal"/>
    <w:qFormat/>
    <w:rsid w:val="00080858"/>
    <w:pPr>
      <w:keepNext/>
      <w:spacing w:before="240" w:after="120"/>
      <w:ind w:left="900" w:hanging="900"/>
      <w:outlineLvl w:val="3"/>
    </w:pPr>
    <w:rPr>
      <w:rFonts w:cs="Arial"/>
      <w:bCs/>
      <w:i/>
      <w:szCs w:val="22"/>
    </w:rPr>
  </w:style>
  <w:style w:type="paragraph" w:styleId="Heading5">
    <w:name w:val="heading 5"/>
    <w:basedOn w:val="Normal"/>
    <w:next w:val="Normal"/>
    <w:semiHidden/>
    <w:qFormat/>
    <w:rsid w:val="000869CE"/>
    <w:pPr>
      <w:keepNext/>
      <w:widowControl w:val="0"/>
      <w:outlineLvl w:val="4"/>
    </w:pPr>
    <w:rPr>
      <w:rFonts w:ascii="Arial" w:hAnsi="Arial" w:cs="Arial"/>
      <w:b/>
      <w:bCs/>
      <w:sz w:val="20"/>
      <w:szCs w:val="20"/>
      <w:u w:val="single"/>
    </w:rPr>
  </w:style>
  <w:style w:type="paragraph" w:styleId="Heading6">
    <w:name w:val="heading 6"/>
    <w:basedOn w:val="Normal"/>
    <w:next w:val="Normal"/>
    <w:semiHidden/>
    <w:qFormat/>
    <w:rsid w:val="000869CE"/>
    <w:pPr>
      <w:keepNext/>
      <w:jc w:val="center"/>
      <w:outlineLvl w:val="5"/>
    </w:pPr>
    <w:rPr>
      <w:rFonts w:ascii="Arial" w:hAnsi="Arial" w:cs="Arial"/>
      <w:b/>
      <w:bCs/>
    </w:rPr>
  </w:style>
  <w:style w:type="paragraph" w:styleId="Heading7">
    <w:name w:val="heading 7"/>
    <w:basedOn w:val="Normal"/>
    <w:next w:val="Normal"/>
    <w:semiHidden/>
    <w:qFormat/>
    <w:rsid w:val="000869CE"/>
    <w:pPr>
      <w:keepNext/>
      <w:jc w:val="center"/>
      <w:outlineLvl w:val="6"/>
    </w:pPr>
    <w:rPr>
      <w:rFonts w:ascii="Arial" w:hAnsi="Arial" w:cs="Arial"/>
      <w:b/>
      <w:bCs/>
      <w:sz w:val="16"/>
      <w:szCs w:val="16"/>
    </w:rPr>
  </w:style>
  <w:style w:type="paragraph" w:styleId="Heading8">
    <w:name w:val="heading 8"/>
    <w:basedOn w:val="Normal"/>
    <w:next w:val="Normal"/>
    <w:semiHidden/>
    <w:qFormat/>
    <w:rsid w:val="000869CE"/>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semiHidden/>
    <w:qFormat/>
    <w:rsid w:val="000869CE"/>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9C1BBD"/>
    <w:rPr>
      <w:rFonts w:cs="Arial"/>
      <w:b/>
      <w:bCs/>
      <w:i/>
      <w:iCs/>
      <w:sz w:val="24"/>
      <w:szCs w:val="22"/>
      <w:lang w:val="en-CA"/>
    </w:rPr>
  </w:style>
  <w:style w:type="paragraph" w:styleId="ListContinue">
    <w:name w:val="List Continue"/>
    <w:basedOn w:val="Normal"/>
    <w:unhideWhenUsed/>
    <w:rsid w:val="004461C6"/>
    <w:pPr>
      <w:spacing w:after="120"/>
      <w:ind w:left="1080"/>
    </w:pPr>
  </w:style>
  <w:style w:type="numbering" w:customStyle="1" w:styleId="NoList1">
    <w:name w:val="No List1"/>
    <w:next w:val="NoList"/>
    <w:semiHidden/>
    <w:rsid w:val="000869CE"/>
  </w:style>
  <w:style w:type="table" w:styleId="TableGrid">
    <w:name w:val="Table Grid"/>
    <w:basedOn w:val="TableNormal"/>
    <w:rsid w:val="000869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PgHead">
    <w:name w:val="TitlePgHead"/>
    <w:basedOn w:val="Normal"/>
    <w:qFormat/>
    <w:rsid w:val="00BB511C"/>
    <w:pPr>
      <w:pageBreakBefore/>
      <w:spacing w:before="2400" w:after="720"/>
      <w:jc w:val="center"/>
    </w:pPr>
    <w:rPr>
      <w:b/>
      <w:color w:val="000000"/>
      <w:sz w:val="28"/>
      <w:szCs w:val="28"/>
    </w:rPr>
  </w:style>
  <w:style w:type="paragraph" w:styleId="BodyText">
    <w:name w:val="Body Text"/>
    <w:basedOn w:val="Normal"/>
    <w:link w:val="BodyTextChar"/>
    <w:rsid w:val="00CC0A85"/>
    <w:pPr>
      <w:spacing w:after="120"/>
      <w:ind w:firstLine="720"/>
    </w:pPr>
  </w:style>
  <w:style w:type="character" w:customStyle="1" w:styleId="BodyTextChar">
    <w:name w:val="Body Text Char"/>
    <w:basedOn w:val="DefaultParagraphFont"/>
    <w:link w:val="BodyText"/>
    <w:rsid w:val="00CC0A85"/>
    <w:rPr>
      <w:sz w:val="24"/>
      <w:szCs w:val="24"/>
    </w:rPr>
  </w:style>
  <w:style w:type="paragraph" w:styleId="ListBullet">
    <w:name w:val="List Bullet"/>
    <w:basedOn w:val="Normal"/>
    <w:rsid w:val="00CC0A85"/>
    <w:pPr>
      <w:numPr>
        <w:ilvl w:val="1"/>
        <w:numId w:val="3"/>
      </w:numPr>
      <w:spacing w:after="120"/>
    </w:pPr>
  </w:style>
  <w:style w:type="paragraph" w:styleId="Date">
    <w:name w:val="Date"/>
    <w:basedOn w:val="Normal"/>
    <w:next w:val="Normal"/>
    <w:link w:val="DateChar"/>
    <w:rsid w:val="004461C6"/>
    <w:pPr>
      <w:spacing w:after="720"/>
      <w:jc w:val="right"/>
    </w:pPr>
    <w:rPr>
      <w:rFonts w:ascii="Arial" w:hAnsi="Arial" w:cs="Arial"/>
      <w:b/>
      <w:sz w:val="28"/>
    </w:rPr>
  </w:style>
  <w:style w:type="character" w:customStyle="1" w:styleId="DateChar">
    <w:name w:val="Date Char"/>
    <w:basedOn w:val="DefaultParagraphFont"/>
    <w:link w:val="Date"/>
    <w:rsid w:val="004461C6"/>
    <w:rPr>
      <w:rFonts w:ascii="Arial" w:hAnsi="Arial" w:cs="Arial"/>
      <w:b/>
      <w:sz w:val="28"/>
      <w:szCs w:val="24"/>
    </w:rPr>
  </w:style>
  <w:style w:type="paragraph" w:styleId="FootnoteText">
    <w:name w:val="footnote text"/>
    <w:basedOn w:val="Normal"/>
    <w:link w:val="FootnoteTextChar"/>
    <w:rsid w:val="00080858"/>
    <w:pPr>
      <w:widowControl w:val="0"/>
      <w:ind w:left="216" w:hanging="216"/>
    </w:pPr>
    <w:rPr>
      <w:rFonts w:cs="Courier New"/>
      <w:sz w:val="20"/>
    </w:rPr>
  </w:style>
  <w:style w:type="character" w:styleId="FootnoteReference">
    <w:name w:val="footnote reference"/>
    <w:rsid w:val="00080858"/>
    <w:rPr>
      <w:rFonts w:ascii="Times New Roman" w:hAnsi="Times New Roman" w:cs="Courier New"/>
      <w:strike w:val="0"/>
      <w:dstrike w:val="0"/>
      <w:sz w:val="24"/>
      <w:szCs w:val="24"/>
      <w:vertAlign w:val="superscript"/>
    </w:rPr>
  </w:style>
  <w:style w:type="character" w:customStyle="1" w:styleId="Heading2Char">
    <w:name w:val="Heading 2 Char"/>
    <w:basedOn w:val="DefaultParagraphFont"/>
    <w:link w:val="Heading2"/>
    <w:rsid w:val="009C1BBD"/>
    <w:rPr>
      <w:rFonts w:cs="Arial"/>
      <w:b/>
      <w:bCs/>
      <w:iCs/>
      <w:sz w:val="24"/>
      <w:szCs w:val="28"/>
    </w:rPr>
  </w:style>
  <w:style w:type="paragraph" w:styleId="ListBullet2">
    <w:name w:val="List Bullet 2"/>
    <w:basedOn w:val="Normal"/>
    <w:rsid w:val="009C1BBD"/>
    <w:pPr>
      <w:numPr>
        <w:numId w:val="4"/>
      </w:numPr>
      <w:spacing w:after="120"/>
      <w:ind w:hanging="360"/>
    </w:pPr>
  </w:style>
  <w:style w:type="paragraph" w:customStyle="1" w:styleId="Default">
    <w:name w:val="Default"/>
    <w:rsid w:val="009C1BBD"/>
    <w:pPr>
      <w:autoSpaceDE w:val="0"/>
      <w:autoSpaceDN w:val="0"/>
      <w:adjustRightInd w:val="0"/>
    </w:pPr>
    <w:rPr>
      <w:color w:val="000000"/>
      <w:sz w:val="24"/>
      <w:szCs w:val="24"/>
      <w:lang w:eastAsia="zh-CN"/>
    </w:rPr>
  </w:style>
  <w:style w:type="paragraph" w:customStyle="1" w:styleId="heading10">
    <w:name w:val="heading1"/>
    <w:basedOn w:val="Normal"/>
    <w:next w:val="Normal"/>
    <w:semiHidden/>
    <w:rsid w:val="000869CE"/>
    <w:pPr>
      <w:spacing w:before="120" w:after="120"/>
    </w:pPr>
    <w:rPr>
      <w:b/>
      <w:bCs/>
      <w:sz w:val="22"/>
      <w:szCs w:val="22"/>
    </w:rPr>
  </w:style>
  <w:style w:type="paragraph" w:customStyle="1" w:styleId="Source">
    <w:name w:val="Source"/>
    <w:basedOn w:val="Normal"/>
    <w:qFormat/>
    <w:rsid w:val="009C1BBD"/>
    <w:pPr>
      <w:spacing w:before="120" w:after="360"/>
      <w:ind w:left="180" w:hanging="180"/>
    </w:pPr>
    <w:rPr>
      <w:sz w:val="20"/>
      <w:szCs w:val="22"/>
    </w:rPr>
  </w:style>
  <w:style w:type="paragraph" w:customStyle="1" w:styleId="heading20">
    <w:name w:val="heading2"/>
    <w:basedOn w:val="Heading3"/>
    <w:next w:val="Normal"/>
    <w:semiHidden/>
    <w:rsid w:val="000869CE"/>
    <w:pPr>
      <w:spacing w:before="120"/>
    </w:pPr>
    <w:rPr>
      <w:rFonts w:cs="Times New Roman"/>
    </w:rPr>
  </w:style>
  <w:style w:type="paragraph" w:styleId="Caption">
    <w:name w:val="caption"/>
    <w:basedOn w:val="Normal"/>
    <w:next w:val="Normal"/>
    <w:qFormat/>
    <w:rsid w:val="00BB511C"/>
    <w:pPr>
      <w:keepNext/>
      <w:keepLines/>
      <w:spacing w:before="240" w:after="120"/>
      <w:ind w:left="1440" w:hanging="1440"/>
    </w:pPr>
    <w:rPr>
      <w:rFonts w:cs="Arial"/>
      <w:b/>
      <w:bCs/>
      <w:szCs w:val="22"/>
    </w:rPr>
  </w:style>
  <w:style w:type="paragraph" w:styleId="BalloonText">
    <w:name w:val="Balloon Text"/>
    <w:basedOn w:val="Normal"/>
    <w:semiHidden/>
    <w:rsid w:val="000869CE"/>
    <w:pPr>
      <w:numPr>
        <w:numId w:val="2"/>
      </w:numPr>
      <w:tabs>
        <w:tab w:val="clear" w:pos="720"/>
        <w:tab w:val="num" w:pos="360"/>
      </w:tabs>
      <w:ind w:left="0" w:firstLine="0"/>
    </w:pPr>
    <w:rPr>
      <w:rFonts w:ascii="Tahoma" w:hAnsi="Tahoma" w:cs="Tahoma"/>
      <w:sz w:val="16"/>
      <w:szCs w:val="16"/>
    </w:rPr>
  </w:style>
  <w:style w:type="paragraph" w:customStyle="1" w:styleId="TableHeaders">
    <w:name w:val="Table Headers"/>
    <w:basedOn w:val="Normal"/>
    <w:qFormat/>
    <w:rsid w:val="002015BA"/>
    <w:pPr>
      <w:keepNext/>
      <w:spacing w:before="80" w:after="80" w:line="240" w:lineRule="exact"/>
      <w:jc w:val="center"/>
    </w:pPr>
    <w:rPr>
      <w:b/>
      <w:snapToGrid w:val="0"/>
      <w:sz w:val="22"/>
      <w:szCs w:val="22"/>
    </w:rPr>
  </w:style>
  <w:style w:type="paragraph" w:customStyle="1" w:styleId="TableText">
    <w:name w:val="Table Text"/>
    <w:qFormat/>
    <w:rsid w:val="009C1BBD"/>
    <w:pPr>
      <w:spacing w:before="40" w:after="40"/>
    </w:pPr>
    <w:rPr>
      <w:sz w:val="22"/>
    </w:rPr>
  </w:style>
  <w:style w:type="character" w:customStyle="1" w:styleId="FootnoteTextChar">
    <w:name w:val="Footnote Text Char"/>
    <w:basedOn w:val="DefaultParagraphFont"/>
    <w:link w:val="FootnoteText"/>
    <w:rsid w:val="00080858"/>
    <w:rPr>
      <w:rFonts w:cs="Courier New"/>
      <w:szCs w:val="24"/>
    </w:rPr>
  </w:style>
  <w:style w:type="paragraph" w:styleId="Header">
    <w:name w:val="header"/>
    <w:basedOn w:val="Normal"/>
    <w:link w:val="HeaderChar"/>
    <w:rsid w:val="000869CE"/>
    <w:pPr>
      <w:tabs>
        <w:tab w:val="center" w:pos="4320"/>
        <w:tab w:val="right" w:pos="8640"/>
      </w:tabs>
    </w:pPr>
    <w:rPr>
      <w:sz w:val="20"/>
      <w:szCs w:val="20"/>
    </w:rPr>
  </w:style>
  <w:style w:type="paragraph" w:styleId="Footer">
    <w:name w:val="footer"/>
    <w:basedOn w:val="Normal"/>
    <w:link w:val="FooterChar"/>
    <w:rsid w:val="000869CE"/>
    <w:pPr>
      <w:tabs>
        <w:tab w:val="center" w:pos="4320"/>
        <w:tab w:val="right" w:pos="8640"/>
      </w:tabs>
    </w:pPr>
    <w:rPr>
      <w:sz w:val="20"/>
      <w:szCs w:val="20"/>
    </w:rPr>
  </w:style>
  <w:style w:type="character" w:styleId="PageNumber">
    <w:name w:val="page number"/>
    <w:rsid w:val="000869CE"/>
    <w:rPr>
      <w:rFonts w:ascii="Times New Roman" w:hAnsi="Times New Roman"/>
      <w:sz w:val="24"/>
    </w:rPr>
  </w:style>
  <w:style w:type="paragraph" w:styleId="Subtitle">
    <w:name w:val="Subtitle"/>
    <w:basedOn w:val="Normal"/>
    <w:next w:val="Normal"/>
    <w:link w:val="SubtitleChar"/>
    <w:qFormat/>
    <w:rsid w:val="004461C6"/>
    <w:pPr>
      <w:numPr>
        <w:ilvl w:val="1"/>
      </w:numPr>
      <w:spacing w:after="1440"/>
      <w:jc w:val="right"/>
    </w:pPr>
    <w:rPr>
      <w:rFonts w:ascii="Arial Black" w:eastAsiaTheme="majorEastAsia" w:hAnsi="Arial Black" w:cstheme="majorBidi"/>
      <w:iCs/>
      <w:spacing w:val="15"/>
      <w:sz w:val="40"/>
      <w:szCs w:val="40"/>
    </w:rPr>
  </w:style>
  <w:style w:type="character" w:customStyle="1" w:styleId="SubtitleChar">
    <w:name w:val="Subtitle Char"/>
    <w:basedOn w:val="DefaultParagraphFont"/>
    <w:link w:val="Subtitle"/>
    <w:rsid w:val="004461C6"/>
    <w:rPr>
      <w:rFonts w:ascii="Arial Black" w:eastAsiaTheme="majorEastAsia" w:hAnsi="Arial Black" w:cstheme="majorBidi"/>
      <w:iCs/>
      <w:spacing w:val="15"/>
      <w:sz w:val="40"/>
      <w:szCs w:val="40"/>
    </w:rPr>
  </w:style>
  <w:style w:type="paragraph" w:styleId="Bibliography">
    <w:name w:val="Bibliography"/>
    <w:basedOn w:val="Normal"/>
    <w:next w:val="Normal"/>
    <w:uiPriority w:val="37"/>
    <w:semiHidden/>
    <w:unhideWhenUsed/>
    <w:rsid w:val="0089760A"/>
  </w:style>
  <w:style w:type="paragraph" w:customStyle="1" w:styleId="Address2">
    <w:name w:val="Address2"/>
    <w:basedOn w:val="Address1"/>
    <w:qFormat/>
    <w:rsid w:val="004461C6"/>
    <w:pPr>
      <w:spacing w:after="720"/>
      <w:contextualSpacing/>
    </w:pPr>
  </w:style>
  <w:style w:type="paragraph" w:styleId="EndnoteText">
    <w:name w:val="endnote text"/>
    <w:basedOn w:val="Normal"/>
    <w:semiHidden/>
    <w:rsid w:val="000869CE"/>
    <w:rPr>
      <w:sz w:val="20"/>
      <w:szCs w:val="20"/>
    </w:rPr>
  </w:style>
  <w:style w:type="character" w:styleId="EndnoteReference">
    <w:name w:val="endnote reference"/>
    <w:semiHidden/>
    <w:rsid w:val="000869CE"/>
    <w:rPr>
      <w:vertAlign w:val="superscript"/>
    </w:rPr>
  </w:style>
  <w:style w:type="paragraph" w:styleId="Title">
    <w:name w:val="Title"/>
    <w:basedOn w:val="Normal"/>
    <w:qFormat/>
    <w:rsid w:val="000869CE"/>
    <w:pPr>
      <w:spacing w:after="1200"/>
      <w:ind w:left="-274"/>
      <w:jc w:val="right"/>
    </w:pPr>
    <w:rPr>
      <w:rFonts w:ascii="Arial Black" w:hAnsi="Arial Black"/>
      <w:bCs/>
      <w:sz w:val="48"/>
    </w:rPr>
  </w:style>
  <w:style w:type="character" w:customStyle="1" w:styleId="FooterChar">
    <w:name w:val="Footer Char"/>
    <w:basedOn w:val="DefaultParagraphFont"/>
    <w:link w:val="Footer"/>
    <w:rsid w:val="00FE3000"/>
  </w:style>
  <w:style w:type="character" w:customStyle="1" w:styleId="HeaderChar">
    <w:name w:val="Header Char"/>
    <w:basedOn w:val="DefaultParagraphFont"/>
    <w:link w:val="Header"/>
    <w:rsid w:val="00FE3000"/>
  </w:style>
  <w:style w:type="character" w:styleId="Hyperlink">
    <w:name w:val="Hyperlink"/>
    <w:uiPriority w:val="99"/>
    <w:rsid w:val="000869CE"/>
    <w:rPr>
      <w:color w:val="0000FF"/>
      <w:u w:val="single"/>
    </w:rPr>
  </w:style>
  <w:style w:type="paragraph" w:customStyle="1" w:styleId="AppHeading1">
    <w:name w:val="App Heading 1"/>
    <w:rsid w:val="00080858"/>
    <w:pPr>
      <w:spacing w:after="360"/>
      <w:jc w:val="center"/>
      <w:outlineLvl w:val="0"/>
    </w:pPr>
    <w:rPr>
      <w:rFonts w:eastAsia="MS Mincho"/>
      <w:b/>
      <w:caps/>
      <w:kern w:val="28"/>
      <w:sz w:val="24"/>
      <w:szCs w:val="28"/>
    </w:rPr>
  </w:style>
  <w:style w:type="paragraph" w:styleId="BodyText2">
    <w:name w:val="Body Text 2"/>
    <w:basedOn w:val="Normal"/>
    <w:link w:val="BodyText2Char"/>
    <w:rsid w:val="003F042D"/>
    <w:pPr>
      <w:spacing w:after="120"/>
    </w:pPr>
    <w:rPr>
      <w:szCs w:val="20"/>
    </w:rPr>
  </w:style>
  <w:style w:type="paragraph" w:customStyle="1" w:styleId="TitlePgText">
    <w:name w:val="TitlePg_Text"/>
    <w:basedOn w:val="Normal"/>
    <w:qFormat/>
    <w:rsid w:val="00BB511C"/>
    <w:pPr>
      <w:spacing w:after="720"/>
      <w:jc w:val="center"/>
    </w:pPr>
    <w:rPr>
      <w:color w:val="000000"/>
    </w:rPr>
  </w:style>
  <w:style w:type="paragraph" w:styleId="TableofFigures">
    <w:name w:val="table of figures"/>
    <w:basedOn w:val="Normal"/>
    <w:next w:val="Normal"/>
    <w:uiPriority w:val="99"/>
    <w:unhideWhenUsed/>
    <w:rsid w:val="001B0AFC"/>
    <w:pPr>
      <w:tabs>
        <w:tab w:val="left" w:pos="720"/>
        <w:tab w:val="right" w:leader="dot" w:pos="9350"/>
      </w:tabs>
      <w:spacing w:after="60"/>
      <w:ind w:left="1080" w:right="720" w:hanging="720"/>
    </w:pPr>
    <w:rPr>
      <w:noProof/>
    </w:rPr>
  </w:style>
  <w:style w:type="character" w:customStyle="1" w:styleId="BodyText2Char">
    <w:name w:val="Body Text 2 Char"/>
    <w:basedOn w:val="DefaultParagraphFont"/>
    <w:link w:val="BodyText2"/>
    <w:rsid w:val="003F042D"/>
    <w:rPr>
      <w:sz w:val="24"/>
    </w:rPr>
  </w:style>
  <w:style w:type="paragraph" w:styleId="HTMLPreformatted">
    <w:name w:val="HTML Preformatted"/>
    <w:basedOn w:val="Normal"/>
    <w:link w:val="HTMLPreformattedChar"/>
    <w:semiHidden/>
    <w:rsid w:val="00086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rsid w:val="000869CE"/>
    <w:pPr>
      <w:tabs>
        <w:tab w:val="right" w:leader="dot" w:pos="9350"/>
      </w:tabs>
      <w:spacing w:before="240" w:after="120"/>
      <w:ind w:left="720" w:hanging="360"/>
    </w:pPr>
    <w:rPr>
      <w:noProof/>
    </w:rPr>
  </w:style>
  <w:style w:type="paragraph" w:styleId="TOC2">
    <w:name w:val="toc 2"/>
    <w:basedOn w:val="Normal"/>
    <w:next w:val="Normal"/>
    <w:autoRedefine/>
    <w:uiPriority w:val="39"/>
    <w:rsid w:val="000869CE"/>
    <w:pPr>
      <w:tabs>
        <w:tab w:val="right" w:leader="dot" w:pos="9350"/>
      </w:tabs>
      <w:spacing w:before="120" w:after="120"/>
      <w:ind w:left="1350" w:hanging="630"/>
    </w:pPr>
    <w:rPr>
      <w:noProof/>
    </w:rPr>
  </w:style>
  <w:style w:type="character" w:customStyle="1" w:styleId="TomMitchell">
    <w:name w:val="Tom Mitchell"/>
    <w:semiHidden/>
    <w:rsid w:val="000869CE"/>
    <w:rPr>
      <w:rFonts w:ascii="Arial" w:hAnsi="Arial" w:cs="Arial"/>
      <w:color w:val="000080"/>
      <w:sz w:val="20"/>
      <w:szCs w:val="20"/>
    </w:rPr>
  </w:style>
  <w:style w:type="paragraph" w:styleId="ListNumber2">
    <w:name w:val="List Number 2"/>
    <w:basedOn w:val="Normal"/>
    <w:uiPriority w:val="99"/>
    <w:rsid w:val="003F042D"/>
    <w:pPr>
      <w:keepNext/>
      <w:keepLines/>
      <w:numPr>
        <w:numId w:val="5"/>
      </w:numPr>
      <w:tabs>
        <w:tab w:val="clear" w:pos="1800"/>
        <w:tab w:val="left" w:pos="540"/>
      </w:tabs>
      <w:spacing w:before="240" w:after="120"/>
      <w:ind w:left="547" w:hanging="547"/>
    </w:pPr>
    <w:rPr>
      <w:szCs w:val="20"/>
    </w:rPr>
  </w:style>
  <w:style w:type="paragraph" w:customStyle="1" w:styleId="QuexHeading1">
    <w:name w:val="Quex Heading 1"/>
    <w:basedOn w:val="Heading1"/>
    <w:qFormat/>
    <w:rsid w:val="003F042D"/>
    <w:pPr>
      <w:pBdr>
        <w:top w:val="single" w:sz="4" w:space="1" w:color="auto"/>
        <w:left w:val="single" w:sz="4" w:space="4" w:color="auto"/>
        <w:bottom w:val="single" w:sz="4" w:space="1" w:color="auto"/>
        <w:right w:val="single" w:sz="4" w:space="4" w:color="auto"/>
      </w:pBdr>
      <w:shd w:val="clear" w:color="auto" w:fill="DDDDDD"/>
      <w:spacing w:before="360"/>
      <w:jc w:val="center"/>
    </w:pPr>
    <w:rPr>
      <w:rFonts w:ascii="Arial Bold" w:hAnsi="Arial Bold"/>
      <w:caps w:val="0"/>
      <w:smallCaps/>
      <w:kern w:val="32"/>
      <w:sz w:val="28"/>
      <w:szCs w:val="32"/>
    </w:rPr>
  </w:style>
  <w:style w:type="paragraph" w:customStyle="1" w:styleId="Author">
    <w:name w:val="Author"/>
    <w:basedOn w:val="Normal"/>
    <w:rsid w:val="0011702B"/>
    <w:pPr>
      <w:jc w:val="right"/>
    </w:pPr>
    <w:rPr>
      <w:rFonts w:ascii="Arial Black" w:hAnsi="Arial Black"/>
      <w:szCs w:val="20"/>
    </w:rPr>
  </w:style>
  <w:style w:type="paragraph" w:customStyle="1" w:styleId="Address1">
    <w:name w:val="Address1"/>
    <w:basedOn w:val="Normal"/>
    <w:rsid w:val="004461C6"/>
    <w:pPr>
      <w:spacing w:after="240"/>
      <w:jc w:val="right"/>
    </w:pPr>
    <w:rPr>
      <w:rFonts w:ascii="Arial" w:hAnsi="Arial"/>
      <w:szCs w:val="20"/>
    </w:rPr>
  </w:style>
  <w:style w:type="paragraph" w:styleId="DocumentMap">
    <w:name w:val="Document Map"/>
    <w:basedOn w:val="Normal"/>
    <w:semiHidden/>
    <w:rsid w:val="000869CE"/>
    <w:pPr>
      <w:shd w:val="clear" w:color="auto" w:fill="000080"/>
    </w:pPr>
    <w:rPr>
      <w:rFonts w:ascii="Tahoma" w:hAnsi="Tahoma" w:cs="Tahoma"/>
    </w:rPr>
  </w:style>
  <w:style w:type="paragraph" w:styleId="ListNumber3">
    <w:name w:val="List Number 3"/>
    <w:basedOn w:val="Normal"/>
    <w:uiPriority w:val="99"/>
    <w:rsid w:val="003F042D"/>
    <w:pPr>
      <w:numPr>
        <w:numId w:val="6"/>
      </w:numPr>
      <w:spacing w:after="60"/>
      <w:ind w:left="1152" w:hanging="576"/>
    </w:pPr>
    <w:rPr>
      <w:szCs w:val="20"/>
    </w:rPr>
  </w:style>
  <w:style w:type="paragraph" w:styleId="TOC3">
    <w:name w:val="toc 3"/>
    <w:basedOn w:val="Normal"/>
    <w:next w:val="Normal"/>
    <w:uiPriority w:val="39"/>
    <w:rsid w:val="000869CE"/>
    <w:pPr>
      <w:tabs>
        <w:tab w:val="right" w:leader="dot" w:pos="9360"/>
      </w:tabs>
      <w:spacing w:before="80" w:after="40"/>
      <w:ind w:left="2340" w:right="720" w:hanging="900"/>
    </w:pPr>
    <w:rPr>
      <w:noProof/>
      <w:szCs w:val="20"/>
    </w:rPr>
  </w:style>
  <w:style w:type="paragraph" w:customStyle="1" w:styleId="Question">
    <w:name w:val="Question"/>
    <w:basedOn w:val="Normal"/>
    <w:semiHidden/>
    <w:rsid w:val="000869CE"/>
    <w:pPr>
      <w:keepNext/>
      <w:keepLines/>
      <w:spacing w:before="160" w:after="60"/>
      <w:ind w:left="900" w:hanging="547"/>
    </w:pPr>
    <w:rPr>
      <w:rFonts w:ascii="Optima" w:hAnsi="Optima"/>
      <w:sz w:val="22"/>
      <w:szCs w:val="20"/>
    </w:rPr>
  </w:style>
  <w:style w:type="character" w:customStyle="1" w:styleId="Heading7Char">
    <w:name w:val="Heading 7 Char"/>
    <w:semiHidden/>
    <w:rsid w:val="000869CE"/>
    <w:rPr>
      <w:b/>
      <w:noProof w:val="0"/>
      <w:snapToGrid w:val="0"/>
      <w:sz w:val="24"/>
      <w:u w:val="single"/>
      <w:lang w:val="en-US" w:eastAsia="en-US" w:bidi="ar-SA"/>
    </w:rPr>
  </w:style>
  <w:style w:type="paragraph" w:styleId="NoSpacing">
    <w:name w:val="No Spacing"/>
    <w:link w:val="NoSpacingChar"/>
    <w:uiPriority w:val="1"/>
    <w:qFormat/>
    <w:rsid w:val="003F042D"/>
    <w:rPr>
      <w:rFonts w:asciiTheme="minorHAnsi" w:eastAsiaTheme="minorEastAsia" w:hAnsiTheme="minorHAnsi" w:cstheme="minorBidi"/>
      <w:sz w:val="22"/>
      <w:szCs w:val="22"/>
      <w:lang w:eastAsia="ja-JP"/>
    </w:rPr>
  </w:style>
  <w:style w:type="paragraph" w:styleId="Index2">
    <w:name w:val="index 2"/>
    <w:basedOn w:val="Normal"/>
    <w:next w:val="Normal"/>
    <w:semiHidden/>
    <w:rsid w:val="000869CE"/>
    <w:pPr>
      <w:ind w:left="360"/>
    </w:pPr>
    <w:rPr>
      <w:szCs w:val="20"/>
    </w:rPr>
  </w:style>
  <w:style w:type="paragraph" w:styleId="Index1">
    <w:name w:val="index 1"/>
    <w:basedOn w:val="Normal"/>
    <w:next w:val="Normal"/>
    <w:semiHidden/>
    <w:rsid w:val="000869CE"/>
    <w:rPr>
      <w:szCs w:val="20"/>
    </w:rPr>
  </w:style>
  <w:style w:type="character" w:styleId="LineNumber">
    <w:name w:val="line number"/>
    <w:basedOn w:val="DefaultParagraphFont"/>
    <w:semiHidden/>
    <w:rsid w:val="000869CE"/>
  </w:style>
  <w:style w:type="paragraph" w:customStyle="1" w:styleId="equation">
    <w:name w:val="equation"/>
    <w:rsid w:val="00080858"/>
    <w:pPr>
      <w:tabs>
        <w:tab w:val="right" w:pos="9360"/>
      </w:tabs>
      <w:spacing w:after="240"/>
      <w:ind w:left="2880" w:hanging="2160"/>
    </w:pPr>
    <w:rPr>
      <w:sz w:val="24"/>
    </w:rPr>
  </w:style>
  <w:style w:type="character" w:customStyle="1" w:styleId="NoSpacingChar">
    <w:name w:val="No Spacing Char"/>
    <w:basedOn w:val="DefaultParagraphFont"/>
    <w:link w:val="NoSpacing"/>
    <w:uiPriority w:val="1"/>
    <w:rsid w:val="003F042D"/>
    <w:rPr>
      <w:rFonts w:asciiTheme="minorHAnsi" w:eastAsiaTheme="minorEastAsia" w:hAnsiTheme="minorHAnsi" w:cstheme="minorBidi"/>
      <w:sz w:val="22"/>
      <w:szCs w:val="22"/>
      <w:lang w:eastAsia="ja-JP"/>
    </w:rPr>
  </w:style>
  <w:style w:type="paragraph" w:customStyle="1" w:styleId="TOC0">
    <w:name w:val="TOC 0"/>
    <w:basedOn w:val="Normal"/>
    <w:rsid w:val="000869CE"/>
    <w:pPr>
      <w:spacing w:after="240"/>
      <w:jc w:val="center"/>
    </w:pPr>
    <w:rPr>
      <w:b/>
      <w:caps/>
      <w:sz w:val="28"/>
      <w:szCs w:val="20"/>
    </w:rPr>
  </w:style>
  <w:style w:type="paragraph" w:customStyle="1" w:styleId="toc-tabfig">
    <w:name w:val="toc-tab/fig"/>
    <w:basedOn w:val="Normal"/>
    <w:semiHidden/>
    <w:rsid w:val="000869CE"/>
    <w:pPr>
      <w:tabs>
        <w:tab w:val="right" w:leader="dot" w:pos="9360"/>
      </w:tabs>
      <w:spacing w:before="240" w:after="80"/>
      <w:ind w:left="900" w:hanging="540"/>
    </w:pPr>
    <w:rPr>
      <w:szCs w:val="20"/>
    </w:rPr>
  </w:style>
  <w:style w:type="paragraph" w:customStyle="1" w:styleId="TOCHeader">
    <w:name w:val="TOC Header"/>
    <w:basedOn w:val="Normal"/>
    <w:rsid w:val="00080858"/>
    <w:pPr>
      <w:keepNext/>
      <w:tabs>
        <w:tab w:val="right" w:pos="9360"/>
      </w:tabs>
      <w:spacing w:after="240"/>
    </w:pPr>
    <w:rPr>
      <w:b/>
      <w:szCs w:val="20"/>
    </w:rPr>
  </w:style>
  <w:style w:type="paragraph" w:styleId="TOC5">
    <w:name w:val="toc 5"/>
    <w:basedOn w:val="Normal"/>
    <w:next w:val="Normal"/>
    <w:rsid w:val="000869CE"/>
    <w:pPr>
      <w:tabs>
        <w:tab w:val="right" w:leader="dot" w:pos="9360"/>
      </w:tabs>
      <w:spacing w:before="40" w:after="40"/>
      <w:ind w:left="1080" w:right="720" w:hanging="1080"/>
    </w:pPr>
    <w:rPr>
      <w:noProof/>
      <w:szCs w:val="20"/>
    </w:rPr>
  </w:style>
  <w:style w:type="paragraph" w:customStyle="1" w:styleId="NumberBullets">
    <w:name w:val="Number Bullets"/>
    <w:basedOn w:val="Normal"/>
    <w:semiHidden/>
    <w:rsid w:val="000869CE"/>
    <w:pPr>
      <w:numPr>
        <w:numId w:val="1"/>
      </w:numPr>
      <w:tabs>
        <w:tab w:val="left" w:pos="720"/>
      </w:tabs>
    </w:pPr>
    <w:rPr>
      <w:szCs w:val="20"/>
    </w:rPr>
  </w:style>
  <w:style w:type="paragraph" w:styleId="List3">
    <w:name w:val="List 3"/>
    <w:basedOn w:val="Normal"/>
    <w:semiHidden/>
    <w:rsid w:val="000869CE"/>
    <w:pPr>
      <w:ind w:left="1915" w:hanging="360"/>
    </w:pPr>
    <w:rPr>
      <w:rFonts w:ascii="Arial" w:hAnsi="Arial"/>
      <w:spacing w:val="-5"/>
      <w:sz w:val="20"/>
      <w:szCs w:val="20"/>
    </w:rPr>
  </w:style>
  <w:style w:type="paragraph" w:styleId="BodyTextIndent">
    <w:name w:val="Body Text Indent"/>
    <w:basedOn w:val="Normal"/>
    <w:link w:val="BodyTextIndentChar"/>
    <w:rsid w:val="00FC2332"/>
    <w:pPr>
      <w:spacing w:after="120"/>
      <w:ind w:left="360"/>
    </w:pPr>
  </w:style>
  <w:style w:type="character" w:styleId="FollowedHyperlink">
    <w:name w:val="FollowedHyperlink"/>
    <w:basedOn w:val="DefaultParagraphFont"/>
    <w:rsid w:val="00F815AA"/>
    <w:rPr>
      <w:color w:val="800080" w:themeColor="followedHyperlink"/>
      <w:u w:val="single"/>
    </w:rPr>
  </w:style>
  <w:style w:type="character" w:customStyle="1" w:styleId="BodyTextIndentChar">
    <w:name w:val="Body Text Indent Char"/>
    <w:basedOn w:val="DefaultParagraphFont"/>
    <w:link w:val="BodyTextIndent"/>
    <w:rsid w:val="00FC2332"/>
    <w:rPr>
      <w:sz w:val="24"/>
      <w:szCs w:val="24"/>
    </w:rPr>
  </w:style>
  <w:style w:type="paragraph" w:styleId="List4">
    <w:name w:val="List 4"/>
    <w:basedOn w:val="Normal"/>
    <w:uiPriority w:val="99"/>
    <w:unhideWhenUsed/>
    <w:rsid w:val="00FC2332"/>
    <w:pPr>
      <w:keepNext/>
      <w:numPr>
        <w:numId w:val="43"/>
      </w:numPr>
      <w:spacing w:after="240" w:line="320" w:lineRule="atLeast"/>
      <w:contextualSpacing/>
    </w:pPr>
    <w:rPr>
      <w:szCs w:val="20"/>
    </w:rPr>
  </w:style>
  <w:style w:type="character" w:customStyle="1" w:styleId="HTMLPreformattedChar">
    <w:name w:val="HTML Preformatted Char"/>
    <w:basedOn w:val="DefaultParagraphFont"/>
    <w:link w:val="HTMLPreformatted"/>
    <w:semiHidden/>
    <w:rsid w:val="001F127E"/>
    <w:rPr>
      <w:rFonts w:ascii="Courier New" w:hAnsi="Courier New" w:cs="Courier New"/>
    </w:rPr>
  </w:style>
  <w:style w:type="paragraph" w:customStyle="1" w:styleId="Bibliography1">
    <w:name w:val="Bibliography1"/>
    <w:rsid w:val="00092D49"/>
    <w:pPr>
      <w:keepLines/>
      <w:spacing w:after="240"/>
      <w:ind w:left="720" w:hanging="720"/>
    </w:pPr>
    <w:rPr>
      <w:sz w:val="24"/>
      <w:szCs w:val="24"/>
    </w:rPr>
  </w:style>
  <w:style w:type="character" w:styleId="CommentReference">
    <w:name w:val="annotation reference"/>
    <w:basedOn w:val="DefaultParagraphFont"/>
    <w:uiPriority w:val="99"/>
    <w:semiHidden/>
    <w:unhideWhenUsed/>
    <w:rsid w:val="0050498E"/>
    <w:rPr>
      <w:sz w:val="16"/>
      <w:szCs w:val="16"/>
    </w:rPr>
  </w:style>
  <w:style w:type="paragraph" w:styleId="CommentText">
    <w:name w:val="annotation text"/>
    <w:basedOn w:val="Normal"/>
    <w:link w:val="CommentTextChar"/>
    <w:uiPriority w:val="99"/>
    <w:semiHidden/>
    <w:unhideWhenUsed/>
    <w:rsid w:val="0050498E"/>
    <w:rPr>
      <w:sz w:val="20"/>
      <w:szCs w:val="20"/>
    </w:rPr>
  </w:style>
  <w:style w:type="character" w:customStyle="1" w:styleId="CommentTextChar">
    <w:name w:val="Comment Text Char"/>
    <w:basedOn w:val="DefaultParagraphFont"/>
    <w:link w:val="CommentText"/>
    <w:uiPriority w:val="99"/>
    <w:semiHidden/>
    <w:rsid w:val="0050498E"/>
  </w:style>
  <w:style w:type="paragraph" w:styleId="CommentSubject">
    <w:name w:val="annotation subject"/>
    <w:basedOn w:val="CommentText"/>
    <w:next w:val="CommentText"/>
    <w:link w:val="CommentSubjectChar"/>
    <w:semiHidden/>
    <w:unhideWhenUsed/>
    <w:rsid w:val="0050498E"/>
    <w:rPr>
      <w:b/>
      <w:bCs/>
    </w:rPr>
  </w:style>
  <w:style w:type="character" w:customStyle="1" w:styleId="CommentSubjectChar">
    <w:name w:val="Comment Subject Char"/>
    <w:basedOn w:val="CommentTextChar"/>
    <w:link w:val="CommentSubject"/>
    <w:semiHidden/>
    <w:rsid w:val="0050498E"/>
    <w:rPr>
      <w:b/>
      <w:bCs/>
    </w:rPr>
  </w:style>
  <w:style w:type="paragraph" w:styleId="TOC4">
    <w:name w:val="toc 4"/>
    <w:basedOn w:val="Normal"/>
    <w:next w:val="Normal"/>
    <w:rsid w:val="000869CE"/>
    <w:pPr>
      <w:tabs>
        <w:tab w:val="right" w:leader="dot" w:pos="9360"/>
      </w:tabs>
      <w:spacing w:before="60"/>
      <w:ind w:left="3240" w:hanging="720"/>
    </w:pPr>
    <w:rPr>
      <w:szCs w:val="20"/>
    </w:rPr>
  </w:style>
  <w:style w:type="paragraph" w:styleId="Revision">
    <w:name w:val="Revision"/>
    <w:hidden/>
    <w:uiPriority w:val="99"/>
    <w:semiHidden/>
    <w:rsid w:val="002B35BE"/>
    <w:rPr>
      <w:sz w:val="24"/>
      <w:szCs w:val="24"/>
    </w:rPr>
  </w:style>
  <w:style w:type="paragraph" w:styleId="ListNumber">
    <w:name w:val="List Number"/>
    <w:basedOn w:val="Normal"/>
    <w:rsid w:val="000B19FD"/>
    <w:pPr>
      <w:numPr>
        <w:numId w:val="45"/>
      </w:numPr>
      <w:contextualSpacing/>
    </w:pPr>
  </w:style>
  <w:style w:type="paragraph" w:styleId="ListParagraph">
    <w:name w:val="List Paragraph"/>
    <w:basedOn w:val="Normal"/>
    <w:uiPriority w:val="34"/>
    <w:qFormat/>
    <w:rsid w:val="00CE198D"/>
    <w:pPr>
      <w:ind w:left="720"/>
      <w:contextualSpacing/>
    </w:pPr>
  </w:style>
  <w:style w:type="character" w:customStyle="1" w:styleId="Heading1Char">
    <w:name w:val="Heading 1 Char"/>
    <w:basedOn w:val="DefaultParagraphFont"/>
    <w:link w:val="Heading1"/>
    <w:rsid w:val="00761EDD"/>
    <w:rPr>
      <w:rFonts w:ascii="Times New Roman Bold" w:hAnsi="Times New Roman Bold"/>
      <w:b/>
      <w:bCs/>
      <w:caps/>
      <w:sz w:val="24"/>
      <w:szCs w:val="24"/>
    </w:rPr>
  </w:style>
  <w:style w:type="paragraph" w:customStyle="1" w:styleId="Body2">
    <w:name w:val="Body2"/>
    <w:basedOn w:val="Normal"/>
    <w:qFormat/>
    <w:rsid w:val="00FC1D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557398">
      <w:bodyDiv w:val="1"/>
      <w:marLeft w:val="0"/>
      <w:marRight w:val="0"/>
      <w:marTop w:val="0"/>
      <w:marBottom w:val="0"/>
      <w:divBdr>
        <w:top w:val="none" w:sz="0" w:space="0" w:color="auto"/>
        <w:left w:val="none" w:sz="0" w:space="0" w:color="auto"/>
        <w:bottom w:val="none" w:sz="0" w:space="0" w:color="auto"/>
        <w:right w:val="none" w:sz="0" w:space="0" w:color="auto"/>
      </w:divBdr>
    </w:div>
    <w:div w:id="394473117">
      <w:bodyDiv w:val="1"/>
      <w:marLeft w:val="0"/>
      <w:marRight w:val="0"/>
      <w:marTop w:val="0"/>
      <w:marBottom w:val="0"/>
      <w:divBdr>
        <w:top w:val="none" w:sz="0" w:space="0" w:color="auto"/>
        <w:left w:val="none" w:sz="0" w:space="0" w:color="auto"/>
        <w:bottom w:val="none" w:sz="0" w:space="0" w:color="auto"/>
        <w:right w:val="none" w:sz="0" w:space="0" w:color="auto"/>
      </w:divBdr>
    </w:div>
    <w:div w:id="501747395">
      <w:bodyDiv w:val="1"/>
      <w:marLeft w:val="0"/>
      <w:marRight w:val="0"/>
      <w:marTop w:val="0"/>
      <w:marBottom w:val="0"/>
      <w:divBdr>
        <w:top w:val="none" w:sz="0" w:space="0" w:color="auto"/>
        <w:left w:val="none" w:sz="0" w:space="0" w:color="auto"/>
        <w:bottom w:val="none" w:sz="0" w:space="0" w:color="auto"/>
        <w:right w:val="none" w:sz="0" w:space="0" w:color="auto"/>
      </w:divBdr>
    </w:div>
    <w:div w:id="813721442">
      <w:bodyDiv w:val="1"/>
      <w:marLeft w:val="0"/>
      <w:marRight w:val="0"/>
      <w:marTop w:val="0"/>
      <w:marBottom w:val="0"/>
      <w:divBdr>
        <w:top w:val="none" w:sz="0" w:space="0" w:color="auto"/>
        <w:left w:val="none" w:sz="0" w:space="0" w:color="auto"/>
        <w:bottom w:val="none" w:sz="0" w:space="0" w:color="auto"/>
        <w:right w:val="none" w:sz="0" w:space="0" w:color="auto"/>
      </w:divBdr>
    </w:div>
    <w:div w:id="1409768386">
      <w:bodyDiv w:val="1"/>
      <w:marLeft w:val="0"/>
      <w:marRight w:val="0"/>
      <w:marTop w:val="0"/>
      <w:marBottom w:val="0"/>
      <w:divBdr>
        <w:top w:val="none" w:sz="0" w:space="0" w:color="auto"/>
        <w:left w:val="none" w:sz="0" w:space="0" w:color="auto"/>
        <w:bottom w:val="none" w:sz="0" w:space="0" w:color="auto"/>
        <w:right w:val="none" w:sz="0" w:space="0" w:color="auto"/>
      </w:divBdr>
      <w:divsChild>
        <w:div w:id="323512159">
          <w:marLeft w:val="0"/>
          <w:marRight w:val="0"/>
          <w:marTop w:val="0"/>
          <w:marBottom w:val="0"/>
          <w:divBdr>
            <w:top w:val="none" w:sz="0" w:space="0" w:color="auto"/>
            <w:left w:val="none" w:sz="0" w:space="0" w:color="auto"/>
            <w:bottom w:val="none" w:sz="0" w:space="0" w:color="auto"/>
            <w:right w:val="none" w:sz="0" w:space="0" w:color="auto"/>
          </w:divBdr>
          <w:divsChild>
            <w:div w:id="685787642">
              <w:marLeft w:val="0"/>
              <w:marRight w:val="0"/>
              <w:marTop w:val="0"/>
              <w:marBottom w:val="0"/>
              <w:divBdr>
                <w:top w:val="none" w:sz="0" w:space="0" w:color="auto"/>
                <w:left w:val="none" w:sz="0" w:space="0" w:color="auto"/>
                <w:bottom w:val="none" w:sz="0" w:space="0" w:color="auto"/>
                <w:right w:val="none" w:sz="0" w:space="0" w:color="auto"/>
              </w:divBdr>
            </w:div>
            <w:div w:id="792867251">
              <w:marLeft w:val="0"/>
              <w:marRight w:val="0"/>
              <w:marTop w:val="0"/>
              <w:marBottom w:val="0"/>
              <w:divBdr>
                <w:top w:val="none" w:sz="0" w:space="0" w:color="auto"/>
                <w:left w:val="none" w:sz="0" w:space="0" w:color="auto"/>
                <w:bottom w:val="none" w:sz="0" w:space="0" w:color="auto"/>
                <w:right w:val="none" w:sz="0" w:space="0" w:color="auto"/>
              </w:divBdr>
            </w:div>
            <w:div w:id="1109544775">
              <w:marLeft w:val="0"/>
              <w:marRight w:val="0"/>
              <w:marTop w:val="0"/>
              <w:marBottom w:val="0"/>
              <w:divBdr>
                <w:top w:val="none" w:sz="0" w:space="0" w:color="auto"/>
                <w:left w:val="none" w:sz="0" w:space="0" w:color="auto"/>
                <w:bottom w:val="none" w:sz="0" w:space="0" w:color="auto"/>
                <w:right w:val="none" w:sz="0" w:space="0" w:color="auto"/>
              </w:divBdr>
            </w:div>
            <w:div w:id="1285499805">
              <w:marLeft w:val="0"/>
              <w:marRight w:val="0"/>
              <w:marTop w:val="0"/>
              <w:marBottom w:val="0"/>
              <w:divBdr>
                <w:top w:val="none" w:sz="0" w:space="0" w:color="auto"/>
                <w:left w:val="none" w:sz="0" w:space="0" w:color="auto"/>
                <w:bottom w:val="none" w:sz="0" w:space="0" w:color="auto"/>
                <w:right w:val="none" w:sz="0" w:space="0" w:color="auto"/>
              </w:divBdr>
            </w:div>
            <w:div w:id="1682782198">
              <w:marLeft w:val="0"/>
              <w:marRight w:val="0"/>
              <w:marTop w:val="0"/>
              <w:marBottom w:val="0"/>
              <w:divBdr>
                <w:top w:val="none" w:sz="0" w:space="0" w:color="auto"/>
                <w:left w:val="none" w:sz="0" w:space="0" w:color="auto"/>
                <w:bottom w:val="none" w:sz="0" w:space="0" w:color="auto"/>
                <w:right w:val="none" w:sz="0" w:space="0" w:color="auto"/>
              </w:divBdr>
            </w:div>
            <w:div w:id="173172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38522">
      <w:bodyDiv w:val="1"/>
      <w:marLeft w:val="0"/>
      <w:marRight w:val="0"/>
      <w:marTop w:val="0"/>
      <w:marBottom w:val="0"/>
      <w:divBdr>
        <w:top w:val="none" w:sz="0" w:space="0" w:color="auto"/>
        <w:left w:val="none" w:sz="0" w:space="0" w:color="auto"/>
        <w:bottom w:val="none" w:sz="0" w:space="0" w:color="auto"/>
        <w:right w:val="none" w:sz="0" w:space="0" w:color="auto"/>
      </w:divBdr>
    </w:div>
    <w:div w:id="1599173158">
      <w:bodyDiv w:val="1"/>
      <w:marLeft w:val="0"/>
      <w:marRight w:val="0"/>
      <w:marTop w:val="0"/>
      <w:marBottom w:val="0"/>
      <w:divBdr>
        <w:top w:val="none" w:sz="0" w:space="0" w:color="auto"/>
        <w:left w:val="none" w:sz="0" w:space="0" w:color="auto"/>
        <w:bottom w:val="none" w:sz="0" w:space="0" w:color="auto"/>
        <w:right w:val="none" w:sz="0" w:space="0" w:color="auto"/>
      </w:divBdr>
    </w:div>
    <w:div w:id="1717898243">
      <w:bodyDiv w:val="1"/>
      <w:marLeft w:val="0"/>
      <w:marRight w:val="0"/>
      <w:marTop w:val="0"/>
      <w:marBottom w:val="0"/>
      <w:divBdr>
        <w:top w:val="none" w:sz="0" w:space="0" w:color="auto"/>
        <w:left w:val="none" w:sz="0" w:space="0" w:color="auto"/>
        <w:bottom w:val="none" w:sz="0" w:space="0" w:color="auto"/>
        <w:right w:val="none" w:sz="0" w:space="0" w:color="auto"/>
      </w:divBdr>
    </w:div>
    <w:div w:id="1779984354">
      <w:bodyDiv w:val="1"/>
      <w:marLeft w:val="0"/>
      <w:marRight w:val="0"/>
      <w:marTop w:val="0"/>
      <w:marBottom w:val="0"/>
      <w:divBdr>
        <w:top w:val="none" w:sz="0" w:space="0" w:color="auto"/>
        <w:left w:val="none" w:sz="0" w:space="0" w:color="auto"/>
        <w:bottom w:val="none" w:sz="0" w:space="0" w:color="auto"/>
        <w:right w:val="none" w:sz="0" w:space="0" w:color="auto"/>
      </w:divBdr>
    </w:div>
    <w:div w:id="190764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ata.Medicare.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ata.medicare.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bls.gov/oes/current/oes_nat.htm" TargetMode="External"/><Relationship Id="rId4" Type="http://schemas.microsoft.com/office/2007/relationships/stylesWithEffects" Target="stylesWithEffects.xml"/><Relationship Id="rId9" Type="http://schemas.openxmlformats.org/officeDocument/2006/relationships/hyperlink" Target="http://www.bls.gov/oes/current/oes_nat.htm"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gpo.gov/fdsys/pkg/FR-2014-11-10/html/2014-2614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F61BD-72E9-4D02-9389-E5D5B6EE1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8470</Words>
  <Characters>48281</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56638</CharactersWithSpaces>
  <SharedDoc>false</SharedDoc>
  <HLinks>
    <vt:vector size="240" baseType="variant">
      <vt:variant>
        <vt:i4>1638453</vt:i4>
      </vt:variant>
      <vt:variant>
        <vt:i4>238</vt:i4>
      </vt:variant>
      <vt:variant>
        <vt:i4>0</vt:i4>
      </vt:variant>
      <vt:variant>
        <vt:i4>5</vt:i4>
      </vt:variant>
      <vt:variant>
        <vt:lpwstr/>
      </vt:variant>
      <vt:variant>
        <vt:lpwstr>_Toc88277988</vt:lpwstr>
      </vt:variant>
      <vt:variant>
        <vt:i4>1441845</vt:i4>
      </vt:variant>
      <vt:variant>
        <vt:i4>232</vt:i4>
      </vt:variant>
      <vt:variant>
        <vt:i4>0</vt:i4>
      </vt:variant>
      <vt:variant>
        <vt:i4>5</vt:i4>
      </vt:variant>
      <vt:variant>
        <vt:lpwstr/>
      </vt:variant>
      <vt:variant>
        <vt:lpwstr>_Toc88277987</vt:lpwstr>
      </vt:variant>
      <vt:variant>
        <vt:i4>1507381</vt:i4>
      </vt:variant>
      <vt:variant>
        <vt:i4>226</vt:i4>
      </vt:variant>
      <vt:variant>
        <vt:i4>0</vt:i4>
      </vt:variant>
      <vt:variant>
        <vt:i4>5</vt:i4>
      </vt:variant>
      <vt:variant>
        <vt:lpwstr/>
      </vt:variant>
      <vt:variant>
        <vt:lpwstr>_Toc88277986</vt:lpwstr>
      </vt:variant>
      <vt:variant>
        <vt:i4>1310773</vt:i4>
      </vt:variant>
      <vt:variant>
        <vt:i4>220</vt:i4>
      </vt:variant>
      <vt:variant>
        <vt:i4>0</vt:i4>
      </vt:variant>
      <vt:variant>
        <vt:i4>5</vt:i4>
      </vt:variant>
      <vt:variant>
        <vt:lpwstr/>
      </vt:variant>
      <vt:variant>
        <vt:lpwstr>_Toc88277985</vt:lpwstr>
      </vt:variant>
      <vt:variant>
        <vt:i4>1376309</vt:i4>
      </vt:variant>
      <vt:variant>
        <vt:i4>214</vt:i4>
      </vt:variant>
      <vt:variant>
        <vt:i4>0</vt:i4>
      </vt:variant>
      <vt:variant>
        <vt:i4>5</vt:i4>
      </vt:variant>
      <vt:variant>
        <vt:lpwstr/>
      </vt:variant>
      <vt:variant>
        <vt:lpwstr>_Toc88277984</vt:lpwstr>
      </vt:variant>
      <vt:variant>
        <vt:i4>1179701</vt:i4>
      </vt:variant>
      <vt:variant>
        <vt:i4>208</vt:i4>
      </vt:variant>
      <vt:variant>
        <vt:i4>0</vt:i4>
      </vt:variant>
      <vt:variant>
        <vt:i4>5</vt:i4>
      </vt:variant>
      <vt:variant>
        <vt:lpwstr/>
      </vt:variant>
      <vt:variant>
        <vt:lpwstr>_Toc88277983</vt:lpwstr>
      </vt:variant>
      <vt:variant>
        <vt:i4>1245237</vt:i4>
      </vt:variant>
      <vt:variant>
        <vt:i4>202</vt:i4>
      </vt:variant>
      <vt:variant>
        <vt:i4>0</vt:i4>
      </vt:variant>
      <vt:variant>
        <vt:i4>5</vt:i4>
      </vt:variant>
      <vt:variant>
        <vt:lpwstr/>
      </vt:variant>
      <vt:variant>
        <vt:lpwstr>_Toc88277982</vt:lpwstr>
      </vt:variant>
      <vt:variant>
        <vt:i4>1048629</vt:i4>
      </vt:variant>
      <vt:variant>
        <vt:i4>196</vt:i4>
      </vt:variant>
      <vt:variant>
        <vt:i4>0</vt:i4>
      </vt:variant>
      <vt:variant>
        <vt:i4>5</vt:i4>
      </vt:variant>
      <vt:variant>
        <vt:lpwstr/>
      </vt:variant>
      <vt:variant>
        <vt:lpwstr>_Toc88277981</vt:lpwstr>
      </vt:variant>
      <vt:variant>
        <vt:i4>1114165</vt:i4>
      </vt:variant>
      <vt:variant>
        <vt:i4>190</vt:i4>
      </vt:variant>
      <vt:variant>
        <vt:i4>0</vt:i4>
      </vt:variant>
      <vt:variant>
        <vt:i4>5</vt:i4>
      </vt:variant>
      <vt:variant>
        <vt:lpwstr/>
      </vt:variant>
      <vt:variant>
        <vt:lpwstr>_Toc88277980</vt:lpwstr>
      </vt:variant>
      <vt:variant>
        <vt:i4>1572922</vt:i4>
      </vt:variant>
      <vt:variant>
        <vt:i4>184</vt:i4>
      </vt:variant>
      <vt:variant>
        <vt:i4>0</vt:i4>
      </vt:variant>
      <vt:variant>
        <vt:i4>5</vt:i4>
      </vt:variant>
      <vt:variant>
        <vt:lpwstr/>
      </vt:variant>
      <vt:variant>
        <vt:lpwstr>_Toc88277979</vt:lpwstr>
      </vt:variant>
      <vt:variant>
        <vt:i4>1638458</vt:i4>
      </vt:variant>
      <vt:variant>
        <vt:i4>178</vt:i4>
      </vt:variant>
      <vt:variant>
        <vt:i4>0</vt:i4>
      </vt:variant>
      <vt:variant>
        <vt:i4>5</vt:i4>
      </vt:variant>
      <vt:variant>
        <vt:lpwstr/>
      </vt:variant>
      <vt:variant>
        <vt:lpwstr>_Toc88277978</vt:lpwstr>
      </vt:variant>
      <vt:variant>
        <vt:i4>1441850</vt:i4>
      </vt:variant>
      <vt:variant>
        <vt:i4>172</vt:i4>
      </vt:variant>
      <vt:variant>
        <vt:i4>0</vt:i4>
      </vt:variant>
      <vt:variant>
        <vt:i4>5</vt:i4>
      </vt:variant>
      <vt:variant>
        <vt:lpwstr/>
      </vt:variant>
      <vt:variant>
        <vt:lpwstr>_Toc88277977</vt:lpwstr>
      </vt:variant>
      <vt:variant>
        <vt:i4>1507386</vt:i4>
      </vt:variant>
      <vt:variant>
        <vt:i4>166</vt:i4>
      </vt:variant>
      <vt:variant>
        <vt:i4>0</vt:i4>
      </vt:variant>
      <vt:variant>
        <vt:i4>5</vt:i4>
      </vt:variant>
      <vt:variant>
        <vt:lpwstr/>
      </vt:variant>
      <vt:variant>
        <vt:lpwstr>_Toc88277976</vt:lpwstr>
      </vt:variant>
      <vt:variant>
        <vt:i4>1310778</vt:i4>
      </vt:variant>
      <vt:variant>
        <vt:i4>160</vt:i4>
      </vt:variant>
      <vt:variant>
        <vt:i4>0</vt:i4>
      </vt:variant>
      <vt:variant>
        <vt:i4>5</vt:i4>
      </vt:variant>
      <vt:variant>
        <vt:lpwstr/>
      </vt:variant>
      <vt:variant>
        <vt:lpwstr>_Toc88277975</vt:lpwstr>
      </vt:variant>
      <vt:variant>
        <vt:i4>1376314</vt:i4>
      </vt:variant>
      <vt:variant>
        <vt:i4>154</vt:i4>
      </vt:variant>
      <vt:variant>
        <vt:i4>0</vt:i4>
      </vt:variant>
      <vt:variant>
        <vt:i4>5</vt:i4>
      </vt:variant>
      <vt:variant>
        <vt:lpwstr/>
      </vt:variant>
      <vt:variant>
        <vt:lpwstr>_Toc88277974</vt:lpwstr>
      </vt:variant>
      <vt:variant>
        <vt:i4>1179706</vt:i4>
      </vt:variant>
      <vt:variant>
        <vt:i4>148</vt:i4>
      </vt:variant>
      <vt:variant>
        <vt:i4>0</vt:i4>
      </vt:variant>
      <vt:variant>
        <vt:i4>5</vt:i4>
      </vt:variant>
      <vt:variant>
        <vt:lpwstr/>
      </vt:variant>
      <vt:variant>
        <vt:lpwstr>_Toc88277973</vt:lpwstr>
      </vt:variant>
      <vt:variant>
        <vt:i4>1245242</vt:i4>
      </vt:variant>
      <vt:variant>
        <vt:i4>142</vt:i4>
      </vt:variant>
      <vt:variant>
        <vt:i4>0</vt:i4>
      </vt:variant>
      <vt:variant>
        <vt:i4>5</vt:i4>
      </vt:variant>
      <vt:variant>
        <vt:lpwstr/>
      </vt:variant>
      <vt:variant>
        <vt:lpwstr>_Toc88277972</vt:lpwstr>
      </vt:variant>
      <vt:variant>
        <vt:i4>1048634</vt:i4>
      </vt:variant>
      <vt:variant>
        <vt:i4>136</vt:i4>
      </vt:variant>
      <vt:variant>
        <vt:i4>0</vt:i4>
      </vt:variant>
      <vt:variant>
        <vt:i4>5</vt:i4>
      </vt:variant>
      <vt:variant>
        <vt:lpwstr/>
      </vt:variant>
      <vt:variant>
        <vt:lpwstr>_Toc88277971</vt:lpwstr>
      </vt:variant>
      <vt:variant>
        <vt:i4>1114170</vt:i4>
      </vt:variant>
      <vt:variant>
        <vt:i4>130</vt:i4>
      </vt:variant>
      <vt:variant>
        <vt:i4>0</vt:i4>
      </vt:variant>
      <vt:variant>
        <vt:i4>5</vt:i4>
      </vt:variant>
      <vt:variant>
        <vt:lpwstr/>
      </vt:variant>
      <vt:variant>
        <vt:lpwstr>_Toc88277970</vt:lpwstr>
      </vt:variant>
      <vt:variant>
        <vt:i4>1572923</vt:i4>
      </vt:variant>
      <vt:variant>
        <vt:i4>124</vt:i4>
      </vt:variant>
      <vt:variant>
        <vt:i4>0</vt:i4>
      </vt:variant>
      <vt:variant>
        <vt:i4>5</vt:i4>
      </vt:variant>
      <vt:variant>
        <vt:lpwstr/>
      </vt:variant>
      <vt:variant>
        <vt:lpwstr>_Toc88277969</vt:lpwstr>
      </vt:variant>
      <vt:variant>
        <vt:i4>1638459</vt:i4>
      </vt:variant>
      <vt:variant>
        <vt:i4>118</vt:i4>
      </vt:variant>
      <vt:variant>
        <vt:i4>0</vt:i4>
      </vt:variant>
      <vt:variant>
        <vt:i4>5</vt:i4>
      </vt:variant>
      <vt:variant>
        <vt:lpwstr/>
      </vt:variant>
      <vt:variant>
        <vt:lpwstr>_Toc88277968</vt:lpwstr>
      </vt:variant>
      <vt:variant>
        <vt:i4>1441851</vt:i4>
      </vt:variant>
      <vt:variant>
        <vt:i4>112</vt:i4>
      </vt:variant>
      <vt:variant>
        <vt:i4>0</vt:i4>
      </vt:variant>
      <vt:variant>
        <vt:i4>5</vt:i4>
      </vt:variant>
      <vt:variant>
        <vt:lpwstr/>
      </vt:variant>
      <vt:variant>
        <vt:lpwstr>_Toc88277967</vt:lpwstr>
      </vt:variant>
      <vt:variant>
        <vt:i4>1507387</vt:i4>
      </vt:variant>
      <vt:variant>
        <vt:i4>106</vt:i4>
      </vt:variant>
      <vt:variant>
        <vt:i4>0</vt:i4>
      </vt:variant>
      <vt:variant>
        <vt:i4>5</vt:i4>
      </vt:variant>
      <vt:variant>
        <vt:lpwstr/>
      </vt:variant>
      <vt:variant>
        <vt:lpwstr>_Toc88277966</vt:lpwstr>
      </vt:variant>
      <vt:variant>
        <vt:i4>1310779</vt:i4>
      </vt:variant>
      <vt:variant>
        <vt:i4>100</vt:i4>
      </vt:variant>
      <vt:variant>
        <vt:i4>0</vt:i4>
      </vt:variant>
      <vt:variant>
        <vt:i4>5</vt:i4>
      </vt:variant>
      <vt:variant>
        <vt:lpwstr/>
      </vt:variant>
      <vt:variant>
        <vt:lpwstr>_Toc88277965</vt:lpwstr>
      </vt:variant>
      <vt:variant>
        <vt:i4>1376315</vt:i4>
      </vt:variant>
      <vt:variant>
        <vt:i4>94</vt:i4>
      </vt:variant>
      <vt:variant>
        <vt:i4>0</vt:i4>
      </vt:variant>
      <vt:variant>
        <vt:i4>5</vt:i4>
      </vt:variant>
      <vt:variant>
        <vt:lpwstr/>
      </vt:variant>
      <vt:variant>
        <vt:lpwstr>_Toc88277964</vt:lpwstr>
      </vt:variant>
      <vt:variant>
        <vt:i4>1179707</vt:i4>
      </vt:variant>
      <vt:variant>
        <vt:i4>88</vt:i4>
      </vt:variant>
      <vt:variant>
        <vt:i4>0</vt:i4>
      </vt:variant>
      <vt:variant>
        <vt:i4>5</vt:i4>
      </vt:variant>
      <vt:variant>
        <vt:lpwstr/>
      </vt:variant>
      <vt:variant>
        <vt:lpwstr>_Toc88277963</vt:lpwstr>
      </vt:variant>
      <vt:variant>
        <vt:i4>1245243</vt:i4>
      </vt:variant>
      <vt:variant>
        <vt:i4>82</vt:i4>
      </vt:variant>
      <vt:variant>
        <vt:i4>0</vt:i4>
      </vt:variant>
      <vt:variant>
        <vt:i4>5</vt:i4>
      </vt:variant>
      <vt:variant>
        <vt:lpwstr/>
      </vt:variant>
      <vt:variant>
        <vt:lpwstr>_Toc88277962</vt:lpwstr>
      </vt:variant>
      <vt:variant>
        <vt:i4>1048635</vt:i4>
      </vt:variant>
      <vt:variant>
        <vt:i4>76</vt:i4>
      </vt:variant>
      <vt:variant>
        <vt:i4>0</vt:i4>
      </vt:variant>
      <vt:variant>
        <vt:i4>5</vt:i4>
      </vt:variant>
      <vt:variant>
        <vt:lpwstr/>
      </vt:variant>
      <vt:variant>
        <vt:lpwstr>_Toc88277961</vt:lpwstr>
      </vt:variant>
      <vt:variant>
        <vt:i4>1114171</vt:i4>
      </vt:variant>
      <vt:variant>
        <vt:i4>70</vt:i4>
      </vt:variant>
      <vt:variant>
        <vt:i4>0</vt:i4>
      </vt:variant>
      <vt:variant>
        <vt:i4>5</vt:i4>
      </vt:variant>
      <vt:variant>
        <vt:lpwstr/>
      </vt:variant>
      <vt:variant>
        <vt:lpwstr>_Toc88277960</vt:lpwstr>
      </vt:variant>
      <vt:variant>
        <vt:i4>1572920</vt:i4>
      </vt:variant>
      <vt:variant>
        <vt:i4>64</vt:i4>
      </vt:variant>
      <vt:variant>
        <vt:i4>0</vt:i4>
      </vt:variant>
      <vt:variant>
        <vt:i4>5</vt:i4>
      </vt:variant>
      <vt:variant>
        <vt:lpwstr/>
      </vt:variant>
      <vt:variant>
        <vt:lpwstr>_Toc88277959</vt:lpwstr>
      </vt:variant>
      <vt:variant>
        <vt:i4>1638456</vt:i4>
      </vt:variant>
      <vt:variant>
        <vt:i4>58</vt:i4>
      </vt:variant>
      <vt:variant>
        <vt:i4>0</vt:i4>
      </vt:variant>
      <vt:variant>
        <vt:i4>5</vt:i4>
      </vt:variant>
      <vt:variant>
        <vt:lpwstr/>
      </vt:variant>
      <vt:variant>
        <vt:lpwstr>_Toc88277958</vt:lpwstr>
      </vt:variant>
      <vt:variant>
        <vt:i4>1441848</vt:i4>
      </vt:variant>
      <vt:variant>
        <vt:i4>52</vt:i4>
      </vt:variant>
      <vt:variant>
        <vt:i4>0</vt:i4>
      </vt:variant>
      <vt:variant>
        <vt:i4>5</vt:i4>
      </vt:variant>
      <vt:variant>
        <vt:lpwstr/>
      </vt:variant>
      <vt:variant>
        <vt:lpwstr>_Toc88277957</vt:lpwstr>
      </vt:variant>
      <vt:variant>
        <vt:i4>1507384</vt:i4>
      </vt:variant>
      <vt:variant>
        <vt:i4>46</vt:i4>
      </vt:variant>
      <vt:variant>
        <vt:i4>0</vt:i4>
      </vt:variant>
      <vt:variant>
        <vt:i4>5</vt:i4>
      </vt:variant>
      <vt:variant>
        <vt:lpwstr/>
      </vt:variant>
      <vt:variant>
        <vt:lpwstr>_Toc88277956</vt:lpwstr>
      </vt:variant>
      <vt:variant>
        <vt:i4>1310776</vt:i4>
      </vt:variant>
      <vt:variant>
        <vt:i4>40</vt:i4>
      </vt:variant>
      <vt:variant>
        <vt:i4>0</vt:i4>
      </vt:variant>
      <vt:variant>
        <vt:i4>5</vt:i4>
      </vt:variant>
      <vt:variant>
        <vt:lpwstr/>
      </vt:variant>
      <vt:variant>
        <vt:lpwstr>_Toc88277955</vt:lpwstr>
      </vt:variant>
      <vt:variant>
        <vt:i4>1376312</vt:i4>
      </vt:variant>
      <vt:variant>
        <vt:i4>34</vt:i4>
      </vt:variant>
      <vt:variant>
        <vt:i4>0</vt:i4>
      </vt:variant>
      <vt:variant>
        <vt:i4>5</vt:i4>
      </vt:variant>
      <vt:variant>
        <vt:lpwstr/>
      </vt:variant>
      <vt:variant>
        <vt:lpwstr>_Toc88277954</vt:lpwstr>
      </vt:variant>
      <vt:variant>
        <vt:i4>1179704</vt:i4>
      </vt:variant>
      <vt:variant>
        <vt:i4>28</vt:i4>
      </vt:variant>
      <vt:variant>
        <vt:i4>0</vt:i4>
      </vt:variant>
      <vt:variant>
        <vt:i4>5</vt:i4>
      </vt:variant>
      <vt:variant>
        <vt:lpwstr/>
      </vt:variant>
      <vt:variant>
        <vt:lpwstr>_Toc88277953</vt:lpwstr>
      </vt:variant>
      <vt:variant>
        <vt:i4>1245240</vt:i4>
      </vt:variant>
      <vt:variant>
        <vt:i4>22</vt:i4>
      </vt:variant>
      <vt:variant>
        <vt:i4>0</vt:i4>
      </vt:variant>
      <vt:variant>
        <vt:i4>5</vt:i4>
      </vt:variant>
      <vt:variant>
        <vt:lpwstr/>
      </vt:variant>
      <vt:variant>
        <vt:lpwstr>_Toc88277952</vt:lpwstr>
      </vt:variant>
      <vt:variant>
        <vt:i4>1048632</vt:i4>
      </vt:variant>
      <vt:variant>
        <vt:i4>16</vt:i4>
      </vt:variant>
      <vt:variant>
        <vt:i4>0</vt:i4>
      </vt:variant>
      <vt:variant>
        <vt:i4>5</vt:i4>
      </vt:variant>
      <vt:variant>
        <vt:lpwstr/>
      </vt:variant>
      <vt:variant>
        <vt:lpwstr>_Toc88277951</vt:lpwstr>
      </vt:variant>
      <vt:variant>
        <vt:i4>1114168</vt:i4>
      </vt:variant>
      <vt:variant>
        <vt:i4>10</vt:i4>
      </vt:variant>
      <vt:variant>
        <vt:i4>0</vt:i4>
      </vt:variant>
      <vt:variant>
        <vt:i4>5</vt:i4>
      </vt:variant>
      <vt:variant>
        <vt:lpwstr/>
      </vt:variant>
      <vt:variant>
        <vt:lpwstr>_Toc88277950</vt:lpwstr>
      </vt:variant>
      <vt:variant>
        <vt:i4>1572921</vt:i4>
      </vt:variant>
      <vt:variant>
        <vt:i4>4</vt:i4>
      </vt:variant>
      <vt:variant>
        <vt:i4>0</vt:i4>
      </vt:variant>
      <vt:variant>
        <vt:i4>5</vt:i4>
      </vt:variant>
      <vt:variant>
        <vt:lpwstr/>
      </vt:variant>
      <vt:variant>
        <vt:lpwstr>_Toc88277949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cannada</dc:creator>
  <cp:lastModifiedBy>SYSTEM</cp:lastModifiedBy>
  <cp:revision>2</cp:revision>
  <cp:lastPrinted>2018-03-21T18:05:00Z</cp:lastPrinted>
  <dcterms:created xsi:type="dcterms:W3CDTF">2018-07-31T17:19:00Z</dcterms:created>
  <dcterms:modified xsi:type="dcterms:W3CDTF">2018-07-31T17:19:00Z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2059063952</vt:i4>
  </property>
  <property fmtid="{D5CDD505-2E9C-101B-9397-08002B2CF9AE}" pid="4" name="_EmailSubject">
    <vt:lpwstr>OAS CAHPS OMB</vt:lpwstr>
  </property>
  <property fmtid="{D5CDD505-2E9C-101B-9397-08002B2CF9AE}" pid="5" name="_AuthorEmail">
    <vt:lpwstr>Memuna.Ifedirah@cms.hhs.gov</vt:lpwstr>
  </property>
  <property fmtid="{D5CDD505-2E9C-101B-9397-08002B2CF9AE}" pid="6" name="_AuthorEmailDisplayName">
    <vt:lpwstr>Ifedirah, Memuna (CMS/CM)</vt:lpwstr>
  </property>
  <property fmtid="{D5CDD505-2E9C-101B-9397-08002B2CF9AE}" pid="7" name="_PreviousAdHocReviewCycleID">
    <vt:i4>965136276</vt:i4>
  </property>
  <property fmtid="{D5CDD505-2E9C-101B-9397-08002B2CF9AE}" pid="8" name="_ReviewingToolsShownOnce">
    <vt:lpwstr/>
  </property>
</Properties>
</file>