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CEF68" w14:textId="77777777" w:rsidR="002C511D" w:rsidRPr="00F67605" w:rsidRDefault="002C511D" w:rsidP="00501B1B">
      <w:pPr>
        <w:pStyle w:val="Title"/>
        <w:spacing w:after="0"/>
        <w:contextualSpacing w:val="0"/>
        <w:jc w:val="center"/>
        <w:rPr>
          <w:sz w:val="24"/>
          <w:szCs w:val="24"/>
        </w:rPr>
      </w:pPr>
      <w:bookmarkStart w:id="0" w:name="_GoBack"/>
      <w:bookmarkEnd w:id="0"/>
      <w:r w:rsidRPr="00F67605">
        <w:rPr>
          <w:sz w:val="24"/>
          <w:szCs w:val="24"/>
        </w:rPr>
        <w:t>Supporting Statement – Part A</w:t>
      </w:r>
    </w:p>
    <w:p w14:paraId="4C591776" w14:textId="77777777" w:rsidR="002C511D" w:rsidRPr="00F67605" w:rsidRDefault="002C511D" w:rsidP="00501B1B">
      <w:pPr>
        <w:pStyle w:val="Heading1"/>
        <w:spacing w:before="0" w:line="240" w:lineRule="auto"/>
        <w:jc w:val="center"/>
        <w:rPr>
          <w:color w:val="auto"/>
          <w:sz w:val="24"/>
          <w:szCs w:val="24"/>
        </w:rPr>
      </w:pPr>
      <w:r w:rsidRPr="00F67605">
        <w:rPr>
          <w:color w:val="auto"/>
          <w:sz w:val="24"/>
          <w:szCs w:val="24"/>
        </w:rPr>
        <w:t xml:space="preserve">Healthy Indiana Program (HIP) 2.0 </w:t>
      </w:r>
      <w:r w:rsidR="00837E04" w:rsidRPr="00F67605">
        <w:rPr>
          <w:color w:val="auto"/>
          <w:sz w:val="24"/>
          <w:szCs w:val="24"/>
        </w:rPr>
        <w:t>Beneficiar</w:t>
      </w:r>
      <w:r w:rsidR="0047110E" w:rsidRPr="00F67605">
        <w:rPr>
          <w:color w:val="auto"/>
          <w:sz w:val="24"/>
          <w:szCs w:val="24"/>
        </w:rPr>
        <w:t>y</w:t>
      </w:r>
      <w:r w:rsidRPr="00F67605">
        <w:rPr>
          <w:color w:val="auto"/>
          <w:sz w:val="24"/>
          <w:szCs w:val="24"/>
        </w:rPr>
        <w:t xml:space="preserve"> </w:t>
      </w:r>
      <w:r w:rsidR="007F7D70">
        <w:rPr>
          <w:color w:val="auto"/>
          <w:sz w:val="24"/>
          <w:szCs w:val="24"/>
        </w:rPr>
        <w:t>Focus Groups</w:t>
      </w:r>
    </w:p>
    <w:p w14:paraId="10E5E9EE" w14:textId="77777777" w:rsidR="002C511D" w:rsidRPr="00F67605" w:rsidRDefault="002C511D" w:rsidP="00501B1B">
      <w:pPr>
        <w:pStyle w:val="Heading1"/>
        <w:spacing w:before="0" w:line="240" w:lineRule="auto"/>
        <w:jc w:val="center"/>
        <w:rPr>
          <w:sz w:val="24"/>
          <w:szCs w:val="24"/>
        </w:rPr>
      </w:pPr>
      <w:r w:rsidRPr="00F67605">
        <w:rPr>
          <w:color w:val="auto"/>
          <w:sz w:val="24"/>
          <w:szCs w:val="24"/>
        </w:rPr>
        <w:t>CMS-10615, OMB 0938-1300</w:t>
      </w:r>
    </w:p>
    <w:p w14:paraId="5F4BFDB1" w14:textId="77777777" w:rsidR="00541EF1" w:rsidRDefault="00541EF1" w:rsidP="00501B1B">
      <w:pPr>
        <w:spacing w:after="0" w:line="240" w:lineRule="auto"/>
        <w:rPr>
          <w:sz w:val="24"/>
        </w:rPr>
      </w:pPr>
    </w:p>
    <w:p w14:paraId="01504BEB" w14:textId="56F44438" w:rsidR="00E33462" w:rsidRPr="009123E5" w:rsidRDefault="00541EF1" w:rsidP="00501B1B">
      <w:pPr>
        <w:spacing w:after="0" w:line="240" w:lineRule="auto"/>
        <w:rPr>
          <w:sz w:val="24"/>
        </w:rPr>
      </w:pPr>
      <w:r w:rsidRPr="00541EF1">
        <w:rPr>
          <w:sz w:val="24"/>
        </w:rPr>
        <w:t>This request revise</w:t>
      </w:r>
      <w:r w:rsidR="006836C4">
        <w:rPr>
          <w:sz w:val="24"/>
        </w:rPr>
        <w:t>s the</w:t>
      </w:r>
      <w:r w:rsidRPr="00541EF1">
        <w:rPr>
          <w:sz w:val="24"/>
        </w:rPr>
        <w:t xml:space="preserve"> information collection requirements </w:t>
      </w:r>
      <w:r w:rsidR="006836C4">
        <w:rPr>
          <w:sz w:val="24"/>
        </w:rPr>
        <w:t>and</w:t>
      </w:r>
      <w:r w:rsidRPr="00541EF1">
        <w:rPr>
          <w:sz w:val="24"/>
        </w:rPr>
        <w:t xml:space="preserve"> burden estimates </w:t>
      </w:r>
      <w:r w:rsidR="00E227A3">
        <w:rPr>
          <w:sz w:val="24"/>
        </w:rPr>
        <w:t>previously</w:t>
      </w:r>
      <w:r w:rsidRPr="00541EF1">
        <w:rPr>
          <w:sz w:val="24"/>
        </w:rPr>
        <w:t xml:space="preserve"> approved by OMB under control number 0938-1300.</w:t>
      </w:r>
    </w:p>
    <w:p w14:paraId="007D16F8" w14:textId="77777777" w:rsidR="00E33462" w:rsidRPr="002F2446" w:rsidRDefault="00E33462" w:rsidP="00501B1B">
      <w:pPr>
        <w:spacing w:after="0" w:line="240" w:lineRule="auto"/>
      </w:pPr>
    </w:p>
    <w:p w14:paraId="59E6DC18" w14:textId="77777777" w:rsidR="00AD58F5" w:rsidRDefault="008F1EB4" w:rsidP="00501B1B">
      <w:pPr>
        <w:pStyle w:val="Heading2"/>
        <w:spacing w:before="0" w:line="240" w:lineRule="auto"/>
      </w:pPr>
      <w:r w:rsidRPr="00AD58F5">
        <w:t>Background</w:t>
      </w:r>
    </w:p>
    <w:p w14:paraId="08966C4F" w14:textId="77777777" w:rsidR="00AD58F5" w:rsidRPr="00AD58F5" w:rsidRDefault="00AD58F5" w:rsidP="00501B1B">
      <w:pPr>
        <w:spacing w:after="0" w:line="240" w:lineRule="auto"/>
      </w:pPr>
    </w:p>
    <w:p w14:paraId="0DC5C6ED" w14:textId="77777777" w:rsidR="009C1C23" w:rsidRDefault="009C1C23" w:rsidP="00501B1B">
      <w:pPr>
        <w:spacing w:after="0" w:line="240" w:lineRule="auto"/>
        <w:rPr>
          <w:sz w:val="24"/>
        </w:rPr>
      </w:pPr>
      <w:r>
        <w:rPr>
          <w:sz w:val="24"/>
        </w:rPr>
        <w:t>Currently 2</w:t>
      </w:r>
      <w:r w:rsidR="00493AEA">
        <w:rPr>
          <w:sz w:val="24"/>
        </w:rPr>
        <w:t>5</w:t>
      </w:r>
      <w:r>
        <w:rPr>
          <w:sz w:val="24"/>
        </w:rPr>
        <w:t xml:space="preserve"> states are pursuing traditional Medicaid expansion as written under the Patient Protection and Affordable Care Act (ACA) of 2010. </w:t>
      </w:r>
      <w:r w:rsidR="00493AEA">
        <w:rPr>
          <w:sz w:val="24"/>
        </w:rPr>
        <w:t xml:space="preserve">Eight </w:t>
      </w:r>
      <w:r>
        <w:rPr>
          <w:sz w:val="24"/>
        </w:rPr>
        <w:t>(</w:t>
      </w:r>
      <w:r w:rsidR="00493AEA">
        <w:rPr>
          <w:sz w:val="24"/>
        </w:rPr>
        <w:t>8</w:t>
      </w:r>
      <w:r>
        <w:rPr>
          <w:sz w:val="24"/>
        </w:rPr>
        <w:t>) states are expanding Medicaid by using an alternative to traditional Medicaid expansion (i.e., Section 1115 demonstration approvals). CMS anticipates that additional states may seek a Section 1115 demonstration for the new adult group</w:t>
      </w:r>
      <w:r w:rsidR="00027AFA">
        <w:rPr>
          <w:sz w:val="24"/>
        </w:rPr>
        <w:t>, namely</w:t>
      </w:r>
      <w:r w:rsidR="00493AEA">
        <w:rPr>
          <w:sz w:val="24"/>
        </w:rPr>
        <w:t xml:space="preserve"> </w:t>
      </w:r>
      <w:r w:rsidR="00867B5D">
        <w:rPr>
          <w:sz w:val="24"/>
        </w:rPr>
        <w:t>those at or below 138% of the federal poverty level (FPL)</w:t>
      </w:r>
      <w:r w:rsidR="00027AFA">
        <w:rPr>
          <w:sz w:val="24"/>
        </w:rPr>
        <w:t>,</w:t>
      </w:r>
      <w:r w:rsidR="00867B5D">
        <w:rPr>
          <w:sz w:val="24"/>
        </w:rPr>
        <w:t xml:space="preserve"> </w:t>
      </w:r>
      <w:r>
        <w:rPr>
          <w:sz w:val="24"/>
        </w:rPr>
        <w:t xml:space="preserve">under the ACA. </w:t>
      </w:r>
    </w:p>
    <w:p w14:paraId="776D3CB9" w14:textId="77777777" w:rsidR="009C1C23" w:rsidRDefault="009C1C23" w:rsidP="00501B1B">
      <w:pPr>
        <w:spacing w:after="0" w:line="240" w:lineRule="auto"/>
        <w:rPr>
          <w:sz w:val="24"/>
        </w:rPr>
      </w:pPr>
    </w:p>
    <w:p w14:paraId="34BF821D" w14:textId="77777777" w:rsidR="00404395" w:rsidRDefault="009C1C23" w:rsidP="00501B1B">
      <w:pPr>
        <w:spacing w:after="0" w:line="240" w:lineRule="auto"/>
        <w:rPr>
          <w:sz w:val="24"/>
        </w:rPr>
      </w:pPr>
      <w:r>
        <w:rPr>
          <w:sz w:val="24"/>
        </w:rPr>
        <w:t xml:space="preserve">CMS approved the </w:t>
      </w:r>
      <w:r w:rsidR="00C77155" w:rsidRPr="00FE2FB4">
        <w:rPr>
          <w:sz w:val="24"/>
        </w:rPr>
        <w:t>Healthy Indiana Program (HIP) 2.0 demonstration</w:t>
      </w:r>
      <w:r w:rsidR="00857EC4">
        <w:rPr>
          <w:sz w:val="24"/>
        </w:rPr>
        <w:t xml:space="preserve"> (hereinafter, “HIP </w:t>
      </w:r>
      <w:r w:rsidR="008E5397">
        <w:rPr>
          <w:sz w:val="24"/>
        </w:rPr>
        <w:t xml:space="preserve">2.0 </w:t>
      </w:r>
      <w:r w:rsidR="00857EC4">
        <w:rPr>
          <w:sz w:val="24"/>
        </w:rPr>
        <w:t xml:space="preserve">demonstration”) </w:t>
      </w:r>
      <w:r>
        <w:rPr>
          <w:sz w:val="24"/>
        </w:rPr>
        <w:t xml:space="preserve"> in January 2015</w:t>
      </w:r>
      <w:r w:rsidR="007F7D70">
        <w:rPr>
          <w:sz w:val="24"/>
        </w:rPr>
        <w:t xml:space="preserve"> and approved an amended extension of the demonstration in February 2018</w:t>
      </w:r>
      <w:r>
        <w:rPr>
          <w:sz w:val="24"/>
        </w:rPr>
        <w:t xml:space="preserve">. The demonstration expands Medicaid coverage under the ACA for individuals in Indiana. The objectives of the demonstration include: (1) promoting increased access to health care services; (2) encouraging health behaviors and appropriate care, including early intervention, prevention, and wellness; (3) increasing the quality of care and efficiency of the health care delivery system; and (4) promoting private market coverage and family coverage options through HIP Link to reduce network and provider fragmentation within families. </w:t>
      </w:r>
    </w:p>
    <w:p w14:paraId="31EF6495" w14:textId="77777777" w:rsidR="00E66FAB" w:rsidRDefault="009C1C23" w:rsidP="00501B1B">
      <w:pPr>
        <w:spacing w:after="0" w:line="240" w:lineRule="auto"/>
        <w:rPr>
          <w:sz w:val="24"/>
        </w:rPr>
      </w:pPr>
      <w:r>
        <w:rPr>
          <w:sz w:val="24"/>
        </w:rPr>
        <w:t xml:space="preserve">In 2014, CMS awarded cross-state federal evaluations covering four </w:t>
      </w:r>
      <w:r w:rsidR="000612C8">
        <w:rPr>
          <w:sz w:val="24"/>
        </w:rPr>
        <w:t xml:space="preserve">(4) </w:t>
      </w:r>
      <w:r>
        <w:rPr>
          <w:sz w:val="24"/>
        </w:rPr>
        <w:t xml:space="preserve">1115 demonstration types of high priority policy significance.  This was the first federal evaluation in over ten </w:t>
      </w:r>
      <w:r w:rsidR="000612C8">
        <w:rPr>
          <w:sz w:val="24"/>
        </w:rPr>
        <w:t xml:space="preserve">(10) </w:t>
      </w:r>
      <w:r>
        <w:rPr>
          <w:sz w:val="24"/>
        </w:rPr>
        <w:t>years.  Subsequently, in late 2015, CMS awarded a federal evaluation of the HIP 2.0 demonstration.</w:t>
      </w:r>
      <w:r w:rsidR="00E910E7">
        <w:rPr>
          <w:sz w:val="24"/>
        </w:rPr>
        <w:t xml:space="preserve"> CMS expects that additional federal evaluations likely will be required for more states, and that the Indiana evaluation can serve as a model.</w:t>
      </w:r>
    </w:p>
    <w:p w14:paraId="47F27DFF" w14:textId="77777777" w:rsidR="00E66FAB" w:rsidRDefault="00E66FAB" w:rsidP="00501B1B">
      <w:pPr>
        <w:spacing w:after="0" w:line="240" w:lineRule="auto"/>
        <w:rPr>
          <w:sz w:val="24"/>
        </w:rPr>
      </w:pPr>
    </w:p>
    <w:p w14:paraId="3CD87F9F" w14:textId="77777777" w:rsidR="008F1EB4" w:rsidRDefault="00C57736" w:rsidP="00501B1B">
      <w:pPr>
        <w:pStyle w:val="Heading2"/>
        <w:spacing w:before="0" w:line="240" w:lineRule="auto"/>
      </w:pPr>
      <w:r w:rsidRPr="00AD58F5">
        <w:t>A</w:t>
      </w:r>
      <w:r w:rsidR="008F1EB4" w:rsidRPr="00AD58F5">
        <w:t>.</w:t>
      </w:r>
      <w:r w:rsidR="008F1EB4" w:rsidRPr="00AD58F5">
        <w:tab/>
        <w:t>Justification</w:t>
      </w:r>
    </w:p>
    <w:p w14:paraId="58A4C463" w14:textId="77777777" w:rsidR="00404395" w:rsidRPr="00404395" w:rsidRDefault="00404395" w:rsidP="00501B1B">
      <w:pPr>
        <w:spacing w:after="0" w:line="240" w:lineRule="auto"/>
      </w:pPr>
    </w:p>
    <w:p w14:paraId="440EEAB3" w14:textId="77777777" w:rsidR="008F1EB4" w:rsidRDefault="008F1EB4" w:rsidP="00501B1B">
      <w:pPr>
        <w:pStyle w:val="Heading3"/>
        <w:spacing w:before="0" w:line="240" w:lineRule="auto"/>
      </w:pPr>
      <w:r w:rsidRPr="000B57D7">
        <w:t>1.</w:t>
      </w:r>
      <w:r w:rsidRPr="000B57D7">
        <w:tab/>
      </w:r>
      <w:r w:rsidRPr="00084BD6">
        <w:t>Need and Legal Basis</w:t>
      </w:r>
    </w:p>
    <w:p w14:paraId="0B4E9B9D" w14:textId="77777777" w:rsidR="005C4BAA" w:rsidRDefault="005C4BAA" w:rsidP="00501B1B">
      <w:pPr>
        <w:spacing w:after="0" w:line="240" w:lineRule="auto"/>
        <w:rPr>
          <w:sz w:val="24"/>
        </w:rPr>
      </w:pPr>
    </w:p>
    <w:p w14:paraId="61B48D8E" w14:textId="77777777" w:rsidR="002929C5" w:rsidRDefault="00074805" w:rsidP="00501B1B">
      <w:pPr>
        <w:spacing w:after="0" w:line="240" w:lineRule="auto"/>
        <w:rPr>
          <w:sz w:val="24"/>
        </w:rPr>
      </w:pPr>
      <w:r>
        <w:rPr>
          <w:sz w:val="24"/>
        </w:rPr>
        <w:t xml:space="preserve">The data collection under the OMB control number 0938-1300 includes </w:t>
      </w:r>
      <w:r w:rsidR="006836C4">
        <w:rPr>
          <w:sz w:val="24"/>
        </w:rPr>
        <w:t>a beneficiary</w:t>
      </w:r>
      <w:r w:rsidR="005932A5" w:rsidRPr="00FE2FB4">
        <w:rPr>
          <w:sz w:val="24"/>
        </w:rPr>
        <w:t xml:space="preserve"> survey </w:t>
      </w:r>
      <w:r w:rsidR="00A3046F">
        <w:rPr>
          <w:sz w:val="24"/>
        </w:rPr>
        <w:t>and associated focus groups</w:t>
      </w:r>
      <w:r w:rsidR="00086CAB">
        <w:rPr>
          <w:sz w:val="24"/>
        </w:rPr>
        <w:t xml:space="preserve"> and </w:t>
      </w:r>
      <w:r w:rsidR="008226B1">
        <w:rPr>
          <w:sz w:val="24"/>
        </w:rPr>
        <w:t xml:space="preserve">informational </w:t>
      </w:r>
      <w:r w:rsidR="00837E04">
        <w:rPr>
          <w:sz w:val="24"/>
        </w:rPr>
        <w:t>interviews</w:t>
      </w:r>
      <w:r w:rsidR="00007C1D">
        <w:rPr>
          <w:sz w:val="24"/>
        </w:rPr>
        <w:t xml:space="preserve"> conducted during site visits and via phone</w:t>
      </w:r>
      <w:r w:rsidR="006836C4">
        <w:rPr>
          <w:sz w:val="24"/>
        </w:rPr>
        <w:t xml:space="preserve">.  </w:t>
      </w:r>
      <w:r w:rsidR="00E227A3">
        <w:rPr>
          <w:sz w:val="24"/>
        </w:rPr>
        <w:t>As described below, t</w:t>
      </w:r>
      <w:r w:rsidR="006836C4">
        <w:rPr>
          <w:sz w:val="24"/>
        </w:rPr>
        <w:t>he beneficiary survey is no longer part of the study.  The site visit and associated informational interviews and focus groups are</w:t>
      </w:r>
      <w:r w:rsidR="005932A5" w:rsidRPr="00FE2FB4">
        <w:rPr>
          <w:sz w:val="24"/>
        </w:rPr>
        <w:t xml:space="preserve"> vital to adequately inform CMS decision making regarding Section 1115 Waivers in the State of Indiana (hereinafter, “State” or “Indiana”). </w:t>
      </w:r>
    </w:p>
    <w:p w14:paraId="66A77147" w14:textId="77777777" w:rsidR="00E227A3" w:rsidRDefault="00E227A3" w:rsidP="00501B1B">
      <w:pPr>
        <w:spacing w:after="0" w:line="240" w:lineRule="auto"/>
        <w:rPr>
          <w:sz w:val="24"/>
        </w:rPr>
      </w:pPr>
    </w:p>
    <w:p w14:paraId="40B191D3" w14:textId="77777777" w:rsidR="002929C5" w:rsidRPr="00D17D1D" w:rsidRDefault="002929C5" w:rsidP="00D17D1D">
      <w:pPr>
        <w:spacing w:after="0" w:line="240" w:lineRule="auto"/>
        <w:rPr>
          <w:sz w:val="24"/>
        </w:rPr>
      </w:pPr>
      <w:r w:rsidRPr="00D17D1D">
        <w:rPr>
          <w:sz w:val="24"/>
        </w:rPr>
        <w:t xml:space="preserve">In January 2015, Indiana received approval from the Centers for Medicare &amp; Medicaid Services (CMS) to implement a new Section 1115 demonstration allowing for its Medicaid expansion under the Affordable Care Act (ACA)—the Healthy Indiana Plan (HIP) 2.0. Enrollment in HIP 2.0 began on February 1, 2015, and included some individuals who were previously eligible for Medicaid. As of June 2015, some 275,000 individuals were enrolled in HIP 2.0, including individuals who had previously been enrolled in Medicaid prior to HIP 2.0. Enrollment in HIP 2.0 was expected to eventually reach approximately 350,000 newly eligible beneficiaries. </w:t>
      </w:r>
    </w:p>
    <w:p w14:paraId="77342E1B" w14:textId="77777777" w:rsidR="002929C5" w:rsidRDefault="002929C5" w:rsidP="00D17D1D">
      <w:pPr>
        <w:spacing w:after="0" w:line="240" w:lineRule="auto"/>
        <w:rPr>
          <w:sz w:val="24"/>
        </w:rPr>
      </w:pPr>
      <w:r w:rsidRPr="00D17D1D">
        <w:rPr>
          <w:sz w:val="24"/>
        </w:rPr>
        <w:t xml:space="preserve">The new demonstration built on Indiana’s existing Medicaid managed care program and its 2007 Section 1115 demonstration, HIP 1.0. HIP 2.0 is an innovative approach to Medicaid expansion, containing elements of personal responsibility through the use of monthly contributions, cost sharing, and strategies to promote healthy behaviors and a reliance on the private insurance market through Medicaid managed care plans and a premium assistance program. HIP 2.0 includes some provisions not included in earlier Medicaid expansions, such as (1) a high-deductible health plan (HDHP) paired with a Personal Wellness and Responsibility (POWER) account; (2) “lockouts” from re-enrolling in coverage for some newly eligible individuals who do not pay their monthly POWER account contributions within a grace period; (3) $25 copays under certain circumstances  for non-emergent use of the emergency room (ER); and (4) optional POWER account contributions and enhanced benefits to newly eligible individuals with very low incomes. In addition, the HIP 2.0 demonstration includes a waiver of non-emergency medical transportation (NEMT) services. </w:t>
      </w:r>
    </w:p>
    <w:p w14:paraId="27D9B593" w14:textId="77777777" w:rsidR="00E227A3" w:rsidRPr="00D17D1D" w:rsidRDefault="00E227A3" w:rsidP="00D17D1D">
      <w:pPr>
        <w:spacing w:after="0" w:line="240" w:lineRule="auto"/>
        <w:rPr>
          <w:sz w:val="24"/>
        </w:rPr>
      </w:pPr>
    </w:p>
    <w:p w14:paraId="6617944D" w14:textId="77777777" w:rsidR="005932A5" w:rsidRPr="00E66FAB" w:rsidRDefault="005932A5" w:rsidP="00501B1B">
      <w:pPr>
        <w:spacing w:after="0" w:line="240" w:lineRule="auto"/>
        <w:rPr>
          <w:sz w:val="24"/>
        </w:rPr>
      </w:pPr>
      <w:r w:rsidRPr="00FE2FB4">
        <w:rPr>
          <w:sz w:val="24"/>
        </w:rPr>
        <w:t>CMS awarded a federal evaluation of the Indiana HIP 2.0 demonstration in late 2015.</w:t>
      </w:r>
      <w:r w:rsidR="002929C5">
        <w:rPr>
          <w:sz w:val="24"/>
        </w:rPr>
        <w:t xml:space="preserve"> </w:t>
      </w:r>
    </w:p>
    <w:p w14:paraId="31A14E40" w14:textId="77777777" w:rsidR="00404395" w:rsidRDefault="00404395" w:rsidP="00501B1B">
      <w:pPr>
        <w:spacing w:after="0" w:line="240" w:lineRule="auto"/>
        <w:rPr>
          <w:sz w:val="24"/>
        </w:rPr>
      </w:pPr>
    </w:p>
    <w:p w14:paraId="1443C5E5" w14:textId="77777777" w:rsidR="00404395" w:rsidRDefault="005932A5" w:rsidP="00501B1B">
      <w:pPr>
        <w:spacing w:after="0" w:line="240" w:lineRule="auto"/>
        <w:rPr>
          <w:sz w:val="24"/>
        </w:rPr>
      </w:pPr>
      <w:r w:rsidRPr="00FE2FB4">
        <w:rPr>
          <w:sz w:val="24"/>
        </w:rPr>
        <w:t xml:space="preserve">In December 2015 CMS concluded work with the State on the State’s evaluation design.  At that point, CMS made adjustments to the federal evaluation that would minimize duplication between the State and federal evaluations and provide a robust approach to evaluating the HIP 2.0 demonstration.  </w:t>
      </w:r>
    </w:p>
    <w:p w14:paraId="070B911A" w14:textId="77777777" w:rsidR="00B84F3C" w:rsidRDefault="00B84F3C" w:rsidP="002929C5"/>
    <w:p w14:paraId="61CA3AAE" w14:textId="77777777" w:rsidR="002929C5" w:rsidRPr="00B84F3C" w:rsidRDefault="002929C5" w:rsidP="002929C5">
      <w:pPr>
        <w:rPr>
          <w:sz w:val="24"/>
        </w:rPr>
      </w:pPr>
      <w:r w:rsidRPr="00B84F3C">
        <w:rPr>
          <w:sz w:val="24"/>
        </w:rPr>
        <w:t xml:space="preserve">There are three goals for the federal evaluation of Indiana’s Medicaid expansion waiver: </w:t>
      </w:r>
    </w:p>
    <w:p w14:paraId="263A13CF" w14:textId="77777777" w:rsidR="002929C5" w:rsidRPr="00B84F3C" w:rsidRDefault="002929C5" w:rsidP="002929C5">
      <w:pPr>
        <w:ind w:left="1440" w:hanging="720"/>
        <w:rPr>
          <w:sz w:val="24"/>
        </w:rPr>
      </w:pPr>
      <w:r w:rsidRPr="00B84F3C">
        <w:rPr>
          <w:sz w:val="24"/>
        </w:rPr>
        <w:t>•</w:t>
      </w:r>
      <w:r w:rsidRPr="00B84F3C">
        <w:rPr>
          <w:sz w:val="24"/>
        </w:rPr>
        <w:tab/>
        <w:t>Understand the design, implementation, and administrative costs of HIP 2.0;</w:t>
      </w:r>
    </w:p>
    <w:p w14:paraId="1D16A393" w14:textId="77777777" w:rsidR="002929C5" w:rsidRPr="00B84F3C" w:rsidRDefault="002929C5" w:rsidP="002929C5">
      <w:pPr>
        <w:ind w:left="1440" w:hanging="720"/>
        <w:rPr>
          <w:sz w:val="24"/>
        </w:rPr>
      </w:pPr>
      <w:r w:rsidRPr="00B84F3C">
        <w:rPr>
          <w:sz w:val="24"/>
        </w:rPr>
        <w:t>•</w:t>
      </w:r>
      <w:r w:rsidRPr="00B84F3C">
        <w:rPr>
          <w:sz w:val="24"/>
        </w:rPr>
        <w:tab/>
        <w:t>Estimate the impacts of the HIP 2.0 waiver; and</w:t>
      </w:r>
    </w:p>
    <w:p w14:paraId="088DFACC" w14:textId="77777777" w:rsidR="002929C5" w:rsidRPr="00B84F3C" w:rsidRDefault="002929C5" w:rsidP="002929C5">
      <w:pPr>
        <w:ind w:left="1440" w:hanging="720"/>
        <w:rPr>
          <w:sz w:val="24"/>
        </w:rPr>
      </w:pPr>
      <w:r w:rsidRPr="00B84F3C">
        <w:rPr>
          <w:sz w:val="24"/>
        </w:rPr>
        <w:t>•</w:t>
      </w:r>
      <w:r w:rsidRPr="00B84F3C">
        <w:rPr>
          <w:sz w:val="24"/>
        </w:rPr>
        <w:tab/>
        <w:t>Document beneficiary understanding of and experiences with HIP 2.0, including experiences with POWER accounts and enrollment and disenrollment.</w:t>
      </w:r>
    </w:p>
    <w:p w14:paraId="49DB2705" w14:textId="77777777" w:rsidR="002929C5" w:rsidRPr="00B84F3C" w:rsidRDefault="002929C5" w:rsidP="002929C5">
      <w:pPr>
        <w:rPr>
          <w:sz w:val="24"/>
        </w:rPr>
      </w:pPr>
      <w:r w:rsidRPr="00B84F3C">
        <w:rPr>
          <w:sz w:val="24"/>
        </w:rPr>
        <w:t>In meeting these goals, the evaluation of Indiana’s Medicaid expansion waiver was to have three components:</w:t>
      </w:r>
    </w:p>
    <w:p w14:paraId="7774CC85" w14:textId="77777777" w:rsidR="002929C5" w:rsidRPr="00B84F3C" w:rsidRDefault="002929C5" w:rsidP="002929C5">
      <w:pPr>
        <w:ind w:left="1440" w:hanging="720"/>
        <w:rPr>
          <w:sz w:val="24"/>
        </w:rPr>
      </w:pPr>
      <w:r w:rsidRPr="00B84F3C">
        <w:rPr>
          <w:sz w:val="24"/>
        </w:rPr>
        <w:t>•</w:t>
      </w:r>
      <w:r w:rsidRPr="00B84F3C">
        <w:rPr>
          <w:sz w:val="24"/>
        </w:rPr>
        <w:tab/>
        <w:t>Qualitative analyses that included two rounds of site visits (Spring 2016 and Spring 2018), with four focus groups each round;</w:t>
      </w:r>
    </w:p>
    <w:p w14:paraId="56D7051F" w14:textId="77777777" w:rsidR="002929C5" w:rsidRPr="00B84F3C" w:rsidRDefault="002929C5" w:rsidP="002929C5">
      <w:pPr>
        <w:ind w:left="1440" w:hanging="720"/>
        <w:rPr>
          <w:sz w:val="24"/>
        </w:rPr>
      </w:pPr>
      <w:r w:rsidRPr="00B84F3C">
        <w:rPr>
          <w:sz w:val="24"/>
        </w:rPr>
        <w:t>•</w:t>
      </w:r>
      <w:r w:rsidRPr="00B84F3C">
        <w:rPr>
          <w:sz w:val="24"/>
        </w:rPr>
        <w:tab/>
        <w:t>Beneficiary Surveys and descriptive analyses based on Medicaid administrative data in 2016 and 2018; and</w:t>
      </w:r>
    </w:p>
    <w:p w14:paraId="11EC6B61" w14:textId="77777777" w:rsidR="002929C5" w:rsidRPr="00B84F3C" w:rsidRDefault="002929C5" w:rsidP="002929C5">
      <w:pPr>
        <w:ind w:left="1440" w:hanging="720"/>
        <w:rPr>
          <w:sz w:val="24"/>
        </w:rPr>
      </w:pPr>
      <w:r w:rsidRPr="00B84F3C">
        <w:rPr>
          <w:sz w:val="24"/>
        </w:rPr>
        <w:t>•</w:t>
      </w:r>
      <w:r w:rsidRPr="00B84F3C">
        <w:rPr>
          <w:sz w:val="24"/>
        </w:rPr>
        <w:tab/>
        <w:t>Impact analyses using both Medicaid administrative data and federal survey data.</w:t>
      </w:r>
    </w:p>
    <w:p w14:paraId="35E0180B" w14:textId="77777777" w:rsidR="002929C5" w:rsidRPr="00B84F3C" w:rsidRDefault="002929C5" w:rsidP="00AC045C">
      <w:pPr>
        <w:rPr>
          <w:sz w:val="24"/>
        </w:rPr>
      </w:pPr>
      <w:r w:rsidRPr="00B84F3C">
        <w:rPr>
          <w:sz w:val="24"/>
        </w:rPr>
        <w:t>Prior to 2018</w:t>
      </w:r>
      <w:r w:rsidR="00E227A3">
        <w:rPr>
          <w:sz w:val="24"/>
        </w:rPr>
        <w:t>,</w:t>
      </w:r>
      <w:r w:rsidRPr="00B84F3C">
        <w:rPr>
          <w:sz w:val="24"/>
        </w:rPr>
        <w:t xml:space="preserve"> a Data Use Agreement between the CMS contractor – Social &amp; Scientific Systems (SSS), Inc., and the State was not finalized.   Medicaid administrative data needed to  conduct the Beneficiary Surveys, descriptive analyses, and policy specific impact analyses were dropped from the evaluation since </w:t>
      </w:r>
      <w:r w:rsidR="00E227A3">
        <w:rPr>
          <w:sz w:val="24"/>
        </w:rPr>
        <w:t>the Data Use agreement</w:t>
      </w:r>
      <w:r w:rsidR="00E227A3" w:rsidRPr="00B84F3C">
        <w:rPr>
          <w:sz w:val="24"/>
        </w:rPr>
        <w:t xml:space="preserve"> </w:t>
      </w:r>
      <w:r w:rsidRPr="00B84F3C">
        <w:rPr>
          <w:sz w:val="24"/>
        </w:rPr>
        <w:t xml:space="preserve">could not be completed within the timeframe </w:t>
      </w:r>
      <w:r w:rsidR="00E227A3">
        <w:rPr>
          <w:sz w:val="24"/>
        </w:rPr>
        <w:t>f</w:t>
      </w:r>
      <w:r w:rsidR="00F51274">
        <w:rPr>
          <w:sz w:val="24"/>
        </w:rPr>
        <w:t xml:space="preserve">or the contracted </w:t>
      </w:r>
      <w:r w:rsidR="00E227A3">
        <w:rPr>
          <w:sz w:val="24"/>
        </w:rPr>
        <w:t>expenditure of funds</w:t>
      </w:r>
      <w:r w:rsidRPr="00B84F3C">
        <w:rPr>
          <w:sz w:val="24"/>
        </w:rPr>
        <w:t xml:space="preserve">.  </w:t>
      </w:r>
      <w:r w:rsidR="00AC045C">
        <w:rPr>
          <w:sz w:val="24"/>
        </w:rPr>
        <w:t>The eight focus groups were also pushed to 2018.</w:t>
      </w:r>
      <w:r w:rsidRPr="00B84F3C">
        <w:rPr>
          <w:sz w:val="24"/>
        </w:rPr>
        <w:t xml:space="preserve"> </w:t>
      </w:r>
    </w:p>
    <w:p w14:paraId="7107337D" w14:textId="77777777" w:rsidR="00391F44" w:rsidRPr="00B84F3C" w:rsidRDefault="002929C5" w:rsidP="003659FF">
      <w:pPr>
        <w:rPr>
          <w:sz w:val="28"/>
        </w:rPr>
      </w:pPr>
      <w:r w:rsidRPr="00B84F3C">
        <w:rPr>
          <w:sz w:val="24"/>
        </w:rPr>
        <w:t xml:space="preserve">In the absence of the Beneficiary Surveys, the eight focus groups will be the source of information directly from Indiana residents on their experiences with HIP 2.0. The CMS evaluation </w:t>
      </w:r>
      <w:r w:rsidRPr="00B84F3C">
        <w:rPr>
          <w:iCs/>
          <w:sz w:val="24"/>
        </w:rPr>
        <w:t xml:space="preserve"> will therefore significantly expand the  focus group effort to include a larger number of groups than was originally proposed for 2018, allowing the evaluator to hear more voices from populations of interest across the state to fill part of the gap that arises from the lo</w:t>
      </w:r>
      <w:r w:rsidR="00B84F3C">
        <w:rPr>
          <w:iCs/>
          <w:sz w:val="24"/>
        </w:rPr>
        <w:t>ss of the Beneficiary Surveys. </w:t>
      </w:r>
      <w:r w:rsidRPr="00B84F3C">
        <w:rPr>
          <w:iCs/>
          <w:sz w:val="24"/>
        </w:rPr>
        <w:t>By expanding the number of focus groups for the 2018 site visit, the evaluation will still be able to obtain critical insights into how consumers experience HIP 2.0, whether they find care affordable and accessible, whether enrollment and renewal systems are convenient and efficient, and the extent to which insurance coverage is making a positive difference in their lives.</w:t>
      </w:r>
      <w:r w:rsidR="00B84F3C">
        <w:rPr>
          <w:iCs/>
          <w:sz w:val="24"/>
        </w:rPr>
        <w:t xml:space="preserve"> </w:t>
      </w:r>
      <w:r w:rsidR="00391F44" w:rsidRPr="00B84F3C">
        <w:rPr>
          <w:iCs/>
          <w:sz w:val="24"/>
        </w:rPr>
        <w:t>Focus groups and informational interviews with key stakeholders at the Indianapolis site will provide the qualitative context to understand the impact analyses being conducted as part of the evaluation. The informational interviews will provide important insights into how major HIP 2.0 stakeholders perceive the operations and effectiveness of the program.</w:t>
      </w:r>
    </w:p>
    <w:p w14:paraId="3C4F25EA" w14:textId="77777777" w:rsidR="003659FF" w:rsidRPr="00B84F3C" w:rsidRDefault="003659FF" w:rsidP="003659FF">
      <w:pPr>
        <w:rPr>
          <w:sz w:val="24"/>
        </w:rPr>
      </w:pPr>
      <w:r w:rsidRPr="00B84F3C">
        <w:rPr>
          <w:sz w:val="24"/>
        </w:rPr>
        <w:t>While the federal evaluation will address the three goals outlined above, it will provide a less rich understanding of the demonstration and of beneficiaries’ understanding and experiences with HIP 2.0 than had been planned.  By limiting the case study and focus groups to 2018, the evaluation will obtain less reliable information on the design and implementation of the demonstration and on early experiences with POWER accounts, enrollment and disenrollment.  By excluding the Beneficiary Surveys, the evaluation will obtain less in-depth and detailed information on consumer experiences, including the affordability of HELP and satisfaction with HELP.  By removing the policy-specific impact analyses that would have relied on the administrative data, the evaluation will not be able to disentangle the impacts of key components of the HIP 2.0 waiver. The Evaluation Design Report was revised to reflect these changes and is available at Medicaid.Gov.</w:t>
      </w:r>
      <w:r w:rsidRPr="00D17D1D">
        <w:rPr>
          <w:rStyle w:val="FootnoteReference"/>
          <w:sz w:val="24"/>
          <w:vertAlign w:val="superscript"/>
        </w:rPr>
        <w:footnoteReference w:id="2"/>
      </w:r>
      <w:r w:rsidRPr="00B84F3C">
        <w:rPr>
          <w:sz w:val="24"/>
        </w:rPr>
        <w:t xml:space="preserve"> </w:t>
      </w:r>
    </w:p>
    <w:p w14:paraId="436E643D" w14:textId="77777777" w:rsidR="002929C5" w:rsidRPr="00B84F3C" w:rsidRDefault="002929C5" w:rsidP="002929C5">
      <w:pPr>
        <w:rPr>
          <w:sz w:val="24"/>
        </w:rPr>
      </w:pPr>
      <w:r w:rsidRPr="00B84F3C">
        <w:rPr>
          <w:sz w:val="24"/>
        </w:rPr>
        <w:t>The impact evaluation will nonetheless provide a robust analysis, analyzing Indiana as compared to other expansion states and non-expansion states on measures of health insurance coverage, health care access and use (including preventive care), affordability,  and health behaviors and health using the American Community Service (ACS) and Behavioral Risk Factor Surveillance System (BFRSS) data.  The SSS evaluation will rely on difference-in-differences models, with the comparison groups carefully structured to be similar to Indiana at baseline.  In addition, the SSS evaluation will compare its findings with other research and evaluations including: the federal multistate Medicaid expansion and healthy behaviors evaluation being conducted by Mathematica Policy Research, and Indiana’s own independent state evaluation. </w:t>
      </w:r>
    </w:p>
    <w:p w14:paraId="3054A5A0" w14:textId="77777777" w:rsidR="008F1EB4" w:rsidRPr="000B57D7" w:rsidRDefault="008F1EB4" w:rsidP="00501B1B">
      <w:pPr>
        <w:pStyle w:val="Heading3"/>
        <w:spacing w:before="0" w:line="240" w:lineRule="auto"/>
      </w:pPr>
      <w:r w:rsidRPr="000B57D7">
        <w:t>2.</w:t>
      </w:r>
      <w:r w:rsidRPr="000B57D7">
        <w:tab/>
        <w:t>Information Users</w:t>
      </w:r>
    </w:p>
    <w:p w14:paraId="3A62B30F" w14:textId="77777777" w:rsidR="00D05B83" w:rsidRDefault="00D05B83"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4"/>
        </w:rPr>
      </w:pPr>
    </w:p>
    <w:p w14:paraId="777C084F" w14:textId="77777777" w:rsidR="008F1EB4" w:rsidRPr="00E66FAB" w:rsidRDefault="007261C6"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4"/>
        </w:rPr>
      </w:pPr>
      <w:r>
        <w:rPr>
          <w:sz w:val="24"/>
        </w:rPr>
        <w:t xml:space="preserve">Information will be used </w:t>
      </w:r>
      <w:r w:rsidR="002030E7">
        <w:rPr>
          <w:sz w:val="24"/>
        </w:rPr>
        <w:t xml:space="preserve">by CMS </w:t>
      </w:r>
      <w:r>
        <w:rPr>
          <w:sz w:val="24"/>
        </w:rPr>
        <w:t xml:space="preserve">to </w:t>
      </w:r>
      <w:r w:rsidRPr="00FE2FB4">
        <w:rPr>
          <w:sz w:val="24"/>
        </w:rPr>
        <w:t>adequately inform CMS decision making regarding Section 1115 Waivers.</w:t>
      </w:r>
      <w:r>
        <w:rPr>
          <w:sz w:val="24"/>
        </w:rPr>
        <w:t xml:space="preserve"> </w:t>
      </w:r>
      <w:r w:rsidR="002030E7">
        <w:rPr>
          <w:sz w:val="24"/>
        </w:rPr>
        <w:t xml:space="preserve">CMS and other stakeholders also will use the information as a point of comparison to states implementing similar demonstrations. Other states </w:t>
      </w:r>
      <w:r w:rsidR="00270D1E">
        <w:rPr>
          <w:sz w:val="24"/>
        </w:rPr>
        <w:t xml:space="preserve">contemplating waivers </w:t>
      </w:r>
      <w:r w:rsidR="002030E7">
        <w:rPr>
          <w:sz w:val="24"/>
        </w:rPr>
        <w:t>may find the information helpful for their own decision-making processes.</w:t>
      </w:r>
    </w:p>
    <w:p w14:paraId="6C57B1F0" w14:textId="77777777" w:rsidR="00404395" w:rsidRDefault="00404395" w:rsidP="00501B1B">
      <w:pPr>
        <w:pStyle w:val="Heading3"/>
        <w:spacing w:before="0" w:line="240" w:lineRule="auto"/>
      </w:pPr>
    </w:p>
    <w:p w14:paraId="7B522C1C" w14:textId="77777777" w:rsidR="008F1EB4" w:rsidRDefault="008F1EB4" w:rsidP="00501B1B">
      <w:pPr>
        <w:pStyle w:val="Heading3"/>
        <w:spacing w:before="0" w:line="240" w:lineRule="auto"/>
      </w:pPr>
      <w:r w:rsidRPr="000B57D7">
        <w:t>3.</w:t>
      </w:r>
      <w:r w:rsidRPr="000B57D7">
        <w:tab/>
        <w:t>Use of Information Technology</w:t>
      </w:r>
    </w:p>
    <w:p w14:paraId="1A732BFB" w14:textId="77777777" w:rsidR="00A33EAF" w:rsidRDefault="00A33EAF" w:rsidP="00501B1B">
      <w:pPr>
        <w:pStyle w:val="BodyText"/>
        <w:spacing w:before="0" w:after="0" w:line="240" w:lineRule="auto"/>
        <w:rPr>
          <w:sz w:val="24"/>
          <w:szCs w:val="24"/>
        </w:rPr>
      </w:pPr>
    </w:p>
    <w:p w14:paraId="4F6AEEC2" w14:textId="77777777" w:rsidR="006917C3" w:rsidRDefault="006917C3" w:rsidP="00501B1B">
      <w:pPr>
        <w:pStyle w:val="BodyText"/>
        <w:spacing w:before="0" w:after="0" w:line="240" w:lineRule="auto"/>
        <w:rPr>
          <w:sz w:val="24"/>
          <w:szCs w:val="24"/>
        </w:rPr>
      </w:pPr>
      <w:r>
        <w:rPr>
          <w:sz w:val="24"/>
          <w:szCs w:val="24"/>
        </w:rPr>
        <w:t>For the focus groups,</w:t>
      </w:r>
      <w:r w:rsidR="00630142">
        <w:rPr>
          <w:sz w:val="24"/>
          <w:szCs w:val="24"/>
        </w:rPr>
        <w:t xml:space="preserve"> </w:t>
      </w:r>
      <w:r>
        <w:rPr>
          <w:sz w:val="24"/>
        </w:rPr>
        <w:t>we</w:t>
      </w:r>
      <w:r w:rsidRPr="006917C3">
        <w:rPr>
          <w:sz w:val="24"/>
          <w:szCs w:val="24"/>
        </w:rPr>
        <w:t xml:space="preserve"> will obtain written informed consent from participants after:  </w:t>
      </w:r>
      <w:r w:rsidR="00A33EAF">
        <w:rPr>
          <w:sz w:val="24"/>
          <w:szCs w:val="24"/>
        </w:rPr>
        <w:t xml:space="preserve">(1) </w:t>
      </w:r>
      <w:r w:rsidRPr="006917C3">
        <w:rPr>
          <w:sz w:val="24"/>
          <w:szCs w:val="24"/>
        </w:rPr>
        <w:t xml:space="preserve">explaining to them the purpose of our study; </w:t>
      </w:r>
      <w:r w:rsidR="00A33EAF">
        <w:rPr>
          <w:sz w:val="24"/>
          <w:szCs w:val="24"/>
        </w:rPr>
        <w:t xml:space="preserve">(2) </w:t>
      </w:r>
      <w:r w:rsidRPr="006917C3">
        <w:rPr>
          <w:sz w:val="24"/>
          <w:szCs w:val="24"/>
        </w:rPr>
        <w:t xml:space="preserve">informing them that focus groups are confidential to the extent permitted by law, voluntary, and can be stopped at any time; </w:t>
      </w:r>
      <w:r w:rsidR="00A33EAF">
        <w:rPr>
          <w:sz w:val="24"/>
          <w:szCs w:val="24"/>
        </w:rPr>
        <w:t xml:space="preserve">(3) </w:t>
      </w:r>
      <w:r w:rsidRPr="006917C3">
        <w:rPr>
          <w:sz w:val="24"/>
          <w:szCs w:val="24"/>
        </w:rPr>
        <w:t xml:space="preserve">requesting their permission to take notes and audio record the focus group; and </w:t>
      </w:r>
      <w:r w:rsidR="00A33EAF">
        <w:rPr>
          <w:sz w:val="24"/>
          <w:szCs w:val="24"/>
        </w:rPr>
        <w:t xml:space="preserve">(4) </w:t>
      </w:r>
      <w:r w:rsidRPr="006917C3">
        <w:rPr>
          <w:sz w:val="24"/>
          <w:szCs w:val="24"/>
        </w:rPr>
        <w:t>soliciting and answering any questions they may have. A copy of the informed consent statement that participants will be asked to sign at the start of all focus groups is included with this package.</w:t>
      </w:r>
    </w:p>
    <w:p w14:paraId="5456799E" w14:textId="77777777" w:rsidR="00D53238" w:rsidRDefault="00D53238" w:rsidP="00501B1B">
      <w:pPr>
        <w:pStyle w:val="BodyText"/>
        <w:spacing w:before="0" w:after="0" w:line="240" w:lineRule="auto"/>
      </w:pPr>
    </w:p>
    <w:p w14:paraId="148486E1" w14:textId="77777777" w:rsidR="004D4D13" w:rsidRDefault="009D7E02" w:rsidP="00501B1B">
      <w:pPr>
        <w:pStyle w:val="BodyText"/>
        <w:spacing w:before="0" w:after="0" w:line="240" w:lineRule="auto"/>
        <w:rPr>
          <w:sz w:val="24"/>
          <w:szCs w:val="24"/>
        </w:rPr>
      </w:pPr>
      <w:r>
        <w:rPr>
          <w:sz w:val="24"/>
          <w:szCs w:val="24"/>
        </w:rPr>
        <w:t>T</w:t>
      </w:r>
      <w:r w:rsidR="00D53238" w:rsidRPr="00D53238">
        <w:rPr>
          <w:sz w:val="24"/>
          <w:szCs w:val="24"/>
        </w:rPr>
        <w:t xml:space="preserve">he focus group recruitment lists </w:t>
      </w:r>
      <w:r w:rsidRPr="00DF20C7">
        <w:rPr>
          <w:sz w:val="24"/>
          <w:szCs w:val="24"/>
        </w:rPr>
        <w:t>will be stored at the SSS Secure Data Center (SSS SDC) and will be sanitized from the system once the focus groups are completed.  The security controls implemented at the SSS SDC are consistent with the recommendations from NIST and are compliant with a FISMA moderate security categorization. The data that resides at the SSS SDC, while at rest, are stored on encrypted drives that are dedicated to the project. Authorized users, such as the trained Briljent staff involved in recruitment, access the data via Citrix NetScaler using a FIPS 140-2 compliant encryption module.  Authorized users are required to access the SSS SDC utilizing two-factor authentication which consists of a unique username and password combination in addition to a RSA SecurID token.  Each user is allocated a virtual machine in the secure project environment.   Once authenticated, users are permitted access to the environment and data files per role-based access controls using Windows Active Directory groups.  In addition, there are protocols in place at the SSS SDC that further limit the access and sharing to authorized activities only.  Printing capabilities within the SSS SDC have been removed; Internet access from within the SSS SDC is also denied.</w:t>
      </w:r>
    </w:p>
    <w:p w14:paraId="3B372F78" w14:textId="77777777" w:rsidR="00353D05" w:rsidRDefault="00353D05" w:rsidP="00501B1B">
      <w:pPr>
        <w:pStyle w:val="BodyText"/>
        <w:spacing w:before="0" w:after="0" w:line="240" w:lineRule="auto"/>
        <w:rPr>
          <w:sz w:val="24"/>
          <w:szCs w:val="24"/>
        </w:rPr>
      </w:pPr>
    </w:p>
    <w:p w14:paraId="4F24DE3E" w14:textId="77777777" w:rsidR="00CC7FB0" w:rsidRPr="00CC7FB0" w:rsidRDefault="00D53238" w:rsidP="00501B1B">
      <w:pPr>
        <w:pStyle w:val="BodyText"/>
        <w:spacing w:before="0" w:after="0" w:line="240" w:lineRule="auto"/>
        <w:rPr>
          <w:sz w:val="24"/>
          <w:szCs w:val="24"/>
        </w:rPr>
      </w:pPr>
      <w:r w:rsidRPr="00D53238">
        <w:rPr>
          <w:sz w:val="24"/>
          <w:szCs w:val="24"/>
        </w:rPr>
        <w:t>Urban Institute</w:t>
      </w:r>
      <w:r>
        <w:rPr>
          <w:sz w:val="24"/>
          <w:szCs w:val="24"/>
        </w:rPr>
        <w:t xml:space="preserve"> researchers, part of the SSS team, </w:t>
      </w:r>
      <w:r w:rsidRPr="00D53238">
        <w:rPr>
          <w:sz w:val="24"/>
          <w:szCs w:val="24"/>
        </w:rPr>
        <w:t>will implement a number of safeguards to ensure the confidentiality of all communications between researchers and focus group participants</w:t>
      </w:r>
      <w:r w:rsidR="00CC7FB0">
        <w:rPr>
          <w:sz w:val="24"/>
          <w:szCs w:val="24"/>
        </w:rPr>
        <w:t xml:space="preserve">. </w:t>
      </w:r>
      <w:r w:rsidR="0011599E">
        <w:rPr>
          <w:sz w:val="24"/>
          <w:szCs w:val="24"/>
        </w:rPr>
        <w:t>U</w:t>
      </w:r>
      <w:r w:rsidR="00CC7FB0" w:rsidRPr="00CC7FB0">
        <w:rPr>
          <w:sz w:val="24"/>
          <w:szCs w:val="24"/>
        </w:rPr>
        <w:t xml:space="preserve">rban Institute staff will save electronic audio recordings and focus group notes on a dedicated, segregated, password-protected partition on the Urban Institute secure server, which staff will access through PGP-encrypted computers. Access to these files will be restricted to researchers who have signed a staff pledge of confidentiality and have a need to access the data. All identifiers will be redacted in interview and focus group notes, and not mentioned in reports we write as part of this study. Recordings will be expunged once all focus group notes are cleaned and reviewed by research team members. </w:t>
      </w:r>
    </w:p>
    <w:p w14:paraId="546ECD95" w14:textId="77777777" w:rsidR="00CC7FB0" w:rsidRDefault="00CC7FB0" w:rsidP="00501B1B">
      <w:pPr>
        <w:pStyle w:val="BodyText"/>
        <w:spacing w:before="0" w:after="0" w:line="240" w:lineRule="auto"/>
        <w:rPr>
          <w:sz w:val="24"/>
          <w:szCs w:val="24"/>
        </w:rPr>
      </w:pPr>
    </w:p>
    <w:p w14:paraId="39D1BDE6" w14:textId="77777777" w:rsidR="00E70117" w:rsidRPr="00446040" w:rsidRDefault="00F80D67" w:rsidP="00501B1B">
      <w:pPr>
        <w:pStyle w:val="BodyText"/>
        <w:spacing w:before="0" w:after="0" w:line="240" w:lineRule="auto"/>
        <w:rPr>
          <w:rFonts w:cs="Times New Roman"/>
          <w:color w:val="000000"/>
          <w:sz w:val="24"/>
          <w:szCs w:val="24"/>
        </w:rPr>
      </w:pPr>
      <w:r w:rsidRPr="00446040">
        <w:rPr>
          <w:rFonts w:cs="Times New Roman"/>
          <w:color w:val="000000"/>
          <w:sz w:val="24"/>
          <w:szCs w:val="24"/>
        </w:rPr>
        <w:t xml:space="preserve">The project will adhere to the fundamental principles of research ethics to ensure that the security of the informational interviewee data collected are protected and maintained. Toward that end, we will use a digital audio recorder to create an audio recording of each interview (subject to consent of interviewee), and take notes on an encrypted, password-protected laptop during the interview. At the end of each day of interviewing, Urban staff will upload the audio recordings of their interviews onto the encrypted, password-protected laptops, and delete audio recordings from the digital recorder. Upon </w:t>
      </w:r>
      <w:r w:rsidRPr="00446040">
        <w:rPr>
          <w:rFonts w:cs="Times New Roman"/>
          <w:sz w:val="24"/>
          <w:szCs w:val="24"/>
        </w:rPr>
        <w:t xml:space="preserve">staff </w:t>
      </w:r>
      <w:r w:rsidRPr="00446040">
        <w:rPr>
          <w:rFonts w:cs="Times New Roman"/>
          <w:color w:val="000000"/>
          <w:sz w:val="24"/>
          <w:szCs w:val="24"/>
        </w:rPr>
        <w:t xml:space="preserve">return to Urban’s offices, audio recordings and rough notes from interviews will be </w:t>
      </w:r>
      <w:r w:rsidRPr="00446040">
        <w:rPr>
          <w:rFonts w:cs="Times New Roman"/>
          <w:sz w:val="24"/>
          <w:szCs w:val="24"/>
        </w:rPr>
        <w:t xml:space="preserve">downloaded from secure </w:t>
      </w:r>
      <w:r w:rsidRPr="00446040">
        <w:rPr>
          <w:rFonts w:cs="Times New Roman"/>
          <w:color w:val="000000"/>
          <w:sz w:val="24"/>
          <w:szCs w:val="24"/>
        </w:rPr>
        <w:t xml:space="preserve">laptops and saved to Urban’s </w:t>
      </w:r>
      <w:r w:rsidR="00DD06C6" w:rsidRPr="00446040">
        <w:rPr>
          <w:rFonts w:cs="Times New Roman"/>
          <w:color w:val="000000"/>
          <w:sz w:val="24"/>
          <w:szCs w:val="24"/>
        </w:rPr>
        <w:t>private</w:t>
      </w:r>
      <w:r w:rsidRPr="00446040">
        <w:rPr>
          <w:rFonts w:cs="Times New Roman"/>
          <w:color w:val="000000"/>
          <w:sz w:val="24"/>
          <w:szCs w:val="24"/>
        </w:rPr>
        <w:t xml:space="preserve"> computer network drive, to a project folder only accessible by project staff with a need to use these data and who have signed a staff pledge of confidentiality. Files will then be deleted from laptops. All files </w:t>
      </w:r>
      <w:r w:rsidR="00DD06C6" w:rsidRPr="00446040">
        <w:rPr>
          <w:rFonts w:cs="Times New Roman"/>
          <w:color w:val="000000"/>
          <w:sz w:val="24"/>
          <w:szCs w:val="24"/>
        </w:rPr>
        <w:t xml:space="preserve">kept private </w:t>
      </w:r>
      <w:r w:rsidRPr="00446040">
        <w:rPr>
          <w:rFonts w:cs="Times New Roman"/>
          <w:color w:val="000000"/>
          <w:sz w:val="24"/>
          <w:szCs w:val="24"/>
        </w:rPr>
        <w:t>on the drive will be destroyed at the end of the project.</w:t>
      </w:r>
    </w:p>
    <w:p w14:paraId="3E6EE231" w14:textId="77777777" w:rsidR="00F80D67" w:rsidRPr="00F80D67" w:rsidRDefault="00F80D67" w:rsidP="00501B1B">
      <w:pPr>
        <w:pStyle w:val="BodyText"/>
        <w:spacing w:before="0" w:after="0" w:line="240" w:lineRule="auto"/>
        <w:rPr>
          <w:rFonts w:ascii="Times New Roman" w:hAnsi="Times New Roman" w:cs="Times New Roman"/>
          <w:sz w:val="24"/>
          <w:szCs w:val="24"/>
        </w:rPr>
      </w:pPr>
    </w:p>
    <w:p w14:paraId="3EE85023" w14:textId="77777777" w:rsidR="008F1EB4" w:rsidRPr="000B57D7" w:rsidRDefault="008F1EB4" w:rsidP="00501B1B">
      <w:pPr>
        <w:pStyle w:val="Heading3"/>
        <w:spacing w:before="0" w:line="240" w:lineRule="auto"/>
      </w:pPr>
      <w:r w:rsidRPr="000B57D7">
        <w:t>4.</w:t>
      </w:r>
      <w:r w:rsidRPr="000B57D7">
        <w:tab/>
        <w:t>Duplication of Efforts</w:t>
      </w:r>
    </w:p>
    <w:p w14:paraId="71571C7D"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35ECD615" w14:textId="77777777" w:rsidR="008F1EB4" w:rsidRDefault="00FF329E" w:rsidP="00501B1B">
      <w:pPr>
        <w:spacing w:after="0" w:line="240" w:lineRule="auto"/>
        <w:rPr>
          <w:sz w:val="24"/>
        </w:rPr>
      </w:pPr>
      <w:r w:rsidRPr="00FF2E55">
        <w:rPr>
          <w:sz w:val="24"/>
        </w:rPr>
        <w:t xml:space="preserve">The federal evaluation of the HIP 2.0 demonstration, of which the </w:t>
      </w:r>
      <w:r w:rsidR="00446040">
        <w:rPr>
          <w:sz w:val="24"/>
        </w:rPr>
        <w:t>focus groups and informational interviews</w:t>
      </w:r>
      <w:r w:rsidRPr="00FF2E55">
        <w:rPr>
          <w:sz w:val="24"/>
        </w:rPr>
        <w:t xml:space="preserve"> a</w:t>
      </w:r>
      <w:r w:rsidR="00446040">
        <w:rPr>
          <w:sz w:val="24"/>
        </w:rPr>
        <w:t>re</w:t>
      </w:r>
      <w:r w:rsidRPr="00FF2E55">
        <w:rPr>
          <w:sz w:val="24"/>
        </w:rPr>
        <w:t xml:space="preserve"> major component</w:t>
      </w:r>
      <w:r w:rsidR="00446040">
        <w:rPr>
          <w:sz w:val="24"/>
        </w:rPr>
        <w:t>s</w:t>
      </w:r>
      <w:r w:rsidRPr="00FF2E55">
        <w:rPr>
          <w:sz w:val="24"/>
        </w:rPr>
        <w:t xml:space="preserve">, serves to complement rather than duplicate the State’s previous survey and evaluation. The </w:t>
      </w:r>
      <w:r w:rsidR="00F51925">
        <w:rPr>
          <w:sz w:val="24"/>
        </w:rPr>
        <w:t>focus groups</w:t>
      </w:r>
      <w:r w:rsidRPr="00FF2E55">
        <w:rPr>
          <w:sz w:val="24"/>
        </w:rPr>
        <w:t xml:space="preserve"> will accomplish this by providing </w:t>
      </w:r>
      <w:r w:rsidR="00F51925">
        <w:rPr>
          <w:sz w:val="24"/>
        </w:rPr>
        <w:t>rich, detailed</w:t>
      </w:r>
      <w:r w:rsidRPr="00FF2E55">
        <w:rPr>
          <w:sz w:val="24"/>
        </w:rPr>
        <w:t xml:space="preserve"> information on HIP 2.0 enrollees and disenrollees on their understanding, experience and satisfaction with aspects of HIP 2.0 that are priority for CMS. </w:t>
      </w:r>
      <w:r w:rsidR="00F51925">
        <w:rPr>
          <w:sz w:val="24"/>
        </w:rPr>
        <w:t>The</w:t>
      </w:r>
      <w:r w:rsidR="00204682">
        <w:rPr>
          <w:sz w:val="24"/>
        </w:rPr>
        <w:t xml:space="preserve"> informational interviews </w:t>
      </w:r>
      <w:r w:rsidR="00204682" w:rsidRPr="00657F24">
        <w:rPr>
          <w:sz w:val="24"/>
        </w:rPr>
        <w:t xml:space="preserve">with </w:t>
      </w:r>
      <w:r w:rsidR="00657F24" w:rsidRPr="00657F24">
        <w:rPr>
          <w:sz w:val="24"/>
        </w:rPr>
        <w:t>state official</w:t>
      </w:r>
      <w:r w:rsidR="00657F24">
        <w:rPr>
          <w:sz w:val="24"/>
        </w:rPr>
        <w:t>s</w:t>
      </w:r>
      <w:r w:rsidR="00657F24" w:rsidRPr="00657F24">
        <w:rPr>
          <w:sz w:val="24"/>
        </w:rPr>
        <w:t>, m</w:t>
      </w:r>
      <w:r w:rsidR="00657F24">
        <w:rPr>
          <w:sz w:val="24"/>
        </w:rPr>
        <w:t xml:space="preserve">anaged </w:t>
      </w:r>
      <w:r w:rsidR="00657F24" w:rsidRPr="00657F24">
        <w:rPr>
          <w:sz w:val="24"/>
        </w:rPr>
        <w:t>c</w:t>
      </w:r>
      <w:r w:rsidR="00657F24">
        <w:rPr>
          <w:sz w:val="24"/>
        </w:rPr>
        <w:t xml:space="preserve">are </w:t>
      </w:r>
      <w:r w:rsidR="00657F24" w:rsidRPr="00657F24">
        <w:rPr>
          <w:sz w:val="24"/>
        </w:rPr>
        <w:t>o</w:t>
      </w:r>
      <w:r w:rsidR="00657F24">
        <w:rPr>
          <w:sz w:val="24"/>
        </w:rPr>
        <w:t>rganizations</w:t>
      </w:r>
      <w:r w:rsidR="00657F24" w:rsidRPr="00657F24">
        <w:rPr>
          <w:sz w:val="24"/>
        </w:rPr>
        <w:t>, consumer advocate</w:t>
      </w:r>
      <w:r w:rsidR="00657F24">
        <w:rPr>
          <w:sz w:val="24"/>
        </w:rPr>
        <w:t>s</w:t>
      </w:r>
      <w:r w:rsidR="00657F24" w:rsidRPr="00657F24">
        <w:rPr>
          <w:sz w:val="24"/>
        </w:rPr>
        <w:t xml:space="preserve">, </w:t>
      </w:r>
      <w:r w:rsidR="00F51925">
        <w:rPr>
          <w:sz w:val="24"/>
        </w:rPr>
        <w:t xml:space="preserve">and </w:t>
      </w:r>
      <w:r w:rsidR="00657F24" w:rsidRPr="00657F24">
        <w:rPr>
          <w:sz w:val="24"/>
        </w:rPr>
        <w:t>employer or provider org</w:t>
      </w:r>
      <w:r w:rsidR="00657F24">
        <w:rPr>
          <w:sz w:val="24"/>
        </w:rPr>
        <w:t>anizations</w:t>
      </w:r>
      <w:r w:rsidR="00F51925">
        <w:rPr>
          <w:sz w:val="24"/>
        </w:rPr>
        <w:t>, will also provide important contextual information for interpreting federal and state evaluation results</w:t>
      </w:r>
      <w:r w:rsidR="00657F24">
        <w:rPr>
          <w:sz w:val="24"/>
        </w:rPr>
        <w:t>.</w:t>
      </w:r>
    </w:p>
    <w:p w14:paraId="59DDA20B" w14:textId="77777777" w:rsidR="00404395" w:rsidRDefault="00404395" w:rsidP="00501B1B">
      <w:pPr>
        <w:pStyle w:val="Heading3"/>
        <w:spacing w:before="0" w:line="240" w:lineRule="auto"/>
      </w:pPr>
    </w:p>
    <w:p w14:paraId="269E659A" w14:textId="77777777" w:rsidR="008F1EB4" w:rsidRDefault="008F1EB4" w:rsidP="00501B1B">
      <w:pPr>
        <w:pStyle w:val="Heading3"/>
        <w:spacing w:before="0" w:line="240" w:lineRule="auto"/>
      </w:pPr>
      <w:r w:rsidRPr="000B57D7">
        <w:t>5.</w:t>
      </w:r>
      <w:r w:rsidRPr="000B57D7">
        <w:tab/>
        <w:t>Small Businesses</w:t>
      </w:r>
    </w:p>
    <w:p w14:paraId="25AC841D" w14:textId="77777777" w:rsidR="00E467BF" w:rsidRPr="00E467BF" w:rsidRDefault="00E467BF" w:rsidP="00501B1B">
      <w:pPr>
        <w:spacing w:after="0" w:line="240" w:lineRule="auto"/>
      </w:pPr>
    </w:p>
    <w:p w14:paraId="665504BB" w14:textId="77777777" w:rsidR="007801C2" w:rsidRDefault="007801C2"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sz w:val="24"/>
        </w:rPr>
        <w:t>This data collection effort should not have an impact on small businesses or other small entities.</w:t>
      </w:r>
    </w:p>
    <w:p w14:paraId="66A35C9D" w14:textId="77777777" w:rsidR="00E467BF" w:rsidRDefault="00E467B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2424D558" w14:textId="77777777" w:rsidR="008F1EB4" w:rsidRPr="000B57D7" w:rsidRDefault="008F1EB4" w:rsidP="00501B1B">
      <w:pPr>
        <w:pStyle w:val="Heading3"/>
        <w:spacing w:before="0" w:line="240" w:lineRule="auto"/>
      </w:pPr>
      <w:r w:rsidRPr="000B57D7">
        <w:t>6.</w:t>
      </w:r>
      <w:r w:rsidRPr="000B57D7">
        <w:tab/>
        <w:t>Less Frequent Collection</w:t>
      </w:r>
    </w:p>
    <w:p w14:paraId="3419506F"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4A2F8665" w14:textId="77777777" w:rsidR="00DD06C6" w:rsidRDefault="00F5192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4"/>
        </w:rPr>
      </w:pPr>
      <w:r>
        <w:rPr>
          <w:sz w:val="24"/>
        </w:rPr>
        <w:t xml:space="preserve">Focus group the informational interview data will be collected one time.  A </w:t>
      </w:r>
      <w:r w:rsidR="00027AE7">
        <w:rPr>
          <w:sz w:val="24"/>
        </w:rPr>
        <w:t>less frequent or delayed data collection would not serve the purposes of completion of the evaluation.</w:t>
      </w:r>
    </w:p>
    <w:p w14:paraId="1C43A2E4" w14:textId="77777777" w:rsidR="00C07D9F" w:rsidRDefault="00C07D9F" w:rsidP="00501B1B">
      <w:pPr>
        <w:pStyle w:val="Heading3"/>
        <w:spacing w:before="0" w:line="240" w:lineRule="auto"/>
      </w:pPr>
    </w:p>
    <w:p w14:paraId="69CCC244" w14:textId="77777777" w:rsidR="008F1EB4" w:rsidRPr="000B57D7" w:rsidRDefault="008F1EB4" w:rsidP="00501B1B">
      <w:pPr>
        <w:pStyle w:val="Heading3"/>
        <w:spacing w:before="0" w:line="240" w:lineRule="auto"/>
      </w:pPr>
      <w:r w:rsidRPr="000B57D7">
        <w:t>7.</w:t>
      </w:r>
      <w:r w:rsidRPr="000B57D7">
        <w:tab/>
        <w:t>Special Circumstances</w:t>
      </w:r>
    </w:p>
    <w:p w14:paraId="6F45A8CE" w14:textId="77777777" w:rsidR="00032F56" w:rsidRPr="0070248F" w:rsidRDefault="00032F56" w:rsidP="00501B1B">
      <w:pPr>
        <w:spacing w:after="0" w:line="240" w:lineRule="auto"/>
        <w:rPr>
          <w:sz w:val="24"/>
        </w:rPr>
      </w:pPr>
    </w:p>
    <w:p w14:paraId="5E69DB93" w14:textId="77777777" w:rsidR="00032F56" w:rsidRPr="0070248F" w:rsidRDefault="00032F56"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70248F">
        <w:rPr>
          <w:sz w:val="24"/>
        </w:rPr>
        <w:t>There are no special circumstances that would require an information collection to be conducted in a manner that requires respondents to:</w:t>
      </w:r>
    </w:p>
    <w:p w14:paraId="1E19703E" w14:textId="77777777"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70248F">
        <w:rPr>
          <w:sz w:val="24"/>
        </w:rPr>
        <w:t>Report information to the agency more often than quarterly;</w:t>
      </w:r>
    </w:p>
    <w:p w14:paraId="50F3CC32" w14:textId="77777777"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 xml:space="preserve">Prepare a written response to a collection of information in fewer than 30 days after receipt of it; </w:t>
      </w:r>
    </w:p>
    <w:p w14:paraId="33ED738E" w14:textId="77777777"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Submit more than an original and two copies of any document;</w:t>
      </w:r>
    </w:p>
    <w:p w14:paraId="3776DCD0" w14:textId="77777777"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Retain records, other than health, medical, government contract, grant-in-aid, or tax records for more than three years;</w:t>
      </w:r>
    </w:p>
    <w:p w14:paraId="6601E350" w14:textId="77777777"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Collect data in connection with a statistical survey that is not designed to produce valid and reliable results that can be generalized to the universe of study,</w:t>
      </w:r>
    </w:p>
    <w:p w14:paraId="717A6666" w14:textId="77777777"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Use a statistical data classification that has not been reviewed and approved by OMB;</w:t>
      </w:r>
    </w:p>
    <w:p w14:paraId="7FB75E4C" w14:textId="77777777"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8A98491" w14:textId="77777777" w:rsidR="00135480"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6"/>
        <w:rPr>
          <w:sz w:val="24"/>
        </w:rPr>
      </w:pPr>
      <w:r w:rsidRPr="0070248F">
        <w:rPr>
          <w:sz w:val="24"/>
        </w:rPr>
        <w:t>Submit proprietary trade secret, or other confidential information unless the agency can demonstrate that it has instituted procedures to protect the information's confidentiality to the extent permitted by law.</w:t>
      </w:r>
    </w:p>
    <w:p w14:paraId="5A4F8B5C" w14:textId="77777777" w:rsidR="00404395" w:rsidRPr="00E467BF" w:rsidRDefault="004043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sz w:val="24"/>
        </w:rPr>
      </w:pPr>
    </w:p>
    <w:p w14:paraId="38A23CB6" w14:textId="77777777" w:rsidR="008F1EB4" w:rsidRDefault="008F1EB4" w:rsidP="00501B1B">
      <w:pPr>
        <w:pStyle w:val="Heading3"/>
        <w:spacing w:before="0" w:line="240" w:lineRule="auto"/>
      </w:pPr>
      <w:r w:rsidRPr="000B57D7">
        <w:t>8.</w:t>
      </w:r>
      <w:r w:rsidRPr="000B57D7">
        <w:tab/>
        <w:t>Federal Register/Outside Consultation</w:t>
      </w:r>
    </w:p>
    <w:p w14:paraId="42FFE85C" w14:textId="77777777" w:rsidR="007C3FFF" w:rsidRPr="00492E4A" w:rsidRDefault="007C3FF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6E81EDE2" w14:textId="77777777" w:rsidR="00CC7A5A" w:rsidRPr="00492E4A" w:rsidRDefault="00AC045C" w:rsidP="00501B1B">
      <w:pPr>
        <w:spacing w:after="0" w:line="240" w:lineRule="auto"/>
      </w:pPr>
      <w:r w:rsidRPr="00492E4A">
        <w:rPr>
          <w:sz w:val="24"/>
        </w:rPr>
        <w:t>CMS submitted this request as a non-substantive change and therefore did not solicit public comments.</w:t>
      </w:r>
    </w:p>
    <w:p w14:paraId="098FD67D" w14:textId="77777777" w:rsidR="00404395" w:rsidRPr="00492E4A" w:rsidRDefault="00404395" w:rsidP="00501B1B">
      <w:pPr>
        <w:pStyle w:val="Heading3"/>
        <w:spacing w:before="0" w:line="240" w:lineRule="auto"/>
      </w:pPr>
    </w:p>
    <w:p w14:paraId="6E2435BA" w14:textId="77777777" w:rsidR="008F1EB4" w:rsidRPr="000B57D7" w:rsidRDefault="00BF7B17" w:rsidP="00501B1B">
      <w:pPr>
        <w:pStyle w:val="Heading3"/>
        <w:spacing w:before="0" w:line="240" w:lineRule="auto"/>
      </w:pPr>
      <w:r>
        <w:t>9.</w:t>
      </w:r>
      <w:r>
        <w:tab/>
        <w:t>Payments</w:t>
      </w:r>
      <w:r w:rsidR="008F1EB4" w:rsidRPr="000B57D7">
        <w:t xml:space="preserve"> to Respondents</w:t>
      </w:r>
    </w:p>
    <w:p w14:paraId="7E2E02DF"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46313134" w14:textId="77777777" w:rsidR="00BA6391" w:rsidRPr="00335FDC" w:rsidRDefault="00BA6391" w:rsidP="00501B1B">
      <w:pPr>
        <w:spacing w:after="0" w:line="240" w:lineRule="auto"/>
        <w:rPr>
          <w:sz w:val="24"/>
        </w:rPr>
      </w:pPr>
      <w:r w:rsidRPr="00BB0565">
        <w:rPr>
          <w:sz w:val="24"/>
        </w:rPr>
        <w:t>Focus group participants</w:t>
      </w:r>
      <w:r w:rsidR="00BB0565" w:rsidRPr="00BB0565">
        <w:rPr>
          <w:sz w:val="24"/>
        </w:rPr>
        <w:t xml:space="preserve"> will each receive a $60 </w:t>
      </w:r>
      <w:r w:rsidR="003B5A66">
        <w:rPr>
          <w:sz w:val="24"/>
        </w:rPr>
        <w:t>payment</w:t>
      </w:r>
      <w:r w:rsidR="00BB0565" w:rsidRPr="00BB0565">
        <w:rPr>
          <w:sz w:val="24"/>
        </w:rPr>
        <w:t xml:space="preserve">. Urban Institute staff will collect signed receipts from each focus group participant receiving a </w:t>
      </w:r>
      <w:r w:rsidR="003B5A66">
        <w:rPr>
          <w:sz w:val="24"/>
        </w:rPr>
        <w:t>payment to defray any costs incurred in participation</w:t>
      </w:r>
      <w:r w:rsidR="00BB0565" w:rsidRPr="00BB0565">
        <w:rPr>
          <w:sz w:val="24"/>
        </w:rPr>
        <w:t>.</w:t>
      </w:r>
      <w:r w:rsidR="003B5A66">
        <w:rPr>
          <w:sz w:val="24"/>
        </w:rPr>
        <w:t xml:space="preserve"> Informational interview participants will not receive </w:t>
      </w:r>
      <w:r w:rsidR="007B7745">
        <w:rPr>
          <w:sz w:val="24"/>
        </w:rPr>
        <w:t xml:space="preserve">any </w:t>
      </w:r>
      <w:r w:rsidR="00B759C5">
        <w:rPr>
          <w:sz w:val="24"/>
        </w:rPr>
        <w:t xml:space="preserve">payment for </w:t>
      </w:r>
      <w:r w:rsidR="007B7745">
        <w:rPr>
          <w:sz w:val="24"/>
        </w:rPr>
        <w:t>participation.</w:t>
      </w:r>
    </w:p>
    <w:p w14:paraId="68396C08" w14:textId="77777777" w:rsidR="00404395" w:rsidRDefault="00404395" w:rsidP="00501B1B">
      <w:pPr>
        <w:pStyle w:val="Heading3"/>
        <w:spacing w:before="0" w:line="240" w:lineRule="auto"/>
      </w:pPr>
    </w:p>
    <w:p w14:paraId="7DF26E6E" w14:textId="77777777" w:rsidR="008F1EB4" w:rsidRPr="000B57D7" w:rsidRDefault="008F1EB4" w:rsidP="00501B1B">
      <w:pPr>
        <w:pStyle w:val="Heading3"/>
        <w:spacing w:before="0" w:line="240" w:lineRule="auto"/>
      </w:pPr>
      <w:r w:rsidRPr="000B57D7">
        <w:t>10.</w:t>
      </w:r>
      <w:r w:rsidRPr="000B57D7">
        <w:tab/>
        <w:t>Confidentiality</w:t>
      </w:r>
    </w:p>
    <w:p w14:paraId="58837802" w14:textId="77777777" w:rsidR="000F3AF4" w:rsidRDefault="000F3AF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rPr>
          <w:sz w:val="24"/>
        </w:rPr>
      </w:pPr>
    </w:p>
    <w:p w14:paraId="469FBCEB" w14:textId="77777777" w:rsidR="006926F1" w:rsidRDefault="006926F1"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335FDC">
        <w:rPr>
          <w:sz w:val="24"/>
        </w:rPr>
        <w:t>All information collected will be kept private</w:t>
      </w:r>
      <w:r>
        <w:rPr>
          <w:sz w:val="24"/>
        </w:rPr>
        <w:t xml:space="preserve"> to the extent allowable by law</w:t>
      </w:r>
      <w:r w:rsidRPr="00335FDC">
        <w:rPr>
          <w:sz w:val="24"/>
        </w:rPr>
        <w:t>, and reported in the aggregate only.</w:t>
      </w:r>
    </w:p>
    <w:p w14:paraId="791F5531" w14:textId="77777777" w:rsidR="00404395" w:rsidRDefault="00404395" w:rsidP="00501B1B">
      <w:pPr>
        <w:pStyle w:val="Heading3"/>
        <w:spacing w:before="0" w:line="240" w:lineRule="auto"/>
      </w:pPr>
    </w:p>
    <w:p w14:paraId="42142021" w14:textId="77777777" w:rsidR="008F1EB4" w:rsidRPr="000B57D7" w:rsidRDefault="008F1EB4" w:rsidP="00501B1B">
      <w:pPr>
        <w:pStyle w:val="Heading3"/>
        <w:spacing w:before="0" w:line="240" w:lineRule="auto"/>
      </w:pPr>
      <w:r w:rsidRPr="000B57D7">
        <w:t>11.</w:t>
      </w:r>
      <w:r w:rsidRPr="000B57D7">
        <w:tab/>
        <w:t>Sensitive Questions</w:t>
      </w:r>
    </w:p>
    <w:p w14:paraId="1921580D"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2F3B97D5" w14:textId="77777777" w:rsidR="00213FDF" w:rsidRPr="00E467BF" w:rsidRDefault="00213FD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sz w:val="24"/>
        </w:rPr>
        <w:t xml:space="preserve">The </w:t>
      </w:r>
      <w:r w:rsidR="00F51925">
        <w:rPr>
          <w:sz w:val="24"/>
        </w:rPr>
        <w:t xml:space="preserve">interview and focus group </w:t>
      </w:r>
      <w:r>
        <w:rPr>
          <w:sz w:val="24"/>
        </w:rPr>
        <w:t>questions are not deemed to be of a sensitive nature.</w:t>
      </w:r>
    </w:p>
    <w:p w14:paraId="1C3C8732" w14:textId="77777777" w:rsidR="00404395" w:rsidRDefault="00404395" w:rsidP="00501B1B">
      <w:pPr>
        <w:pStyle w:val="Heading3"/>
        <w:spacing w:before="0" w:line="240" w:lineRule="auto"/>
      </w:pPr>
    </w:p>
    <w:p w14:paraId="591B4136" w14:textId="77777777" w:rsidR="008F1EB4" w:rsidRPr="000B57D7" w:rsidRDefault="008F1EB4" w:rsidP="00501B1B">
      <w:pPr>
        <w:pStyle w:val="Heading3"/>
        <w:spacing w:before="0" w:line="240" w:lineRule="auto"/>
      </w:pPr>
      <w:r w:rsidRPr="000B57D7">
        <w:t>12.</w:t>
      </w:r>
      <w:r w:rsidRPr="000B57D7">
        <w:tab/>
        <w:t>Burden Estimates (Hours &amp; Wages)</w:t>
      </w:r>
    </w:p>
    <w:p w14:paraId="05A1895D"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211F78F9" w14:textId="77777777"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E71F5A">
        <w:rPr>
          <w:sz w:val="24"/>
        </w:rPr>
        <w:t>12.1 Wage Estimates</w:t>
      </w:r>
    </w:p>
    <w:p w14:paraId="4F70A72C" w14:textId="77777777" w:rsidR="008F1495"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2FCA1E19" w14:textId="08D38D95" w:rsidR="00AB58B1" w:rsidRDefault="00526BD4">
      <w:pPr>
        <w:rPr>
          <w:i/>
          <w:sz w:val="24"/>
        </w:rPr>
      </w:pPr>
      <w:r>
        <w:rPr>
          <w:sz w:val="24"/>
        </w:rPr>
        <w:t xml:space="preserve">Cost estimates per respondent are based on US Bureau of Labor Statistics </w:t>
      </w:r>
      <w:r w:rsidR="00AC3185">
        <w:rPr>
          <w:sz w:val="24"/>
        </w:rPr>
        <w:t>May 2015 State Occupational Employment and Wage Estimates. Indiana (</w:t>
      </w:r>
      <w:r>
        <w:rPr>
          <w:sz w:val="24"/>
        </w:rPr>
        <w:t xml:space="preserve">median </w:t>
      </w:r>
      <w:r w:rsidR="00AC3185">
        <w:rPr>
          <w:sz w:val="24"/>
        </w:rPr>
        <w:t xml:space="preserve">overall </w:t>
      </w:r>
      <w:r>
        <w:rPr>
          <w:sz w:val="24"/>
        </w:rPr>
        <w:t>hourly wage estimates for the State of Indiana</w:t>
      </w:r>
      <w:r w:rsidR="00AC3185">
        <w:rPr>
          <w:sz w:val="24"/>
        </w:rPr>
        <w:t xml:space="preserve"> (</w:t>
      </w:r>
      <w:hyperlink r:id="rId12" w:tooltip="May 2015 State Occupational Employment and Wage Estimates" w:history="1">
        <w:r w:rsidR="002D6894" w:rsidRPr="007C42D8">
          <w:rPr>
            <w:rStyle w:val="Hyperlink"/>
            <w:sz w:val="24"/>
          </w:rPr>
          <w:t>http://www.bls.gov/oes/current/oes_in.htm</w:t>
        </w:r>
      </w:hyperlink>
      <w:r w:rsidR="00AC3185">
        <w:rPr>
          <w:sz w:val="24"/>
        </w:rPr>
        <w:t>).</w:t>
      </w:r>
    </w:p>
    <w:p w14:paraId="77F17A1F" w14:textId="77777777"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E71F5A">
        <w:rPr>
          <w:sz w:val="24"/>
        </w:rPr>
        <w:t>12.2 Burden Estimates</w:t>
      </w:r>
    </w:p>
    <w:p w14:paraId="05E6FDB0" w14:textId="77777777" w:rsidR="008F1495" w:rsidRPr="00226393"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099EF752" w14:textId="528379E6" w:rsidR="008F1495" w:rsidRPr="00E71F5A" w:rsidRDefault="008F1495" w:rsidP="00480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226393">
        <w:rPr>
          <w:i/>
          <w:sz w:val="24"/>
        </w:rPr>
        <w:t xml:space="preserve">12.2.1 </w:t>
      </w:r>
      <w:r w:rsidRPr="00E71F5A">
        <w:rPr>
          <w:sz w:val="24"/>
        </w:rPr>
        <w:t>Focus Groups</w:t>
      </w:r>
    </w:p>
    <w:p w14:paraId="3282C8FA" w14:textId="77777777" w:rsidR="00EE19DB" w:rsidRPr="00226393" w:rsidRDefault="00EE19DB" w:rsidP="00501B1B">
      <w:pPr>
        <w:spacing w:after="0" w:line="240" w:lineRule="auto"/>
        <w:rPr>
          <w:sz w:val="24"/>
        </w:rPr>
      </w:pPr>
    </w:p>
    <w:p w14:paraId="5E64DD89" w14:textId="72273212" w:rsidR="0097304C" w:rsidRPr="00226393" w:rsidRDefault="00A3046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sidRPr="00226393">
        <w:rPr>
          <w:sz w:val="24"/>
          <w:szCs w:val="24"/>
        </w:rPr>
        <w:t xml:space="preserve">Focus groups will last approximately 90 minutes each. We estimate each participant may spend up to 3 hours in total for participating in the recruitment call, receiving reminders, in commute to and from the focus group, and in the focus group itself. </w:t>
      </w:r>
      <w:r w:rsidR="00AB35D0">
        <w:rPr>
          <w:sz w:val="24"/>
          <w:szCs w:val="24"/>
        </w:rPr>
        <w:t xml:space="preserve"> While the initial OMB approval included 4 focus groups, with the elimination of the beneficiary survey we are expanding the request to include</w:t>
      </w:r>
      <w:r w:rsidRPr="00226393">
        <w:rPr>
          <w:sz w:val="24"/>
          <w:szCs w:val="24"/>
        </w:rPr>
        <w:t xml:space="preserve"> </w:t>
      </w:r>
      <w:r w:rsidR="00F51925">
        <w:rPr>
          <w:sz w:val="24"/>
          <w:szCs w:val="24"/>
        </w:rPr>
        <w:t>up to 8</w:t>
      </w:r>
      <w:r w:rsidRPr="00226393">
        <w:rPr>
          <w:sz w:val="24"/>
          <w:szCs w:val="24"/>
        </w:rPr>
        <w:t xml:space="preserve"> focus groups of up to 10 participants each</w:t>
      </w:r>
      <w:r w:rsidR="00AB35D0">
        <w:rPr>
          <w:sz w:val="24"/>
          <w:szCs w:val="24"/>
        </w:rPr>
        <w:t>.  T</w:t>
      </w:r>
      <w:r w:rsidRPr="00226393">
        <w:rPr>
          <w:sz w:val="24"/>
          <w:szCs w:val="24"/>
        </w:rPr>
        <w:t xml:space="preserve">his results in </w:t>
      </w:r>
      <w:r w:rsidR="00F51925">
        <w:rPr>
          <w:sz w:val="24"/>
          <w:szCs w:val="24"/>
        </w:rPr>
        <w:t>8</w:t>
      </w:r>
      <w:r w:rsidR="00F51925" w:rsidRPr="00226393">
        <w:rPr>
          <w:sz w:val="24"/>
          <w:szCs w:val="24"/>
        </w:rPr>
        <w:t xml:space="preserve"> </w:t>
      </w:r>
      <w:r w:rsidRPr="00226393">
        <w:rPr>
          <w:sz w:val="24"/>
          <w:szCs w:val="24"/>
        </w:rPr>
        <w:t xml:space="preserve">groups x 10 participants x 3 hours = </w:t>
      </w:r>
      <w:r w:rsidR="00F51925">
        <w:rPr>
          <w:sz w:val="24"/>
          <w:szCs w:val="24"/>
        </w:rPr>
        <w:t>240</w:t>
      </w:r>
      <w:r w:rsidR="00F51925" w:rsidRPr="00226393">
        <w:rPr>
          <w:sz w:val="24"/>
          <w:szCs w:val="24"/>
        </w:rPr>
        <w:t xml:space="preserve"> </w:t>
      </w:r>
      <w:r w:rsidRPr="00226393">
        <w:rPr>
          <w:sz w:val="24"/>
          <w:szCs w:val="24"/>
        </w:rPr>
        <w:t>total burden hours involved with the focus groups.</w:t>
      </w:r>
    </w:p>
    <w:p w14:paraId="21F7C309" w14:textId="77777777" w:rsidR="00575A03" w:rsidRDefault="00575A03" w:rsidP="00501B1B">
      <w:pPr>
        <w:spacing w:after="0" w:line="240" w:lineRule="auto"/>
        <w:rPr>
          <w:rFonts w:asciiTheme="majorHAnsi" w:eastAsiaTheme="majorEastAsia" w:hAnsiTheme="majorHAnsi" w:cstheme="majorBidi"/>
          <w:spacing w:val="5"/>
          <w:kern w:val="28"/>
          <w:sz w:val="24"/>
          <w:szCs w:val="24"/>
        </w:rPr>
      </w:pPr>
    </w:p>
    <w:p w14:paraId="3901E971" w14:textId="77777777" w:rsidR="00A72C93" w:rsidRDefault="00A72C93" w:rsidP="00501B1B">
      <w:pPr>
        <w:spacing w:after="0" w:line="240" w:lineRule="auto"/>
        <w:rPr>
          <w:rFonts w:asciiTheme="majorHAnsi" w:eastAsiaTheme="majorEastAsia" w:hAnsiTheme="majorHAnsi" w:cstheme="majorBidi"/>
          <w:spacing w:val="5"/>
          <w:kern w:val="28"/>
          <w:sz w:val="24"/>
          <w:szCs w:val="24"/>
        </w:rPr>
      </w:pPr>
      <w:r>
        <w:rPr>
          <w:rFonts w:asciiTheme="majorHAnsi" w:eastAsiaTheme="majorEastAsia" w:hAnsiTheme="majorHAnsi" w:cstheme="majorBidi"/>
          <w:spacing w:val="5"/>
          <w:kern w:val="28"/>
          <w:sz w:val="24"/>
          <w:szCs w:val="24"/>
        </w:rPr>
        <w:t>Respondent Burden for 8 Focus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Focus Groups Table of Burden of Estimates"/>
        <w:tblDescription w:val="The table provides statistics of the HIP enrollees respondents in number of respondents, frequency of response, participation time, annual hour buyrden, wage cost per respondent, and annual hors and wage cost burden."/>
      </w:tblPr>
      <w:tblGrid>
        <w:gridCol w:w="1512"/>
        <w:gridCol w:w="1512"/>
        <w:gridCol w:w="1254"/>
        <w:gridCol w:w="1497"/>
        <w:gridCol w:w="945"/>
        <w:gridCol w:w="1668"/>
        <w:gridCol w:w="1332"/>
      </w:tblGrid>
      <w:tr w:rsidR="00A72C93" w:rsidRPr="00353D05" w14:paraId="6A5F602E" w14:textId="77777777" w:rsidTr="004C02B9">
        <w:trPr>
          <w:trHeight w:val="274"/>
          <w:tblHeader/>
        </w:trPr>
        <w:tc>
          <w:tcPr>
            <w:tcW w:w="778" w:type="pct"/>
            <w:tcBorders>
              <w:top w:val="single" w:sz="4" w:space="0" w:color="auto"/>
              <w:left w:val="single" w:sz="4" w:space="0" w:color="auto"/>
              <w:bottom w:val="single" w:sz="4" w:space="0" w:color="auto"/>
              <w:right w:val="single" w:sz="4" w:space="0" w:color="auto"/>
            </w:tcBorders>
            <w:hideMark/>
          </w:tcPr>
          <w:p w14:paraId="19655E3C" w14:textId="77777777" w:rsidR="00A72C93" w:rsidRPr="00501B1B" w:rsidRDefault="00A72C93" w:rsidP="004C02B9">
            <w:pPr>
              <w:spacing w:after="0" w:line="240" w:lineRule="auto"/>
              <w:rPr>
                <w:b/>
                <w:sz w:val="20"/>
                <w:szCs w:val="20"/>
              </w:rPr>
            </w:pPr>
            <w:r w:rsidRPr="00501B1B">
              <w:rPr>
                <w:b/>
                <w:sz w:val="20"/>
                <w:szCs w:val="20"/>
              </w:rPr>
              <w:t xml:space="preserve">Respondent </w:t>
            </w:r>
          </w:p>
        </w:tc>
        <w:tc>
          <w:tcPr>
            <w:tcW w:w="778" w:type="pct"/>
            <w:tcBorders>
              <w:top w:val="single" w:sz="4" w:space="0" w:color="auto"/>
              <w:left w:val="single" w:sz="4" w:space="0" w:color="auto"/>
              <w:bottom w:val="single" w:sz="4" w:space="0" w:color="auto"/>
              <w:right w:val="single" w:sz="4" w:space="0" w:color="auto"/>
            </w:tcBorders>
            <w:hideMark/>
          </w:tcPr>
          <w:p w14:paraId="60DCD087" w14:textId="77777777" w:rsidR="00A72C93" w:rsidRPr="00501B1B" w:rsidRDefault="00A72C93" w:rsidP="004C02B9">
            <w:pPr>
              <w:spacing w:after="0" w:line="240" w:lineRule="auto"/>
              <w:rPr>
                <w:b/>
                <w:sz w:val="20"/>
                <w:szCs w:val="20"/>
              </w:rPr>
            </w:pPr>
            <w:r w:rsidRPr="00501B1B">
              <w:rPr>
                <w:b/>
                <w:sz w:val="20"/>
                <w:szCs w:val="20"/>
              </w:rPr>
              <w:t>No. of Respondents</w:t>
            </w:r>
          </w:p>
        </w:tc>
        <w:tc>
          <w:tcPr>
            <w:tcW w:w="645" w:type="pct"/>
            <w:tcBorders>
              <w:top w:val="single" w:sz="4" w:space="0" w:color="auto"/>
              <w:left w:val="single" w:sz="4" w:space="0" w:color="auto"/>
              <w:bottom w:val="single" w:sz="4" w:space="0" w:color="auto"/>
              <w:right w:val="single" w:sz="4" w:space="0" w:color="auto"/>
            </w:tcBorders>
          </w:tcPr>
          <w:p w14:paraId="1238B5BE" w14:textId="77777777" w:rsidR="00A72C93" w:rsidRPr="00501B1B" w:rsidRDefault="00A72C93" w:rsidP="004C02B9">
            <w:pPr>
              <w:spacing w:after="0" w:line="240" w:lineRule="auto"/>
              <w:rPr>
                <w:b/>
                <w:sz w:val="20"/>
                <w:szCs w:val="20"/>
              </w:rPr>
            </w:pPr>
            <w:r w:rsidRPr="00501B1B">
              <w:rPr>
                <w:b/>
                <w:sz w:val="20"/>
                <w:szCs w:val="20"/>
              </w:rPr>
              <w:t>Frequency of Response</w:t>
            </w:r>
          </w:p>
        </w:tc>
        <w:tc>
          <w:tcPr>
            <w:tcW w:w="770" w:type="pct"/>
            <w:tcBorders>
              <w:top w:val="single" w:sz="4" w:space="0" w:color="auto"/>
              <w:left w:val="single" w:sz="4" w:space="0" w:color="auto"/>
              <w:bottom w:val="single" w:sz="4" w:space="0" w:color="auto"/>
              <w:right w:val="single" w:sz="4" w:space="0" w:color="auto"/>
            </w:tcBorders>
            <w:hideMark/>
          </w:tcPr>
          <w:p w14:paraId="24A106AD" w14:textId="77777777" w:rsidR="00A72C93" w:rsidRPr="00501B1B" w:rsidRDefault="00A72C93" w:rsidP="004C02B9">
            <w:pPr>
              <w:spacing w:after="0" w:line="240" w:lineRule="auto"/>
              <w:rPr>
                <w:b/>
                <w:sz w:val="20"/>
                <w:szCs w:val="20"/>
              </w:rPr>
            </w:pPr>
            <w:r w:rsidRPr="00501B1B">
              <w:rPr>
                <w:b/>
                <w:sz w:val="20"/>
                <w:szCs w:val="20"/>
              </w:rPr>
              <w:t xml:space="preserve">Participation Time </w:t>
            </w:r>
          </w:p>
        </w:tc>
        <w:tc>
          <w:tcPr>
            <w:tcW w:w="486" w:type="pct"/>
            <w:tcBorders>
              <w:top w:val="single" w:sz="4" w:space="0" w:color="auto"/>
              <w:left w:val="single" w:sz="4" w:space="0" w:color="auto"/>
              <w:bottom w:val="single" w:sz="4" w:space="0" w:color="auto"/>
              <w:right w:val="single" w:sz="4" w:space="0" w:color="auto"/>
            </w:tcBorders>
            <w:hideMark/>
          </w:tcPr>
          <w:p w14:paraId="5089EDB8" w14:textId="77777777" w:rsidR="00A72C93" w:rsidRPr="00501B1B" w:rsidRDefault="00A72C93" w:rsidP="004C02B9">
            <w:pPr>
              <w:spacing w:after="0" w:line="240" w:lineRule="auto"/>
              <w:rPr>
                <w:b/>
                <w:sz w:val="20"/>
                <w:szCs w:val="20"/>
              </w:rPr>
            </w:pPr>
            <w:r w:rsidRPr="00501B1B">
              <w:rPr>
                <w:b/>
                <w:sz w:val="20"/>
                <w:szCs w:val="20"/>
              </w:rPr>
              <w:t>Annual Hour Burden</w:t>
            </w:r>
          </w:p>
        </w:tc>
        <w:tc>
          <w:tcPr>
            <w:tcW w:w="858" w:type="pct"/>
            <w:tcBorders>
              <w:top w:val="single" w:sz="4" w:space="0" w:color="auto"/>
              <w:left w:val="single" w:sz="4" w:space="0" w:color="auto"/>
              <w:bottom w:val="single" w:sz="4" w:space="0" w:color="auto"/>
              <w:right w:val="single" w:sz="4" w:space="0" w:color="auto"/>
            </w:tcBorders>
          </w:tcPr>
          <w:p w14:paraId="567181A3" w14:textId="77777777" w:rsidR="00A72C93" w:rsidRPr="00501B1B" w:rsidRDefault="00A72C93" w:rsidP="004C02B9">
            <w:pPr>
              <w:spacing w:after="0" w:line="240" w:lineRule="auto"/>
              <w:rPr>
                <w:b/>
                <w:sz w:val="20"/>
                <w:szCs w:val="20"/>
              </w:rPr>
            </w:pPr>
            <w:r w:rsidRPr="00501B1B">
              <w:rPr>
                <w:b/>
                <w:sz w:val="20"/>
                <w:szCs w:val="20"/>
              </w:rPr>
              <w:t>Wage Cost per Respondent</w:t>
            </w:r>
          </w:p>
        </w:tc>
        <w:tc>
          <w:tcPr>
            <w:tcW w:w="685" w:type="pct"/>
            <w:tcBorders>
              <w:top w:val="single" w:sz="4" w:space="0" w:color="auto"/>
              <w:left w:val="single" w:sz="4" w:space="0" w:color="auto"/>
              <w:bottom w:val="single" w:sz="4" w:space="0" w:color="auto"/>
              <w:right w:val="single" w:sz="4" w:space="0" w:color="auto"/>
            </w:tcBorders>
          </w:tcPr>
          <w:p w14:paraId="5B87233A" w14:textId="77777777" w:rsidR="00A72C93" w:rsidRPr="00501B1B" w:rsidRDefault="00A72C93" w:rsidP="004C02B9">
            <w:pPr>
              <w:spacing w:after="0" w:line="240" w:lineRule="auto"/>
              <w:rPr>
                <w:b/>
                <w:sz w:val="20"/>
                <w:szCs w:val="20"/>
              </w:rPr>
            </w:pPr>
            <w:r w:rsidRPr="00501B1B">
              <w:rPr>
                <w:b/>
                <w:sz w:val="20"/>
                <w:szCs w:val="20"/>
              </w:rPr>
              <w:t>Annual Cost (Labor)</w:t>
            </w:r>
          </w:p>
        </w:tc>
      </w:tr>
      <w:tr w:rsidR="00A72C93" w:rsidRPr="00353D05" w14:paraId="472B8D49" w14:textId="77777777" w:rsidTr="004C02B9">
        <w:trPr>
          <w:trHeight w:val="274"/>
        </w:trPr>
        <w:tc>
          <w:tcPr>
            <w:tcW w:w="778" w:type="pct"/>
            <w:tcBorders>
              <w:top w:val="single" w:sz="4" w:space="0" w:color="auto"/>
              <w:left w:val="single" w:sz="4" w:space="0" w:color="auto"/>
              <w:bottom w:val="single" w:sz="4" w:space="0" w:color="auto"/>
              <w:right w:val="single" w:sz="4" w:space="0" w:color="auto"/>
            </w:tcBorders>
            <w:hideMark/>
          </w:tcPr>
          <w:p w14:paraId="67F9A511" w14:textId="77777777" w:rsidR="00A72C93" w:rsidRPr="00501B1B" w:rsidRDefault="00A72C93" w:rsidP="004C02B9">
            <w:pPr>
              <w:spacing w:after="0" w:line="240" w:lineRule="auto"/>
              <w:rPr>
                <w:b/>
                <w:sz w:val="20"/>
                <w:szCs w:val="20"/>
              </w:rPr>
            </w:pPr>
            <w:r w:rsidRPr="00501B1B">
              <w:rPr>
                <w:b/>
                <w:sz w:val="20"/>
                <w:szCs w:val="20"/>
              </w:rPr>
              <w:t>Respondents (HIP Enrollees)</w:t>
            </w:r>
          </w:p>
        </w:tc>
        <w:tc>
          <w:tcPr>
            <w:tcW w:w="778" w:type="pct"/>
            <w:tcBorders>
              <w:top w:val="single" w:sz="4" w:space="0" w:color="auto"/>
              <w:left w:val="single" w:sz="4" w:space="0" w:color="auto"/>
              <w:bottom w:val="single" w:sz="4" w:space="0" w:color="auto"/>
              <w:right w:val="single" w:sz="4" w:space="0" w:color="auto"/>
            </w:tcBorders>
            <w:hideMark/>
          </w:tcPr>
          <w:p w14:paraId="6F3E6DA4" w14:textId="77777777" w:rsidR="00A72C93" w:rsidRPr="00501B1B" w:rsidRDefault="00A72C93" w:rsidP="004C02B9">
            <w:pPr>
              <w:spacing w:after="0" w:line="240" w:lineRule="auto"/>
              <w:rPr>
                <w:sz w:val="20"/>
                <w:szCs w:val="20"/>
              </w:rPr>
            </w:pPr>
            <w:r>
              <w:rPr>
                <w:sz w:val="20"/>
                <w:szCs w:val="20"/>
              </w:rPr>
              <w:t>8</w:t>
            </w:r>
            <w:r w:rsidRPr="00501B1B">
              <w:rPr>
                <w:sz w:val="20"/>
                <w:szCs w:val="20"/>
              </w:rPr>
              <w:t>0</w:t>
            </w:r>
          </w:p>
        </w:tc>
        <w:tc>
          <w:tcPr>
            <w:tcW w:w="645" w:type="pct"/>
            <w:tcBorders>
              <w:top w:val="single" w:sz="4" w:space="0" w:color="auto"/>
              <w:left w:val="single" w:sz="4" w:space="0" w:color="auto"/>
              <w:bottom w:val="single" w:sz="4" w:space="0" w:color="auto"/>
              <w:right w:val="single" w:sz="4" w:space="0" w:color="auto"/>
            </w:tcBorders>
          </w:tcPr>
          <w:p w14:paraId="49011F11" w14:textId="77777777" w:rsidR="00A72C93" w:rsidRPr="00501B1B" w:rsidRDefault="00A72C93" w:rsidP="004C02B9">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hideMark/>
          </w:tcPr>
          <w:p w14:paraId="4B11BDFF" w14:textId="77777777" w:rsidR="00A72C93" w:rsidRPr="00501B1B" w:rsidRDefault="00A72C93" w:rsidP="004C02B9">
            <w:pPr>
              <w:spacing w:after="0" w:line="240" w:lineRule="auto"/>
              <w:rPr>
                <w:sz w:val="20"/>
                <w:szCs w:val="20"/>
              </w:rPr>
            </w:pPr>
            <w:r w:rsidRPr="00501B1B">
              <w:rPr>
                <w:sz w:val="20"/>
                <w:szCs w:val="20"/>
              </w:rPr>
              <w:t>3 hours</w:t>
            </w:r>
          </w:p>
        </w:tc>
        <w:tc>
          <w:tcPr>
            <w:tcW w:w="486" w:type="pct"/>
            <w:tcBorders>
              <w:top w:val="single" w:sz="4" w:space="0" w:color="auto"/>
              <w:left w:val="single" w:sz="4" w:space="0" w:color="auto"/>
              <w:bottom w:val="single" w:sz="4" w:space="0" w:color="auto"/>
              <w:right w:val="single" w:sz="4" w:space="0" w:color="auto"/>
            </w:tcBorders>
            <w:hideMark/>
          </w:tcPr>
          <w:p w14:paraId="02B2ABEB" w14:textId="77777777" w:rsidR="00A72C93" w:rsidRPr="00501B1B" w:rsidRDefault="00A72C93" w:rsidP="004C02B9">
            <w:pPr>
              <w:spacing w:after="0" w:line="240" w:lineRule="auto"/>
              <w:rPr>
                <w:sz w:val="20"/>
                <w:szCs w:val="20"/>
              </w:rPr>
            </w:pPr>
            <w:r>
              <w:rPr>
                <w:sz w:val="20"/>
                <w:szCs w:val="20"/>
              </w:rPr>
              <w:t>240</w:t>
            </w:r>
            <w:r w:rsidRPr="00501B1B">
              <w:rPr>
                <w:sz w:val="20"/>
                <w:szCs w:val="20"/>
              </w:rPr>
              <w:t xml:space="preserve"> hours</w:t>
            </w:r>
          </w:p>
        </w:tc>
        <w:tc>
          <w:tcPr>
            <w:tcW w:w="858" w:type="pct"/>
            <w:tcBorders>
              <w:top w:val="single" w:sz="4" w:space="0" w:color="auto"/>
              <w:left w:val="single" w:sz="4" w:space="0" w:color="auto"/>
              <w:bottom w:val="single" w:sz="4" w:space="0" w:color="auto"/>
              <w:right w:val="single" w:sz="4" w:space="0" w:color="auto"/>
            </w:tcBorders>
          </w:tcPr>
          <w:p w14:paraId="1B7A0667" w14:textId="77777777" w:rsidR="00A72C93" w:rsidRPr="00501B1B" w:rsidRDefault="00A72C93" w:rsidP="004C02B9">
            <w:pPr>
              <w:spacing w:after="0" w:line="240" w:lineRule="auto"/>
              <w:rPr>
                <w:sz w:val="20"/>
                <w:szCs w:val="20"/>
              </w:rPr>
            </w:pPr>
            <w:r w:rsidRPr="00501B1B">
              <w:rPr>
                <w:sz w:val="20"/>
                <w:szCs w:val="20"/>
              </w:rPr>
              <w:t>$15.82/hr</w:t>
            </w:r>
          </w:p>
        </w:tc>
        <w:tc>
          <w:tcPr>
            <w:tcW w:w="685" w:type="pct"/>
            <w:tcBorders>
              <w:top w:val="single" w:sz="4" w:space="0" w:color="auto"/>
              <w:left w:val="single" w:sz="4" w:space="0" w:color="auto"/>
              <w:bottom w:val="single" w:sz="4" w:space="0" w:color="auto"/>
              <w:right w:val="single" w:sz="4" w:space="0" w:color="auto"/>
            </w:tcBorders>
          </w:tcPr>
          <w:p w14:paraId="33546175" w14:textId="77777777" w:rsidR="00A72C93" w:rsidRPr="00501B1B" w:rsidRDefault="00A72C93" w:rsidP="004C02B9">
            <w:pPr>
              <w:spacing w:after="0" w:line="240" w:lineRule="auto"/>
              <w:rPr>
                <w:sz w:val="20"/>
                <w:szCs w:val="20"/>
              </w:rPr>
            </w:pPr>
            <w:r w:rsidRPr="00501B1B">
              <w:rPr>
                <w:sz w:val="20"/>
                <w:szCs w:val="20"/>
              </w:rPr>
              <w:t>$</w:t>
            </w:r>
            <w:r>
              <w:rPr>
                <w:sz w:val="20"/>
                <w:szCs w:val="20"/>
              </w:rPr>
              <w:t>3,797</w:t>
            </w:r>
          </w:p>
        </w:tc>
      </w:tr>
      <w:tr w:rsidR="00A72C93" w:rsidRPr="008F1495" w14:paraId="1D0FE57E" w14:textId="77777777" w:rsidTr="004C02B9">
        <w:trPr>
          <w:trHeight w:val="289"/>
        </w:trPr>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D803CE" w14:textId="77777777" w:rsidR="00A72C93" w:rsidRPr="00501B1B" w:rsidRDefault="00A72C93" w:rsidP="004C02B9">
            <w:pPr>
              <w:spacing w:after="0" w:line="240" w:lineRule="auto"/>
              <w:rPr>
                <w:b/>
                <w:sz w:val="20"/>
                <w:szCs w:val="20"/>
              </w:rPr>
            </w:pPr>
            <w:r w:rsidRPr="00501B1B">
              <w:rPr>
                <w:b/>
                <w:sz w:val="20"/>
                <w:szCs w:val="20"/>
              </w:rPr>
              <w:t>Totals</w:t>
            </w:r>
          </w:p>
        </w:tc>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16F152" w14:textId="77777777" w:rsidR="00A72C93" w:rsidRPr="00501B1B" w:rsidRDefault="00A72C93" w:rsidP="004C02B9">
            <w:pPr>
              <w:spacing w:after="0" w:line="240" w:lineRule="auto"/>
              <w:rPr>
                <w:sz w:val="20"/>
                <w:szCs w:val="20"/>
              </w:rPr>
            </w:pPr>
            <w:r>
              <w:rPr>
                <w:sz w:val="20"/>
                <w:szCs w:val="20"/>
              </w:rPr>
              <w:t>80</w:t>
            </w:r>
          </w:p>
        </w:tc>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49774" w14:textId="77777777" w:rsidR="00A72C93" w:rsidRPr="00501B1B" w:rsidRDefault="00A72C93" w:rsidP="004C02B9">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30D9D" w14:textId="77777777" w:rsidR="00A72C93" w:rsidRPr="00501B1B" w:rsidRDefault="00A72C93" w:rsidP="004C02B9">
            <w:pPr>
              <w:spacing w:after="0" w:line="240" w:lineRule="auto"/>
              <w:rPr>
                <w:sz w:val="20"/>
                <w:szCs w:val="20"/>
              </w:rPr>
            </w:pPr>
            <w:r w:rsidRPr="00501B1B">
              <w:rPr>
                <w:sz w:val="20"/>
                <w:szCs w:val="20"/>
              </w:rPr>
              <w:t>3 hours</w:t>
            </w:r>
          </w:p>
        </w:tc>
        <w:tc>
          <w:tcPr>
            <w:tcW w:w="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4E1D05" w14:textId="77777777" w:rsidR="00A72C93" w:rsidRPr="00501B1B" w:rsidRDefault="00A72C93" w:rsidP="004C02B9">
            <w:pPr>
              <w:spacing w:after="0" w:line="240" w:lineRule="auto"/>
              <w:rPr>
                <w:sz w:val="20"/>
                <w:szCs w:val="20"/>
              </w:rPr>
            </w:pPr>
            <w:r>
              <w:rPr>
                <w:sz w:val="20"/>
                <w:szCs w:val="20"/>
              </w:rPr>
              <w:t>240</w:t>
            </w:r>
            <w:r w:rsidRPr="00501B1B">
              <w:rPr>
                <w:sz w:val="20"/>
                <w:szCs w:val="20"/>
              </w:rPr>
              <w:t xml:space="preserve"> hours</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C329E" w14:textId="77777777" w:rsidR="00A72C93" w:rsidRPr="00501B1B" w:rsidRDefault="00A72C93" w:rsidP="004C02B9">
            <w:pPr>
              <w:spacing w:after="0" w:line="240" w:lineRule="auto"/>
              <w:rPr>
                <w:sz w:val="20"/>
                <w:szCs w:val="20"/>
              </w:rPr>
            </w:pPr>
            <w:r w:rsidRPr="00501B1B">
              <w:rPr>
                <w:sz w:val="20"/>
                <w:szCs w:val="20"/>
              </w:rPr>
              <w:t>$15.82/hr</w:t>
            </w:r>
          </w:p>
        </w:tc>
        <w:tc>
          <w:tcPr>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E9D28" w14:textId="77777777" w:rsidR="00A72C93" w:rsidRPr="00501B1B" w:rsidRDefault="00A72C93" w:rsidP="004C02B9">
            <w:pPr>
              <w:spacing w:after="0" w:line="240" w:lineRule="auto"/>
              <w:rPr>
                <w:sz w:val="20"/>
                <w:szCs w:val="20"/>
              </w:rPr>
            </w:pPr>
            <w:r w:rsidRPr="00501B1B">
              <w:rPr>
                <w:sz w:val="20"/>
                <w:szCs w:val="20"/>
              </w:rPr>
              <w:t>$</w:t>
            </w:r>
            <w:r>
              <w:rPr>
                <w:sz w:val="20"/>
                <w:szCs w:val="20"/>
              </w:rPr>
              <w:t>3,797</w:t>
            </w:r>
          </w:p>
        </w:tc>
      </w:tr>
    </w:tbl>
    <w:p w14:paraId="3A41159C" w14:textId="77777777" w:rsidR="00A72C93" w:rsidRDefault="00A72C93" w:rsidP="00501B1B">
      <w:pPr>
        <w:spacing w:after="0" w:line="240" w:lineRule="auto"/>
        <w:rPr>
          <w:rFonts w:asciiTheme="majorHAnsi" w:eastAsiaTheme="majorEastAsia" w:hAnsiTheme="majorHAnsi" w:cstheme="majorBidi"/>
          <w:spacing w:val="5"/>
          <w:kern w:val="28"/>
          <w:sz w:val="24"/>
          <w:szCs w:val="24"/>
        </w:rPr>
      </w:pPr>
    </w:p>
    <w:p w14:paraId="6DE6CB8C" w14:textId="77777777" w:rsidR="00CC0CF4" w:rsidRPr="00DF3EC9" w:rsidRDefault="00A66316"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sz w:val="24"/>
          <w:szCs w:val="24"/>
        </w:rPr>
      </w:pPr>
      <w:r w:rsidRPr="00DF3EC9">
        <w:rPr>
          <w:i/>
          <w:sz w:val="24"/>
          <w:szCs w:val="24"/>
        </w:rPr>
        <w:t>Focus Group</w:t>
      </w:r>
      <w:r w:rsidR="00CC0CF4" w:rsidRPr="00DF3EC9">
        <w:rPr>
          <w:i/>
          <w:sz w:val="24"/>
          <w:szCs w:val="24"/>
        </w:rPr>
        <w:t xml:space="preserve"> Information Collection Instruments and Associated Materials</w:t>
      </w:r>
    </w:p>
    <w:p w14:paraId="4A1BBDCF" w14:textId="77777777" w:rsidR="003B47A2" w:rsidRPr="00DF3EC9" w:rsidRDefault="003B47A2" w:rsidP="00501B1B">
      <w:pPr>
        <w:spacing w:after="0" w:line="240" w:lineRule="auto"/>
        <w:rPr>
          <w:rFonts w:asciiTheme="majorHAnsi" w:eastAsiaTheme="majorEastAsia" w:hAnsiTheme="majorHAnsi" w:cstheme="majorBidi"/>
          <w:spacing w:val="5"/>
          <w:kern w:val="28"/>
          <w:sz w:val="24"/>
          <w:szCs w:val="24"/>
        </w:rPr>
      </w:pPr>
    </w:p>
    <w:p w14:paraId="254D8318" w14:textId="77777777" w:rsidR="004B3A43" w:rsidRPr="00DF3EC9" w:rsidRDefault="004B3A43" w:rsidP="00501B1B">
      <w:pPr>
        <w:pStyle w:val="ListParagraph"/>
        <w:numPr>
          <w:ilvl w:val="0"/>
          <w:numId w:val="3"/>
        </w:numPr>
        <w:spacing w:after="0" w:line="240" w:lineRule="auto"/>
        <w:contextualSpacing w:val="0"/>
        <w:rPr>
          <w:rFonts w:eastAsiaTheme="majorEastAsia" w:cstheme="majorBidi"/>
          <w:spacing w:val="5"/>
          <w:kern w:val="28"/>
          <w:sz w:val="24"/>
          <w:szCs w:val="24"/>
        </w:rPr>
      </w:pPr>
      <w:r w:rsidRPr="00DF3EC9">
        <w:rPr>
          <w:rFonts w:eastAsiaTheme="majorEastAsia" w:cstheme="majorBidi"/>
          <w:spacing w:val="5"/>
          <w:kern w:val="28"/>
          <w:sz w:val="24"/>
          <w:szCs w:val="24"/>
        </w:rPr>
        <w:t>Telephone Recruitment Script</w:t>
      </w:r>
    </w:p>
    <w:p w14:paraId="29AB01D8" w14:textId="77777777" w:rsidR="004B3A43" w:rsidRPr="00DF3EC9" w:rsidRDefault="004B3A43" w:rsidP="00501B1B">
      <w:pPr>
        <w:pStyle w:val="ListParagraph"/>
        <w:numPr>
          <w:ilvl w:val="0"/>
          <w:numId w:val="3"/>
        </w:numPr>
        <w:spacing w:after="0" w:line="240" w:lineRule="auto"/>
        <w:contextualSpacing w:val="0"/>
        <w:rPr>
          <w:rFonts w:eastAsiaTheme="majorEastAsia" w:cstheme="majorBidi"/>
          <w:spacing w:val="5"/>
          <w:kern w:val="28"/>
          <w:sz w:val="24"/>
          <w:szCs w:val="24"/>
        </w:rPr>
      </w:pPr>
      <w:r w:rsidRPr="00DF3EC9">
        <w:rPr>
          <w:rFonts w:eastAsiaTheme="majorEastAsia" w:cstheme="majorBidi"/>
          <w:spacing w:val="5"/>
          <w:kern w:val="28"/>
          <w:sz w:val="24"/>
          <w:szCs w:val="24"/>
        </w:rPr>
        <w:t>Participant Informed Consent Form</w:t>
      </w:r>
      <w:r w:rsidR="002060DB">
        <w:rPr>
          <w:rFonts w:eastAsiaTheme="majorEastAsia" w:cstheme="majorBidi"/>
          <w:spacing w:val="5"/>
          <w:kern w:val="28"/>
          <w:sz w:val="24"/>
          <w:szCs w:val="24"/>
        </w:rPr>
        <w:t xml:space="preserve"> (</w:t>
      </w:r>
      <w:r w:rsidR="002060DB" w:rsidRPr="002060DB">
        <w:rPr>
          <w:rFonts w:eastAsiaTheme="majorEastAsia" w:cstheme="majorBidi"/>
          <w:spacing w:val="5"/>
          <w:kern w:val="28"/>
          <w:sz w:val="24"/>
          <w:szCs w:val="24"/>
        </w:rPr>
        <w:t>While we are including a consent form as part of this information collection, we are not setting out such burden since the form does not meet the definition of a “information” under 5 CFR 1320.3(h)).</w:t>
      </w:r>
    </w:p>
    <w:p w14:paraId="207271F2" w14:textId="77777777" w:rsidR="003B47A2" w:rsidRPr="00DF3EC9" w:rsidRDefault="004B3A43" w:rsidP="00501B1B">
      <w:pPr>
        <w:pStyle w:val="ListParagraph"/>
        <w:numPr>
          <w:ilvl w:val="0"/>
          <w:numId w:val="3"/>
        </w:numPr>
        <w:spacing w:after="0" w:line="240" w:lineRule="auto"/>
        <w:contextualSpacing w:val="0"/>
        <w:rPr>
          <w:rFonts w:eastAsiaTheme="majorEastAsia" w:cstheme="majorBidi"/>
          <w:spacing w:val="5"/>
          <w:kern w:val="28"/>
          <w:sz w:val="24"/>
          <w:szCs w:val="24"/>
        </w:rPr>
      </w:pPr>
      <w:r w:rsidRPr="00DF3EC9">
        <w:rPr>
          <w:rFonts w:eastAsiaTheme="majorEastAsia" w:cstheme="majorBidi"/>
          <w:spacing w:val="5"/>
          <w:kern w:val="28"/>
          <w:sz w:val="24"/>
          <w:szCs w:val="24"/>
        </w:rPr>
        <w:t>CORE Focus Group Moderator’s Guide</w:t>
      </w:r>
    </w:p>
    <w:p w14:paraId="618A0669" w14:textId="77777777" w:rsidR="003B47A2" w:rsidRPr="008F1495" w:rsidRDefault="003B47A2" w:rsidP="00501B1B">
      <w:pPr>
        <w:spacing w:after="0" w:line="240" w:lineRule="auto"/>
        <w:rPr>
          <w:rFonts w:asciiTheme="majorHAnsi" w:eastAsiaTheme="majorEastAsia" w:hAnsiTheme="majorHAnsi" w:cstheme="majorBidi"/>
          <w:spacing w:val="5"/>
          <w:kern w:val="28"/>
          <w:sz w:val="24"/>
          <w:szCs w:val="24"/>
        </w:rPr>
      </w:pPr>
    </w:p>
    <w:p w14:paraId="0724DE83" w14:textId="7F1D9DBE"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sidRPr="00E71F5A">
        <w:rPr>
          <w:sz w:val="24"/>
          <w:szCs w:val="24"/>
        </w:rPr>
        <w:t>12.2.</w:t>
      </w:r>
      <w:r w:rsidR="00D146E4">
        <w:rPr>
          <w:sz w:val="24"/>
          <w:szCs w:val="24"/>
        </w:rPr>
        <w:t>2</w:t>
      </w:r>
      <w:r w:rsidRPr="00E71F5A">
        <w:rPr>
          <w:sz w:val="24"/>
          <w:szCs w:val="24"/>
        </w:rPr>
        <w:t xml:space="preserve"> Informational Interviews</w:t>
      </w:r>
    </w:p>
    <w:p w14:paraId="2C78FE70" w14:textId="77777777" w:rsidR="000D5137" w:rsidRPr="00226393" w:rsidRDefault="000D5137"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rmational Interviews table of burden and estimates"/>
        <w:tblDescription w:val="This table provides the statistics of stakeholders, etc. respondents on number of respondents, frequency of response, participation time, annual hour burden, wage cost per respondent, and annual hours and wage cost burden."/>
      </w:tblPr>
      <w:tblGrid>
        <w:gridCol w:w="1634"/>
        <w:gridCol w:w="1512"/>
        <w:gridCol w:w="1254"/>
        <w:gridCol w:w="1497"/>
        <w:gridCol w:w="944"/>
        <w:gridCol w:w="1439"/>
        <w:gridCol w:w="1440"/>
      </w:tblGrid>
      <w:tr w:rsidR="000D5137" w:rsidRPr="00353D05" w14:paraId="1A346718" w14:textId="77777777" w:rsidTr="002F2446">
        <w:trPr>
          <w:trHeight w:val="274"/>
          <w:tblHeader/>
        </w:trPr>
        <w:tc>
          <w:tcPr>
            <w:tcW w:w="662" w:type="pct"/>
            <w:tcBorders>
              <w:top w:val="single" w:sz="4" w:space="0" w:color="auto"/>
              <w:left w:val="single" w:sz="4" w:space="0" w:color="auto"/>
              <w:bottom w:val="single" w:sz="4" w:space="0" w:color="auto"/>
              <w:right w:val="single" w:sz="4" w:space="0" w:color="auto"/>
            </w:tcBorders>
            <w:hideMark/>
          </w:tcPr>
          <w:p w14:paraId="38C5E707" w14:textId="77777777" w:rsidR="000D5137" w:rsidRPr="00226393" w:rsidRDefault="000D5137" w:rsidP="00501B1B">
            <w:pPr>
              <w:spacing w:after="0" w:line="240" w:lineRule="auto"/>
              <w:rPr>
                <w:b/>
                <w:sz w:val="24"/>
                <w:szCs w:val="24"/>
              </w:rPr>
            </w:pPr>
            <w:r w:rsidRPr="00226393">
              <w:rPr>
                <w:b/>
                <w:sz w:val="24"/>
                <w:szCs w:val="24"/>
              </w:rPr>
              <w:t xml:space="preserve">Respondent </w:t>
            </w:r>
          </w:p>
        </w:tc>
        <w:tc>
          <w:tcPr>
            <w:tcW w:w="669" w:type="pct"/>
            <w:tcBorders>
              <w:top w:val="single" w:sz="4" w:space="0" w:color="auto"/>
              <w:left w:val="single" w:sz="4" w:space="0" w:color="auto"/>
              <w:bottom w:val="single" w:sz="4" w:space="0" w:color="auto"/>
              <w:right w:val="single" w:sz="4" w:space="0" w:color="auto"/>
            </w:tcBorders>
            <w:hideMark/>
          </w:tcPr>
          <w:p w14:paraId="1B3CD74E" w14:textId="77777777" w:rsidR="000D5137" w:rsidRPr="00226393" w:rsidRDefault="000D5137" w:rsidP="00501B1B">
            <w:pPr>
              <w:spacing w:after="0" w:line="240" w:lineRule="auto"/>
              <w:rPr>
                <w:b/>
                <w:sz w:val="24"/>
                <w:szCs w:val="24"/>
              </w:rPr>
            </w:pPr>
            <w:r w:rsidRPr="00226393">
              <w:rPr>
                <w:b/>
                <w:sz w:val="24"/>
                <w:szCs w:val="24"/>
              </w:rPr>
              <w:t>No. of Respondents</w:t>
            </w:r>
          </w:p>
        </w:tc>
        <w:tc>
          <w:tcPr>
            <w:tcW w:w="579" w:type="pct"/>
            <w:tcBorders>
              <w:top w:val="single" w:sz="4" w:space="0" w:color="auto"/>
              <w:left w:val="single" w:sz="4" w:space="0" w:color="auto"/>
              <w:bottom w:val="single" w:sz="4" w:space="0" w:color="auto"/>
              <w:right w:val="single" w:sz="4" w:space="0" w:color="auto"/>
            </w:tcBorders>
          </w:tcPr>
          <w:p w14:paraId="081C840F" w14:textId="77777777" w:rsidR="000D5137" w:rsidRPr="00226393" w:rsidRDefault="000D5137" w:rsidP="00501B1B">
            <w:pPr>
              <w:spacing w:after="0" w:line="240" w:lineRule="auto"/>
              <w:rPr>
                <w:b/>
                <w:sz w:val="24"/>
                <w:szCs w:val="24"/>
              </w:rPr>
            </w:pPr>
            <w:r w:rsidRPr="00226393">
              <w:rPr>
                <w:b/>
                <w:sz w:val="24"/>
                <w:szCs w:val="24"/>
              </w:rPr>
              <w:t>Frequency of Response</w:t>
            </w:r>
          </w:p>
        </w:tc>
        <w:tc>
          <w:tcPr>
            <w:tcW w:w="689" w:type="pct"/>
            <w:tcBorders>
              <w:top w:val="single" w:sz="4" w:space="0" w:color="auto"/>
              <w:left w:val="single" w:sz="4" w:space="0" w:color="auto"/>
              <w:bottom w:val="single" w:sz="4" w:space="0" w:color="auto"/>
              <w:right w:val="single" w:sz="4" w:space="0" w:color="auto"/>
            </w:tcBorders>
            <w:hideMark/>
          </w:tcPr>
          <w:p w14:paraId="4902FA2E" w14:textId="77777777" w:rsidR="000D5137" w:rsidRPr="00226393" w:rsidRDefault="000D5137" w:rsidP="00501B1B">
            <w:pPr>
              <w:spacing w:after="0" w:line="240" w:lineRule="auto"/>
              <w:rPr>
                <w:b/>
                <w:sz w:val="24"/>
                <w:szCs w:val="24"/>
              </w:rPr>
            </w:pPr>
            <w:r w:rsidRPr="00226393">
              <w:rPr>
                <w:b/>
                <w:sz w:val="24"/>
                <w:szCs w:val="24"/>
              </w:rPr>
              <w:t xml:space="preserve">Participation Time </w:t>
            </w:r>
          </w:p>
        </w:tc>
        <w:tc>
          <w:tcPr>
            <w:tcW w:w="481" w:type="pct"/>
            <w:tcBorders>
              <w:top w:val="single" w:sz="4" w:space="0" w:color="auto"/>
              <w:left w:val="single" w:sz="4" w:space="0" w:color="auto"/>
              <w:bottom w:val="single" w:sz="4" w:space="0" w:color="auto"/>
              <w:right w:val="single" w:sz="4" w:space="0" w:color="auto"/>
            </w:tcBorders>
            <w:hideMark/>
          </w:tcPr>
          <w:p w14:paraId="1244A289" w14:textId="77777777" w:rsidR="000D5137" w:rsidRPr="00226393" w:rsidRDefault="000D5137" w:rsidP="00501B1B">
            <w:pPr>
              <w:spacing w:after="0" w:line="240" w:lineRule="auto"/>
              <w:rPr>
                <w:b/>
                <w:sz w:val="24"/>
                <w:szCs w:val="24"/>
              </w:rPr>
            </w:pPr>
            <w:r w:rsidRPr="00226393">
              <w:rPr>
                <w:b/>
                <w:sz w:val="24"/>
                <w:szCs w:val="24"/>
              </w:rPr>
              <w:t>Annual Hour Burden</w:t>
            </w:r>
          </w:p>
        </w:tc>
        <w:tc>
          <w:tcPr>
            <w:tcW w:w="959" w:type="pct"/>
            <w:tcBorders>
              <w:top w:val="single" w:sz="4" w:space="0" w:color="auto"/>
              <w:left w:val="single" w:sz="4" w:space="0" w:color="auto"/>
              <w:bottom w:val="single" w:sz="4" w:space="0" w:color="auto"/>
              <w:right w:val="single" w:sz="4" w:space="0" w:color="auto"/>
            </w:tcBorders>
          </w:tcPr>
          <w:p w14:paraId="6E1C23DB" w14:textId="77777777" w:rsidR="000D5137" w:rsidRPr="00226393" w:rsidRDefault="000D5137" w:rsidP="00501B1B">
            <w:pPr>
              <w:spacing w:after="0" w:line="240" w:lineRule="auto"/>
              <w:rPr>
                <w:b/>
                <w:sz w:val="24"/>
                <w:szCs w:val="24"/>
              </w:rPr>
            </w:pPr>
            <w:r w:rsidRPr="00226393">
              <w:rPr>
                <w:b/>
                <w:sz w:val="24"/>
                <w:szCs w:val="24"/>
              </w:rPr>
              <w:t>Wage Cost per Respondent</w:t>
            </w:r>
          </w:p>
        </w:tc>
        <w:tc>
          <w:tcPr>
            <w:tcW w:w="959" w:type="pct"/>
            <w:tcBorders>
              <w:top w:val="single" w:sz="4" w:space="0" w:color="auto"/>
              <w:left w:val="single" w:sz="4" w:space="0" w:color="auto"/>
              <w:bottom w:val="single" w:sz="4" w:space="0" w:color="auto"/>
              <w:right w:val="single" w:sz="4" w:space="0" w:color="auto"/>
            </w:tcBorders>
          </w:tcPr>
          <w:p w14:paraId="48986A57" w14:textId="77777777" w:rsidR="000D5137" w:rsidRPr="00226393" w:rsidRDefault="00BC5C12" w:rsidP="00501B1B">
            <w:pPr>
              <w:spacing w:after="0" w:line="240" w:lineRule="auto"/>
              <w:rPr>
                <w:b/>
                <w:sz w:val="24"/>
                <w:szCs w:val="24"/>
              </w:rPr>
            </w:pPr>
            <w:r w:rsidRPr="00226393">
              <w:rPr>
                <w:b/>
                <w:sz w:val="24"/>
                <w:szCs w:val="24"/>
              </w:rPr>
              <w:t>Annual Cost (Labor)</w:t>
            </w:r>
          </w:p>
        </w:tc>
      </w:tr>
      <w:tr w:rsidR="000D5137" w:rsidRPr="00353D05" w14:paraId="56762F69" w14:textId="77777777" w:rsidTr="002F2446">
        <w:trPr>
          <w:trHeight w:val="274"/>
        </w:trPr>
        <w:tc>
          <w:tcPr>
            <w:tcW w:w="662" w:type="pct"/>
            <w:tcBorders>
              <w:top w:val="single" w:sz="4" w:space="0" w:color="auto"/>
              <w:left w:val="single" w:sz="4" w:space="0" w:color="auto"/>
              <w:bottom w:val="single" w:sz="4" w:space="0" w:color="auto"/>
              <w:right w:val="single" w:sz="4" w:space="0" w:color="auto"/>
            </w:tcBorders>
            <w:hideMark/>
          </w:tcPr>
          <w:p w14:paraId="6763D53D" w14:textId="77777777" w:rsidR="000D5137" w:rsidRPr="00226393" w:rsidRDefault="000D5137" w:rsidP="00501B1B">
            <w:pPr>
              <w:spacing w:after="0" w:line="240" w:lineRule="auto"/>
              <w:rPr>
                <w:b/>
                <w:sz w:val="24"/>
                <w:szCs w:val="24"/>
              </w:rPr>
            </w:pPr>
            <w:r w:rsidRPr="00226393">
              <w:rPr>
                <w:b/>
                <w:sz w:val="24"/>
                <w:szCs w:val="24"/>
              </w:rPr>
              <w:t>Respondents (stakeholders, etc.</w:t>
            </w:r>
          </w:p>
        </w:tc>
        <w:tc>
          <w:tcPr>
            <w:tcW w:w="669" w:type="pct"/>
            <w:tcBorders>
              <w:top w:val="single" w:sz="4" w:space="0" w:color="auto"/>
              <w:left w:val="single" w:sz="4" w:space="0" w:color="auto"/>
              <w:bottom w:val="single" w:sz="4" w:space="0" w:color="auto"/>
              <w:right w:val="single" w:sz="4" w:space="0" w:color="auto"/>
            </w:tcBorders>
            <w:hideMark/>
          </w:tcPr>
          <w:p w14:paraId="7BF876F9" w14:textId="77777777" w:rsidR="000D5137" w:rsidRPr="00226393" w:rsidRDefault="00B51E1B" w:rsidP="00501B1B">
            <w:pPr>
              <w:spacing w:after="0" w:line="240" w:lineRule="auto"/>
              <w:rPr>
                <w:sz w:val="24"/>
                <w:szCs w:val="24"/>
              </w:rPr>
            </w:pPr>
            <w:r w:rsidRPr="00226393">
              <w:rPr>
                <w:sz w:val="24"/>
                <w:szCs w:val="24"/>
              </w:rPr>
              <w:t>18</w:t>
            </w:r>
          </w:p>
        </w:tc>
        <w:tc>
          <w:tcPr>
            <w:tcW w:w="579" w:type="pct"/>
            <w:tcBorders>
              <w:top w:val="single" w:sz="4" w:space="0" w:color="auto"/>
              <w:left w:val="single" w:sz="4" w:space="0" w:color="auto"/>
              <w:bottom w:val="single" w:sz="4" w:space="0" w:color="auto"/>
              <w:right w:val="single" w:sz="4" w:space="0" w:color="auto"/>
            </w:tcBorders>
          </w:tcPr>
          <w:p w14:paraId="05F92B4B" w14:textId="77777777" w:rsidR="000D5137" w:rsidRPr="00226393" w:rsidRDefault="000D5137" w:rsidP="00501B1B">
            <w:pPr>
              <w:spacing w:after="0" w:line="240" w:lineRule="auto"/>
              <w:rPr>
                <w:sz w:val="24"/>
                <w:szCs w:val="24"/>
              </w:rPr>
            </w:pPr>
            <w:r w:rsidRPr="00226393">
              <w:rPr>
                <w:sz w:val="24"/>
                <w:szCs w:val="24"/>
              </w:rPr>
              <w:t>1 time</w:t>
            </w:r>
          </w:p>
        </w:tc>
        <w:tc>
          <w:tcPr>
            <w:tcW w:w="689" w:type="pct"/>
            <w:tcBorders>
              <w:top w:val="single" w:sz="4" w:space="0" w:color="auto"/>
              <w:left w:val="single" w:sz="4" w:space="0" w:color="auto"/>
              <w:bottom w:val="single" w:sz="4" w:space="0" w:color="auto"/>
              <w:right w:val="single" w:sz="4" w:space="0" w:color="auto"/>
            </w:tcBorders>
            <w:hideMark/>
          </w:tcPr>
          <w:p w14:paraId="42FE8109" w14:textId="77777777" w:rsidR="000D5137" w:rsidRPr="00226393" w:rsidRDefault="000D5137" w:rsidP="00501B1B">
            <w:pPr>
              <w:spacing w:after="0" w:line="240" w:lineRule="auto"/>
              <w:rPr>
                <w:sz w:val="24"/>
                <w:szCs w:val="24"/>
              </w:rPr>
            </w:pPr>
            <w:r w:rsidRPr="00226393">
              <w:rPr>
                <w:sz w:val="24"/>
                <w:szCs w:val="24"/>
              </w:rPr>
              <w:t>1.5 hours</w:t>
            </w:r>
          </w:p>
        </w:tc>
        <w:tc>
          <w:tcPr>
            <w:tcW w:w="481" w:type="pct"/>
            <w:tcBorders>
              <w:top w:val="single" w:sz="4" w:space="0" w:color="auto"/>
              <w:left w:val="single" w:sz="4" w:space="0" w:color="auto"/>
              <w:bottom w:val="single" w:sz="4" w:space="0" w:color="auto"/>
              <w:right w:val="single" w:sz="4" w:space="0" w:color="auto"/>
            </w:tcBorders>
            <w:hideMark/>
          </w:tcPr>
          <w:p w14:paraId="38A9173A" w14:textId="77777777" w:rsidR="000D5137" w:rsidRPr="00226393" w:rsidRDefault="000D5137" w:rsidP="00501B1B">
            <w:pPr>
              <w:spacing w:after="0" w:line="240" w:lineRule="auto"/>
              <w:rPr>
                <w:sz w:val="24"/>
                <w:szCs w:val="24"/>
              </w:rPr>
            </w:pPr>
            <w:r w:rsidRPr="00226393">
              <w:rPr>
                <w:sz w:val="24"/>
                <w:szCs w:val="24"/>
              </w:rPr>
              <w:t xml:space="preserve"> </w:t>
            </w:r>
            <w:r w:rsidR="00E60D5F" w:rsidRPr="00226393">
              <w:rPr>
                <w:sz w:val="24"/>
                <w:szCs w:val="24"/>
              </w:rPr>
              <w:t>27</w:t>
            </w:r>
            <w:r w:rsidR="0085230E" w:rsidRPr="00226393">
              <w:rPr>
                <w:sz w:val="24"/>
                <w:szCs w:val="24"/>
              </w:rPr>
              <w:t xml:space="preserve"> </w:t>
            </w:r>
            <w:r w:rsidRPr="00226393">
              <w:rPr>
                <w:sz w:val="24"/>
                <w:szCs w:val="24"/>
              </w:rPr>
              <w:t>hours</w:t>
            </w:r>
          </w:p>
        </w:tc>
        <w:tc>
          <w:tcPr>
            <w:tcW w:w="959" w:type="pct"/>
            <w:tcBorders>
              <w:top w:val="single" w:sz="4" w:space="0" w:color="auto"/>
              <w:left w:val="single" w:sz="4" w:space="0" w:color="auto"/>
              <w:bottom w:val="single" w:sz="4" w:space="0" w:color="auto"/>
              <w:right w:val="single" w:sz="4" w:space="0" w:color="auto"/>
            </w:tcBorders>
          </w:tcPr>
          <w:p w14:paraId="49ECE78F" w14:textId="77777777" w:rsidR="000D5137" w:rsidRPr="00226393" w:rsidRDefault="000D5137" w:rsidP="00501B1B">
            <w:pPr>
              <w:spacing w:after="0" w:line="240" w:lineRule="auto"/>
              <w:rPr>
                <w:sz w:val="24"/>
                <w:szCs w:val="24"/>
              </w:rPr>
            </w:pPr>
            <w:r w:rsidRPr="00226393">
              <w:rPr>
                <w:sz w:val="24"/>
                <w:szCs w:val="24"/>
              </w:rPr>
              <w:t>$15.82</w:t>
            </w:r>
            <w:r w:rsidR="00BC5C12" w:rsidRPr="00226393">
              <w:rPr>
                <w:sz w:val="24"/>
                <w:szCs w:val="24"/>
              </w:rPr>
              <w:t>/hr</w:t>
            </w:r>
          </w:p>
        </w:tc>
        <w:tc>
          <w:tcPr>
            <w:tcW w:w="959" w:type="pct"/>
            <w:tcBorders>
              <w:top w:val="single" w:sz="4" w:space="0" w:color="auto"/>
              <w:left w:val="single" w:sz="4" w:space="0" w:color="auto"/>
              <w:bottom w:val="single" w:sz="4" w:space="0" w:color="auto"/>
              <w:right w:val="single" w:sz="4" w:space="0" w:color="auto"/>
            </w:tcBorders>
          </w:tcPr>
          <w:p w14:paraId="207C2A79" w14:textId="77777777" w:rsidR="000D5137" w:rsidRPr="00226393" w:rsidRDefault="000D5137" w:rsidP="00501B1B">
            <w:pPr>
              <w:spacing w:after="0" w:line="240" w:lineRule="auto"/>
              <w:rPr>
                <w:sz w:val="24"/>
                <w:szCs w:val="24"/>
              </w:rPr>
            </w:pPr>
            <w:r w:rsidRPr="00226393">
              <w:rPr>
                <w:sz w:val="24"/>
                <w:szCs w:val="24"/>
              </w:rPr>
              <w:t>$</w:t>
            </w:r>
            <w:r w:rsidR="00E60D5F" w:rsidRPr="00226393">
              <w:rPr>
                <w:sz w:val="24"/>
                <w:szCs w:val="24"/>
              </w:rPr>
              <w:t>42</w:t>
            </w:r>
            <w:r w:rsidR="005501DD" w:rsidRPr="00226393">
              <w:rPr>
                <w:sz w:val="24"/>
                <w:szCs w:val="24"/>
              </w:rPr>
              <w:t>7</w:t>
            </w:r>
          </w:p>
        </w:tc>
      </w:tr>
      <w:tr w:rsidR="002F2446" w:rsidRPr="00353D05" w14:paraId="0017B8BF" w14:textId="77777777" w:rsidTr="005541D5">
        <w:trPr>
          <w:trHeight w:val="289"/>
        </w:trPr>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05A59D" w14:textId="77777777" w:rsidR="000D5137" w:rsidRPr="00226393" w:rsidRDefault="000D5137" w:rsidP="00501B1B">
            <w:pPr>
              <w:spacing w:after="0" w:line="240" w:lineRule="auto"/>
              <w:rPr>
                <w:b/>
                <w:sz w:val="24"/>
                <w:szCs w:val="24"/>
              </w:rPr>
            </w:pPr>
            <w:r w:rsidRPr="00226393">
              <w:rPr>
                <w:b/>
                <w:sz w:val="24"/>
                <w:szCs w:val="24"/>
              </w:rPr>
              <w:t>Totals</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F4309" w14:textId="77777777" w:rsidR="000D5137" w:rsidRPr="00226393" w:rsidRDefault="00B51E1B" w:rsidP="00501B1B">
            <w:pPr>
              <w:spacing w:after="0" w:line="240" w:lineRule="auto"/>
              <w:rPr>
                <w:sz w:val="24"/>
                <w:szCs w:val="24"/>
              </w:rPr>
            </w:pPr>
            <w:r w:rsidRPr="00226393">
              <w:rPr>
                <w:sz w:val="24"/>
                <w:szCs w:val="24"/>
              </w:rPr>
              <w:t>18</w:t>
            </w:r>
          </w:p>
        </w:tc>
        <w:tc>
          <w:tcPr>
            <w:tcW w:w="5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BA9A7" w14:textId="77777777" w:rsidR="000D5137" w:rsidRPr="00226393" w:rsidRDefault="000D5137" w:rsidP="00501B1B">
            <w:pPr>
              <w:spacing w:after="0" w:line="240" w:lineRule="auto"/>
              <w:rPr>
                <w:sz w:val="24"/>
                <w:szCs w:val="24"/>
              </w:rPr>
            </w:pPr>
            <w:r w:rsidRPr="00226393">
              <w:rPr>
                <w:sz w:val="24"/>
                <w:szCs w:val="24"/>
              </w:rPr>
              <w:t>1 time</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84F67" w14:textId="77777777" w:rsidR="000D5137" w:rsidRPr="00226393" w:rsidRDefault="000D5137" w:rsidP="00501B1B">
            <w:pPr>
              <w:spacing w:after="0" w:line="240" w:lineRule="auto"/>
              <w:rPr>
                <w:sz w:val="24"/>
                <w:szCs w:val="24"/>
              </w:rPr>
            </w:pPr>
            <w:r w:rsidRPr="00226393">
              <w:rPr>
                <w:sz w:val="24"/>
                <w:szCs w:val="24"/>
              </w:rPr>
              <w:t>1.5 hours</w:t>
            </w:r>
          </w:p>
        </w:tc>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2ACCE7" w14:textId="77777777" w:rsidR="000D5137" w:rsidRPr="00226393" w:rsidRDefault="000D5137" w:rsidP="00501B1B">
            <w:pPr>
              <w:spacing w:after="0" w:line="240" w:lineRule="auto"/>
              <w:rPr>
                <w:sz w:val="24"/>
                <w:szCs w:val="24"/>
              </w:rPr>
            </w:pPr>
            <w:r w:rsidRPr="00226393">
              <w:rPr>
                <w:sz w:val="24"/>
                <w:szCs w:val="24"/>
              </w:rPr>
              <w:t xml:space="preserve"> </w:t>
            </w:r>
            <w:r w:rsidR="00E60D5F" w:rsidRPr="00226393">
              <w:rPr>
                <w:sz w:val="24"/>
                <w:szCs w:val="24"/>
              </w:rPr>
              <w:t>27</w:t>
            </w:r>
            <w:r w:rsidR="0085230E" w:rsidRPr="00226393">
              <w:rPr>
                <w:sz w:val="24"/>
                <w:szCs w:val="24"/>
              </w:rPr>
              <w:t xml:space="preserve"> </w:t>
            </w:r>
            <w:r w:rsidRPr="00226393">
              <w:rPr>
                <w:sz w:val="24"/>
                <w:szCs w:val="24"/>
              </w:rPr>
              <w:t>hours</w:t>
            </w:r>
          </w:p>
        </w:tc>
        <w:tc>
          <w:tcPr>
            <w:tcW w:w="9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39363" w14:textId="77777777" w:rsidR="000D5137" w:rsidRPr="00226393" w:rsidRDefault="000D5137" w:rsidP="00501B1B">
            <w:pPr>
              <w:spacing w:after="0" w:line="240" w:lineRule="auto"/>
              <w:rPr>
                <w:sz w:val="24"/>
                <w:szCs w:val="24"/>
              </w:rPr>
            </w:pPr>
            <w:r w:rsidRPr="00226393">
              <w:rPr>
                <w:sz w:val="24"/>
                <w:szCs w:val="24"/>
              </w:rPr>
              <w:t>$15.82</w:t>
            </w:r>
            <w:r w:rsidR="00BC5C12" w:rsidRPr="00226393">
              <w:rPr>
                <w:sz w:val="24"/>
                <w:szCs w:val="24"/>
              </w:rPr>
              <w:t>/hr</w:t>
            </w:r>
          </w:p>
        </w:tc>
        <w:tc>
          <w:tcPr>
            <w:tcW w:w="9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9EBCC" w14:textId="77777777" w:rsidR="000D5137" w:rsidRPr="00226393" w:rsidRDefault="000D5137" w:rsidP="00501B1B">
            <w:pPr>
              <w:spacing w:after="0" w:line="240" w:lineRule="auto"/>
              <w:rPr>
                <w:sz w:val="24"/>
                <w:szCs w:val="24"/>
              </w:rPr>
            </w:pPr>
            <w:r w:rsidRPr="00226393">
              <w:rPr>
                <w:sz w:val="24"/>
                <w:szCs w:val="24"/>
              </w:rPr>
              <w:t>$</w:t>
            </w:r>
            <w:r w:rsidR="00E60D5F" w:rsidRPr="00226393">
              <w:rPr>
                <w:sz w:val="24"/>
                <w:szCs w:val="24"/>
              </w:rPr>
              <w:t>42</w:t>
            </w:r>
            <w:r w:rsidR="005501DD" w:rsidRPr="00226393">
              <w:rPr>
                <w:sz w:val="24"/>
                <w:szCs w:val="24"/>
              </w:rPr>
              <w:t>7</w:t>
            </w:r>
          </w:p>
        </w:tc>
      </w:tr>
    </w:tbl>
    <w:p w14:paraId="29171D61" w14:textId="77777777" w:rsidR="000D5137" w:rsidRPr="00226393" w:rsidRDefault="000D5137"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76CEC93C" w14:textId="36EB396A" w:rsidR="00CC0CF4" w:rsidRPr="00226393" w:rsidRDefault="009F0B5B"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sz w:val="24"/>
        </w:rPr>
      </w:pPr>
      <w:r w:rsidRPr="00226393">
        <w:rPr>
          <w:i/>
          <w:sz w:val="24"/>
          <w:szCs w:val="24"/>
        </w:rPr>
        <w:t>Informational Interview</w:t>
      </w:r>
      <w:r w:rsidR="00CC0CF4" w:rsidRPr="00226393">
        <w:rPr>
          <w:i/>
          <w:sz w:val="24"/>
        </w:rPr>
        <w:t xml:space="preserve"> Information Collection Instruments and Associated Materials</w:t>
      </w:r>
    </w:p>
    <w:p w14:paraId="760AF6B5" w14:textId="77777777" w:rsidR="00CC0CF4" w:rsidRPr="00226393" w:rsidRDefault="00CC0CF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1DA77DF5" w14:textId="77777777" w:rsidR="00CC0CF4" w:rsidRPr="00226393" w:rsidRDefault="00B06B04" w:rsidP="00501B1B">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sz w:val="24"/>
        </w:rPr>
      </w:pPr>
      <w:r w:rsidRPr="00226393">
        <w:rPr>
          <w:sz w:val="24"/>
        </w:rPr>
        <w:t>2016 Interview Guide</w:t>
      </w:r>
    </w:p>
    <w:p w14:paraId="3D97F1C0" w14:textId="77777777" w:rsidR="00CC0CF4" w:rsidRPr="00226393" w:rsidRDefault="00CC0CF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0922331D" w14:textId="77777777"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E71F5A">
        <w:rPr>
          <w:sz w:val="24"/>
        </w:rPr>
        <w:t>12.</w:t>
      </w:r>
      <w:r w:rsidR="00F45D5D" w:rsidRPr="00E71F5A">
        <w:rPr>
          <w:sz w:val="24"/>
        </w:rPr>
        <w:t>3</w:t>
      </w:r>
      <w:r w:rsidRPr="00E71F5A">
        <w:rPr>
          <w:sz w:val="24"/>
        </w:rPr>
        <w:t xml:space="preserve"> Burden Summary</w:t>
      </w:r>
    </w:p>
    <w:p w14:paraId="000F8348" w14:textId="77777777" w:rsidR="008F1495"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18A03637" w14:textId="77777777" w:rsidR="00A72C93" w:rsidRDefault="00A72C93"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sz w:val="24"/>
        </w:rPr>
        <w:t>Burden Summary – 8 Focus Groups</w:t>
      </w:r>
      <w:r w:rsidR="008422F8">
        <w:rPr>
          <w:sz w:val="24"/>
        </w:rPr>
        <w:t xml:space="preserve"> and 18 Informational Interviews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12"/>
        <w:gridCol w:w="1254"/>
        <w:gridCol w:w="1497"/>
        <w:gridCol w:w="945"/>
        <w:gridCol w:w="1462"/>
        <w:gridCol w:w="1460"/>
      </w:tblGrid>
      <w:tr w:rsidR="00A72C93" w:rsidRPr="00353D05" w14:paraId="5078304A" w14:textId="77777777" w:rsidTr="004C02B9">
        <w:trPr>
          <w:trHeight w:val="274"/>
          <w:tblHeader/>
        </w:trPr>
        <w:tc>
          <w:tcPr>
            <w:tcW w:w="818" w:type="pct"/>
            <w:tcBorders>
              <w:top w:val="single" w:sz="4" w:space="0" w:color="auto"/>
              <w:left w:val="single" w:sz="4" w:space="0" w:color="auto"/>
              <w:bottom w:val="single" w:sz="4" w:space="0" w:color="auto"/>
              <w:right w:val="single" w:sz="4" w:space="0" w:color="auto"/>
            </w:tcBorders>
            <w:hideMark/>
          </w:tcPr>
          <w:p w14:paraId="554C979F" w14:textId="77777777" w:rsidR="00A72C93" w:rsidRPr="00501B1B" w:rsidRDefault="00A72C93" w:rsidP="004C02B9">
            <w:pPr>
              <w:spacing w:after="0" w:line="240" w:lineRule="auto"/>
              <w:rPr>
                <w:b/>
                <w:sz w:val="20"/>
                <w:szCs w:val="20"/>
              </w:rPr>
            </w:pPr>
            <w:r w:rsidRPr="00501B1B">
              <w:rPr>
                <w:b/>
                <w:sz w:val="20"/>
                <w:szCs w:val="20"/>
              </w:rPr>
              <w:t>Information Collection</w:t>
            </w:r>
          </w:p>
        </w:tc>
        <w:tc>
          <w:tcPr>
            <w:tcW w:w="778" w:type="pct"/>
            <w:tcBorders>
              <w:top w:val="single" w:sz="4" w:space="0" w:color="auto"/>
              <w:left w:val="single" w:sz="4" w:space="0" w:color="auto"/>
              <w:bottom w:val="single" w:sz="4" w:space="0" w:color="auto"/>
              <w:right w:val="single" w:sz="4" w:space="0" w:color="auto"/>
            </w:tcBorders>
            <w:hideMark/>
          </w:tcPr>
          <w:p w14:paraId="76619F14" w14:textId="77777777" w:rsidR="00A72C93" w:rsidRPr="00501B1B" w:rsidRDefault="00A72C93" w:rsidP="004C02B9">
            <w:pPr>
              <w:spacing w:after="0" w:line="240" w:lineRule="auto"/>
              <w:rPr>
                <w:b/>
                <w:sz w:val="20"/>
                <w:szCs w:val="20"/>
              </w:rPr>
            </w:pPr>
            <w:r w:rsidRPr="00501B1B">
              <w:rPr>
                <w:b/>
                <w:sz w:val="20"/>
                <w:szCs w:val="20"/>
              </w:rPr>
              <w:t>No. of Respondents</w:t>
            </w:r>
          </w:p>
        </w:tc>
        <w:tc>
          <w:tcPr>
            <w:tcW w:w="645" w:type="pct"/>
            <w:tcBorders>
              <w:top w:val="single" w:sz="4" w:space="0" w:color="auto"/>
              <w:left w:val="single" w:sz="4" w:space="0" w:color="auto"/>
              <w:bottom w:val="single" w:sz="4" w:space="0" w:color="auto"/>
              <w:right w:val="single" w:sz="4" w:space="0" w:color="auto"/>
            </w:tcBorders>
          </w:tcPr>
          <w:p w14:paraId="1A20A6D2" w14:textId="77777777" w:rsidR="00A72C93" w:rsidRPr="00501B1B" w:rsidRDefault="00A72C93" w:rsidP="004C02B9">
            <w:pPr>
              <w:spacing w:after="0" w:line="240" w:lineRule="auto"/>
              <w:rPr>
                <w:b/>
                <w:sz w:val="20"/>
                <w:szCs w:val="20"/>
              </w:rPr>
            </w:pPr>
            <w:r w:rsidRPr="00501B1B">
              <w:rPr>
                <w:b/>
                <w:sz w:val="20"/>
                <w:szCs w:val="20"/>
              </w:rPr>
              <w:t>Frequency of Response</w:t>
            </w:r>
          </w:p>
        </w:tc>
        <w:tc>
          <w:tcPr>
            <w:tcW w:w="770" w:type="pct"/>
            <w:tcBorders>
              <w:top w:val="single" w:sz="4" w:space="0" w:color="auto"/>
              <w:left w:val="single" w:sz="4" w:space="0" w:color="auto"/>
              <w:bottom w:val="single" w:sz="4" w:space="0" w:color="auto"/>
              <w:right w:val="single" w:sz="4" w:space="0" w:color="auto"/>
            </w:tcBorders>
            <w:hideMark/>
          </w:tcPr>
          <w:p w14:paraId="71AC9722" w14:textId="77777777" w:rsidR="00A72C93" w:rsidRPr="00501B1B" w:rsidRDefault="00A72C93" w:rsidP="004C02B9">
            <w:pPr>
              <w:spacing w:after="0" w:line="240" w:lineRule="auto"/>
              <w:rPr>
                <w:b/>
                <w:sz w:val="20"/>
                <w:szCs w:val="20"/>
              </w:rPr>
            </w:pPr>
            <w:r w:rsidRPr="00501B1B">
              <w:rPr>
                <w:b/>
                <w:sz w:val="20"/>
                <w:szCs w:val="20"/>
              </w:rPr>
              <w:t xml:space="preserve">Participation Time </w:t>
            </w:r>
          </w:p>
        </w:tc>
        <w:tc>
          <w:tcPr>
            <w:tcW w:w="486" w:type="pct"/>
            <w:tcBorders>
              <w:top w:val="single" w:sz="4" w:space="0" w:color="auto"/>
              <w:left w:val="single" w:sz="4" w:space="0" w:color="auto"/>
              <w:bottom w:val="single" w:sz="4" w:space="0" w:color="auto"/>
              <w:right w:val="single" w:sz="4" w:space="0" w:color="auto"/>
            </w:tcBorders>
            <w:hideMark/>
          </w:tcPr>
          <w:p w14:paraId="052EF32F" w14:textId="77777777" w:rsidR="00A72C93" w:rsidRPr="00501B1B" w:rsidRDefault="00A72C93" w:rsidP="004C02B9">
            <w:pPr>
              <w:spacing w:after="0" w:line="240" w:lineRule="auto"/>
              <w:rPr>
                <w:b/>
                <w:sz w:val="20"/>
                <w:szCs w:val="20"/>
              </w:rPr>
            </w:pPr>
            <w:r w:rsidRPr="00501B1B">
              <w:rPr>
                <w:b/>
                <w:sz w:val="20"/>
                <w:szCs w:val="20"/>
              </w:rPr>
              <w:t>Annual Hour Burden</w:t>
            </w:r>
          </w:p>
        </w:tc>
        <w:tc>
          <w:tcPr>
            <w:tcW w:w="752" w:type="pct"/>
            <w:tcBorders>
              <w:top w:val="single" w:sz="4" w:space="0" w:color="auto"/>
              <w:left w:val="single" w:sz="4" w:space="0" w:color="auto"/>
              <w:bottom w:val="single" w:sz="4" w:space="0" w:color="auto"/>
              <w:right w:val="single" w:sz="4" w:space="0" w:color="auto"/>
            </w:tcBorders>
          </w:tcPr>
          <w:p w14:paraId="7534010D" w14:textId="77777777" w:rsidR="00A72C93" w:rsidRPr="00501B1B" w:rsidRDefault="00A72C93" w:rsidP="004C02B9">
            <w:pPr>
              <w:spacing w:after="0" w:line="240" w:lineRule="auto"/>
              <w:rPr>
                <w:b/>
                <w:sz w:val="20"/>
                <w:szCs w:val="20"/>
              </w:rPr>
            </w:pPr>
            <w:r w:rsidRPr="00501B1B">
              <w:rPr>
                <w:b/>
                <w:sz w:val="20"/>
                <w:szCs w:val="20"/>
              </w:rPr>
              <w:t>Wage Cost per Respondent</w:t>
            </w:r>
          </w:p>
        </w:tc>
        <w:tc>
          <w:tcPr>
            <w:tcW w:w="751" w:type="pct"/>
            <w:tcBorders>
              <w:top w:val="single" w:sz="4" w:space="0" w:color="auto"/>
              <w:left w:val="single" w:sz="4" w:space="0" w:color="auto"/>
              <w:bottom w:val="single" w:sz="4" w:space="0" w:color="auto"/>
              <w:right w:val="single" w:sz="4" w:space="0" w:color="auto"/>
            </w:tcBorders>
          </w:tcPr>
          <w:p w14:paraId="67194BA7" w14:textId="77777777" w:rsidR="00A72C93" w:rsidRPr="00501B1B" w:rsidRDefault="00A72C93" w:rsidP="004C02B9">
            <w:pPr>
              <w:spacing w:after="0" w:line="240" w:lineRule="auto"/>
              <w:rPr>
                <w:b/>
                <w:sz w:val="20"/>
                <w:szCs w:val="20"/>
              </w:rPr>
            </w:pPr>
            <w:r w:rsidRPr="00501B1B">
              <w:rPr>
                <w:b/>
                <w:sz w:val="20"/>
                <w:szCs w:val="20"/>
              </w:rPr>
              <w:t>Annual Cost (Labor)</w:t>
            </w:r>
          </w:p>
        </w:tc>
      </w:tr>
      <w:tr w:rsidR="00A72C93" w:rsidRPr="00353D05" w14:paraId="058BA717" w14:textId="77777777" w:rsidTr="00885F25">
        <w:trPr>
          <w:trHeight w:val="530"/>
        </w:trPr>
        <w:tc>
          <w:tcPr>
            <w:tcW w:w="818" w:type="pct"/>
            <w:tcBorders>
              <w:top w:val="single" w:sz="4" w:space="0" w:color="auto"/>
              <w:left w:val="single" w:sz="4" w:space="0" w:color="auto"/>
              <w:bottom w:val="single" w:sz="4" w:space="0" w:color="auto"/>
              <w:right w:val="single" w:sz="4" w:space="0" w:color="auto"/>
            </w:tcBorders>
          </w:tcPr>
          <w:p w14:paraId="19E3D1A6" w14:textId="77777777" w:rsidR="00A72C93" w:rsidRPr="00501B1B" w:rsidRDefault="00A72C93" w:rsidP="004C02B9">
            <w:pPr>
              <w:spacing w:after="0" w:line="240" w:lineRule="auto"/>
              <w:rPr>
                <w:b/>
                <w:sz w:val="20"/>
                <w:szCs w:val="20"/>
              </w:rPr>
            </w:pPr>
            <w:r w:rsidRPr="00501B1B">
              <w:rPr>
                <w:b/>
                <w:sz w:val="20"/>
                <w:szCs w:val="20"/>
              </w:rPr>
              <w:t>Focus Groups</w:t>
            </w:r>
          </w:p>
        </w:tc>
        <w:tc>
          <w:tcPr>
            <w:tcW w:w="778" w:type="pct"/>
            <w:tcBorders>
              <w:top w:val="single" w:sz="4" w:space="0" w:color="auto"/>
              <w:left w:val="single" w:sz="4" w:space="0" w:color="auto"/>
              <w:bottom w:val="single" w:sz="4" w:space="0" w:color="auto"/>
              <w:right w:val="single" w:sz="4" w:space="0" w:color="auto"/>
            </w:tcBorders>
          </w:tcPr>
          <w:p w14:paraId="53EE7E88" w14:textId="77777777" w:rsidR="00A72C93" w:rsidRPr="00501B1B" w:rsidRDefault="00A72C93" w:rsidP="004C02B9">
            <w:pPr>
              <w:spacing w:after="0" w:line="240" w:lineRule="auto"/>
              <w:rPr>
                <w:sz w:val="20"/>
                <w:szCs w:val="20"/>
              </w:rPr>
            </w:pPr>
            <w:r>
              <w:rPr>
                <w:sz w:val="20"/>
                <w:szCs w:val="20"/>
              </w:rPr>
              <w:t>80</w:t>
            </w:r>
          </w:p>
        </w:tc>
        <w:tc>
          <w:tcPr>
            <w:tcW w:w="645" w:type="pct"/>
            <w:tcBorders>
              <w:top w:val="single" w:sz="4" w:space="0" w:color="auto"/>
              <w:left w:val="single" w:sz="4" w:space="0" w:color="auto"/>
              <w:bottom w:val="single" w:sz="4" w:space="0" w:color="auto"/>
              <w:right w:val="single" w:sz="4" w:space="0" w:color="auto"/>
            </w:tcBorders>
          </w:tcPr>
          <w:p w14:paraId="7F790E34" w14:textId="77777777" w:rsidR="00A72C93" w:rsidRPr="00501B1B" w:rsidRDefault="00A72C93" w:rsidP="004C02B9">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tcPr>
          <w:p w14:paraId="6222E92F" w14:textId="77777777" w:rsidR="00A72C93" w:rsidRPr="00501B1B" w:rsidRDefault="00A72C93" w:rsidP="004C02B9">
            <w:pPr>
              <w:spacing w:after="0" w:line="240" w:lineRule="auto"/>
              <w:rPr>
                <w:sz w:val="20"/>
                <w:szCs w:val="20"/>
              </w:rPr>
            </w:pPr>
            <w:r w:rsidRPr="00501B1B">
              <w:rPr>
                <w:sz w:val="20"/>
                <w:szCs w:val="20"/>
              </w:rPr>
              <w:t>3 hours</w:t>
            </w:r>
          </w:p>
        </w:tc>
        <w:tc>
          <w:tcPr>
            <w:tcW w:w="486" w:type="pct"/>
            <w:tcBorders>
              <w:top w:val="single" w:sz="4" w:space="0" w:color="auto"/>
              <w:left w:val="single" w:sz="4" w:space="0" w:color="auto"/>
              <w:bottom w:val="single" w:sz="4" w:space="0" w:color="auto"/>
              <w:right w:val="single" w:sz="4" w:space="0" w:color="auto"/>
            </w:tcBorders>
          </w:tcPr>
          <w:p w14:paraId="7058997F" w14:textId="77777777" w:rsidR="00A72C93" w:rsidRPr="00501B1B" w:rsidRDefault="00A72C93" w:rsidP="004C02B9">
            <w:pPr>
              <w:spacing w:after="0" w:line="240" w:lineRule="auto"/>
              <w:rPr>
                <w:sz w:val="20"/>
                <w:szCs w:val="20"/>
              </w:rPr>
            </w:pPr>
            <w:r>
              <w:rPr>
                <w:sz w:val="20"/>
                <w:szCs w:val="20"/>
              </w:rPr>
              <w:t xml:space="preserve">240 </w:t>
            </w:r>
            <w:r w:rsidRPr="00501B1B">
              <w:rPr>
                <w:sz w:val="20"/>
                <w:szCs w:val="20"/>
              </w:rPr>
              <w:t>hours</w:t>
            </w:r>
          </w:p>
        </w:tc>
        <w:tc>
          <w:tcPr>
            <w:tcW w:w="752" w:type="pct"/>
            <w:tcBorders>
              <w:top w:val="single" w:sz="4" w:space="0" w:color="auto"/>
              <w:left w:val="single" w:sz="4" w:space="0" w:color="auto"/>
              <w:bottom w:val="single" w:sz="4" w:space="0" w:color="auto"/>
              <w:right w:val="single" w:sz="4" w:space="0" w:color="auto"/>
            </w:tcBorders>
          </w:tcPr>
          <w:p w14:paraId="12058CC8" w14:textId="77777777" w:rsidR="00A72C93" w:rsidRPr="00501B1B" w:rsidRDefault="00A72C93" w:rsidP="004C02B9">
            <w:pPr>
              <w:spacing w:after="0" w:line="240" w:lineRule="auto"/>
              <w:rPr>
                <w:sz w:val="20"/>
                <w:szCs w:val="20"/>
              </w:rPr>
            </w:pPr>
            <w:r w:rsidRPr="00501B1B">
              <w:rPr>
                <w:sz w:val="20"/>
                <w:szCs w:val="20"/>
              </w:rPr>
              <w:t>$15.82/hr</w:t>
            </w:r>
          </w:p>
        </w:tc>
        <w:tc>
          <w:tcPr>
            <w:tcW w:w="751" w:type="pct"/>
            <w:tcBorders>
              <w:top w:val="single" w:sz="4" w:space="0" w:color="auto"/>
              <w:left w:val="single" w:sz="4" w:space="0" w:color="auto"/>
              <w:bottom w:val="single" w:sz="4" w:space="0" w:color="auto"/>
              <w:right w:val="single" w:sz="4" w:space="0" w:color="auto"/>
            </w:tcBorders>
          </w:tcPr>
          <w:p w14:paraId="79F6A101" w14:textId="77777777" w:rsidR="00A72C93" w:rsidRPr="00501B1B" w:rsidRDefault="00A72C93" w:rsidP="004C02B9">
            <w:pPr>
              <w:spacing w:after="0" w:line="240" w:lineRule="auto"/>
              <w:rPr>
                <w:sz w:val="20"/>
                <w:szCs w:val="20"/>
              </w:rPr>
            </w:pPr>
            <w:r w:rsidRPr="00501B1B">
              <w:rPr>
                <w:sz w:val="20"/>
                <w:szCs w:val="20"/>
              </w:rPr>
              <w:t>$</w:t>
            </w:r>
            <w:r>
              <w:rPr>
                <w:sz w:val="20"/>
                <w:szCs w:val="20"/>
              </w:rPr>
              <w:t>3,797</w:t>
            </w:r>
          </w:p>
        </w:tc>
      </w:tr>
      <w:tr w:rsidR="00A72C93" w:rsidRPr="00353D05" w14:paraId="387584F6" w14:textId="77777777" w:rsidTr="004C02B9">
        <w:trPr>
          <w:trHeight w:val="274"/>
        </w:trPr>
        <w:tc>
          <w:tcPr>
            <w:tcW w:w="818" w:type="pct"/>
            <w:tcBorders>
              <w:top w:val="single" w:sz="4" w:space="0" w:color="auto"/>
              <w:left w:val="single" w:sz="4" w:space="0" w:color="auto"/>
              <w:bottom w:val="single" w:sz="4" w:space="0" w:color="auto"/>
              <w:right w:val="single" w:sz="4" w:space="0" w:color="auto"/>
            </w:tcBorders>
          </w:tcPr>
          <w:p w14:paraId="5995DD6B" w14:textId="77777777" w:rsidR="00A72C93" w:rsidRPr="00501B1B" w:rsidRDefault="00A72C93" w:rsidP="004C02B9">
            <w:pPr>
              <w:spacing w:after="0" w:line="240" w:lineRule="auto"/>
              <w:rPr>
                <w:b/>
                <w:sz w:val="20"/>
                <w:szCs w:val="20"/>
              </w:rPr>
            </w:pPr>
            <w:r w:rsidRPr="00501B1B">
              <w:rPr>
                <w:b/>
                <w:sz w:val="20"/>
                <w:szCs w:val="20"/>
              </w:rPr>
              <w:t>Informational Interviews</w:t>
            </w:r>
          </w:p>
        </w:tc>
        <w:tc>
          <w:tcPr>
            <w:tcW w:w="778" w:type="pct"/>
            <w:tcBorders>
              <w:top w:val="single" w:sz="4" w:space="0" w:color="auto"/>
              <w:left w:val="single" w:sz="4" w:space="0" w:color="auto"/>
              <w:bottom w:val="single" w:sz="4" w:space="0" w:color="auto"/>
              <w:right w:val="single" w:sz="4" w:space="0" w:color="auto"/>
            </w:tcBorders>
          </w:tcPr>
          <w:p w14:paraId="655C3752" w14:textId="77777777" w:rsidR="00A72C93" w:rsidRPr="00501B1B" w:rsidRDefault="00A72C93" w:rsidP="004C02B9">
            <w:pPr>
              <w:spacing w:after="0" w:line="240" w:lineRule="auto"/>
              <w:rPr>
                <w:sz w:val="20"/>
                <w:szCs w:val="20"/>
              </w:rPr>
            </w:pPr>
            <w:r w:rsidRPr="00501B1B">
              <w:rPr>
                <w:sz w:val="20"/>
                <w:szCs w:val="20"/>
              </w:rPr>
              <w:t>18</w:t>
            </w:r>
          </w:p>
        </w:tc>
        <w:tc>
          <w:tcPr>
            <w:tcW w:w="645" w:type="pct"/>
            <w:tcBorders>
              <w:top w:val="single" w:sz="4" w:space="0" w:color="auto"/>
              <w:left w:val="single" w:sz="4" w:space="0" w:color="auto"/>
              <w:bottom w:val="single" w:sz="4" w:space="0" w:color="auto"/>
              <w:right w:val="single" w:sz="4" w:space="0" w:color="auto"/>
            </w:tcBorders>
          </w:tcPr>
          <w:p w14:paraId="1DC342BF" w14:textId="77777777" w:rsidR="00A72C93" w:rsidRPr="00501B1B" w:rsidRDefault="00A72C93" w:rsidP="004C02B9">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tcPr>
          <w:p w14:paraId="66E459D3" w14:textId="77777777" w:rsidR="00A72C93" w:rsidRPr="00501B1B" w:rsidRDefault="00A72C93" w:rsidP="004C02B9">
            <w:pPr>
              <w:spacing w:after="0" w:line="240" w:lineRule="auto"/>
              <w:rPr>
                <w:sz w:val="20"/>
                <w:szCs w:val="20"/>
              </w:rPr>
            </w:pPr>
            <w:r w:rsidRPr="00501B1B">
              <w:rPr>
                <w:sz w:val="20"/>
                <w:szCs w:val="20"/>
              </w:rPr>
              <w:t>1.5 hours</w:t>
            </w:r>
          </w:p>
        </w:tc>
        <w:tc>
          <w:tcPr>
            <w:tcW w:w="486" w:type="pct"/>
            <w:tcBorders>
              <w:top w:val="single" w:sz="4" w:space="0" w:color="auto"/>
              <w:left w:val="single" w:sz="4" w:space="0" w:color="auto"/>
              <w:bottom w:val="single" w:sz="4" w:space="0" w:color="auto"/>
              <w:right w:val="single" w:sz="4" w:space="0" w:color="auto"/>
            </w:tcBorders>
          </w:tcPr>
          <w:p w14:paraId="6156D595" w14:textId="77777777" w:rsidR="00A72C93" w:rsidRPr="00501B1B" w:rsidRDefault="00A72C93" w:rsidP="004C02B9">
            <w:pPr>
              <w:spacing w:after="0" w:line="240" w:lineRule="auto"/>
              <w:rPr>
                <w:sz w:val="20"/>
                <w:szCs w:val="20"/>
              </w:rPr>
            </w:pPr>
            <w:r w:rsidRPr="00501B1B">
              <w:rPr>
                <w:sz w:val="20"/>
                <w:szCs w:val="20"/>
              </w:rPr>
              <w:t xml:space="preserve"> 27 hours</w:t>
            </w:r>
          </w:p>
        </w:tc>
        <w:tc>
          <w:tcPr>
            <w:tcW w:w="752" w:type="pct"/>
            <w:tcBorders>
              <w:top w:val="single" w:sz="4" w:space="0" w:color="auto"/>
              <w:left w:val="single" w:sz="4" w:space="0" w:color="auto"/>
              <w:bottom w:val="single" w:sz="4" w:space="0" w:color="auto"/>
              <w:right w:val="single" w:sz="4" w:space="0" w:color="auto"/>
            </w:tcBorders>
          </w:tcPr>
          <w:p w14:paraId="5B4C9E7A" w14:textId="77777777" w:rsidR="00A72C93" w:rsidRPr="00501B1B" w:rsidRDefault="00A72C93" w:rsidP="004C02B9">
            <w:pPr>
              <w:spacing w:after="0" w:line="240" w:lineRule="auto"/>
              <w:rPr>
                <w:sz w:val="20"/>
                <w:szCs w:val="20"/>
              </w:rPr>
            </w:pPr>
            <w:r w:rsidRPr="00501B1B">
              <w:rPr>
                <w:sz w:val="20"/>
                <w:szCs w:val="20"/>
              </w:rPr>
              <w:t>$15.82/hr</w:t>
            </w:r>
          </w:p>
        </w:tc>
        <w:tc>
          <w:tcPr>
            <w:tcW w:w="751" w:type="pct"/>
            <w:tcBorders>
              <w:top w:val="single" w:sz="4" w:space="0" w:color="auto"/>
              <w:left w:val="single" w:sz="4" w:space="0" w:color="auto"/>
              <w:bottom w:val="single" w:sz="4" w:space="0" w:color="auto"/>
              <w:right w:val="single" w:sz="4" w:space="0" w:color="auto"/>
            </w:tcBorders>
          </w:tcPr>
          <w:p w14:paraId="256896FF" w14:textId="77777777" w:rsidR="00A72C93" w:rsidRPr="00501B1B" w:rsidRDefault="00A72C93" w:rsidP="004C02B9">
            <w:pPr>
              <w:spacing w:after="0" w:line="240" w:lineRule="auto"/>
              <w:rPr>
                <w:sz w:val="20"/>
                <w:szCs w:val="20"/>
              </w:rPr>
            </w:pPr>
            <w:r w:rsidRPr="00501B1B">
              <w:rPr>
                <w:sz w:val="20"/>
                <w:szCs w:val="20"/>
              </w:rPr>
              <w:t>$427</w:t>
            </w:r>
          </w:p>
        </w:tc>
      </w:tr>
      <w:tr w:rsidR="00A72C93" w:rsidRPr="00BC5C12" w14:paraId="5F252632" w14:textId="77777777" w:rsidTr="004C02B9">
        <w:trPr>
          <w:trHeight w:val="289"/>
        </w:trPr>
        <w:tc>
          <w:tcPr>
            <w:tcW w:w="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7AA06B" w14:textId="77777777" w:rsidR="00A72C93" w:rsidRPr="00501B1B" w:rsidRDefault="00A72C93" w:rsidP="004C02B9">
            <w:pPr>
              <w:spacing w:after="0" w:line="240" w:lineRule="auto"/>
              <w:rPr>
                <w:b/>
                <w:sz w:val="20"/>
                <w:szCs w:val="20"/>
              </w:rPr>
            </w:pPr>
            <w:r w:rsidRPr="00501B1B">
              <w:rPr>
                <w:b/>
                <w:sz w:val="20"/>
                <w:szCs w:val="20"/>
              </w:rPr>
              <w:t>Totals</w:t>
            </w:r>
          </w:p>
        </w:tc>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68F48C" w14:textId="77777777" w:rsidR="00A72C93" w:rsidRPr="00501B1B" w:rsidRDefault="00A72C93" w:rsidP="004C02B9">
            <w:pPr>
              <w:spacing w:after="0" w:line="240" w:lineRule="auto"/>
              <w:rPr>
                <w:sz w:val="20"/>
                <w:szCs w:val="20"/>
              </w:rPr>
            </w:pPr>
            <w:r>
              <w:rPr>
                <w:sz w:val="20"/>
                <w:szCs w:val="20"/>
              </w:rPr>
              <w:t>98</w:t>
            </w:r>
          </w:p>
        </w:tc>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A8A3B" w14:textId="77777777" w:rsidR="00A72C93" w:rsidRPr="00501B1B" w:rsidRDefault="00A72C93" w:rsidP="004C02B9">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5DE83" w14:textId="77777777" w:rsidR="00A72C93" w:rsidRPr="00501B1B" w:rsidRDefault="00A72C93" w:rsidP="004C02B9">
            <w:pPr>
              <w:spacing w:after="0" w:line="240" w:lineRule="auto"/>
              <w:rPr>
                <w:sz w:val="20"/>
                <w:szCs w:val="20"/>
              </w:rPr>
            </w:pPr>
            <w:r w:rsidRPr="00501B1B">
              <w:rPr>
                <w:sz w:val="20"/>
                <w:szCs w:val="20"/>
              </w:rPr>
              <w:t>4.75 hours</w:t>
            </w:r>
          </w:p>
        </w:tc>
        <w:tc>
          <w:tcPr>
            <w:tcW w:w="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0622B4" w14:textId="251168A2" w:rsidR="00A72C93" w:rsidRPr="00501B1B" w:rsidRDefault="00643A14" w:rsidP="004C02B9">
            <w:pPr>
              <w:spacing w:after="0" w:line="240" w:lineRule="auto"/>
              <w:rPr>
                <w:sz w:val="20"/>
                <w:szCs w:val="20"/>
              </w:rPr>
            </w:pPr>
            <w:r>
              <w:rPr>
                <w:sz w:val="20"/>
                <w:szCs w:val="20"/>
              </w:rPr>
              <w:t>267</w:t>
            </w:r>
            <w:r w:rsidR="00A72C93" w:rsidRPr="00501B1B">
              <w:rPr>
                <w:sz w:val="20"/>
                <w:szCs w:val="20"/>
              </w:rPr>
              <w:t xml:space="preserve"> hours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6E286F" w14:textId="77777777" w:rsidR="00A72C93" w:rsidRPr="00501B1B" w:rsidRDefault="00A72C93" w:rsidP="004C02B9">
            <w:pPr>
              <w:spacing w:after="0" w:line="240" w:lineRule="auto"/>
              <w:rPr>
                <w:sz w:val="20"/>
                <w:szCs w:val="20"/>
              </w:rPr>
            </w:pPr>
            <w:r w:rsidRPr="00501B1B">
              <w:rPr>
                <w:sz w:val="20"/>
                <w:szCs w:val="20"/>
              </w:rPr>
              <w:t>$15.82/hr</w:t>
            </w:r>
          </w:p>
        </w:tc>
        <w:tc>
          <w:tcPr>
            <w:tcW w:w="7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120A62" w14:textId="77777777" w:rsidR="00A72C93" w:rsidRPr="00501B1B" w:rsidRDefault="00A72C93" w:rsidP="004C02B9">
            <w:pPr>
              <w:spacing w:after="0" w:line="240" w:lineRule="auto"/>
              <w:rPr>
                <w:sz w:val="20"/>
                <w:szCs w:val="20"/>
              </w:rPr>
            </w:pPr>
            <w:r>
              <w:rPr>
                <w:sz w:val="20"/>
                <w:szCs w:val="20"/>
              </w:rPr>
              <w:t>$4,224</w:t>
            </w:r>
          </w:p>
        </w:tc>
      </w:tr>
    </w:tbl>
    <w:p w14:paraId="7224213F" w14:textId="77777777" w:rsidR="00A72C93" w:rsidRDefault="00A72C93"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14:paraId="6F1C6E9C" w14:textId="77777777" w:rsidR="00000318" w:rsidRDefault="00000318"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013F21">
        <w:rPr>
          <w:sz w:val="24"/>
          <w:szCs w:val="24"/>
        </w:rPr>
        <w:t>There will be no capital, operating, or maintenance costs to the respondents.</w:t>
      </w:r>
    </w:p>
    <w:p w14:paraId="30CC5946" w14:textId="77777777" w:rsidR="00000318" w:rsidRDefault="00000318"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2A899CFC" w14:textId="77777777" w:rsidR="008F1EB4" w:rsidRPr="000B57D7" w:rsidRDefault="008F1EB4" w:rsidP="00501B1B">
      <w:pPr>
        <w:pStyle w:val="Heading3"/>
        <w:spacing w:before="0" w:line="240" w:lineRule="auto"/>
      </w:pPr>
      <w:r w:rsidRPr="000B57D7">
        <w:t>13.</w:t>
      </w:r>
      <w:r w:rsidRPr="000B57D7">
        <w:tab/>
        <w:t>Capital Costs</w:t>
      </w:r>
    </w:p>
    <w:p w14:paraId="7C583F1E"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607A5E5A" w14:textId="77777777" w:rsidR="0097304C" w:rsidRDefault="00F555B2"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40197E">
        <w:rPr>
          <w:sz w:val="24"/>
        </w:rPr>
        <w:t>No capital costs are expected.</w:t>
      </w:r>
    </w:p>
    <w:p w14:paraId="518297A8" w14:textId="037A0013" w:rsidR="00AB58B1" w:rsidRDefault="00AB58B1">
      <w:pPr>
        <w:rPr>
          <w:rFonts w:asciiTheme="majorHAnsi" w:eastAsiaTheme="majorEastAsia" w:hAnsiTheme="majorHAnsi" w:cstheme="majorBidi"/>
          <w:b/>
          <w:bCs/>
        </w:rPr>
      </w:pPr>
    </w:p>
    <w:p w14:paraId="1A00F6A1" w14:textId="77777777" w:rsidR="008F1EB4" w:rsidRPr="00226393" w:rsidRDefault="008F1EB4" w:rsidP="00501B1B">
      <w:pPr>
        <w:pStyle w:val="Heading3"/>
        <w:spacing w:before="0" w:line="240" w:lineRule="auto"/>
      </w:pPr>
      <w:r w:rsidRPr="000B57D7">
        <w:t>14.</w:t>
      </w:r>
      <w:r w:rsidRPr="000B57D7">
        <w:tab/>
      </w:r>
      <w:r w:rsidRPr="00226393">
        <w:t>Cost to Federal Government</w:t>
      </w:r>
    </w:p>
    <w:p w14:paraId="320235DD" w14:textId="77777777" w:rsidR="009A755E" w:rsidRDefault="009A755E"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4"/>
        </w:rPr>
      </w:pPr>
    </w:p>
    <w:p w14:paraId="2DB38E3A" w14:textId="77777777" w:rsidR="00A72C93" w:rsidRDefault="00A72C93"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sz w:val="24"/>
        </w:rPr>
        <w:tab/>
        <w:t>Annualized Cost to Government – 8 Focus Groups</w:t>
      </w:r>
      <w:r w:rsidR="008422F8">
        <w:rPr>
          <w:sz w:val="24"/>
        </w:rPr>
        <w:t xml:space="preserve"> and 18 Informational Interviews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 to Federal Geovernment"/>
        <w:tblDescription w:val="The table provides combined statistics of the previous tables: survey, focus groups, and informational interview; and information on total type, by items 12, 13, &amp; 14: annual hours and wage cost, capital cost, addtional cost, and annualized cost."/>
      </w:tblPr>
      <w:tblGrid>
        <w:gridCol w:w="2035"/>
        <w:gridCol w:w="1875"/>
        <w:gridCol w:w="1897"/>
        <w:gridCol w:w="1945"/>
      </w:tblGrid>
      <w:tr w:rsidR="00A72C93" w:rsidRPr="00353D05" w14:paraId="4300EFE9" w14:textId="77777777" w:rsidTr="004C02B9">
        <w:trPr>
          <w:tblHeader/>
        </w:trPr>
        <w:tc>
          <w:tcPr>
            <w:tcW w:w="2035" w:type="dxa"/>
            <w:shd w:val="clear" w:color="auto" w:fill="C6D9F1"/>
          </w:tcPr>
          <w:p w14:paraId="5C641F7C"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Items 12, 13, &amp; 14</w:t>
            </w:r>
          </w:p>
        </w:tc>
        <w:tc>
          <w:tcPr>
            <w:tcW w:w="1875" w:type="dxa"/>
            <w:shd w:val="clear" w:color="auto" w:fill="C6D9F1"/>
          </w:tcPr>
          <w:p w14:paraId="0818BEC7"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p>
        </w:tc>
        <w:tc>
          <w:tcPr>
            <w:tcW w:w="1897" w:type="dxa"/>
            <w:shd w:val="clear" w:color="auto" w:fill="C6D9F1"/>
          </w:tcPr>
          <w:p w14:paraId="385B8CE5"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Focus Groups and Informational Interviews/Site Visit</w:t>
            </w:r>
          </w:p>
        </w:tc>
        <w:tc>
          <w:tcPr>
            <w:tcW w:w="1945" w:type="dxa"/>
            <w:shd w:val="clear" w:color="auto" w:fill="C6D9F1"/>
          </w:tcPr>
          <w:p w14:paraId="2B38F44D"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Total by Type</w:t>
            </w:r>
          </w:p>
        </w:tc>
      </w:tr>
      <w:tr w:rsidR="00A72C93" w:rsidRPr="00353D05" w14:paraId="0EFF916A" w14:textId="77777777" w:rsidTr="004C02B9">
        <w:tc>
          <w:tcPr>
            <w:tcW w:w="2035" w:type="dxa"/>
            <w:shd w:val="clear" w:color="auto" w:fill="auto"/>
          </w:tcPr>
          <w:p w14:paraId="1600917E"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Annual Hours and Wage Cost Burden</w:t>
            </w:r>
          </w:p>
        </w:tc>
        <w:tc>
          <w:tcPr>
            <w:tcW w:w="1875" w:type="dxa"/>
            <w:shd w:val="clear" w:color="auto" w:fill="auto"/>
          </w:tcPr>
          <w:p w14:paraId="2EDA4C11"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p>
        </w:tc>
        <w:tc>
          <w:tcPr>
            <w:tcW w:w="1897" w:type="dxa"/>
            <w:shd w:val="clear" w:color="auto" w:fill="auto"/>
          </w:tcPr>
          <w:p w14:paraId="07A4F1FC"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r w:rsidRPr="00501B1B">
              <w:rPr>
                <w:sz w:val="20"/>
                <w:szCs w:val="20"/>
              </w:rPr>
              <w:t>$</w:t>
            </w:r>
            <w:r>
              <w:rPr>
                <w:sz w:val="20"/>
                <w:szCs w:val="20"/>
              </w:rPr>
              <w:t>4,224</w:t>
            </w:r>
          </w:p>
        </w:tc>
        <w:tc>
          <w:tcPr>
            <w:tcW w:w="1945" w:type="dxa"/>
            <w:shd w:val="clear" w:color="auto" w:fill="auto"/>
          </w:tcPr>
          <w:p w14:paraId="5DE400CD"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r>
              <w:rPr>
                <w:sz w:val="20"/>
                <w:szCs w:val="20"/>
              </w:rPr>
              <w:t>4,224</w:t>
            </w:r>
          </w:p>
        </w:tc>
      </w:tr>
      <w:tr w:rsidR="00A72C93" w:rsidRPr="00353D05" w14:paraId="3B447015" w14:textId="77777777" w:rsidTr="00885F25">
        <w:trPr>
          <w:trHeight w:val="206"/>
        </w:trPr>
        <w:tc>
          <w:tcPr>
            <w:tcW w:w="2035" w:type="dxa"/>
            <w:shd w:val="clear" w:color="auto" w:fill="auto"/>
          </w:tcPr>
          <w:p w14:paraId="7D7A5A48"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Capital Costs</w:t>
            </w:r>
          </w:p>
        </w:tc>
        <w:tc>
          <w:tcPr>
            <w:tcW w:w="1875" w:type="dxa"/>
            <w:shd w:val="clear" w:color="auto" w:fill="auto"/>
          </w:tcPr>
          <w:p w14:paraId="59E686FF"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897" w:type="dxa"/>
            <w:shd w:val="clear" w:color="auto" w:fill="auto"/>
          </w:tcPr>
          <w:p w14:paraId="7BD5D4CD"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r w:rsidRPr="00501B1B">
              <w:rPr>
                <w:sz w:val="20"/>
                <w:szCs w:val="20"/>
              </w:rPr>
              <w:t>$0.00</w:t>
            </w:r>
          </w:p>
        </w:tc>
        <w:tc>
          <w:tcPr>
            <w:tcW w:w="1945" w:type="dxa"/>
            <w:shd w:val="clear" w:color="auto" w:fill="auto"/>
          </w:tcPr>
          <w:p w14:paraId="5551B974"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p>
        </w:tc>
      </w:tr>
      <w:tr w:rsidR="00A72C93" w:rsidRPr="00353D05" w14:paraId="1F7FBE80" w14:textId="77777777" w:rsidTr="004C02B9">
        <w:tc>
          <w:tcPr>
            <w:tcW w:w="2035" w:type="dxa"/>
            <w:shd w:val="clear" w:color="auto" w:fill="auto"/>
          </w:tcPr>
          <w:p w14:paraId="4B8CA068"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Additional costs (contractor hours, operational expenses such as equipment, overhead, printing, and support staff, etc.)</w:t>
            </w:r>
          </w:p>
        </w:tc>
        <w:tc>
          <w:tcPr>
            <w:tcW w:w="1875" w:type="dxa"/>
            <w:shd w:val="clear" w:color="auto" w:fill="auto"/>
          </w:tcPr>
          <w:p w14:paraId="6CF29A42"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897" w:type="dxa"/>
            <w:shd w:val="clear" w:color="auto" w:fill="auto"/>
          </w:tcPr>
          <w:p w14:paraId="3214C612" w14:textId="77777777" w:rsidR="00A72C93" w:rsidRPr="00501B1B" w:rsidRDefault="00A72C93" w:rsidP="009144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501B1B">
              <w:rPr>
                <w:sz w:val="20"/>
                <w:szCs w:val="20"/>
              </w:rPr>
              <w:t>$</w:t>
            </w:r>
            <w:r w:rsidR="00914433">
              <w:rPr>
                <w:sz w:val="20"/>
                <w:szCs w:val="20"/>
              </w:rPr>
              <w:t>242,000</w:t>
            </w:r>
          </w:p>
        </w:tc>
        <w:tc>
          <w:tcPr>
            <w:tcW w:w="1945" w:type="dxa"/>
            <w:shd w:val="clear" w:color="auto" w:fill="auto"/>
          </w:tcPr>
          <w:p w14:paraId="61FF7030" w14:textId="77777777" w:rsidR="00A72C93" w:rsidRPr="00501B1B" w:rsidRDefault="00914433" w:rsidP="009144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242,000</w:t>
            </w:r>
          </w:p>
        </w:tc>
      </w:tr>
      <w:tr w:rsidR="00A72C93" w:rsidRPr="00353D05" w14:paraId="49A98872" w14:textId="77777777" w:rsidTr="004C02B9">
        <w:tc>
          <w:tcPr>
            <w:tcW w:w="2035" w:type="dxa"/>
            <w:shd w:val="clear" w:color="auto" w:fill="F2F2F2" w:themeFill="background1" w:themeFillShade="F2"/>
          </w:tcPr>
          <w:p w14:paraId="02BBFEE8"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Annualized Cost to the Government</w:t>
            </w:r>
          </w:p>
        </w:tc>
        <w:tc>
          <w:tcPr>
            <w:tcW w:w="1875" w:type="dxa"/>
            <w:shd w:val="clear" w:color="auto" w:fill="F2F2F2" w:themeFill="background1" w:themeFillShade="F2"/>
          </w:tcPr>
          <w:p w14:paraId="012ECBEC"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897" w:type="dxa"/>
            <w:shd w:val="clear" w:color="auto" w:fill="F2F2F2" w:themeFill="background1" w:themeFillShade="F2"/>
          </w:tcPr>
          <w:p w14:paraId="7B51D4B4" w14:textId="77777777" w:rsidR="00A72C93" w:rsidRPr="00501B1B" w:rsidRDefault="00A72C93" w:rsidP="009144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501B1B">
              <w:rPr>
                <w:sz w:val="20"/>
                <w:szCs w:val="20"/>
              </w:rPr>
              <w:t>$</w:t>
            </w:r>
            <w:r w:rsidR="00914433">
              <w:rPr>
                <w:sz w:val="20"/>
                <w:szCs w:val="20"/>
              </w:rPr>
              <w:t>246,224</w:t>
            </w:r>
          </w:p>
        </w:tc>
        <w:tc>
          <w:tcPr>
            <w:tcW w:w="1945" w:type="dxa"/>
            <w:shd w:val="clear" w:color="auto" w:fill="F2F2F2" w:themeFill="background1" w:themeFillShade="F2"/>
          </w:tcPr>
          <w:p w14:paraId="0D5A0888" w14:textId="77777777" w:rsidR="00A72C93" w:rsidRPr="00501B1B" w:rsidRDefault="00A72C93" w:rsidP="004C02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Grand Total (approximate):</w:t>
            </w:r>
          </w:p>
          <w:p w14:paraId="5205F58A" w14:textId="77777777" w:rsidR="00A72C93" w:rsidRPr="00501B1B" w:rsidRDefault="00914433" w:rsidP="009144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Pr>
                <w:sz w:val="20"/>
                <w:szCs w:val="20"/>
              </w:rPr>
              <w:t>246,224</w:t>
            </w:r>
          </w:p>
        </w:tc>
      </w:tr>
    </w:tbl>
    <w:p w14:paraId="60EB0824" w14:textId="77777777" w:rsidR="00A72C93" w:rsidRPr="00226393" w:rsidRDefault="00A72C93"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33A43F0C" w14:textId="77777777" w:rsidR="0052136E" w:rsidRDefault="0052136E"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226393">
        <w:rPr>
          <w:sz w:val="24"/>
        </w:rPr>
        <w:t xml:space="preserve">The annualized cost to the federal government is </w:t>
      </w:r>
      <w:r w:rsidR="00B51B6A" w:rsidRPr="00226393">
        <w:rPr>
          <w:sz w:val="24"/>
        </w:rPr>
        <w:t xml:space="preserve">approximately </w:t>
      </w:r>
      <w:r w:rsidR="008422F8">
        <w:rPr>
          <w:sz w:val="24"/>
        </w:rPr>
        <w:t xml:space="preserve"> $</w:t>
      </w:r>
      <w:r w:rsidR="00914433">
        <w:rPr>
          <w:sz w:val="24"/>
        </w:rPr>
        <w:t>246,224</w:t>
      </w:r>
      <w:r w:rsidR="008422F8">
        <w:rPr>
          <w:sz w:val="24"/>
        </w:rPr>
        <w:t xml:space="preserve"> for a site visit with 8 focus groups</w:t>
      </w:r>
      <w:r w:rsidRPr="00226393">
        <w:rPr>
          <w:sz w:val="24"/>
        </w:rPr>
        <w:t xml:space="preserve"> </w:t>
      </w:r>
      <w:r w:rsidR="00C75DFC" w:rsidRPr="00226393">
        <w:rPr>
          <w:sz w:val="24"/>
        </w:rPr>
        <w:t>(includes focus groups</w:t>
      </w:r>
      <w:r w:rsidR="009A755E" w:rsidRPr="00226393">
        <w:rPr>
          <w:sz w:val="24"/>
        </w:rPr>
        <w:t xml:space="preserve"> and informational interviews</w:t>
      </w:r>
      <w:r w:rsidR="00B51B6A" w:rsidRPr="00226393">
        <w:rPr>
          <w:sz w:val="24"/>
        </w:rPr>
        <w:t xml:space="preserve"> at site visit</w:t>
      </w:r>
      <w:r w:rsidR="00C75DFC" w:rsidRPr="00226393">
        <w:rPr>
          <w:sz w:val="24"/>
        </w:rPr>
        <w:t>).</w:t>
      </w:r>
      <w:r w:rsidR="002F2C93" w:rsidRPr="00226393">
        <w:rPr>
          <w:sz w:val="24"/>
        </w:rPr>
        <w:t xml:space="preserve"> </w:t>
      </w:r>
      <w:r w:rsidRPr="00226393">
        <w:rPr>
          <w:sz w:val="24"/>
        </w:rPr>
        <w:t xml:space="preserve">This estimate includes contractor staff time, cost of printing, overhead, payments to respondents </w:t>
      </w:r>
      <w:r w:rsidR="0003402B" w:rsidRPr="00226393">
        <w:rPr>
          <w:sz w:val="24"/>
        </w:rPr>
        <w:t xml:space="preserve">to cover expenses incurred to </w:t>
      </w:r>
      <w:r w:rsidRPr="00226393">
        <w:rPr>
          <w:sz w:val="24"/>
        </w:rPr>
        <w:t>participat</w:t>
      </w:r>
      <w:r w:rsidR="0003402B" w:rsidRPr="00226393">
        <w:rPr>
          <w:sz w:val="24"/>
        </w:rPr>
        <w:t>e</w:t>
      </w:r>
      <w:r w:rsidRPr="00226393">
        <w:rPr>
          <w:sz w:val="24"/>
        </w:rPr>
        <w:t xml:space="preserve"> in </w:t>
      </w:r>
      <w:r w:rsidR="0003402B" w:rsidRPr="00226393">
        <w:rPr>
          <w:sz w:val="24"/>
        </w:rPr>
        <w:t>data collection</w:t>
      </w:r>
      <w:r w:rsidRPr="00226393">
        <w:rPr>
          <w:sz w:val="24"/>
        </w:rPr>
        <w:t>.</w:t>
      </w:r>
    </w:p>
    <w:p w14:paraId="3F136D66" w14:textId="77777777" w:rsidR="007023C3" w:rsidRDefault="007023C3"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6758CB2D" w14:textId="77777777" w:rsidR="008F1EB4" w:rsidRPr="00226393" w:rsidRDefault="008F1EB4" w:rsidP="00501B1B">
      <w:pPr>
        <w:pStyle w:val="Heading3"/>
        <w:spacing w:before="0" w:line="240" w:lineRule="auto"/>
      </w:pPr>
      <w:r w:rsidRPr="00226393">
        <w:t>15.</w:t>
      </w:r>
      <w:r w:rsidRPr="00226393">
        <w:tab/>
        <w:t>Changes to Burden</w:t>
      </w:r>
    </w:p>
    <w:p w14:paraId="5477777B"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062F8660" w14:textId="77777777" w:rsidR="00541EF1" w:rsidRDefault="00541EF1"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541EF1">
        <w:rPr>
          <w:sz w:val="24"/>
        </w:rPr>
        <w:t xml:space="preserve">This request </w:t>
      </w:r>
      <w:r w:rsidR="006836C4">
        <w:rPr>
          <w:sz w:val="24"/>
        </w:rPr>
        <w:t xml:space="preserve">eliminates the survey from </w:t>
      </w:r>
      <w:r w:rsidRPr="00541EF1">
        <w:rPr>
          <w:sz w:val="24"/>
        </w:rPr>
        <w:t xml:space="preserve"> what is currently approved by OMB</w:t>
      </w:r>
      <w:r w:rsidR="008422F8">
        <w:rPr>
          <w:sz w:val="24"/>
        </w:rPr>
        <w:t xml:space="preserve"> and 4 additional focus groups (going from up to 4 to up to 8 focus groups)</w:t>
      </w:r>
      <w:r w:rsidRPr="00541EF1">
        <w:rPr>
          <w:sz w:val="24"/>
        </w:rPr>
        <w:t xml:space="preserve">. </w:t>
      </w:r>
      <w:r w:rsidR="00785A6F">
        <w:rPr>
          <w:sz w:val="24"/>
        </w:rPr>
        <w:t xml:space="preserve">The burden estimate for the survey when it was initially included as part of the PRA package included an annual hours and wage cost burden of $20,503, as well as additional costs in the form of contractor hours, operating expenses, printing and support staff of $269,735. When combined with the </w:t>
      </w:r>
      <w:r w:rsidR="003667EB">
        <w:rPr>
          <w:sz w:val="24"/>
        </w:rPr>
        <w:t>burden estimates for the 4 focus groups, we estimated an annualized cost to the Federal Government of approximately $440,000.  With the elimination of the survey, and the subsequent increase in the number of focus groups, we now have a revised burden estimate with a revised annualized cost to the Federal Government of $246,224.</w:t>
      </w:r>
    </w:p>
    <w:p w14:paraId="6842B86F" w14:textId="77777777" w:rsidR="00DF20C7" w:rsidRDefault="00DF20C7" w:rsidP="00501B1B">
      <w:pPr>
        <w:spacing w:after="0" w:line="240" w:lineRule="auto"/>
      </w:pPr>
    </w:p>
    <w:p w14:paraId="62AA76EE" w14:textId="77777777" w:rsidR="008F1EB4" w:rsidRPr="000B57D7" w:rsidRDefault="008F1EB4" w:rsidP="00501B1B">
      <w:pPr>
        <w:pStyle w:val="Heading3"/>
        <w:spacing w:before="0" w:line="240" w:lineRule="auto"/>
      </w:pPr>
      <w:r w:rsidRPr="000B57D7">
        <w:t>16.</w:t>
      </w:r>
      <w:r w:rsidRPr="000B57D7">
        <w:tab/>
        <w:t>Publication/Tabulation Dates</w:t>
      </w:r>
    </w:p>
    <w:p w14:paraId="40A164EC"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0AA9911F" w14:textId="77777777" w:rsidR="007C211C" w:rsidRDefault="00C658E5" w:rsidP="00501B1B">
      <w:pPr>
        <w:pStyle w:val="BodyText"/>
        <w:spacing w:before="0" w:after="0" w:line="240" w:lineRule="auto"/>
        <w:rPr>
          <w:sz w:val="24"/>
          <w:szCs w:val="24"/>
        </w:rPr>
      </w:pPr>
      <w:r w:rsidRPr="00C658E5">
        <w:rPr>
          <w:sz w:val="24"/>
          <w:szCs w:val="24"/>
        </w:rPr>
        <w:t>Findings from the qualitative (focus groups</w:t>
      </w:r>
      <w:r w:rsidR="002127A2">
        <w:rPr>
          <w:sz w:val="24"/>
          <w:szCs w:val="24"/>
        </w:rPr>
        <w:t xml:space="preserve"> and informational interviews</w:t>
      </w:r>
      <w:r w:rsidRPr="00C658E5">
        <w:rPr>
          <w:sz w:val="24"/>
          <w:szCs w:val="24"/>
        </w:rPr>
        <w:t xml:space="preserve">) and quantitative components will feed into the evaluation’s Interim and Summative Evaluation Reports </w:t>
      </w:r>
      <w:r w:rsidR="00D72A62">
        <w:rPr>
          <w:sz w:val="24"/>
          <w:szCs w:val="24"/>
        </w:rPr>
        <w:t xml:space="preserve">and Memos </w:t>
      </w:r>
      <w:r w:rsidRPr="00C658E5">
        <w:rPr>
          <w:sz w:val="24"/>
          <w:szCs w:val="24"/>
        </w:rPr>
        <w:t xml:space="preserve">to be completed over the course of the project. </w:t>
      </w:r>
      <w:r w:rsidR="00450492">
        <w:rPr>
          <w:sz w:val="24"/>
          <w:szCs w:val="24"/>
        </w:rPr>
        <w:t>Redacted transcripts from the focus groups are not included as a deliverable, nor will they be shared with the State.</w:t>
      </w:r>
    </w:p>
    <w:p w14:paraId="26310E82" w14:textId="77777777" w:rsidR="0011373F" w:rsidRDefault="0011373F" w:rsidP="00501B1B">
      <w:pPr>
        <w:pStyle w:val="BodyText"/>
        <w:spacing w:before="0" w:after="0" w:line="240" w:lineRule="auto"/>
        <w:rPr>
          <w:sz w:val="24"/>
          <w:szCs w:val="24"/>
        </w:rPr>
      </w:pPr>
    </w:p>
    <w:tbl>
      <w:tblPr>
        <w:tblW w:w="93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lication and Tabulation Dates"/>
        <w:tblDescription w:val="The table provides the dates of the various publications."/>
      </w:tblPr>
      <w:tblGrid>
        <w:gridCol w:w="7475"/>
        <w:gridCol w:w="1890"/>
      </w:tblGrid>
      <w:tr w:rsidR="006100B7" w:rsidRPr="00501B1B" w14:paraId="7A45A803" w14:textId="77777777" w:rsidTr="002F2446">
        <w:trPr>
          <w:trHeight w:val="602"/>
        </w:trPr>
        <w:tc>
          <w:tcPr>
            <w:tcW w:w="7475" w:type="dxa"/>
            <w:shd w:val="clear" w:color="auto" w:fill="auto"/>
            <w:vAlign w:val="center"/>
          </w:tcPr>
          <w:p w14:paraId="43064633" w14:textId="77777777" w:rsidR="006100B7" w:rsidRPr="00501B1B" w:rsidRDefault="006100B7" w:rsidP="00501B1B">
            <w:pPr>
              <w:spacing w:after="0" w:line="240" w:lineRule="auto"/>
              <w:jc w:val="center"/>
              <w:rPr>
                <w:b/>
                <w:sz w:val="20"/>
                <w:szCs w:val="20"/>
              </w:rPr>
            </w:pPr>
            <w:r w:rsidRPr="00501B1B">
              <w:rPr>
                <w:b/>
                <w:sz w:val="20"/>
                <w:szCs w:val="20"/>
              </w:rPr>
              <w:t>PUBLICATIONS</w:t>
            </w:r>
          </w:p>
        </w:tc>
        <w:tc>
          <w:tcPr>
            <w:tcW w:w="1890" w:type="dxa"/>
            <w:shd w:val="clear" w:color="auto" w:fill="auto"/>
            <w:noWrap/>
            <w:vAlign w:val="center"/>
          </w:tcPr>
          <w:p w14:paraId="62BFFC79" w14:textId="77777777" w:rsidR="006100B7" w:rsidRPr="00501B1B" w:rsidRDefault="006100B7" w:rsidP="00501B1B">
            <w:pPr>
              <w:spacing w:after="0" w:line="240" w:lineRule="auto"/>
              <w:jc w:val="center"/>
              <w:rPr>
                <w:b/>
                <w:sz w:val="20"/>
                <w:szCs w:val="20"/>
              </w:rPr>
            </w:pPr>
            <w:r w:rsidRPr="00501B1B">
              <w:rPr>
                <w:b/>
                <w:sz w:val="20"/>
                <w:szCs w:val="20"/>
              </w:rPr>
              <w:t>DATES</w:t>
            </w:r>
          </w:p>
        </w:tc>
      </w:tr>
      <w:tr w:rsidR="00305AB1" w:rsidRPr="00501B1B" w14:paraId="12F2F9C7" w14:textId="77777777" w:rsidTr="002F2446">
        <w:trPr>
          <w:trHeight w:val="458"/>
        </w:trPr>
        <w:tc>
          <w:tcPr>
            <w:tcW w:w="7475" w:type="dxa"/>
            <w:shd w:val="clear" w:color="auto" w:fill="auto"/>
            <w:vAlign w:val="center"/>
            <w:hideMark/>
          </w:tcPr>
          <w:p w14:paraId="5D4B772B" w14:textId="77777777" w:rsidR="00271AE1" w:rsidRPr="00501B1B" w:rsidRDefault="00271AE1" w:rsidP="00501B1B">
            <w:pPr>
              <w:spacing w:after="0" w:line="240" w:lineRule="auto"/>
              <w:rPr>
                <w:sz w:val="20"/>
                <w:szCs w:val="20"/>
              </w:rPr>
            </w:pPr>
            <w:r w:rsidRPr="00501B1B">
              <w:rPr>
                <w:sz w:val="20"/>
                <w:szCs w:val="20"/>
              </w:rPr>
              <w:t>Memo on Identifying the Comparisons Groups for the Impact Analyses</w:t>
            </w:r>
          </w:p>
        </w:tc>
        <w:tc>
          <w:tcPr>
            <w:tcW w:w="1890" w:type="dxa"/>
            <w:shd w:val="clear" w:color="auto" w:fill="auto"/>
            <w:noWrap/>
            <w:vAlign w:val="center"/>
            <w:hideMark/>
          </w:tcPr>
          <w:p w14:paraId="3327A508" w14:textId="77777777" w:rsidR="00271AE1" w:rsidRPr="00501B1B" w:rsidRDefault="00271AE1" w:rsidP="00501B1B">
            <w:pPr>
              <w:spacing w:after="0" w:line="240" w:lineRule="auto"/>
              <w:jc w:val="center"/>
              <w:rPr>
                <w:sz w:val="20"/>
                <w:szCs w:val="20"/>
              </w:rPr>
            </w:pPr>
            <w:r w:rsidRPr="00501B1B">
              <w:rPr>
                <w:sz w:val="20"/>
                <w:szCs w:val="20"/>
              </w:rPr>
              <w:t>14-Oct-2016</w:t>
            </w:r>
          </w:p>
        </w:tc>
      </w:tr>
      <w:tr w:rsidR="00305AB1" w:rsidRPr="00501B1B" w14:paraId="74C9CD95" w14:textId="77777777" w:rsidTr="006836C4">
        <w:trPr>
          <w:trHeight w:val="710"/>
        </w:trPr>
        <w:tc>
          <w:tcPr>
            <w:tcW w:w="7475" w:type="dxa"/>
            <w:shd w:val="clear" w:color="auto" w:fill="auto"/>
            <w:vAlign w:val="center"/>
          </w:tcPr>
          <w:p w14:paraId="0E6500EB" w14:textId="77777777" w:rsidR="00271AE1" w:rsidRPr="00501B1B" w:rsidRDefault="00271AE1" w:rsidP="00501B1B">
            <w:pPr>
              <w:spacing w:after="0" w:line="240" w:lineRule="auto"/>
              <w:rPr>
                <w:sz w:val="20"/>
                <w:szCs w:val="20"/>
              </w:rPr>
            </w:pPr>
            <w:r w:rsidRPr="00501B1B">
              <w:rPr>
                <w:sz w:val="20"/>
                <w:szCs w:val="20"/>
              </w:rPr>
              <w:t xml:space="preserve">Memo on Program </w:t>
            </w:r>
            <w:r w:rsidR="006836C4">
              <w:rPr>
                <w:sz w:val="20"/>
                <w:szCs w:val="20"/>
              </w:rPr>
              <w:t xml:space="preserve">Implementation </w:t>
            </w:r>
            <w:r w:rsidRPr="00501B1B">
              <w:rPr>
                <w:sz w:val="20"/>
                <w:szCs w:val="20"/>
              </w:rPr>
              <w:t>and Consumer Experiences Based on  Site Visit/Focus Groups</w:t>
            </w:r>
            <w:r w:rsidR="006836C4">
              <w:rPr>
                <w:sz w:val="20"/>
                <w:szCs w:val="20"/>
              </w:rPr>
              <w:t>/Informational Interviews</w:t>
            </w:r>
          </w:p>
        </w:tc>
        <w:tc>
          <w:tcPr>
            <w:tcW w:w="1890" w:type="dxa"/>
            <w:shd w:val="clear" w:color="auto" w:fill="auto"/>
            <w:noWrap/>
            <w:vAlign w:val="center"/>
          </w:tcPr>
          <w:p w14:paraId="53E0DEA2" w14:textId="77777777" w:rsidR="00271AE1" w:rsidRPr="00501B1B" w:rsidRDefault="00271AE1" w:rsidP="00501B1B">
            <w:pPr>
              <w:spacing w:after="0" w:line="240" w:lineRule="auto"/>
              <w:jc w:val="center"/>
              <w:rPr>
                <w:sz w:val="20"/>
                <w:szCs w:val="20"/>
              </w:rPr>
            </w:pPr>
            <w:r w:rsidRPr="00501B1B">
              <w:rPr>
                <w:sz w:val="20"/>
                <w:szCs w:val="20"/>
              </w:rPr>
              <w:t>30-</w:t>
            </w:r>
            <w:r w:rsidR="00BC6C85">
              <w:rPr>
                <w:sz w:val="20"/>
                <w:szCs w:val="20"/>
              </w:rPr>
              <w:t>July</w:t>
            </w:r>
            <w:r w:rsidRPr="00501B1B">
              <w:rPr>
                <w:sz w:val="20"/>
                <w:szCs w:val="20"/>
              </w:rPr>
              <w:t>-201</w:t>
            </w:r>
            <w:r w:rsidR="006836C4">
              <w:rPr>
                <w:sz w:val="20"/>
                <w:szCs w:val="20"/>
              </w:rPr>
              <w:t>8</w:t>
            </w:r>
          </w:p>
        </w:tc>
      </w:tr>
      <w:tr w:rsidR="00305AB1" w:rsidRPr="00501B1B" w14:paraId="00ADF788" w14:textId="77777777" w:rsidTr="002F2446">
        <w:trPr>
          <w:trHeight w:val="647"/>
        </w:trPr>
        <w:tc>
          <w:tcPr>
            <w:tcW w:w="7475" w:type="dxa"/>
            <w:shd w:val="clear" w:color="auto" w:fill="auto"/>
            <w:vAlign w:val="center"/>
            <w:hideMark/>
          </w:tcPr>
          <w:p w14:paraId="7CE0BA12" w14:textId="77777777" w:rsidR="00271AE1" w:rsidRPr="00501B1B" w:rsidRDefault="00271AE1" w:rsidP="00501B1B">
            <w:pPr>
              <w:spacing w:after="0" w:line="240" w:lineRule="auto"/>
              <w:rPr>
                <w:sz w:val="20"/>
                <w:szCs w:val="20"/>
              </w:rPr>
            </w:pPr>
            <w:r w:rsidRPr="00501B1B">
              <w:rPr>
                <w:sz w:val="20"/>
                <w:szCs w:val="20"/>
              </w:rPr>
              <w:t>Final Summative Report</w:t>
            </w:r>
          </w:p>
        </w:tc>
        <w:tc>
          <w:tcPr>
            <w:tcW w:w="1890" w:type="dxa"/>
            <w:shd w:val="clear" w:color="auto" w:fill="auto"/>
            <w:noWrap/>
            <w:vAlign w:val="center"/>
            <w:hideMark/>
          </w:tcPr>
          <w:p w14:paraId="544F48F0" w14:textId="77777777" w:rsidR="00271AE1" w:rsidRPr="00501B1B" w:rsidRDefault="00271AE1" w:rsidP="00501B1B">
            <w:pPr>
              <w:spacing w:after="0" w:line="240" w:lineRule="auto"/>
              <w:jc w:val="center"/>
              <w:rPr>
                <w:sz w:val="20"/>
                <w:szCs w:val="20"/>
              </w:rPr>
            </w:pPr>
            <w:r w:rsidRPr="00501B1B">
              <w:rPr>
                <w:sz w:val="20"/>
                <w:szCs w:val="20"/>
              </w:rPr>
              <w:t>30-Nov-2018</w:t>
            </w:r>
          </w:p>
        </w:tc>
      </w:tr>
      <w:tr w:rsidR="00305AB1" w:rsidRPr="00501B1B" w14:paraId="16EF5830" w14:textId="77777777" w:rsidTr="002F2446">
        <w:trPr>
          <w:trHeight w:val="300"/>
        </w:trPr>
        <w:tc>
          <w:tcPr>
            <w:tcW w:w="7475" w:type="dxa"/>
            <w:shd w:val="clear" w:color="auto" w:fill="auto"/>
            <w:vAlign w:val="center"/>
            <w:hideMark/>
          </w:tcPr>
          <w:p w14:paraId="2CFDD5CE" w14:textId="77777777" w:rsidR="00271AE1" w:rsidRPr="00501B1B" w:rsidRDefault="00271AE1" w:rsidP="00501B1B">
            <w:pPr>
              <w:spacing w:after="0" w:line="240" w:lineRule="auto"/>
              <w:rPr>
                <w:sz w:val="20"/>
                <w:szCs w:val="20"/>
              </w:rPr>
            </w:pPr>
            <w:r w:rsidRPr="00501B1B">
              <w:rPr>
                <w:sz w:val="20"/>
                <w:szCs w:val="20"/>
              </w:rPr>
              <w:t>Webinar based on Final Summative Report</w:t>
            </w:r>
          </w:p>
        </w:tc>
        <w:tc>
          <w:tcPr>
            <w:tcW w:w="1890" w:type="dxa"/>
            <w:shd w:val="clear" w:color="auto" w:fill="auto"/>
            <w:noWrap/>
            <w:vAlign w:val="center"/>
            <w:hideMark/>
          </w:tcPr>
          <w:p w14:paraId="20FFF88F" w14:textId="77777777" w:rsidR="00271AE1" w:rsidRPr="00501B1B" w:rsidRDefault="00271AE1" w:rsidP="00501B1B">
            <w:pPr>
              <w:spacing w:after="0" w:line="240" w:lineRule="auto"/>
              <w:jc w:val="center"/>
              <w:rPr>
                <w:sz w:val="20"/>
                <w:szCs w:val="20"/>
              </w:rPr>
            </w:pPr>
            <w:r w:rsidRPr="00501B1B">
              <w:rPr>
                <w:sz w:val="20"/>
                <w:szCs w:val="20"/>
              </w:rPr>
              <w:t>31-Dec-2018</w:t>
            </w:r>
          </w:p>
        </w:tc>
      </w:tr>
      <w:tr w:rsidR="00C96DF2" w:rsidRPr="00501B1B" w14:paraId="4249E893" w14:textId="77777777" w:rsidTr="002F2446">
        <w:trPr>
          <w:trHeight w:val="300"/>
        </w:trPr>
        <w:tc>
          <w:tcPr>
            <w:tcW w:w="9365" w:type="dxa"/>
            <w:gridSpan w:val="2"/>
            <w:shd w:val="clear" w:color="auto" w:fill="auto"/>
          </w:tcPr>
          <w:p w14:paraId="7716D72E" w14:textId="77777777" w:rsidR="00C96DF2" w:rsidRPr="00501B1B" w:rsidRDefault="00C96DF2" w:rsidP="00501B1B">
            <w:pPr>
              <w:spacing w:after="0" w:line="240" w:lineRule="auto"/>
              <w:rPr>
                <w:sz w:val="20"/>
                <w:szCs w:val="20"/>
              </w:rPr>
            </w:pPr>
            <w:r w:rsidRPr="00501B1B">
              <w:rPr>
                <w:b/>
                <w:sz w:val="20"/>
                <w:szCs w:val="20"/>
              </w:rPr>
              <w:t>Note</w:t>
            </w:r>
            <w:r w:rsidRPr="00501B1B">
              <w:rPr>
                <w:i/>
                <w:sz w:val="20"/>
                <w:szCs w:val="20"/>
              </w:rPr>
              <w:t>: The dates in this table are subject to change since they depend on the site visit scheduling.</w:t>
            </w:r>
          </w:p>
        </w:tc>
      </w:tr>
    </w:tbl>
    <w:p w14:paraId="286C1E01"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56C7D498" w14:textId="77777777" w:rsidR="008F1EB4" w:rsidRPr="005D7266" w:rsidRDefault="008F1EB4" w:rsidP="00501B1B">
      <w:pPr>
        <w:pStyle w:val="Heading3"/>
        <w:spacing w:before="0" w:line="240" w:lineRule="auto"/>
      </w:pPr>
      <w:r w:rsidRPr="005D7266">
        <w:t>17.</w:t>
      </w:r>
      <w:r w:rsidRPr="005D7266">
        <w:tab/>
        <w:t>Expiration Date</w:t>
      </w:r>
    </w:p>
    <w:p w14:paraId="4B33A8F4" w14:textId="77777777" w:rsidR="005D7266" w:rsidRPr="005D7266" w:rsidRDefault="005D7266" w:rsidP="00501B1B">
      <w:pPr>
        <w:spacing w:after="0" w:line="240" w:lineRule="auto"/>
        <w:rPr>
          <w:sz w:val="24"/>
        </w:rPr>
      </w:pPr>
    </w:p>
    <w:p w14:paraId="17E57B66" w14:textId="77777777" w:rsidR="00490C6A" w:rsidRDefault="001149B6" w:rsidP="00501B1B">
      <w:pPr>
        <w:spacing w:after="0" w:line="240" w:lineRule="auto"/>
        <w:rPr>
          <w:sz w:val="24"/>
        </w:rPr>
      </w:pPr>
      <w:r>
        <w:rPr>
          <w:rFonts w:cs="Arial"/>
          <w:sz w:val="24"/>
          <w:szCs w:val="24"/>
        </w:rPr>
        <w:t>The expiration date will be displayed.</w:t>
      </w:r>
    </w:p>
    <w:p w14:paraId="59BBBAF7" w14:textId="77777777" w:rsidR="006B3FDF" w:rsidRPr="005D7266" w:rsidRDefault="006B3FD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12007771" w14:textId="77777777" w:rsidR="008F1EB4" w:rsidRPr="000B57D7" w:rsidRDefault="008F1EB4" w:rsidP="00501B1B">
      <w:pPr>
        <w:pStyle w:val="Heading3"/>
        <w:spacing w:before="0" w:line="240" w:lineRule="auto"/>
      </w:pPr>
      <w:r w:rsidRPr="005D7266">
        <w:t>18.</w:t>
      </w:r>
      <w:r w:rsidRPr="005D7266">
        <w:tab/>
        <w:t>Certification Statement</w:t>
      </w:r>
    </w:p>
    <w:p w14:paraId="36F2D822" w14:textId="77777777"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14:paraId="1D5A5F07" w14:textId="77777777" w:rsidR="001A6056" w:rsidRPr="00126FEB" w:rsidRDefault="00865397" w:rsidP="00501B1B">
      <w:pPr>
        <w:spacing w:after="0" w:line="240" w:lineRule="auto"/>
        <w:rPr>
          <w:sz w:val="24"/>
        </w:rPr>
      </w:pPr>
      <w:r>
        <w:rPr>
          <w:sz w:val="24"/>
        </w:rPr>
        <w:t>There are n</w:t>
      </w:r>
      <w:r w:rsidR="001A6056" w:rsidRPr="00126FEB">
        <w:rPr>
          <w:sz w:val="24"/>
        </w:rPr>
        <w:t>o exceptions to "Certification for Paperwork Reduction Act Submissions."</w:t>
      </w:r>
    </w:p>
    <w:p w14:paraId="2EFC5EBE" w14:textId="77777777" w:rsidR="000F3AF4" w:rsidRDefault="000F3AF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b/>
          <w:bCs/>
          <w:sz w:val="24"/>
          <w:u w:val="single"/>
        </w:rPr>
      </w:pPr>
    </w:p>
    <w:sectPr w:rsidR="000F3AF4" w:rsidSect="00C04670">
      <w:footerReference w:type="default" r:id="rId13"/>
      <w:endnotePr>
        <w:numFmt w:val="decimal"/>
      </w:endnotePr>
      <w:type w:val="continuous"/>
      <w:pgSz w:w="12240" w:h="15840"/>
      <w:pgMar w:top="1440" w:right="1296"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861C9" w14:textId="77777777" w:rsidR="0055567B" w:rsidRDefault="0055567B">
      <w:r>
        <w:separator/>
      </w:r>
    </w:p>
  </w:endnote>
  <w:endnote w:type="continuationSeparator" w:id="0">
    <w:p w14:paraId="28017E87" w14:textId="77777777" w:rsidR="0055567B" w:rsidRDefault="0055567B">
      <w:r>
        <w:continuationSeparator/>
      </w:r>
    </w:p>
  </w:endnote>
  <w:endnote w:type="continuationNotice" w:id="1">
    <w:p w14:paraId="62AAD54D" w14:textId="77777777" w:rsidR="0055567B" w:rsidRDefault="00555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156954"/>
      <w:docPartObj>
        <w:docPartGallery w:val="Page Numbers (Bottom of Page)"/>
        <w:docPartUnique/>
      </w:docPartObj>
    </w:sdtPr>
    <w:sdtEndPr>
      <w:rPr>
        <w:noProof/>
      </w:rPr>
    </w:sdtEndPr>
    <w:sdtContent>
      <w:p w14:paraId="0E7456AB" w14:textId="0E8AF404" w:rsidR="00C9461F" w:rsidRDefault="00C9461F">
        <w:pPr>
          <w:pStyle w:val="Footer"/>
          <w:jc w:val="center"/>
        </w:pPr>
        <w:r>
          <w:fldChar w:fldCharType="begin"/>
        </w:r>
        <w:r>
          <w:instrText xml:space="preserve"> PAGE   \* MERGEFORMAT </w:instrText>
        </w:r>
        <w:r>
          <w:fldChar w:fldCharType="separate"/>
        </w:r>
        <w:r w:rsidR="00643A14">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537A0" w14:textId="77777777" w:rsidR="0055567B" w:rsidRDefault="0055567B">
      <w:r>
        <w:separator/>
      </w:r>
    </w:p>
  </w:footnote>
  <w:footnote w:type="continuationSeparator" w:id="0">
    <w:p w14:paraId="1E618B31" w14:textId="77777777" w:rsidR="0055567B" w:rsidRDefault="0055567B">
      <w:r>
        <w:continuationSeparator/>
      </w:r>
    </w:p>
  </w:footnote>
  <w:footnote w:type="continuationNotice" w:id="1">
    <w:p w14:paraId="7F407B80" w14:textId="77777777" w:rsidR="0055567B" w:rsidRDefault="0055567B">
      <w:pPr>
        <w:spacing w:after="0" w:line="240" w:lineRule="auto"/>
      </w:pPr>
    </w:p>
  </w:footnote>
  <w:footnote w:id="2">
    <w:p w14:paraId="7EC89115" w14:textId="77777777" w:rsidR="003659FF" w:rsidRDefault="003659FF" w:rsidP="003659FF">
      <w:pPr>
        <w:pStyle w:val="FootnoteText"/>
      </w:pPr>
      <w:r>
        <w:rPr>
          <w:rStyle w:val="FootnoteReference"/>
        </w:rPr>
        <w:footnoteRef/>
      </w:r>
      <w:r>
        <w:t xml:space="preserve"> </w:t>
      </w:r>
      <w:r w:rsidRPr="00B86A44">
        <w:t>https://www.medicaid.gov/medicaid-chip-program-information/by-topics/waivers/1115/downloads/in/healthy-indiana-plan-2/in-healthy-indiana-plan-support-20-eval-dsgn-rpt-05222017.pdf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B06A9"/>
    <w:multiLevelType w:val="hybridMultilevel"/>
    <w:tmpl w:val="42566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9024A5"/>
    <w:multiLevelType w:val="hybridMultilevel"/>
    <w:tmpl w:val="EC307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193A4A"/>
    <w:multiLevelType w:val="hybridMultilevel"/>
    <w:tmpl w:val="E7846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8CD2C1A"/>
    <w:multiLevelType w:val="hybridMultilevel"/>
    <w:tmpl w:val="24702D5A"/>
    <w:lvl w:ilvl="0" w:tplc="98765A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318"/>
    <w:rsid w:val="00006508"/>
    <w:rsid w:val="00007C1D"/>
    <w:rsid w:val="00013F21"/>
    <w:rsid w:val="00027AE7"/>
    <w:rsid w:val="00027AFA"/>
    <w:rsid w:val="00032F56"/>
    <w:rsid w:val="0003402B"/>
    <w:rsid w:val="000426FB"/>
    <w:rsid w:val="00045F61"/>
    <w:rsid w:val="000612C8"/>
    <w:rsid w:val="00074805"/>
    <w:rsid w:val="00077BC1"/>
    <w:rsid w:val="00084BD6"/>
    <w:rsid w:val="00086CAB"/>
    <w:rsid w:val="00094B0F"/>
    <w:rsid w:val="00097EC3"/>
    <w:rsid w:val="000A2CF1"/>
    <w:rsid w:val="000B57D7"/>
    <w:rsid w:val="000C4414"/>
    <w:rsid w:val="000D5137"/>
    <w:rsid w:val="000E097E"/>
    <w:rsid w:val="000E4C7B"/>
    <w:rsid w:val="000F0FC2"/>
    <w:rsid w:val="000F2A14"/>
    <w:rsid w:val="000F3929"/>
    <w:rsid w:val="000F3AF4"/>
    <w:rsid w:val="0011373F"/>
    <w:rsid w:val="001149B6"/>
    <w:rsid w:val="0011599E"/>
    <w:rsid w:val="001254BF"/>
    <w:rsid w:val="00131529"/>
    <w:rsid w:val="00132D4C"/>
    <w:rsid w:val="00132F2B"/>
    <w:rsid w:val="001339A8"/>
    <w:rsid w:val="00135480"/>
    <w:rsid w:val="0014599F"/>
    <w:rsid w:val="00145AEA"/>
    <w:rsid w:val="00153B77"/>
    <w:rsid w:val="00154918"/>
    <w:rsid w:val="00155091"/>
    <w:rsid w:val="00181ECB"/>
    <w:rsid w:val="001A07F5"/>
    <w:rsid w:val="001A6056"/>
    <w:rsid w:val="001A79EC"/>
    <w:rsid w:val="001B17A7"/>
    <w:rsid w:val="001B77C2"/>
    <w:rsid w:val="001C3D6A"/>
    <w:rsid w:val="001E5EC6"/>
    <w:rsid w:val="001E72CA"/>
    <w:rsid w:val="002030E7"/>
    <w:rsid w:val="00204682"/>
    <w:rsid w:val="00204CE7"/>
    <w:rsid w:val="002060DB"/>
    <w:rsid w:val="002127A2"/>
    <w:rsid w:val="00213FDF"/>
    <w:rsid w:val="00215787"/>
    <w:rsid w:val="00215E61"/>
    <w:rsid w:val="00226393"/>
    <w:rsid w:val="002352E7"/>
    <w:rsid w:val="0024473C"/>
    <w:rsid w:val="0025319E"/>
    <w:rsid w:val="00253477"/>
    <w:rsid w:val="00255788"/>
    <w:rsid w:val="002579D7"/>
    <w:rsid w:val="00261AF5"/>
    <w:rsid w:val="002620CF"/>
    <w:rsid w:val="00267A50"/>
    <w:rsid w:val="00270D1E"/>
    <w:rsid w:val="002714FE"/>
    <w:rsid w:val="00271AE1"/>
    <w:rsid w:val="00271F5B"/>
    <w:rsid w:val="00275AD1"/>
    <w:rsid w:val="0027603D"/>
    <w:rsid w:val="00284327"/>
    <w:rsid w:val="0028525F"/>
    <w:rsid w:val="00285656"/>
    <w:rsid w:val="00286708"/>
    <w:rsid w:val="00290AAF"/>
    <w:rsid w:val="002925CD"/>
    <w:rsid w:val="002929C5"/>
    <w:rsid w:val="002B4BD6"/>
    <w:rsid w:val="002C1D81"/>
    <w:rsid w:val="002C37C7"/>
    <w:rsid w:val="002C511D"/>
    <w:rsid w:val="002D1A2A"/>
    <w:rsid w:val="002D5AE5"/>
    <w:rsid w:val="002D6894"/>
    <w:rsid w:val="002F2446"/>
    <w:rsid w:val="002F2C93"/>
    <w:rsid w:val="00305AB1"/>
    <w:rsid w:val="0032770A"/>
    <w:rsid w:val="00332DEB"/>
    <w:rsid w:val="003432BC"/>
    <w:rsid w:val="003469FC"/>
    <w:rsid w:val="00350BD4"/>
    <w:rsid w:val="00353D05"/>
    <w:rsid w:val="003545B0"/>
    <w:rsid w:val="003547B1"/>
    <w:rsid w:val="00354C9A"/>
    <w:rsid w:val="003659FF"/>
    <w:rsid w:val="003667EB"/>
    <w:rsid w:val="0037059F"/>
    <w:rsid w:val="0038063D"/>
    <w:rsid w:val="00381B9A"/>
    <w:rsid w:val="00381CA0"/>
    <w:rsid w:val="003834C8"/>
    <w:rsid w:val="003875F1"/>
    <w:rsid w:val="00390209"/>
    <w:rsid w:val="00391F44"/>
    <w:rsid w:val="003941AD"/>
    <w:rsid w:val="003A210C"/>
    <w:rsid w:val="003B47A2"/>
    <w:rsid w:val="003B4DFD"/>
    <w:rsid w:val="003B5A66"/>
    <w:rsid w:val="003D09B9"/>
    <w:rsid w:val="003E450A"/>
    <w:rsid w:val="003F4427"/>
    <w:rsid w:val="003F736E"/>
    <w:rsid w:val="003F79B7"/>
    <w:rsid w:val="00400181"/>
    <w:rsid w:val="004002DE"/>
    <w:rsid w:val="00404395"/>
    <w:rsid w:val="00404B2A"/>
    <w:rsid w:val="00407BB7"/>
    <w:rsid w:val="00422A0F"/>
    <w:rsid w:val="0043245F"/>
    <w:rsid w:val="00446040"/>
    <w:rsid w:val="00450492"/>
    <w:rsid w:val="00452008"/>
    <w:rsid w:val="0046202F"/>
    <w:rsid w:val="0047110E"/>
    <w:rsid w:val="00476DEF"/>
    <w:rsid w:val="00480359"/>
    <w:rsid w:val="00490C6A"/>
    <w:rsid w:val="00492E4A"/>
    <w:rsid w:val="00493AEA"/>
    <w:rsid w:val="004B11DB"/>
    <w:rsid w:val="004B3A43"/>
    <w:rsid w:val="004D4D13"/>
    <w:rsid w:val="004E5A74"/>
    <w:rsid w:val="004E5F63"/>
    <w:rsid w:val="0050020B"/>
    <w:rsid w:val="00501B1B"/>
    <w:rsid w:val="00501C7F"/>
    <w:rsid w:val="005036AF"/>
    <w:rsid w:val="00503903"/>
    <w:rsid w:val="005071D2"/>
    <w:rsid w:val="0051088E"/>
    <w:rsid w:val="0052136E"/>
    <w:rsid w:val="00526BD4"/>
    <w:rsid w:val="00527D89"/>
    <w:rsid w:val="0053407C"/>
    <w:rsid w:val="00540BAE"/>
    <w:rsid w:val="00541EF1"/>
    <w:rsid w:val="00544247"/>
    <w:rsid w:val="005501DD"/>
    <w:rsid w:val="005541D5"/>
    <w:rsid w:val="0055567B"/>
    <w:rsid w:val="00575A03"/>
    <w:rsid w:val="005773EC"/>
    <w:rsid w:val="00577A64"/>
    <w:rsid w:val="005817B3"/>
    <w:rsid w:val="005851C9"/>
    <w:rsid w:val="00593295"/>
    <w:rsid w:val="005932A5"/>
    <w:rsid w:val="00595BF1"/>
    <w:rsid w:val="00597062"/>
    <w:rsid w:val="005979AF"/>
    <w:rsid w:val="005A625F"/>
    <w:rsid w:val="005B4084"/>
    <w:rsid w:val="005C05F3"/>
    <w:rsid w:val="005C4BAA"/>
    <w:rsid w:val="005D2003"/>
    <w:rsid w:val="005D7266"/>
    <w:rsid w:val="005E68E7"/>
    <w:rsid w:val="005E7563"/>
    <w:rsid w:val="005F2276"/>
    <w:rsid w:val="0060456E"/>
    <w:rsid w:val="006100B7"/>
    <w:rsid w:val="00624D5A"/>
    <w:rsid w:val="00627E47"/>
    <w:rsid w:val="00630142"/>
    <w:rsid w:val="006348AF"/>
    <w:rsid w:val="00643A14"/>
    <w:rsid w:val="00645FE6"/>
    <w:rsid w:val="00651D68"/>
    <w:rsid w:val="006522A9"/>
    <w:rsid w:val="00657F24"/>
    <w:rsid w:val="0066207B"/>
    <w:rsid w:val="00681551"/>
    <w:rsid w:val="006836C4"/>
    <w:rsid w:val="00685336"/>
    <w:rsid w:val="006917C3"/>
    <w:rsid w:val="006926F1"/>
    <w:rsid w:val="00696D8D"/>
    <w:rsid w:val="006B3FDF"/>
    <w:rsid w:val="006C016A"/>
    <w:rsid w:val="006C4740"/>
    <w:rsid w:val="006C6643"/>
    <w:rsid w:val="006D33F8"/>
    <w:rsid w:val="006E0C19"/>
    <w:rsid w:val="006E63A3"/>
    <w:rsid w:val="006E6BC8"/>
    <w:rsid w:val="006F5403"/>
    <w:rsid w:val="0070014A"/>
    <w:rsid w:val="007023C3"/>
    <w:rsid w:val="0070248F"/>
    <w:rsid w:val="00703FF3"/>
    <w:rsid w:val="007106A4"/>
    <w:rsid w:val="007106CD"/>
    <w:rsid w:val="00710B32"/>
    <w:rsid w:val="00714151"/>
    <w:rsid w:val="007221D7"/>
    <w:rsid w:val="00725E4A"/>
    <w:rsid w:val="007261C6"/>
    <w:rsid w:val="0073471D"/>
    <w:rsid w:val="00745FBF"/>
    <w:rsid w:val="00766174"/>
    <w:rsid w:val="0077430D"/>
    <w:rsid w:val="00776593"/>
    <w:rsid w:val="00777B4C"/>
    <w:rsid w:val="007801C2"/>
    <w:rsid w:val="007826EA"/>
    <w:rsid w:val="0078380E"/>
    <w:rsid w:val="00783CB9"/>
    <w:rsid w:val="00785A6F"/>
    <w:rsid w:val="007879F3"/>
    <w:rsid w:val="00793EF5"/>
    <w:rsid w:val="007A6C87"/>
    <w:rsid w:val="007B2E1A"/>
    <w:rsid w:val="007B562E"/>
    <w:rsid w:val="007B71D2"/>
    <w:rsid w:val="007B7745"/>
    <w:rsid w:val="007C211C"/>
    <w:rsid w:val="007C3FFF"/>
    <w:rsid w:val="007D5AAA"/>
    <w:rsid w:val="007E18D7"/>
    <w:rsid w:val="007F194B"/>
    <w:rsid w:val="007F6317"/>
    <w:rsid w:val="007F6807"/>
    <w:rsid w:val="007F7D70"/>
    <w:rsid w:val="00802E06"/>
    <w:rsid w:val="00806197"/>
    <w:rsid w:val="00811B91"/>
    <w:rsid w:val="008226B1"/>
    <w:rsid w:val="00830E7F"/>
    <w:rsid w:val="00837E04"/>
    <w:rsid w:val="0084137B"/>
    <w:rsid w:val="0084151B"/>
    <w:rsid w:val="008422F8"/>
    <w:rsid w:val="00844BFF"/>
    <w:rsid w:val="0085230E"/>
    <w:rsid w:val="008569BB"/>
    <w:rsid w:val="00857EC4"/>
    <w:rsid w:val="00861EAA"/>
    <w:rsid w:val="00862F47"/>
    <w:rsid w:val="00865397"/>
    <w:rsid w:val="00867B5D"/>
    <w:rsid w:val="00870D59"/>
    <w:rsid w:val="008800E9"/>
    <w:rsid w:val="00885F25"/>
    <w:rsid w:val="00887FBC"/>
    <w:rsid w:val="008A1B8A"/>
    <w:rsid w:val="008A224E"/>
    <w:rsid w:val="008A7330"/>
    <w:rsid w:val="008A7FB1"/>
    <w:rsid w:val="008B5CAC"/>
    <w:rsid w:val="008C1B1B"/>
    <w:rsid w:val="008C65E2"/>
    <w:rsid w:val="008E4DBC"/>
    <w:rsid w:val="008E5397"/>
    <w:rsid w:val="008E70B7"/>
    <w:rsid w:val="008F1495"/>
    <w:rsid w:val="008F1EB4"/>
    <w:rsid w:val="00905000"/>
    <w:rsid w:val="00906CF6"/>
    <w:rsid w:val="009123E5"/>
    <w:rsid w:val="00914433"/>
    <w:rsid w:val="00916410"/>
    <w:rsid w:val="009222AB"/>
    <w:rsid w:val="009377A1"/>
    <w:rsid w:val="009420C4"/>
    <w:rsid w:val="00951CBC"/>
    <w:rsid w:val="009632F8"/>
    <w:rsid w:val="0096701D"/>
    <w:rsid w:val="0097304C"/>
    <w:rsid w:val="009762B9"/>
    <w:rsid w:val="0099124A"/>
    <w:rsid w:val="00992E9D"/>
    <w:rsid w:val="00996ADF"/>
    <w:rsid w:val="009A12CC"/>
    <w:rsid w:val="009A755E"/>
    <w:rsid w:val="009B08AC"/>
    <w:rsid w:val="009B0A20"/>
    <w:rsid w:val="009C1C23"/>
    <w:rsid w:val="009D078A"/>
    <w:rsid w:val="009D7E02"/>
    <w:rsid w:val="009E0CED"/>
    <w:rsid w:val="009E32B2"/>
    <w:rsid w:val="009E48DD"/>
    <w:rsid w:val="009F0B5B"/>
    <w:rsid w:val="00A01DD0"/>
    <w:rsid w:val="00A14EAD"/>
    <w:rsid w:val="00A3046F"/>
    <w:rsid w:val="00A325B7"/>
    <w:rsid w:val="00A33EAF"/>
    <w:rsid w:val="00A66316"/>
    <w:rsid w:val="00A72C93"/>
    <w:rsid w:val="00A7392B"/>
    <w:rsid w:val="00AA07FC"/>
    <w:rsid w:val="00AA67F0"/>
    <w:rsid w:val="00AA709D"/>
    <w:rsid w:val="00AB35D0"/>
    <w:rsid w:val="00AB58B1"/>
    <w:rsid w:val="00AB63D7"/>
    <w:rsid w:val="00AB79D2"/>
    <w:rsid w:val="00AC045C"/>
    <w:rsid w:val="00AC12F6"/>
    <w:rsid w:val="00AC3185"/>
    <w:rsid w:val="00AC7FB1"/>
    <w:rsid w:val="00AD49AE"/>
    <w:rsid w:val="00AD58F5"/>
    <w:rsid w:val="00AE09C3"/>
    <w:rsid w:val="00AE58CD"/>
    <w:rsid w:val="00B06B04"/>
    <w:rsid w:val="00B12DD9"/>
    <w:rsid w:val="00B36CC4"/>
    <w:rsid w:val="00B51B6A"/>
    <w:rsid w:val="00B51E1B"/>
    <w:rsid w:val="00B63709"/>
    <w:rsid w:val="00B759C5"/>
    <w:rsid w:val="00B77AF4"/>
    <w:rsid w:val="00B81B48"/>
    <w:rsid w:val="00B81FC6"/>
    <w:rsid w:val="00B84F3C"/>
    <w:rsid w:val="00B8769C"/>
    <w:rsid w:val="00B95E55"/>
    <w:rsid w:val="00B9687B"/>
    <w:rsid w:val="00BA6391"/>
    <w:rsid w:val="00BA7266"/>
    <w:rsid w:val="00BB0565"/>
    <w:rsid w:val="00BB091A"/>
    <w:rsid w:val="00BB216D"/>
    <w:rsid w:val="00BB2B70"/>
    <w:rsid w:val="00BC07DB"/>
    <w:rsid w:val="00BC5C12"/>
    <w:rsid w:val="00BC6C85"/>
    <w:rsid w:val="00BD0A3B"/>
    <w:rsid w:val="00BD1F47"/>
    <w:rsid w:val="00BD75FB"/>
    <w:rsid w:val="00BE43F9"/>
    <w:rsid w:val="00BF7B17"/>
    <w:rsid w:val="00C012F1"/>
    <w:rsid w:val="00C0386D"/>
    <w:rsid w:val="00C04670"/>
    <w:rsid w:val="00C07D9F"/>
    <w:rsid w:val="00C10383"/>
    <w:rsid w:val="00C164DE"/>
    <w:rsid w:val="00C377D1"/>
    <w:rsid w:val="00C4749D"/>
    <w:rsid w:val="00C53120"/>
    <w:rsid w:val="00C5596E"/>
    <w:rsid w:val="00C57736"/>
    <w:rsid w:val="00C640F5"/>
    <w:rsid w:val="00C658E5"/>
    <w:rsid w:val="00C735B7"/>
    <w:rsid w:val="00C75DFC"/>
    <w:rsid w:val="00C77155"/>
    <w:rsid w:val="00C77E19"/>
    <w:rsid w:val="00C803B9"/>
    <w:rsid w:val="00C85E27"/>
    <w:rsid w:val="00C92ACF"/>
    <w:rsid w:val="00C9461F"/>
    <w:rsid w:val="00C96346"/>
    <w:rsid w:val="00C96DF2"/>
    <w:rsid w:val="00C97A8C"/>
    <w:rsid w:val="00CA5B8D"/>
    <w:rsid w:val="00CB58AE"/>
    <w:rsid w:val="00CC0CF4"/>
    <w:rsid w:val="00CC3ABF"/>
    <w:rsid w:val="00CC7A5A"/>
    <w:rsid w:val="00CC7FB0"/>
    <w:rsid w:val="00CD1228"/>
    <w:rsid w:val="00CD70A7"/>
    <w:rsid w:val="00CD737D"/>
    <w:rsid w:val="00CD79F1"/>
    <w:rsid w:val="00CF043B"/>
    <w:rsid w:val="00CF05C4"/>
    <w:rsid w:val="00D05B83"/>
    <w:rsid w:val="00D075E8"/>
    <w:rsid w:val="00D146E4"/>
    <w:rsid w:val="00D16DDC"/>
    <w:rsid w:val="00D17BB3"/>
    <w:rsid w:val="00D17D1D"/>
    <w:rsid w:val="00D224BF"/>
    <w:rsid w:val="00D26C55"/>
    <w:rsid w:val="00D27C3A"/>
    <w:rsid w:val="00D366B2"/>
    <w:rsid w:val="00D428A3"/>
    <w:rsid w:val="00D42927"/>
    <w:rsid w:val="00D53238"/>
    <w:rsid w:val="00D61C30"/>
    <w:rsid w:val="00D701E7"/>
    <w:rsid w:val="00D7200F"/>
    <w:rsid w:val="00D72A62"/>
    <w:rsid w:val="00D76099"/>
    <w:rsid w:val="00D87F9C"/>
    <w:rsid w:val="00D91BFC"/>
    <w:rsid w:val="00D977B0"/>
    <w:rsid w:val="00DA2A4C"/>
    <w:rsid w:val="00DB3175"/>
    <w:rsid w:val="00DB5FA9"/>
    <w:rsid w:val="00DC2850"/>
    <w:rsid w:val="00DD047E"/>
    <w:rsid w:val="00DD06C6"/>
    <w:rsid w:val="00DD504A"/>
    <w:rsid w:val="00DD670A"/>
    <w:rsid w:val="00DE4ACB"/>
    <w:rsid w:val="00DF07A8"/>
    <w:rsid w:val="00DF11A7"/>
    <w:rsid w:val="00DF1D55"/>
    <w:rsid w:val="00DF20C7"/>
    <w:rsid w:val="00DF3EC9"/>
    <w:rsid w:val="00E00CA8"/>
    <w:rsid w:val="00E02264"/>
    <w:rsid w:val="00E065BC"/>
    <w:rsid w:val="00E07E14"/>
    <w:rsid w:val="00E216D0"/>
    <w:rsid w:val="00E22038"/>
    <w:rsid w:val="00E227A3"/>
    <w:rsid w:val="00E327B0"/>
    <w:rsid w:val="00E32A47"/>
    <w:rsid w:val="00E33462"/>
    <w:rsid w:val="00E3759C"/>
    <w:rsid w:val="00E44210"/>
    <w:rsid w:val="00E454A0"/>
    <w:rsid w:val="00E467BF"/>
    <w:rsid w:val="00E5072B"/>
    <w:rsid w:val="00E52D46"/>
    <w:rsid w:val="00E60D5F"/>
    <w:rsid w:val="00E65E9E"/>
    <w:rsid w:val="00E66FAB"/>
    <w:rsid w:val="00E70117"/>
    <w:rsid w:val="00E71CEF"/>
    <w:rsid w:val="00E71F5A"/>
    <w:rsid w:val="00E759B4"/>
    <w:rsid w:val="00E87267"/>
    <w:rsid w:val="00E910E7"/>
    <w:rsid w:val="00EA02DD"/>
    <w:rsid w:val="00EA619A"/>
    <w:rsid w:val="00EB048E"/>
    <w:rsid w:val="00EB33D4"/>
    <w:rsid w:val="00EB51EE"/>
    <w:rsid w:val="00EB62F0"/>
    <w:rsid w:val="00EB7CEB"/>
    <w:rsid w:val="00EC2F75"/>
    <w:rsid w:val="00EC3107"/>
    <w:rsid w:val="00EC623E"/>
    <w:rsid w:val="00ED1FB1"/>
    <w:rsid w:val="00EE19DB"/>
    <w:rsid w:val="00EE3238"/>
    <w:rsid w:val="00F00011"/>
    <w:rsid w:val="00F038C1"/>
    <w:rsid w:val="00F04CD8"/>
    <w:rsid w:val="00F155DA"/>
    <w:rsid w:val="00F20A0A"/>
    <w:rsid w:val="00F45D5D"/>
    <w:rsid w:val="00F51274"/>
    <w:rsid w:val="00F51925"/>
    <w:rsid w:val="00F555B2"/>
    <w:rsid w:val="00F67605"/>
    <w:rsid w:val="00F74D68"/>
    <w:rsid w:val="00F76108"/>
    <w:rsid w:val="00F80D67"/>
    <w:rsid w:val="00F82C86"/>
    <w:rsid w:val="00FA6D90"/>
    <w:rsid w:val="00FB4EAD"/>
    <w:rsid w:val="00FC0335"/>
    <w:rsid w:val="00FC10DB"/>
    <w:rsid w:val="00FC39F3"/>
    <w:rsid w:val="00FC4D58"/>
    <w:rsid w:val="00FD1135"/>
    <w:rsid w:val="00FE2FB4"/>
    <w:rsid w:val="00FF0768"/>
    <w:rsid w:val="00FF08FB"/>
    <w:rsid w:val="00FF2E55"/>
    <w:rsid w:val="00FF329E"/>
    <w:rsid w:val="00FF43EC"/>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B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footer" w:uiPriority="99"/>
    <w:lsdException w:name="caption" w:uiPriority="35"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F5"/>
  </w:style>
  <w:style w:type="paragraph" w:styleId="Heading1">
    <w:name w:val="heading 1"/>
    <w:basedOn w:val="Normal"/>
    <w:next w:val="Normal"/>
    <w:link w:val="Heading1Char"/>
    <w:uiPriority w:val="9"/>
    <w:qFormat/>
    <w:rsid w:val="00F20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8F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D58F5"/>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link w:val="BodyTextChar"/>
    <w:uiPriority w:val="99"/>
    <w:unhideWhenUsed/>
    <w:rsid w:val="00290AAF"/>
    <w:pPr>
      <w:spacing w:before="40" w:after="40"/>
    </w:pPr>
    <w:rPr>
      <w:rFonts w:eastAsia="Calibri" w:cs="Cambria"/>
    </w:rPr>
  </w:style>
  <w:style w:type="character" w:customStyle="1" w:styleId="BodyTextChar">
    <w:name w:val="Body Text Char"/>
    <w:link w:val="BodyText"/>
    <w:uiPriority w:val="99"/>
    <w:rsid w:val="00290AAF"/>
    <w:rPr>
      <w:rFonts w:eastAsia="Calibri" w:cs="Cambria"/>
      <w:sz w:val="22"/>
    </w:rPr>
  </w:style>
  <w:style w:type="paragraph" w:styleId="EndnoteText">
    <w:name w:val="endnote text"/>
    <w:link w:val="EndnoteTextChar"/>
    <w:uiPriority w:val="99"/>
    <w:unhideWhenUsed/>
    <w:rsid w:val="00290AAF"/>
    <w:rPr>
      <w:rFonts w:eastAsia="Calibri"/>
      <w:sz w:val="18"/>
    </w:rPr>
  </w:style>
  <w:style w:type="character" w:customStyle="1" w:styleId="EndnoteTextChar">
    <w:name w:val="Endnote Text Char"/>
    <w:link w:val="EndnoteText"/>
    <w:uiPriority w:val="99"/>
    <w:rsid w:val="00290AAF"/>
    <w:rPr>
      <w:rFonts w:eastAsia="Calibri"/>
      <w:sz w:val="18"/>
    </w:rPr>
  </w:style>
  <w:style w:type="character" w:styleId="EndnoteReference">
    <w:name w:val="endnote reference"/>
    <w:uiPriority w:val="99"/>
    <w:unhideWhenUsed/>
    <w:rsid w:val="00290AAF"/>
    <w:rPr>
      <w:vertAlign w:val="superscript"/>
    </w:rPr>
  </w:style>
  <w:style w:type="paragraph" w:styleId="Header">
    <w:name w:val="header"/>
    <w:basedOn w:val="Normal"/>
    <w:link w:val="HeaderChar"/>
    <w:rsid w:val="00844BFF"/>
    <w:pPr>
      <w:tabs>
        <w:tab w:val="center" w:pos="4680"/>
        <w:tab w:val="right" w:pos="9360"/>
      </w:tabs>
    </w:pPr>
  </w:style>
  <w:style w:type="character" w:customStyle="1" w:styleId="HeaderChar">
    <w:name w:val="Header Char"/>
    <w:link w:val="Header"/>
    <w:rsid w:val="00844BFF"/>
    <w:rPr>
      <w:szCs w:val="24"/>
    </w:rPr>
  </w:style>
  <w:style w:type="paragraph" w:styleId="Footer">
    <w:name w:val="footer"/>
    <w:basedOn w:val="Normal"/>
    <w:link w:val="FooterChar"/>
    <w:uiPriority w:val="99"/>
    <w:rsid w:val="00844BFF"/>
    <w:pPr>
      <w:tabs>
        <w:tab w:val="center" w:pos="4680"/>
        <w:tab w:val="right" w:pos="9360"/>
      </w:tabs>
    </w:pPr>
  </w:style>
  <w:style w:type="character" w:customStyle="1" w:styleId="FooterChar">
    <w:name w:val="Footer Char"/>
    <w:link w:val="Footer"/>
    <w:uiPriority w:val="99"/>
    <w:rsid w:val="00844BFF"/>
    <w:rPr>
      <w:szCs w:val="24"/>
    </w:rPr>
  </w:style>
  <w:style w:type="character" w:styleId="CommentReference">
    <w:name w:val="annotation reference"/>
    <w:rsid w:val="00501C7F"/>
    <w:rPr>
      <w:sz w:val="16"/>
      <w:szCs w:val="16"/>
    </w:rPr>
  </w:style>
  <w:style w:type="paragraph" w:styleId="CommentText">
    <w:name w:val="annotation text"/>
    <w:basedOn w:val="Normal"/>
    <w:link w:val="CommentTextChar"/>
    <w:rsid w:val="00501C7F"/>
    <w:rPr>
      <w:szCs w:val="20"/>
    </w:rPr>
  </w:style>
  <w:style w:type="character" w:customStyle="1" w:styleId="CommentTextChar">
    <w:name w:val="Comment Text Char"/>
    <w:basedOn w:val="DefaultParagraphFont"/>
    <w:link w:val="CommentText"/>
    <w:rsid w:val="00501C7F"/>
  </w:style>
  <w:style w:type="paragraph" w:styleId="CommentSubject">
    <w:name w:val="annotation subject"/>
    <w:basedOn w:val="CommentText"/>
    <w:next w:val="CommentText"/>
    <w:link w:val="CommentSubjectChar"/>
    <w:rsid w:val="00501C7F"/>
    <w:rPr>
      <w:b/>
      <w:bCs/>
    </w:rPr>
  </w:style>
  <w:style w:type="character" w:customStyle="1" w:styleId="CommentSubjectChar">
    <w:name w:val="Comment Subject Char"/>
    <w:link w:val="CommentSubject"/>
    <w:rsid w:val="00501C7F"/>
    <w:rPr>
      <w:b/>
      <w:bCs/>
    </w:rPr>
  </w:style>
  <w:style w:type="paragraph" w:styleId="BalloonText">
    <w:name w:val="Balloon Text"/>
    <w:basedOn w:val="Normal"/>
    <w:link w:val="BalloonTextChar"/>
    <w:rsid w:val="00501C7F"/>
    <w:rPr>
      <w:rFonts w:ascii="Segoe UI" w:hAnsi="Segoe UI" w:cs="Segoe UI"/>
      <w:sz w:val="18"/>
      <w:szCs w:val="18"/>
    </w:rPr>
  </w:style>
  <w:style w:type="character" w:customStyle="1" w:styleId="BalloonTextChar">
    <w:name w:val="Balloon Text Char"/>
    <w:link w:val="BalloonText"/>
    <w:rsid w:val="00501C7F"/>
    <w:rPr>
      <w:rFonts w:ascii="Segoe UI" w:hAnsi="Segoe UI" w:cs="Segoe UI"/>
      <w:sz w:val="18"/>
      <w:szCs w:val="18"/>
    </w:rPr>
  </w:style>
  <w:style w:type="paragraph" w:styleId="Revision">
    <w:name w:val="Revision"/>
    <w:hidden/>
    <w:uiPriority w:val="99"/>
    <w:semiHidden/>
    <w:rsid w:val="00501C7F"/>
    <w:rPr>
      <w:szCs w:val="24"/>
    </w:rPr>
  </w:style>
  <w:style w:type="paragraph" w:customStyle="1" w:styleId="Body2">
    <w:name w:val="Body2"/>
    <w:basedOn w:val="Normal"/>
    <w:rsid w:val="00032F56"/>
    <w:rPr>
      <w:rFonts w:ascii="Century Gothic" w:hAnsi="Century Gothic" w:cs="Arial"/>
      <w:sz w:val="24"/>
    </w:rPr>
  </w:style>
  <w:style w:type="paragraph" w:styleId="BodyTextIndent3">
    <w:name w:val="Body Text Indent 3"/>
    <w:basedOn w:val="Normal"/>
    <w:link w:val="BodyTextIndent3Char"/>
    <w:rsid w:val="00C10383"/>
    <w:pPr>
      <w:spacing w:after="120"/>
      <w:ind w:left="360"/>
    </w:pPr>
    <w:rPr>
      <w:sz w:val="16"/>
      <w:szCs w:val="16"/>
    </w:rPr>
  </w:style>
  <w:style w:type="character" w:customStyle="1" w:styleId="BodyTextIndent3Char">
    <w:name w:val="Body Text Indent 3 Char"/>
    <w:link w:val="BodyTextIndent3"/>
    <w:rsid w:val="00C10383"/>
    <w:rPr>
      <w:sz w:val="16"/>
      <w:szCs w:val="16"/>
    </w:rPr>
  </w:style>
  <w:style w:type="character" w:customStyle="1" w:styleId="Heading1Char">
    <w:name w:val="Heading 1 Char"/>
    <w:basedOn w:val="DefaultParagraphFont"/>
    <w:link w:val="Heading1"/>
    <w:uiPriority w:val="9"/>
    <w:rsid w:val="00F20A0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75A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A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0A0A"/>
    <w:pPr>
      <w:spacing w:after="0" w:line="240" w:lineRule="auto"/>
    </w:pPr>
  </w:style>
  <w:style w:type="paragraph" w:styleId="ListParagraph">
    <w:name w:val="List Paragraph"/>
    <w:basedOn w:val="Normal"/>
    <w:uiPriority w:val="34"/>
    <w:qFormat/>
    <w:rsid w:val="00084BD6"/>
    <w:pPr>
      <w:ind w:left="720"/>
      <w:contextualSpacing/>
    </w:pPr>
  </w:style>
  <w:style w:type="character" w:customStyle="1" w:styleId="Heading2Char">
    <w:name w:val="Heading 2 Char"/>
    <w:basedOn w:val="DefaultParagraphFont"/>
    <w:link w:val="Heading2"/>
    <w:uiPriority w:val="9"/>
    <w:rsid w:val="00AD58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D58F5"/>
    <w:rPr>
      <w:rFonts w:asciiTheme="majorHAnsi" w:eastAsiaTheme="majorEastAsia" w:hAnsiTheme="majorHAnsi" w:cstheme="majorBidi"/>
      <w:b/>
      <w:bCs/>
    </w:rPr>
  </w:style>
  <w:style w:type="character" w:styleId="Hyperlink">
    <w:name w:val="Hyperlink"/>
    <w:basedOn w:val="DefaultParagraphFont"/>
    <w:unhideWhenUsed/>
    <w:rsid w:val="002D6894"/>
    <w:rPr>
      <w:color w:val="0000FF" w:themeColor="hyperlink"/>
      <w:u w:val="single"/>
    </w:rPr>
  </w:style>
  <w:style w:type="character" w:customStyle="1" w:styleId="breakword">
    <w:name w:val="breakword"/>
    <w:basedOn w:val="DefaultParagraphFont"/>
    <w:rsid w:val="008E4DBC"/>
  </w:style>
  <w:style w:type="character" w:styleId="FollowedHyperlink">
    <w:name w:val="FollowedHyperlink"/>
    <w:basedOn w:val="DefaultParagraphFont"/>
    <w:semiHidden/>
    <w:unhideWhenUsed/>
    <w:rsid w:val="00C640F5"/>
    <w:rPr>
      <w:color w:val="800080" w:themeColor="followedHyperlink"/>
      <w:u w:val="single"/>
    </w:rPr>
  </w:style>
  <w:style w:type="paragraph" w:styleId="FootnoteText">
    <w:name w:val="footnote text"/>
    <w:basedOn w:val="Normal"/>
    <w:link w:val="FootnoteTextChar"/>
    <w:uiPriority w:val="99"/>
    <w:semiHidden/>
    <w:unhideWhenUsed/>
    <w:rsid w:val="00292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9C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footer" w:uiPriority="99"/>
    <w:lsdException w:name="caption" w:uiPriority="35"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F5"/>
  </w:style>
  <w:style w:type="paragraph" w:styleId="Heading1">
    <w:name w:val="heading 1"/>
    <w:basedOn w:val="Normal"/>
    <w:next w:val="Normal"/>
    <w:link w:val="Heading1Char"/>
    <w:uiPriority w:val="9"/>
    <w:qFormat/>
    <w:rsid w:val="00F20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8F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D58F5"/>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link w:val="BodyTextChar"/>
    <w:uiPriority w:val="99"/>
    <w:unhideWhenUsed/>
    <w:rsid w:val="00290AAF"/>
    <w:pPr>
      <w:spacing w:before="40" w:after="40"/>
    </w:pPr>
    <w:rPr>
      <w:rFonts w:eastAsia="Calibri" w:cs="Cambria"/>
    </w:rPr>
  </w:style>
  <w:style w:type="character" w:customStyle="1" w:styleId="BodyTextChar">
    <w:name w:val="Body Text Char"/>
    <w:link w:val="BodyText"/>
    <w:uiPriority w:val="99"/>
    <w:rsid w:val="00290AAF"/>
    <w:rPr>
      <w:rFonts w:eastAsia="Calibri" w:cs="Cambria"/>
      <w:sz w:val="22"/>
    </w:rPr>
  </w:style>
  <w:style w:type="paragraph" w:styleId="EndnoteText">
    <w:name w:val="endnote text"/>
    <w:link w:val="EndnoteTextChar"/>
    <w:uiPriority w:val="99"/>
    <w:unhideWhenUsed/>
    <w:rsid w:val="00290AAF"/>
    <w:rPr>
      <w:rFonts w:eastAsia="Calibri"/>
      <w:sz w:val="18"/>
    </w:rPr>
  </w:style>
  <w:style w:type="character" w:customStyle="1" w:styleId="EndnoteTextChar">
    <w:name w:val="Endnote Text Char"/>
    <w:link w:val="EndnoteText"/>
    <w:uiPriority w:val="99"/>
    <w:rsid w:val="00290AAF"/>
    <w:rPr>
      <w:rFonts w:eastAsia="Calibri"/>
      <w:sz w:val="18"/>
    </w:rPr>
  </w:style>
  <w:style w:type="character" w:styleId="EndnoteReference">
    <w:name w:val="endnote reference"/>
    <w:uiPriority w:val="99"/>
    <w:unhideWhenUsed/>
    <w:rsid w:val="00290AAF"/>
    <w:rPr>
      <w:vertAlign w:val="superscript"/>
    </w:rPr>
  </w:style>
  <w:style w:type="paragraph" w:styleId="Header">
    <w:name w:val="header"/>
    <w:basedOn w:val="Normal"/>
    <w:link w:val="HeaderChar"/>
    <w:rsid w:val="00844BFF"/>
    <w:pPr>
      <w:tabs>
        <w:tab w:val="center" w:pos="4680"/>
        <w:tab w:val="right" w:pos="9360"/>
      </w:tabs>
    </w:pPr>
  </w:style>
  <w:style w:type="character" w:customStyle="1" w:styleId="HeaderChar">
    <w:name w:val="Header Char"/>
    <w:link w:val="Header"/>
    <w:rsid w:val="00844BFF"/>
    <w:rPr>
      <w:szCs w:val="24"/>
    </w:rPr>
  </w:style>
  <w:style w:type="paragraph" w:styleId="Footer">
    <w:name w:val="footer"/>
    <w:basedOn w:val="Normal"/>
    <w:link w:val="FooterChar"/>
    <w:uiPriority w:val="99"/>
    <w:rsid w:val="00844BFF"/>
    <w:pPr>
      <w:tabs>
        <w:tab w:val="center" w:pos="4680"/>
        <w:tab w:val="right" w:pos="9360"/>
      </w:tabs>
    </w:pPr>
  </w:style>
  <w:style w:type="character" w:customStyle="1" w:styleId="FooterChar">
    <w:name w:val="Footer Char"/>
    <w:link w:val="Footer"/>
    <w:uiPriority w:val="99"/>
    <w:rsid w:val="00844BFF"/>
    <w:rPr>
      <w:szCs w:val="24"/>
    </w:rPr>
  </w:style>
  <w:style w:type="character" w:styleId="CommentReference">
    <w:name w:val="annotation reference"/>
    <w:rsid w:val="00501C7F"/>
    <w:rPr>
      <w:sz w:val="16"/>
      <w:szCs w:val="16"/>
    </w:rPr>
  </w:style>
  <w:style w:type="paragraph" w:styleId="CommentText">
    <w:name w:val="annotation text"/>
    <w:basedOn w:val="Normal"/>
    <w:link w:val="CommentTextChar"/>
    <w:rsid w:val="00501C7F"/>
    <w:rPr>
      <w:szCs w:val="20"/>
    </w:rPr>
  </w:style>
  <w:style w:type="character" w:customStyle="1" w:styleId="CommentTextChar">
    <w:name w:val="Comment Text Char"/>
    <w:basedOn w:val="DefaultParagraphFont"/>
    <w:link w:val="CommentText"/>
    <w:rsid w:val="00501C7F"/>
  </w:style>
  <w:style w:type="paragraph" w:styleId="CommentSubject">
    <w:name w:val="annotation subject"/>
    <w:basedOn w:val="CommentText"/>
    <w:next w:val="CommentText"/>
    <w:link w:val="CommentSubjectChar"/>
    <w:rsid w:val="00501C7F"/>
    <w:rPr>
      <w:b/>
      <w:bCs/>
    </w:rPr>
  </w:style>
  <w:style w:type="character" w:customStyle="1" w:styleId="CommentSubjectChar">
    <w:name w:val="Comment Subject Char"/>
    <w:link w:val="CommentSubject"/>
    <w:rsid w:val="00501C7F"/>
    <w:rPr>
      <w:b/>
      <w:bCs/>
    </w:rPr>
  </w:style>
  <w:style w:type="paragraph" w:styleId="BalloonText">
    <w:name w:val="Balloon Text"/>
    <w:basedOn w:val="Normal"/>
    <w:link w:val="BalloonTextChar"/>
    <w:rsid w:val="00501C7F"/>
    <w:rPr>
      <w:rFonts w:ascii="Segoe UI" w:hAnsi="Segoe UI" w:cs="Segoe UI"/>
      <w:sz w:val="18"/>
      <w:szCs w:val="18"/>
    </w:rPr>
  </w:style>
  <w:style w:type="character" w:customStyle="1" w:styleId="BalloonTextChar">
    <w:name w:val="Balloon Text Char"/>
    <w:link w:val="BalloonText"/>
    <w:rsid w:val="00501C7F"/>
    <w:rPr>
      <w:rFonts w:ascii="Segoe UI" w:hAnsi="Segoe UI" w:cs="Segoe UI"/>
      <w:sz w:val="18"/>
      <w:szCs w:val="18"/>
    </w:rPr>
  </w:style>
  <w:style w:type="paragraph" w:styleId="Revision">
    <w:name w:val="Revision"/>
    <w:hidden/>
    <w:uiPriority w:val="99"/>
    <w:semiHidden/>
    <w:rsid w:val="00501C7F"/>
    <w:rPr>
      <w:szCs w:val="24"/>
    </w:rPr>
  </w:style>
  <w:style w:type="paragraph" w:customStyle="1" w:styleId="Body2">
    <w:name w:val="Body2"/>
    <w:basedOn w:val="Normal"/>
    <w:rsid w:val="00032F56"/>
    <w:rPr>
      <w:rFonts w:ascii="Century Gothic" w:hAnsi="Century Gothic" w:cs="Arial"/>
      <w:sz w:val="24"/>
    </w:rPr>
  </w:style>
  <w:style w:type="paragraph" w:styleId="BodyTextIndent3">
    <w:name w:val="Body Text Indent 3"/>
    <w:basedOn w:val="Normal"/>
    <w:link w:val="BodyTextIndent3Char"/>
    <w:rsid w:val="00C10383"/>
    <w:pPr>
      <w:spacing w:after="120"/>
      <w:ind w:left="360"/>
    </w:pPr>
    <w:rPr>
      <w:sz w:val="16"/>
      <w:szCs w:val="16"/>
    </w:rPr>
  </w:style>
  <w:style w:type="character" w:customStyle="1" w:styleId="BodyTextIndent3Char">
    <w:name w:val="Body Text Indent 3 Char"/>
    <w:link w:val="BodyTextIndent3"/>
    <w:rsid w:val="00C10383"/>
    <w:rPr>
      <w:sz w:val="16"/>
      <w:szCs w:val="16"/>
    </w:rPr>
  </w:style>
  <w:style w:type="character" w:customStyle="1" w:styleId="Heading1Char">
    <w:name w:val="Heading 1 Char"/>
    <w:basedOn w:val="DefaultParagraphFont"/>
    <w:link w:val="Heading1"/>
    <w:uiPriority w:val="9"/>
    <w:rsid w:val="00F20A0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75A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A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0A0A"/>
    <w:pPr>
      <w:spacing w:after="0" w:line="240" w:lineRule="auto"/>
    </w:pPr>
  </w:style>
  <w:style w:type="paragraph" w:styleId="ListParagraph">
    <w:name w:val="List Paragraph"/>
    <w:basedOn w:val="Normal"/>
    <w:uiPriority w:val="34"/>
    <w:qFormat/>
    <w:rsid w:val="00084BD6"/>
    <w:pPr>
      <w:ind w:left="720"/>
      <w:contextualSpacing/>
    </w:pPr>
  </w:style>
  <w:style w:type="character" w:customStyle="1" w:styleId="Heading2Char">
    <w:name w:val="Heading 2 Char"/>
    <w:basedOn w:val="DefaultParagraphFont"/>
    <w:link w:val="Heading2"/>
    <w:uiPriority w:val="9"/>
    <w:rsid w:val="00AD58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D58F5"/>
    <w:rPr>
      <w:rFonts w:asciiTheme="majorHAnsi" w:eastAsiaTheme="majorEastAsia" w:hAnsiTheme="majorHAnsi" w:cstheme="majorBidi"/>
      <w:b/>
      <w:bCs/>
    </w:rPr>
  </w:style>
  <w:style w:type="character" w:styleId="Hyperlink">
    <w:name w:val="Hyperlink"/>
    <w:basedOn w:val="DefaultParagraphFont"/>
    <w:unhideWhenUsed/>
    <w:rsid w:val="002D6894"/>
    <w:rPr>
      <w:color w:val="0000FF" w:themeColor="hyperlink"/>
      <w:u w:val="single"/>
    </w:rPr>
  </w:style>
  <w:style w:type="character" w:customStyle="1" w:styleId="breakword">
    <w:name w:val="breakword"/>
    <w:basedOn w:val="DefaultParagraphFont"/>
    <w:rsid w:val="008E4DBC"/>
  </w:style>
  <w:style w:type="character" w:styleId="FollowedHyperlink">
    <w:name w:val="FollowedHyperlink"/>
    <w:basedOn w:val="DefaultParagraphFont"/>
    <w:semiHidden/>
    <w:unhideWhenUsed/>
    <w:rsid w:val="00C640F5"/>
    <w:rPr>
      <w:color w:val="800080" w:themeColor="followedHyperlink"/>
      <w:u w:val="single"/>
    </w:rPr>
  </w:style>
  <w:style w:type="paragraph" w:styleId="FootnoteText">
    <w:name w:val="footnote text"/>
    <w:basedOn w:val="Normal"/>
    <w:link w:val="FootnoteTextChar"/>
    <w:uiPriority w:val="99"/>
    <w:semiHidden/>
    <w:unhideWhenUsed/>
    <w:rsid w:val="00292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9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8669">
      <w:bodyDiv w:val="1"/>
      <w:marLeft w:val="0"/>
      <w:marRight w:val="0"/>
      <w:marTop w:val="0"/>
      <w:marBottom w:val="0"/>
      <w:divBdr>
        <w:top w:val="none" w:sz="0" w:space="0" w:color="auto"/>
        <w:left w:val="none" w:sz="0" w:space="0" w:color="auto"/>
        <w:bottom w:val="none" w:sz="0" w:space="0" w:color="auto"/>
        <w:right w:val="none" w:sz="0" w:space="0" w:color="auto"/>
      </w:divBdr>
    </w:div>
    <w:div w:id="460538578">
      <w:bodyDiv w:val="1"/>
      <w:marLeft w:val="0"/>
      <w:marRight w:val="0"/>
      <w:marTop w:val="0"/>
      <w:marBottom w:val="0"/>
      <w:divBdr>
        <w:top w:val="none" w:sz="0" w:space="0" w:color="auto"/>
        <w:left w:val="none" w:sz="0" w:space="0" w:color="auto"/>
        <w:bottom w:val="none" w:sz="0" w:space="0" w:color="auto"/>
        <w:right w:val="none" w:sz="0" w:space="0" w:color="auto"/>
      </w:divBdr>
    </w:div>
    <w:div w:id="689571308">
      <w:bodyDiv w:val="1"/>
      <w:marLeft w:val="0"/>
      <w:marRight w:val="0"/>
      <w:marTop w:val="0"/>
      <w:marBottom w:val="0"/>
      <w:divBdr>
        <w:top w:val="none" w:sz="0" w:space="0" w:color="auto"/>
        <w:left w:val="none" w:sz="0" w:space="0" w:color="auto"/>
        <w:bottom w:val="none" w:sz="0" w:space="0" w:color="auto"/>
        <w:right w:val="none" w:sz="0" w:space="0" w:color="auto"/>
      </w:divBdr>
    </w:div>
    <w:div w:id="1256475553">
      <w:bodyDiv w:val="1"/>
      <w:marLeft w:val="0"/>
      <w:marRight w:val="0"/>
      <w:marTop w:val="0"/>
      <w:marBottom w:val="0"/>
      <w:divBdr>
        <w:top w:val="none" w:sz="0" w:space="0" w:color="auto"/>
        <w:left w:val="none" w:sz="0" w:space="0" w:color="auto"/>
        <w:bottom w:val="none" w:sz="0" w:space="0" w:color="auto"/>
        <w:right w:val="none" w:sz="0" w:space="0" w:color="auto"/>
      </w:divBdr>
    </w:div>
    <w:div w:id="1505364009">
      <w:bodyDiv w:val="1"/>
      <w:marLeft w:val="0"/>
      <w:marRight w:val="0"/>
      <w:marTop w:val="0"/>
      <w:marBottom w:val="0"/>
      <w:divBdr>
        <w:top w:val="none" w:sz="0" w:space="0" w:color="auto"/>
        <w:left w:val="none" w:sz="0" w:space="0" w:color="auto"/>
        <w:bottom w:val="none" w:sz="0" w:space="0" w:color="auto"/>
        <w:right w:val="none" w:sz="0" w:space="0" w:color="auto"/>
      </w:divBdr>
    </w:div>
    <w:div w:id="1524710388">
      <w:bodyDiv w:val="1"/>
      <w:marLeft w:val="0"/>
      <w:marRight w:val="0"/>
      <w:marTop w:val="0"/>
      <w:marBottom w:val="0"/>
      <w:divBdr>
        <w:top w:val="none" w:sz="0" w:space="0" w:color="auto"/>
        <w:left w:val="none" w:sz="0" w:space="0" w:color="auto"/>
        <w:bottom w:val="none" w:sz="0" w:space="0" w:color="auto"/>
        <w:right w:val="none" w:sz="0" w:space="0" w:color="auto"/>
      </w:divBdr>
    </w:div>
    <w:div w:id="1540319183">
      <w:bodyDiv w:val="1"/>
      <w:marLeft w:val="0"/>
      <w:marRight w:val="0"/>
      <w:marTop w:val="0"/>
      <w:marBottom w:val="0"/>
      <w:divBdr>
        <w:top w:val="none" w:sz="0" w:space="0" w:color="auto"/>
        <w:left w:val="none" w:sz="0" w:space="0" w:color="auto"/>
        <w:bottom w:val="none" w:sz="0" w:space="0" w:color="auto"/>
        <w:right w:val="none" w:sz="0" w:space="0" w:color="auto"/>
      </w:divBdr>
    </w:div>
    <w:div w:id="1664384266">
      <w:bodyDiv w:val="1"/>
      <w:marLeft w:val="0"/>
      <w:marRight w:val="0"/>
      <w:marTop w:val="0"/>
      <w:marBottom w:val="0"/>
      <w:divBdr>
        <w:top w:val="none" w:sz="0" w:space="0" w:color="auto"/>
        <w:left w:val="none" w:sz="0" w:space="0" w:color="auto"/>
        <w:bottom w:val="none" w:sz="0" w:space="0" w:color="auto"/>
        <w:right w:val="none" w:sz="0" w:space="0" w:color="auto"/>
      </w:divBdr>
    </w:div>
    <w:div w:id="1922368959">
      <w:bodyDiv w:val="1"/>
      <w:marLeft w:val="0"/>
      <w:marRight w:val="0"/>
      <w:marTop w:val="0"/>
      <w:marBottom w:val="0"/>
      <w:divBdr>
        <w:top w:val="none" w:sz="0" w:space="0" w:color="auto"/>
        <w:left w:val="none" w:sz="0" w:space="0" w:color="auto"/>
        <w:bottom w:val="none" w:sz="0" w:space="0" w:color="auto"/>
        <w:right w:val="none" w:sz="0" w:space="0" w:color="auto"/>
      </w:divBdr>
    </w:div>
    <w:div w:id="20662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i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C018143DA3EE40A4AE04DE1A32ABDE" ma:contentTypeVersion="0" ma:contentTypeDescription="Create a new document." ma:contentTypeScope="" ma:versionID="5cd20d1e393cd72db2dabbacbbba72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E9F31-7208-4969-BD64-432B378AFE5D}">
  <ds:schemaRefs>
    <ds:schemaRef ds:uri="http://schemas.microsoft.com/sharepoint/v3/contenttype/forms"/>
  </ds:schemaRefs>
</ds:datastoreItem>
</file>

<file path=customXml/itemProps2.xml><?xml version="1.0" encoding="utf-8"?>
<ds:datastoreItem xmlns:ds="http://schemas.openxmlformats.org/officeDocument/2006/customXml" ds:itemID="{914E3F61-A746-4A9E-95EB-14224B64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3AE3D4-CF5A-4699-922A-13ABCE3877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CD14544-F5F9-4D13-9B12-C5865A45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21208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Healthy Indiana Plan; HIP 2.0; Supporting Statement</dc:subject>
  <dc:creator>Centers for Medicare and Medicaid Services</dc:creator>
  <cp:keywords>Healthy Indiana Plan; HIP 2.0; Supporting Statement</cp:keywords>
  <cp:lastModifiedBy>SYSTEM</cp:lastModifiedBy>
  <cp:revision>2</cp:revision>
  <dcterms:created xsi:type="dcterms:W3CDTF">2018-07-05T13:07:00Z</dcterms:created>
  <dcterms:modified xsi:type="dcterms:W3CDTF">2018-07-05T13:07:00Z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0x0101003EC018143DA3EE40A4AE04DE1A32ABDE</vt:lpwstr>
  </property>
  <property fmtid="{D5CDD505-2E9C-101B-9397-08002B2CF9AE}" pid="4" name="_AdHocReviewCycleID">
    <vt:i4>1707193496</vt:i4>
  </property>
  <property fmtid="{D5CDD505-2E9C-101B-9397-08002B2CF9AE}" pid="5" name="_EmailSubject">
    <vt:lpwstr>OMB Passback #1 &gt; RE: RE: Indiana PRA Issue (CMS-10615, OMB 0938-1300)</vt:lpwstr>
  </property>
  <property fmtid="{D5CDD505-2E9C-101B-9397-08002B2CF9AE}" pid="6" name="_AuthorEmail">
    <vt:lpwstr>Serge.King@cms.hhs.gov</vt:lpwstr>
  </property>
  <property fmtid="{D5CDD505-2E9C-101B-9397-08002B2CF9AE}" pid="7" name="_AuthorEmailDisplayName">
    <vt:lpwstr>King, Serge A. (CMS/CMCS)</vt:lpwstr>
  </property>
  <property fmtid="{D5CDD505-2E9C-101B-9397-08002B2CF9AE}" pid="8" name="_ReviewingToolsShownOnce">
    <vt:lpwstr/>
  </property>
</Properties>
</file>